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4786B">
      <w:pPr>
        <w:rPr>
          <w:rFonts w:hint="eastAsia" w:eastAsiaTheme="minorEastAsia"/>
          <w:color w:val="auto"/>
          <w:lang w:eastAsia="zh-CN"/>
        </w:rPr>
      </w:pPr>
      <w:bookmarkStart w:id="138" w:name="_GoBack"/>
    </w:p>
    <w:p w14:paraId="3CCD7AE8">
      <w:pPr>
        <w:pStyle w:val="21"/>
        <w:adjustRightInd w:val="0"/>
        <w:snapToGrid w:val="0"/>
        <w:spacing w:line="240" w:lineRule="atLeast"/>
        <w:jc w:val="center"/>
        <w:rPr>
          <w:rFonts w:hint="eastAsia" w:ascii="华文中宋" w:hAnsi="华文中宋" w:eastAsia="华文中宋"/>
          <w:b/>
          <w:bCs/>
          <w:color w:val="auto"/>
          <w:sz w:val="84"/>
          <w:szCs w:val="84"/>
        </w:rPr>
      </w:pPr>
    </w:p>
    <w:p w14:paraId="5B1D0B83">
      <w:pPr>
        <w:pStyle w:val="21"/>
        <w:adjustRightInd w:val="0"/>
        <w:snapToGrid w:val="0"/>
        <w:spacing w:line="240" w:lineRule="atLeast"/>
        <w:jc w:val="center"/>
        <w:rPr>
          <w:rFonts w:ascii="华文中宋" w:hAnsi="华文中宋" w:eastAsia="华文中宋"/>
          <w:bCs/>
          <w:color w:val="auto"/>
          <w:sz w:val="72"/>
          <w:szCs w:val="72"/>
        </w:rPr>
      </w:pPr>
      <w:r>
        <w:rPr>
          <w:rFonts w:hint="eastAsia" w:ascii="华文中宋" w:hAnsi="华文中宋" w:eastAsia="华文中宋"/>
          <w:b/>
          <w:bCs/>
          <w:color w:val="auto"/>
          <w:sz w:val="84"/>
          <w:szCs w:val="84"/>
        </w:rPr>
        <w:t>政府采购</w:t>
      </w:r>
    </w:p>
    <w:p w14:paraId="191FFB17">
      <w:pPr>
        <w:widowControl w:val="0"/>
        <w:adjustRightInd w:val="0"/>
        <w:snapToGrid w:val="0"/>
        <w:spacing w:line="240" w:lineRule="atLeast"/>
        <w:jc w:val="center"/>
        <w:rPr>
          <w:rFonts w:ascii="华文中宋" w:hAnsi="华文中宋" w:eastAsia="华文中宋" w:cs="Courier New"/>
          <w:b/>
          <w:bCs/>
          <w:color w:val="auto"/>
          <w:kern w:val="2"/>
          <w:sz w:val="84"/>
          <w:szCs w:val="84"/>
          <w:lang w:val="en-US" w:eastAsia="zh-CN" w:bidi="ar-SA"/>
        </w:rPr>
      </w:pPr>
      <w:r>
        <w:rPr>
          <w:rFonts w:hint="eastAsia" w:ascii="华文中宋" w:hAnsi="华文中宋" w:eastAsia="华文中宋" w:cs="Courier New"/>
          <w:b/>
          <w:bCs/>
          <w:color w:val="auto"/>
          <w:kern w:val="2"/>
          <w:sz w:val="84"/>
          <w:szCs w:val="84"/>
          <w:lang w:val="en-US" w:eastAsia="zh-CN" w:bidi="ar-SA"/>
        </w:rPr>
        <w:t>货物项目招标文件</w:t>
      </w:r>
    </w:p>
    <w:p w14:paraId="168378D2">
      <w:pPr>
        <w:widowControl w:val="0"/>
        <w:adjustRightInd w:val="0"/>
        <w:snapToGrid w:val="0"/>
        <w:spacing w:line="240" w:lineRule="atLeast"/>
        <w:jc w:val="center"/>
        <w:rPr>
          <w:rFonts w:ascii="华文中宋" w:hAnsi="华文中宋" w:eastAsia="华文中宋" w:cs="Courier New"/>
          <w:b/>
          <w:bCs/>
          <w:color w:val="auto"/>
          <w:kern w:val="2"/>
          <w:sz w:val="44"/>
          <w:szCs w:val="44"/>
          <w:lang w:val="en-US" w:eastAsia="zh-CN" w:bidi="ar-SA"/>
        </w:rPr>
      </w:pPr>
    </w:p>
    <w:p w14:paraId="774C6591">
      <w:pPr>
        <w:rPr>
          <w:rFonts w:ascii="华文中宋" w:hAnsi="华文中宋" w:eastAsia="华文中宋" w:cs="Times New Roman"/>
          <w:b/>
          <w:bCs/>
          <w:color w:val="auto"/>
          <w:sz w:val="44"/>
          <w:szCs w:val="44"/>
        </w:rPr>
      </w:pPr>
    </w:p>
    <w:p w14:paraId="722D0FC1">
      <w:pPr>
        <w:rPr>
          <w:rFonts w:ascii="华文中宋" w:hAnsi="华文中宋" w:eastAsia="华文中宋" w:cs="Times New Roman"/>
          <w:b/>
          <w:bCs/>
          <w:color w:val="auto"/>
          <w:sz w:val="44"/>
          <w:szCs w:val="44"/>
        </w:rPr>
      </w:pPr>
    </w:p>
    <w:p w14:paraId="1AC82C4E">
      <w:pPr>
        <w:widowControl w:val="0"/>
        <w:adjustRightInd w:val="0"/>
        <w:snapToGrid w:val="0"/>
        <w:spacing w:line="240" w:lineRule="atLeast"/>
        <w:jc w:val="both"/>
        <w:rPr>
          <w:rFonts w:ascii="华文中宋" w:hAnsi="华文中宋" w:eastAsia="华文中宋" w:cs="Courier New"/>
          <w:b/>
          <w:bCs/>
          <w:color w:val="auto"/>
          <w:kern w:val="2"/>
          <w:sz w:val="44"/>
          <w:szCs w:val="44"/>
          <w:lang w:val="en-US" w:eastAsia="zh-CN" w:bidi="ar-SA"/>
        </w:rPr>
      </w:pPr>
    </w:p>
    <w:p w14:paraId="270B7926">
      <w:pPr>
        <w:widowControl w:val="0"/>
        <w:adjustRightInd w:val="0"/>
        <w:snapToGrid w:val="0"/>
        <w:spacing w:line="240" w:lineRule="atLeast"/>
        <w:jc w:val="center"/>
        <w:rPr>
          <w:rFonts w:ascii="华文中宋" w:hAnsi="华文中宋" w:eastAsia="华文中宋" w:cs="Courier New"/>
          <w:bCs/>
          <w:color w:val="auto"/>
          <w:kern w:val="2"/>
          <w:sz w:val="21"/>
          <w:szCs w:val="21"/>
          <w:lang w:val="en-US" w:eastAsia="zh-CN" w:bidi="ar-SA"/>
        </w:rPr>
      </w:pPr>
    </w:p>
    <w:p w14:paraId="29EF161A">
      <w:pPr>
        <w:keepNext w:val="0"/>
        <w:keepLines w:val="0"/>
        <w:pageBreakBefore w:val="0"/>
        <w:widowControl w:val="0"/>
        <w:kinsoku/>
        <w:wordWrap/>
        <w:overflowPunct/>
        <w:topLinePunct w:val="0"/>
        <w:autoSpaceDE/>
        <w:autoSpaceDN/>
        <w:bidi w:val="0"/>
        <w:adjustRightInd w:val="0"/>
        <w:snapToGrid w:val="0"/>
        <w:spacing w:line="360" w:lineRule="auto"/>
        <w:ind w:firstLine="800" w:firstLineChars="250"/>
        <w:textAlignment w:val="auto"/>
        <w:rPr>
          <w:rFonts w:hint="eastAsia" w:ascii="等线" w:hAnsi="等线" w:eastAsia="等线" w:cs="Times New Roman"/>
          <w:b/>
          <w:color w:val="auto"/>
          <w:szCs w:val="21"/>
          <w:u w:val="single"/>
          <w:lang w:val="en-US" w:eastAsia="zh-CN"/>
        </w:rPr>
      </w:pPr>
      <w:r>
        <w:rPr>
          <w:rFonts w:hint="eastAsia" w:ascii="等线" w:hAnsi="宋体" w:eastAsia="等线" w:cs="Times New Roman"/>
          <w:b/>
          <w:color w:val="auto"/>
          <w:sz w:val="32"/>
          <w:szCs w:val="32"/>
        </w:rPr>
        <w:t>采购项目名称：</w:t>
      </w:r>
      <w:r>
        <w:rPr>
          <w:rFonts w:hint="eastAsia" w:ascii="等线" w:hAnsi="宋体" w:eastAsia="等线" w:cs="Times New Roman"/>
          <w:b/>
          <w:color w:val="auto"/>
          <w:sz w:val="32"/>
          <w:szCs w:val="32"/>
          <w:u w:val="single"/>
          <w:lang w:val="en-US" w:eastAsia="zh-CN"/>
        </w:rPr>
        <w:t>慈利县2026年度菜籽油大县奖励资金项目—油菜种子、硼肥采购子项目</w:t>
      </w:r>
    </w:p>
    <w:p w14:paraId="03561503">
      <w:pPr>
        <w:keepNext w:val="0"/>
        <w:keepLines w:val="0"/>
        <w:pageBreakBefore w:val="0"/>
        <w:widowControl w:val="0"/>
        <w:kinsoku/>
        <w:wordWrap/>
        <w:overflowPunct/>
        <w:topLinePunct w:val="0"/>
        <w:autoSpaceDE/>
        <w:autoSpaceDN/>
        <w:bidi w:val="0"/>
        <w:adjustRightInd w:val="0"/>
        <w:snapToGrid w:val="0"/>
        <w:spacing w:line="360" w:lineRule="auto"/>
        <w:ind w:firstLine="800" w:firstLineChars="250"/>
        <w:textAlignment w:val="auto"/>
        <w:rPr>
          <w:rFonts w:hint="default" w:ascii="等线" w:hAnsi="宋体" w:eastAsia="等线" w:cs="Times New Roman"/>
          <w:b/>
          <w:color w:val="auto"/>
          <w:sz w:val="32"/>
          <w:szCs w:val="32"/>
          <w:u w:val="single"/>
          <w:lang w:val="en-US" w:eastAsia="zh-CN"/>
        </w:rPr>
      </w:pPr>
      <w:r>
        <w:rPr>
          <w:rFonts w:hint="eastAsia" w:ascii="等线" w:hAnsi="宋体" w:eastAsia="等线" w:cs="Times New Roman"/>
          <w:b/>
          <w:color w:val="auto"/>
          <w:sz w:val="32"/>
          <w:szCs w:val="32"/>
        </w:rPr>
        <w:t>政府采购计划编号：</w:t>
      </w:r>
      <w:r>
        <w:rPr>
          <w:rFonts w:hint="eastAsia" w:ascii="等线" w:hAnsi="宋体" w:eastAsia="等线" w:cs="Times New Roman"/>
          <w:b/>
          <w:color w:val="auto"/>
          <w:sz w:val="32"/>
          <w:szCs w:val="32"/>
          <w:u w:val="single"/>
          <w:lang w:val="en-US" w:eastAsia="zh-CN"/>
        </w:rPr>
        <w:t>(2026)430821000007-1</w:t>
      </w:r>
    </w:p>
    <w:p w14:paraId="7BC70C98">
      <w:pPr>
        <w:keepNext w:val="0"/>
        <w:keepLines w:val="0"/>
        <w:pageBreakBefore w:val="0"/>
        <w:widowControl w:val="0"/>
        <w:kinsoku/>
        <w:wordWrap/>
        <w:overflowPunct/>
        <w:topLinePunct w:val="0"/>
        <w:autoSpaceDE/>
        <w:autoSpaceDN/>
        <w:bidi w:val="0"/>
        <w:adjustRightInd w:val="0"/>
        <w:snapToGrid w:val="0"/>
        <w:spacing w:line="360" w:lineRule="auto"/>
        <w:ind w:firstLine="800" w:firstLineChars="250"/>
        <w:textAlignment w:val="auto"/>
        <w:rPr>
          <w:rFonts w:ascii="等线" w:hAnsi="宋体" w:eastAsia="宋体" w:cs="Times New Roman"/>
          <w:b/>
          <w:color w:val="auto"/>
          <w:sz w:val="32"/>
          <w:szCs w:val="32"/>
          <w:u w:val="single"/>
        </w:rPr>
      </w:pPr>
      <w:r>
        <w:rPr>
          <w:rFonts w:hint="eastAsia" w:ascii="等线" w:hAnsi="宋体" w:eastAsia="等线" w:cs="Times New Roman"/>
          <w:b/>
          <w:color w:val="auto"/>
          <w:sz w:val="32"/>
          <w:szCs w:val="32"/>
        </w:rPr>
        <w:t>委托代理编号：</w:t>
      </w:r>
      <w:r>
        <w:rPr>
          <w:rFonts w:hint="eastAsia" w:ascii="等线" w:hAnsi="宋体" w:eastAsia="等线" w:cs="Times New Roman"/>
          <w:b/>
          <w:color w:val="auto"/>
          <w:sz w:val="32"/>
          <w:szCs w:val="32"/>
          <w:u w:val="single"/>
          <w:lang w:val="en-US" w:eastAsia="zh-CN"/>
        </w:rPr>
        <w:t>HNZG2026-30</w:t>
      </w:r>
    </w:p>
    <w:p w14:paraId="2484CEA0">
      <w:pPr>
        <w:keepNext w:val="0"/>
        <w:keepLines w:val="0"/>
        <w:pageBreakBefore w:val="0"/>
        <w:widowControl w:val="0"/>
        <w:kinsoku/>
        <w:wordWrap/>
        <w:overflowPunct/>
        <w:topLinePunct w:val="0"/>
        <w:autoSpaceDE/>
        <w:autoSpaceDN/>
        <w:bidi w:val="0"/>
        <w:adjustRightInd w:val="0"/>
        <w:snapToGrid w:val="0"/>
        <w:spacing w:line="360" w:lineRule="auto"/>
        <w:ind w:firstLine="800" w:firstLineChars="250"/>
        <w:textAlignment w:val="auto"/>
        <w:rPr>
          <w:rFonts w:hint="default" w:ascii="等线" w:hAnsi="宋体" w:eastAsia="等线" w:cs="Times New Roman"/>
          <w:b/>
          <w:color w:val="auto"/>
          <w:sz w:val="32"/>
          <w:szCs w:val="32"/>
          <w:lang w:val="en-US" w:eastAsia="zh-CN"/>
        </w:rPr>
      </w:pPr>
      <w:r>
        <w:rPr>
          <w:rFonts w:hint="eastAsia" w:ascii="等线" w:hAnsi="宋体" w:eastAsia="等线" w:cs="Times New Roman"/>
          <w:b/>
          <w:color w:val="auto"/>
          <w:sz w:val="32"/>
          <w:szCs w:val="32"/>
        </w:rPr>
        <w:t>采</w:t>
      </w:r>
      <w:r>
        <w:rPr>
          <w:rFonts w:ascii="等线" w:hAnsi="宋体" w:eastAsia="等线" w:cs="Times New Roman"/>
          <w:b/>
          <w:color w:val="auto"/>
          <w:sz w:val="32"/>
          <w:szCs w:val="32"/>
        </w:rPr>
        <w:t xml:space="preserve">   </w:t>
      </w:r>
      <w:r>
        <w:rPr>
          <w:rFonts w:hint="eastAsia" w:ascii="等线" w:hAnsi="宋体" w:eastAsia="等线" w:cs="Times New Roman"/>
          <w:b/>
          <w:color w:val="auto"/>
          <w:sz w:val="32"/>
          <w:szCs w:val="32"/>
        </w:rPr>
        <w:t>购</w:t>
      </w:r>
      <w:r>
        <w:rPr>
          <w:rFonts w:ascii="等线" w:hAnsi="宋体" w:eastAsia="等线" w:cs="Times New Roman"/>
          <w:b/>
          <w:color w:val="auto"/>
          <w:sz w:val="32"/>
          <w:szCs w:val="32"/>
        </w:rPr>
        <w:t xml:space="preserve">   </w:t>
      </w:r>
      <w:r>
        <w:rPr>
          <w:rFonts w:hint="eastAsia" w:ascii="等线" w:hAnsi="宋体" w:eastAsia="等线" w:cs="Times New Roman"/>
          <w:b/>
          <w:color w:val="auto"/>
          <w:sz w:val="32"/>
          <w:szCs w:val="32"/>
        </w:rPr>
        <w:t>人：</w:t>
      </w:r>
      <w:r>
        <w:rPr>
          <w:rFonts w:hint="eastAsia" w:ascii="等线" w:hAnsi="宋体" w:eastAsia="等线" w:cs="Times New Roman"/>
          <w:b/>
          <w:color w:val="auto"/>
          <w:sz w:val="32"/>
          <w:szCs w:val="32"/>
          <w:lang w:val="en-US" w:eastAsia="zh-CN"/>
        </w:rPr>
        <w:t>慈利县农业农村局</w:t>
      </w:r>
    </w:p>
    <w:p w14:paraId="45DD3CEF">
      <w:pPr>
        <w:keepNext w:val="0"/>
        <w:keepLines w:val="0"/>
        <w:pageBreakBefore w:val="0"/>
        <w:widowControl w:val="0"/>
        <w:kinsoku/>
        <w:wordWrap/>
        <w:overflowPunct/>
        <w:topLinePunct w:val="0"/>
        <w:autoSpaceDE/>
        <w:autoSpaceDN/>
        <w:bidi w:val="0"/>
        <w:adjustRightInd w:val="0"/>
        <w:snapToGrid w:val="0"/>
        <w:spacing w:line="360" w:lineRule="auto"/>
        <w:ind w:firstLine="800" w:firstLineChars="250"/>
        <w:textAlignment w:val="auto"/>
        <w:rPr>
          <w:rFonts w:hint="default" w:ascii="宋体" w:hAnsi="等线" w:eastAsia="等线" w:cs="Times New Roman"/>
          <w:b/>
          <w:color w:val="auto"/>
          <w:sz w:val="32"/>
          <w:szCs w:val="21"/>
          <w:lang w:val="en-US" w:eastAsia="zh-CN"/>
        </w:rPr>
      </w:pPr>
      <w:r>
        <w:rPr>
          <w:rFonts w:hint="eastAsia" w:ascii="宋体" w:hAnsi="等线" w:eastAsia="等线" w:cs="Times New Roman"/>
          <w:b/>
          <w:color w:val="auto"/>
          <w:sz w:val="32"/>
          <w:szCs w:val="21"/>
        </w:rPr>
        <w:t>采购代理机构：</w:t>
      </w:r>
      <w:r>
        <w:rPr>
          <w:rFonts w:hint="eastAsia" w:ascii="宋体" w:hAnsi="等线" w:eastAsia="等线" w:cs="Times New Roman"/>
          <w:b/>
          <w:color w:val="auto"/>
          <w:sz w:val="32"/>
          <w:szCs w:val="21"/>
          <w:u w:val="single"/>
          <w:lang w:val="en-US" w:eastAsia="zh-CN"/>
        </w:rPr>
        <w:t>湖南智高项目管理有限公司</w:t>
      </w:r>
    </w:p>
    <w:p w14:paraId="005EC075">
      <w:pPr>
        <w:widowControl w:val="0"/>
        <w:adjustRightInd w:val="0"/>
        <w:snapToGrid w:val="0"/>
        <w:spacing w:line="360" w:lineRule="auto"/>
        <w:jc w:val="center"/>
        <w:rPr>
          <w:rFonts w:ascii="宋体" w:hAnsi="宋体" w:eastAsia="等线" w:cs="Courier New"/>
          <w:bCs/>
          <w:color w:val="auto"/>
          <w:kern w:val="2"/>
          <w:sz w:val="32"/>
          <w:szCs w:val="32"/>
          <w:lang w:val="en-US" w:eastAsia="zh-CN" w:bidi="ar-SA"/>
        </w:rPr>
      </w:pPr>
    </w:p>
    <w:p w14:paraId="3E57AFF9">
      <w:pPr>
        <w:widowControl w:val="0"/>
        <w:adjustRightInd w:val="0"/>
        <w:snapToGrid w:val="0"/>
        <w:spacing w:line="240" w:lineRule="atLeast"/>
        <w:jc w:val="center"/>
        <w:rPr>
          <w:rFonts w:ascii="宋体" w:hAnsi="宋体" w:eastAsia="等线" w:cs="Courier New"/>
          <w:bCs/>
          <w:color w:val="auto"/>
          <w:kern w:val="2"/>
          <w:sz w:val="32"/>
          <w:szCs w:val="32"/>
          <w:lang w:val="en-US" w:eastAsia="zh-CN" w:bidi="ar-SA"/>
        </w:rPr>
      </w:pPr>
    </w:p>
    <w:p w14:paraId="12BCC41F">
      <w:pPr>
        <w:widowControl w:val="0"/>
        <w:adjustRightInd w:val="0"/>
        <w:snapToGrid w:val="0"/>
        <w:spacing w:line="240" w:lineRule="atLeast"/>
        <w:jc w:val="center"/>
        <w:rPr>
          <w:rFonts w:ascii="宋体" w:hAnsi="宋体" w:eastAsia="等线" w:cs="Courier New"/>
          <w:bCs/>
          <w:color w:val="auto"/>
          <w:kern w:val="2"/>
          <w:sz w:val="32"/>
          <w:szCs w:val="32"/>
          <w:lang w:val="en-US" w:eastAsia="zh-CN" w:bidi="ar-SA"/>
        </w:rPr>
      </w:pPr>
    </w:p>
    <w:p w14:paraId="178953DB">
      <w:pPr>
        <w:widowControl w:val="0"/>
        <w:adjustRightInd w:val="0"/>
        <w:snapToGrid w:val="0"/>
        <w:spacing w:line="240" w:lineRule="atLeast"/>
        <w:jc w:val="center"/>
        <w:rPr>
          <w:rFonts w:ascii="宋体" w:hAnsi="宋体" w:eastAsia="等线" w:cs="Courier New"/>
          <w:bCs/>
          <w:color w:val="auto"/>
          <w:kern w:val="2"/>
          <w:sz w:val="32"/>
          <w:szCs w:val="32"/>
          <w:lang w:val="en-US" w:eastAsia="zh-CN" w:bidi="ar-SA"/>
        </w:rPr>
      </w:pPr>
    </w:p>
    <w:p w14:paraId="1B958B0C">
      <w:pPr>
        <w:widowControl w:val="0"/>
        <w:adjustRightInd w:val="0"/>
        <w:snapToGrid w:val="0"/>
        <w:spacing w:line="240" w:lineRule="atLeast"/>
        <w:jc w:val="center"/>
        <w:rPr>
          <w:rFonts w:hAnsi="宋体"/>
          <w:b/>
          <w:bCs/>
          <w:color w:val="auto"/>
          <w:sz w:val="32"/>
          <w:szCs w:val="32"/>
        </w:rPr>
        <w:sectPr>
          <w:footerReference r:id="rId3" w:type="default"/>
          <w:pgSz w:w="11906" w:h="16838"/>
          <w:pgMar w:top="1440" w:right="1588" w:bottom="1440" w:left="1588" w:header="851" w:footer="992" w:gutter="0"/>
          <w:cols w:space="720" w:num="1"/>
          <w:docGrid w:type="lines" w:linePitch="312" w:charSpace="0"/>
        </w:sectPr>
      </w:pPr>
      <w:r>
        <w:rPr>
          <w:rFonts w:hint="eastAsia" w:ascii="宋体" w:hAnsi="宋体" w:eastAsia="等线" w:cs="Courier New"/>
          <w:b/>
          <w:color w:val="auto"/>
          <w:kern w:val="2"/>
          <w:sz w:val="32"/>
          <w:szCs w:val="21"/>
          <w:lang w:val="en-US" w:eastAsia="zh-CN" w:bidi="ar-SA"/>
        </w:rPr>
        <w:t xml:space="preserve"> 2026年7月</w:t>
      </w:r>
    </w:p>
    <w:p w14:paraId="670DEA6D">
      <w:pPr>
        <w:spacing w:line="560" w:lineRule="exact"/>
        <w:jc w:val="center"/>
        <w:rPr>
          <w:rFonts w:hint="eastAsia" w:ascii="黑体" w:eastAsia="黑体" w:cs="黑体"/>
          <w:b/>
          <w:bCs/>
          <w:color w:val="auto"/>
          <w:sz w:val="36"/>
          <w:szCs w:val="36"/>
        </w:rPr>
      </w:pPr>
    </w:p>
    <w:p w14:paraId="47BEFF4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color w:val="auto"/>
          <w:sz w:val="44"/>
          <w:szCs w:val="44"/>
          <w:lang w:val="en-US" w:eastAsia="zh-CN"/>
        </w:rPr>
      </w:pPr>
      <w:r>
        <w:rPr>
          <w:rFonts w:hint="eastAsia" w:ascii="方正公文小标宋" w:hAnsi="方正公文小标宋" w:eastAsia="方正公文小标宋" w:cs="方正公文小标宋"/>
          <w:color w:val="auto"/>
          <w:sz w:val="44"/>
          <w:szCs w:val="44"/>
          <w:lang w:val="en-US" w:eastAsia="zh-CN"/>
        </w:rPr>
        <w:t>报价风险告知书</w:t>
      </w:r>
    </w:p>
    <w:p w14:paraId="0D58C3D4">
      <w:pPr>
        <w:pStyle w:val="31"/>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color w:val="auto"/>
          <w:lang w:val="en-US" w:eastAsia="zh-CN"/>
        </w:rPr>
      </w:pPr>
    </w:p>
    <w:p w14:paraId="657C8103">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低价风险高，报价须谨慎。</w:t>
      </w:r>
    </w:p>
    <w:p w14:paraId="5ACB8D8B">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本项目按照张政办发【2024】21号文件精神，实行最低评标价法，请务必仔细阅读招标文件，知悉违约的严重后果，理性报价。现将有关竞价风险提示如下：</w:t>
      </w:r>
    </w:p>
    <w:p w14:paraId="36387CC8">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1.履约担保金额。中标金额降价幅度不超过采购预算10% 的，履约保证金为中标金额的10%;中标金额降价幅度超过采购预算10%以上的，履约保证金为采购预算减去中标金额的差额。</w:t>
      </w:r>
    </w:p>
    <w:p w14:paraId="6B1531F0">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2.履约担保提交期限。供应商自领取中标通知书后7个工作日内提交履约保证金，最长不超过14个工作日。</w:t>
      </w:r>
    </w:p>
    <w:p w14:paraId="18F60E28">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3.履约担保提交逾期风险。</w:t>
      </w:r>
    </w:p>
    <w:p w14:paraId="7CB848A3">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宋体" w:hAnsi="宋体" w:eastAsia="宋体"/>
          <w:color w:val="auto"/>
          <w:sz w:val="30"/>
          <w:szCs w:val="30"/>
          <w:lang w:val="en-US" w:eastAsia="zh-CN"/>
        </w:rPr>
        <w:tab/>
      </w:r>
    </w:p>
    <w:p w14:paraId="0D690716">
      <w:pPr>
        <w:spacing w:line="560" w:lineRule="exact"/>
        <w:ind w:firstLine="771"/>
        <w:rPr>
          <w:rFonts w:hint="eastAsia" w:ascii="宋体" w:hAnsi="宋体" w:eastAsia="宋体"/>
          <w:color w:val="auto"/>
          <w:sz w:val="30"/>
          <w:szCs w:val="30"/>
          <w:lang w:val="en-US" w:eastAsia="zh-CN"/>
        </w:rPr>
      </w:pPr>
      <w:r>
        <w:rPr>
          <w:rFonts w:hint="eastAsia" w:ascii="宋体" w:hAnsi="宋体" w:eastAsia="宋体"/>
          <w:color w:val="auto"/>
          <w:sz w:val="30"/>
          <w:szCs w:val="30"/>
          <w:lang w:val="en-US" w:eastAsia="zh-CN"/>
        </w:rPr>
        <w:t>风险包括但不限于以上内容。</w:t>
      </w:r>
    </w:p>
    <w:p w14:paraId="4C03D54B">
      <w:pPr>
        <w:spacing w:line="560" w:lineRule="exact"/>
        <w:jc w:val="center"/>
        <w:rPr>
          <w:rFonts w:hint="eastAsia" w:ascii="黑体" w:eastAsia="黑体" w:cs="黑体"/>
          <w:b/>
          <w:bCs/>
          <w:color w:val="auto"/>
          <w:sz w:val="36"/>
          <w:szCs w:val="36"/>
        </w:rPr>
      </w:pPr>
    </w:p>
    <w:p w14:paraId="5A4DA46B">
      <w:pPr>
        <w:spacing w:line="560" w:lineRule="exact"/>
        <w:jc w:val="center"/>
        <w:rPr>
          <w:rFonts w:hint="eastAsia" w:ascii="黑体" w:eastAsia="黑体" w:cs="黑体"/>
          <w:b/>
          <w:bCs/>
          <w:color w:val="auto"/>
          <w:sz w:val="36"/>
          <w:szCs w:val="36"/>
        </w:rPr>
      </w:pPr>
    </w:p>
    <w:p w14:paraId="73C2EDD7">
      <w:pPr>
        <w:spacing w:line="560" w:lineRule="exact"/>
        <w:jc w:val="center"/>
        <w:rPr>
          <w:rFonts w:hint="eastAsia" w:ascii="黑体" w:eastAsia="黑体" w:cs="黑体"/>
          <w:b/>
          <w:bCs/>
          <w:color w:val="auto"/>
          <w:sz w:val="36"/>
          <w:szCs w:val="36"/>
        </w:rPr>
      </w:pPr>
    </w:p>
    <w:p w14:paraId="7E606D93">
      <w:pPr>
        <w:spacing w:line="560" w:lineRule="exact"/>
        <w:jc w:val="center"/>
        <w:rPr>
          <w:rFonts w:hint="eastAsia" w:ascii="黑体" w:eastAsia="黑体" w:cs="黑体"/>
          <w:b/>
          <w:bCs/>
          <w:color w:val="auto"/>
          <w:sz w:val="36"/>
          <w:szCs w:val="36"/>
        </w:rPr>
      </w:pPr>
    </w:p>
    <w:p w14:paraId="59206B15">
      <w:pPr>
        <w:spacing w:line="560" w:lineRule="exact"/>
        <w:jc w:val="center"/>
        <w:rPr>
          <w:rFonts w:hint="eastAsia" w:ascii="黑体" w:eastAsia="黑体" w:cs="黑体"/>
          <w:b/>
          <w:bCs/>
          <w:color w:val="auto"/>
          <w:sz w:val="36"/>
          <w:szCs w:val="36"/>
        </w:rPr>
      </w:pPr>
    </w:p>
    <w:p w14:paraId="0C767998">
      <w:pPr>
        <w:spacing w:line="560" w:lineRule="exact"/>
        <w:jc w:val="center"/>
        <w:rPr>
          <w:rFonts w:hint="eastAsia" w:ascii="黑体" w:eastAsia="黑体" w:cs="黑体"/>
          <w:b/>
          <w:bCs/>
          <w:color w:val="auto"/>
          <w:sz w:val="36"/>
          <w:szCs w:val="36"/>
        </w:rPr>
      </w:pPr>
    </w:p>
    <w:p w14:paraId="4EC6AB7F">
      <w:pPr>
        <w:spacing w:line="560" w:lineRule="exact"/>
        <w:jc w:val="center"/>
        <w:rPr>
          <w:rFonts w:hint="eastAsia" w:ascii="黑体" w:eastAsia="黑体" w:cs="黑体"/>
          <w:b/>
          <w:bCs/>
          <w:color w:val="auto"/>
          <w:sz w:val="36"/>
          <w:szCs w:val="36"/>
        </w:rPr>
      </w:pPr>
    </w:p>
    <w:p w14:paraId="641A54E5">
      <w:pPr>
        <w:spacing w:line="560" w:lineRule="exact"/>
        <w:jc w:val="center"/>
        <w:rPr>
          <w:rFonts w:hint="eastAsia" w:ascii="黑体" w:eastAsia="黑体" w:cs="黑体"/>
          <w:b/>
          <w:bCs/>
          <w:color w:val="auto"/>
          <w:sz w:val="36"/>
          <w:szCs w:val="36"/>
        </w:rPr>
      </w:pPr>
    </w:p>
    <w:p w14:paraId="72B7B5D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color w:val="auto"/>
          <w:sz w:val="44"/>
          <w:szCs w:val="44"/>
          <w:lang w:val="en-US" w:eastAsia="zh-CN"/>
        </w:rPr>
      </w:pPr>
      <w:bookmarkStart w:id="0" w:name="_Toc1687"/>
      <w:r>
        <w:rPr>
          <w:rFonts w:hint="eastAsia" w:ascii="方正公文小标宋" w:hAnsi="方正公文小标宋" w:eastAsia="方正公文小标宋" w:cs="方正公文小标宋"/>
          <w:color w:val="auto"/>
          <w:sz w:val="44"/>
          <w:szCs w:val="44"/>
          <w:lang w:val="en-US" w:eastAsia="zh-CN"/>
        </w:rPr>
        <w:t>公开承诺书</w:t>
      </w:r>
      <w:bookmarkEnd w:id="0"/>
    </w:p>
    <w:p w14:paraId="5F34B628">
      <w:pPr>
        <w:spacing w:line="560" w:lineRule="exact"/>
        <w:jc w:val="center"/>
        <w:rPr>
          <w:rFonts w:ascii="宋体"/>
          <w:color w:val="auto"/>
          <w:sz w:val="36"/>
          <w:szCs w:val="36"/>
        </w:rPr>
      </w:pPr>
    </w:p>
    <w:p w14:paraId="3912F3B2">
      <w:pPr>
        <w:spacing w:line="560" w:lineRule="exact"/>
        <w:ind w:firstLine="771"/>
        <w:rPr>
          <w:rFonts w:ascii="宋体" w:hAnsi="宋体" w:eastAsia="宋体"/>
          <w:color w:val="auto"/>
          <w:sz w:val="30"/>
          <w:szCs w:val="30"/>
        </w:rPr>
      </w:pPr>
      <w:r>
        <w:rPr>
          <w:rFonts w:hint="eastAsia" w:ascii="宋体" w:hAnsi="宋体" w:eastAsia="宋体"/>
          <w:color w:val="auto"/>
          <w:sz w:val="30"/>
          <w:szCs w:val="30"/>
        </w:rPr>
        <w:t>1、坚持服务至上。端正服务宗旨，杜绝“门难进、脸难看、事难办”，通过优质的服务赢得社会认可。</w:t>
      </w:r>
    </w:p>
    <w:p w14:paraId="4B0F5705">
      <w:pPr>
        <w:spacing w:line="560" w:lineRule="exact"/>
        <w:ind w:firstLine="771"/>
        <w:rPr>
          <w:rFonts w:ascii="宋体" w:hAnsi="宋体" w:eastAsia="宋体"/>
          <w:color w:val="auto"/>
          <w:sz w:val="30"/>
          <w:szCs w:val="30"/>
        </w:rPr>
      </w:pPr>
      <w:r>
        <w:rPr>
          <w:rFonts w:hint="eastAsia" w:ascii="宋体" w:hAnsi="宋体" w:eastAsia="宋体"/>
          <w:color w:val="auto"/>
          <w:sz w:val="30"/>
          <w:szCs w:val="30"/>
        </w:rPr>
        <w:t>2、力求规范高效。严格执行《政府采购法》，所有项目依法组织；实行“分段负责制”、“限时办结制”、“绩效评价制”，以及标准化作业，努力提高办事效率和公信力。</w:t>
      </w:r>
    </w:p>
    <w:p w14:paraId="386D8299">
      <w:pPr>
        <w:spacing w:line="560" w:lineRule="exact"/>
        <w:ind w:firstLine="771"/>
        <w:rPr>
          <w:rFonts w:ascii="宋体" w:hAnsi="宋体" w:eastAsia="宋体"/>
          <w:color w:val="auto"/>
          <w:sz w:val="30"/>
          <w:szCs w:val="30"/>
        </w:rPr>
      </w:pPr>
      <w:r>
        <w:rPr>
          <w:rFonts w:hint="eastAsia" w:ascii="宋体" w:hAnsi="宋体" w:eastAsia="宋体"/>
          <w:color w:val="auto"/>
          <w:sz w:val="30"/>
          <w:szCs w:val="30"/>
        </w:rPr>
        <w:t>3、做到公开透明。信息透明，采购项目及时在《政府采购网》上公布；运作透明，评审过程全程接受监督，</w:t>
      </w:r>
      <w:r>
        <w:rPr>
          <w:rFonts w:hint="eastAsia" w:ascii="宋体" w:hAnsi="宋体" w:eastAsia="宋体"/>
          <w:color w:val="auto"/>
          <w:sz w:val="30"/>
          <w:szCs w:val="30"/>
          <w:lang w:eastAsia="zh-CN"/>
        </w:rPr>
        <w:t>绝不</w:t>
      </w:r>
      <w:r>
        <w:rPr>
          <w:rFonts w:hint="eastAsia" w:ascii="宋体" w:hAnsi="宋体" w:eastAsia="宋体"/>
          <w:color w:val="auto"/>
          <w:sz w:val="30"/>
          <w:szCs w:val="30"/>
        </w:rPr>
        <w:t>搞暗箱操作。</w:t>
      </w:r>
    </w:p>
    <w:p w14:paraId="0B0C97F6">
      <w:pPr>
        <w:spacing w:line="560" w:lineRule="exact"/>
        <w:ind w:firstLine="771"/>
        <w:rPr>
          <w:rFonts w:ascii="宋体" w:hAnsi="宋体" w:eastAsia="宋体"/>
          <w:color w:val="auto"/>
          <w:sz w:val="30"/>
          <w:szCs w:val="30"/>
        </w:rPr>
      </w:pPr>
      <w:r>
        <w:rPr>
          <w:rFonts w:hint="eastAsia" w:ascii="宋体" w:hAnsi="宋体" w:eastAsia="宋体"/>
          <w:color w:val="auto"/>
          <w:sz w:val="30"/>
          <w:szCs w:val="30"/>
        </w:rPr>
        <w:t>4、确保廉洁和谐。加强职业道德建设，增强拒腐防变能力，严禁“吃拿卡要”。充分尊重采购当事人，积极听取各方意见，继续保持“有效投诉为零”的良好记录，致力营造更加和谐的政府采购环境。</w:t>
      </w:r>
    </w:p>
    <w:p w14:paraId="4AB45740">
      <w:pPr>
        <w:spacing w:line="560" w:lineRule="exact"/>
        <w:ind w:firstLine="771"/>
        <w:rPr>
          <w:rFonts w:ascii="宋体" w:hAnsi="宋体" w:eastAsia="宋体"/>
          <w:color w:val="auto"/>
          <w:sz w:val="30"/>
          <w:szCs w:val="30"/>
        </w:rPr>
      </w:pPr>
      <w:r>
        <w:rPr>
          <w:rFonts w:hint="eastAsia" w:ascii="宋体" w:hAnsi="宋体" w:eastAsia="宋体"/>
          <w:color w:val="auto"/>
          <w:sz w:val="30"/>
          <w:szCs w:val="30"/>
        </w:rPr>
        <w:t>欢迎大家监督！</w:t>
      </w:r>
    </w:p>
    <w:p w14:paraId="6E8C9682">
      <w:pPr>
        <w:spacing w:line="560" w:lineRule="exact"/>
        <w:ind w:firstLine="3171"/>
        <w:rPr>
          <w:rFonts w:ascii="宋体"/>
          <w:color w:val="auto"/>
          <w:sz w:val="30"/>
          <w:szCs w:val="30"/>
        </w:rPr>
      </w:pPr>
    </w:p>
    <w:p w14:paraId="794B4914">
      <w:pPr>
        <w:spacing w:line="560" w:lineRule="exact"/>
        <w:ind w:firstLine="3171"/>
        <w:rPr>
          <w:rFonts w:ascii="宋体"/>
          <w:color w:val="auto"/>
          <w:sz w:val="30"/>
          <w:szCs w:val="30"/>
        </w:rPr>
      </w:pPr>
    </w:p>
    <w:p w14:paraId="3C115665">
      <w:pPr>
        <w:pStyle w:val="16"/>
        <w:ind w:firstLine="600"/>
        <w:jc w:val="right"/>
        <w:rPr>
          <w:rFonts w:ascii="宋体" w:hAnsi="宋体"/>
          <w:color w:val="auto"/>
        </w:rPr>
      </w:pPr>
      <w:r>
        <w:rPr>
          <w:rFonts w:hint="eastAsia" w:ascii="宋体" w:hAnsi="宋体"/>
          <w:color w:val="auto"/>
          <w:sz w:val="30"/>
          <w:szCs w:val="30"/>
          <w:lang w:eastAsia="zh-CN"/>
        </w:rPr>
        <w:t>湖南智高项目管理有限公司</w:t>
      </w:r>
    </w:p>
    <w:p w14:paraId="571117F3">
      <w:pPr>
        <w:rPr>
          <w:color w:val="auto"/>
        </w:rPr>
      </w:pPr>
      <w:r>
        <w:rPr>
          <w:color w:val="auto"/>
        </w:rPr>
        <w:br w:type="page"/>
      </w:r>
    </w:p>
    <w:p w14:paraId="23746C58">
      <w:pPr>
        <w:pStyle w:val="2"/>
        <w:outlineLvl w:val="9"/>
        <w:rPr>
          <w:rFonts w:hint="eastAsia"/>
          <w:color w:val="auto"/>
        </w:rPr>
        <w:sectPr>
          <w:headerReference r:id="rId4" w:type="default"/>
          <w:footerReference r:id="rId5" w:type="default"/>
          <w:pgSz w:w="11906" w:h="16838"/>
          <w:pgMar w:top="1417" w:right="1003" w:bottom="1701" w:left="1003" w:header="1134" w:footer="680" w:gutter="0"/>
          <w:pgBorders>
            <w:top w:val="none" w:sz="0" w:space="0"/>
            <w:left w:val="none" w:sz="0" w:space="0"/>
            <w:bottom w:val="none" w:sz="0" w:space="0"/>
            <w:right w:val="none" w:sz="0" w:space="0"/>
          </w:pgBorders>
          <w:pgNumType w:fmt="decimal" w:start="1"/>
          <w:cols w:space="425" w:num="1"/>
          <w:rtlGutter w:val="0"/>
          <w:docGrid w:type="lines" w:linePitch="312" w:charSpace="0"/>
        </w:sectPr>
      </w:pPr>
      <w:bookmarkStart w:id="1" w:name="_Toc5485"/>
      <w:bookmarkStart w:id="2" w:name="_Toc32031"/>
      <w:bookmarkStart w:id="3" w:name="_Toc14930"/>
      <w:bookmarkStart w:id="4" w:name="_第一章_磋商邀请"/>
    </w:p>
    <w:sdt>
      <w:sdtPr>
        <w:rPr>
          <w:rFonts w:ascii="宋体" w:hAnsi="宋体" w:eastAsia="宋体" w:cstheme="minorBidi"/>
          <w:b/>
          <w:bCs/>
          <w:color w:val="auto"/>
          <w:kern w:val="2"/>
          <w:sz w:val="21"/>
          <w:szCs w:val="22"/>
          <w:lang w:val="en-US" w:eastAsia="zh-CN" w:bidi="ar-SA"/>
        </w:rPr>
        <w:id w:val="147460482"/>
        <w15:color w:val="DBDBDB"/>
        <w:docPartObj>
          <w:docPartGallery w:val="Table of Contents"/>
          <w:docPartUnique/>
        </w:docPartObj>
      </w:sdtPr>
      <w:sdtEndPr>
        <w:rPr>
          <w:rFonts w:hint="eastAsia" w:ascii="Times New Roman" w:hAnsi="Times New Roman" w:eastAsia="方正小标宋_GBK" w:cs="Times New Roman"/>
          <w:b/>
          <w:bCs/>
          <w:color w:val="auto"/>
          <w:spacing w:val="28"/>
          <w:kern w:val="36"/>
          <w:sz w:val="36"/>
          <w:szCs w:val="20"/>
          <w:lang w:val="en-US" w:eastAsia="zh-CN" w:bidi="ar-SA"/>
        </w:rPr>
      </w:sdtEndPr>
      <w:sdtContent>
        <w:p w14:paraId="6F32C410">
          <w:pPr>
            <w:spacing w:before="0" w:beforeLines="0" w:after="0" w:afterLines="0" w:line="240" w:lineRule="auto"/>
            <w:ind w:left="0" w:leftChars="0" w:right="0" w:rightChars="0" w:firstLine="0" w:firstLineChars="0"/>
            <w:jc w:val="center"/>
            <w:rPr>
              <w:b/>
              <w:bCs/>
              <w:color w:val="auto"/>
            </w:rPr>
          </w:pPr>
          <w:r>
            <w:rPr>
              <w:rFonts w:ascii="宋体" w:hAnsi="宋体" w:eastAsia="宋体"/>
              <w:b/>
              <w:bCs/>
              <w:color w:val="auto"/>
              <w:sz w:val="36"/>
              <w:szCs w:val="40"/>
            </w:rPr>
            <w:t>目</w:t>
          </w:r>
          <w:r>
            <w:rPr>
              <w:rFonts w:hint="eastAsia" w:ascii="宋体" w:hAnsi="宋体" w:eastAsia="宋体"/>
              <w:b/>
              <w:bCs/>
              <w:color w:val="auto"/>
              <w:sz w:val="36"/>
              <w:szCs w:val="40"/>
              <w:lang w:val="en-US" w:eastAsia="zh-CN"/>
            </w:rPr>
            <w:t xml:space="preserve">  </w:t>
          </w:r>
          <w:r>
            <w:rPr>
              <w:rFonts w:ascii="宋体" w:hAnsi="宋体" w:eastAsia="宋体"/>
              <w:b/>
              <w:bCs/>
              <w:color w:val="auto"/>
              <w:sz w:val="36"/>
              <w:szCs w:val="40"/>
            </w:rPr>
            <w:t>录</w:t>
          </w:r>
        </w:p>
        <w:p w14:paraId="48E1CC52">
          <w:pPr>
            <w:pStyle w:val="25"/>
            <w:tabs>
              <w:tab w:val="right" w:leader="dot" w:pos="9900"/>
            </w:tabs>
            <w:rPr>
              <w:color w:val="auto"/>
            </w:rPr>
          </w:pPr>
          <w:r>
            <w:rPr>
              <w:rFonts w:hint="eastAsia"/>
              <w:color w:val="auto"/>
            </w:rPr>
            <w:fldChar w:fldCharType="begin"/>
          </w:r>
          <w:r>
            <w:rPr>
              <w:rFonts w:hint="eastAsia"/>
              <w:color w:val="auto"/>
            </w:rPr>
            <w:instrText xml:space="preserve">TOC \o "1-2" \h \u </w:instrText>
          </w:r>
          <w:r>
            <w:rPr>
              <w:rFonts w:hint="eastAsia"/>
              <w:color w:val="auto"/>
            </w:rPr>
            <w:fldChar w:fldCharType="separate"/>
          </w:r>
          <w:r>
            <w:rPr>
              <w:rFonts w:hint="eastAsia"/>
              <w:color w:val="auto"/>
            </w:rPr>
            <w:fldChar w:fldCharType="begin"/>
          </w:r>
          <w:r>
            <w:rPr>
              <w:rFonts w:hint="eastAsia"/>
              <w:color w:val="auto"/>
            </w:rPr>
            <w:instrText xml:space="preserve"> HYPERLINK \l _Toc1687 </w:instrText>
          </w:r>
          <w:r>
            <w:rPr>
              <w:rFonts w:hint="eastAsia"/>
              <w:color w:val="auto"/>
            </w:rPr>
            <w:fldChar w:fldCharType="separate"/>
          </w:r>
          <w:r>
            <w:rPr>
              <w:rFonts w:hint="eastAsia" w:ascii="方正小标宋简体" w:hAnsi="方正小标宋简体" w:eastAsia="方正小标宋简体" w:cs="方正小标宋简体"/>
              <w:color w:val="auto"/>
              <w:szCs w:val="36"/>
              <w:lang w:eastAsia="zh-CN"/>
            </w:rPr>
            <w:t>公开承诺书</w:t>
          </w:r>
          <w:r>
            <w:rPr>
              <w:color w:val="auto"/>
            </w:rPr>
            <w:tab/>
          </w:r>
          <w:r>
            <w:rPr>
              <w:color w:val="auto"/>
            </w:rPr>
            <w:fldChar w:fldCharType="begin"/>
          </w:r>
          <w:r>
            <w:rPr>
              <w:color w:val="auto"/>
            </w:rPr>
            <w:instrText xml:space="preserve"> PAGEREF _Toc1687 \h </w:instrText>
          </w:r>
          <w:r>
            <w:rPr>
              <w:color w:val="auto"/>
            </w:rPr>
            <w:fldChar w:fldCharType="separate"/>
          </w:r>
          <w:r>
            <w:rPr>
              <w:color w:val="auto"/>
            </w:rPr>
            <w:t>2</w:t>
          </w:r>
          <w:r>
            <w:rPr>
              <w:color w:val="auto"/>
            </w:rPr>
            <w:fldChar w:fldCharType="end"/>
          </w:r>
          <w:r>
            <w:rPr>
              <w:rFonts w:hint="eastAsia"/>
              <w:color w:val="auto"/>
            </w:rPr>
            <w:fldChar w:fldCharType="end"/>
          </w:r>
        </w:p>
        <w:p w14:paraId="66C7E623">
          <w:pPr>
            <w:pStyle w:val="25"/>
            <w:tabs>
              <w:tab w:val="right" w:leader="dot" w:pos="9900"/>
            </w:tabs>
            <w:rPr>
              <w:color w:val="auto"/>
            </w:rPr>
          </w:pPr>
          <w:r>
            <w:rPr>
              <w:rFonts w:hint="eastAsia"/>
              <w:color w:val="auto"/>
            </w:rPr>
            <w:fldChar w:fldCharType="begin"/>
          </w:r>
          <w:r>
            <w:rPr>
              <w:rFonts w:hint="eastAsia"/>
              <w:color w:val="auto"/>
            </w:rPr>
            <w:instrText xml:space="preserve"> HYPERLINK \l _Toc25724 </w:instrText>
          </w:r>
          <w:r>
            <w:rPr>
              <w:rFonts w:hint="eastAsia"/>
              <w:color w:val="auto"/>
            </w:rPr>
            <w:fldChar w:fldCharType="separate"/>
          </w:r>
          <w:r>
            <w:rPr>
              <w:rFonts w:hint="eastAsia"/>
              <w:color w:val="auto"/>
            </w:rPr>
            <w:t>第一章 招标公告</w:t>
          </w:r>
          <w:r>
            <w:rPr>
              <w:color w:val="auto"/>
            </w:rPr>
            <w:tab/>
          </w:r>
          <w:r>
            <w:rPr>
              <w:color w:val="auto"/>
            </w:rPr>
            <w:fldChar w:fldCharType="begin"/>
          </w:r>
          <w:r>
            <w:rPr>
              <w:color w:val="auto"/>
            </w:rPr>
            <w:instrText xml:space="preserve"> PAGEREF _Toc25724 \h </w:instrText>
          </w:r>
          <w:r>
            <w:rPr>
              <w:color w:val="auto"/>
            </w:rPr>
            <w:fldChar w:fldCharType="separate"/>
          </w:r>
          <w:r>
            <w:rPr>
              <w:color w:val="auto"/>
            </w:rPr>
            <w:t>5</w:t>
          </w:r>
          <w:r>
            <w:rPr>
              <w:color w:val="auto"/>
            </w:rPr>
            <w:fldChar w:fldCharType="end"/>
          </w:r>
          <w:r>
            <w:rPr>
              <w:rFonts w:hint="eastAsia"/>
              <w:color w:val="auto"/>
            </w:rPr>
            <w:fldChar w:fldCharType="end"/>
          </w:r>
        </w:p>
        <w:p w14:paraId="3A3FF43A">
          <w:pPr>
            <w:pStyle w:val="27"/>
            <w:tabs>
              <w:tab w:val="right" w:leader="dot" w:pos="9900"/>
            </w:tabs>
            <w:rPr>
              <w:color w:val="auto"/>
            </w:rPr>
          </w:pPr>
          <w:r>
            <w:rPr>
              <w:rFonts w:hint="eastAsia"/>
              <w:color w:val="auto"/>
            </w:rPr>
            <w:fldChar w:fldCharType="begin"/>
          </w:r>
          <w:r>
            <w:rPr>
              <w:rFonts w:hint="eastAsia"/>
              <w:color w:val="auto"/>
            </w:rPr>
            <w:instrText xml:space="preserve"> HYPERLINK \l _Toc17580 </w:instrText>
          </w:r>
          <w:r>
            <w:rPr>
              <w:rFonts w:hint="eastAsia"/>
              <w:color w:val="auto"/>
            </w:rPr>
            <w:fldChar w:fldCharType="separate"/>
          </w:r>
          <w:r>
            <w:rPr>
              <w:color w:val="auto"/>
            </w:rPr>
            <w:t>一、采购项目基本信息</w:t>
          </w:r>
          <w:r>
            <w:rPr>
              <w:color w:val="auto"/>
            </w:rPr>
            <w:tab/>
          </w:r>
          <w:r>
            <w:rPr>
              <w:color w:val="auto"/>
            </w:rPr>
            <w:fldChar w:fldCharType="begin"/>
          </w:r>
          <w:r>
            <w:rPr>
              <w:color w:val="auto"/>
            </w:rPr>
            <w:instrText xml:space="preserve"> PAGEREF _Toc17580 \h </w:instrText>
          </w:r>
          <w:r>
            <w:rPr>
              <w:color w:val="auto"/>
            </w:rPr>
            <w:fldChar w:fldCharType="separate"/>
          </w:r>
          <w:r>
            <w:rPr>
              <w:color w:val="auto"/>
            </w:rPr>
            <w:t>5</w:t>
          </w:r>
          <w:r>
            <w:rPr>
              <w:color w:val="auto"/>
            </w:rPr>
            <w:fldChar w:fldCharType="end"/>
          </w:r>
          <w:r>
            <w:rPr>
              <w:rFonts w:hint="eastAsia"/>
              <w:color w:val="auto"/>
            </w:rPr>
            <w:fldChar w:fldCharType="end"/>
          </w:r>
        </w:p>
        <w:p w14:paraId="0C9D5132">
          <w:pPr>
            <w:pStyle w:val="27"/>
            <w:tabs>
              <w:tab w:val="right" w:leader="dot" w:pos="9900"/>
            </w:tabs>
            <w:rPr>
              <w:color w:val="auto"/>
            </w:rPr>
          </w:pPr>
          <w:r>
            <w:rPr>
              <w:rFonts w:hint="eastAsia"/>
              <w:color w:val="auto"/>
            </w:rPr>
            <w:fldChar w:fldCharType="begin"/>
          </w:r>
          <w:r>
            <w:rPr>
              <w:rFonts w:hint="eastAsia"/>
              <w:color w:val="auto"/>
            </w:rPr>
            <w:instrText xml:space="preserve"> HYPERLINK \l _Toc12593 </w:instrText>
          </w:r>
          <w:r>
            <w:rPr>
              <w:rFonts w:hint="eastAsia"/>
              <w:color w:val="auto"/>
            </w:rPr>
            <w:fldChar w:fldCharType="separate"/>
          </w:r>
          <w:r>
            <w:rPr>
              <w:color w:val="auto"/>
            </w:rPr>
            <w:t>二、采购人的采购需求</w:t>
          </w:r>
          <w:r>
            <w:rPr>
              <w:color w:val="auto"/>
            </w:rPr>
            <w:tab/>
          </w:r>
          <w:r>
            <w:rPr>
              <w:color w:val="auto"/>
            </w:rPr>
            <w:fldChar w:fldCharType="begin"/>
          </w:r>
          <w:r>
            <w:rPr>
              <w:color w:val="auto"/>
            </w:rPr>
            <w:instrText xml:space="preserve"> PAGEREF _Toc12593 \h </w:instrText>
          </w:r>
          <w:r>
            <w:rPr>
              <w:color w:val="auto"/>
            </w:rPr>
            <w:fldChar w:fldCharType="separate"/>
          </w:r>
          <w:r>
            <w:rPr>
              <w:color w:val="auto"/>
            </w:rPr>
            <w:t>5</w:t>
          </w:r>
          <w:r>
            <w:rPr>
              <w:color w:val="auto"/>
            </w:rPr>
            <w:fldChar w:fldCharType="end"/>
          </w:r>
          <w:r>
            <w:rPr>
              <w:rFonts w:hint="eastAsia"/>
              <w:color w:val="auto"/>
            </w:rPr>
            <w:fldChar w:fldCharType="end"/>
          </w:r>
        </w:p>
        <w:p w14:paraId="3CB044E9">
          <w:pPr>
            <w:pStyle w:val="27"/>
            <w:tabs>
              <w:tab w:val="right" w:leader="dot" w:pos="9900"/>
            </w:tabs>
            <w:rPr>
              <w:color w:val="auto"/>
            </w:rPr>
          </w:pPr>
          <w:r>
            <w:rPr>
              <w:rFonts w:hint="eastAsia"/>
              <w:color w:val="auto"/>
            </w:rPr>
            <w:fldChar w:fldCharType="begin"/>
          </w:r>
          <w:r>
            <w:rPr>
              <w:rFonts w:hint="eastAsia"/>
              <w:color w:val="auto"/>
            </w:rPr>
            <w:instrText xml:space="preserve"> HYPERLINK \l _Toc5208 </w:instrText>
          </w:r>
          <w:r>
            <w:rPr>
              <w:rFonts w:hint="eastAsia"/>
              <w:color w:val="auto"/>
            </w:rPr>
            <w:fldChar w:fldCharType="separate"/>
          </w:r>
          <w:r>
            <w:rPr>
              <w:rFonts w:hint="eastAsia"/>
              <w:color w:val="auto"/>
              <w:lang w:val="en-US" w:eastAsia="zh-CN"/>
            </w:rPr>
            <w:t>三、中标供应商的确定</w:t>
          </w:r>
          <w:r>
            <w:rPr>
              <w:color w:val="auto"/>
            </w:rPr>
            <w:tab/>
          </w:r>
          <w:r>
            <w:rPr>
              <w:color w:val="auto"/>
            </w:rPr>
            <w:fldChar w:fldCharType="begin"/>
          </w:r>
          <w:r>
            <w:rPr>
              <w:color w:val="auto"/>
            </w:rPr>
            <w:instrText xml:space="preserve"> PAGEREF _Toc5208 \h </w:instrText>
          </w:r>
          <w:r>
            <w:rPr>
              <w:color w:val="auto"/>
            </w:rPr>
            <w:fldChar w:fldCharType="separate"/>
          </w:r>
          <w:r>
            <w:rPr>
              <w:color w:val="auto"/>
            </w:rPr>
            <w:t>6</w:t>
          </w:r>
          <w:r>
            <w:rPr>
              <w:color w:val="auto"/>
            </w:rPr>
            <w:fldChar w:fldCharType="end"/>
          </w:r>
          <w:r>
            <w:rPr>
              <w:rFonts w:hint="eastAsia"/>
              <w:color w:val="auto"/>
            </w:rPr>
            <w:fldChar w:fldCharType="end"/>
          </w:r>
        </w:p>
        <w:p w14:paraId="369BB7F2">
          <w:pPr>
            <w:pStyle w:val="27"/>
            <w:tabs>
              <w:tab w:val="right" w:leader="dot" w:pos="9900"/>
            </w:tabs>
            <w:rPr>
              <w:color w:val="auto"/>
            </w:rPr>
          </w:pPr>
          <w:r>
            <w:rPr>
              <w:rFonts w:hint="eastAsia"/>
              <w:color w:val="auto"/>
            </w:rPr>
            <w:fldChar w:fldCharType="begin"/>
          </w:r>
          <w:r>
            <w:rPr>
              <w:rFonts w:hint="eastAsia"/>
              <w:color w:val="auto"/>
            </w:rPr>
            <w:instrText xml:space="preserve"> HYPERLINK \l _Toc11298 </w:instrText>
          </w:r>
          <w:r>
            <w:rPr>
              <w:rFonts w:hint="eastAsia"/>
              <w:color w:val="auto"/>
            </w:rPr>
            <w:fldChar w:fldCharType="separate"/>
          </w:r>
          <w:r>
            <w:rPr>
              <w:rFonts w:hint="eastAsia"/>
              <w:color w:val="auto"/>
              <w:lang w:val="en-US" w:eastAsia="zh-CN"/>
            </w:rPr>
            <w:t>四</w:t>
          </w:r>
          <w:r>
            <w:rPr>
              <w:color w:val="auto"/>
            </w:rPr>
            <w:t>、投标人的资格要求</w:t>
          </w:r>
          <w:r>
            <w:rPr>
              <w:color w:val="auto"/>
            </w:rPr>
            <w:tab/>
          </w:r>
          <w:r>
            <w:rPr>
              <w:color w:val="auto"/>
            </w:rPr>
            <w:fldChar w:fldCharType="begin"/>
          </w:r>
          <w:r>
            <w:rPr>
              <w:color w:val="auto"/>
            </w:rPr>
            <w:instrText xml:space="preserve"> PAGEREF _Toc11298 \h </w:instrText>
          </w:r>
          <w:r>
            <w:rPr>
              <w:color w:val="auto"/>
            </w:rPr>
            <w:fldChar w:fldCharType="separate"/>
          </w:r>
          <w:r>
            <w:rPr>
              <w:color w:val="auto"/>
            </w:rPr>
            <w:t>6</w:t>
          </w:r>
          <w:r>
            <w:rPr>
              <w:color w:val="auto"/>
            </w:rPr>
            <w:fldChar w:fldCharType="end"/>
          </w:r>
          <w:r>
            <w:rPr>
              <w:rFonts w:hint="eastAsia"/>
              <w:color w:val="auto"/>
            </w:rPr>
            <w:fldChar w:fldCharType="end"/>
          </w:r>
        </w:p>
        <w:p w14:paraId="5CF0DF3F">
          <w:pPr>
            <w:pStyle w:val="27"/>
            <w:tabs>
              <w:tab w:val="right" w:leader="dot" w:pos="9900"/>
            </w:tabs>
            <w:rPr>
              <w:color w:val="auto"/>
            </w:rPr>
          </w:pPr>
          <w:r>
            <w:rPr>
              <w:rFonts w:hint="eastAsia"/>
              <w:color w:val="auto"/>
            </w:rPr>
            <w:fldChar w:fldCharType="begin"/>
          </w:r>
          <w:r>
            <w:rPr>
              <w:rFonts w:hint="eastAsia"/>
              <w:color w:val="auto"/>
            </w:rPr>
            <w:instrText xml:space="preserve"> HYPERLINK \l _Toc29379 </w:instrText>
          </w:r>
          <w:r>
            <w:rPr>
              <w:rFonts w:hint="eastAsia"/>
              <w:color w:val="auto"/>
            </w:rPr>
            <w:fldChar w:fldCharType="separate"/>
          </w:r>
          <w:r>
            <w:rPr>
              <w:rFonts w:hint="eastAsia"/>
              <w:color w:val="auto"/>
              <w:lang w:val="en-US" w:eastAsia="zh-CN"/>
            </w:rPr>
            <w:t>五</w:t>
          </w:r>
          <w:r>
            <w:rPr>
              <w:color w:val="auto"/>
            </w:rPr>
            <w:t>、获取招标文件的时间、期限、地点及方式</w:t>
          </w:r>
          <w:r>
            <w:rPr>
              <w:color w:val="auto"/>
            </w:rPr>
            <w:tab/>
          </w:r>
          <w:r>
            <w:rPr>
              <w:color w:val="auto"/>
            </w:rPr>
            <w:fldChar w:fldCharType="begin"/>
          </w:r>
          <w:r>
            <w:rPr>
              <w:color w:val="auto"/>
            </w:rPr>
            <w:instrText xml:space="preserve"> PAGEREF _Toc29379 \h </w:instrText>
          </w:r>
          <w:r>
            <w:rPr>
              <w:color w:val="auto"/>
            </w:rPr>
            <w:fldChar w:fldCharType="separate"/>
          </w:r>
          <w:r>
            <w:rPr>
              <w:color w:val="auto"/>
            </w:rPr>
            <w:t>7</w:t>
          </w:r>
          <w:r>
            <w:rPr>
              <w:color w:val="auto"/>
            </w:rPr>
            <w:fldChar w:fldCharType="end"/>
          </w:r>
          <w:r>
            <w:rPr>
              <w:rFonts w:hint="eastAsia"/>
              <w:color w:val="auto"/>
            </w:rPr>
            <w:fldChar w:fldCharType="end"/>
          </w:r>
        </w:p>
        <w:p w14:paraId="2B65A80F">
          <w:pPr>
            <w:pStyle w:val="27"/>
            <w:tabs>
              <w:tab w:val="right" w:leader="dot" w:pos="9900"/>
            </w:tabs>
            <w:rPr>
              <w:color w:val="auto"/>
            </w:rPr>
          </w:pPr>
          <w:r>
            <w:rPr>
              <w:rFonts w:hint="eastAsia"/>
              <w:color w:val="auto"/>
            </w:rPr>
            <w:fldChar w:fldCharType="begin"/>
          </w:r>
          <w:r>
            <w:rPr>
              <w:rFonts w:hint="eastAsia"/>
              <w:color w:val="auto"/>
            </w:rPr>
            <w:instrText xml:space="preserve"> HYPERLINK \l _Toc32340 </w:instrText>
          </w:r>
          <w:r>
            <w:rPr>
              <w:rFonts w:hint="eastAsia"/>
              <w:color w:val="auto"/>
            </w:rPr>
            <w:fldChar w:fldCharType="separate"/>
          </w:r>
          <w:r>
            <w:rPr>
              <w:rFonts w:hint="eastAsia"/>
              <w:color w:val="auto"/>
              <w:lang w:val="en-US" w:eastAsia="zh-CN"/>
            </w:rPr>
            <w:t>六</w:t>
          </w:r>
          <w:r>
            <w:rPr>
              <w:color w:val="auto"/>
            </w:rPr>
            <w:t>、投标截止时间、开标时间及地点</w:t>
          </w:r>
          <w:r>
            <w:rPr>
              <w:color w:val="auto"/>
            </w:rPr>
            <w:tab/>
          </w:r>
          <w:r>
            <w:rPr>
              <w:color w:val="auto"/>
            </w:rPr>
            <w:fldChar w:fldCharType="begin"/>
          </w:r>
          <w:r>
            <w:rPr>
              <w:color w:val="auto"/>
            </w:rPr>
            <w:instrText xml:space="preserve"> PAGEREF _Toc32340 \h </w:instrText>
          </w:r>
          <w:r>
            <w:rPr>
              <w:color w:val="auto"/>
            </w:rPr>
            <w:fldChar w:fldCharType="separate"/>
          </w:r>
          <w:r>
            <w:rPr>
              <w:color w:val="auto"/>
            </w:rPr>
            <w:t>7</w:t>
          </w:r>
          <w:r>
            <w:rPr>
              <w:color w:val="auto"/>
            </w:rPr>
            <w:fldChar w:fldCharType="end"/>
          </w:r>
          <w:r>
            <w:rPr>
              <w:rFonts w:hint="eastAsia"/>
              <w:color w:val="auto"/>
            </w:rPr>
            <w:fldChar w:fldCharType="end"/>
          </w:r>
        </w:p>
        <w:p w14:paraId="0E086CF1">
          <w:pPr>
            <w:pStyle w:val="27"/>
            <w:tabs>
              <w:tab w:val="right" w:leader="dot" w:pos="9900"/>
            </w:tabs>
            <w:rPr>
              <w:color w:val="auto"/>
            </w:rPr>
          </w:pPr>
          <w:r>
            <w:rPr>
              <w:rFonts w:hint="eastAsia"/>
              <w:color w:val="auto"/>
            </w:rPr>
            <w:fldChar w:fldCharType="begin"/>
          </w:r>
          <w:r>
            <w:rPr>
              <w:rFonts w:hint="eastAsia"/>
              <w:color w:val="auto"/>
            </w:rPr>
            <w:instrText xml:space="preserve"> HYPERLINK \l _Toc29493 </w:instrText>
          </w:r>
          <w:r>
            <w:rPr>
              <w:rFonts w:hint="eastAsia"/>
              <w:color w:val="auto"/>
            </w:rPr>
            <w:fldChar w:fldCharType="separate"/>
          </w:r>
          <w:r>
            <w:rPr>
              <w:rFonts w:hint="eastAsia"/>
              <w:color w:val="auto"/>
              <w:lang w:val="en-US" w:eastAsia="zh-CN"/>
            </w:rPr>
            <w:t>七</w:t>
          </w:r>
          <w:r>
            <w:rPr>
              <w:color w:val="auto"/>
            </w:rPr>
            <w:t>、公告期限</w:t>
          </w:r>
          <w:r>
            <w:rPr>
              <w:color w:val="auto"/>
            </w:rPr>
            <w:tab/>
          </w:r>
          <w:r>
            <w:rPr>
              <w:color w:val="auto"/>
            </w:rPr>
            <w:fldChar w:fldCharType="begin"/>
          </w:r>
          <w:r>
            <w:rPr>
              <w:color w:val="auto"/>
            </w:rPr>
            <w:instrText xml:space="preserve"> PAGEREF _Toc29493 \h </w:instrText>
          </w:r>
          <w:r>
            <w:rPr>
              <w:color w:val="auto"/>
            </w:rPr>
            <w:fldChar w:fldCharType="separate"/>
          </w:r>
          <w:r>
            <w:rPr>
              <w:color w:val="auto"/>
            </w:rPr>
            <w:t>7</w:t>
          </w:r>
          <w:r>
            <w:rPr>
              <w:color w:val="auto"/>
            </w:rPr>
            <w:fldChar w:fldCharType="end"/>
          </w:r>
          <w:r>
            <w:rPr>
              <w:rFonts w:hint="eastAsia"/>
              <w:color w:val="auto"/>
            </w:rPr>
            <w:fldChar w:fldCharType="end"/>
          </w:r>
        </w:p>
        <w:p w14:paraId="01387EBF">
          <w:pPr>
            <w:pStyle w:val="27"/>
            <w:tabs>
              <w:tab w:val="right" w:leader="dot" w:pos="9900"/>
            </w:tabs>
            <w:rPr>
              <w:color w:val="auto"/>
            </w:rPr>
          </w:pPr>
          <w:r>
            <w:rPr>
              <w:rFonts w:hint="eastAsia"/>
              <w:color w:val="auto"/>
            </w:rPr>
            <w:fldChar w:fldCharType="begin"/>
          </w:r>
          <w:r>
            <w:rPr>
              <w:rFonts w:hint="eastAsia"/>
              <w:color w:val="auto"/>
            </w:rPr>
            <w:instrText xml:space="preserve"> HYPERLINK \l _Toc27660 </w:instrText>
          </w:r>
          <w:r>
            <w:rPr>
              <w:rFonts w:hint="eastAsia"/>
              <w:color w:val="auto"/>
            </w:rPr>
            <w:fldChar w:fldCharType="separate"/>
          </w:r>
          <w:r>
            <w:rPr>
              <w:rFonts w:hint="eastAsia"/>
              <w:color w:val="auto"/>
              <w:lang w:val="en-US" w:eastAsia="zh-CN"/>
            </w:rPr>
            <w:t>八</w:t>
          </w:r>
          <w:r>
            <w:rPr>
              <w:color w:val="auto"/>
            </w:rPr>
            <w:t>、询问及质疑</w:t>
          </w:r>
          <w:r>
            <w:rPr>
              <w:color w:val="auto"/>
            </w:rPr>
            <w:tab/>
          </w:r>
          <w:r>
            <w:rPr>
              <w:color w:val="auto"/>
            </w:rPr>
            <w:fldChar w:fldCharType="begin"/>
          </w:r>
          <w:r>
            <w:rPr>
              <w:color w:val="auto"/>
            </w:rPr>
            <w:instrText xml:space="preserve"> PAGEREF _Toc27660 \h </w:instrText>
          </w:r>
          <w:r>
            <w:rPr>
              <w:color w:val="auto"/>
            </w:rPr>
            <w:fldChar w:fldCharType="separate"/>
          </w:r>
          <w:r>
            <w:rPr>
              <w:color w:val="auto"/>
            </w:rPr>
            <w:t>8</w:t>
          </w:r>
          <w:r>
            <w:rPr>
              <w:color w:val="auto"/>
            </w:rPr>
            <w:fldChar w:fldCharType="end"/>
          </w:r>
          <w:r>
            <w:rPr>
              <w:rFonts w:hint="eastAsia"/>
              <w:color w:val="auto"/>
            </w:rPr>
            <w:fldChar w:fldCharType="end"/>
          </w:r>
        </w:p>
        <w:p w14:paraId="56C90839">
          <w:pPr>
            <w:pStyle w:val="27"/>
            <w:tabs>
              <w:tab w:val="right" w:leader="dot" w:pos="9900"/>
            </w:tabs>
            <w:rPr>
              <w:color w:val="auto"/>
            </w:rPr>
          </w:pPr>
          <w:r>
            <w:rPr>
              <w:rFonts w:hint="eastAsia"/>
              <w:color w:val="auto"/>
            </w:rPr>
            <w:fldChar w:fldCharType="begin"/>
          </w:r>
          <w:r>
            <w:rPr>
              <w:rFonts w:hint="eastAsia"/>
              <w:color w:val="auto"/>
            </w:rPr>
            <w:instrText xml:space="preserve"> HYPERLINK \l _Toc24710 </w:instrText>
          </w:r>
          <w:r>
            <w:rPr>
              <w:rFonts w:hint="eastAsia"/>
              <w:color w:val="auto"/>
            </w:rPr>
            <w:fldChar w:fldCharType="separate"/>
          </w:r>
          <w:r>
            <w:rPr>
              <w:rFonts w:hint="eastAsia"/>
              <w:color w:val="auto"/>
              <w:lang w:val="en-US" w:eastAsia="zh-CN"/>
            </w:rPr>
            <w:t>九</w:t>
          </w:r>
          <w:r>
            <w:rPr>
              <w:color w:val="auto"/>
            </w:rPr>
            <w:t>、投标说明</w:t>
          </w:r>
          <w:r>
            <w:rPr>
              <w:color w:val="auto"/>
            </w:rPr>
            <w:tab/>
          </w:r>
          <w:r>
            <w:rPr>
              <w:color w:val="auto"/>
            </w:rPr>
            <w:fldChar w:fldCharType="begin"/>
          </w:r>
          <w:r>
            <w:rPr>
              <w:color w:val="auto"/>
            </w:rPr>
            <w:instrText xml:space="preserve"> PAGEREF _Toc24710 \h </w:instrText>
          </w:r>
          <w:r>
            <w:rPr>
              <w:color w:val="auto"/>
            </w:rPr>
            <w:fldChar w:fldCharType="separate"/>
          </w:r>
          <w:r>
            <w:rPr>
              <w:color w:val="auto"/>
            </w:rPr>
            <w:t>8</w:t>
          </w:r>
          <w:r>
            <w:rPr>
              <w:color w:val="auto"/>
            </w:rPr>
            <w:fldChar w:fldCharType="end"/>
          </w:r>
          <w:r>
            <w:rPr>
              <w:rFonts w:hint="eastAsia"/>
              <w:color w:val="auto"/>
            </w:rPr>
            <w:fldChar w:fldCharType="end"/>
          </w:r>
        </w:p>
        <w:p w14:paraId="3933D8EC">
          <w:pPr>
            <w:pStyle w:val="27"/>
            <w:tabs>
              <w:tab w:val="right" w:leader="dot" w:pos="9900"/>
            </w:tabs>
            <w:rPr>
              <w:color w:val="auto"/>
            </w:rPr>
          </w:pPr>
          <w:r>
            <w:rPr>
              <w:rFonts w:hint="eastAsia"/>
              <w:color w:val="auto"/>
            </w:rPr>
            <w:fldChar w:fldCharType="begin"/>
          </w:r>
          <w:r>
            <w:rPr>
              <w:rFonts w:hint="eastAsia"/>
              <w:color w:val="auto"/>
            </w:rPr>
            <w:instrText xml:space="preserve"> HYPERLINK \l _Toc30152 </w:instrText>
          </w:r>
          <w:r>
            <w:rPr>
              <w:rFonts w:hint="eastAsia"/>
              <w:color w:val="auto"/>
            </w:rPr>
            <w:fldChar w:fldCharType="separate"/>
          </w:r>
          <w:r>
            <w:rPr>
              <w:color w:val="auto"/>
            </w:rPr>
            <w:t>十、采购项目联系人姓名和电话</w:t>
          </w:r>
          <w:r>
            <w:rPr>
              <w:color w:val="auto"/>
            </w:rPr>
            <w:tab/>
          </w:r>
          <w:r>
            <w:rPr>
              <w:color w:val="auto"/>
            </w:rPr>
            <w:fldChar w:fldCharType="begin"/>
          </w:r>
          <w:r>
            <w:rPr>
              <w:color w:val="auto"/>
            </w:rPr>
            <w:instrText xml:space="preserve"> PAGEREF _Toc30152 \h </w:instrText>
          </w:r>
          <w:r>
            <w:rPr>
              <w:color w:val="auto"/>
            </w:rPr>
            <w:fldChar w:fldCharType="separate"/>
          </w:r>
          <w:r>
            <w:rPr>
              <w:color w:val="auto"/>
            </w:rPr>
            <w:t>8</w:t>
          </w:r>
          <w:r>
            <w:rPr>
              <w:color w:val="auto"/>
            </w:rPr>
            <w:fldChar w:fldCharType="end"/>
          </w:r>
          <w:r>
            <w:rPr>
              <w:rFonts w:hint="eastAsia"/>
              <w:color w:val="auto"/>
            </w:rPr>
            <w:fldChar w:fldCharType="end"/>
          </w:r>
        </w:p>
        <w:p w14:paraId="3E8875AF">
          <w:pPr>
            <w:pStyle w:val="27"/>
            <w:tabs>
              <w:tab w:val="right" w:leader="dot" w:pos="9900"/>
            </w:tabs>
            <w:rPr>
              <w:color w:val="auto"/>
            </w:rPr>
          </w:pPr>
          <w:r>
            <w:rPr>
              <w:rFonts w:hint="eastAsia"/>
              <w:color w:val="auto"/>
            </w:rPr>
            <w:fldChar w:fldCharType="begin"/>
          </w:r>
          <w:r>
            <w:rPr>
              <w:rFonts w:hint="eastAsia"/>
              <w:color w:val="auto"/>
            </w:rPr>
            <w:instrText xml:space="preserve"> HYPERLINK \l _Toc28386 </w:instrText>
          </w:r>
          <w:r>
            <w:rPr>
              <w:rFonts w:hint="eastAsia"/>
              <w:color w:val="auto"/>
            </w:rPr>
            <w:fldChar w:fldCharType="separate"/>
          </w:r>
          <w:r>
            <w:rPr>
              <w:color w:val="auto"/>
            </w:rPr>
            <w:t>十</w:t>
          </w:r>
          <w:r>
            <w:rPr>
              <w:rFonts w:hint="eastAsia"/>
              <w:color w:val="auto"/>
              <w:lang w:val="en-US" w:eastAsia="zh-CN"/>
            </w:rPr>
            <w:t>二</w:t>
          </w:r>
          <w:r>
            <w:rPr>
              <w:color w:val="auto"/>
            </w:rPr>
            <w:t>、采购人、采购代理机构的名称、地址和联系方法</w:t>
          </w:r>
          <w:r>
            <w:rPr>
              <w:color w:val="auto"/>
            </w:rPr>
            <w:tab/>
          </w:r>
          <w:r>
            <w:rPr>
              <w:color w:val="auto"/>
            </w:rPr>
            <w:fldChar w:fldCharType="begin"/>
          </w:r>
          <w:r>
            <w:rPr>
              <w:color w:val="auto"/>
            </w:rPr>
            <w:instrText xml:space="preserve"> PAGEREF _Toc28386 \h </w:instrText>
          </w:r>
          <w:r>
            <w:rPr>
              <w:color w:val="auto"/>
            </w:rPr>
            <w:fldChar w:fldCharType="separate"/>
          </w:r>
          <w:r>
            <w:rPr>
              <w:color w:val="auto"/>
            </w:rPr>
            <w:t>8</w:t>
          </w:r>
          <w:r>
            <w:rPr>
              <w:color w:val="auto"/>
            </w:rPr>
            <w:fldChar w:fldCharType="end"/>
          </w:r>
          <w:r>
            <w:rPr>
              <w:rFonts w:hint="eastAsia"/>
              <w:color w:val="auto"/>
            </w:rPr>
            <w:fldChar w:fldCharType="end"/>
          </w:r>
        </w:p>
        <w:p w14:paraId="30621977">
          <w:pPr>
            <w:pStyle w:val="25"/>
            <w:tabs>
              <w:tab w:val="right" w:leader="dot" w:pos="9900"/>
            </w:tabs>
            <w:rPr>
              <w:color w:val="auto"/>
            </w:rPr>
          </w:pPr>
          <w:r>
            <w:rPr>
              <w:rFonts w:hint="eastAsia"/>
              <w:color w:val="auto"/>
            </w:rPr>
            <w:fldChar w:fldCharType="begin"/>
          </w:r>
          <w:r>
            <w:rPr>
              <w:rFonts w:hint="eastAsia"/>
              <w:color w:val="auto"/>
            </w:rPr>
            <w:instrText xml:space="preserve"> HYPERLINK \l _Toc26146 </w:instrText>
          </w:r>
          <w:r>
            <w:rPr>
              <w:rFonts w:hint="eastAsia"/>
              <w:color w:val="auto"/>
            </w:rPr>
            <w:fldChar w:fldCharType="separate"/>
          </w:r>
          <w:r>
            <w:rPr>
              <w:rFonts w:hint="eastAsia"/>
              <w:color w:val="auto"/>
            </w:rPr>
            <w:t>第二章 投标</w:t>
          </w:r>
          <w:r>
            <w:rPr>
              <w:rFonts w:hint="eastAsia"/>
              <w:color w:val="auto"/>
              <w:lang w:eastAsia="zh-CN"/>
            </w:rPr>
            <w:t>人</w:t>
          </w:r>
          <w:r>
            <w:rPr>
              <w:rFonts w:hint="eastAsia"/>
              <w:color w:val="auto"/>
            </w:rPr>
            <w:t>须知</w:t>
          </w:r>
          <w:r>
            <w:rPr>
              <w:color w:val="auto"/>
            </w:rPr>
            <w:tab/>
          </w:r>
          <w:r>
            <w:rPr>
              <w:color w:val="auto"/>
            </w:rPr>
            <w:fldChar w:fldCharType="begin"/>
          </w:r>
          <w:r>
            <w:rPr>
              <w:color w:val="auto"/>
            </w:rPr>
            <w:instrText xml:space="preserve"> PAGEREF _Toc26146 \h </w:instrText>
          </w:r>
          <w:r>
            <w:rPr>
              <w:color w:val="auto"/>
            </w:rPr>
            <w:fldChar w:fldCharType="separate"/>
          </w:r>
          <w:r>
            <w:rPr>
              <w:color w:val="auto"/>
            </w:rPr>
            <w:t>10</w:t>
          </w:r>
          <w:r>
            <w:rPr>
              <w:color w:val="auto"/>
            </w:rPr>
            <w:fldChar w:fldCharType="end"/>
          </w:r>
          <w:r>
            <w:rPr>
              <w:rFonts w:hint="eastAsia"/>
              <w:color w:val="auto"/>
            </w:rPr>
            <w:fldChar w:fldCharType="end"/>
          </w:r>
        </w:p>
        <w:p w14:paraId="678ACC97">
          <w:pPr>
            <w:pStyle w:val="27"/>
            <w:tabs>
              <w:tab w:val="right" w:leader="dot" w:pos="9900"/>
            </w:tabs>
            <w:rPr>
              <w:color w:val="auto"/>
            </w:rPr>
          </w:pPr>
          <w:r>
            <w:rPr>
              <w:rFonts w:hint="eastAsia"/>
              <w:color w:val="auto"/>
            </w:rPr>
            <w:fldChar w:fldCharType="begin"/>
          </w:r>
          <w:r>
            <w:rPr>
              <w:rFonts w:hint="eastAsia"/>
              <w:color w:val="auto"/>
            </w:rPr>
            <w:instrText xml:space="preserve"> HYPERLINK \l _Toc28975 </w:instrText>
          </w:r>
          <w:r>
            <w:rPr>
              <w:rFonts w:hint="eastAsia"/>
              <w:color w:val="auto"/>
            </w:rPr>
            <w:fldChar w:fldCharType="separate"/>
          </w:r>
          <w:r>
            <w:rPr>
              <w:rFonts w:hint="eastAsia"/>
              <w:color w:val="auto"/>
            </w:rPr>
            <w:t>第一节 投标人须知前附表</w:t>
          </w:r>
          <w:r>
            <w:rPr>
              <w:color w:val="auto"/>
            </w:rPr>
            <w:tab/>
          </w:r>
          <w:r>
            <w:rPr>
              <w:color w:val="auto"/>
            </w:rPr>
            <w:fldChar w:fldCharType="begin"/>
          </w:r>
          <w:r>
            <w:rPr>
              <w:color w:val="auto"/>
            </w:rPr>
            <w:instrText xml:space="preserve"> PAGEREF _Toc28975 \h </w:instrText>
          </w:r>
          <w:r>
            <w:rPr>
              <w:color w:val="auto"/>
            </w:rPr>
            <w:fldChar w:fldCharType="separate"/>
          </w:r>
          <w:r>
            <w:rPr>
              <w:color w:val="auto"/>
            </w:rPr>
            <w:t>10</w:t>
          </w:r>
          <w:r>
            <w:rPr>
              <w:color w:val="auto"/>
            </w:rPr>
            <w:fldChar w:fldCharType="end"/>
          </w:r>
          <w:r>
            <w:rPr>
              <w:rFonts w:hint="eastAsia"/>
              <w:color w:val="auto"/>
            </w:rPr>
            <w:fldChar w:fldCharType="end"/>
          </w:r>
        </w:p>
        <w:p w14:paraId="4FD85A9F">
          <w:pPr>
            <w:pStyle w:val="27"/>
            <w:tabs>
              <w:tab w:val="right" w:leader="dot" w:pos="9900"/>
            </w:tabs>
            <w:rPr>
              <w:color w:val="auto"/>
            </w:rPr>
          </w:pPr>
          <w:r>
            <w:rPr>
              <w:rFonts w:hint="eastAsia"/>
              <w:color w:val="auto"/>
            </w:rPr>
            <w:fldChar w:fldCharType="begin"/>
          </w:r>
          <w:r>
            <w:rPr>
              <w:rFonts w:hint="eastAsia"/>
              <w:color w:val="auto"/>
            </w:rPr>
            <w:instrText xml:space="preserve"> HYPERLINK \l _Toc29773 </w:instrText>
          </w:r>
          <w:r>
            <w:rPr>
              <w:rFonts w:hint="eastAsia"/>
              <w:color w:val="auto"/>
            </w:rPr>
            <w:fldChar w:fldCharType="separate"/>
          </w:r>
          <w:r>
            <w:rPr>
              <w:rFonts w:hint="eastAsia"/>
              <w:color w:val="auto"/>
            </w:rPr>
            <w:t>第二节 投标人须知正文</w:t>
          </w:r>
          <w:r>
            <w:rPr>
              <w:color w:val="auto"/>
            </w:rPr>
            <w:tab/>
          </w:r>
          <w:r>
            <w:rPr>
              <w:color w:val="auto"/>
            </w:rPr>
            <w:fldChar w:fldCharType="begin"/>
          </w:r>
          <w:r>
            <w:rPr>
              <w:color w:val="auto"/>
            </w:rPr>
            <w:instrText xml:space="preserve"> PAGEREF _Toc29773 \h </w:instrText>
          </w:r>
          <w:r>
            <w:rPr>
              <w:color w:val="auto"/>
            </w:rPr>
            <w:fldChar w:fldCharType="separate"/>
          </w:r>
          <w:r>
            <w:rPr>
              <w:color w:val="auto"/>
            </w:rPr>
            <w:t>15</w:t>
          </w:r>
          <w:r>
            <w:rPr>
              <w:color w:val="auto"/>
            </w:rPr>
            <w:fldChar w:fldCharType="end"/>
          </w:r>
          <w:r>
            <w:rPr>
              <w:rFonts w:hint="eastAsia"/>
              <w:color w:val="auto"/>
            </w:rPr>
            <w:fldChar w:fldCharType="end"/>
          </w:r>
        </w:p>
        <w:p w14:paraId="7B82F554">
          <w:pPr>
            <w:pStyle w:val="25"/>
            <w:tabs>
              <w:tab w:val="right" w:leader="dot" w:pos="9900"/>
            </w:tabs>
            <w:rPr>
              <w:color w:val="auto"/>
            </w:rPr>
          </w:pPr>
          <w:r>
            <w:rPr>
              <w:rFonts w:hint="eastAsia"/>
              <w:color w:val="auto"/>
            </w:rPr>
            <w:fldChar w:fldCharType="begin"/>
          </w:r>
          <w:r>
            <w:rPr>
              <w:rFonts w:hint="eastAsia"/>
              <w:color w:val="auto"/>
            </w:rPr>
            <w:instrText xml:space="preserve"> HYPERLINK \l _Toc23057 </w:instrText>
          </w:r>
          <w:r>
            <w:rPr>
              <w:rFonts w:hint="eastAsia"/>
              <w:color w:val="auto"/>
            </w:rPr>
            <w:fldChar w:fldCharType="separate"/>
          </w:r>
          <w:r>
            <w:rPr>
              <w:rFonts w:hint="eastAsia"/>
              <w:color w:val="auto"/>
            </w:rPr>
            <w:t>第三章 采购需求</w:t>
          </w:r>
          <w:r>
            <w:rPr>
              <w:color w:val="auto"/>
            </w:rPr>
            <w:tab/>
          </w:r>
          <w:r>
            <w:rPr>
              <w:color w:val="auto"/>
            </w:rPr>
            <w:fldChar w:fldCharType="begin"/>
          </w:r>
          <w:r>
            <w:rPr>
              <w:color w:val="auto"/>
            </w:rPr>
            <w:instrText xml:space="preserve"> PAGEREF _Toc23057 \h </w:instrText>
          </w:r>
          <w:r>
            <w:rPr>
              <w:color w:val="auto"/>
            </w:rPr>
            <w:fldChar w:fldCharType="separate"/>
          </w:r>
          <w:r>
            <w:rPr>
              <w:color w:val="auto"/>
            </w:rPr>
            <w:t>29</w:t>
          </w:r>
          <w:r>
            <w:rPr>
              <w:color w:val="auto"/>
            </w:rPr>
            <w:fldChar w:fldCharType="end"/>
          </w:r>
          <w:r>
            <w:rPr>
              <w:rFonts w:hint="eastAsia"/>
              <w:color w:val="auto"/>
            </w:rPr>
            <w:fldChar w:fldCharType="end"/>
          </w:r>
        </w:p>
        <w:p w14:paraId="3B2A07C9">
          <w:pPr>
            <w:pStyle w:val="27"/>
            <w:tabs>
              <w:tab w:val="right" w:leader="dot" w:pos="9900"/>
            </w:tabs>
            <w:rPr>
              <w:color w:val="auto"/>
            </w:rPr>
          </w:pPr>
          <w:r>
            <w:rPr>
              <w:rFonts w:hint="eastAsia"/>
              <w:color w:val="auto"/>
            </w:rPr>
            <w:fldChar w:fldCharType="begin"/>
          </w:r>
          <w:r>
            <w:rPr>
              <w:rFonts w:hint="eastAsia"/>
              <w:color w:val="auto"/>
            </w:rPr>
            <w:instrText xml:space="preserve"> HYPERLINK \l _Toc1949 </w:instrText>
          </w:r>
          <w:r>
            <w:rPr>
              <w:rFonts w:hint="eastAsia"/>
              <w:color w:val="auto"/>
            </w:rPr>
            <w:fldChar w:fldCharType="separate"/>
          </w:r>
          <w:r>
            <w:rPr>
              <w:rFonts w:hint="eastAsia"/>
              <w:color w:val="auto"/>
            </w:rPr>
            <w:t>（一） 项目概况</w:t>
          </w:r>
          <w:r>
            <w:rPr>
              <w:color w:val="auto"/>
            </w:rPr>
            <w:tab/>
          </w:r>
          <w:r>
            <w:rPr>
              <w:color w:val="auto"/>
            </w:rPr>
            <w:fldChar w:fldCharType="begin"/>
          </w:r>
          <w:r>
            <w:rPr>
              <w:color w:val="auto"/>
            </w:rPr>
            <w:instrText xml:space="preserve"> PAGEREF _Toc1949 \h </w:instrText>
          </w:r>
          <w:r>
            <w:rPr>
              <w:color w:val="auto"/>
            </w:rPr>
            <w:fldChar w:fldCharType="separate"/>
          </w:r>
          <w:r>
            <w:rPr>
              <w:color w:val="auto"/>
            </w:rPr>
            <w:t>29</w:t>
          </w:r>
          <w:r>
            <w:rPr>
              <w:color w:val="auto"/>
            </w:rPr>
            <w:fldChar w:fldCharType="end"/>
          </w:r>
          <w:r>
            <w:rPr>
              <w:rFonts w:hint="eastAsia"/>
              <w:color w:val="auto"/>
            </w:rPr>
            <w:fldChar w:fldCharType="end"/>
          </w:r>
        </w:p>
        <w:p w14:paraId="7147C306">
          <w:pPr>
            <w:pStyle w:val="27"/>
            <w:tabs>
              <w:tab w:val="right" w:leader="dot" w:pos="9900"/>
            </w:tabs>
            <w:rPr>
              <w:color w:val="auto"/>
            </w:rPr>
          </w:pPr>
          <w:r>
            <w:rPr>
              <w:rFonts w:hint="eastAsia"/>
              <w:color w:val="auto"/>
            </w:rPr>
            <w:fldChar w:fldCharType="begin"/>
          </w:r>
          <w:r>
            <w:rPr>
              <w:rFonts w:hint="eastAsia"/>
              <w:color w:val="auto"/>
            </w:rPr>
            <w:instrText xml:space="preserve"> HYPERLINK \l _Toc7650 </w:instrText>
          </w:r>
          <w:r>
            <w:rPr>
              <w:rFonts w:hint="eastAsia"/>
              <w:color w:val="auto"/>
            </w:rPr>
            <w:fldChar w:fldCharType="separate"/>
          </w:r>
          <w:r>
            <w:rPr>
              <w:rFonts w:hint="eastAsia"/>
              <w:color w:val="auto"/>
            </w:rPr>
            <w:t>（二） 采购项目预（概）算</w:t>
          </w:r>
          <w:r>
            <w:rPr>
              <w:color w:val="auto"/>
            </w:rPr>
            <w:tab/>
          </w:r>
          <w:r>
            <w:rPr>
              <w:color w:val="auto"/>
            </w:rPr>
            <w:fldChar w:fldCharType="begin"/>
          </w:r>
          <w:r>
            <w:rPr>
              <w:color w:val="auto"/>
            </w:rPr>
            <w:instrText xml:space="preserve"> PAGEREF _Toc7650 \h </w:instrText>
          </w:r>
          <w:r>
            <w:rPr>
              <w:color w:val="auto"/>
            </w:rPr>
            <w:fldChar w:fldCharType="separate"/>
          </w:r>
          <w:r>
            <w:rPr>
              <w:color w:val="auto"/>
            </w:rPr>
            <w:t>29</w:t>
          </w:r>
          <w:r>
            <w:rPr>
              <w:color w:val="auto"/>
            </w:rPr>
            <w:fldChar w:fldCharType="end"/>
          </w:r>
          <w:r>
            <w:rPr>
              <w:rFonts w:hint="eastAsia"/>
              <w:color w:val="auto"/>
            </w:rPr>
            <w:fldChar w:fldCharType="end"/>
          </w:r>
        </w:p>
        <w:p w14:paraId="0B4F2973">
          <w:pPr>
            <w:pStyle w:val="27"/>
            <w:tabs>
              <w:tab w:val="right" w:leader="dot" w:pos="9900"/>
            </w:tabs>
            <w:rPr>
              <w:color w:val="auto"/>
            </w:rPr>
          </w:pPr>
          <w:r>
            <w:rPr>
              <w:rFonts w:hint="eastAsia"/>
              <w:color w:val="auto"/>
            </w:rPr>
            <w:fldChar w:fldCharType="begin"/>
          </w:r>
          <w:r>
            <w:rPr>
              <w:rFonts w:hint="eastAsia"/>
              <w:color w:val="auto"/>
            </w:rPr>
            <w:instrText xml:space="preserve"> HYPERLINK \l _Toc3082 </w:instrText>
          </w:r>
          <w:r>
            <w:rPr>
              <w:rFonts w:hint="eastAsia"/>
              <w:color w:val="auto"/>
            </w:rPr>
            <w:fldChar w:fldCharType="separate"/>
          </w:r>
          <w:r>
            <w:rPr>
              <w:rFonts w:hint="eastAsia"/>
              <w:color w:val="auto"/>
            </w:rPr>
            <w:t>（三） 采购标的汇总表</w:t>
          </w:r>
          <w:r>
            <w:rPr>
              <w:color w:val="auto"/>
            </w:rPr>
            <w:tab/>
          </w:r>
          <w:r>
            <w:rPr>
              <w:color w:val="auto"/>
            </w:rPr>
            <w:fldChar w:fldCharType="begin"/>
          </w:r>
          <w:r>
            <w:rPr>
              <w:color w:val="auto"/>
            </w:rPr>
            <w:instrText xml:space="preserve"> PAGEREF _Toc3082 \h </w:instrText>
          </w:r>
          <w:r>
            <w:rPr>
              <w:color w:val="auto"/>
            </w:rPr>
            <w:fldChar w:fldCharType="separate"/>
          </w:r>
          <w:r>
            <w:rPr>
              <w:color w:val="auto"/>
            </w:rPr>
            <w:t>29</w:t>
          </w:r>
          <w:r>
            <w:rPr>
              <w:color w:val="auto"/>
            </w:rPr>
            <w:fldChar w:fldCharType="end"/>
          </w:r>
          <w:r>
            <w:rPr>
              <w:rFonts w:hint="eastAsia"/>
              <w:color w:val="auto"/>
            </w:rPr>
            <w:fldChar w:fldCharType="end"/>
          </w:r>
        </w:p>
        <w:p w14:paraId="3998D7C4">
          <w:pPr>
            <w:pStyle w:val="27"/>
            <w:tabs>
              <w:tab w:val="right" w:leader="dot" w:pos="9900"/>
            </w:tabs>
            <w:rPr>
              <w:color w:val="auto"/>
            </w:rPr>
          </w:pPr>
          <w:r>
            <w:rPr>
              <w:rFonts w:hint="eastAsia"/>
              <w:color w:val="auto"/>
            </w:rPr>
            <w:fldChar w:fldCharType="begin"/>
          </w:r>
          <w:r>
            <w:rPr>
              <w:rFonts w:hint="eastAsia"/>
              <w:color w:val="auto"/>
            </w:rPr>
            <w:instrText xml:space="preserve"> HYPERLINK \l _Toc17815 </w:instrText>
          </w:r>
          <w:r>
            <w:rPr>
              <w:rFonts w:hint="eastAsia"/>
              <w:color w:val="auto"/>
            </w:rPr>
            <w:fldChar w:fldCharType="separate"/>
          </w:r>
          <w:r>
            <w:rPr>
              <w:rFonts w:hint="eastAsia"/>
              <w:color w:val="auto"/>
            </w:rPr>
            <w:t>（四） 技术商务要求</w:t>
          </w:r>
          <w:r>
            <w:rPr>
              <w:color w:val="auto"/>
            </w:rPr>
            <w:tab/>
          </w:r>
          <w:r>
            <w:rPr>
              <w:color w:val="auto"/>
            </w:rPr>
            <w:fldChar w:fldCharType="begin"/>
          </w:r>
          <w:r>
            <w:rPr>
              <w:color w:val="auto"/>
            </w:rPr>
            <w:instrText xml:space="preserve"> PAGEREF _Toc17815 \h </w:instrText>
          </w:r>
          <w:r>
            <w:rPr>
              <w:color w:val="auto"/>
            </w:rPr>
            <w:fldChar w:fldCharType="separate"/>
          </w:r>
          <w:r>
            <w:rPr>
              <w:color w:val="auto"/>
            </w:rPr>
            <w:t>30</w:t>
          </w:r>
          <w:r>
            <w:rPr>
              <w:color w:val="auto"/>
            </w:rPr>
            <w:fldChar w:fldCharType="end"/>
          </w:r>
          <w:r>
            <w:rPr>
              <w:rFonts w:hint="eastAsia"/>
              <w:color w:val="auto"/>
            </w:rPr>
            <w:fldChar w:fldCharType="end"/>
          </w:r>
        </w:p>
        <w:p w14:paraId="1F327CE1">
          <w:pPr>
            <w:pStyle w:val="25"/>
            <w:tabs>
              <w:tab w:val="right" w:leader="dot" w:pos="9900"/>
            </w:tabs>
            <w:rPr>
              <w:color w:val="auto"/>
            </w:rPr>
          </w:pPr>
          <w:r>
            <w:rPr>
              <w:rFonts w:hint="eastAsia"/>
              <w:color w:val="auto"/>
            </w:rPr>
            <w:fldChar w:fldCharType="begin"/>
          </w:r>
          <w:r>
            <w:rPr>
              <w:rFonts w:hint="eastAsia"/>
              <w:color w:val="auto"/>
            </w:rPr>
            <w:instrText xml:space="preserve"> HYPERLINK \l _Toc2067 </w:instrText>
          </w:r>
          <w:r>
            <w:rPr>
              <w:rFonts w:hint="eastAsia"/>
              <w:color w:val="auto"/>
            </w:rPr>
            <w:fldChar w:fldCharType="separate"/>
          </w:r>
          <w:r>
            <w:rPr>
              <w:rFonts w:hint="eastAsia"/>
              <w:color w:val="auto"/>
            </w:rPr>
            <w:t>第四章 评标方法及标准</w:t>
          </w:r>
          <w:r>
            <w:rPr>
              <w:color w:val="auto"/>
            </w:rPr>
            <w:tab/>
          </w:r>
          <w:r>
            <w:rPr>
              <w:color w:val="auto"/>
            </w:rPr>
            <w:fldChar w:fldCharType="begin"/>
          </w:r>
          <w:r>
            <w:rPr>
              <w:color w:val="auto"/>
            </w:rPr>
            <w:instrText xml:space="preserve"> PAGEREF _Toc2067 \h </w:instrText>
          </w:r>
          <w:r>
            <w:rPr>
              <w:color w:val="auto"/>
            </w:rPr>
            <w:fldChar w:fldCharType="separate"/>
          </w:r>
          <w:r>
            <w:rPr>
              <w:color w:val="auto"/>
            </w:rPr>
            <w:t>29</w:t>
          </w:r>
          <w:r>
            <w:rPr>
              <w:color w:val="auto"/>
            </w:rPr>
            <w:fldChar w:fldCharType="end"/>
          </w:r>
          <w:r>
            <w:rPr>
              <w:rFonts w:hint="eastAsia"/>
              <w:color w:val="auto"/>
            </w:rPr>
            <w:fldChar w:fldCharType="end"/>
          </w:r>
        </w:p>
        <w:p w14:paraId="7E4BD1F4">
          <w:pPr>
            <w:pStyle w:val="27"/>
            <w:tabs>
              <w:tab w:val="right" w:leader="dot" w:pos="9900"/>
            </w:tabs>
            <w:rPr>
              <w:color w:val="auto"/>
            </w:rPr>
          </w:pPr>
          <w:r>
            <w:rPr>
              <w:rFonts w:hint="eastAsia"/>
              <w:color w:val="auto"/>
            </w:rPr>
            <w:fldChar w:fldCharType="begin"/>
          </w:r>
          <w:r>
            <w:rPr>
              <w:rFonts w:hint="eastAsia"/>
              <w:color w:val="auto"/>
            </w:rPr>
            <w:instrText xml:space="preserve"> HYPERLINK \l _Toc16812 </w:instrText>
          </w:r>
          <w:r>
            <w:rPr>
              <w:rFonts w:hint="eastAsia"/>
              <w:color w:val="auto"/>
            </w:rPr>
            <w:fldChar w:fldCharType="separate"/>
          </w:r>
          <w:r>
            <w:rPr>
              <w:rFonts w:hint="eastAsia"/>
              <w:color w:val="auto"/>
            </w:rPr>
            <w:t>第一节 资格审查</w:t>
          </w:r>
          <w:r>
            <w:rPr>
              <w:color w:val="auto"/>
            </w:rPr>
            <w:tab/>
          </w:r>
          <w:r>
            <w:rPr>
              <w:color w:val="auto"/>
            </w:rPr>
            <w:fldChar w:fldCharType="begin"/>
          </w:r>
          <w:r>
            <w:rPr>
              <w:color w:val="auto"/>
            </w:rPr>
            <w:instrText xml:space="preserve"> PAGEREF _Toc16812 \h </w:instrText>
          </w:r>
          <w:r>
            <w:rPr>
              <w:color w:val="auto"/>
            </w:rPr>
            <w:fldChar w:fldCharType="separate"/>
          </w:r>
          <w:r>
            <w:rPr>
              <w:color w:val="auto"/>
            </w:rPr>
            <w:t>34</w:t>
          </w:r>
          <w:r>
            <w:rPr>
              <w:color w:val="auto"/>
            </w:rPr>
            <w:fldChar w:fldCharType="end"/>
          </w:r>
          <w:r>
            <w:rPr>
              <w:rFonts w:hint="eastAsia"/>
              <w:color w:val="auto"/>
            </w:rPr>
            <w:fldChar w:fldCharType="end"/>
          </w:r>
        </w:p>
        <w:p w14:paraId="35F918D1">
          <w:pPr>
            <w:pStyle w:val="27"/>
            <w:tabs>
              <w:tab w:val="right" w:leader="dot" w:pos="9900"/>
            </w:tabs>
            <w:rPr>
              <w:color w:val="auto"/>
            </w:rPr>
          </w:pPr>
          <w:r>
            <w:rPr>
              <w:rFonts w:hint="eastAsia"/>
              <w:color w:val="auto"/>
            </w:rPr>
            <w:fldChar w:fldCharType="begin"/>
          </w:r>
          <w:r>
            <w:rPr>
              <w:rFonts w:hint="eastAsia"/>
              <w:color w:val="auto"/>
            </w:rPr>
            <w:instrText xml:space="preserve"> HYPERLINK \l _Toc26217 </w:instrText>
          </w:r>
          <w:r>
            <w:rPr>
              <w:rFonts w:hint="eastAsia"/>
              <w:color w:val="auto"/>
            </w:rPr>
            <w:fldChar w:fldCharType="separate"/>
          </w:r>
          <w:r>
            <w:rPr>
              <w:rFonts w:hint="eastAsia"/>
              <w:color w:val="auto"/>
            </w:rPr>
            <w:t>第二节 符合性审查</w:t>
          </w:r>
          <w:r>
            <w:rPr>
              <w:color w:val="auto"/>
            </w:rPr>
            <w:tab/>
          </w:r>
          <w:r>
            <w:rPr>
              <w:color w:val="auto"/>
            </w:rPr>
            <w:fldChar w:fldCharType="begin"/>
          </w:r>
          <w:r>
            <w:rPr>
              <w:color w:val="auto"/>
            </w:rPr>
            <w:instrText xml:space="preserve"> PAGEREF _Toc26217 \h </w:instrText>
          </w:r>
          <w:r>
            <w:rPr>
              <w:color w:val="auto"/>
            </w:rPr>
            <w:fldChar w:fldCharType="separate"/>
          </w:r>
          <w:r>
            <w:rPr>
              <w:color w:val="auto"/>
            </w:rPr>
            <w:t>36</w:t>
          </w:r>
          <w:r>
            <w:rPr>
              <w:color w:val="auto"/>
            </w:rPr>
            <w:fldChar w:fldCharType="end"/>
          </w:r>
          <w:r>
            <w:rPr>
              <w:rFonts w:hint="eastAsia"/>
              <w:color w:val="auto"/>
            </w:rPr>
            <w:fldChar w:fldCharType="end"/>
          </w:r>
        </w:p>
        <w:p w14:paraId="3BDC0AA4">
          <w:pPr>
            <w:pStyle w:val="27"/>
            <w:tabs>
              <w:tab w:val="right" w:leader="dot" w:pos="9900"/>
            </w:tabs>
            <w:rPr>
              <w:color w:val="auto"/>
            </w:rPr>
          </w:pPr>
          <w:r>
            <w:rPr>
              <w:rFonts w:hint="eastAsia"/>
              <w:color w:val="auto"/>
            </w:rPr>
            <w:fldChar w:fldCharType="begin"/>
          </w:r>
          <w:r>
            <w:rPr>
              <w:rFonts w:hint="eastAsia"/>
              <w:color w:val="auto"/>
            </w:rPr>
            <w:instrText xml:space="preserve"> HYPERLINK \l _Toc17802 </w:instrText>
          </w:r>
          <w:r>
            <w:rPr>
              <w:rFonts w:hint="eastAsia"/>
              <w:color w:val="auto"/>
            </w:rPr>
            <w:fldChar w:fldCharType="separate"/>
          </w:r>
          <w:r>
            <w:rPr>
              <w:rFonts w:hint="eastAsia"/>
              <w:color w:val="auto"/>
            </w:rPr>
            <w:t xml:space="preserve">第三节 </w:t>
          </w:r>
          <w:r>
            <w:rPr>
              <w:rFonts w:hint="eastAsia"/>
              <w:color w:val="auto"/>
              <w:lang w:val="en-US" w:eastAsia="zh-CN"/>
            </w:rPr>
            <w:t>报价</w:t>
          </w:r>
          <w:r>
            <w:rPr>
              <w:color w:val="auto"/>
            </w:rPr>
            <w:tab/>
          </w:r>
          <w:r>
            <w:rPr>
              <w:color w:val="auto"/>
            </w:rPr>
            <w:fldChar w:fldCharType="begin"/>
          </w:r>
          <w:r>
            <w:rPr>
              <w:color w:val="auto"/>
            </w:rPr>
            <w:instrText xml:space="preserve"> PAGEREF _Toc17802 \h </w:instrText>
          </w:r>
          <w:r>
            <w:rPr>
              <w:color w:val="auto"/>
            </w:rPr>
            <w:fldChar w:fldCharType="separate"/>
          </w:r>
          <w:r>
            <w:rPr>
              <w:color w:val="auto"/>
            </w:rPr>
            <w:t>37</w:t>
          </w:r>
          <w:r>
            <w:rPr>
              <w:color w:val="auto"/>
            </w:rPr>
            <w:fldChar w:fldCharType="end"/>
          </w:r>
          <w:r>
            <w:rPr>
              <w:rFonts w:hint="eastAsia"/>
              <w:color w:val="auto"/>
            </w:rPr>
            <w:fldChar w:fldCharType="end"/>
          </w:r>
        </w:p>
        <w:p w14:paraId="70F7EBD6">
          <w:pPr>
            <w:pStyle w:val="25"/>
            <w:tabs>
              <w:tab w:val="right" w:leader="dot" w:pos="9900"/>
            </w:tabs>
            <w:rPr>
              <w:color w:val="auto"/>
            </w:rPr>
          </w:pPr>
          <w:r>
            <w:rPr>
              <w:rFonts w:hint="eastAsia"/>
              <w:color w:val="auto"/>
            </w:rPr>
            <w:fldChar w:fldCharType="begin"/>
          </w:r>
          <w:r>
            <w:rPr>
              <w:rFonts w:hint="eastAsia"/>
              <w:color w:val="auto"/>
            </w:rPr>
            <w:instrText xml:space="preserve"> HYPERLINK \l _Toc14923 </w:instrText>
          </w:r>
          <w:r>
            <w:rPr>
              <w:rFonts w:hint="eastAsia"/>
              <w:color w:val="auto"/>
            </w:rPr>
            <w:fldChar w:fldCharType="separate"/>
          </w:r>
          <w:r>
            <w:rPr>
              <w:rFonts w:hint="eastAsia"/>
              <w:color w:val="auto"/>
            </w:rPr>
            <w:t>第五章 政府采购合同</w:t>
          </w:r>
          <w:r>
            <w:rPr>
              <w:color w:val="auto"/>
            </w:rPr>
            <w:tab/>
          </w:r>
          <w:r>
            <w:rPr>
              <w:color w:val="auto"/>
            </w:rPr>
            <w:fldChar w:fldCharType="begin"/>
          </w:r>
          <w:r>
            <w:rPr>
              <w:color w:val="auto"/>
            </w:rPr>
            <w:instrText xml:space="preserve"> PAGEREF _Toc14923 \h </w:instrText>
          </w:r>
          <w:r>
            <w:rPr>
              <w:color w:val="auto"/>
            </w:rPr>
            <w:fldChar w:fldCharType="separate"/>
          </w:r>
          <w:r>
            <w:rPr>
              <w:color w:val="auto"/>
            </w:rPr>
            <w:t>39</w:t>
          </w:r>
          <w:r>
            <w:rPr>
              <w:color w:val="auto"/>
            </w:rPr>
            <w:fldChar w:fldCharType="end"/>
          </w:r>
          <w:r>
            <w:rPr>
              <w:rFonts w:hint="eastAsia"/>
              <w:color w:val="auto"/>
            </w:rPr>
            <w:fldChar w:fldCharType="end"/>
          </w:r>
        </w:p>
        <w:p w14:paraId="7DB08BDF">
          <w:pPr>
            <w:pStyle w:val="27"/>
            <w:tabs>
              <w:tab w:val="right" w:leader="dot" w:pos="9900"/>
            </w:tabs>
            <w:rPr>
              <w:color w:val="auto"/>
            </w:rPr>
          </w:pPr>
          <w:r>
            <w:rPr>
              <w:rFonts w:hint="eastAsia"/>
              <w:color w:val="auto"/>
            </w:rPr>
            <w:fldChar w:fldCharType="begin"/>
          </w:r>
          <w:r>
            <w:rPr>
              <w:rFonts w:hint="eastAsia"/>
              <w:color w:val="auto"/>
            </w:rPr>
            <w:instrText xml:space="preserve"> HYPERLINK \l _Toc30473 </w:instrText>
          </w:r>
          <w:r>
            <w:rPr>
              <w:rFonts w:hint="eastAsia"/>
              <w:color w:val="auto"/>
            </w:rPr>
            <w:fldChar w:fldCharType="separate"/>
          </w:r>
          <w:r>
            <w:rPr>
              <w:rFonts w:hint="eastAsia"/>
              <w:color w:val="auto"/>
              <w:highlight w:val="none"/>
            </w:rPr>
            <w:t>第一部分</w:t>
          </w:r>
          <w:r>
            <w:rPr>
              <w:color w:val="auto"/>
              <w:highlight w:val="none"/>
            </w:rPr>
            <w:t xml:space="preserve"> </w:t>
          </w:r>
          <w:r>
            <w:rPr>
              <w:rFonts w:hint="eastAsia"/>
              <w:color w:val="auto"/>
              <w:highlight w:val="none"/>
            </w:rPr>
            <w:t>合同书</w:t>
          </w:r>
          <w:r>
            <w:rPr>
              <w:color w:val="auto"/>
            </w:rPr>
            <w:tab/>
          </w:r>
          <w:r>
            <w:rPr>
              <w:color w:val="auto"/>
            </w:rPr>
            <w:fldChar w:fldCharType="begin"/>
          </w:r>
          <w:r>
            <w:rPr>
              <w:color w:val="auto"/>
            </w:rPr>
            <w:instrText xml:space="preserve"> PAGEREF _Toc30473 \h </w:instrText>
          </w:r>
          <w:r>
            <w:rPr>
              <w:color w:val="auto"/>
            </w:rPr>
            <w:fldChar w:fldCharType="separate"/>
          </w:r>
          <w:r>
            <w:rPr>
              <w:color w:val="auto"/>
            </w:rPr>
            <w:t>40</w:t>
          </w:r>
          <w:r>
            <w:rPr>
              <w:color w:val="auto"/>
            </w:rPr>
            <w:fldChar w:fldCharType="end"/>
          </w:r>
          <w:r>
            <w:rPr>
              <w:rFonts w:hint="eastAsia"/>
              <w:color w:val="auto"/>
            </w:rPr>
            <w:fldChar w:fldCharType="end"/>
          </w:r>
        </w:p>
        <w:p w14:paraId="609ECCFB">
          <w:pPr>
            <w:pStyle w:val="27"/>
            <w:tabs>
              <w:tab w:val="right" w:leader="dot" w:pos="9900"/>
            </w:tabs>
            <w:rPr>
              <w:color w:val="auto"/>
            </w:rPr>
          </w:pPr>
          <w:r>
            <w:rPr>
              <w:rFonts w:hint="eastAsia"/>
              <w:color w:val="auto"/>
            </w:rPr>
            <w:fldChar w:fldCharType="begin"/>
          </w:r>
          <w:r>
            <w:rPr>
              <w:rFonts w:hint="eastAsia"/>
              <w:color w:val="auto"/>
            </w:rPr>
            <w:instrText xml:space="preserve"> HYPERLINK \l _Toc15234 </w:instrText>
          </w:r>
          <w:r>
            <w:rPr>
              <w:rFonts w:hint="eastAsia"/>
              <w:color w:val="auto"/>
            </w:rPr>
            <w:fldChar w:fldCharType="separate"/>
          </w:r>
          <w:r>
            <w:rPr>
              <w:rFonts w:hint="eastAsia"/>
              <w:color w:val="auto"/>
              <w:highlight w:val="none"/>
            </w:rPr>
            <w:t>第二部分</w:t>
          </w:r>
          <w:r>
            <w:rPr>
              <w:color w:val="auto"/>
              <w:highlight w:val="none"/>
            </w:rPr>
            <w:t xml:space="preserve"> </w:t>
          </w:r>
          <w:r>
            <w:rPr>
              <w:rFonts w:hint="eastAsia"/>
              <w:color w:val="auto"/>
              <w:highlight w:val="none"/>
            </w:rPr>
            <w:t>政府采购合同通用条款（</w:t>
          </w:r>
          <w:r>
            <w:rPr>
              <w:rFonts w:hint="eastAsia"/>
              <w:color w:val="auto"/>
              <w:highlight w:val="none"/>
              <w:lang w:val="en-US" w:eastAsia="zh-CN"/>
            </w:rPr>
            <w:t>货物</w:t>
          </w:r>
          <w:r>
            <w:rPr>
              <w:rFonts w:hint="eastAsia"/>
              <w:color w:val="auto"/>
              <w:highlight w:val="none"/>
            </w:rPr>
            <w:t>类）</w:t>
          </w:r>
          <w:r>
            <w:rPr>
              <w:color w:val="auto"/>
            </w:rPr>
            <w:tab/>
          </w:r>
          <w:r>
            <w:rPr>
              <w:color w:val="auto"/>
            </w:rPr>
            <w:fldChar w:fldCharType="begin"/>
          </w:r>
          <w:r>
            <w:rPr>
              <w:color w:val="auto"/>
            </w:rPr>
            <w:instrText xml:space="preserve"> PAGEREF _Toc15234 \h </w:instrText>
          </w:r>
          <w:r>
            <w:rPr>
              <w:color w:val="auto"/>
            </w:rPr>
            <w:fldChar w:fldCharType="separate"/>
          </w:r>
          <w:r>
            <w:rPr>
              <w:color w:val="auto"/>
            </w:rPr>
            <w:t>44</w:t>
          </w:r>
          <w:r>
            <w:rPr>
              <w:color w:val="auto"/>
            </w:rPr>
            <w:fldChar w:fldCharType="end"/>
          </w:r>
          <w:r>
            <w:rPr>
              <w:rFonts w:hint="eastAsia"/>
              <w:color w:val="auto"/>
            </w:rPr>
            <w:fldChar w:fldCharType="end"/>
          </w:r>
        </w:p>
        <w:p w14:paraId="1DFF383A">
          <w:pPr>
            <w:pStyle w:val="27"/>
            <w:tabs>
              <w:tab w:val="right" w:leader="dot" w:pos="9900"/>
            </w:tabs>
            <w:rPr>
              <w:color w:val="auto"/>
            </w:rPr>
          </w:pPr>
          <w:r>
            <w:rPr>
              <w:rFonts w:hint="eastAsia"/>
              <w:color w:val="auto"/>
            </w:rPr>
            <w:fldChar w:fldCharType="begin"/>
          </w:r>
          <w:r>
            <w:rPr>
              <w:rFonts w:hint="eastAsia"/>
              <w:color w:val="auto"/>
            </w:rPr>
            <w:instrText xml:space="preserve"> HYPERLINK \l _Toc23278 </w:instrText>
          </w:r>
          <w:r>
            <w:rPr>
              <w:rFonts w:hint="eastAsia"/>
              <w:color w:val="auto"/>
            </w:rPr>
            <w:fldChar w:fldCharType="separate"/>
          </w:r>
          <w:r>
            <w:rPr>
              <w:rFonts w:hint="eastAsia"/>
              <w:color w:val="auto"/>
              <w:highlight w:val="none"/>
            </w:rPr>
            <w:t>第三部分 政府采购合同专用条款</w:t>
          </w:r>
          <w:r>
            <w:rPr>
              <w:color w:val="auto"/>
            </w:rPr>
            <w:tab/>
          </w:r>
          <w:r>
            <w:rPr>
              <w:color w:val="auto"/>
            </w:rPr>
            <w:fldChar w:fldCharType="begin"/>
          </w:r>
          <w:r>
            <w:rPr>
              <w:color w:val="auto"/>
            </w:rPr>
            <w:instrText xml:space="preserve"> PAGEREF _Toc23278 \h </w:instrText>
          </w:r>
          <w:r>
            <w:rPr>
              <w:color w:val="auto"/>
            </w:rPr>
            <w:fldChar w:fldCharType="separate"/>
          </w:r>
          <w:r>
            <w:rPr>
              <w:color w:val="auto"/>
            </w:rPr>
            <w:t>48</w:t>
          </w:r>
          <w:r>
            <w:rPr>
              <w:color w:val="auto"/>
            </w:rPr>
            <w:fldChar w:fldCharType="end"/>
          </w:r>
          <w:r>
            <w:rPr>
              <w:rFonts w:hint="eastAsia"/>
              <w:color w:val="auto"/>
            </w:rPr>
            <w:fldChar w:fldCharType="end"/>
          </w:r>
        </w:p>
        <w:p w14:paraId="612C54D0">
          <w:pPr>
            <w:pStyle w:val="25"/>
            <w:tabs>
              <w:tab w:val="right" w:leader="dot" w:pos="9900"/>
            </w:tabs>
            <w:rPr>
              <w:color w:val="auto"/>
            </w:rPr>
          </w:pPr>
          <w:r>
            <w:rPr>
              <w:rFonts w:hint="eastAsia"/>
              <w:color w:val="auto"/>
            </w:rPr>
            <w:fldChar w:fldCharType="begin"/>
          </w:r>
          <w:r>
            <w:rPr>
              <w:rFonts w:hint="eastAsia"/>
              <w:color w:val="auto"/>
            </w:rPr>
            <w:instrText xml:space="preserve"> HYPERLINK \l _Toc24400 </w:instrText>
          </w:r>
          <w:r>
            <w:rPr>
              <w:rFonts w:hint="eastAsia"/>
              <w:color w:val="auto"/>
            </w:rPr>
            <w:fldChar w:fldCharType="separate"/>
          </w:r>
          <w:r>
            <w:rPr>
              <w:rFonts w:hint="eastAsia"/>
              <w:color w:val="auto"/>
            </w:rPr>
            <w:t>第六章 投标文件的组成</w:t>
          </w:r>
          <w:r>
            <w:rPr>
              <w:color w:val="auto"/>
            </w:rPr>
            <w:tab/>
          </w:r>
          <w:r>
            <w:rPr>
              <w:color w:val="auto"/>
            </w:rPr>
            <w:fldChar w:fldCharType="begin"/>
          </w:r>
          <w:r>
            <w:rPr>
              <w:color w:val="auto"/>
            </w:rPr>
            <w:instrText xml:space="preserve"> PAGEREF _Toc24400 \h </w:instrText>
          </w:r>
          <w:r>
            <w:rPr>
              <w:color w:val="auto"/>
            </w:rPr>
            <w:fldChar w:fldCharType="separate"/>
          </w:r>
          <w:r>
            <w:rPr>
              <w:color w:val="auto"/>
            </w:rPr>
            <w:t>49</w:t>
          </w:r>
          <w:r>
            <w:rPr>
              <w:color w:val="auto"/>
            </w:rPr>
            <w:fldChar w:fldCharType="end"/>
          </w:r>
          <w:r>
            <w:rPr>
              <w:rFonts w:hint="eastAsia"/>
              <w:color w:val="auto"/>
            </w:rPr>
            <w:fldChar w:fldCharType="end"/>
          </w:r>
        </w:p>
        <w:p w14:paraId="510F154D">
          <w:pPr>
            <w:pStyle w:val="25"/>
            <w:tabs>
              <w:tab w:val="right" w:leader="dot" w:pos="9900"/>
            </w:tabs>
            <w:rPr>
              <w:color w:val="auto"/>
            </w:rPr>
          </w:pPr>
          <w:r>
            <w:rPr>
              <w:rFonts w:hint="eastAsia"/>
              <w:color w:val="auto"/>
            </w:rPr>
            <w:fldChar w:fldCharType="begin"/>
          </w:r>
          <w:r>
            <w:rPr>
              <w:rFonts w:hint="eastAsia"/>
              <w:color w:val="auto"/>
            </w:rPr>
            <w:instrText xml:space="preserve"> HYPERLINK \l _Toc28329 </w:instrText>
          </w:r>
          <w:r>
            <w:rPr>
              <w:rFonts w:hint="eastAsia"/>
              <w:color w:val="auto"/>
            </w:rPr>
            <w:fldChar w:fldCharType="separate"/>
          </w:r>
          <w:r>
            <w:rPr>
              <w:rFonts w:hint="eastAsia"/>
              <w:color w:val="auto"/>
            </w:rPr>
            <w:t>第七章 政府采购供应商质疑函范本</w:t>
          </w:r>
          <w:r>
            <w:rPr>
              <w:color w:val="auto"/>
            </w:rPr>
            <w:tab/>
          </w:r>
          <w:r>
            <w:rPr>
              <w:color w:val="auto"/>
            </w:rPr>
            <w:fldChar w:fldCharType="begin"/>
          </w:r>
          <w:r>
            <w:rPr>
              <w:color w:val="auto"/>
            </w:rPr>
            <w:instrText xml:space="preserve"> PAGEREF _Toc28329 \h </w:instrText>
          </w:r>
          <w:r>
            <w:rPr>
              <w:color w:val="auto"/>
            </w:rPr>
            <w:fldChar w:fldCharType="separate"/>
          </w:r>
          <w:r>
            <w:rPr>
              <w:color w:val="auto"/>
            </w:rPr>
            <w:t>79</w:t>
          </w:r>
          <w:r>
            <w:rPr>
              <w:color w:val="auto"/>
            </w:rPr>
            <w:fldChar w:fldCharType="end"/>
          </w:r>
          <w:r>
            <w:rPr>
              <w:rFonts w:hint="eastAsia"/>
              <w:color w:val="auto"/>
            </w:rPr>
            <w:fldChar w:fldCharType="end"/>
          </w:r>
        </w:p>
        <w:p w14:paraId="40FB50FD">
          <w:pPr>
            <w:pStyle w:val="27"/>
            <w:tabs>
              <w:tab w:val="right" w:leader="dot" w:pos="9900"/>
            </w:tabs>
            <w:rPr>
              <w:color w:val="auto"/>
            </w:rPr>
          </w:pPr>
          <w:r>
            <w:rPr>
              <w:rFonts w:hint="eastAsia"/>
              <w:color w:val="auto"/>
            </w:rPr>
            <w:fldChar w:fldCharType="begin"/>
          </w:r>
          <w:r>
            <w:rPr>
              <w:rFonts w:hint="eastAsia"/>
              <w:color w:val="auto"/>
            </w:rPr>
            <w:instrText xml:space="preserve"> HYPERLINK \l _Toc24023 </w:instrText>
          </w:r>
          <w:r>
            <w:rPr>
              <w:rFonts w:hint="eastAsia"/>
              <w:color w:val="auto"/>
            </w:rPr>
            <w:fldChar w:fldCharType="separate"/>
          </w:r>
          <w:r>
            <w:rPr>
              <w:rFonts w:hint="eastAsia" w:ascii="黑体" w:hAnsi="黑体" w:eastAsia="黑体" w:cs="黑体"/>
              <w:color w:val="auto"/>
            </w:rPr>
            <w:t>一、质疑供应商基本信息</w:t>
          </w:r>
          <w:r>
            <w:rPr>
              <w:color w:val="auto"/>
            </w:rPr>
            <w:tab/>
          </w:r>
          <w:r>
            <w:rPr>
              <w:color w:val="auto"/>
            </w:rPr>
            <w:fldChar w:fldCharType="begin"/>
          </w:r>
          <w:r>
            <w:rPr>
              <w:color w:val="auto"/>
            </w:rPr>
            <w:instrText xml:space="preserve"> PAGEREF _Toc24023 \h </w:instrText>
          </w:r>
          <w:r>
            <w:rPr>
              <w:color w:val="auto"/>
            </w:rPr>
            <w:fldChar w:fldCharType="separate"/>
          </w:r>
          <w:r>
            <w:rPr>
              <w:color w:val="auto"/>
            </w:rPr>
            <w:t>79</w:t>
          </w:r>
          <w:r>
            <w:rPr>
              <w:color w:val="auto"/>
            </w:rPr>
            <w:fldChar w:fldCharType="end"/>
          </w:r>
          <w:r>
            <w:rPr>
              <w:rFonts w:hint="eastAsia"/>
              <w:color w:val="auto"/>
            </w:rPr>
            <w:fldChar w:fldCharType="end"/>
          </w:r>
        </w:p>
        <w:p w14:paraId="5CF08133">
          <w:pPr>
            <w:pStyle w:val="27"/>
            <w:tabs>
              <w:tab w:val="right" w:leader="dot" w:pos="9900"/>
            </w:tabs>
            <w:rPr>
              <w:color w:val="auto"/>
            </w:rPr>
          </w:pPr>
          <w:r>
            <w:rPr>
              <w:rFonts w:hint="eastAsia"/>
              <w:color w:val="auto"/>
            </w:rPr>
            <w:fldChar w:fldCharType="begin"/>
          </w:r>
          <w:r>
            <w:rPr>
              <w:rFonts w:hint="eastAsia"/>
              <w:color w:val="auto"/>
            </w:rPr>
            <w:instrText xml:space="preserve"> HYPERLINK \l _Toc8337 </w:instrText>
          </w:r>
          <w:r>
            <w:rPr>
              <w:rFonts w:hint="eastAsia"/>
              <w:color w:val="auto"/>
            </w:rPr>
            <w:fldChar w:fldCharType="separate"/>
          </w:r>
          <w:r>
            <w:rPr>
              <w:rFonts w:hint="eastAsia" w:ascii="黑体" w:hAnsi="黑体" w:eastAsia="黑体" w:cs="黑体"/>
              <w:color w:val="auto"/>
            </w:rPr>
            <w:t>二、质疑项目基本情况</w:t>
          </w:r>
          <w:r>
            <w:rPr>
              <w:color w:val="auto"/>
            </w:rPr>
            <w:tab/>
          </w:r>
          <w:r>
            <w:rPr>
              <w:color w:val="auto"/>
            </w:rPr>
            <w:fldChar w:fldCharType="begin"/>
          </w:r>
          <w:r>
            <w:rPr>
              <w:color w:val="auto"/>
            </w:rPr>
            <w:instrText xml:space="preserve"> PAGEREF _Toc8337 \h </w:instrText>
          </w:r>
          <w:r>
            <w:rPr>
              <w:color w:val="auto"/>
            </w:rPr>
            <w:fldChar w:fldCharType="separate"/>
          </w:r>
          <w:r>
            <w:rPr>
              <w:color w:val="auto"/>
            </w:rPr>
            <w:t>79</w:t>
          </w:r>
          <w:r>
            <w:rPr>
              <w:color w:val="auto"/>
            </w:rPr>
            <w:fldChar w:fldCharType="end"/>
          </w:r>
          <w:r>
            <w:rPr>
              <w:rFonts w:hint="eastAsia"/>
              <w:color w:val="auto"/>
            </w:rPr>
            <w:fldChar w:fldCharType="end"/>
          </w:r>
        </w:p>
        <w:p w14:paraId="007D228B">
          <w:pPr>
            <w:pStyle w:val="27"/>
            <w:tabs>
              <w:tab w:val="right" w:leader="dot" w:pos="9900"/>
            </w:tabs>
            <w:rPr>
              <w:color w:val="auto"/>
            </w:rPr>
          </w:pPr>
          <w:r>
            <w:rPr>
              <w:rFonts w:hint="eastAsia"/>
              <w:color w:val="auto"/>
            </w:rPr>
            <w:fldChar w:fldCharType="begin"/>
          </w:r>
          <w:r>
            <w:rPr>
              <w:rFonts w:hint="eastAsia"/>
              <w:color w:val="auto"/>
            </w:rPr>
            <w:instrText xml:space="preserve"> HYPERLINK \l _Toc12228 </w:instrText>
          </w:r>
          <w:r>
            <w:rPr>
              <w:rFonts w:hint="eastAsia"/>
              <w:color w:val="auto"/>
            </w:rPr>
            <w:fldChar w:fldCharType="separate"/>
          </w:r>
          <w:r>
            <w:rPr>
              <w:rFonts w:hint="eastAsia" w:ascii="黑体" w:hAnsi="黑体" w:eastAsia="黑体" w:cs="黑体"/>
              <w:color w:val="auto"/>
            </w:rPr>
            <w:t>三、质疑事项具体内容</w:t>
          </w:r>
          <w:r>
            <w:rPr>
              <w:color w:val="auto"/>
            </w:rPr>
            <w:tab/>
          </w:r>
          <w:r>
            <w:rPr>
              <w:color w:val="auto"/>
            </w:rPr>
            <w:fldChar w:fldCharType="begin"/>
          </w:r>
          <w:r>
            <w:rPr>
              <w:color w:val="auto"/>
            </w:rPr>
            <w:instrText xml:space="preserve"> PAGEREF _Toc12228 \h </w:instrText>
          </w:r>
          <w:r>
            <w:rPr>
              <w:color w:val="auto"/>
            </w:rPr>
            <w:fldChar w:fldCharType="separate"/>
          </w:r>
          <w:r>
            <w:rPr>
              <w:color w:val="auto"/>
            </w:rPr>
            <w:t>79</w:t>
          </w:r>
          <w:r>
            <w:rPr>
              <w:color w:val="auto"/>
            </w:rPr>
            <w:fldChar w:fldCharType="end"/>
          </w:r>
          <w:r>
            <w:rPr>
              <w:rFonts w:hint="eastAsia"/>
              <w:color w:val="auto"/>
            </w:rPr>
            <w:fldChar w:fldCharType="end"/>
          </w:r>
        </w:p>
        <w:p w14:paraId="26E48710">
          <w:pPr>
            <w:pStyle w:val="27"/>
            <w:tabs>
              <w:tab w:val="right" w:leader="dot" w:pos="9900"/>
            </w:tabs>
            <w:rPr>
              <w:color w:val="auto"/>
            </w:rPr>
          </w:pPr>
          <w:r>
            <w:rPr>
              <w:rFonts w:hint="eastAsia"/>
              <w:color w:val="auto"/>
            </w:rPr>
            <w:fldChar w:fldCharType="begin"/>
          </w:r>
          <w:r>
            <w:rPr>
              <w:rFonts w:hint="eastAsia"/>
              <w:color w:val="auto"/>
            </w:rPr>
            <w:instrText xml:space="preserve"> HYPERLINK \l _Toc9075 </w:instrText>
          </w:r>
          <w:r>
            <w:rPr>
              <w:rFonts w:hint="eastAsia"/>
              <w:color w:val="auto"/>
            </w:rPr>
            <w:fldChar w:fldCharType="separate"/>
          </w:r>
          <w:r>
            <w:rPr>
              <w:rFonts w:hint="eastAsia" w:ascii="黑体" w:hAnsi="黑体" w:eastAsia="黑体" w:cs="黑体"/>
              <w:color w:val="auto"/>
            </w:rPr>
            <w:t>四、与质疑事项相关的质疑请求</w:t>
          </w:r>
          <w:r>
            <w:rPr>
              <w:color w:val="auto"/>
            </w:rPr>
            <w:tab/>
          </w:r>
          <w:r>
            <w:rPr>
              <w:color w:val="auto"/>
            </w:rPr>
            <w:fldChar w:fldCharType="begin"/>
          </w:r>
          <w:r>
            <w:rPr>
              <w:color w:val="auto"/>
            </w:rPr>
            <w:instrText xml:space="preserve"> PAGEREF _Toc9075 \h </w:instrText>
          </w:r>
          <w:r>
            <w:rPr>
              <w:color w:val="auto"/>
            </w:rPr>
            <w:fldChar w:fldCharType="separate"/>
          </w:r>
          <w:r>
            <w:rPr>
              <w:color w:val="auto"/>
            </w:rPr>
            <w:t>80</w:t>
          </w:r>
          <w:r>
            <w:rPr>
              <w:color w:val="auto"/>
            </w:rPr>
            <w:fldChar w:fldCharType="end"/>
          </w:r>
          <w:r>
            <w:rPr>
              <w:rFonts w:hint="eastAsia"/>
              <w:color w:val="auto"/>
            </w:rPr>
            <w:fldChar w:fldCharType="end"/>
          </w:r>
        </w:p>
        <w:p w14:paraId="36BEA097">
          <w:pPr>
            <w:pStyle w:val="2"/>
            <w:outlineLvl w:val="9"/>
            <w:rPr>
              <w:rFonts w:hint="eastAsia" w:ascii="Times New Roman" w:hAnsi="Times New Roman" w:eastAsia="方正小标宋_GBK" w:cs="Times New Roman"/>
              <w:b/>
              <w:color w:val="auto"/>
              <w:spacing w:val="28"/>
              <w:kern w:val="36"/>
              <w:sz w:val="36"/>
              <w:szCs w:val="20"/>
              <w:lang w:val="en-US" w:eastAsia="zh-CN" w:bidi="ar-SA"/>
            </w:rPr>
          </w:pPr>
          <w:r>
            <w:rPr>
              <w:rFonts w:hint="eastAsia"/>
              <w:color w:val="auto"/>
            </w:rPr>
            <w:fldChar w:fldCharType="end"/>
          </w:r>
        </w:p>
      </w:sdtContent>
    </w:sdt>
    <w:p w14:paraId="75B19AF8">
      <w:pPr>
        <w:bidi w:val="0"/>
        <w:rPr>
          <w:rFonts w:hint="eastAsia"/>
          <w:color w:val="auto"/>
        </w:rPr>
      </w:pPr>
    </w:p>
    <w:p w14:paraId="14DE3DFA">
      <w:pPr>
        <w:bidi w:val="0"/>
        <w:rPr>
          <w:rFonts w:hint="eastAsia"/>
          <w:color w:val="auto"/>
        </w:rPr>
      </w:pPr>
    </w:p>
    <w:p w14:paraId="5B655ED0">
      <w:pPr>
        <w:bidi w:val="0"/>
        <w:rPr>
          <w:rFonts w:hint="eastAsia"/>
          <w:color w:val="auto"/>
        </w:rPr>
      </w:pPr>
    </w:p>
    <w:p w14:paraId="7B8A450C">
      <w:pPr>
        <w:bidi w:val="0"/>
        <w:rPr>
          <w:rFonts w:hint="eastAsia"/>
          <w:color w:val="auto"/>
        </w:rPr>
      </w:pPr>
    </w:p>
    <w:p w14:paraId="0A54C188">
      <w:pPr>
        <w:bidi w:val="0"/>
        <w:rPr>
          <w:rFonts w:hint="eastAsia"/>
          <w:color w:val="auto"/>
        </w:rPr>
      </w:pPr>
    </w:p>
    <w:p w14:paraId="26D49F8A">
      <w:pPr>
        <w:bidi w:val="0"/>
        <w:rPr>
          <w:rFonts w:hint="eastAsia"/>
          <w:color w:val="auto"/>
        </w:rPr>
      </w:pPr>
    </w:p>
    <w:p w14:paraId="4D6BD91C">
      <w:pPr>
        <w:bidi w:val="0"/>
        <w:rPr>
          <w:rFonts w:hint="eastAsia"/>
          <w:color w:val="auto"/>
        </w:rPr>
      </w:pPr>
    </w:p>
    <w:p w14:paraId="19E0364A">
      <w:pPr>
        <w:tabs>
          <w:tab w:val="left" w:pos="6384"/>
        </w:tabs>
        <w:bidi w:val="0"/>
        <w:jc w:val="left"/>
        <w:rPr>
          <w:rFonts w:hint="eastAsia" w:eastAsiaTheme="minorEastAsia"/>
          <w:color w:val="auto"/>
          <w:lang w:eastAsia="zh-CN"/>
        </w:rPr>
        <w:sectPr>
          <w:pgSz w:w="11906" w:h="16838"/>
          <w:pgMar w:top="1417" w:right="1003" w:bottom="1701" w:left="1003" w:header="1134" w:footer="680" w:gutter="0"/>
          <w:pgBorders>
            <w:top w:val="none" w:sz="0" w:space="0"/>
            <w:left w:val="none" w:sz="0" w:space="0"/>
            <w:bottom w:val="none" w:sz="0" w:space="0"/>
            <w:right w:val="none" w:sz="0" w:space="0"/>
          </w:pgBorders>
          <w:pgNumType w:fmt="decimal"/>
          <w:cols w:space="425" w:num="1"/>
          <w:rtlGutter w:val="0"/>
          <w:docGrid w:type="lines" w:linePitch="312" w:charSpace="0"/>
        </w:sectPr>
      </w:pPr>
      <w:r>
        <w:rPr>
          <w:rFonts w:hint="eastAsia"/>
          <w:color w:val="auto"/>
          <w:lang w:eastAsia="zh-CN"/>
        </w:rPr>
        <w:tab/>
      </w:r>
    </w:p>
    <w:p w14:paraId="57A94E6F">
      <w:pPr>
        <w:pStyle w:val="2"/>
        <w:rPr>
          <w:color w:val="auto"/>
        </w:rPr>
      </w:pPr>
      <w:bookmarkStart w:id="5" w:name="_Toc25724"/>
      <w:r>
        <w:rPr>
          <w:rFonts w:hint="eastAsia"/>
          <w:color w:val="auto"/>
        </w:rPr>
        <w:t xml:space="preserve">第一章 </w:t>
      </w:r>
      <w:bookmarkEnd w:id="1"/>
      <w:bookmarkEnd w:id="2"/>
      <w:r>
        <w:rPr>
          <w:rFonts w:hint="eastAsia"/>
          <w:color w:val="auto"/>
        </w:rPr>
        <w:t>招标公告</w:t>
      </w:r>
      <w:bookmarkEnd w:id="3"/>
      <w:bookmarkEnd w:id="5"/>
    </w:p>
    <w:bookmarkEnd w:id="4"/>
    <w:p w14:paraId="7A95B9C3">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bookmarkStart w:id="6" w:name="_Toc40166574"/>
      <w:r>
        <w:rPr>
          <w:rFonts w:hint="eastAsia" w:ascii="宋体" w:hAnsi="宋体" w:eastAsia="宋体" w:cs="宋体"/>
          <w:color w:val="auto"/>
          <w:kern w:val="0"/>
          <w:sz w:val="24"/>
          <w:szCs w:val="24"/>
          <w:highlight w:val="none"/>
          <w:lang w:val="en-US" w:eastAsia="zh-CN" w:bidi="ar"/>
        </w:rPr>
        <w:t>慈利县农业农村局（采购人名称）对</w:t>
      </w:r>
      <w:r>
        <w:rPr>
          <w:rFonts w:hint="eastAsia" w:ascii="宋体" w:hAnsi="宋体" w:eastAsia="宋体" w:cs="宋体"/>
          <w:color w:val="auto"/>
          <w:kern w:val="0"/>
          <w:sz w:val="24"/>
          <w:szCs w:val="24"/>
          <w:highlight w:val="none"/>
          <w:u w:val="single"/>
          <w:lang w:val="en-US" w:eastAsia="zh-CN" w:bidi="ar"/>
        </w:rPr>
        <w:t>慈利县2026年度菜籽油大县奖励资金项目—油菜种子、硼肥采购子项目</w:t>
      </w:r>
      <w:r>
        <w:rPr>
          <w:rFonts w:hint="eastAsia" w:ascii="宋体" w:hAnsi="宋体" w:eastAsia="宋体" w:cs="宋体"/>
          <w:color w:val="auto"/>
          <w:kern w:val="0"/>
          <w:sz w:val="24"/>
          <w:szCs w:val="24"/>
          <w:highlight w:val="none"/>
          <w:u w:val="none"/>
          <w:lang w:val="en-US" w:eastAsia="zh-CN" w:bidi="ar"/>
        </w:rPr>
        <w:t>(项目名称)</w:t>
      </w:r>
      <w:r>
        <w:rPr>
          <w:rFonts w:ascii="宋体" w:hAnsi="宋体" w:eastAsia="宋体" w:cs="宋体"/>
          <w:color w:val="auto"/>
          <w:kern w:val="0"/>
          <w:sz w:val="24"/>
          <w:szCs w:val="24"/>
          <w:highlight w:val="none"/>
          <w:lang w:val="en-US" w:eastAsia="zh-CN" w:bidi="ar"/>
        </w:rPr>
        <w:t>进行公开招标采购，现邀请合格投标人参加投标。</w:t>
      </w:r>
    </w:p>
    <w:p w14:paraId="038C03C7">
      <w:pPr>
        <w:pStyle w:val="4"/>
        <w:keepNext w:val="0"/>
        <w:keepLines w:val="0"/>
        <w:pageBreakBefore w:val="0"/>
        <w:widowControl/>
        <w:suppressLineNumbers w:val="0"/>
        <w:kinsoku/>
        <w:wordWrap/>
        <w:overflowPunct/>
        <w:topLinePunct w:val="0"/>
        <w:autoSpaceDE/>
        <w:autoSpaceDN/>
        <w:bidi w:val="0"/>
        <w:spacing w:before="0" w:after="0"/>
        <w:ind w:left="0" w:leftChars="0" w:firstLine="643" w:firstLineChars="200"/>
        <w:jc w:val="both"/>
        <w:outlineLvl w:val="1"/>
        <w:rPr>
          <w:color w:val="auto"/>
        </w:rPr>
      </w:pPr>
      <w:bookmarkStart w:id="7" w:name="_Toc17580"/>
      <w:r>
        <w:rPr>
          <w:color w:val="auto"/>
        </w:rPr>
        <w:t>一、采购项目基本信息</w:t>
      </w:r>
      <w:bookmarkEnd w:id="7"/>
    </w:p>
    <w:p w14:paraId="4E5683E8">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1、采购项目名称：</w:t>
      </w:r>
      <w:r>
        <w:rPr>
          <w:rFonts w:hint="eastAsia" w:ascii="宋体" w:hAnsi="宋体" w:eastAsia="宋体" w:cs="宋体"/>
          <w:color w:val="auto"/>
          <w:kern w:val="0"/>
          <w:sz w:val="24"/>
          <w:szCs w:val="24"/>
          <w:highlight w:val="none"/>
          <w:lang w:val="en-US" w:eastAsia="zh-CN" w:bidi="ar"/>
        </w:rPr>
        <w:t>慈利县2026年度菜籽油大县奖励资金项目—油菜种子、硼肥采购子项目</w:t>
      </w:r>
    </w:p>
    <w:p w14:paraId="295CCC5F">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r>
        <w:rPr>
          <w:rFonts w:ascii="宋体" w:hAnsi="宋体" w:eastAsia="宋体" w:cs="宋体"/>
          <w:color w:val="auto"/>
          <w:kern w:val="0"/>
          <w:sz w:val="24"/>
          <w:szCs w:val="24"/>
          <w:lang w:val="en-US" w:eastAsia="zh-CN" w:bidi="ar"/>
        </w:rPr>
        <w:t>2、政府采购计划编号：</w:t>
      </w:r>
      <w:r>
        <w:rPr>
          <w:rFonts w:hint="eastAsia" w:ascii="宋体" w:hAnsi="宋体" w:eastAsia="宋体" w:cs="宋体"/>
          <w:color w:val="auto"/>
          <w:sz w:val="24"/>
          <w:szCs w:val="24"/>
          <w:lang w:val="en-US" w:eastAsia="zh-CN"/>
        </w:rPr>
        <w:t>(2026)430821000007-1</w:t>
      </w:r>
    </w:p>
    <w:p w14:paraId="133C67B8">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default"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3、委托代理编号：</w:t>
      </w:r>
      <w:r>
        <w:rPr>
          <w:rFonts w:hint="eastAsia" w:ascii="宋体" w:hAnsi="宋体" w:eastAsia="宋体" w:cs="宋体"/>
          <w:color w:val="auto"/>
          <w:sz w:val="24"/>
          <w:szCs w:val="24"/>
          <w:lang w:val="en-US" w:eastAsia="zh-CN"/>
        </w:rPr>
        <w:t>HNZG2026-30</w:t>
      </w:r>
    </w:p>
    <w:p w14:paraId="308E365D">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r>
        <w:rPr>
          <w:rFonts w:ascii="宋体" w:hAnsi="宋体" w:eastAsia="宋体" w:cs="宋体"/>
          <w:color w:val="auto"/>
          <w:kern w:val="0"/>
          <w:sz w:val="24"/>
          <w:szCs w:val="24"/>
          <w:lang w:val="en-US" w:eastAsia="zh-CN" w:bidi="ar"/>
        </w:rPr>
        <w:t>4、采购项目预算：</w:t>
      </w:r>
      <w:r>
        <w:rPr>
          <w:rFonts w:hint="eastAsia" w:ascii="宋体" w:hAnsi="宋体" w:eastAsia="宋体" w:cs="宋体"/>
          <w:color w:val="auto"/>
          <w:kern w:val="0"/>
          <w:sz w:val="24"/>
          <w:szCs w:val="24"/>
          <w:highlight w:val="none"/>
          <w:lang w:val="en-US" w:eastAsia="zh-CN" w:bidi="ar"/>
        </w:rPr>
        <w:t>3300000.00</w:t>
      </w:r>
      <w:r>
        <w:rPr>
          <w:rFonts w:ascii="宋体" w:hAnsi="宋体" w:eastAsia="宋体" w:cs="宋体"/>
          <w:color w:val="auto"/>
          <w:kern w:val="0"/>
          <w:sz w:val="24"/>
          <w:szCs w:val="24"/>
          <w:highlight w:val="none"/>
          <w:lang w:val="en-US" w:eastAsia="zh-CN" w:bidi="ar"/>
        </w:rPr>
        <w:t xml:space="preserve">元 </w:t>
      </w:r>
    </w:p>
    <w:p w14:paraId="7AE3A890">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720" w:firstLineChars="300"/>
        <w:jc w:val="left"/>
        <w:rPr>
          <w:color w:val="auto"/>
          <w:sz w:val="24"/>
          <w:szCs w:val="24"/>
        </w:rPr>
      </w:pP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支持预付款，预付比例：</w:t>
      </w:r>
      <w:r>
        <w:rPr>
          <w:rFonts w:hint="eastAsia" w:ascii="宋体" w:hAnsi="宋体" w:eastAsia="宋体" w:cs="宋体"/>
          <w:color w:val="auto"/>
          <w:kern w:val="0"/>
          <w:sz w:val="24"/>
          <w:szCs w:val="24"/>
          <w:u w:val="single"/>
          <w:lang w:val="en-US" w:eastAsia="zh-CN" w:bidi="ar"/>
        </w:rPr>
        <w:t xml:space="preserve">/ </w:t>
      </w:r>
      <w:r>
        <w:rPr>
          <w:rFonts w:ascii="宋体" w:hAnsi="宋体" w:eastAsia="宋体" w:cs="宋体"/>
          <w:color w:val="auto"/>
          <w:kern w:val="0"/>
          <w:sz w:val="24"/>
          <w:szCs w:val="24"/>
          <w:u w:val="single"/>
          <w:lang w:val="en-US" w:eastAsia="zh-CN" w:bidi="ar"/>
        </w:rPr>
        <w:t>%</w:t>
      </w:r>
      <w:r>
        <w:rPr>
          <w:rFonts w:ascii="宋体" w:hAnsi="宋体" w:eastAsia="宋体" w:cs="宋体"/>
          <w:color w:val="auto"/>
          <w:kern w:val="0"/>
          <w:sz w:val="24"/>
          <w:szCs w:val="24"/>
          <w:lang w:val="en-US" w:eastAsia="zh-CN" w:bidi="ar"/>
        </w:rPr>
        <w:t xml:space="preserve"> </w:t>
      </w:r>
    </w:p>
    <w:p w14:paraId="7EDF45D9">
      <w:pPr>
        <w:keepNext w:val="0"/>
        <w:keepLines w:val="0"/>
        <w:pageBreakBefore w:val="0"/>
        <w:widowControl/>
        <w:numPr>
          <w:ilvl w:val="0"/>
          <w:numId w:val="4"/>
        </w:numPr>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default"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本项目对应的中小企业划分标准所属行业：</w:t>
      </w:r>
      <w:r>
        <w:rPr>
          <w:rFonts w:hint="eastAsia" w:ascii="宋体" w:hAnsi="宋体" w:eastAsia="宋体" w:cs="宋体"/>
          <w:color w:val="auto"/>
          <w:kern w:val="0"/>
          <w:sz w:val="24"/>
          <w:szCs w:val="24"/>
          <w:lang w:val="en-US" w:eastAsia="zh-CN" w:bidi="ar"/>
        </w:rPr>
        <w:t>本项目不适用</w:t>
      </w:r>
      <w:r>
        <w:rPr>
          <w:rFonts w:hint="eastAsia" w:ascii="宋体" w:hAnsi="宋体" w:eastAsia="宋体" w:cs="宋体"/>
          <w:color w:val="auto"/>
          <w:kern w:val="0"/>
          <w:sz w:val="24"/>
          <w:szCs w:val="24"/>
          <w:lang w:val="en-US" w:eastAsia="zh-CN" w:bidi="ar"/>
        </w:rPr>
        <w:t>。</w:t>
      </w:r>
    </w:p>
    <w:p w14:paraId="0BCEAA46">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r>
        <w:rPr>
          <w:rFonts w:ascii="宋体" w:hAnsi="宋体" w:eastAsia="宋体" w:cs="宋体"/>
          <w:color w:val="auto"/>
          <w:kern w:val="0"/>
          <w:sz w:val="24"/>
          <w:szCs w:val="24"/>
          <w:lang w:val="en-US" w:eastAsia="zh-CN" w:bidi="ar"/>
        </w:rPr>
        <w:t xml:space="preserve">6、评标方法： </w:t>
      </w:r>
      <w:r>
        <w:rPr>
          <w:rFonts w:ascii="宋体" w:hAnsi="宋体" w:eastAsia="宋体" w:cs="宋体"/>
          <w:color w:val="auto"/>
          <w:kern w:val="0"/>
          <w:sz w:val="24"/>
          <w:szCs w:val="24"/>
          <w:lang w:val="en-US" w:eastAsia="zh-CN" w:bidi="ar"/>
        </w:rPr>
        <w:sym w:font="Wingdings" w:char="00FE"/>
      </w:r>
      <w:r>
        <w:rPr>
          <w:rFonts w:hint="eastAsia" w:ascii="宋体" w:hAnsi="宋体" w:eastAsia="宋体" w:cs="宋体"/>
          <w:color w:val="auto"/>
          <w:kern w:val="0"/>
          <w:sz w:val="24"/>
          <w:szCs w:val="24"/>
          <w:lang w:val="en-US" w:eastAsia="zh-CN" w:bidi="ar"/>
        </w:rPr>
        <w:t>最低评标价法</w:t>
      </w:r>
      <w:r>
        <w:rPr>
          <w:rFonts w:hint="eastAsia" w:ascii="宋体" w:hAnsi="宋体" w:eastAsia="宋体" w:cs="宋体"/>
          <w:color w:val="auto"/>
          <w:kern w:val="0"/>
          <w:sz w:val="24"/>
          <w:szCs w:val="24"/>
          <w:lang w:val="en-US" w:eastAsia="zh-CN" w:bidi="ar"/>
        </w:rPr>
        <w:t xml:space="preserve">   </w:t>
      </w: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 xml:space="preserve">综合评分法 </w:t>
      </w:r>
    </w:p>
    <w:p w14:paraId="37476BF3">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r>
        <w:rPr>
          <w:rFonts w:ascii="宋体" w:hAnsi="宋体" w:eastAsia="宋体" w:cs="宋体"/>
          <w:color w:val="auto"/>
          <w:kern w:val="0"/>
          <w:sz w:val="24"/>
          <w:szCs w:val="24"/>
          <w:lang w:val="en-US" w:eastAsia="zh-CN" w:bidi="ar"/>
        </w:rPr>
        <w:t xml:space="preserve">7、合同定价方式： </w:t>
      </w:r>
      <w:r>
        <w:rPr>
          <w:rFonts w:ascii="宋体" w:hAnsi="宋体" w:eastAsia="宋体" w:cs="宋体"/>
          <w:color w:val="auto"/>
          <w:kern w:val="0"/>
          <w:sz w:val="24"/>
          <w:szCs w:val="24"/>
          <w:lang w:val="en-US" w:eastAsia="zh-CN" w:bidi="ar"/>
        </w:rPr>
        <w:sym w:font="Wingdings" w:char="00FE"/>
      </w:r>
      <w:r>
        <w:rPr>
          <w:rFonts w:ascii="宋体" w:hAnsi="宋体" w:eastAsia="宋体" w:cs="宋体"/>
          <w:color w:val="auto"/>
          <w:kern w:val="0"/>
          <w:sz w:val="24"/>
          <w:szCs w:val="24"/>
          <w:lang w:val="en-US" w:eastAsia="zh-CN" w:bidi="ar"/>
        </w:rPr>
        <w:t>固定总价</w:t>
      </w:r>
      <w:r>
        <w:rPr>
          <w:rFonts w:ascii="宋体" w:hAnsi="宋体" w:eastAsia="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 xml:space="preserve"> </w:t>
      </w: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 xml:space="preserve">固定单价 </w:t>
      </w:r>
      <w:r>
        <w:rPr>
          <w:rFonts w:hint="eastAsia" w:ascii="宋体" w:hAnsi="宋体" w:eastAsia="宋体" w:cs="宋体"/>
          <w:color w:val="auto"/>
          <w:kern w:val="0"/>
          <w:sz w:val="24"/>
          <w:szCs w:val="24"/>
          <w:lang w:val="en-US" w:eastAsia="zh-CN" w:bidi="ar"/>
        </w:rPr>
        <w:t xml:space="preserve"> </w:t>
      </w: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 xml:space="preserve">成本补偿 </w:t>
      </w:r>
      <w:r>
        <w:rPr>
          <w:rFonts w:hint="eastAsia" w:ascii="宋体" w:hAnsi="宋体" w:eastAsia="宋体" w:cs="宋体"/>
          <w:color w:val="auto"/>
          <w:kern w:val="0"/>
          <w:sz w:val="24"/>
          <w:szCs w:val="24"/>
          <w:lang w:val="en-US" w:eastAsia="zh-CN" w:bidi="ar"/>
        </w:rPr>
        <w:t xml:space="preserve"> </w:t>
      </w: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 xml:space="preserve">绩效激励 </w:t>
      </w:r>
    </w:p>
    <w:p w14:paraId="5BB29F6B">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r>
        <w:rPr>
          <w:rFonts w:ascii="宋体" w:hAnsi="宋体" w:eastAsia="宋体" w:cs="宋体"/>
          <w:color w:val="auto"/>
          <w:kern w:val="0"/>
          <w:sz w:val="24"/>
          <w:szCs w:val="24"/>
          <w:lang w:val="en-US" w:eastAsia="zh-CN" w:bidi="ar"/>
        </w:rPr>
        <w:t>8、合同履行期限：</w:t>
      </w:r>
      <w:r>
        <w:rPr>
          <w:rFonts w:hint="eastAsia" w:ascii="宋体" w:hAnsi="宋体" w:eastAsia="宋体" w:cs="宋体"/>
          <w:color w:val="auto"/>
          <w:kern w:val="0"/>
          <w:sz w:val="24"/>
          <w:szCs w:val="24"/>
          <w:highlight w:val="none"/>
          <w:lang w:val="en-US" w:eastAsia="zh-CN" w:bidi="ar"/>
        </w:rPr>
        <w:t>合同签订之日起7个工作日</w:t>
      </w:r>
      <w:r>
        <w:rPr>
          <w:rFonts w:hint="eastAsia" w:ascii="宋体" w:hAnsi="宋体" w:eastAsia="宋体" w:cs="宋体"/>
          <w:color w:val="auto"/>
          <w:kern w:val="0"/>
          <w:sz w:val="24"/>
          <w:szCs w:val="24"/>
          <w:highlight w:val="none"/>
          <w:lang w:val="en-US" w:eastAsia="zh-CN" w:bidi="ar"/>
        </w:rPr>
        <w:t>须完成本项目全部供货并通过验收。</w:t>
      </w:r>
    </w:p>
    <w:p w14:paraId="76BAC685">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r>
        <w:rPr>
          <w:rFonts w:ascii="宋体" w:hAnsi="宋体" w:eastAsia="宋体" w:cs="宋体"/>
          <w:color w:val="auto"/>
          <w:kern w:val="0"/>
          <w:sz w:val="24"/>
          <w:szCs w:val="24"/>
          <w:lang w:val="en-US" w:eastAsia="zh-CN" w:bidi="ar"/>
        </w:rPr>
        <w:t>9、本项目分阶段要求投标人提供以下保证：</w:t>
      </w:r>
    </w:p>
    <w:p w14:paraId="2B3291A0">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840"/>
        <w:jc w:val="left"/>
        <w:rPr>
          <w:color w:val="auto"/>
          <w:sz w:val="24"/>
          <w:szCs w:val="24"/>
        </w:rPr>
      </w:pPr>
      <w:r>
        <w:rPr>
          <w:rFonts w:ascii="宋体" w:hAnsi="宋体" w:eastAsia="宋体" w:cs="宋体"/>
          <w:color w:val="auto"/>
          <w:kern w:val="0"/>
          <w:sz w:val="24"/>
          <w:szCs w:val="24"/>
          <w:lang w:val="en-US" w:eastAsia="zh-CN" w:bidi="ar"/>
        </w:rPr>
        <w:sym w:font="Wingdings" w:char="00FE"/>
      </w:r>
      <w:r>
        <w:rPr>
          <w:rFonts w:ascii="宋体" w:hAnsi="宋体" w:eastAsia="宋体" w:cs="宋体"/>
          <w:color w:val="auto"/>
          <w:kern w:val="0"/>
          <w:sz w:val="24"/>
          <w:szCs w:val="24"/>
          <w:lang w:val="en-US" w:eastAsia="zh-CN" w:bidi="ar"/>
        </w:rPr>
        <w:t>投标保证金：</w:t>
      </w:r>
      <w:r>
        <w:rPr>
          <w:rFonts w:hint="eastAsia" w:ascii="宋体" w:hAnsi="宋体" w:eastAsia="宋体" w:cs="宋体"/>
          <w:color w:val="auto"/>
          <w:kern w:val="0"/>
          <w:sz w:val="24"/>
          <w:szCs w:val="24"/>
          <w:lang w:val="en-US" w:eastAsia="zh-CN" w:bidi="ar"/>
        </w:rPr>
        <w:t>1元</w:t>
      </w:r>
      <w:r>
        <w:rPr>
          <w:rFonts w:ascii="宋体" w:hAnsi="宋体" w:eastAsia="宋体" w:cs="宋体"/>
          <w:color w:val="auto"/>
          <w:kern w:val="0"/>
          <w:sz w:val="24"/>
          <w:szCs w:val="24"/>
          <w:lang w:val="en-US" w:eastAsia="zh-CN" w:bidi="ar"/>
        </w:rPr>
        <w:t>；</w:t>
      </w:r>
    </w:p>
    <w:p w14:paraId="55DF00E7">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840"/>
        <w:jc w:val="left"/>
        <w:rPr>
          <w:color w:val="auto"/>
          <w:sz w:val="24"/>
          <w:szCs w:val="24"/>
        </w:rPr>
      </w:pPr>
      <w:r>
        <w:rPr>
          <w:rFonts w:ascii="宋体" w:hAnsi="宋体" w:eastAsia="宋体" w:cs="宋体"/>
          <w:color w:val="auto"/>
          <w:kern w:val="0"/>
          <w:sz w:val="24"/>
          <w:szCs w:val="24"/>
          <w:lang w:val="en-US" w:eastAsia="zh-CN" w:bidi="ar"/>
        </w:rPr>
        <w:sym w:font="Wingdings" w:char="00FE"/>
      </w:r>
      <w:r>
        <w:rPr>
          <w:rFonts w:ascii="宋体" w:hAnsi="宋体" w:eastAsia="宋体" w:cs="宋体"/>
          <w:color w:val="auto"/>
          <w:kern w:val="0"/>
          <w:sz w:val="24"/>
          <w:szCs w:val="24"/>
          <w:lang w:val="en-US" w:eastAsia="zh-CN" w:bidi="ar"/>
        </w:rPr>
        <w:t>履约保证金：</w:t>
      </w:r>
      <w:r>
        <w:rPr>
          <w:rFonts w:hint="eastAsia" w:ascii="宋体" w:hAnsi="宋体" w:eastAsia="宋体" w:cs="宋体"/>
          <w:color w:val="auto"/>
          <w:kern w:val="0"/>
          <w:sz w:val="24"/>
          <w:szCs w:val="24"/>
          <w:lang w:val="en-US" w:eastAsia="zh-CN" w:bidi="ar"/>
        </w:rPr>
        <w:t>中标金额降价幅度不超过采购预算10% 的，履约保证金为中标金额的10%;中标金额降价幅度超过采购预算10%以上的，履约保证金为采购预算减去中标金额的差额</w:t>
      </w:r>
      <w:r>
        <w:rPr>
          <w:rFonts w:ascii="宋体" w:hAnsi="宋体" w:eastAsia="宋体" w:cs="宋体"/>
          <w:color w:val="auto"/>
          <w:kern w:val="0"/>
          <w:sz w:val="24"/>
          <w:szCs w:val="24"/>
          <w:lang w:val="en-US" w:eastAsia="zh-CN" w:bidi="ar"/>
        </w:rPr>
        <w:t>；</w:t>
      </w:r>
    </w:p>
    <w:p w14:paraId="64390B2B">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840"/>
        <w:jc w:val="left"/>
        <w:rPr>
          <w:color w:val="auto"/>
          <w:sz w:val="24"/>
          <w:szCs w:val="24"/>
        </w:rPr>
      </w:pP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预付款保证金：预付款的</w:t>
      </w:r>
      <w:r>
        <w:rPr>
          <w:rFonts w:hint="eastAsia" w:ascii="宋体" w:hAnsi="宋体" w:eastAsia="宋体" w:cs="宋体"/>
          <w:color w:val="auto"/>
          <w:kern w:val="0"/>
          <w:sz w:val="24"/>
          <w:szCs w:val="24"/>
          <w:u w:val="single"/>
          <w:lang w:val="en-US" w:eastAsia="zh-CN" w:bidi="ar"/>
        </w:rPr>
        <w:t>/</w:t>
      </w:r>
      <w:r>
        <w:rPr>
          <w:rFonts w:ascii="宋体" w:hAnsi="宋体" w:eastAsia="宋体" w:cs="宋体"/>
          <w:color w:val="auto"/>
          <w:kern w:val="0"/>
          <w:sz w:val="24"/>
          <w:szCs w:val="24"/>
          <w:lang w:val="en-US" w:eastAsia="zh-CN" w:bidi="ar"/>
        </w:rPr>
        <w:t>%；</w:t>
      </w:r>
    </w:p>
    <w:p w14:paraId="1D03F246">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840"/>
        <w:jc w:val="left"/>
        <w:rPr>
          <w:color w:val="auto"/>
          <w:sz w:val="24"/>
          <w:szCs w:val="24"/>
        </w:rPr>
      </w:pP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质量保证金：合同金额的</w:t>
      </w:r>
      <w:r>
        <w:rPr>
          <w:rFonts w:hint="eastAsia" w:ascii="宋体" w:hAnsi="宋体" w:eastAsia="宋体" w:cs="宋体"/>
          <w:color w:val="auto"/>
          <w:kern w:val="0"/>
          <w:sz w:val="24"/>
          <w:szCs w:val="24"/>
          <w:u w:val="single"/>
          <w:lang w:val="en-US" w:eastAsia="zh-CN" w:bidi="ar"/>
        </w:rPr>
        <w:t>/</w:t>
      </w:r>
      <w:r>
        <w:rPr>
          <w:rFonts w:ascii="宋体" w:hAnsi="宋体" w:eastAsia="宋体" w:cs="宋体"/>
          <w:color w:val="auto"/>
          <w:kern w:val="0"/>
          <w:sz w:val="24"/>
          <w:szCs w:val="24"/>
          <w:lang w:val="en-US" w:eastAsia="zh-CN" w:bidi="ar"/>
        </w:rPr>
        <w:t>%；</w:t>
      </w:r>
    </w:p>
    <w:p w14:paraId="0713F7ED">
      <w:pPr>
        <w:pStyle w:val="4"/>
        <w:keepNext w:val="0"/>
        <w:keepLines w:val="0"/>
        <w:pageBreakBefore w:val="0"/>
        <w:widowControl/>
        <w:suppressLineNumbers w:val="0"/>
        <w:kinsoku/>
        <w:wordWrap/>
        <w:overflowPunct/>
        <w:topLinePunct w:val="0"/>
        <w:autoSpaceDE/>
        <w:autoSpaceDN/>
        <w:bidi w:val="0"/>
        <w:spacing w:before="0" w:after="0"/>
        <w:ind w:left="0" w:leftChars="0" w:firstLine="321" w:firstLineChars="100"/>
        <w:jc w:val="both"/>
        <w:outlineLvl w:val="1"/>
        <w:rPr>
          <w:color w:val="auto"/>
        </w:rPr>
      </w:pPr>
      <w:bookmarkStart w:id="8" w:name="_Toc12593"/>
      <w:r>
        <w:rPr>
          <w:color w:val="auto"/>
        </w:rPr>
        <w:t>二、采购人的采购需求</w:t>
      </w:r>
      <w:bookmarkEnd w:id="8"/>
    </w:p>
    <w:tbl>
      <w:tblPr>
        <w:tblStyle w:val="32"/>
        <w:tblW w:w="10393"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035"/>
        <w:gridCol w:w="1845"/>
        <w:gridCol w:w="1710"/>
        <w:gridCol w:w="1620"/>
        <w:gridCol w:w="1095"/>
        <w:gridCol w:w="1657"/>
        <w:gridCol w:w="723"/>
        <w:gridCol w:w="708"/>
      </w:tblGrid>
      <w:tr w14:paraId="61F5AEB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035" w:type="dxa"/>
            <w:tcBorders>
              <w:left w:val="double" w:color="auto" w:sz="2" w:space="0"/>
              <w:bottom w:val="single" w:color="auto" w:sz="4" w:space="0"/>
              <w:right w:val="single" w:color="auto" w:sz="4" w:space="0"/>
            </w:tcBorders>
            <w:vAlign w:val="center"/>
          </w:tcPr>
          <w:p w14:paraId="32EEECE7">
            <w:pPr>
              <w:pStyle w:val="41"/>
              <w:pageBreakBefore w:val="0"/>
              <w:kinsoku/>
              <w:wordWrap/>
              <w:overflowPunct/>
              <w:topLinePunct w:val="0"/>
              <w:autoSpaceDE/>
              <w:autoSpaceDN/>
              <w:bidi w:val="0"/>
              <w:ind w:left="0" w:leftChars="0"/>
              <w:textAlignment w:val="baseline"/>
              <w:rPr>
                <w:rFonts w:ascii="Times New Roman" w:hAnsi="Times New Roman" w:eastAsia="黑体" w:cs="Times New Roman"/>
                <w:b w:val="0"/>
                <w:color w:val="auto"/>
                <w:kern w:val="2"/>
                <w:sz w:val="28"/>
                <w:szCs w:val="22"/>
                <w:lang w:val="en-US" w:eastAsia="zh-CN" w:bidi="ar-SA"/>
              </w:rPr>
            </w:pPr>
            <w:r>
              <w:rPr>
                <w:rFonts w:hint="eastAsia"/>
                <w:b w:val="0"/>
                <w:color w:val="auto"/>
                <w:sz w:val="22"/>
                <w:szCs w:val="22"/>
              </w:rPr>
              <w:t>包名称</w:t>
            </w:r>
          </w:p>
        </w:tc>
        <w:tc>
          <w:tcPr>
            <w:tcW w:w="1845" w:type="dxa"/>
            <w:tcBorders>
              <w:left w:val="double" w:color="auto" w:sz="2" w:space="0"/>
              <w:bottom w:val="single" w:color="auto" w:sz="4" w:space="0"/>
              <w:right w:val="single" w:color="auto" w:sz="4" w:space="0"/>
            </w:tcBorders>
            <w:vAlign w:val="center"/>
          </w:tcPr>
          <w:p w14:paraId="77F395FD">
            <w:pPr>
              <w:pStyle w:val="41"/>
              <w:pageBreakBefore w:val="0"/>
              <w:kinsoku/>
              <w:wordWrap/>
              <w:overflowPunct/>
              <w:topLinePunct w:val="0"/>
              <w:autoSpaceDE/>
              <w:autoSpaceDN/>
              <w:bidi w:val="0"/>
              <w:ind w:left="0" w:leftChars="0"/>
              <w:jc w:val="center"/>
              <w:textAlignment w:val="baseline"/>
              <w:rPr>
                <w:rFonts w:ascii="Times New Roman" w:hAnsi="Times New Roman" w:eastAsia="黑体" w:cs="Times New Roman"/>
                <w:b w:val="0"/>
                <w:color w:val="auto"/>
                <w:kern w:val="2"/>
                <w:sz w:val="28"/>
                <w:szCs w:val="22"/>
                <w:lang w:val="en-US" w:eastAsia="zh-CN" w:bidi="ar-SA"/>
              </w:rPr>
            </w:pPr>
            <w:r>
              <w:rPr>
                <w:rFonts w:hint="eastAsia"/>
                <w:b w:val="0"/>
                <w:color w:val="auto"/>
                <w:sz w:val="22"/>
                <w:szCs w:val="22"/>
              </w:rPr>
              <w:t>最高限价（</w:t>
            </w:r>
            <w:r>
              <w:rPr>
                <w:rFonts w:hint="eastAsia"/>
                <w:b w:val="0"/>
                <w:color w:val="auto"/>
                <w:sz w:val="22"/>
                <w:szCs w:val="22"/>
                <w:lang w:val="en-US" w:eastAsia="zh-CN"/>
              </w:rPr>
              <w:t>元</w:t>
            </w:r>
            <w:r>
              <w:rPr>
                <w:rFonts w:hint="eastAsia"/>
                <w:b w:val="0"/>
                <w:color w:val="auto"/>
                <w:sz w:val="22"/>
                <w:szCs w:val="22"/>
              </w:rPr>
              <w:t>）</w:t>
            </w:r>
          </w:p>
        </w:tc>
        <w:tc>
          <w:tcPr>
            <w:tcW w:w="1710" w:type="dxa"/>
            <w:tcBorders>
              <w:left w:val="double" w:color="auto" w:sz="2" w:space="0"/>
              <w:bottom w:val="single" w:color="auto" w:sz="4" w:space="0"/>
              <w:right w:val="single" w:color="auto" w:sz="4" w:space="0"/>
            </w:tcBorders>
            <w:vAlign w:val="center"/>
          </w:tcPr>
          <w:p w14:paraId="621E93F8">
            <w:pPr>
              <w:pStyle w:val="41"/>
              <w:pageBreakBefore w:val="0"/>
              <w:kinsoku/>
              <w:wordWrap/>
              <w:overflowPunct/>
              <w:topLinePunct w:val="0"/>
              <w:autoSpaceDE/>
              <w:autoSpaceDN/>
              <w:bidi w:val="0"/>
              <w:ind w:left="0" w:leftChars="0"/>
              <w:textAlignment w:val="baseline"/>
              <w:rPr>
                <w:rFonts w:hint="default" w:eastAsia="黑体"/>
                <w:b w:val="0"/>
                <w:color w:val="auto"/>
                <w:sz w:val="22"/>
                <w:szCs w:val="22"/>
                <w:lang w:val="en-US" w:eastAsia="zh-CN"/>
              </w:rPr>
            </w:pPr>
            <w:r>
              <w:rPr>
                <w:rFonts w:hint="eastAsia"/>
                <w:b w:val="0"/>
                <w:color w:val="auto"/>
                <w:sz w:val="22"/>
                <w:szCs w:val="22"/>
                <w:lang w:val="en-US" w:eastAsia="zh-CN"/>
              </w:rPr>
              <w:t>标的名称</w:t>
            </w:r>
          </w:p>
        </w:tc>
        <w:tc>
          <w:tcPr>
            <w:tcW w:w="1620" w:type="dxa"/>
            <w:tcBorders>
              <w:left w:val="single" w:color="auto" w:sz="4" w:space="0"/>
              <w:bottom w:val="single" w:color="auto" w:sz="4" w:space="0"/>
              <w:right w:val="single" w:color="auto" w:sz="4" w:space="0"/>
            </w:tcBorders>
            <w:vAlign w:val="center"/>
          </w:tcPr>
          <w:p w14:paraId="0584ECFF">
            <w:pPr>
              <w:pStyle w:val="41"/>
              <w:pageBreakBefore w:val="0"/>
              <w:kinsoku/>
              <w:wordWrap/>
              <w:overflowPunct/>
              <w:topLinePunct w:val="0"/>
              <w:autoSpaceDE/>
              <w:autoSpaceDN/>
              <w:bidi w:val="0"/>
              <w:ind w:left="0" w:leftChars="0"/>
              <w:textAlignment w:val="baseline"/>
              <w:rPr>
                <w:b w:val="0"/>
                <w:color w:val="auto"/>
                <w:sz w:val="22"/>
                <w:szCs w:val="22"/>
              </w:rPr>
            </w:pPr>
            <w:r>
              <w:rPr>
                <w:rFonts w:hint="eastAsia"/>
                <w:b w:val="0"/>
                <w:color w:val="auto"/>
                <w:sz w:val="22"/>
                <w:szCs w:val="22"/>
              </w:rPr>
              <w:t>简要技术要求</w:t>
            </w:r>
          </w:p>
        </w:tc>
        <w:tc>
          <w:tcPr>
            <w:tcW w:w="1095" w:type="dxa"/>
            <w:tcBorders>
              <w:left w:val="single" w:color="auto" w:sz="4" w:space="0"/>
              <w:bottom w:val="single" w:color="auto" w:sz="4" w:space="0"/>
              <w:right w:val="single" w:color="auto" w:sz="4" w:space="0"/>
            </w:tcBorders>
            <w:vAlign w:val="center"/>
          </w:tcPr>
          <w:p w14:paraId="018FDDD7">
            <w:pPr>
              <w:pStyle w:val="41"/>
              <w:pageBreakBefore w:val="0"/>
              <w:kinsoku/>
              <w:wordWrap/>
              <w:overflowPunct/>
              <w:topLinePunct w:val="0"/>
              <w:autoSpaceDE/>
              <w:autoSpaceDN/>
              <w:bidi w:val="0"/>
              <w:ind w:left="0" w:leftChars="0"/>
              <w:textAlignment w:val="baseline"/>
              <w:rPr>
                <w:b w:val="0"/>
                <w:color w:val="auto"/>
                <w:sz w:val="22"/>
                <w:szCs w:val="22"/>
              </w:rPr>
            </w:pPr>
            <w:r>
              <w:rPr>
                <w:rFonts w:hint="eastAsia"/>
                <w:b w:val="0"/>
                <w:color w:val="auto"/>
                <w:sz w:val="22"/>
                <w:szCs w:val="22"/>
              </w:rPr>
              <w:t>数量</w:t>
            </w:r>
          </w:p>
        </w:tc>
        <w:tc>
          <w:tcPr>
            <w:tcW w:w="1657" w:type="dxa"/>
            <w:tcBorders>
              <w:left w:val="single" w:color="auto" w:sz="4" w:space="0"/>
              <w:bottom w:val="single" w:color="auto" w:sz="4" w:space="0"/>
              <w:right w:val="single" w:color="auto" w:sz="4" w:space="0"/>
            </w:tcBorders>
            <w:vAlign w:val="center"/>
          </w:tcPr>
          <w:p w14:paraId="6273F362">
            <w:pPr>
              <w:pStyle w:val="41"/>
              <w:pageBreakBefore w:val="0"/>
              <w:kinsoku/>
              <w:wordWrap/>
              <w:overflowPunct/>
              <w:topLinePunct w:val="0"/>
              <w:autoSpaceDE/>
              <w:autoSpaceDN/>
              <w:bidi w:val="0"/>
              <w:ind w:left="0" w:leftChars="0"/>
              <w:textAlignment w:val="baseline"/>
              <w:rPr>
                <w:b w:val="0"/>
                <w:color w:val="auto"/>
                <w:sz w:val="22"/>
                <w:szCs w:val="22"/>
              </w:rPr>
            </w:pPr>
            <w:r>
              <w:rPr>
                <w:rFonts w:hint="eastAsia"/>
                <w:b w:val="0"/>
                <w:color w:val="auto"/>
                <w:sz w:val="22"/>
                <w:szCs w:val="22"/>
                <w:lang w:val="en-US" w:eastAsia="zh-CN"/>
              </w:rPr>
              <w:t>标的</w:t>
            </w:r>
            <w:r>
              <w:rPr>
                <w:rFonts w:hint="eastAsia"/>
                <w:b w:val="0"/>
                <w:color w:val="auto"/>
                <w:sz w:val="22"/>
                <w:szCs w:val="22"/>
              </w:rPr>
              <w:t>预算（</w:t>
            </w:r>
            <w:r>
              <w:rPr>
                <w:rFonts w:hint="eastAsia"/>
                <w:b w:val="0"/>
                <w:color w:val="auto"/>
                <w:sz w:val="22"/>
                <w:szCs w:val="22"/>
                <w:lang w:val="en-US" w:eastAsia="zh-CN"/>
              </w:rPr>
              <w:t>元</w:t>
            </w:r>
            <w:r>
              <w:rPr>
                <w:rFonts w:hint="eastAsia"/>
                <w:b w:val="0"/>
                <w:color w:val="auto"/>
                <w:sz w:val="22"/>
                <w:szCs w:val="22"/>
              </w:rPr>
              <w:t>）</w:t>
            </w:r>
          </w:p>
        </w:tc>
        <w:tc>
          <w:tcPr>
            <w:tcW w:w="723" w:type="dxa"/>
            <w:tcBorders>
              <w:left w:val="single" w:color="auto" w:sz="4" w:space="0"/>
              <w:bottom w:val="single" w:color="auto" w:sz="4" w:space="0"/>
              <w:right w:val="single" w:color="auto" w:sz="4" w:space="0"/>
            </w:tcBorders>
            <w:vAlign w:val="center"/>
          </w:tcPr>
          <w:p w14:paraId="3EC67533">
            <w:pPr>
              <w:pStyle w:val="41"/>
              <w:pageBreakBefore w:val="0"/>
              <w:kinsoku/>
              <w:wordWrap/>
              <w:overflowPunct/>
              <w:topLinePunct w:val="0"/>
              <w:autoSpaceDE/>
              <w:autoSpaceDN/>
              <w:bidi w:val="0"/>
              <w:ind w:left="0" w:leftChars="0"/>
              <w:textAlignment w:val="baseline"/>
              <w:rPr>
                <w:rFonts w:hint="default" w:ascii="Times New Roman" w:hAnsi="Times New Roman" w:cs="Times New Roman"/>
                <w:b w:val="0"/>
                <w:color w:val="auto"/>
                <w:sz w:val="22"/>
                <w:szCs w:val="22"/>
                <w:lang w:val="en-US" w:eastAsia="zh-CN"/>
              </w:rPr>
            </w:pPr>
            <w:r>
              <w:rPr>
                <w:rFonts w:hint="eastAsia" w:ascii="Times New Roman" w:hAnsi="Times New Roman" w:cs="Times New Roman"/>
                <w:b w:val="0"/>
                <w:color w:val="auto"/>
                <w:sz w:val="22"/>
                <w:szCs w:val="22"/>
                <w:lang w:val="en-US" w:eastAsia="zh-CN"/>
              </w:rPr>
              <w:t>节能产品</w:t>
            </w:r>
          </w:p>
        </w:tc>
        <w:tc>
          <w:tcPr>
            <w:tcW w:w="708" w:type="dxa"/>
            <w:tcBorders>
              <w:left w:val="single" w:color="auto" w:sz="4" w:space="0"/>
              <w:bottom w:val="single" w:color="auto" w:sz="4" w:space="0"/>
            </w:tcBorders>
            <w:vAlign w:val="center"/>
          </w:tcPr>
          <w:p w14:paraId="6C4D9AD4">
            <w:pPr>
              <w:pStyle w:val="41"/>
              <w:pageBreakBefore w:val="0"/>
              <w:kinsoku/>
              <w:wordWrap/>
              <w:overflowPunct/>
              <w:topLinePunct w:val="0"/>
              <w:autoSpaceDE/>
              <w:autoSpaceDN/>
              <w:bidi w:val="0"/>
              <w:ind w:left="0" w:leftChars="0"/>
              <w:textAlignment w:val="baseline"/>
              <w:rPr>
                <w:rFonts w:hint="default" w:ascii="Times New Roman" w:hAnsi="Times New Roman" w:cs="Times New Roman"/>
                <w:b w:val="0"/>
                <w:color w:val="auto"/>
                <w:sz w:val="22"/>
                <w:szCs w:val="22"/>
                <w:lang w:val="en-US" w:eastAsia="zh-CN"/>
              </w:rPr>
            </w:pPr>
            <w:r>
              <w:rPr>
                <w:rFonts w:hint="eastAsia" w:ascii="Times New Roman" w:hAnsi="Times New Roman" w:cs="Times New Roman"/>
                <w:b w:val="0"/>
                <w:color w:val="auto"/>
                <w:sz w:val="22"/>
                <w:szCs w:val="22"/>
                <w:lang w:val="en-US" w:eastAsia="zh-CN"/>
              </w:rPr>
              <w:t>进口产品</w:t>
            </w:r>
          </w:p>
        </w:tc>
      </w:tr>
      <w:tr w14:paraId="778CB69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1035" w:type="dxa"/>
            <w:tcBorders>
              <w:top w:val="single" w:color="auto" w:sz="4" w:space="0"/>
              <w:left w:val="double" w:color="auto" w:sz="2" w:space="0"/>
              <w:right w:val="single" w:color="auto" w:sz="4" w:space="0"/>
            </w:tcBorders>
            <w:vAlign w:val="center"/>
          </w:tcPr>
          <w:p w14:paraId="6BD7EFAD">
            <w:pPr>
              <w:pStyle w:val="44"/>
              <w:pageBreakBefore w:val="0"/>
              <w:kinsoku/>
              <w:wordWrap/>
              <w:overflowPunct/>
              <w:topLinePunct w:val="0"/>
              <w:autoSpaceDE/>
              <w:autoSpaceDN/>
              <w:bidi w:val="0"/>
              <w:ind w:left="0" w:leftChars="0"/>
              <w:textAlignment w:val="baseline"/>
              <w:rPr>
                <w:rFonts w:ascii="Times New Roman" w:hAnsi="Times New Roman" w:eastAsia="微软雅黑" w:cs="Times New Roman"/>
                <w:color w:val="auto"/>
                <w:kern w:val="2"/>
                <w:sz w:val="21"/>
                <w:szCs w:val="24"/>
                <w:lang w:val="en-US" w:eastAsia="zh-CN" w:bidi="ar-SA"/>
              </w:rPr>
            </w:pPr>
            <w:r>
              <w:rPr>
                <w:rFonts w:ascii="Times New Roman" w:hAnsi="Times New Roman" w:eastAsia="微软雅黑" w:cs="Times New Roman"/>
                <w:color w:val="auto"/>
                <w:kern w:val="2"/>
                <w:sz w:val="21"/>
                <w:szCs w:val="24"/>
                <w:lang w:val="en-US" w:eastAsia="zh-CN" w:bidi="ar-SA"/>
              </w:rPr>
              <w:t>包</w:t>
            </w:r>
            <w:r>
              <w:rPr>
                <w:rFonts w:hint="eastAsia" w:ascii="Times New Roman" w:hAnsi="Times New Roman" w:eastAsia="微软雅黑" w:cs="Times New Roman"/>
                <w:color w:val="auto"/>
                <w:kern w:val="2"/>
                <w:sz w:val="21"/>
                <w:szCs w:val="24"/>
                <w:lang w:val="en-US" w:eastAsia="zh-CN" w:bidi="ar-SA"/>
              </w:rPr>
              <w:t>1</w:t>
            </w:r>
          </w:p>
        </w:tc>
        <w:tc>
          <w:tcPr>
            <w:tcW w:w="1845" w:type="dxa"/>
            <w:tcBorders>
              <w:top w:val="single" w:color="auto" w:sz="4" w:space="0"/>
              <w:left w:val="double" w:color="auto" w:sz="2" w:space="0"/>
              <w:right w:val="single" w:color="auto" w:sz="4" w:space="0"/>
            </w:tcBorders>
            <w:vAlign w:val="center"/>
          </w:tcPr>
          <w:p w14:paraId="37BE4793">
            <w:pPr>
              <w:pStyle w:val="44"/>
              <w:pageBreakBefore w:val="0"/>
              <w:kinsoku/>
              <w:wordWrap/>
              <w:overflowPunct/>
              <w:topLinePunct w:val="0"/>
              <w:autoSpaceDE/>
              <w:autoSpaceDN/>
              <w:bidi w:val="0"/>
              <w:ind w:left="0" w:leftChars="0"/>
              <w:textAlignment w:val="baseline"/>
              <w:rPr>
                <w:rFonts w:hint="eastAsia" w:ascii="Times New Roman" w:hAnsi="Times New Roman" w:eastAsia="微软雅黑" w:cs="Times New Roman"/>
                <w:color w:val="auto"/>
                <w:kern w:val="2"/>
                <w:sz w:val="21"/>
                <w:szCs w:val="24"/>
                <w:lang w:val="en-US" w:eastAsia="zh-CN" w:bidi="ar-SA"/>
              </w:rPr>
            </w:pPr>
            <w:r>
              <w:rPr>
                <w:rFonts w:hint="eastAsia" w:ascii="宋体" w:hAnsi="宋体" w:eastAsia="宋体" w:cs="宋体"/>
                <w:color w:val="auto"/>
                <w:kern w:val="0"/>
                <w:sz w:val="24"/>
                <w:szCs w:val="24"/>
                <w:highlight w:val="none"/>
                <w:lang w:val="en-US" w:eastAsia="zh-CN" w:bidi="ar"/>
              </w:rPr>
              <w:t>3300000.00</w:t>
            </w:r>
          </w:p>
        </w:tc>
        <w:tc>
          <w:tcPr>
            <w:tcW w:w="1710" w:type="dxa"/>
            <w:tcBorders>
              <w:top w:val="single" w:color="auto" w:sz="4" w:space="0"/>
              <w:left w:val="double" w:color="auto" w:sz="2" w:space="0"/>
              <w:right w:val="single" w:color="auto" w:sz="4" w:space="0"/>
            </w:tcBorders>
            <w:vAlign w:val="center"/>
          </w:tcPr>
          <w:p w14:paraId="7F51892D">
            <w:pPr>
              <w:pStyle w:val="44"/>
              <w:pageBreakBefore w:val="0"/>
              <w:kinsoku/>
              <w:wordWrap/>
              <w:overflowPunct/>
              <w:topLinePunct w:val="0"/>
              <w:autoSpaceDE/>
              <w:autoSpaceDN/>
              <w:bidi w:val="0"/>
              <w:ind w:left="0" w:leftChars="0"/>
              <w:textAlignment w:val="baseline"/>
              <w:rPr>
                <w:color w:val="auto"/>
              </w:rPr>
            </w:pPr>
            <w:r>
              <w:rPr>
                <w:rFonts w:hint="eastAsia" w:ascii="宋体" w:hAnsi="宋体" w:eastAsia="宋体" w:cs="宋体"/>
                <w:color w:val="auto"/>
                <w:kern w:val="0"/>
                <w:sz w:val="24"/>
                <w:szCs w:val="24"/>
                <w:highlight w:val="none"/>
                <w:lang w:val="en-US" w:eastAsia="zh-CN" w:bidi="ar"/>
              </w:rPr>
              <w:t>慈利县2026年度菜籽油大县奖励资金项目—油菜种子、硼肥采购子项目</w:t>
            </w:r>
          </w:p>
        </w:tc>
        <w:tc>
          <w:tcPr>
            <w:tcW w:w="1620" w:type="dxa"/>
            <w:tcBorders>
              <w:top w:val="single" w:color="auto" w:sz="4" w:space="0"/>
              <w:left w:val="single" w:color="auto" w:sz="4" w:space="0"/>
              <w:right w:val="single" w:color="auto" w:sz="4" w:space="0"/>
            </w:tcBorders>
            <w:vAlign w:val="center"/>
          </w:tcPr>
          <w:p w14:paraId="4776046E">
            <w:pPr>
              <w:pStyle w:val="44"/>
              <w:pageBreakBefore w:val="0"/>
              <w:kinsoku/>
              <w:wordWrap/>
              <w:overflowPunct/>
              <w:topLinePunct w:val="0"/>
              <w:autoSpaceDE/>
              <w:autoSpaceDN/>
              <w:bidi w:val="0"/>
              <w:ind w:left="0" w:leftChars="0"/>
              <w:textAlignment w:val="baseline"/>
              <w:rPr>
                <w:rFonts w:hint="eastAsia"/>
                <w:color w:val="auto"/>
                <w:highlight w:val="none"/>
              </w:rPr>
            </w:pPr>
            <w:r>
              <w:rPr>
                <w:rFonts w:hint="eastAsia"/>
                <w:color w:val="auto"/>
                <w:highlight w:val="none"/>
              </w:rPr>
              <w:t>详见第三章</w:t>
            </w:r>
          </w:p>
          <w:p w14:paraId="39B742B5">
            <w:pPr>
              <w:pStyle w:val="44"/>
              <w:pageBreakBefore w:val="0"/>
              <w:kinsoku/>
              <w:wordWrap/>
              <w:overflowPunct/>
              <w:topLinePunct w:val="0"/>
              <w:autoSpaceDE/>
              <w:autoSpaceDN/>
              <w:bidi w:val="0"/>
              <w:ind w:left="0" w:leftChars="0"/>
              <w:textAlignment w:val="baseline"/>
              <w:rPr>
                <w:color w:val="auto"/>
              </w:rPr>
            </w:pPr>
            <w:r>
              <w:rPr>
                <w:rFonts w:hint="eastAsia"/>
                <w:color w:val="auto"/>
                <w:highlight w:val="none"/>
              </w:rPr>
              <w:t>采购需求</w:t>
            </w:r>
          </w:p>
        </w:tc>
        <w:tc>
          <w:tcPr>
            <w:tcW w:w="1095" w:type="dxa"/>
            <w:tcBorders>
              <w:top w:val="single" w:color="auto" w:sz="4" w:space="0"/>
              <w:left w:val="single" w:color="auto" w:sz="4" w:space="0"/>
              <w:right w:val="single" w:color="auto" w:sz="4" w:space="0"/>
            </w:tcBorders>
            <w:vAlign w:val="center"/>
          </w:tcPr>
          <w:p w14:paraId="507E4AFF">
            <w:pPr>
              <w:pStyle w:val="44"/>
              <w:pageBreakBefore w:val="0"/>
              <w:kinsoku/>
              <w:wordWrap/>
              <w:overflowPunct/>
              <w:topLinePunct w:val="0"/>
              <w:autoSpaceDE/>
              <w:autoSpaceDN/>
              <w:bidi w:val="0"/>
              <w:ind w:left="0" w:leftChars="0"/>
              <w:textAlignment w:val="baseline"/>
              <w:rPr>
                <w:rFonts w:hint="default" w:eastAsia="微软雅黑"/>
                <w:color w:val="auto"/>
                <w:lang w:val="en-US" w:eastAsia="zh-CN"/>
              </w:rPr>
            </w:pPr>
            <w:r>
              <w:rPr>
                <w:rFonts w:hint="eastAsia"/>
                <w:color w:val="auto"/>
                <w:highlight w:val="none"/>
                <w:lang w:val="en-US" w:eastAsia="zh-CN"/>
              </w:rPr>
              <w:t>1项</w:t>
            </w:r>
          </w:p>
        </w:tc>
        <w:tc>
          <w:tcPr>
            <w:tcW w:w="1657" w:type="dxa"/>
            <w:tcBorders>
              <w:top w:val="single" w:color="auto" w:sz="4" w:space="0"/>
              <w:left w:val="single" w:color="auto" w:sz="4" w:space="0"/>
              <w:right w:val="single" w:color="auto" w:sz="4" w:space="0"/>
            </w:tcBorders>
            <w:vAlign w:val="center"/>
          </w:tcPr>
          <w:p w14:paraId="0EB7A735">
            <w:pPr>
              <w:pStyle w:val="44"/>
              <w:pageBreakBefore w:val="0"/>
              <w:kinsoku/>
              <w:wordWrap/>
              <w:overflowPunct/>
              <w:topLinePunct w:val="0"/>
              <w:autoSpaceDE/>
              <w:autoSpaceDN/>
              <w:bidi w:val="0"/>
              <w:ind w:left="0" w:leftChars="0"/>
              <w:textAlignment w:val="baseline"/>
              <w:rPr>
                <w:rFonts w:hint="eastAsia" w:eastAsia="微软雅黑"/>
                <w:color w:val="auto"/>
                <w:lang w:eastAsia="zh-CN"/>
              </w:rPr>
            </w:pPr>
            <w:r>
              <w:rPr>
                <w:rFonts w:hint="eastAsia" w:ascii="宋体" w:hAnsi="宋体" w:eastAsia="宋体" w:cs="宋体"/>
                <w:color w:val="auto"/>
                <w:kern w:val="0"/>
                <w:sz w:val="24"/>
                <w:szCs w:val="24"/>
                <w:highlight w:val="none"/>
                <w:lang w:val="en-US" w:eastAsia="zh-CN" w:bidi="ar"/>
              </w:rPr>
              <w:t>3300000.00</w:t>
            </w:r>
          </w:p>
        </w:tc>
        <w:tc>
          <w:tcPr>
            <w:tcW w:w="723" w:type="dxa"/>
            <w:tcBorders>
              <w:top w:val="single" w:color="auto" w:sz="4" w:space="0"/>
              <w:left w:val="single" w:color="auto" w:sz="4" w:space="0"/>
              <w:right w:val="single" w:color="auto" w:sz="4" w:space="0"/>
            </w:tcBorders>
            <w:vAlign w:val="center"/>
          </w:tcPr>
          <w:p w14:paraId="28B3EF86">
            <w:pPr>
              <w:pStyle w:val="44"/>
              <w:pageBreakBefore w:val="0"/>
              <w:kinsoku/>
              <w:wordWrap/>
              <w:overflowPunct/>
              <w:topLinePunct w:val="0"/>
              <w:autoSpaceDE/>
              <w:autoSpaceDN/>
              <w:bidi w:val="0"/>
              <w:ind w:left="0" w:leftChars="0"/>
              <w:textAlignment w:val="baseline"/>
              <w:rPr>
                <w:color w:val="auto"/>
              </w:rPr>
            </w:pPr>
            <w:r>
              <w:rPr>
                <w:rFonts w:hint="eastAsia" w:ascii="Times New Roman" w:hAnsi="Times New Roman" w:eastAsia="宋体" w:cs="Times New Roman"/>
                <w:color w:val="auto"/>
                <w:lang w:val="en-US" w:eastAsia="zh-CN"/>
              </w:rPr>
              <w:sym w:font="Wingdings" w:char="00A8"/>
            </w:r>
          </w:p>
        </w:tc>
        <w:tc>
          <w:tcPr>
            <w:tcW w:w="708" w:type="dxa"/>
            <w:tcBorders>
              <w:top w:val="single" w:color="auto" w:sz="4" w:space="0"/>
              <w:left w:val="single" w:color="auto" w:sz="4" w:space="0"/>
            </w:tcBorders>
            <w:vAlign w:val="center"/>
          </w:tcPr>
          <w:p w14:paraId="10751E5D">
            <w:pPr>
              <w:pStyle w:val="44"/>
              <w:pageBreakBefore w:val="0"/>
              <w:kinsoku/>
              <w:wordWrap/>
              <w:overflowPunct/>
              <w:topLinePunct w:val="0"/>
              <w:autoSpaceDE/>
              <w:autoSpaceDN/>
              <w:bidi w:val="0"/>
              <w:ind w:left="0" w:leftChars="0"/>
              <w:jc w:val="center"/>
              <w:textAlignment w:val="baseline"/>
              <w:rPr>
                <w:color w:val="auto"/>
              </w:rPr>
            </w:pPr>
            <w:r>
              <w:rPr>
                <w:rFonts w:hint="eastAsia" w:ascii="Times New Roman" w:hAnsi="Times New Roman" w:eastAsia="宋体" w:cs="Times New Roman"/>
                <w:color w:val="auto"/>
                <w:lang w:val="en-US" w:eastAsia="zh-CN"/>
              </w:rPr>
              <w:sym w:font="Wingdings" w:char="00A8"/>
            </w:r>
          </w:p>
        </w:tc>
      </w:tr>
    </w:tbl>
    <w:p w14:paraId="59F50252">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480" w:leftChars="0" w:hanging="480" w:hangingChars="200"/>
        <w:jc w:val="left"/>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备注</w:t>
      </w:r>
      <w:r>
        <w:rPr>
          <w:rFonts w:ascii="宋体" w:hAnsi="宋体" w:eastAsia="宋体" w:cs="宋体"/>
          <w:color w:val="auto"/>
          <w:kern w:val="0"/>
          <w:sz w:val="24"/>
          <w:szCs w:val="24"/>
          <w:lang w:val="en-US" w:eastAsia="zh-CN" w:bidi="ar"/>
        </w:rPr>
        <w:t>1.节能产品实行强制采购的，需提供国家认证机构出具的、处于有效期内的节能产品证书。2.同意购买进口产品的，不限制满足采购需求的国内产品参与投标。</w:t>
      </w:r>
    </w:p>
    <w:p w14:paraId="335A1CDA">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321" w:leftChars="0" w:hanging="321" w:hangingChars="100"/>
        <w:jc w:val="left"/>
        <w:rPr>
          <w:rFonts w:hint="eastAsia" w:ascii="Times New Roman" w:hAnsi="Times New Roman" w:eastAsia="宋体" w:cs="Times New Roman"/>
          <w:b/>
          <w:color w:val="auto"/>
          <w:kern w:val="2"/>
          <w:sz w:val="32"/>
          <w:szCs w:val="24"/>
          <w:lang w:val="en-US" w:eastAsia="zh-CN" w:bidi="ar-SA"/>
        </w:rPr>
      </w:pPr>
      <w:r>
        <w:rPr>
          <w:rFonts w:hint="eastAsia" w:ascii="Times New Roman" w:hAnsi="Times New Roman" w:eastAsia="宋体" w:cs="Times New Roman"/>
          <w:b/>
          <w:color w:val="auto"/>
          <w:kern w:val="2"/>
          <w:sz w:val="32"/>
          <w:szCs w:val="24"/>
          <w:lang w:val="en-US" w:eastAsia="zh-CN" w:bidi="ar-SA"/>
        </w:rPr>
        <w:t>三、中标供应商的确定</w:t>
      </w:r>
    </w:p>
    <w:p w14:paraId="6E10C3A5">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eastAsia" w:ascii="宋体" w:hAnsi="宋体" w:eastAsia="宋体" w:cs="宋体"/>
          <w:color w:val="auto"/>
          <w:kern w:val="0"/>
          <w:sz w:val="24"/>
          <w:szCs w:val="24"/>
          <w:lang w:val="en-US" w:eastAsia="zh-CN" w:bidi="ar"/>
        </w:rPr>
      </w:pPr>
      <w:bookmarkStart w:id="9" w:name="_Toc5208"/>
      <w:bookmarkStart w:id="10" w:name="_Toc25701"/>
      <w:r>
        <w:rPr>
          <w:rFonts w:hint="eastAsia" w:ascii="宋体" w:hAnsi="宋体" w:eastAsia="宋体" w:cs="宋体"/>
          <w:color w:val="auto"/>
          <w:kern w:val="0"/>
          <w:sz w:val="24"/>
          <w:szCs w:val="24"/>
          <w:lang w:val="en-US" w:eastAsia="zh-CN" w:bidi="ar"/>
        </w:rPr>
        <w:t>1.本项目报价采用（减价）多轮报价方式。</w:t>
      </w:r>
      <w:bookmarkEnd w:id="9"/>
    </w:p>
    <w:p w14:paraId="68B486A2">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eastAsia" w:ascii="宋体" w:hAnsi="宋体" w:eastAsia="宋体" w:cs="宋体"/>
          <w:color w:val="auto"/>
          <w:kern w:val="0"/>
          <w:sz w:val="24"/>
          <w:szCs w:val="24"/>
          <w:lang w:val="en-US" w:eastAsia="zh-CN" w:bidi="ar"/>
        </w:rPr>
      </w:pPr>
      <w:bookmarkStart w:id="11" w:name="_Toc16625"/>
      <w:r>
        <w:rPr>
          <w:rFonts w:hint="eastAsia" w:ascii="宋体" w:hAnsi="宋体" w:eastAsia="宋体" w:cs="宋体"/>
          <w:color w:val="auto"/>
          <w:kern w:val="0"/>
          <w:sz w:val="24"/>
          <w:szCs w:val="24"/>
          <w:lang w:val="en-US" w:eastAsia="zh-CN" w:bidi="ar"/>
        </w:rPr>
        <w:t>2.本项目设置保留价（底价），根据报价情况，将不高于保留价的报价人按照报价由低到高的顺序推荐3名中标候选人，不足3个中标候选人的，按实际个数推荐。</w:t>
      </w:r>
      <w:bookmarkEnd w:id="11"/>
      <w:bookmarkStart w:id="12" w:name="_Toc2157"/>
    </w:p>
    <w:p w14:paraId="1B025AE9">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w:t>
      </w:r>
      <w:bookmarkEnd w:id="12"/>
    </w:p>
    <w:p w14:paraId="661F0786">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eastAsia" w:ascii="宋体" w:hAnsi="宋体" w:eastAsia="宋体" w:cs="宋体"/>
          <w:color w:val="auto"/>
          <w:kern w:val="0"/>
          <w:sz w:val="24"/>
          <w:szCs w:val="24"/>
          <w:lang w:val="en-US" w:eastAsia="zh-CN" w:bidi="ar"/>
        </w:rPr>
      </w:pPr>
      <w:bookmarkStart w:id="13" w:name="_Toc7119"/>
      <w:r>
        <w:rPr>
          <w:rFonts w:hint="eastAsia" w:ascii="宋体" w:hAnsi="宋体" w:eastAsia="宋体" w:cs="宋体"/>
          <w:color w:val="auto"/>
          <w:kern w:val="0"/>
          <w:sz w:val="24"/>
          <w:szCs w:val="24"/>
          <w:lang w:val="en-US" w:eastAsia="zh-CN" w:bidi="ar"/>
        </w:rPr>
        <w:t>（2）若第二中标候选人不接受此成交条件，第三中标候选人同意按照高于第一中标候选人一个减价幅度的报价的，则第三中标候选人应当确定为中标供应商。</w:t>
      </w:r>
      <w:bookmarkEnd w:id="13"/>
    </w:p>
    <w:p w14:paraId="270AAB26">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eastAsia" w:ascii="宋体" w:hAnsi="宋体" w:eastAsia="宋体" w:cs="宋体"/>
          <w:color w:val="auto"/>
          <w:spacing w:val="0"/>
          <w:kern w:val="0"/>
          <w:sz w:val="24"/>
          <w:szCs w:val="24"/>
          <w:lang w:val="en-US" w:eastAsia="zh-CN" w:bidi="ar"/>
        </w:rPr>
      </w:pPr>
      <w:bookmarkStart w:id="14" w:name="_Toc28440"/>
      <w:r>
        <w:rPr>
          <w:rFonts w:hint="eastAsia" w:ascii="宋体" w:hAnsi="宋体" w:eastAsia="宋体" w:cs="宋体"/>
          <w:color w:val="auto"/>
          <w:kern w:val="0"/>
          <w:sz w:val="24"/>
          <w:szCs w:val="24"/>
          <w:lang w:val="en-US" w:eastAsia="zh-CN" w:bidi="ar"/>
        </w:rPr>
        <w:t>（3）若3个中标、成交候选人均不接受此成交条件，采购人应当重新组织采购活动。</w:t>
      </w:r>
      <w:bookmarkEnd w:id="10"/>
      <w:bookmarkEnd w:id="14"/>
    </w:p>
    <w:p w14:paraId="788A967B">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321" w:leftChars="0" w:hanging="321" w:hangingChars="100"/>
        <w:jc w:val="left"/>
        <w:rPr>
          <w:rFonts w:hint="eastAsia" w:ascii="Times New Roman" w:hAnsi="Times New Roman" w:eastAsia="宋体" w:cs="Times New Roman"/>
          <w:b/>
          <w:color w:val="auto"/>
          <w:kern w:val="2"/>
          <w:sz w:val="32"/>
          <w:szCs w:val="24"/>
          <w:lang w:val="en-US" w:eastAsia="zh-CN" w:bidi="ar-SA"/>
        </w:rPr>
      </w:pPr>
      <w:bookmarkStart w:id="15" w:name="_Toc14428"/>
      <w:r>
        <w:rPr>
          <w:rFonts w:hint="eastAsia" w:ascii="Times New Roman" w:hAnsi="Times New Roman" w:eastAsia="宋体" w:cs="Times New Roman"/>
          <w:b/>
          <w:color w:val="auto"/>
          <w:kern w:val="2"/>
          <w:sz w:val="32"/>
          <w:szCs w:val="24"/>
          <w:lang w:val="en-US" w:eastAsia="zh-CN" w:bidi="ar-SA"/>
        </w:rPr>
        <w:t>四、公开竞价起始价、保证金、竞价幅度要求：</w:t>
      </w:r>
      <w:bookmarkEnd w:id="15"/>
    </w:p>
    <w:tbl>
      <w:tblPr>
        <w:tblStyle w:val="32"/>
        <w:tblW w:w="98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659"/>
        <w:gridCol w:w="1754"/>
        <w:gridCol w:w="2305"/>
        <w:gridCol w:w="1923"/>
        <w:gridCol w:w="1229"/>
      </w:tblGrid>
      <w:tr w14:paraId="16D3AEB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743" w:hRule="atLeast"/>
        </w:trPr>
        <w:tc>
          <w:tcPr>
            <w:tcW w:w="2659" w:type="dxa"/>
            <w:tcBorders>
              <w:tl2br w:val="nil"/>
              <w:tr2bl w:val="nil"/>
            </w:tcBorders>
            <w:shd w:val="pct10" w:color="ADB9CA" w:fill="D6DCE5"/>
            <w:tcMar>
              <w:top w:w="0" w:type="dxa"/>
              <w:left w:w="84" w:type="dxa"/>
              <w:bottom w:w="0" w:type="dxa"/>
              <w:right w:w="84" w:type="dxa"/>
            </w:tcMar>
            <w:vAlign w:val="center"/>
          </w:tcPr>
          <w:p w14:paraId="678F8D0A">
            <w:pPr>
              <w:pStyle w:val="44"/>
              <w:pageBreakBefore w:val="0"/>
              <w:kinsoku/>
              <w:wordWrap/>
              <w:overflowPunct/>
              <w:topLinePunct w:val="0"/>
              <w:autoSpaceDE/>
              <w:autoSpaceDN/>
              <w:bidi w:val="0"/>
              <w:ind w:left="0" w:leftChars="0"/>
              <w:rPr>
                <w:color w:val="auto"/>
                <w:highlight w:val="none"/>
              </w:rPr>
            </w:pPr>
            <w:bookmarkStart w:id="16" w:name="_Toc11298"/>
            <w:r>
              <w:rPr>
                <w:rFonts w:hint="eastAsia"/>
                <w:color w:val="auto"/>
                <w:highlight w:val="none"/>
                <w:lang w:val="en-US" w:eastAsia="zh-CN"/>
              </w:rPr>
              <w:t>采购</w:t>
            </w:r>
            <w:r>
              <w:rPr>
                <w:rFonts w:hint="eastAsia"/>
                <w:color w:val="auto"/>
                <w:highlight w:val="none"/>
              </w:rPr>
              <w:t>项目名称</w:t>
            </w:r>
          </w:p>
        </w:tc>
        <w:tc>
          <w:tcPr>
            <w:tcW w:w="1754" w:type="dxa"/>
            <w:tcBorders>
              <w:tl2br w:val="nil"/>
              <w:tr2bl w:val="nil"/>
            </w:tcBorders>
            <w:shd w:val="pct10" w:color="ADB9CA" w:fill="D6DCE5"/>
            <w:tcMar>
              <w:top w:w="0" w:type="dxa"/>
              <w:left w:w="84" w:type="dxa"/>
              <w:bottom w:w="0" w:type="dxa"/>
              <w:right w:w="84" w:type="dxa"/>
            </w:tcMar>
            <w:vAlign w:val="center"/>
          </w:tcPr>
          <w:p w14:paraId="54F7BC95">
            <w:pPr>
              <w:pStyle w:val="44"/>
              <w:pageBreakBefore w:val="0"/>
              <w:kinsoku/>
              <w:wordWrap/>
              <w:overflowPunct/>
              <w:topLinePunct w:val="0"/>
              <w:autoSpaceDE/>
              <w:autoSpaceDN/>
              <w:bidi w:val="0"/>
              <w:ind w:left="0" w:leftChars="0"/>
              <w:rPr>
                <w:rFonts w:hint="eastAsia"/>
                <w:color w:val="auto"/>
                <w:highlight w:val="none"/>
              </w:rPr>
            </w:pPr>
            <w:r>
              <w:rPr>
                <w:rFonts w:hint="eastAsia"/>
                <w:color w:val="auto"/>
                <w:highlight w:val="none"/>
                <w:lang w:val="en-US" w:eastAsia="zh-CN"/>
              </w:rPr>
              <w:t>报价</w:t>
            </w:r>
            <w:r>
              <w:rPr>
                <w:rFonts w:hint="eastAsia"/>
                <w:color w:val="auto"/>
                <w:highlight w:val="none"/>
              </w:rPr>
              <w:t>起始价</w:t>
            </w:r>
          </w:p>
          <w:p w14:paraId="431D8D14">
            <w:pPr>
              <w:pStyle w:val="44"/>
              <w:pageBreakBefore w:val="0"/>
              <w:kinsoku/>
              <w:wordWrap/>
              <w:overflowPunct/>
              <w:topLinePunct w:val="0"/>
              <w:autoSpaceDE/>
              <w:autoSpaceDN/>
              <w:bidi w:val="0"/>
              <w:ind w:left="0" w:leftChars="0"/>
              <w:rPr>
                <w:color w:val="auto"/>
                <w:highlight w:val="none"/>
              </w:rPr>
            </w:pPr>
            <w:r>
              <w:rPr>
                <w:rFonts w:hint="eastAsia"/>
                <w:color w:val="auto"/>
                <w:highlight w:val="none"/>
              </w:rPr>
              <w:t>（元）</w:t>
            </w:r>
          </w:p>
        </w:tc>
        <w:tc>
          <w:tcPr>
            <w:tcW w:w="2305" w:type="dxa"/>
            <w:tcBorders>
              <w:tl2br w:val="nil"/>
              <w:tr2bl w:val="nil"/>
            </w:tcBorders>
            <w:shd w:val="pct10" w:color="ADB9CA" w:fill="D6DCE5"/>
            <w:tcMar>
              <w:top w:w="0" w:type="dxa"/>
              <w:left w:w="84" w:type="dxa"/>
              <w:bottom w:w="0" w:type="dxa"/>
              <w:right w:w="84" w:type="dxa"/>
            </w:tcMar>
            <w:vAlign w:val="center"/>
          </w:tcPr>
          <w:p w14:paraId="587D9B7B">
            <w:pPr>
              <w:pStyle w:val="44"/>
              <w:pageBreakBefore w:val="0"/>
              <w:kinsoku/>
              <w:wordWrap/>
              <w:overflowPunct/>
              <w:topLinePunct w:val="0"/>
              <w:autoSpaceDE/>
              <w:autoSpaceDN/>
              <w:bidi w:val="0"/>
              <w:ind w:left="0" w:leftChars="0"/>
              <w:rPr>
                <w:color w:val="auto"/>
                <w:highlight w:val="none"/>
              </w:rPr>
            </w:pPr>
            <w:r>
              <w:rPr>
                <w:rFonts w:hint="eastAsia"/>
                <w:color w:val="auto"/>
                <w:highlight w:val="none"/>
              </w:rPr>
              <w:t>保证金（元）</w:t>
            </w:r>
          </w:p>
        </w:tc>
        <w:tc>
          <w:tcPr>
            <w:tcW w:w="1923" w:type="dxa"/>
            <w:tcBorders>
              <w:tl2br w:val="nil"/>
              <w:tr2bl w:val="nil"/>
            </w:tcBorders>
            <w:shd w:val="pct10" w:color="ADB9CA" w:fill="D6DCE5"/>
            <w:tcMar>
              <w:top w:w="0" w:type="dxa"/>
              <w:left w:w="84" w:type="dxa"/>
              <w:bottom w:w="0" w:type="dxa"/>
              <w:right w:w="84" w:type="dxa"/>
            </w:tcMar>
            <w:vAlign w:val="center"/>
          </w:tcPr>
          <w:p w14:paraId="029A3A8E">
            <w:pPr>
              <w:pStyle w:val="44"/>
              <w:pageBreakBefore w:val="0"/>
              <w:kinsoku/>
              <w:wordWrap/>
              <w:overflowPunct/>
              <w:topLinePunct w:val="0"/>
              <w:autoSpaceDE/>
              <w:autoSpaceDN/>
              <w:bidi w:val="0"/>
              <w:ind w:left="0" w:leftChars="0"/>
              <w:rPr>
                <w:color w:val="auto"/>
                <w:highlight w:val="none"/>
              </w:rPr>
            </w:pPr>
            <w:r>
              <w:rPr>
                <w:rFonts w:hint="eastAsia"/>
                <w:color w:val="auto"/>
                <w:highlight w:val="none"/>
                <w:lang w:val="en-US" w:eastAsia="zh-CN"/>
              </w:rPr>
              <w:t>报价</w:t>
            </w:r>
            <w:r>
              <w:rPr>
                <w:rFonts w:hint="eastAsia"/>
                <w:color w:val="auto"/>
                <w:highlight w:val="none"/>
              </w:rPr>
              <w:t>（减价）幅度（元）</w:t>
            </w:r>
          </w:p>
        </w:tc>
        <w:tc>
          <w:tcPr>
            <w:tcW w:w="1229" w:type="dxa"/>
            <w:tcBorders>
              <w:tl2br w:val="nil"/>
              <w:tr2bl w:val="nil"/>
            </w:tcBorders>
            <w:shd w:val="pct10" w:color="ADB9CA" w:fill="D6DCE5"/>
            <w:tcMar>
              <w:top w:w="0" w:type="dxa"/>
              <w:left w:w="84" w:type="dxa"/>
              <w:bottom w:w="0" w:type="dxa"/>
              <w:right w:w="84" w:type="dxa"/>
            </w:tcMar>
            <w:vAlign w:val="center"/>
          </w:tcPr>
          <w:p w14:paraId="73F8B8FB">
            <w:pPr>
              <w:pStyle w:val="44"/>
              <w:pageBreakBefore w:val="0"/>
              <w:kinsoku/>
              <w:wordWrap/>
              <w:overflowPunct/>
              <w:topLinePunct w:val="0"/>
              <w:autoSpaceDE/>
              <w:autoSpaceDN/>
              <w:bidi w:val="0"/>
              <w:ind w:left="0" w:leftChars="0"/>
              <w:rPr>
                <w:color w:val="auto"/>
                <w:highlight w:val="none"/>
              </w:rPr>
            </w:pPr>
            <w:r>
              <w:rPr>
                <w:rFonts w:hint="eastAsia"/>
                <w:color w:val="auto"/>
                <w:highlight w:val="none"/>
              </w:rPr>
              <w:t>备注</w:t>
            </w:r>
          </w:p>
        </w:tc>
      </w:tr>
      <w:tr w14:paraId="37397E5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57" w:hRule="atLeast"/>
        </w:trPr>
        <w:tc>
          <w:tcPr>
            <w:tcW w:w="2659" w:type="dxa"/>
            <w:tcBorders>
              <w:tl2br w:val="nil"/>
              <w:tr2bl w:val="nil"/>
            </w:tcBorders>
            <w:tcMar>
              <w:top w:w="0" w:type="dxa"/>
              <w:left w:w="84" w:type="dxa"/>
              <w:bottom w:w="0" w:type="dxa"/>
              <w:right w:w="84" w:type="dxa"/>
            </w:tcMar>
            <w:vAlign w:val="center"/>
          </w:tcPr>
          <w:p w14:paraId="2848B529">
            <w:pPr>
              <w:pStyle w:val="44"/>
              <w:pageBreakBefore w:val="0"/>
              <w:kinsoku/>
              <w:wordWrap/>
              <w:overflowPunct/>
              <w:topLinePunct w:val="0"/>
              <w:autoSpaceDE/>
              <w:autoSpaceDN/>
              <w:bidi w:val="0"/>
              <w:ind w:left="0" w:leftChars="0"/>
              <w:rPr>
                <w:rFonts w:hint="eastAsia" w:eastAsia="微软雅黑"/>
                <w:b w:val="0"/>
                <w:bCs/>
                <w:color w:val="auto"/>
                <w:highlight w:val="none"/>
                <w:lang w:eastAsia="zh-CN"/>
              </w:rPr>
            </w:pPr>
            <w:r>
              <w:rPr>
                <w:rFonts w:hint="eastAsia"/>
                <w:b w:val="0"/>
                <w:bCs/>
                <w:color w:val="auto"/>
                <w:highlight w:val="none"/>
                <w:lang w:eastAsia="zh-CN"/>
              </w:rPr>
              <w:t>慈利县2026年度菜籽油大县奖励资金项目—油菜种子、硼肥采购子项目</w:t>
            </w:r>
          </w:p>
        </w:tc>
        <w:tc>
          <w:tcPr>
            <w:tcW w:w="1754" w:type="dxa"/>
            <w:tcBorders>
              <w:tl2br w:val="nil"/>
              <w:tr2bl w:val="nil"/>
            </w:tcBorders>
            <w:tcMar>
              <w:top w:w="0" w:type="dxa"/>
              <w:left w:w="84" w:type="dxa"/>
              <w:bottom w:w="0" w:type="dxa"/>
              <w:right w:w="84" w:type="dxa"/>
            </w:tcMar>
            <w:vAlign w:val="center"/>
          </w:tcPr>
          <w:p w14:paraId="67D9E787">
            <w:pPr>
              <w:pStyle w:val="44"/>
              <w:pageBreakBefore w:val="0"/>
              <w:kinsoku/>
              <w:wordWrap/>
              <w:overflowPunct/>
              <w:topLinePunct w:val="0"/>
              <w:autoSpaceDE/>
              <w:autoSpaceDN/>
              <w:bidi w:val="0"/>
              <w:ind w:left="0" w:leftChars="0"/>
              <w:rPr>
                <w:rFonts w:hint="default" w:eastAsia="微软雅黑"/>
                <w:b w:val="0"/>
                <w:bCs/>
                <w:color w:val="auto"/>
                <w:highlight w:val="none"/>
                <w:lang w:val="en-US" w:eastAsia="zh-CN"/>
              </w:rPr>
            </w:pPr>
            <w:r>
              <w:rPr>
                <w:rFonts w:hint="eastAsia" w:ascii="宋体" w:hAnsi="宋体" w:eastAsia="宋体" w:cs="宋体"/>
                <w:color w:val="auto"/>
                <w:highlight w:val="none"/>
                <w:u w:val="single"/>
                <w:lang w:val="en-US" w:eastAsia="zh-CN"/>
              </w:rPr>
              <w:t>3300000.00</w:t>
            </w:r>
          </w:p>
        </w:tc>
        <w:tc>
          <w:tcPr>
            <w:tcW w:w="2305" w:type="dxa"/>
            <w:tcBorders>
              <w:tl2br w:val="nil"/>
              <w:tr2bl w:val="nil"/>
            </w:tcBorders>
            <w:tcMar>
              <w:top w:w="0" w:type="dxa"/>
              <w:left w:w="84" w:type="dxa"/>
              <w:bottom w:w="0" w:type="dxa"/>
              <w:right w:w="84" w:type="dxa"/>
            </w:tcMar>
            <w:vAlign w:val="center"/>
          </w:tcPr>
          <w:p w14:paraId="7FDDC2FA">
            <w:pPr>
              <w:pStyle w:val="44"/>
              <w:pageBreakBefore w:val="0"/>
              <w:kinsoku/>
              <w:wordWrap/>
              <w:overflowPunct/>
              <w:topLinePunct w:val="0"/>
              <w:autoSpaceDE/>
              <w:autoSpaceDN/>
              <w:bidi w:val="0"/>
              <w:ind w:left="0" w:leftChars="0"/>
              <w:jc w:val="center"/>
              <w:rPr>
                <w:rFonts w:hint="default" w:eastAsia="微软雅黑"/>
                <w:b w:val="0"/>
                <w:bCs/>
                <w:color w:val="auto"/>
                <w:highlight w:val="none"/>
                <w:u w:val="single"/>
                <w:lang w:val="en-US" w:eastAsia="zh-CN"/>
              </w:rPr>
            </w:pPr>
            <w:r>
              <w:rPr>
                <w:rFonts w:hint="eastAsia"/>
                <w:b w:val="0"/>
                <w:bCs/>
                <w:color w:val="auto"/>
                <w:highlight w:val="none"/>
                <w:u w:val="single"/>
                <w:lang w:val="en-US" w:eastAsia="zh-CN"/>
              </w:rPr>
              <w:t>1元</w:t>
            </w:r>
          </w:p>
        </w:tc>
        <w:tc>
          <w:tcPr>
            <w:tcW w:w="1923" w:type="dxa"/>
            <w:tcBorders>
              <w:tl2br w:val="nil"/>
              <w:tr2bl w:val="nil"/>
            </w:tcBorders>
            <w:tcMar>
              <w:top w:w="0" w:type="dxa"/>
              <w:left w:w="84" w:type="dxa"/>
              <w:bottom w:w="0" w:type="dxa"/>
              <w:right w:w="84" w:type="dxa"/>
            </w:tcMar>
            <w:vAlign w:val="center"/>
          </w:tcPr>
          <w:p w14:paraId="292B5956">
            <w:pPr>
              <w:pStyle w:val="44"/>
              <w:pageBreakBefore w:val="0"/>
              <w:kinsoku/>
              <w:wordWrap/>
              <w:overflowPunct/>
              <w:topLinePunct w:val="0"/>
              <w:autoSpaceDE/>
              <w:autoSpaceDN/>
              <w:bidi w:val="0"/>
              <w:ind w:left="0" w:leftChars="0"/>
              <w:rPr>
                <w:rFonts w:hint="eastAsia" w:eastAsia="微软雅黑"/>
                <w:b w:val="0"/>
                <w:bCs/>
                <w:color w:val="auto"/>
                <w:highlight w:val="none"/>
                <w:lang w:val="en-US" w:eastAsia="zh-CN"/>
              </w:rPr>
            </w:pPr>
            <w:r>
              <w:rPr>
                <w:rFonts w:hint="eastAsia"/>
                <w:b w:val="0"/>
                <w:bCs/>
                <w:color w:val="auto"/>
                <w:highlight w:val="none"/>
                <w:lang w:val="en-US" w:eastAsia="zh-CN"/>
              </w:rPr>
              <w:t>33000及</w:t>
            </w:r>
            <w:r>
              <w:rPr>
                <w:rFonts w:hint="eastAsia"/>
                <w:b w:val="0"/>
                <w:bCs/>
                <w:color w:val="auto"/>
                <w:highlight w:val="none"/>
                <w:lang w:val="en-US" w:eastAsia="zh-CN"/>
              </w:rPr>
              <w:t>其整数倍</w:t>
            </w:r>
          </w:p>
        </w:tc>
        <w:tc>
          <w:tcPr>
            <w:tcW w:w="1229" w:type="dxa"/>
            <w:tcBorders>
              <w:tl2br w:val="nil"/>
              <w:tr2bl w:val="nil"/>
            </w:tcBorders>
            <w:tcMar>
              <w:top w:w="0" w:type="dxa"/>
              <w:left w:w="84" w:type="dxa"/>
              <w:bottom w:w="0" w:type="dxa"/>
              <w:right w:w="84" w:type="dxa"/>
            </w:tcMar>
            <w:vAlign w:val="center"/>
          </w:tcPr>
          <w:p w14:paraId="283C107D">
            <w:pPr>
              <w:pStyle w:val="44"/>
              <w:pageBreakBefore w:val="0"/>
              <w:kinsoku/>
              <w:wordWrap/>
              <w:overflowPunct/>
              <w:topLinePunct w:val="0"/>
              <w:autoSpaceDE/>
              <w:autoSpaceDN/>
              <w:bidi w:val="0"/>
              <w:ind w:left="0" w:leftChars="0"/>
              <w:rPr>
                <w:b w:val="0"/>
                <w:bCs/>
                <w:color w:val="auto"/>
                <w:highlight w:val="none"/>
              </w:rPr>
            </w:pPr>
          </w:p>
        </w:tc>
      </w:tr>
    </w:tbl>
    <w:p w14:paraId="601CB7C9">
      <w:pPr>
        <w:pStyle w:val="4"/>
        <w:keepNext w:val="0"/>
        <w:keepLines w:val="0"/>
        <w:pageBreakBefore w:val="0"/>
        <w:widowControl/>
        <w:suppressLineNumbers w:val="0"/>
        <w:kinsoku/>
        <w:wordWrap/>
        <w:overflowPunct/>
        <w:topLinePunct w:val="0"/>
        <w:autoSpaceDE/>
        <w:autoSpaceDN/>
        <w:bidi w:val="0"/>
        <w:spacing w:before="0" w:after="0"/>
        <w:ind w:left="0" w:leftChars="0" w:firstLine="321" w:firstLineChars="100"/>
        <w:jc w:val="both"/>
        <w:outlineLvl w:val="1"/>
        <w:rPr>
          <w:color w:val="auto"/>
        </w:rPr>
      </w:pPr>
      <w:r>
        <w:rPr>
          <w:rFonts w:hint="eastAsia"/>
          <w:color w:val="auto"/>
          <w:lang w:val="en-US" w:eastAsia="zh-CN"/>
        </w:rPr>
        <w:t>五</w:t>
      </w:r>
      <w:r>
        <w:rPr>
          <w:color w:val="auto"/>
        </w:rPr>
        <w:t>、投标人的资格要求：</w:t>
      </w:r>
      <w:bookmarkEnd w:id="16"/>
    </w:p>
    <w:p w14:paraId="6732907E">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投标人的基本资格条件：投标人必须是在中华人民共和国境内注册登记的法人、其他组织或者自然人，且应当符合《政府采购法》第二十二条第一款的规定。</w:t>
      </w:r>
      <w:r>
        <w:rPr>
          <w:rFonts w:hint="eastAsia" w:ascii="宋体" w:hAnsi="宋体" w:eastAsia="宋体" w:cs="宋体"/>
          <w:color w:val="auto"/>
          <w:kern w:val="0"/>
          <w:sz w:val="24"/>
          <w:szCs w:val="24"/>
          <w:lang w:val="en-US" w:eastAsia="zh-CN" w:bidi="ar"/>
        </w:rPr>
        <w:t>即：</w:t>
      </w:r>
      <w:r>
        <w:rPr>
          <w:rFonts w:ascii="宋体" w:hAnsi="宋体" w:eastAsia="宋体" w:cs="宋体"/>
          <w:color w:val="auto"/>
          <w:kern w:val="0"/>
          <w:sz w:val="24"/>
          <w:szCs w:val="24"/>
          <w:lang w:val="en-US" w:eastAsia="zh-CN" w:bidi="ar"/>
        </w:rPr>
        <w:t xml:space="preserve"> </w:t>
      </w:r>
    </w:p>
    <w:p w14:paraId="076C186B">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（1）具有独立承担民事责任的能力；</w:t>
      </w:r>
    </w:p>
    <w:p w14:paraId="0D7FECBE">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（2）具有良好的商业信誉和健全的财务会计制度；</w:t>
      </w:r>
    </w:p>
    <w:p w14:paraId="5D7BFC63">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（3）具有履行合同所必需的设备和专业技术能力；</w:t>
      </w:r>
    </w:p>
    <w:p w14:paraId="3F1EF0A2">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（4）有依法缴纳税收和社会保障资金的良好记录；</w:t>
      </w:r>
    </w:p>
    <w:p w14:paraId="2A354DE6">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（5）参加政府采购活动前三年内，在经营活动中没有重大违法记录；</w:t>
      </w:r>
    </w:p>
    <w:p w14:paraId="5F91A69E">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（6）法律、行政法规规定的其他条件。</w:t>
      </w:r>
    </w:p>
    <w:p w14:paraId="100FE496">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hint="eastAsia" w:ascii="宋体" w:hAnsi="宋体" w:eastAsia="宋体" w:cs="宋体"/>
          <w:b/>
          <w:bCs/>
          <w:color w:val="auto"/>
          <w:kern w:val="2"/>
          <w:sz w:val="22"/>
          <w:szCs w:val="22"/>
          <w:u w:val="none"/>
          <w:lang w:val="en-US" w:eastAsia="zh-CN" w:bidi="ar"/>
        </w:rPr>
      </w:pPr>
      <w:r>
        <w:rPr>
          <w:rFonts w:hint="eastAsia" w:ascii="宋体" w:hAnsi="宋体" w:eastAsia="宋体" w:cs="宋体"/>
          <w:color w:val="auto"/>
          <w:kern w:val="0"/>
          <w:sz w:val="24"/>
          <w:szCs w:val="24"/>
          <w:lang w:val="en-US" w:eastAsia="zh-CN" w:bidi="ar"/>
        </w:rPr>
        <w:t>2.</w:t>
      </w:r>
      <w:r>
        <w:rPr>
          <w:rFonts w:ascii="宋体" w:hAnsi="宋体" w:eastAsia="宋体" w:cs="宋体"/>
          <w:color w:val="auto"/>
          <w:kern w:val="0"/>
          <w:sz w:val="24"/>
          <w:szCs w:val="24"/>
          <w:lang w:val="en-US" w:eastAsia="zh-CN" w:bidi="ar"/>
        </w:rPr>
        <w:t>供应商特定资格条件：</w:t>
      </w:r>
      <w:r>
        <w:rPr>
          <w:rFonts w:hint="eastAsia" w:ascii="宋体" w:hAnsi="宋体" w:eastAsia="宋体" w:cs="宋体"/>
          <w:b/>
          <w:bCs/>
          <w:color w:val="auto"/>
          <w:kern w:val="2"/>
          <w:sz w:val="22"/>
          <w:szCs w:val="22"/>
          <w:highlight w:val="none"/>
          <w:u w:val="single"/>
          <w:lang w:val="en-US" w:eastAsia="zh-CN" w:bidi="ar"/>
        </w:rPr>
        <w:t>具有行政主管部门核发的农作物种子生产经营许可证</w:t>
      </w:r>
      <w:r>
        <w:rPr>
          <w:rFonts w:hint="eastAsia" w:ascii="宋体" w:hAnsi="宋体" w:eastAsia="宋体" w:cs="宋体"/>
          <w:b/>
          <w:bCs/>
          <w:color w:val="auto"/>
          <w:kern w:val="2"/>
          <w:sz w:val="22"/>
          <w:szCs w:val="22"/>
          <w:u w:val="none"/>
          <w:lang w:val="en-US" w:eastAsia="zh-CN" w:bidi="ar"/>
        </w:rPr>
        <w:t>。</w:t>
      </w:r>
    </w:p>
    <w:p w14:paraId="2D13AB63">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color w:val="auto"/>
          <w:sz w:val="24"/>
          <w:szCs w:val="24"/>
        </w:rPr>
      </w:pPr>
      <w:r>
        <w:rPr>
          <w:rFonts w:hint="eastAsia" w:ascii="宋体" w:hAnsi="宋体" w:eastAsia="宋体" w:cs="宋体"/>
          <w:color w:val="auto"/>
          <w:kern w:val="0"/>
          <w:sz w:val="24"/>
          <w:szCs w:val="24"/>
          <w:lang w:val="en-US" w:eastAsia="zh-CN" w:bidi="ar"/>
        </w:rPr>
        <w:t>3.</w:t>
      </w:r>
      <w:r>
        <w:rPr>
          <w:rFonts w:ascii="宋体" w:hAnsi="宋体" w:eastAsia="宋体" w:cs="宋体"/>
          <w:color w:val="auto"/>
          <w:kern w:val="0"/>
          <w:sz w:val="24"/>
          <w:szCs w:val="24"/>
          <w:lang w:val="en-US" w:eastAsia="zh-CN" w:bidi="ar"/>
        </w:rPr>
        <w:t>单位负责人为同一人或者存在直接控股、管理关系的不同投标人，不得参加同一合同项下的政府采购活动。</w:t>
      </w:r>
    </w:p>
    <w:p w14:paraId="0DD72ACE">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color w:val="auto"/>
          <w:sz w:val="24"/>
          <w:szCs w:val="24"/>
        </w:rPr>
      </w:pPr>
      <w:r>
        <w:rPr>
          <w:rFonts w:hint="eastAsia" w:ascii="宋体" w:hAnsi="宋体" w:eastAsia="宋体" w:cs="宋体"/>
          <w:color w:val="auto"/>
          <w:kern w:val="0"/>
          <w:sz w:val="24"/>
          <w:szCs w:val="24"/>
          <w:lang w:val="en-US" w:eastAsia="zh-CN" w:bidi="ar"/>
        </w:rPr>
        <w:t>4.</w:t>
      </w:r>
      <w:r>
        <w:rPr>
          <w:rFonts w:ascii="宋体" w:hAnsi="宋体" w:eastAsia="宋体" w:cs="宋体"/>
          <w:color w:val="auto"/>
          <w:kern w:val="0"/>
          <w:sz w:val="24"/>
          <w:szCs w:val="24"/>
          <w:lang w:val="en-US" w:eastAsia="zh-CN" w:bidi="ar"/>
        </w:rPr>
        <w:t>为本采购项目提供整体设计、规范编制或者项目管理、监理、检测等服务的，不得再参加此项目的其他采购活动。</w:t>
      </w:r>
    </w:p>
    <w:p w14:paraId="2B9ADC6A">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color w:val="auto"/>
          <w:sz w:val="24"/>
          <w:szCs w:val="24"/>
        </w:rPr>
      </w:pPr>
      <w:r>
        <w:rPr>
          <w:rFonts w:hint="eastAsia" w:ascii="宋体" w:hAnsi="宋体" w:eastAsia="宋体" w:cs="宋体"/>
          <w:color w:val="auto"/>
          <w:kern w:val="0"/>
          <w:sz w:val="24"/>
          <w:szCs w:val="24"/>
          <w:lang w:val="en-US" w:eastAsia="zh-CN" w:bidi="ar"/>
        </w:rPr>
        <w:t>5.</w:t>
      </w:r>
      <w:r>
        <w:rPr>
          <w:rFonts w:ascii="宋体" w:hAnsi="宋体" w:eastAsia="宋体" w:cs="宋体"/>
          <w:color w:val="auto"/>
          <w:kern w:val="0"/>
          <w:sz w:val="24"/>
          <w:szCs w:val="24"/>
          <w:lang w:val="en-US" w:eastAsia="zh-CN" w:bidi="ar"/>
        </w:rPr>
        <w:t>列入失信被执行人、重大税收违法失信主体名单、政府采购严重违法失信行为记录名单的，拒绝其参与政府采购活动。</w:t>
      </w:r>
    </w:p>
    <w:p w14:paraId="4A61A64A">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outlineLvl w:val="2"/>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w:t>
      </w:r>
      <w:r>
        <w:rPr>
          <w:rFonts w:ascii="宋体" w:hAnsi="宋体" w:eastAsia="宋体" w:cs="宋体"/>
          <w:color w:val="auto"/>
          <w:kern w:val="0"/>
          <w:sz w:val="24"/>
          <w:szCs w:val="24"/>
          <w:lang w:val="en-US" w:eastAsia="zh-CN" w:bidi="ar"/>
        </w:rPr>
        <w:t>联合体投标。本次招标</w:t>
      </w:r>
      <w:r>
        <w:rPr>
          <w:rFonts w:ascii="宋体" w:hAnsi="宋体" w:eastAsia="宋体" w:cs="宋体"/>
          <w:color w:val="auto"/>
          <w:kern w:val="0"/>
          <w:sz w:val="24"/>
          <w:szCs w:val="24"/>
          <w:u w:val="single"/>
          <w:lang w:val="en-US" w:eastAsia="zh-CN" w:bidi="ar"/>
        </w:rPr>
        <w:t>不接受</w:t>
      </w:r>
      <w:r>
        <w:rPr>
          <w:rFonts w:ascii="宋体" w:hAnsi="宋体" w:eastAsia="宋体" w:cs="宋体"/>
          <w:color w:val="auto"/>
          <w:kern w:val="0"/>
          <w:sz w:val="24"/>
          <w:szCs w:val="24"/>
          <w:lang w:val="en-US" w:eastAsia="zh-CN" w:bidi="ar"/>
        </w:rPr>
        <w:t xml:space="preserve">联合体投标。 </w:t>
      </w:r>
      <w:bookmarkStart w:id="17" w:name="_Toc23434"/>
      <w:bookmarkStart w:id="18" w:name="_Toc29379"/>
    </w:p>
    <w:p w14:paraId="28F542D4">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firstLine="480" w:firstLineChars="200"/>
        <w:jc w:val="left"/>
        <w:outlineLvl w:val="2"/>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注：</w:t>
      </w:r>
      <w:r>
        <w:rPr>
          <w:rFonts w:hint="eastAsia" w:ascii="宋体" w:hAnsi="宋体" w:eastAsia="宋体" w:cs="宋体"/>
          <w:b/>
          <w:bCs/>
          <w:color w:val="auto"/>
          <w:kern w:val="0"/>
          <w:sz w:val="24"/>
          <w:szCs w:val="24"/>
          <w:lang w:val="en-US" w:eastAsia="zh-CN" w:bidi="ar"/>
        </w:rPr>
        <w:t>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p w14:paraId="3ABD430A">
      <w:pPr>
        <w:pStyle w:val="4"/>
        <w:keepNext w:val="0"/>
        <w:keepLines w:val="0"/>
        <w:pageBreakBefore w:val="0"/>
        <w:widowControl/>
        <w:suppressLineNumbers w:val="0"/>
        <w:kinsoku/>
        <w:wordWrap/>
        <w:overflowPunct/>
        <w:topLinePunct w:val="0"/>
        <w:autoSpaceDE/>
        <w:autoSpaceDN/>
        <w:bidi w:val="0"/>
        <w:spacing w:before="0" w:beforeAutospacing="0" w:after="0" w:line="420" w:lineRule="atLeast"/>
        <w:ind w:left="0" w:leftChars="0" w:firstLine="643" w:firstLineChars="200"/>
        <w:jc w:val="both"/>
        <w:outlineLvl w:val="1"/>
        <w:rPr>
          <w:color w:val="auto"/>
        </w:rPr>
      </w:pPr>
      <w:r>
        <w:rPr>
          <w:rFonts w:hint="eastAsia"/>
          <w:color w:val="auto"/>
          <w:lang w:val="en-US" w:eastAsia="zh-CN"/>
        </w:rPr>
        <w:t>五</w:t>
      </w:r>
      <w:r>
        <w:rPr>
          <w:color w:val="auto"/>
        </w:rPr>
        <w:t>、获取招标文件的时间、期限、地点及方式</w:t>
      </w:r>
      <w:bookmarkEnd w:id="17"/>
      <w:bookmarkEnd w:id="18"/>
    </w:p>
    <w:p w14:paraId="23EB33AD">
      <w:pPr>
        <w:pStyle w:val="42"/>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baseline"/>
        <w:rPr>
          <w:rFonts w:hint="eastAsia"/>
          <w:color w:val="auto"/>
        </w:rPr>
      </w:pPr>
      <w:bookmarkStart w:id="19" w:name="_Toc22201059"/>
      <w:bookmarkStart w:id="20" w:name="_Toc40166569"/>
      <w:r>
        <w:rPr>
          <w:rFonts w:hint="eastAsia"/>
          <w:color w:val="auto"/>
        </w:rPr>
        <w:t>有意参加投标者，请于202</w:t>
      </w:r>
      <w:r>
        <w:rPr>
          <w:rFonts w:hint="eastAsia"/>
          <w:color w:val="auto"/>
          <w:lang w:val="en-US" w:eastAsia="zh-CN"/>
        </w:rPr>
        <w:t>6</w:t>
      </w:r>
      <w:r>
        <w:rPr>
          <w:rFonts w:hint="eastAsia"/>
          <w:color w:val="auto"/>
        </w:rPr>
        <w:t>年</w:t>
      </w:r>
      <w:r>
        <w:rPr>
          <w:rFonts w:hint="eastAsia"/>
          <w:color w:val="auto"/>
          <w:lang w:val="en-US" w:eastAsia="zh-CN"/>
        </w:rPr>
        <w:t>08</w:t>
      </w:r>
      <w:r>
        <w:rPr>
          <w:rFonts w:hint="eastAsia"/>
          <w:color w:val="auto"/>
        </w:rPr>
        <w:t>月</w:t>
      </w:r>
      <w:r>
        <w:rPr>
          <w:rFonts w:hint="eastAsia"/>
          <w:color w:val="auto"/>
          <w:lang w:val="en-US" w:eastAsia="zh-CN"/>
        </w:rPr>
        <w:t>01</w:t>
      </w:r>
      <w:r>
        <w:rPr>
          <w:rFonts w:hint="eastAsia"/>
          <w:color w:val="auto"/>
        </w:rPr>
        <w:t>日起至202</w:t>
      </w:r>
      <w:r>
        <w:rPr>
          <w:rFonts w:hint="eastAsia"/>
          <w:color w:val="auto"/>
          <w:lang w:val="en-US" w:eastAsia="zh-CN"/>
        </w:rPr>
        <w:t>6</w:t>
      </w:r>
      <w:r>
        <w:rPr>
          <w:rFonts w:hint="eastAsia"/>
          <w:color w:val="auto"/>
        </w:rPr>
        <w:t>年</w:t>
      </w:r>
      <w:r>
        <w:rPr>
          <w:rFonts w:hint="eastAsia"/>
          <w:color w:val="auto"/>
          <w:lang w:val="en-US" w:eastAsia="zh-CN"/>
        </w:rPr>
        <w:t>08</w:t>
      </w:r>
      <w:r>
        <w:rPr>
          <w:rFonts w:hint="eastAsia"/>
          <w:color w:val="auto"/>
        </w:rPr>
        <w:t>月</w:t>
      </w:r>
      <w:r>
        <w:rPr>
          <w:rFonts w:hint="eastAsia"/>
          <w:color w:val="auto"/>
          <w:lang w:val="en-US" w:eastAsia="zh-CN"/>
        </w:rPr>
        <w:t>20</w:t>
      </w:r>
      <w:r>
        <w:rPr>
          <w:rFonts w:hint="eastAsia"/>
          <w:color w:val="auto"/>
        </w:rPr>
        <w:t>日止，每日08时00分到1</w:t>
      </w:r>
      <w:r>
        <w:rPr>
          <w:rFonts w:hint="eastAsia"/>
          <w:color w:val="auto"/>
          <w:lang w:val="en-US" w:eastAsia="zh-CN"/>
        </w:rPr>
        <w:t>7</w:t>
      </w:r>
      <w:r>
        <w:rPr>
          <w:rFonts w:hint="eastAsia"/>
          <w:color w:val="auto"/>
        </w:rPr>
        <w:t>时00分（北京时间），在张家界公共资源交易网（http</w:t>
      </w:r>
      <w:r>
        <w:rPr>
          <w:rFonts w:hint="eastAsia"/>
          <w:color w:val="auto"/>
          <w:lang w:eastAsia="zh-CN"/>
        </w:rPr>
        <w:t>：</w:t>
      </w:r>
      <w:r>
        <w:rPr>
          <w:rFonts w:hint="eastAsia"/>
          <w:color w:val="auto"/>
        </w:rPr>
        <w:t>//ggzy.zjj.gov.cn）“政府采购→</w:t>
      </w:r>
      <w:r>
        <w:rPr>
          <w:rFonts w:hint="eastAsia"/>
          <w:color w:val="auto"/>
          <w:lang w:eastAsia="zh-CN"/>
        </w:rPr>
        <w:t>采购</w:t>
      </w:r>
      <w:r>
        <w:rPr>
          <w:rFonts w:hint="eastAsia"/>
          <w:color w:val="auto"/>
        </w:rPr>
        <w:t>公告”栏进行网上下载/获取招标文件，逾期将不能获取文件。修改、澄清后的招标文件请投标人按以上方式登录网站自行下载</w:t>
      </w:r>
      <w:r>
        <w:rPr>
          <w:rFonts w:hint="eastAsia"/>
          <w:color w:val="auto"/>
          <w:lang w:eastAsia="zh-CN"/>
        </w:rPr>
        <w:t>，</w:t>
      </w:r>
      <w:r>
        <w:rPr>
          <w:rFonts w:hint="eastAsia"/>
          <w:color w:val="auto"/>
        </w:rPr>
        <w:t>恕不另行通知，如有遗漏投标人自行承担全部责任。</w:t>
      </w:r>
      <w:r>
        <w:rPr>
          <w:rFonts w:hint="eastAsia" w:ascii="宋体" w:hAnsi="宋体" w:cs="微软雅黑"/>
          <w:color w:val="auto"/>
          <w:spacing w:val="-2"/>
          <w:kern w:val="0"/>
          <w:szCs w:val="21"/>
        </w:rPr>
        <w:t>本项目采用</w:t>
      </w:r>
      <w:r>
        <w:rPr>
          <w:rFonts w:hint="eastAsia" w:ascii="宋体" w:hAnsi="宋体" w:cs="微软雅黑"/>
          <w:color w:val="auto"/>
          <w:spacing w:val="-2"/>
          <w:kern w:val="0"/>
          <w:szCs w:val="21"/>
          <w:lang w:val="en-US" w:eastAsia="zh-CN"/>
        </w:rPr>
        <w:t>线上</w:t>
      </w:r>
      <w:r>
        <w:rPr>
          <w:rFonts w:hint="eastAsia" w:ascii="宋体" w:hAnsi="宋体" w:cs="微软雅黑"/>
          <w:color w:val="auto"/>
          <w:spacing w:val="-2"/>
          <w:kern w:val="0"/>
          <w:szCs w:val="21"/>
        </w:rPr>
        <w:t>招标投标方式，投标人须办理数字证书ukey</w:t>
      </w:r>
      <w:r>
        <w:rPr>
          <w:rFonts w:hint="eastAsia" w:ascii="宋体" w:hAnsi="宋体" w:cs="微软雅黑"/>
          <w:color w:val="auto"/>
          <w:spacing w:val="-2"/>
          <w:kern w:val="0"/>
          <w:szCs w:val="21"/>
          <w:lang w:eastAsia="zh-CN"/>
        </w:rPr>
        <w:t>，</w:t>
      </w:r>
      <w:r>
        <w:rPr>
          <w:rFonts w:hint="eastAsia" w:ascii="宋体" w:hAnsi="宋体" w:cs="微软雅黑"/>
          <w:color w:val="auto"/>
          <w:spacing w:val="-2"/>
          <w:kern w:val="0"/>
          <w:szCs w:val="21"/>
        </w:rPr>
        <w:t>在</w:t>
      </w:r>
      <w:r>
        <w:rPr>
          <w:rFonts w:hint="eastAsia" w:ascii="宋体" w:hAnsi="宋体" w:cs="微软雅黑"/>
          <w:color w:val="auto"/>
          <w:spacing w:val="-2"/>
          <w:kern w:val="0"/>
          <w:szCs w:val="21"/>
          <w:lang w:eastAsia="zh-CN"/>
        </w:rPr>
        <w:t>张家界市公共资源交易中心产权交易系统</w:t>
      </w:r>
      <w:r>
        <w:rPr>
          <w:rFonts w:hint="eastAsia" w:ascii="宋体" w:hAnsi="宋体" w:cs="微软雅黑"/>
          <w:color w:val="auto"/>
          <w:spacing w:val="-2"/>
          <w:kern w:val="0"/>
          <w:szCs w:val="21"/>
        </w:rPr>
        <w:t>（</w:t>
      </w:r>
      <w:r>
        <w:rPr>
          <w:rFonts w:hint="eastAsia" w:ascii="宋体" w:hAnsi="宋体" w:cs="微软雅黑"/>
          <w:color w:val="auto"/>
          <w:spacing w:val="-2"/>
          <w:kern w:val="0"/>
          <w:szCs w:val="21"/>
          <w:lang w:eastAsia="zh-CN"/>
        </w:rPr>
        <w:t>https://www.zjjggzy.cn/portal/index</w:t>
      </w:r>
      <w:r>
        <w:rPr>
          <w:rFonts w:hint="eastAsia" w:ascii="宋体" w:hAnsi="宋体" w:cs="微软雅黑"/>
          <w:color w:val="auto"/>
          <w:spacing w:val="-2"/>
          <w:kern w:val="0"/>
          <w:szCs w:val="21"/>
        </w:rPr>
        <w:t>）进行注册登记</w:t>
      </w:r>
      <w:r>
        <w:rPr>
          <w:rFonts w:hint="eastAsia" w:ascii="宋体" w:hAnsi="宋体" w:cs="微软雅黑"/>
          <w:color w:val="auto"/>
          <w:spacing w:val="-2"/>
          <w:kern w:val="0"/>
          <w:szCs w:val="21"/>
          <w:lang w:val="en-US" w:eastAsia="zh-CN"/>
        </w:rPr>
        <w:t>和CA认证</w:t>
      </w:r>
      <w:r>
        <w:rPr>
          <w:rFonts w:hint="eastAsia" w:ascii="宋体" w:hAnsi="宋体" w:cs="微软雅黑"/>
          <w:color w:val="auto"/>
          <w:spacing w:val="-2"/>
          <w:kern w:val="0"/>
          <w:szCs w:val="21"/>
        </w:rPr>
        <w:t>。</w:t>
      </w:r>
    </w:p>
    <w:p w14:paraId="4270A34F">
      <w:pPr>
        <w:pStyle w:val="42"/>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baseline"/>
        <w:rPr>
          <w:rFonts w:hint="eastAsia" w:ascii="宋体" w:hAnsi="宋体" w:cs="微软雅黑"/>
          <w:color w:val="auto"/>
          <w:spacing w:val="-2"/>
          <w:kern w:val="0"/>
          <w:szCs w:val="21"/>
          <w:lang w:val="en-US" w:eastAsia="zh-CN"/>
        </w:rPr>
      </w:pPr>
      <w:r>
        <w:rPr>
          <w:rFonts w:hint="eastAsia" w:ascii="Times New Roman" w:hAnsi="Times New Roman" w:eastAsia="宋体" w:cs="Times New Roman"/>
          <w:color w:val="auto"/>
          <w:lang w:val="en-US" w:eastAsia="zh-CN"/>
        </w:rPr>
        <w:sym w:font="Wingdings" w:char="00FE"/>
      </w:r>
      <w:r>
        <w:rPr>
          <w:rFonts w:hint="eastAsia" w:ascii="宋体" w:hAnsi="宋体" w:cs="微软雅黑"/>
          <w:color w:val="auto"/>
          <w:spacing w:val="-2"/>
          <w:kern w:val="0"/>
          <w:szCs w:val="21"/>
          <w:lang w:val="en-US" w:eastAsia="zh-CN"/>
        </w:rPr>
        <w:t>本项目实行电子交易，有意参加投标者，在http://ggzy.zjj.gov.cn获取电子版招标文件。</w:t>
      </w:r>
    </w:p>
    <w:p w14:paraId="7B5DBF68">
      <w:pPr>
        <w:pStyle w:val="42"/>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baseline"/>
        <w:rPr>
          <w:rFonts w:hint="eastAsia"/>
          <w:color w:val="auto"/>
          <w:lang w:val="en-US" w:eastAsia="zh-CN"/>
        </w:rPr>
      </w:pPr>
      <w:r>
        <w:rPr>
          <w:rFonts w:hint="eastAsia" w:ascii="Times New Roman" w:hAnsi="Times New Roman" w:eastAsia="宋体" w:cs="Times New Roman"/>
          <w:color w:val="auto"/>
          <w:lang w:val="en-US" w:eastAsia="zh-CN"/>
        </w:rPr>
        <w:sym w:font="Wingdings" w:char="00A8"/>
      </w:r>
      <w:r>
        <w:rPr>
          <w:rFonts w:hint="eastAsia" w:ascii="宋体" w:hAnsi="宋体" w:cs="微软雅黑"/>
          <w:color w:val="auto"/>
          <w:spacing w:val="-2"/>
          <w:kern w:val="0"/>
          <w:szCs w:val="21"/>
          <w:lang w:val="en-US" w:eastAsia="zh-CN"/>
        </w:rPr>
        <w:t>本项目进行资格预审，招标文件将向所有通过资格预审的供应商提供。</w:t>
      </w:r>
      <w:bookmarkEnd w:id="19"/>
      <w:bookmarkEnd w:id="20"/>
      <w:bookmarkStart w:id="21" w:name="_Toc32340"/>
      <w:bookmarkStart w:id="22" w:name="_Toc17502"/>
    </w:p>
    <w:p w14:paraId="3C72F76D">
      <w:pPr>
        <w:pStyle w:val="4"/>
        <w:keepNext w:val="0"/>
        <w:keepLines w:val="0"/>
        <w:pageBreakBefore w:val="0"/>
        <w:widowControl/>
        <w:suppressLineNumbers w:val="0"/>
        <w:kinsoku/>
        <w:wordWrap/>
        <w:overflowPunct/>
        <w:topLinePunct w:val="0"/>
        <w:autoSpaceDE/>
        <w:autoSpaceDN/>
        <w:bidi w:val="0"/>
        <w:spacing w:before="0" w:beforeAutospacing="0" w:after="0" w:line="420" w:lineRule="atLeast"/>
        <w:ind w:left="0" w:leftChars="0" w:firstLine="643" w:firstLineChars="200"/>
        <w:jc w:val="both"/>
        <w:outlineLvl w:val="1"/>
        <w:rPr>
          <w:rFonts w:hint="eastAsia"/>
          <w:color w:val="auto"/>
          <w:lang w:val="en-US" w:eastAsia="zh-CN"/>
        </w:rPr>
      </w:pPr>
      <w:r>
        <w:rPr>
          <w:rFonts w:hint="eastAsia"/>
          <w:color w:val="auto"/>
          <w:lang w:val="en-US" w:eastAsia="zh-CN"/>
        </w:rPr>
        <w:t>六</w:t>
      </w:r>
      <w:r>
        <w:rPr>
          <w:color w:val="auto"/>
        </w:rPr>
        <w:t>、投标截止时间、开标时间及地点</w:t>
      </w:r>
      <w:bookmarkEnd w:id="21"/>
      <w:bookmarkEnd w:id="22"/>
    </w:p>
    <w:p w14:paraId="1E538F8A">
      <w:pPr>
        <w:pStyle w:val="42"/>
        <w:keepNext w:val="0"/>
        <w:keepLines w:val="0"/>
        <w:pageBreakBefore w:val="0"/>
        <w:widowControl w:val="0"/>
        <w:kinsoku/>
        <w:wordWrap/>
        <w:overflowPunct/>
        <w:topLinePunct w:val="0"/>
        <w:autoSpaceDE/>
        <w:autoSpaceDN/>
        <w:bidi w:val="0"/>
        <w:adjustRightInd w:val="0"/>
        <w:snapToGrid w:val="0"/>
        <w:spacing w:before="0" w:beforeLines="0" w:line="440" w:lineRule="exact"/>
        <w:ind w:left="0" w:leftChars="0" w:firstLine="480"/>
        <w:textAlignment w:val="baseline"/>
        <w:outlineLvl w:val="2"/>
        <w:rPr>
          <w:rFonts w:hint="eastAsia"/>
          <w:color w:val="auto"/>
          <w:highlight w:val="none"/>
        </w:rPr>
      </w:pPr>
      <w:r>
        <w:rPr>
          <w:rFonts w:hint="eastAsia"/>
          <w:color w:val="auto"/>
          <w:highlight w:val="none"/>
          <w:lang w:val="en-US" w:eastAsia="zh-CN"/>
        </w:rPr>
        <w:t>1.提交投标文件的截止时间：2026</w:t>
      </w:r>
      <w:r>
        <w:rPr>
          <w:rFonts w:hint="eastAsia"/>
          <w:color w:val="auto"/>
          <w:highlight w:val="none"/>
          <w:lang w:val="en-US" w:eastAsia="zh-CN"/>
        </w:rPr>
        <w:t>年08月21日10:00</w:t>
      </w:r>
      <w:r>
        <w:rPr>
          <w:rFonts w:hint="eastAsia"/>
          <w:color w:val="auto"/>
          <w:highlight w:val="none"/>
          <w:lang w:val="en-US" w:eastAsia="zh-CN"/>
        </w:rPr>
        <w:t>（北京时间）</w:t>
      </w:r>
    </w:p>
    <w:p w14:paraId="23B9C283">
      <w:pPr>
        <w:pStyle w:val="4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440" w:lineRule="exact"/>
        <w:ind w:left="0" w:leftChars="0" w:firstLine="480" w:firstLineChars="200"/>
        <w:rPr>
          <w:color w:val="auto"/>
        </w:rPr>
      </w:pPr>
      <w:r>
        <w:rPr>
          <w:rFonts w:hint="eastAsia"/>
          <w:color w:val="auto"/>
          <w:highlight w:val="none"/>
          <w:lang w:val="en-US" w:eastAsia="zh-CN"/>
        </w:rPr>
        <w:t>2.提交投标文件地点：本项目属于电子标项目，具体操作为投标人在</w:t>
      </w:r>
      <w:r>
        <w:rPr>
          <w:rFonts w:hint="eastAsia"/>
          <w:color w:val="auto"/>
        </w:rPr>
        <w:t>张家界市公共资源交易中心产权交易系统（</w:t>
      </w:r>
      <w:r>
        <w:rPr>
          <w:rFonts w:hint="eastAsia"/>
          <w:color w:val="auto"/>
          <w:lang w:eastAsia="zh-CN"/>
        </w:rPr>
        <w:t>https://www.zjjggzy.cn/portal/index</w:t>
      </w:r>
      <w:r>
        <w:rPr>
          <w:rFonts w:hint="eastAsia"/>
          <w:color w:val="auto"/>
        </w:rPr>
        <w:t>）</w:t>
      </w:r>
      <w:r>
        <w:rPr>
          <w:rFonts w:hint="eastAsia"/>
          <w:color w:val="auto"/>
          <w:lang w:eastAsia="zh-CN"/>
        </w:rPr>
        <w:t>，</w:t>
      </w:r>
      <w:r>
        <w:rPr>
          <w:rFonts w:hint="eastAsia"/>
          <w:color w:val="auto"/>
        </w:rPr>
        <w:t>即可浏览、查阅和下载相关项目</w:t>
      </w:r>
      <w:r>
        <w:rPr>
          <w:rFonts w:hint="eastAsia"/>
          <w:color w:val="auto"/>
          <w:lang w:val="en-US" w:eastAsia="zh-CN"/>
        </w:rPr>
        <w:t>招标</w:t>
      </w:r>
      <w:r>
        <w:rPr>
          <w:rFonts w:hint="eastAsia"/>
          <w:color w:val="auto"/>
        </w:rPr>
        <w:t>文件，对意向项目点击“竞买申请”按钮，网上填报《竞买申请书》，点击银行获取我中心在该银行开设账户的随机子账号，再缴纳保证金；系统确认保证金到账后，</w:t>
      </w:r>
      <w:r>
        <w:rPr>
          <w:rFonts w:hint="eastAsia"/>
          <w:color w:val="auto"/>
          <w:lang w:val="en-US" w:eastAsia="zh-CN"/>
        </w:rPr>
        <w:t>上传投标文件</w:t>
      </w:r>
      <w:r>
        <w:rPr>
          <w:rFonts w:hint="eastAsia"/>
          <w:color w:val="auto"/>
        </w:rPr>
        <w:t>。</w:t>
      </w:r>
    </w:p>
    <w:p w14:paraId="58EA2E09">
      <w:pPr>
        <w:pStyle w:val="42"/>
        <w:keepNext w:val="0"/>
        <w:keepLines w:val="0"/>
        <w:pageBreakBefore w:val="0"/>
        <w:widowControl w:val="0"/>
        <w:kinsoku/>
        <w:wordWrap/>
        <w:overflowPunct/>
        <w:topLinePunct w:val="0"/>
        <w:autoSpaceDE/>
        <w:autoSpaceDN/>
        <w:bidi w:val="0"/>
        <w:adjustRightInd w:val="0"/>
        <w:snapToGrid w:val="0"/>
        <w:spacing w:before="0" w:beforeLines="0" w:line="440" w:lineRule="exact"/>
        <w:ind w:left="0" w:leftChars="0" w:firstLine="480"/>
        <w:textAlignment w:val="baseline"/>
        <w:outlineLvl w:val="2"/>
        <w:rPr>
          <w:rFonts w:hint="eastAsia"/>
          <w:color w:val="auto"/>
          <w:highlight w:val="none"/>
        </w:rPr>
      </w:pPr>
      <w:r>
        <w:rPr>
          <w:rFonts w:hint="eastAsia"/>
          <w:color w:val="auto"/>
          <w:highlight w:val="none"/>
          <w:lang w:val="en-US" w:eastAsia="zh-CN"/>
        </w:rPr>
        <w:t>3.开标时间：202</w:t>
      </w:r>
      <w:r>
        <w:rPr>
          <w:rFonts w:hint="eastAsia"/>
          <w:color w:val="auto"/>
          <w:highlight w:val="none"/>
          <w:lang w:val="en-US" w:eastAsia="zh-CN"/>
        </w:rPr>
        <w:t>6年08月21日10:00</w:t>
      </w:r>
      <w:r>
        <w:rPr>
          <w:rFonts w:hint="eastAsia"/>
          <w:color w:val="auto"/>
          <w:highlight w:val="none"/>
          <w:lang w:val="en-US" w:eastAsia="zh-CN"/>
        </w:rPr>
        <w:t>（北京时间）</w:t>
      </w:r>
    </w:p>
    <w:p w14:paraId="44C1C1F9">
      <w:pPr>
        <w:pStyle w:val="42"/>
        <w:keepNext w:val="0"/>
        <w:keepLines w:val="0"/>
        <w:pageBreakBefore w:val="0"/>
        <w:widowControl w:val="0"/>
        <w:kinsoku/>
        <w:wordWrap/>
        <w:overflowPunct/>
        <w:topLinePunct w:val="0"/>
        <w:autoSpaceDE/>
        <w:autoSpaceDN/>
        <w:bidi w:val="0"/>
        <w:adjustRightInd w:val="0"/>
        <w:snapToGrid w:val="0"/>
        <w:spacing w:before="0" w:beforeLines="0" w:line="440" w:lineRule="exact"/>
        <w:ind w:left="0" w:leftChars="0" w:firstLine="480"/>
        <w:textAlignment w:val="baseline"/>
        <w:outlineLvl w:val="2"/>
        <w:rPr>
          <w:rFonts w:hint="default"/>
          <w:color w:val="auto"/>
          <w:lang w:val="en-US" w:eastAsia="zh-CN"/>
        </w:rPr>
      </w:pPr>
      <w:r>
        <w:rPr>
          <w:rFonts w:hint="eastAsia"/>
          <w:color w:val="auto"/>
          <w:highlight w:val="none"/>
          <w:lang w:val="en-US" w:eastAsia="zh-CN"/>
        </w:rPr>
        <w:t>4.开标地点：</w:t>
      </w:r>
      <w:r>
        <w:rPr>
          <w:rFonts w:ascii="宋体" w:hAnsi="宋体" w:eastAsia="宋体" w:cs="宋体"/>
          <w:color w:val="auto"/>
          <w:kern w:val="0"/>
          <w:sz w:val="24"/>
          <w:szCs w:val="24"/>
          <w:highlight w:val="none"/>
          <w:lang w:val="en-US" w:eastAsia="zh-CN" w:bidi="ar"/>
        </w:rPr>
        <w:t>张家界公共资源交易中心</w:t>
      </w:r>
      <w:r>
        <w:rPr>
          <w:rFonts w:hint="eastAsia" w:ascii="宋体" w:hAnsi="宋体" w:eastAsia="宋体" w:cs="宋体"/>
          <w:color w:val="auto"/>
          <w:kern w:val="0"/>
          <w:sz w:val="24"/>
          <w:szCs w:val="24"/>
          <w:highlight w:val="none"/>
          <w:lang w:val="en-US" w:eastAsia="zh-CN" w:bidi="ar"/>
        </w:rPr>
        <w:t>，</w:t>
      </w:r>
      <w:r>
        <w:rPr>
          <w:rFonts w:hint="eastAsia"/>
          <w:color w:val="auto"/>
          <w:highlight w:val="none"/>
          <w:lang w:val="en-US" w:eastAsia="zh-CN"/>
        </w:rPr>
        <w:t>本项目属于电子标项目，实行线上开标，所有投标人应当准时在线参加竞价，并在规定的时间内上传投标文件。</w:t>
      </w:r>
    </w:p>
    <w:p w14:paraId="368FB94A">
      <w:pPr>
        <w:pStyle w:val="4"/>
        <w:keepNext w:val="0"/>
        <w:keepLines w:val="0"/>
        <w:pageBreakBefore w:val="0"/>
        <w:widowControl/>
        <w:suppressLineNumbers w:val="0"/>
        <w:kinsoku/>
        <w:wordWrap/>
        <w:overflowPunct/>
        <w:topLinePunct w:val="0"/>
        <w:autoSpaceDE/>
        <w:autoSpaceDN/>
        <w:bidi w:val="0"/>
        <w:spacing w:before="0" w:beforeAutospacing="0" w:after="0" w:line="420" w:lineRule="atLeast"/>
        <w:ind w:left="0" w:leftChars="0" w:firstLine="643" w:firstLineChars="200"/>
        <w:jc w:val="both"/>
        <w:outlineLvl w:val="1"/>
        <w:rPr>
          <w:color w:val="auto"/>
        </w:rPr>
      </w:pPr>
      <w:bookmarkStart w:id="23" w:name="_Toc26888"/>
      <w:bookmarkStart w:id="24" w:name="_Toc29493"/>
      <w:r>
        <w:rPr>
          <w:rFonts w:hint="eastAsia"/>
          <w:color w:val="auto"/>
          <w:lang w:val="en-US" w:eastAsia="zh-CN"/>
        </w:rPr>
        <w:t>七</w:t>
      </w:r>
      <w:r>
        <w:rPr>
          <w:color w:val="auto"/>
        </w:rPr>
        <w:t>、公告期限</w:t>
      </w:r>
      <w:bookmarkEnd w:id="23"/>
      <w:bookmarkEnd w:id="24"/>
    </w:p>
    <w:p w14:paraId="6486272B">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color w:val="auto"/>
          <w:sz w:val="24"/>
          <w:szCs w:val="24"/>
        </w:rPr>
      </w:pPr>
      <w:r>
        <w:rPr>
          <w:rFonts w:ascii="宋体" w:hAnsi="宋体" w:eastAsia="宋体" w:cs="宋体"/>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本招标公告在中国湖南政府采购网（</w:t>
      </w:r>
      <w:r>
        <w:rPr>
          <w:rFonts w:hint="eastAsia" w:ascii="宋体" w:hAnsi="宋体" w:eastAsia="宋体" w:cs="宋体"/>
          <w:color w:val="auto"/>
          <w:kern w:val="0"/>
          <w:sz w:val="24"/>
          <w:szCs w:val="24"/>
          <w:lang w:val="en-US" w:eastAsia="zh-CN" w:bidi="ar"/>
        </w:rPr>
        <w:t>http://www.ccgp-hunan.gov.cn/#</w:t>
      </w:r>
      <w:r>
        <w:rPr>
          <w:rFonts w:ascii="宋体" w:hAnsi="宋体" w:eastAsia="宋体" w:cs="宋体"/>
          <w:color w:val="auto"/>
          <w:kern w:val="0"/>
          <w:sz w:val="24"/>
          <w:szCs w:val="24"/>
          <w:lang w:val="en-US" w:eastAsia="zh-CN" w:bidi="ar"/>
        </w:rPr>
        <w:t>）发布。公告期限从本招标公告发布之日起</w:t>
      </w:r>
      <w:r>
        <w:rPr>
          <w:rFonts w:hint="eastAsia" w:ascii="宋体" w:hAnsi="宋体" w:eastAsia="宋体" w:cs="宋体"/>
          <w:color w:val="auto"/>
          <w:kern w:val="0"/>
          <w:sz w:val="24"/>
          <w:szCs w:val="24"/>
          <w:lang w:val="en-US" w:eastAsia="zh-CN" w:bidi="ar"/>
        </w:rPr>
        <w:t>10</w:t>
      </w:r>
      <w:r>
        <w:rPr>
          <w:rFonts w:ascii="宋体" w:hAnsi="宋体" w:eastAsia="宋体" w:cs="宋体"/>
          <w:color w:val="auto"/>
          <w:kern w:val="0"/>
          <w:sz w:val="24"/>
          <w:szCs w:val="24"/>
          <w:lang w:val="en-US" w:eastAsia="zh-CN" w:bidi="ar"/>
        </w:rPr>
        <w:t>个工作日。</w:t>
      </w:r>
    </w:p>
    <w:p w14:paraId="106CEC99">
      <w:pPr>
        <w:keepNext w:val="0"/>
        <w:keepLines w:val="0"/>
        <w:pageBreakBefore w:val="0"/>
        <w:widowControl/>
        <w:suppressLineNumbers w:val="0"/>
        <w:pBdr>
          <w:left w:val="none" w:color="auto" w:sz="0" w:space="0"/>
        </w:pBdr>
        <w:kinsoku/>
        <w:wordWrap/>
        <w:overflowPunct/>
        <w:topLinePunct w:val="0"/>
        <w:autoSpaceDE/>
        <w:autoSpaceDN/>
        <w:bidi w:val="0"/>
        <w:spacing w:beforeAutospacing="0" w:line="420" w:lineRule="atLeast"/>
        <w:ind w:left="0" w:leftChars="0" w:firstLine="420"/>
        <w:jc w:val="left"/>
        <w:rPr>
          <w:rFonts w:hint="eastAsia"/>
          <w:color w:val="auto"/>
          <w:lang w:val="en-US" w:eastAsia="zh-CN"/>
        </w:rPr>
      </w:pPr>
      <w:r>
        <w:rPr>
          <w:rFonts w:ascii="宋体" w:hAnsi="宋体" w:eastAsia="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在其他媒体发布的招标公告，公告内容以本招标公告指定媒体发布的公告为准；公告期限自本招标公告指定媒体最先发布公告之日起算。</w:t>
      </w:r>
      <w:bookmarkStart w:id="25" w:name="_Toc27660"/>
      <w:bookmarkStart w:id="26" w:name="_Toc6023"/>
    </w:p>
    <w:p w14:paraId="0DB966BF">
      <w:pPr>
        <w:pStyle w:val="4"/>
        <w:keepNext w:val="0"/>
        <w:keepLines w:val="0"/>
        <w:pageBreakBefore w:val="0"/>
        <w:widowControl/>
        <w:suppressLineNumbers w:val="0"/>
        <w:kinsoku/>
        <w:wordWrap/>
        <w:overflowPunct/>
        <w:topLinePunct w:val="0"/>
        <w:autoSpaceDE/>
        <w:autoSpaceDN/>
        <w:bidi w:val="0"/>
        <w:spacing w:before="0" w:beforeAutospacing="0" w:after="0" w:line="420" w:lineRule="atLeast"/>
        <w:ind w:left="0" w:leftChars="0" w:firstLine="643" w:firstLineChars="200"/>
        <w:jc w:val="both"/>
        <w:outlineLvl w:val="1"/>
        <w:rPr>
          <w:color w:val="auto"/>
        </w:rPr>
      </w:pPr>
      <w:r>
        <w:rPr>
          <w:rFonts w:hint="eastAsia"/>
          <w:color w:val="auto"/>
          <w:lang w:val="en-US" w:eastAsia="zh-CN"/>
        </w:rPr>
        <w:t>八</w:t>
      </w:r>
      <w:r>
        <w:rPr>
          <w:color w:val="auto"/>
        </w:rPr>
        <w:t>、询问及质疑</w:t>
      </w:r>
      <w:bookmarkEnd w:id="25"/>
      <w:bookmarkEnd w:id="26"/>
    </w:p>
    <w:p w14:paraId="230D256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投标人对政府采购活动事项如有疑问的，可以向采购人、采购代理机构提出询问。采购人、采购代理机构将在3个工作日内作出答复。</w:t>
      </w:r>
    </w:p>
    <w:p w14:paraId="76851D2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投标人对电子交易平台办理CA证书、操作等如有疑问，请咨询电子交易平台服务机构。</w:t>
      </w:r>
    </w:p>
    <w:p w14:paraId="779C2943">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80" w:firstLineChars="200"/>
        <w:jc w:val="left"/>
        <w:textAlignment w:val="auto"/>
        <w:rPr>
          <w:rFonts w:hint="eastAsia"/>
          <w:color w:val="auto"/>
          <w:lang w:val="en-US" w:eastAsia="zh-CN"/>
        </w:rPr>
      </w:pPr>
      <w:r>
        <w:rPr>
          <w:rFonts w:ascii="宋体" w:hAnsi="宋体" w:eastAsia="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潜在投标人认为招标文件或招标公告使自己的合法权益受到损害的，可以在收到招标文件之日或招标公告期限届满之日起7个工作日内，</w:t>
      </w:r>
      <w:r>
        <w:rPr>
          <w:rFonts w:hint="eastAsia" w:ascii="宋体" w:hAnsi="宋体" w:eastAsia="宋体" w:cs="宋体"/>
          <w:color w:val="auto"/>
          <w:kern w:val="0"/>
          <w:sz w:val="24"/>
          <w:szCs w:val="24"/>
          <w:lang w:val="en-US" w:eastAsia="zh-CN" w:bidi="ar"/>
        </w:rPr>
        <w:t>按照《政府采购质疑和投诉办法》（财政部令第94号）规定</w:t>
      </w:r>
      <w:r>
        <w:rPr>
          <w:rFonts w:ascii="宋体" w:hAnsi="宋体" w:eastAsia="宋体" w:cs="宋体"/>
          <w:color w:val="auto"/>
          <w:kern w:val="0"/>
          <w:sz w:val="24"/>
          <w:szCs w:val="24"/>
          <w:lang w:val="en-US" w:eastAsia="zh-CN" w:bidi="ar"/>
        </w:rPr>
        <w:t xml:space="preserve">，以纸质书面形式向采购人、采购代理机构提出质疑。 </w:t>
      </w:r>
      <w:bookmarkStart w:id="27" w:name="_Toc24710"/>
    </w:p>
    <w:p w14:paraId="2451C21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20" w:lineRule="atLeast"/>
        <w:ind w:left="0" w:leftChars="0" w:firstLine="643" w:firstLineChars="200"/>
        <w:jc w:val="both"/>
        <w:textAlignment w:val="auto"/>
        <w:outlineLvl w:val="1"/>
        <w:rPr>
          <w:color w:val="auto"/>
        </w:rPr>
      </w:pPr>
      <w:r>
        <w:rPr>
          <w:rFonts w:hint="eastAsia"/>
          <w:color w:val="auto"/>
          <w:lang w:val="en-US" w:eastAsia="zh-CN"/>
        </w:rPr>
        <w:t>九</w:t>
      </w:r>
      <w:r>
        <w:rPr>
          <w:color w:val="auto"/>
        </w:rPr>
        <w:t>、投标说明</w:t>
      </w:r>
      <w:bookmarkEnd w:id="27"/>
    </w:p>
    <w:p w14:paraId="021EFDC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outlineLvl w:val="9"/>
        <w:rPr>
          <w:color w:val="auto"/>
          <w:sz w:val="24"/>
          <w:szCs w:val="24"/>
        </w:rPr>
      </w:pPr>
      <w:r>
        <w:rPr>
          <w:rFonts w:ascii="宋体" w:hAnsi="宋体" w:eastAsia="宋体" w:cs="宋体"/>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本公告选项：</w:t>
      </w:r>
      <w:r>
        <w:rPr>
          <w:rFonts w:ascii="宋体" w:hAnsi="宋体" w:eastAsia="宋体" w:cs="宋体"/>
          <w:color w:val="auto"/>
          <w:kern w:val="0"/>
          <w:sz w:val="24"/>
          <w:szCs w:val="24"/>
          <w:lang w:val="en-US" w:eastAsia="zh-CN" w:bidi="ar"/>
        </w:rPr>
        <w:sym w:font="Wingdings" w:char="00FE"/>
      </w:r>
      <w:r>
        <w:rPr>
          <w:rFonts w:ascii="宋体" w:hAnsi="宋体" w:eastAsia="宋体" w:cs="宋体"/>
          <w:color w:val="auto"/>
          <w:kern w:val="0"/>
          <w:sz w:val="24"/>
          <w:szCs w:val="24"/>
          <w:lang w:val="en-US" w:eastAsia="zh-CN" w:bidi="ar"/>
        </w:rPr>
        <w:t>表示选择，</w:t>
      </w:r>
      <w:r>
        <w:rPr>
          <w:rFonts w:ascii="宋体" w:hAnsi="宋体" w:eastAsia="宋体" w:cs="宋体"/>
          <w:color w:val="auto"/>
          <w:kern w:val="0"/>
          <w:sz w:val="24"/>
          <w:szCs w:val="24"/>
          <w:lang w:val="en-US" w:eastAsia="zh-CN" w:bidi="ar"/>
        </w:rPr>
        <w:sym w:font="Wingdings" w:char="00A8"/>
      </w:r>
      <w:r>
        <w:rPr>
          <w:rFonts w:ascii="宋体" w:hAnsi="宋体" w:eastAsia="宋体" w:cs="宋体"/>
          <w:color w:val="auto"/>
          <w:kern w:val="0"/>
          <w:sz w:val="24"/>
          <w:szCs w:val="24"/>
          <w:lang w:val="en-US" w:eastAsia="zh-CN" w:bidi="ar"/>
        </w:rPr>
        <w:t xml:space="preserve">表示未选择。 </w:t>
      </w:r>
    </w:p>
    <w:p w14:paraId="79C2BB4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color w:val="auto"/>
        </w:rPr>
      </w:pPr>
      <w:r>
        <w:rPr>
          <w:rFonts w:ascii="宋体" w:hAnsi="宋体" w:eastAsia="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w:t>
      </w:r>
      <w:r>
        <w:rPr>
          <w:rFonts w:ascii="宋体" w:hAnsi="宋体" w:eastAsia="宋体" w:cs="宋体"/>
          <w:color w:val="auto"/>
          <w:kern w:val="0"/>
          <w:sz w:val="24"/>
          <w:szCs w:val="24"/>
          <w:lang w:val="en-US" w:eastAsia="zh-CN" w:bidi="ar"/>
        </w:rPr>
        <w:t>投标人参与政府采购活动，无需向采购人、代理机构、交易平台缴纳任何费用。</w:t>
      </w:r>
      <w:bookmarkStart w:id="28" w:name="_Toc30152"/>
    </w:p>
    <w:p w14:paraId="3DEB5BD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20" w:lineRule="atLeast"/>
        <w:ind w:left="0" w:leftChars="0" w:firstLine="643" w:firstLineChars="200"/>
        <w:jc w:val="both"/>
        <w:textAlignment w:val="auto"/>
        <w:outlineLvl w:val="1"/>
        <w:rPr>
          <w:color w:val="auto"/>
        </w:rPr>
      </w:pPr>
      <w:r>
        <w:rPr>
          <w:color w:val="auto"/>
        </w:rPr>
        <w:t>十、采购项目联系人姓名和电话</w:t>
      </w:r>
      <w:bookmarkEnd w:id="28"/>
    </w:p>
    <w:p w14:paraId="36DC008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default" w:eastAsia="宋体"/>
          <w:color w:val="auto"/>
          <w:sz w:val="24"/>
          <w:szCs w:val="24"/>
          <w:highlight w:val="none"/>
          <w:lang w:val="en-US" w:eastAsia="zh-CN"/>
        </w:rPr>
      </w:pPr>
      <w:r>
        <w:rPr>
          <w:rFonts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联系人姓名：</w:t>
      </w:r>
      <w:r>
        <w:rPr>
          <w:rFonts w:hint="eastAsia" w:ascii="宋体" w:hAnsi="宋体" w:eastAsia="宋体" w:cs="宋体"/>
          <w:color w:val="auto"/>
          <w:kern w:val="0"/>
          <w:sz w:val="24"/>
          <w:szCs w:val="24"/>
          <w:highlight w:val="none"/>
          <w:lang w:val="en-US" w:eastAsia="zh-CN" w:bidi="ar"/>
        </w:rPr>
        <w:t>伍超</w:t>
      </w:r>
    </w:p>
    <w:p w14:paraId="3427F99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default"/>
          <w:color w:val="auto"/>
          <w:lang w:val="en-US"/>
        </w:rPr>
      </w:pPr>
      <w:r>
        <w:rPr>
          <w:rFonts w:ascii="宋体" w:hAnsi="宋体" w:eastAsia="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电话：</w:t>
      </w:r>
      <w:bookmarkStart w:id="29" w:name="_Toc28386"/>
      <w:r>
        <w:rPr>
          <w:rFonts w:hint="eastAsia" w:ascii="宋体" w:hAnsi="宋体" w:eastAsia="宋体" w:cs="宋体"/>
          <w:color w:val="auto"/>
          <w:kern w:val="0"/>
          <w:sz w:val="24"/>
          <w:szCs w:val="24"/>
          <w:highlight w:val="none"/>
          <w:lang w:val="en-US" w:eastAsia="zh-CN" w:bidi="ar"/>
        </w:rPr>
        <w:t>15207449686</w:t>
      </w:r>
    </w:p>
    <w:p w14:paraId="0FCCFE7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20" w:lineRule="atLeast"/>
        <w:ind w:left="0" w:leftChars="0" w:firstLine="643" w:firstLineChars="200"/>
        <w:jc w:val="both"/>
        <w:textAlignment w:val="auto"/>
        <w:outlineLvl w:val="1"/>
        <w:rPr>
          <w:color w:val="auto"/>
        </w:rPr>
      </w:pPr>
      <w:r>
        <w:rPr>
          <w:color w:val="auto"/>
        </w:rPr>
        <w:t>十</w:t>
      </w:r>
      <w:r>
        <w:rPr>
          <w:rFonts w:hint="eastAsia"/>
          <w:color w:val="auto"/>
          <w:lang w:val="en-US" w:eastAsia="zh-CN"/>
        </w:rPr>
        <w:t>一</w:t>
      </w:r>
      <w:r>
        <w:rPr>
          <w:color w:val="auto"/>
        </w:rPr>
        <w:t>、采购人、采购代理机构的名称、地址和联系方法</w:t>
      </w:r>
      <w:bookmarkEnd w:id="29"/>
    </w:p>
    <w:p w14:paraId="343CA4A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20" w:lineRule="atLeast"/>
        <w:ind w:left="0" w:leftChars="0" w:firstLine="643" w:firstLineChars="200"/>
        <w:jc w:val="both"/>
        <w:textAlignment w:val="auto"/>
        <w:rPr>
          <w:color w:val="auto"/>
        </w:rPr>
      </w:pPr>
      <w:r>
        <w:rPr>
          <w:color w:val="auto"/>
        </w:rPr>
        <w:t>1</w:t>
      </w:r>
      <w:r>
        <w:rPr>
          <w:rFonts w:hint="eastAsia"/>
          <w:color w:val="auto"/>
          <w:lang w:val="en-US" w:eastAsia="zh-CN"/>
        </w:rPr>
        <w:t>.</w:t>
      </w:r>
      <w:r>
        <w:rPr>
          <w:color w:val="auto"/>
        </w:rPr>
        <w:t>采购人信息</w:t>
      </w:r>
    </w:p>
    <w:p w14:paraId="0F03D0A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color w:val="auto"/>
          <w:sz w:val="24"/>
          <w:szCs w:val="24"/>
          <w:highlight w:val="none"/>
        </w:rPr>
      </w:pPr>
      <w:r>
        <w:rPr>
          <w:rFonts w:ascii="宋体" w:hAnsi="宋体" w:eastAsia="宋体" w:cs="宋体"/>
          <w:color w:val="auto"/>
          <w:kern w:val="0"/>
          <w:sz w:val="24"/>
          <w:szCs w:val="24"/>
          <w:highlight w:val="none"/>
          <w:lang w:val="en-US" w:eastAsia="zh-CN" w:bidi="ar"/>
        </w:rPr>
        <w:t>（1）名 称：</w:t>
      </w:r>
      <w:r>
        <w:rPr>
          <w:rFonts w:hint="eastAsia" w:ascii="宋体" w:hAnsi="宋体" w:eastAsia="宋体" w:cs="宋体"/>
          <w:color w:val="auto"/>
          <w:kern w:val="0"/>
          <w:sz w:val="24"/>
          <w:szCs w:val="24"/>
          <w:highlight w:val="none"/>
          <w:lang w:val="en-US" w:eastAsia="zh-CN" w:bidi="ar"/>
        </w:rPr>
        <w:t>慈利县农业农村局</w:t>
      </w:r>
      <w:r>
        <w:rPr>
          <w:rFonts w:ascii="宋体" w:hAnsi="宋体" w:eastAsia="宋体" w:cs="宋体"/>
          <w:color w:val="auto"/>
          <w:kern w:val="0"/>
          <w:sz w:val="24"/>
          <w:szCs w:val="24"/>
          <w:highlight w:val="none"/>
          <w:lang w:val="en-US" w:eastAsia="zh-CN" w:bidi="ar"/>
        </w:rPr>
        <w:t xml:space="preserve"> </w:t>
      </w:r>
    </w:p>
    <w:p w14:paraId="735A81C4">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eastAsia"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（2）地 址：</w:t>
      </w:r>
      <w:r>
        <w:rPr>
          <w:rFonts w:hint="eastAsia" w:ascii="宋体" w:hAnsi="宋体" w:eastAsia="宋体" w:cs="宋体"/>
          <w:color w:val="auto"/>
          <w:kern w:val="0"/>
          <w:sz w:val="24"/>
          <w:szCs w:val="24"/>
          <w:highlight w:val="none"/>
          <w:lang w:val="en-US" w:eastAsia="zh-CN" w:bidi="ar"/>
        </w:rPr>
        <w:t>慈利县零阳镇零阳中路与古城中路交叉口西100米</w:t>
      </w:r>
    </w:p>
    <w:p w14:paraId="46FBE741">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eastAsia"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（3）联系人：</w:t>
      </w:r>
      <w:r>
        <w:rPr>
          <w:rFonts w:hint="eastAsia" w:ascii="宋体" w:hAnsi="宋体" w:eastAsia="宋体" w:cs="宋体"/>
          <w:color w:val="auto"/>
          <w:kern w:val="0"/>
          <w:sz w:val="24"/>
          <w:szCs w:val="24"/>
          <w:highlight w:val="none"/>
          <w:lang w:val="en-US" w:eastAsia="zh-CN" w:bidi="ar"/>
        </w:rPr>
        <w:t>赵先生</w:t>
      </w:r>
    </w:p>
    <w:p w14:paraId="41D304F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eastAsia"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（4）邮 编：</w:t>
      </w:r>
      <w:r>
        <w:rPr>
          <w:rFonts w:hint="eastAsia" w:ascii="宋体" w:hAnsi="宋体" w:eastAsia="宋体" w:cs="宋体"/>
          <w:color w:val="auto"/>
          <w:kern w:val="0"/>
          <w:sz w:val="24"/>
          <w:szCs w:val="24"/>
          <w:highlight w:val="none"/>
          <w:lang w:val="en-US" w:eastAsia="zh-CN" w:bidi="ar"/>
        </w:rPr>
        <w:t>427200</w:t>
      </w:r>
    </w:p>
    <w:p w14:paraId="2322D7F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eastAsia"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（5）电 话：</w:t>
      </w:r>
      <w:r>
        <w:rPr>
          <w:rFonts w:hint="eastAsia" w:ascii="宋体" w:hAnsi="宋体" w:eastAsia="宋体" w:cs="宋体"/>
          <w:color w:val="auto"/>
          <w:kern w:val="0"/>
          <w:sz w:val="24"/>
          <w:szCs w:val="24"/>
          <w:highlight w:val="none"/>
          <w:lang w:val="en-US" w:eastAsia="zh-CN" w:bidi="ar"/>
        </w:rPr>
        <w:t>0744-3223770</w:t>
      </w:r>
    </w:p>
    <w:p w14:paraId="4538C7B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default"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（6）电子邮箱：</w:t>
      </w:r>
      <w:r>
        <w:rPr>
          <w:rFonts w:hint="eastAsia" w:ascii="宋体" w:hAnsi="宋体" w:eastAsia="宋体" w:cs="宋体"/>
          <w:color w:val="auto"/>
          <w:kern w:val="0"/>
          <w:sz w:val="24"/>
          <w:szCs w:val="24"/>
          <w:highlight w:val="none"/>
          <w:lang w:val="en-US" w:eastAsia="zh-CN" w:bidi="ar"/>
        </w:rPr>
        <w:t>/</w:t>
      </w:r>
    </w:p>
    <w:p w14:paraId="1E1FE50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20" w:lineRule="atLeast"/>
        <w:ind w:left="0" w:leftChars="0" w:firstLine="643" w:firstLineChars="200"/>
        <w:jc w:val="both"/>
        <w:textAlignment w:val="auto"/>
        <w:rPr>
          <w:color w:val="auto"/>
        </w:rPr>
      </w:pPr>
      <w:r>
        <w:rPr>
          <w:color w:val="auto"/>
        </w:rPr>
        <w:t>2</w:t>
      </w:r>
      <w:r>
        <w:rPr>
          <w:rFonts w:hint="eastAsia"/>
          <w:color w:val="auto"/>
          <w:lang w:val="en-US" w:eastAsia="zh-CN"/>
        </w:rPr>
        <w:t>.</w:t>
      </w:r>
      <w:r>
        <w:rPr>
          <w:color w:val="auto"/>
        </w:rPr>
        <w:t>采购代理机构信息</w:t>
      </w:r>
    </w:p>
    <w:p w14:paraId="6F9E85F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eastAsia"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（1）名 称：</w:t>
      </w:r>
      <w:r>
        <w:rPr>
          <w:rFonts w:hint="eastAsia" w:ascii="宋体" w:hAnsi="宋体" w:eastAsia="宋体" w:cs="宋体"/>
          <w:color w:val="auto"/>
          <w:kern w:val="0"/>
          <w:sz w:val="24"/>
          <w:szCs w:val="24"/>
          <w:highlight w:val="none"/>
          <w:lang w:val="en-US" w:eastAsia="zh-CN" w:bidi="ar"/>
        </w:rPr>
        <w:t>湖南智高项目管理有限公司</w:t>
      </w:r>
    </w:p>
    <w:p w14:paraId="3A1348AA">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eastAsia"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（2）地 址：</w:t>
      </w:r>
      <w:r>
        <w:rPr>
          <w:rFonts w:hint="eastAsia" w:ascii="宋体" w:hAnsi="宋体" w:eastAsia="宋体" w:cs="宋体"/>
          <w:color w:val="auto"/>
          <w:kern w:val="0"/>
          <w:sz w:val="24"/>
          <w:szCs w:val="24"/>
          <w:highlight w:val="none"/>
          <w:lang w:val="en-US" w:eastAsia="zh-CN" w:bidi="ar"/>
        </w:rPr>
        <w:t>慈利县胜汉步行街19栋3楼</w:t>
      </w:r>
    </w:p>
    <w:p w14:paraId="7C902FF3">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rFonts w:hint="default"/>
          <w:color w:val="auto"/>
          <w:sz w:val="24"/>
          <w:szCs w:val="24"/>
          <w:highlight w:val="none"/>
          <w:lang w:val="en-US"/>
        </w:rPr>
      </w:pPr>
      <w:r>
        <w:rPr>
          <w:rFonts w:ascii="宋体" w:hAnsi="宋体" w:eastAsia="宋体" w:cs="宋体"/>
          <w:color w:val="auto"/>
          <w:kern w:val="0"/>
          <w:sz w:val="24"/>
          <w:szCs w:val="24"/>
          <w:highlight w:val="none"/>
          <w:lang w:val="en-US" w:eastAsia="zh-CN" w:bidi="ar"/>
        </w:rPr>
        <w:t>（3）联系人：</w:t>
      </w:r>
      <w:r>
        <w:rPr>
          <w:rFonts w:hint="eastAsia" w:ascii="宋体" w:hAnsi="宋体" w:eastAsia="宋体" w:cs="宋体"/>
          <w:color w:val="auto"/>
          <w:kern w:val="0"/>
          <w:sz w:val="24"/>
          <w:szCs w:val="24"/>
          <w:highlight w:val="none"/>
          <w:lang w:val="en-US" w:eastAsia="zh-CN" w:bidi="ar"/>
        </w:rPr>
        <w:t>伍超</w:t>
      </w:r>
    </w:p>
    <w:p w14:paraId="5BBEBD93">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color w:val="auto"/>
          <w:sz w:val="24"/>
          <w:szCs w:val="24"/>
          <w:highlight w:val="none"/>
        </w:rPr>
      </w:pPr>
      <w:r>
        <w:rPr>
          <w:rFonts w:ascii="宋体" w:hAnsi="宋体" w:eastAsia="宋体" w:cs="宋体"/>
          <w:color w:val="auto"/>
          <w:kern w:val="0"/>
          <w:sz w:val="24"/>
          <w:szCs w:val="24"/>
          <w:highlight w:val="none"/>
          <w:lang w:val="en-US" w:eastAsia="zh-CN" w:bidi="ar"/>
        </w:rPr>
        <w:t>（4）邮 编：</w:t>
      </w:r>
      <w:r>
        <w:rPr>
          <w:rFonts w:hint="eastAsia" w:ascii="宋体" w:hAnsi="宋体" w:eastAsia="宋体" w:cs="宋体"/>
          <w:color w:val="auto"/>
          <w:kern w:val="0"/>
          <w:sz w:val="24"/>
          <w:szCs w:val="24"/>
          <w:highlight w:val="none"/>
          <w:lang w:val="en-US" w:eastAsia="zh-CN" w:bidi="ar"/>
        </w:rPr>
        <w:t>427200</w:t>
      </w:r>
      <w:r>
        <w:rPr>
          <w:rFonts w:ascii="宋体" w:hAnsi="宋体" w:eastAsia="宋体" w:cs="宋体"/>
          <w:color w:val="auto"/>
          <w:kern w:val="0"/>
          <w:sz w:val="24"/>
          <w:szCs w:val="24"/>
          <w:highlight w:val="none"/>
          <w:lang w:val="en-US" w:eastAsia="zh-CN" w:bidi="ar"/>
        </w:rPr>
        <w:t xml:space="preserve"> </w:t>
      </w:r>
    </w:p>
    <w:p w14:paraId="06BE86DE">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color w:val="auto"/>
          <w:sz w:val="24"/>
          <w:szCs w:val="24"/>
          <w:highlight w:val="none"/>
        </w:rPr>
      </w:pPr>
      <w:r>
        <w:rPr>
          <w:rFonts w:ascii="宋体" w:hAnsi="宋体" w:eastAsia="宋体" w:cs="宋体"/>
          <w:color w:val="auto"/>
          <w:kern w:val="0"/>
          <w:sz w:val="24"/>
          <w:szCs w:val="24"/>
          <w:highlight w:val="none"/>
          <w:lang w:val="en-US" w:eastAsia="zh-CN" w:bidi="ar"/>
        </w:rPr>
        <w:t>（5）电 话：</w:t>
      </w:r>
      <w:r>
        <w:rPr>
          <w:rFonts w:hint="eastAsia" w:ascii="宋体" w:hAnsi="宋体" w:eastAsia="宋体" w:cs="宋体"/>
          <w:color w:val="auto"/>
          <w:kern w:val="0"/>
          <w:sz w:val="24"/>
          <w:szCs w:val="24"/>
          <w:highlight w:val="none"/>
          <w:lang w:val="en-US" w:eastAsia="zh-CN" w:bidi="ar"/>
        </w:rPr>
        <w:t>15207449686</w:t>
      </w:r>
    </w:p>
    <w:p w14:paraId="59683EE8">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20" w:lineRule="atLeast"/>
        <w:ind w:left="0" w:leftChars="0" w:firstLine="420"/>
        <w:jc w:val="left"/>
        <w:textAlignment w:val="auto"/>
        <w:rPr>
          <w:color w:val="auto"/>
          <w:sz w:val="24"/>
          <w:szCs w:val="24"/>
          <w:highlight w:val="none"/>
        </w:rPr>
      </w:pPr>
      <w:r>
        <w:rPr>
          <w:rFonts w:ascii="宋体" w:hAnsi="宋体" w:eastAsia="宋体" w:cs="宋体"/>
          <w:color w:val="auto"/>
          <w:kern w:val="0"/>
          <w:sz w:val="24"/>
          <w:szCs w:val="24"/>
          <w:highlight w:val="none"/>
          <w:lang w:val="en-US" w:eastAsia="zh-CN" w:bidi="ar"/>
        </w:rPr>
        <w:t>（6）电子邮箱：</w:t>
      </w:r>
      <w:r>
        <w:rPr>
          <w:rFonts w:hint="eastAsia" w:ascii="宋体" w:hAnsi="宋体" w:eastAsia="宋体" w:cs="宋体"/>
          <w:color w:val="auto"/>
          <w:kern w:val="0"/>
          <w:sz w:val="24"/>
          <w:szCs w:val="24"/>
          <w:highlight w:val="none"/>
          <w:lang w:val="en-US" w:eastAsia="zh-CN" w:bidi="ar"/>
        </w:rPr>
        <w:t>331023411@qq.com</w:t>
      </w:r>
    </w:p>
    <w:p w14:paraId="103704E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20" w:lineRule="atLeast"/>
        <w:ind w:left="0" w:leftChars="0" w:firstLine="643" w:firstLineChars="200"/>
        <w:jc w:val="both"/>
        <w:textAlignment w:val="auto"/>
        <w:rPr>
          <w:color w:val="auto"/>
        </w:rPr>
      </w:pPr>
      <w:r>
        <w:rPr>
          <w:color w:val="auto"/>
        </w:rPr>
        <w:t>3</w:t>
      </w:r>
      <w:r>
        <w:rPr>
          <w:rFonts w:hint="eastAsia"/>
          <w:color w:val="auto"/>
          <w:lang w:val="en-US" w:eastAsia="zh-CN"/>
        </w:rPr>
        <w:t>.</w:t>
      </w:r>
      <w:r>
        <w:rPr>
          <w:color w:val="auto"/>
        </w:rPr>
        <w:t>电子交易平台服务机构信息</w:t>
      </w:r>
    </w:p>
    <w:p w14:paraId="051F09B8">
      <w:pPr>
        <w:keepNext w:val="0"/>
        <w:keepLines w:val="0"/>
        <w:pageBreakBefore w:val="0"/>
        <w:kinsoku/>
        <w:wordWrap/>
        <w:overflowPunct/>
        <w:topLinePunct w:val="0"/>
        <w:autoSpaceDE/>
        <w:autoSpaceDN/>
        <w:bidi w:val="0"/>
        <w:adjustRightInd/>
        <w:snapToGrid/>
        <w:ind w:left="0" w:leftChars="0" w:firstLine="480" w:firstLineChars="200"/>
        <w:textAlignment w:val="auto"/>
        <w:rPr>
          <w:color w:val="auto"/>
          <w:sz w:val="24"/>
          <w:szCs w:val="24"/>
        </w:rPr>
      </w:pPr>
      <w:r>
        <w:rPr>
          <w:rFonts w:ascii="宋体" w:hAnsi="宋体" w:eastAsia="宋体" w:cs="宋体"/>
          <w:color w:val="auto"/>
          <w:kern w:val="0"/>
          <w:sz w:val="24"/>
          <w:szCs w:val="24"/>
          <w:lang w:val="en-US" w:eastAsia="zh-CN" w:bidi="ar"/>
        </w:rPr>
        <w:t xml:space="preserve">（1）名 称：张家界公共资源交易网 </w:t>
      </w:r>
    </w:p>
    <w:p w14:paraId="4C92BCED">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00" w:lineRule="exact"/>
        <w:ind w:left="0" w:leftChars="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（2）联系人：</w:t>
      </w:r>
      <w:r>
        <w:rPr>
          <w:rFonts w:hint="eastAsia" w:ascii="宋体" w:hAnsi="宋体" w:eastAsia="宋体" w:cs="宋体"/>
          <w:color w:val="auto"/>
          <w:kern w:val="0"/>
          <w:sz w:val="24"/>
          <w:szCs w:val="24"/>
          <w:lang w:val="en-US" w:eastAsia="zh-CN" w:bidi="ar"/>
        </w:rPr>
        <w:t>技术人员</w:t>
      </w:r>
      <w:r>
        <w:rPr>
          <w:rFonts w:ascii="宋体" w:hAnsi="宋体" w:eastAsia="宋体" w:cs="宋体"/>
          <w:color w:val="auto"/>
          <w:kern w:val="0"/>
          <w:sz w:val="24"/>
          <w:szCs w:val="24"/>
          <w:lang w:val="en-US" w:eastAsia="zh-CN" w:bidi="ar"/>
        </w:rPr>
        <w:t xml:space="preserve"> </w:t>
      </w:r>
    </w:p>
    <w:p w14:paraId="79C18DE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400" w:lineRule="exact"/>
        <w:ind w:left="0" w:leftChars="0" w:firstLine="480" w:firstLineChars="200"/>
        <w:jc w:val="left"/>
        <w:textAlignment w:val="auto"/>
        <w:rPr>
          <w:rFonts w:hint="default"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（3）电 话：</w:t>
      </w:r>
      <w:r>
        <w:rPr>
          <w:rFonts w:hint="eastAsia" w:ascii="宋体" w:hAnsi="宋体" w:eastAsia="宋体" w:cs="宋体"/>
          <w:color w:val="auto"/>
          <w:kern w:val="0"/>
          <w:sz w:val="24"/>
          <w:szCs w:val="24"/>
          <w:lang w:val="en-US" w:eastAsia="zh-CN" w:bidi="ar"/>
        </w:rPr>
        <w:t>0744-8833296</w:t>
      </w:r>
    </w:p>
    <w:p w14:paraId="0D47DE86">
      <w:pPr>
        <w:pageBreakBefore w:val="0"/>
        <w:kinsoku/>
        <w:wordWrap/>
        <w:overflowPunct/>
        <w:topLinePunct w:val="0"/>
        <w:autoSpaceDE/>
        <w:autoSpaceDN/>
        <w:bidi w:val="0"/>
        <w:ind w:left="0" w:leftChars="0"/>
        <w:rPr>
          <w:color w:val="auto"/>
        </w:rPr>
      </w:pPr>
      <w:r>
        <w:rPr>
          <w:rFonts w:hint="eastAsia"/>
          <w:color w:val="auto"/>
        </w:rPr>
        <w:br w:type="page"/>
      </w:r>
    </w:p>
    <w:bookmarkEnd w:id="6"/>
    <w:p w14:paraId="3C1E63D1">
      <w:pPr>
        <w:pStyle w:val="2"/>
        <w:pageBreakBefore w:val="0"/>
        <w:kinsoku/>
        <w:wordWrap/>
        <w:overflowPunct/>
        <w:topLinePunct w:val="0"/>
        <w:autoSpaceDE/>
        <w:autoSpaceDN/>
        <w:bidi w:val="0"/>
        <w:spacing w:before="0" w:after="0"/>
        <w:ind w:left="0" w:leftChars="0"/>
        <w:outlineLvl w:val="9"/>
        <w:rPr>
          <w:color w:val="auto"/>
        </w:rPr>
        <w:sectPr>
          <w:pgSz w:w="11906" w:h="16838"/>
          <w:pgMar w:top="1417" w:right="1003" w:bottom="1701" w:left="1003" w:header="1134" w:footer="680" w:gutter="0"/>
          <w:pgBorders>
            <w:top w:val="none" w:sz="0" w:space="0"/>
            <w:left w:val="none" w:sz="0" w:space="0"/>
            <w:bottom w:val="none" w:sz="0" w:space="0"/>
            <w:right w:val="none" w:sz="0" w:space="0"/>
          </w:pgBorders>
          <w:pgNumType w:fmt="decimal"/>
          <w:cols w:space="425" w:num="1"/>
          <w:rtlGutter w:val="0"/>
          <w:docGrid w:type="lines" w:linePitch="312" w:charSpace="0"/>
        </w:sectPr>
      </w:pPr>
      <w:bookmarkStart w:id="30" w:name="_Toc19995"/>
      <w:bookmarkStart w:id="31" w:name="_第二章_磋商须知"/>
      <w:bookmarkStart w:id="32" w:name="_Toc26622"/>
      <w:bookmarkStart w:id="33" w:name="_Toc27615"/>
      <w:bookmarkStart w:id="34" w:name="_Toc14576"/>
      <w:bookmarkStart w:id="35" w:name="_Toc256000002"/>
      <w:bookmarkStart w:id="36" w:name="_Toc26894"/>
      <w:bookmarkStart w:id="37" w:name="_Toc6573"/>
    </w:p>
    <w:p w14:paraId="25553274">
      <w:pPr>
        <w:pStyle w:val="2"/>
        <w:keepNext/>
        <w:keepLines/>
        <w:pageBreakBefore w:val="0"/>
        <w:widowControl w:val="0"/>
        <w:kinsoku/>
        <w:wordWrap/>
        <w:overflowPunct/>
        <w:topLinePunct w:val="0"/>
        <w:autoSpaceDE/>
        <w:autoSpaceDN/>
        <w:bidi w:val="0"/>
        <w:adjustRightInd/>
        <w:snapToGrid/>
        <w:spacing w:line="240" w:lineRule="auto"/>
        <w:rPr>
          <w:color w:val="auto"/>
        </w:rPr>
      </w:pPr>
      <w:bookmarkStart w:id="38" w:name="_Toc26067"/>
      <w:bookmarkStart w:id="39" w:name="_Toc26146"/>
      <w:r>
        <w:rPr>
          <w:rFonts w:hint="eastAsia"/>
          <w:color w:val="auto"/>
        </w:rPr>
        <w:t>第二章 投标</w:t>
      </w:r>
      <w:r>
        <w:rPr>
          <w:rFonts w:hint="eastAsia"/>
          <w:color w:val="auto"/>
          <w:lang w:eastAsia="zh-CN"/>
        </w:rPr>
        <w:t>人</w:t>
      </w:r>
      <w:r>
        <w:rPr>
          <w:rFonts w:hint="eastAsia"/>
          <w:color w:val="auto"/>
        </w:rPr>
        <w:t>须知</w:t>
      </w:r>
      <w:bookmarkEnd w:id="30"/>
      <w:bookmarkEnd w:id="31"/>
      <w:bookmarkEnd w:id="32"/>
      <w:bookmarkEnd w:id="33"/>
      <w:bookmarkEnd w:id="38"/>
      <w:bookmarkEnd w:id="39"/>
    </w:p>
    <w:bookmarkEnd w:id="34"/>
    <w:bookmarkEnd w:id="35"/>
    <w:bookmarkEnd w:id="36"/>
    <w:bookmarkEnd w:id="37"/>
    <w:p w14:paraId="39004AFB">
      <w:pPr>
        <w:pStyle w:val="3"/>
        <w:keepNext/>
        <w:keepLines/>
        <w:pageBreakBefore w:val="0"/>
        <w:widowControl w:val="0"/>
        <w:kinsoku/>
        <w:wordWrap/>
        <w:overflowPunct/>
        <w:topLinePunct w:val="0"/>
        <w:autoSpaceDE/>
        <w:autoSpaceDN/>
        <w:bidi w:val="0"/>
        <w:adjustRightInd/>
        <w:snapToGrid/>
        <w:spacing w:line="240" w:lineRule="auto"/>
        <w:textAlignment w:val="baseline"/>
        <w:rPr>
          <w:color w:val="auto"/>
        </w:rPr>
      </w:pPr>
      <w:bookmarkStart w:id="40" w:name="_Toc28975"/>
      <w:bookmarkStart w:id="41" w:name="_Toc14113"/>
      <w:bookmarkStart w:id="42" w:name="_Toc32293"/>
      <w:bookmarkStart w:id="43" w:name="_Toc16281"/>
      <w:bookmarkStart w:id="44" w:name="_Toc40166586"/>
      <w:bookmarkStart w:id="45" w:name="_第三章_采购需求"/>
      <w:r>
        <w:rPr>
          <w:rFonts w:hint="eastAsia"/>
          <w:color w:val="auto"/>
        </w:rPr>
        <w:t>第一节 投标人须知前附表</w:t>
      </w:r>
      <w:bookmarkEnd w:id="40"/>
      <w:bookmarkEnd w:id="41"/>
    </w:p>
    <w:tbl>
      <w:tblPr>
        <w:tblStyle w:val="32"/>
        <w:tblW w:w="976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25"/>
        <w:gridCol w:w="2375"/>
        <w:gridCol w:w="6263"/>
      </w:tblGrid>
      <w:tr w14:paraId="1A9F14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1125" w:type="dxa"/>
            <w:shd w:val="pct10" w:color="B8CCE4" w:fill="DCE6F2"/>
            <w:vAlign w:val="center"/>
          </w:tcPr>
          <w:p w14:paraId="77EAFC8F">
            <w:pPr>
              <w:pStyle w:val="41"/>
              <w:textAlignment w:val="baseline"/>
              <w:rPr>
                <w:color w:val="auto"/>
                <w:highlight w:val="none"/>
              </w:rPr>
            </w:pPr>
            <w:r>
              <w:rPr>
                <w:rFonts w:hint="eastAsia"/>
                <w:color w:val="auto"/>
                <w:highlight w:val="none"/>
              </w:rPr>
              <w:t>条款号</w:t>
            </w:r>
          </w:p>
        </w:tc>
        <w:tc>
          <w:tcPr>
            <w:tcW w:w="2375" w:type="dxa"/>
            <w:shd w:val="pct10" w:color="B8CCE4" w:fill="DCE6F2"/>
            <w:vAlign w:val="center"/>
          </w:tcPr>
          <w:p w14:paraId="24079787">
            <w:pPr>
              <w:pStyle w:val="41"/>
              <w:textAlignment w:val="baseline"/>
              <w:rPr>
                <w:color w:val="auto"/>
                <w:highlight w:val="none"/>
              </w:rPr>
            </w:pPr>
            <w:r>
              <w:rPr>
                <w:rFonts w:hint="eastAsia"/>
                <w:color w:val="auto"/>
                <w:highlight w:val="none"/>
              </w:rPr>
              <w:t>条款名称</w:t>
            </w:r>
          </w:p>
        </w:tc>
        <w:tc>
          <w:tcPr>
            <w:tcW w:w="6263" w:type="dxa"/>
            <w:shd w:val="pct10" w:color="B8CCE4" w:fill="DCE6F2"/>
            <w:vAlign w:val="center"/>
          </w:tcPr>
          <w:p w14:paraId="451DB443">
            <w:pPr>
              <w:pStyle w:val="41"/>
              <w:textAlignment w:val="baseline"/>
              <w:rPr>
                <w:color w:val="auto"/>
                <w:highlight w:val="none"/>
              </w:rPr>
            </w:pPr>
            <w:r>
              <w:rPr>
                <w:rFonts w:hint="eastAsia"/>
                <w:color w:val="auto"/>
                <w:highlight w:val="none"/>
              </w:rPr>
              <w:t>编列内容规定</w:t>
            </w:r>
          </w:p>
        </w:tc>
      </w:tr>
      <w:tr w14:paraId="014B2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25" w:type="dxa"/>
            <w:vAlign w:val="center"/>
          </w:tcPr>
          <w:p w14:paraId="6DD9B1F4">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1.1</w:t>
            </w:r>
          </w:p>
        </w:tc>
        <w:tc>
          <w:tcPr>
            <w:tcW w:w="2375" w:type="dxa"/>
            <w:vAlign w:val="center"/>
          </w:tcPr>
          <w:p w14:paraId="0F030C87">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采购项目</w:t>
            </w:r>
          </w:p>
        </w:tc>
        <w:tc>
          <w:tcPr>
            <w:tcW w:w="6263" w:type="dxa"/>
            <w:vAlign w:val="center"/>
          </w:tcPr>
          <w:p w14:paraId="3A6680D6">
            <w:pPr>
              <w:pStyle w:val="44"/>
              <w:ind w:firstLine="420" w:firstLineChars="200"/>
              <w:jc w:val="both"/>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慈利县2026年度菜籽油大县奖励资金项目—油菜种子、硼肥采购子项目</w:t>
            </w:r>
          </w:p>
        </w:tc>
      </w:tr>
      <w:tr w14:paraId="0F1F4D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56380B33">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3.1</w:t>
            </w:r>
          </w:p>
        </w:tc>
        <w:tc>
          <w:tcPr>
            <w:tcW w:w="2375" w:type="dxa"/>
            <w:vAlign w:val="center"/>
          </w:tcPr>
          <w:p w14:paraId="192F308C">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采购人名称、地址、电话、联系人</w:t>
            </w:r>
          </w:p>
        </w:tc>
        <w:tc>
          <w:tcPr>
            <w:tcW w:w="6263" w:type="dxa"/>
            <w:vAlign w:val="center"/>
          </w:tcPr>
          <w:p w14:paraId="5E1023DE">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名  称：</w:t>
            </w:r>
            <w:r>
              <w:rPr>
                <w:rFonts w:hint="eastAsia" w:ascii="微软雅黑" w:hAnsi="微软雅黑" w:cs="微软雅黑"/>
                <w:color w:val="auto"/>
                <w:szCs w:val="21"/>
                <w:highlight w:val="none"/>
                <w:lang w:eastAsia="zh-CN"/>
              </w:rPr>
              <w:t xml:space="preserve">慈利县农业农村局  </w:t>
            </w:r>
            <w:r>
              <w:rPr>
                <w:rFonts w:hint="eastAsia" w:ascii="微软雅黑" w:hAnsi="微软雅黑" w:cs="微软雅黑"/>
                <w:color w:val="auto"/>
                <w:szCs w:val="21"/>
                <w:highlight w:val="none"/>
              </w:rPr>
              <w:t xml:space="preserve">                                </w:t>
            </w:r>
          </w:p>
          <w:p w14:paraId="7FCE44B4">
            <w:pPr>
              <w:pStyle w:val="44"/>
              <w:ind w:firstLine="420" w:firstLineChars="200"/>
              <w:jc w:val="left"/>
              <w:textAlignment w:val="baseline"/>
              <w:rPr>
                <w:rFonts w:hint="eastAsia"/>
                <w:color w:val="auto"/>
                <w:highlight w:val="none"/>
                <w:lang w:eastAsia="zh-CN"/>
              </w:rPr>
            </w:pPr>
            <w:r>
              <w:rPr>
                <w:rFonts w:hint="eastAsia" w:ascii="微软雅黑" w:hAnsi="微软雅黑" w:cs="微软雅黑"/>
                <w:color w:val="auto"/>
                <w:szCs w:val="21"/>
                <w:highlight w:val="none"/>
              </w:rPr>
              <w:t>地  址：</w:t>
            </w:r>
            <w:r>
              <w:rPr>
                <w:rFonts w:hint="eastAsia"/>
                <w:color w:val="auto"/>
                <w:highlight w:val="none"/>
                <w:lang w:eastAsia="zh-CN"/>
              </w:rPr>
              <w:t>慈利县零阳镇零阳中路与古城中路交叉口西100米</w:t>
            </w:r>
          </w:p>
          <w:p w14:paraId="2A6BE124">
            <w:pPr>
              <w:pStyle w:val="44"/>
              <w:ind w:firstLine="420" w:firstLineChars="200"/>
              <w:jc w:val="left"/>
              <w:textAlignment w:val="baseline"/>
              <w:rPr>
                <w:rFonts w:hint="eastAsia" w:ascii="微软雅黑" w:hAnsi="微软雅黑" w:cs="微软雅黑"/>
                <w:color w:val="auto"/>
                <w:szCs w:val="21"/>
                <w:highlight w:val="none"/>
                <w:lang w:eastAsia="zh-CN"/>
              </w:rPr>
            </w:pPr>
            <w:r>
              <w:rPr>
                <w:rFonts w:hint="eastAsia" w:ascii="微软雅黑" w:hAnsi="微软雅黑" w:cs="微软雅黑"/>
                <w:color w:val="auto"/>
                <w:szCs w:val="21"/>
                <w:highlight w:val="none"/>
              </w:rPr>
              <w:t>联系</w:t>
            </w:r>
            <w:r>
              <w:rPr>
                <w:rFonts w:hint="eastAsia" w:ascii="微软雅黑" w:hAnsi="微软雅黑" w:cs="微软雅黑"/>
                <w:color w:val="auto"/>
                <w:szCs w:val="21"/>
                <w:highlight w:val="none"/>
                <w:lang w:eastAsia="zh-CN"/>
              </w:rPr>
              <w:t>人：</w:t>
            </w:r>
            <w:r>
              <w:rPr>
                <w:rFonts w:hint="eastAsia" w:ascii="微软雅黑" w:hAnsi="微软雅黑" w:cs="微软雅黑"/>
                <w:color w:val="auto"/>
                <w:szCs w:val="21"/>
                <w:highlight w:val="none"/>
                <w:lang w:val="en-US" w:eastAsia="zh-CN"/>
              </w:rPr>
              <w:t>赵先生</w:t>
            </w:r>
            <w:r>
              <w:rPr>
                <w:rFonts w:hint="eastAsia" w:ascii="微软雅黑" w:hAnsi="微软雅黑" w:cs="微软雅黑"/>
                <w:color w:val="auto"/>
                <w:szCs w:val="21"/>
                <w:highlight w:val="none"/>
                <w:lang w:eastAsia="zh-CN"/>
              </w:rPr>
              <w:t xml:space="preserve">                     </w:t>
            </w:r>
          </w:p>
          <w:p w14:paraId="4C03D96F">
            <w:pPr>
              <w:pStyle w:val="44"/>
              <w:ind w:firstLine="420" w:firstLineChars="200"/>
              <w:jc w:val="left"/>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lang w:eastAsia="zh-CN"/>
              </w:rPr>
              <w:t>电  话：</w:t>
            </w:r>
            <w:r>
              <w:rPr>
                <w:rFonts w:hint="eastAsia" w:ascii="微软雅黑" w:hAnsi="微软雅黑" w:cs="微软雅黑"/>
                <w:color w:val="auto"/>
                <w:szCs w:val="21"/>
                <w:highlight w:val="none"/>
                <w:lang w:val="en-US" w:eastAsia="zh-CN"/>
              </w:rPr>
              <w:t>0744-3223770</w:t>
            </w:r>
          </w:p>
        </w:tc>
      </w:tr>
      <w:tr w14:paraId="423950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25" w:type="dxa"/>
            <w:vAlign w:val="center"/>
          </w:tcPr>
          <w:p w14:paraId="19E1EE66">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3.2</w:t>
            </w:r>
          </w:p>
        </w:tc>
        <w:tc>
          <w:tcPr>
            <w:tcW w:w="2375" w:type="dxa"/>
            <w:vAlign w:val="center"/>
          </w:tcPr>
          <w:p w14:paraId="18701E77">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采购代理机构名称、地址、电话、项目联系人</w:t>
            </w:r>
          </w:p>
        </w:tc>
        <w:tc>
          <w:tcPr>
            <w:tcW w:w="6263" w:type="dxa"/>
            <w:vAlign w:val="center"/>
          </w:tcPr>
          <w:p w14:paraId="202C54C9">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采购代理机构：</w:t>
            </w:r>
            <w:r>
              <w:rPr>
                <w:rFonts w:hint="eastAsia" w:ascii="微软雅黑" w:hAnsi="微软雅黑" w:cs="微软雅黑"/>
                <w:color w:val="auto"/>
                <w:szCs w:val="21"/>
                <w:highlight w:val="none"/>
                <w:lang w:eastAsia="zh-CN"/>
              </w:rPr>
              <w:t>湖南智高项目管理有限公司</w:t>
            </w:r>
          </w:p>
          <w:p w14:paraId="1A661EF7">
            <w:pPr>
              <w:pStyle w:val="44"/>
              <w:ind w:firstLine="420" w:firstLineChars="200"/>
              <w:jc w:val="left"/>
              <w:textAlignment w:val="baseline"/>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rPr>
              <w:t>地  址：</w:t>
            </w:r>
            <w:r>
              <w:rPr>
                <w:rFonts w:hint="eastAsia" w:ascii="微软雅黑" w:hAnsi="微软雅黑" w:cs="微软雅黑"/>
                <w:color w:val="auto"/>
                <w:szCs w:val="21"/>
                <w:highlight w:val="none"/>
                <w:lang w:val="en-US" w:eastAsia="zh-CN"/>
              </w:rPr>
              <w:t xml:space="preserve">慈利县胜汉步行街19栋3楼 </w:t>
            </w:r>
          </w:p>
          <w:p w14:paraId="6D076658">
            <w:pPr>
              <w:pStyle w:val="44"/>
              <w:ind w:firstLine="420" w:firstLineChars="200"/>
              <w:jc w:val="left"/>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rPr>
              <w:t>联系人：</w:t>
            </w:r>
            <w:r>
              <w:rPr>
                <w:rFonts w:hint="eastAsia" w:ascii="微软雅黑" w:hAnsi="微软雅黑" w:cs="微软雅黑"/>
                <w:color w:val="auto"/>
                <w:szCs w:val="21"/>
                <w:highlight w:val="none"/>
                <w:lang w:val="en-US" w:eastAsia="zh-CN"/>
              </w:rPr>
              <w:t>伍超</w:t>
            </w:r>
          </w:p>
          <w:p w14:paraId="35F29207">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电  话：</w:t>
            </w:r>
            <w:r>
              <w:rPr>
                <w:rFonts w:hint="eastAsia" w:ascii="微软雅黑" w:hAnsi="微软雅黑" w:cs="微软雅黑"/>
                <w:color w:val="auto"/>
                <w:szCs w:val="21"/>
                <w:highlight w:val="none"/>
                <w:lang w:eastAsia="zh-CN"/>
              </w:rPr>
              <w:t>15207449686</w:t>
            </w:r>
          </w:p>
        </w:tc>
      </w:tr>
      <w:tr w14:paraId="609F0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7D9BC180">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3.3.4</w:t>
            </w:r>
          </w:p>
        </w:tc>
        <w:tc>
          <w:tcPr>
            <w:tcW w:w="2375" w:type="dxa"/>
            <w:vAlign w:val="center"/>
          </w:tcPr>
          <w:p w14:paraId="0F5CB224">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是否为专门面向中小企业采购</w:t>
            </w:r>
          </w:p>
        </w:tc>
        <w:tc>
          <w:tcPr>
            <w:tcW w:w="6263" w:type="dxa"/>
            <w:vAlign w:val="center"/>
          </w:tcPr>
          <w:p w14:paraId="7CB27DB2">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sym w:font="Wingdings" w:char="00A8"/>
            </w:r>
            <w:r>
              <w:rPr>
                <w:rFonts w:hint="eastAsia" w:ascii="微软雅黑" w:hAnsi="微软雅黑" w:cs="微软雅黑"/>
                <w:color w:val="auto"/>
                <w:szCs w:val="21"/>
                <w:highlight w:val="none"/>
              </w:rPr>
              <w:t xml:space="preserve">是  </w:t>
            </w:r>
            <w:r>
              <w:rPr>
                <w:rFonts w:hint="eastAsia" w:ascii="微软雅黑" w:hAnsi="微软雅黑" w:cs="微软雅黑"/>
                <w:b/>
                <w:bCs/>
                <w:color w:val="auto"/>
                <w:szCs w:val="21"/>
                <w:highlight w:val="none"/>
              </w:rPr>
              <w:tab/>
            </w:r>
            <w:r>
              <w:rPr>
                <w:rFonts w:hint="eastAsia" w:ascii="微软雅黑" w:hAnsi="微软雅黑" w:cs="微软雅黑"/>
                <w:color w:val="auto"/>
                <w:szCs w:val="21"/>
                <w:highlight w:val="none"/>
              </w:rPr>
              <w:sym w:font="Wingdings" w:char="00FE"/>
            </w:r>
            <w:r>
              <w:rPr>
                <w:rFonts w:hint="eastAsia" w:ascii="微软雅黑" w:hAnsi="微软雅黑" w:cs="微软雅黑"/>
                <w:b/>
                <w:bCs/>
                <w:color w:val="auto"/>
                <w:szCs w:val="21"/>
                <w:highlight w:val="none"/>
              </w:rPr>
              <w:t>否</w:t>
            </w:r>
          </w:p>
        </w:tc>
      </w:tr>
      <w:tr w14:paraId="5B5D00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125" w:type="dxa"/>
            <w:vAlign w:val="center"/>
          </w:tcPr>
          <w:p w14:paraId="42DAB23F">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3.4</w:t>
            </w:r>
          </w:p>
        </w:tc>
        <w:tc>
          <w:tcPr>
            <w:tcW w:w="2375" w:type="dxa"/>
            <w:vAlign w:val="center"/>
          </w:tcPr>
          <w:p w14:paraId="4403B783">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是否允许联合体</w:t>
            </w:r>
          </w:p>
          <w:p w14:paraId="6C0556C2">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投标</w:t>
            </w:r>
          </w:p>
        </w:tc>
        <w:tc>
          <w:tcPr>
            <w:tcW w:w="6263" w:type="dxa"/>
            <w:vAlign w:val="center"/>
          </w:tcPr>
          <w:p w14:paraId="3B030B09">
            <w:pPr>
              <w:pStyle w:val="44"/>
              <w:ind w:firstLine="420" w:firstLineChars="200"/>
              <w:jc w:val="left"/>
              <w:textAlignment w:val="baseline"/>
              <w:rPr>
                <w:rFonts w:ascii="微软雅黑" w:hAnsi="微软雅黑" w:cs="微软雅黑"/>
                <w:color w:val="auto"/>
                <w:szCs w:val="21"/>
                <w:highlight w:val="none"/>
              </w:rPr>
            </w:pPr>
            <w:bookmarkStart w:id="46" w:name="EBeb5d4ca0542b42d9960ffc6351724688"/>
            <w:bookmarkEnd w:id="46"/>
            <w:r>
              <w:rPr>
                <w:rFonts w:hint="eastAsia" w:ascii="微软雅黑" w:hAnsi="微软雅黑" w:cs="微软雅黑"/>
                <w:b w:val="0"/>
                <w:bCs w:val="0"/>
                <w:color w:val="auto"/>
                <w:szCs w:val="21"/>
                <w:highlight w:val="none"/>
              </w:rPr>
              <w:sym w:font="Wingdings" w:char="00A8"/>
            </w:r>
            <w:r>
              <w:rPr>
                <w:rFonts w:hint="eastAsia" w:ascii="微软雅黑" w:hAnsi="微软雅黑" w:cs="微软雅黑"/>
                <w:b w:val="0"/>
                <w:bCs w:val="0"/>
                <w:color w:val="auto"/>
                <w:szCs w:val="21"/>
                <w:highlight w:val="none"/>
              </w:rPr>
              <w:t>接受</w:t>
            </w:r>
            <w:r>
              <w:rPr>
                <w:rFonts w:hint="eastAsia" w:ascii="微软雅黑" w:hAnsi="微软雅黑" w:cs="微软雅黑"/>
                <w:b/>
                <w:bCs/>
                <w:color w:val="auto"/>
                <w:szCs w:val="21"/>
                <w:highlight w:val="none"/>
              </w:rPr>
              <w:t xml:space="preserve"> </w:t>
            </w:r>
            <w:r>
              <w:rPr>
                <w:rFonts w:hint="eastAsia" w:ascii="微软雅黑" w:hAnsi="微软雅黑" w:cs="微软雅黑"/>
                <w:color w:val="auto"/>
                <w:szCs w:val="21"/>
                <w:highlight w:val="none"/>
              </w:rPr>
              <w:t xml:space="preserve">  </w:t>
            </w:r>
            <w:r>
              <w:rPr>
                <w:rFonts w:hint="eastAsia" w:ascii="微软雅黑" w:hAnsi="微软雅黑" w:cs="微软雅黑"/>
                <w:b/>
                <w:bCs/>
                <w:color w:val="auto"/>
                <w:szCs w:val="21"/>
                <w:highlight w:val="none"/>
              </w:rPr>
              <w:sym w:font="Wingdings" w:char="00FE"/>
            </w:r>
            <w:r>
              <w:rPr>
                <w:rFonts w:hint="eastAsia" w:ascii="微软雅黑" w:hAnsi="微软雅黑" w:cs="微软雅黑"/>
                <w:b/>
                <w:bCs/>
                <w:color w:val="auto"/>
                <w:szCs w:val="21"/>
                <w:highlight w:val="none"/>
              </w:rPr>
              <w:t>不接受</w:t>
            </w:r>
          </w:p>
        </w:tc>
      </w:tr>
      <w:tr w14:paraId="5EA618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0407F70F">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7.1</w:t>
            </w:r>
          </w:p>
        </w:tc>
        <w:tc>
          <w:tcPr>
            <w:tcW w:w="2375" w:type="dxa"/>
            <w:vAlign w:val="center"/>
          </w:tcPr>
          <w:p w14:paraId="302ABEF0">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现场考</w:t>
            </w:r>
            <w:r>
              <w:rPr>
                <w:rFonts w:hint="eastAsia" w:ascii="微软雅黑" w:hAnsi="微软雅黑" w:cs="微软雅黑"/>
                <w:bCs/>
                <w:color w:val="auto"/>
                <w:szCs w:val="21"/>
                <w:highlight w:val="none"/>
              </w:rPr>
              <w:t>察</w:t>
            </w:r>
          </w:p>
        </w:tc>
        <w:tc>
          <w:tcPr>
            <w:tcW w:w="6263" w:type="dxa"/>
            <w:vAlign w:val="center"/>
          </w:tcPr>
          <w:p w14:paraId="39E2C511">
            <w:pPr>
              <w:pStyle w:val="44"/>
              <w:ind w:firstLine="480" w:firstLineChars="200"/>
              <w:jc w:val="left"/>
              <w:textAlignment w:val="baseline"/>
              <w:rPr>
                <w:rFonts w:ascii="微软雅黑" w:hAnsi="微软雅黑" w:cs="微软雅黑"/>
                <w:b/>
                <w:bCs/>
                <w:color w:val="auto"/>
                <w:szCs w:val="21"/>
                <w:highlight w:val="none"/>
              </w:rPr>
            </w:pP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b/>
                <w:bCs/>
                <w:color w:val="auto"/>
                <w:szCs w:val="21"/>
                <w:highlight w:val="none"/>
              </w:rPr>
              <w:t>不组织，投标人自行考察</w:t>
            </w:r>
          </w:p>
          <w:p w14:paraId="3C351DF8">
            <w:pPr>
              <w:pStyle w:val="44"/>
              <w:ind w:firstLine="480" w:firstLineChars="200"/>
              <w:jc w:val="left"/>
              <w:textAlignment w:val="baseline"/>
              <w:rPr>
                <w:rFonts w:ascii="微软雅黑" w:hAnsi="微软雅黑" w:cs="微软雅黑"/>
                <w:color w:val="auto"/>
                <w:szCs w:val="21"/>
                <w:highlight w:val="none"/>
              </w:rPr>
            </w:pPr>
            <w:r>
              <w:rPr>
                <w:rFonts w:ascii="宋体" w:hAnsi="宋体" w:eastAsia="宋体" w:cs="宋体"/>
                <w:color w:val="auto"/>
                <w:kern w:val="0"/>
                <w:sz w:val="24"/>
                <w:szCs w:val="24"/>
                <w:highlight w:val="none"/>
                <w:lang w:val="en-US" w:eastAsia="zh-CN" w:bidi="ar"/>
              </w:rPr>
              <w:sym w:font="Wingdings" w:char="00A8"/>
            </w:r>
            <w:r>
              <w:rPr>
                <w:rFonts w:hint="eastAsia" w:ascii="微软雅黑" w:hAnsi="微软雅黑" w:cs="微软雅黑"/>
                <w:color w:val="auto"/>
                <w:szCs w:val="21"/>
                <w:highlight w:val="none"/>
              </w:rPr>
              <w:t>统一组织</w:t>
            </w:r>
          </w:p>
          <w:p w14:paraId="3B02FBB7">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 xml:space="preserve">时间： </w:t>
            </w:r>
            <w:r>
              <w:rPr>
                <w:rFonts w:hint="eastAsia" w:ascii="微软雅黑" w:hAnsi="微软雅黑" w:cs="微软雅黑"/>
                <w:color w:val="auto"/>
                <w:szCs w:val="21"/>
                <w:highlight w:val="none"/>
              </w:rPr>
              <w:tab/>
            </w:r>
            <w:r>
              <w:rPr>
                <w:rFonts w:hint="eastAsia" w:ascii="微软雅黑" w:hAnsi="微软雅黑" w:cs="微软雅黑"/>
                <w:color w:val="auto"/>
                <w:szCs w:val="21"/>
                <w:highlight w:val="none"/>
              </w:rPr>
              <w:t>年  月  日  时  分</w:t>
            </w:r>
          </w:p>
          <w:p w14:paraId="40267635">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 xml:space="preserve">地点： </w:t>
            </w:r>
            <w:r>
              <w:rPr>
                <w:rFonts w:hint="eastAsia" w:ascii="微软雅黑" w:hAnsi="微软雅黑" w:cs="微软雅黑"/>
                <w:color w:val="auto"/>
                <w:szCs w:val="21"/>
                <w:highlight w:val="none"/>
              </w:rPr>
              <w:tab/>
            </w:r>
            <w:r>
              <w:rPr>
                <w:rFonts w:hint="eastAsia" w:ascii="微软雅黑" w:hAnsi="微软雅黑" w:cs="微软雅黑"/>
                <w:color w:val="auto"/>
                <w:szCs w:val="21"/>
                <w:highlight w:val="none"/>
              </w:rPr>
              <w:tab/>
            </w:r>
          </w:p>
          <w:p w14:paraId="7E25174C">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 xml:space="preserve">现场考察联系人及联系电话： </w:t>
            </w:r>
            <w:r>
              <w:rPr>
                <w:rFonts w:hint="eastAsia" w:ascii="微软雅黑" w:hAnsi="微软雅黑" w:cs="微软雅黑"/>
                <w:color w:val="auto"/>
                <w:szCs w:val="21"/>
                <w:highlight w:val="none"/>
              </w:rPr>
              <w:tab/>
            </w:r>
          </w:p>
          <w:p w14:paraId="5780461B">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备注：如投标人未参加采购人统一组织的现场考察，视同放弃现场考察，由此引起的一切责任由投标人自行承担。</w:t>
            </w:r>
          </w:p>
        </w:tc>
      </w:tr>
      <w:tr w14:paraId="5F72C0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62C3413B">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8.1</w:t>
            </w:r>
          </w:p>
        </w:tc>
        <w:tc>
          <w:tcPr>
            <w:tcW w:w="2375" w:type="dxa"/>
            <w:vAlign w:val="center"/>
          </w:tcPr>
          <w:p w14:paraId="4A016858">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采购进口产品</w:t>
            </w:r>
          </w:p>
        </w:tc>
        <w:tc>
          <w:tcPr>
            <w:tcW w:w="6263" w:type="dxa"/>
            <w:vAlign w:val="center"/>
          </w:tcPr>
          <w:p w14:paraId="20297B7A">
            <w:pPr>
              <w:pStyle w:val="44"/>
              <w:ind w:firstLine="480" w:firstLineChars="200"/>
              <w:jc w:val="left"/>
              <w:textAlignment w:val="baseline"/>
              <w:rPr>
                <w:rFonts w:ascii="微软雅黑" w:hAnsi="微软雅黑" w:cs="微软雅黑"/>
                <w:color w:val="auto"/>
                <w:szCs w:val="21"/>
                <w:highlight w:val="none"/>
              </w:rPr>
            </w:pPr>
            <w:r>
              <w:rPr>
                <w:rFonts w:ascii="宋体" w:hAnsi="宋体" w:eastAsia="宋体" w:cs="宋体"/>
                <w:color w:val="auto"/>
                <w:kern w:val="0"/>
                <w:sz w:val="24"/>
                <w:szCs w:val="24"/>
                <w:highlight w:val="none"/>
                <w:lang w:val="en-US" w:eastAsia="zh-CN" w:bidi="ar"/>
              </w:rPr>
              <w:sym w:font="Wingdings" w:char="00A8"/>
            </w:r>
            <w:r>
              <w:rPr>
                <w:rFonts w:hint="eastAsia" w:ascii="微软雅黑" w:hAnsi="微软雅黑" w:cs="微软雅黑"/>
                <w:color w:val="auto"/>
                <w:szCs w:val="21"/>
                <w:highlight w:val="none"/>
              </w:rPr>
              <w:t xml:space="preserve">接受  </w:t>
            </w: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b/>
                <w:bCs/>
                <w:color w:val="auto"/>
                <w:szCs w:val="21"/>
                <w:highlight w:val="none"/>
              </w:rPr>
              <w:t>拒绝</w:t>
            </w:r>
          </w:p>
        </w:tc>
      </w:tr>
      <w:tr w14:paraId="79A383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7A703035">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11.1</w:t>
            </w:r>
          </w:p>
        </w:tc>
        <w:tc>
          <w:tcPr>
            <w:tcW w:w="2375" w:type="dxa"/>
            <w:vAlign w:val="center"/>
          </w:tcPr>
          <w:p w14:paraId="6A23C7EE">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包别划分</w:t>
            </w:r>
          </w:p>
        </w:tc>
        <w:tc>
          <w:tcPr>
            <w:tcW w:w="6263" w:type="dxa"/>
            <w:vAlign w:val="center"/>
          </w:tcPr>
          <w:p w14:paraId="23749EF4">
            <w:pPr>
              <w:pStyle w:val="44"/>
              <w:ind w:firstLine="480" w:firstLineChars="200"/>
              <w:jc w:val="left"/>
              <w:textAlignment w:val="baseline"/>
              <w:rPr>
                <w:rFonts w:ascii="微软雅黑" w:hAnsi="微软雅黑" w:cs="微软雅黑"/>
                <w:color w:val="auto"/>
                <w:szCs w:val="21"/>
                <w:highlight w:val="none"/>
              </w:rPr>
            </w:pP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b/>
                <w:bCs/>
                <w:color w:val="auto"/>
                <w:szCs w:val="21"/>
                <w:highlight w:val="none"/>
              </w:rPr>
              <w:t xml:space="preserve">不分包  </w:t>
            </w:r>
            <w:r>
              <w:rPr>
                <w:rFonts w:hint="eastAsia" w:ascii="微软雅黑" w:hAnsi="微软雅黑" w:cs="微软雅黑"/>
                <w:color w:val="auto"/>
                <w:szCs w:val="21"/>
                <w:highlight w:val="none"/>
              </w:rPr>
              <w:tab/>
            </w:r>
            <w:r>
              <w:rPr>
                <w:rFonts w:ascii="宋体" w:hAnsi="宋体" w:eastAsia="宋体" w:cs="宋体"/>
                <w:color w:val="auto"/>
                <w:kern w:val="0"/>
                <w:sz w:val="24"/>
                <w:szCs w:val="24"/>
                <w:highlight w:val="none"/>
                <w:lang w:val="en-US" w:eastAsia="zh-CN" w:bidi="ar"/>
              </w:rPr>
              <w:sym w:font="Wingdings" w:char="00A8"/>
            </w:r>
            <w:r>
              <w:rPr>
                <w:rFonts w:hint="eastAsia" w:ascii="微软雅黑" w:hAnsi="微软雅黑" w:cs="微软雅黑"/>
                <w:color w:val="auto"/>
                <w:szCs w:val="21"/>
                <w:highlight w:val="none"/>
              </w:rPr>
              <w:t>分为</w:t>
            </w:r>
            <w:r>
              <w:rPr>
                <w:rFonts w:hint="eastAsia" w:ascii="微软雅黑" w:hAnsi="微软雅黑" w:cs="微软雅黑"/>
                <w:color w:val="auto"/>
                <w:szCs w:val="21"/>
                <w:highlight w:val="none"/>
                <w:u w:val="single" w:color="000000"/>
              </w:rPr>
              <w:t xml:space="preserve"> / </w:t>
            </w:r>
            <w:r>
              <w:rPr>
                <w:rFonts w:hint="eastAsia" w:ascii="微软雅黑" w:hAnsi="微软雅黑" w:cs="微软雅黑"/>
                <w:color w:val="auto"/>
                <w:szCs w:val="21"/>
                <w:highlight w:val="none"/>
              </w:rPr>
              <w:t>个包</w:t>
            </w:r>
          </w:p>
          <w:p w14:paraId="1FC597CB">
            <w:pPr>
              <w:pStyle w:val="44"/>
              <w:ind w:firstLine="420" w:firstLineChars="200"/>
              <w:jc w:val="left"/>
              <w:textAlignment w:val="baseline"/>
              <w:rPr>
                <w:rFonts w:ascii="微软雅黑" w:hAnsi="微软雅黑" w:cs="微软雅黑"/>
                <w:color w:val="auto"/>
                <w:szCs w:val="21"/>
                <w:highlight w:val="none"/>
                <w:u w:val="single"/>
              </w:rPr>
            </w:pPr>
            <w:r>
              <w:rPr>
                <w:rFonts w:hint="eastAsia" w:ascii="微软雅黑" w:hAnsi="微软雅黑" w:cs="微软雅黑"/>
                <w:color w:val="auto"/>
                <w:szCs w:val="21"/>
                <w:highlight w:val="none"/>
              </w:rPr>
              <w:t>投标人对多个包进行投标的中标包数规定：</w:t>
            </w:r>
            <w:r>
              <w:rPr>
                <w:rFonts w:hint="eastAsia" w:ascii="微软雅黑" w:hAnsi="微软雅黑" w:cs="微软雅黑"/>
                <w:color w:val="auto"/>
                <w:szCs w:val="21"/>
                <w:highlight w:val="none"/>
                <w:u w:val="single" w:color="000000"/>
              </w:rPr>
              <w:t xml:space="preserve">    /   </w:t>
            </w:r>
          </w:p>
        </w:tc>
      </w:tr>
      <w:tr w14:paraId="6E0B63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125" w:type="dxa"/>
            <w:vAlign w:val="center"/>
          </w:tcPr>
          <w:p w14:paraId="2B6A9489">
            <w:pPr>
              <w:pStyle w:val="44"/>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lang w:val="en-US" w:eastAsia="zh-CN"/>
              </w:rPr>
              <w:t>13.1.1</w:t>
            </w:r>
          </w:p>
        </w:tc>
        <w:tc>
          <w:tcPr>
            <w:tcW w:w="2375" w:type="dxa"/>
            <w:vAlign w:val="center"/>
          </w:tcPr>
          <w:p w14:paraId="4B34C98B">
            <w:pPr>
              <w:pStyle w:val="44"/>
              <w:textAlignment w:val="baseline"/>
              <w:rPr>
                <w:rFonts w:hint="eastAsia"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投标人应提供资格审查资料</w:t>
            </w:r>
          </w:p>
        </w:tc>
        <w:tc>
          <w:tcPr>
            <w:tcW w:w="6263" w:type="dxa"/>
            <w:vAlign w:val="center"/>
          </w:tcPr>
          <w:p w14:paraId="28C9272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 xml:space="preserve">1.投标人的基本资格条件：投标人必须是在中华人民共和国境内注册登记的法人、其他组织或者自然人，且应当符合《政府采购法》第二十二条第一款的规定。即： </w:t>
            </w:r>
          </w:p>
          <w:p w14:paraId="4CD8FE1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（1）具有独立承担民事责任的能力；</w:t>
            </w:r>
          </w:p>
          <w:p w14:paraId="024DD2A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（2）具有良好的商业信誉和健全的财务会计制度；</w:t>
            </w:r>
          </w:p>
          <w:p w14:paraId="5E2A6A0E">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（3）具有履行合同所必需的设备和专业技术能力；</w:t>
            </w:r>
          </w:p>
          <w:p w14:paraId="456DBDD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（4）有依法缴纳税收和社会保障资金的良好记录；</w:t>
            </w:r>
          </w:p>
          <w:p w14:paraId="557F478E">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（5）参加政府采购活动前三年内，在经营活动中没有重大违法记录；</w:t>
            </w:r>
          </w:p>
          <w:p w14:paraId="649B0D3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（6）法律、行政法规规定的其他条件。</w:t>
            </w:r>
          </w:p>
          <w:p w14:paraId="08F962A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2.单位负责人为同一人或者存在直接控股、管理关系的不同投标人，不得参加同一合同项下的政府采购活动。</w:t>
            </w:r>
          </w:p>
          <w:p w14:paraId="15DEEE66">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3.为本采购项目提供整体设计、规范编制或者项目管理、监理、检测等服务的，不得再参加此项目的其他采购活动。</w:t>
            </w:r>
          </w:p>
          <w:p w14:paraId="3F3EDAB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left="0" w:leftChars="0" w:firstLine="420"/>
              <w:jc w:val="left"/>
              <w:textAlignment w:val="auto"/>
              <w:outlineLvl w:val="2"/>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4.列入失信被执行人、重大税收违法失信主体名单、政府采购严重违法失信行为记录名单的，拒绝其参与政府采购活动。</w:t>
            </w:r>
          </w:p>
          <w:p w14:paraId="7DF835E8">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line="300" w:lineRule="exact"/>
              <w:ind w:firstLine="420" w:firstLineChars="200"/>
              <w:jc w:val="left"/>
              <w:textAlignment w:val="auto"/>
              <w:outlineLvl w:val="2"/>
              <w:rPr>
                <w:rFonts w:hint="eastAsia" w:ascii="微软雅黑" w:hAnsi="微软雅黑" w:cs="微软雅黑"/>
                <w:color w:val="auto"/>
                <w:szCs w:val="21"/>
                <w:highlight w:val="none"/>
                <w:lang w:val="en-US" w:eastAsia="zh-CN"/>
              </w:rPr>
            </w:pPr>
            <w:r>
              <w:rPr>
                <w:rFonts w:hint="eastAsia" w:ascii="微软雅黑" w:hAnsi="微软雅黑" w:eastAsia="微软雅黑" w:cs="微软雅黑"/>
                <w:color w:val="auto"/>
                <w:kern w:val="2"/>
                <w:sz w:val="21"/>
                <w:szCs w:val="21"/>
                <w:highlight w:val="none"/>
                <w:lang w:val="en-US" w:eastAsia="zh-CN" w:bidi="ar-SA"/>
              </w:rPr>
              <w:t>注：①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tc>
      </w:tr>
      <w:tr w14:paraId="42A55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0" w:hRule="atLeast"/>
          <w:jc w:val="center"/>
        </w:trPr>
        <w:tc>
          <w:tcPr>
            <w:tcW w:w="1125" w:type="dxa"/>
            <w:vAlign w:val="center"/>
          </w:tcPr>
          <w:p w14:paraId="1B91192F">
            <w:pPr>
              <w:pStyle w:val="44"/>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rPr>
              <w:t>13.1</w:t>
            </w:r>
            <w:r>
              <w:rPr>
                <w:rFonts w:hint="eastAsia" w:ascii="微软雅黑" w:hAnsi="微软雅黑" w:cs="微软雅黑"/>
                <w:color w:val="auto"/>
                <w:szCs w:val="21"/>
                <w:highlight w:val="none"/>
                <w:lang w:val="en-US" w:eastAsia="zh-CN"/>
              </w:rPr>
              <w:t>.1</w:t>
            </w:r>
          </w:p>
        </w:tc>
        <w:tc>
          <w:tcPr>
            <w:tcW w:w="2375" w:type="dxa"/>
            <w:vAlign w:val="center"/>
          </w:tcPr>
          <w:p w14:paraId="7AB832A7">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采购项目的其他资格条件</w:t>
            </w:r>
          </w:p>
        </w:tc>
        <w:tc>
          <w:tcPr>
            <w:tcW w:w="6263" w:type="dxa"/>
            <w:vAlign w:val="center"/>
          </w:tcPr>
          <w:p w14:paraId="11D475AA">
            <w:pPr>
              <w:pStyle w:val="44"/>
              <w:jc w:val="left"/>
              <w:textAlignment w:val="baseline"/>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lang w:val="en-US" w:eastAsia="zh-CN"/>
              </w:rPr>
              <w:t>投标人须</w:t>
            </w:r>
            <w:r>
              <w:rPr>
                <w:rFonts w:hint="eastAsia" w:ascii="微软雅黑" w:hAnsi="微软雅黑" w:cs="微软雅黑"/>
                <w:color w:val="auto"/>
                <w:szCs w:val="21"/>
                <w:highlight w:val="none"/>
              </w:rPr>
              <w:t>具有行政主管部门核发的农作物种子生产经营许可证</w:t>
            </w:r>
          </w:p>
        </w:tc>
      </w:tr>
      <w:tr w14:paraId="45FC12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98" w:hRule="atLeast"/>
          <w:jc w:val="center"/>
        </w:trPr>
        <w:tc>
          <w:tcPr>
            <w:tcW w:w="1125" w:type="dxa"/>
            <w:vAlign w:val="center"/>
          </w:tcPr>
          <w:p w14:paraId="3D310340">
            <w:pPr>
              <w:pStyle w:val="42"/>
              <w:numPr>
                <w:ilvl w:val="0"/>
                <w:numId w:val="0"/>
              </w:numPr>
              <w:spacing w:before="156"/>
              <w:ind w:firstLine="240" w:firstLineChars="100"/>
              <w:rPr>
                <w:color w:val="auto"/>
                <w:highlight w:val="none"/>
              </w:rPr>
            </w:pPr>
            <w:bookmarkStart w:id="47" w:name="_Toc22942"/>
            <w:bookmarkStart w:id="48" w:name="_Toc19291"/>
            <w:bookmarkStart w:id="49" w:name="_Toc28231"/>
            <w:r>
              <w:rPr>
                <w:rFonts w:hint="eastAsia"/>
                <w:color w:val="auto"/>
                <w:highlight w:val="none"/>
                <w:lang w:val="en-US" w:eastAsia="zh-CN"/>
              </w:rPr>
              <w:t>14.4.3</w:t>
            </w:r>
          </w:p>
          <w:p w14:paraId="09E00D3C">
            <w:pPr>
              <w:pStyle w:val="44"/>
              <w:textAlignment w:val="baseline"/>
              <w:rPr>
                <w:rFonts w:hint="eastAsia" w:ascii="微软雅黑" w:hAnsi="微软雅黑" w:cs="微软雅黑"/>
                <w:color w:val="auto"/>
                <w:szCs w:val="21"/>
                <w:highlight w:val="none"/>
              </w:rPr>
            </w:pPr>
          </w:p>
        </w:tc>
        <w:tc>
          <w:tcPr>
            <w:tcW w:w="2375" w:type="dxa"/>
            <w:vAlign w:val="center"/>
          </w:tcPr>
          <w:p w14:paraId="3C2E0D04">
            <w:pPr>
              <w:pStyle w:val="44"/>
              <w:textAlignment w:val="baseline"/>
              <w:rPr>
                <w:rFonts w:hint="eastAsia" w:ascii="微软雅黑" w:hAnsi="微软雅黑" w:cs="微软雅黑"/>
                <w:color w:val="auto"/>
                <w:szCs w:val="21"/>
                <w:highlight w:val="none"/>
              </w:rPr>
            </w:pPr>
            <w:r>
              <w:rPr>
                <w:rFonts w:hint="eastAsia"/>
                <w:color w:val="auto"/>
                <w:highlight w:val="none"/>
              </w:rPr>
              <w:t>网上</w:t>
            </w:r>
            <w:r>
              <w:rPr>
                <w:rFonts w:hint="eastAsia"/>
                <w:color w:val="auto"/>
                <w:highlight w:val="none"/>
                <w:lang w:val="en-US" w:eastAsia="zh-CN"/>
              </w:rPr>
              <w:t>报价</w:t>
            </w:r>
            <w:r>
              <w:rPr>
                <w:rFonts w:hint="eastAsia"/>
                <w:color w:val="auto"/>
                <w:highlight w:val="none"/>
              </w:rPr>
              <w:t>开始</w:t>
            </w:r>
          </w:p>
        </w:tc>
        <w:tc>
          <w:tcPr>
            <w:tcW w:w="6263" w:type="dxa"/>
            <w:vAlign w:val="center"/>
          </w:tcPr>
          <w:p w14:paraId="387DCE73">
            <w:pPr>
              <w:pStyle w:val="44"/>
              <w:numPr>
                <w:ilvl w:val="0"/>
                <w:numId w:val="0"/>
              </w:numPr>
              <w:ind w:firstLine="420" w:firstLineChars="200"/>
              <w:jc w:val="left"/>
              <w:textAlignment w:val="baseline"/>
              <w:rPr>
                <w:rFonts w:hint="eastAsia" w:ascii="微软雅黑" w:hAnsi="微软雅黑" w:cs="微软雅黑"/>
                <w:color w:val="auto"/>
                <w:szCs w:val="21"/>
                <w:highlight w:val="none"/>
              </w:rPr>
            </w:pPr>
            <w:r>
              <w:rPr>
                <w:rFonts w:hint="eastAsia" w:ascii="微软雅黑" w:hAnsi="微软雅黑" w:cs="微软雅黑"/>
                <w:color w:val="auto"/>
                <w:szCs w:val="21"/>
                <w:highlight w:val="none"/>
              </w:rPr>
              <w:t>网上</w:t>
            </w:r>
            <w:r>
              <w:rPr>
                <w:rFonts w:hint="eastAsia" w:ascii="微软雅黑" w:hAnsi="微软雅黑" w:cs="微软雅黑"/>
                <w:color w:val="auto"/>
                <w:szCs w:val="21"/>
                <w:highlight w:val="none"/>
                <w:lang w:val="en-US" w:eastAsia="zh-CN"/>
              </w:rPr>
              <w:t>报价</w:t>
            </w:r>
            <w:r>
              <w:rPr>
                <w:rFonts w:hint="eastAsia" w:ascii="微软雅黑" w:hAnsi="微软雅黑" w:cs="微软雅黑"/>
                <w:color w:val="auto"/>
                <w:szCs w:val="21"/>
                <w:highlight w:val="none"/>
              </w:rPr>
              <w:t>分为</w:t>
            </w:r>
            <w:r>
              <w:rPr>
                <w:rFonts w:hint="eastAsia" w:ascii="微软雅黑" w:hAnsi="微软雅黑" w:cs="微软雅黑"/>
                <w:b/>
                <w:bCs/>
                <w:color w:val="auto"/>
                <w:szCs w:val="21"/>
                <w:highlight w:val="none"/>
              </w:rPr>
              <w:t>自由</w:t>
            </w:r>
            <w:r>
              <w:rPr>
                <w:rFonts w:hint="eastAsia" w:ascii="微软雅黑" w:hAnsi="微软雅黑" w:cs="微软雅黑"/>
                <w:b/>
                <w:bCs/>
                <w:color w:val="auto"/>
                <w:szCs w:val="21"/>
                <w:highlight w:val="none"/>
                <w:lang w:val="en-US" w:eastAsia="zh-CN"/>
              </w:rPr>
              <w:t>报价</w:t>
            </w:r>
            <w:r>
              <w:rPr>
                <w:rFonts w:hint="eastAsia" w:ascii="微软雅黑" w:hAnsi="微软雅黑" w:cs="微软雅黑"/>
                <w:b/>
                <w:bCs/>
                <w:color w:val="auto"/>
                <w:szCs w:val="21"/>
                <w:highlight w:val="none"/>
              </w:rPr>
              <w:t>和限时</w:t>
            </w:r>
            <w:r>
              <w:rPr>
                <w:rFonts w:hint="eastAsia" w:ascii="微软雅黑" w:hAnsi="微软雅黑" w:cs="微软雅黑"/>
                <w:b/>
                <w:bCs/>
                <w:color w:val="auto"/>
                <w:szCs w:val="21"/>
                <w:highlight w:val="none"/>
                <w:lang w:val="en-US" w:eastAsia="zh-CN"/>
              </w:rPr>
              <w:t>报价</w:t>
            </w:r>
            <w:r>
              <w:rPr>
                <w:rFonts w:hint="eastAsia" w:ascii="微软雅黑" w:hAnsi="微软雅黑" w:cs="微软雅黑"/>
                <w:color w:val="auto"/>
                <w:szCs w:val="21"/>
                <w:highlight w:val="none"/>
              </w:rPr>
              <w:t>两个阶段；</w:t>
            </w:r>
          </w:p>
          <w:p w14:paraId="72FC2598">
            <w:pPr>
              <w:pStyle w:val="44"/>
              <w:numPr>
                <w:ilvl w:val="0"/>
                <w:numId w:val="0"/>
              </w:numPr>
              <w:ind w:firstLine="420" w:firstLineChars="200"/>
              <w:jc w:val="left"/>
              <w:textAlignment w:val="baseline"/>
              <w:rPr>
                <w:rFonts w:hint="eastAsia" w:ascii="微软雅黑" w:hAnsi="微软雅黑" w:cs="微软雅黑"/>
                <w:color w:val="auto"/>
                <w:szCs w:val="21"/>
                <w:highlight w:val="none"/>
                <w:lang w:val="en-US" w:eastAsia="zh-CN"/>
              </w:rPr>
            </w:pPr>
            <w:r>
              <w:rPr>
                <w:rFonts w:hint="eastAsia" w:ascii="微软雅黑" w:hAnsi="微软雅黑" w:cs="微软雅黑"/>
                <w:color w:val="auto"/>
                <w:szCs w:val="21"/>
                <w:highlight w:val="none"/>
              </w:rPr>
              <w:t>网上自由</w:t>
            </w:r>
            <w:r>
              <w:rPr>
                <w:rFonts w:hint="eastAsia" w:ascii="微软雅黑" w:hAnsi="微软雅黑" w:cs="微软雅黑"/>
                <w:color w:val="auto"/>
                <w:szCs w:val="21"/>
                <w:highlight w:val="none"/>
                <w:lang w:val="en-US" w:eastAsia="zh-CN"/>
              </w:rPr>
              <w:t>报价</w:t>
            </w:r>
            <w:r>
              <w:rPr>
                <w:rFonts w:hint="eastAsia" w:ascii="微软雅黑" w:hAnsi="微软雅黑" w:cs="微软雅黑"/>
                <w:color w:val="auto"/>
                <w:szCs w:val="21"/>
                <w:highlight w:val="none"/>
              </w:rPr>
              <w:t>开始时间自通过评审专家评审通过后，系统自动颁发资格证书，</w:t>
            </w:r>
            <w:r>
              <w:rPr>
                <w:rFonts w:hint="eastAsia" w:ascii="微软雅黑" w:hAnsi="微软雅黑" w:cs="微软雅黑"/>
                <w:color w:val="auto"/>
                <w:szCs w:val="21"/>
                <w:highlight w:val="none"/>
                <w:lang w:val="en-US" w:eastAsia="zh-CN"/>
              </w:rPr>
              <w:t>投标人</w:t>
            </w:r>
            <w:r>
              <w:rPr>
                <w:rFonts w:hint="eastAsia" w:ascii="微软雅黑" w:hAnsi="微软雅黑" w:cs="微软雅黑"/>
                <w:color w:val="auto"/>
                <w:szCs w:val="21"/>
                <w:highlight w:val="none"/>
              </w:rPr>
              <w:t>即可在系统进行网上报价（</w:t>
            </w:r>
            <w:r>
              <w:rPr>
                <w:rFonts w:hint="eastAsia" w:ascii="微软雅黑" w:hAnsi="微软雅黑" w:cs="微软雅黑"/>
                <w:color w:val="auto"/>
                <w:szCs w:val="21"/>
                <w:highlight w:val="none"/>
                <w:lang w:val="en-US" w:eastAsia="zh-CN"/>
              </w:rPr>
              <w:t>投标人</w:t>
            </w:r>
            <w:r>
              <w:rPr>
                <w:rFonts w:hint="eastAsia" w:ascii="微软雅黑" w:hAnsi="微软雅黑" w:cs="微软雅黑"/>
                <w:color w:val="auto"/>
                <w:szCs w:val="21"/>
                <w:highlight w:val="none"/>
              </w:rPr>
              <w:t>在自由</w:t>
            </w:r>
            <w:r>
              <w:rPr>
                <w:rFonts w:hint="eastAsia" w:ascii="微软雅黑" w:hAnsi="微软雅黑" w:cs="微软雅黑"/>
                <w:color w:val="auto"/>
                <w:szCs w:val="21"/>
                <w:highlight w:val="none"/>
                <w:lang w:val="en-US" w:eastAsia="zh-CN"/>
              </w:rPr>
              <w:t>报价</w:t>
            </w:r>
            <w:r>
              <w:rPr>
                <w:rFonts w:hint="eastAsia" w:ascii="微软雅黑" w:hAnsi="微软雅黑" w:cs="微软雅黑"/>
                <w:color w:val="auto"/>
                <w:szCs w:val="21"/>
                <w:highlight w:val="none"/>
              </w:rPr>
              <w:t>期间需进行至少一次有效报价，方可有资格进入限时</w:t>
            </w:r>
            <w:r>
              <w:rPr>
                <w:rFonts w:hint="eastAsia" w:ascii="微软雅黑" w:hAnsi="微软雅黑" w:cs="微软雅黑"/>
                <w:color w:val="auto"/>
                <w:szCs w:val="21"/>
                <w:highlight w:val="none"/>
                <w:lang w:val="en-US" w:eastAsia="zh-CN"/>
              </w:rPr>
              <w:t>报价</w:t>
            </w:r>
            <w:r>
              <w:rPr>
                <w:rFonts w:hint="eastAsia" w:ascii="微软雅黑" w:hAnsi="微软雅黑" w:cs="微软雅黑"/>
                <w:color w:val="auto"/>
                <w:szCs w:val="21"/>
                <w:highlight w:val="none"/>
              </w:rPr>
              <w:t>阶段）；在进入限时</w:t>
            </w:r>
            <w:r>
              <w:rPr>
                <w:rFonts w:hint="eastAsia" w:ascii="微软雅黑" w:hAnsi="微软雅黑" w:cs="微软雅黑"/>
                <w:color w:val="auto"/>
                <w:szCs w:val="21"/>
                <w:highlight w:val="none"/>
                <w:lang w:val="en-US" w:eastAsia="zh-CN"/>
              </w:rPr>
              <w:t>报价</w:t>
            </w:r>
            <w:r>
              <w:rPr>
                <w:rFonts w:hint="eastAsia" w:ascii="微软雅黑" w:hAnsi="微软雅黑" w:cs="微软雅黑"/>
                <w:color w:val="auto"/>
                <w:szCs w:val="21"/>
                <w:highlight w:val="none"/>
              </w:rPr>
              <w:t>阶段前，须有</w:t>
            </w: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家及以上的</w:t>
            </w:r>
            <w:r>
              <w:rPr>
                <w:rFonts w:hint="eastAsia" w:ascii="微软雅黑" w:hAnsi="微软雅黑" w:cs="微软雅黑"/>
                <w:color w:val="auto"/>
                <w:szCs w:val="21"/>
                <w:highlight w:val="none"/>
                <w:lang w:val="en-US" w:eastAsia="zh-CN"/>
              </w:rPr>
              <w:t>投标人</w:t>
            </w:r>
            <w:r>
              <w:rPr>
                <w:rFonts w:hint="eastAsia" w:ascii="微软雅黑" w:hAnsi="微软雅黑" w:cs="微软雅黑"/>
                <w:color w:val="auto"/>
                <w:szCs w:val="21"/>
                <w:highlight w:val="none"/>
              </w:rPr>
              <w:t>有效报价，否则终止</w:t>
            </w:r>
            <w:r>
              <w:rPr>
                <w:rFonts w:hint="eastAsia" w:ascii="微软雅黑" w:hAnsi="微软雅黑" w:cs="微软雅黑"/>
                <w:color w:val="auto"/>
                <w:szCs w:val="21"/>
                <w:highlight w:val="none"/>
                <w:lang w:val="en-US" w:eastAsia="zh-CN"/>
              </w:rPr>
              <w:t>报价</w:t>
            </w:r>
            <w:r>
              <w:rPr>
                <w:rFonts w:hint="eastAsia" w:ascii="微软雅黑" w:hAnsi="微软雅黑" w:cs="微软雅黑"/>
                <w:color w:val="auto"/>
                <w:szCs w:val="21"/>
                <w:highlight w:val="none"/>
              </w:rPr>
              <w:t>活动，作</w:t>
            </w:r>
            <w:r>
              <w:rPr>
                <w:rFonts w:hint="eastAsia" w:ascii="微软雅黑" w:hAnsi="微软雅黑" w:cs="微软雅黑"/>
                <w:color w:val="auto"/>
                <w:szCs w:val="21"/>
                <w:highlight w:val="none"/>
                <w:lang w:val="en-US" w:eastAsia="zh-CN"/>
              </w:rPr>
              <w:t>投标</w:t>
            </w:r>
            <w:r>
              <w:rPr>
                <w:rFonts w:hint="eastAsia" w:ascii="微软雅黑" w:hAnsi="微软雅黑" w:cs="微软雅黑"/>
                <w:color w:val="auto"/>
                <w:szCs w:val="21"/>
                <w:highlight w:val="none"/>
              </w:rPr>
              <w:t>失败处理。</w:t>
            </w:r>
            <w:r>
              <w:rPr>
                <w:rFonts w:hint="eastAsia" w:ascii="微软雅黑" w:hAnsi="微软雅黑" w:cs="微软雅黑"/>
                <w:b/>
                <w:bCs/>
                <w:color w:val="auto"/>
                <w:szCs w:val="21"/>
                <w:highlight w:val="none"/>
              </w:rPr>
              <w:t>取得资格的</w:t>
            </w:r>
            <w:r>
              <w:rPr>
                <w:rFonts w:hint="eastAsia" w:ascii="微软雅黑" w:hAnsi="微软雅黑" w:cs="微软雅黑"/>
                <w:b/>
                <w:bCs/>
                <w:color w:val="auto"/>
                <w:szCs w:val="21"/>
                <w:highlight w:val="none"/>
                <w:lang w:val="en-US" w:eastAsia="zh-CN"/>
              </w:rPr>
              <w:t>投标人</w:t>
            </w:r>
            <w:r>
              <w:rPr>
                <w:rFonts w:hint="eastAsia" w:ascii="微软雅黑" w:hAnsi="微软雅黑" w:cs="微软雅黑"/>
                <w:b/>
                <w:bCs/>
                <w:color w:val="auto"/>
                <w:szCs w:val="21"/>
                <w:highlight w:val="none"/>
              </w:rPr>
              <w:t>，按照</w:t>
            </w:r>
            <w:r>
              <w:rPr>
                <w:rFonts w:hint="eastAsia" w:ascii="微软雅黑" w:hAnsi="微软雅黑" w:cs="微软雅黑"/>
                <w:b/>
                <w:bCs/>
                <w:color w:val="auto"/>
                <w:szCs w:val="21"/>
                <w:highlight w:val="none"/>
                <w:lang w:val="en-US" w:eastAsia="zh-CN"/>
              </w:rPr>
              <w:t>报价</w:t>
            </w:r>
            <w:r>
              <w:rPr>
                <w:rFonts w:hint="eastAsia" w:ascii="微软雅黑" w:hAnsi="微软雅黑" w:cs="微软雅黑"/>
                <w:b/>
                <w:bCs/>
                <w:color w:val="auto"/>
                <w:szCs w:val="21"/>
                <w:highlight w:val="none"/>
              </w:rPr>
              <w:t>规则的要求，在限时</w:t>
            </w:r>
            <w:r>
              <w:rPr>
                <w:rFonts w:hint="eastAsia" w:ascii="微软雅黑" w:hAnsi="微软雅黑" w:cs="微软雅黑"/>
                <w:b/>
                <w:bCs/>
                <w:color w:val="auto"/>
                <w:szCs w:val="21"/>
                <w:highlight w:val="none"/>
                <w:lang w:val="en-US" w:eastAsia="zh-CN"/>
              </w:rPr>
              <w:t>报价</w:t>
            </w:r>
            <w:r>
              <w:rPr>
                <w:rFonts w:hint="eastAsia" w:ascii="微软雅黑" w:hAnsi="微软雅黑" w:cs="微软雅黑"/>
                <w:b/>
                <w:bCs/>
                <w:color w:val="auto"/>
                <w:szCs w:val="21"/>
                <w:highlight w:val="none"/>
              </w:rPr>
              <w:t>阶段，通过</w:t>
            </w:r>
            <w:r>
              <w:rPr>
                <w:rFonts w:hint="eastAsia" w:ascii="微软雅黑" w:hAnsi="微软雅黑" w:cs="微软雅黑"/>
                <w:b/>
                <w:bCs/>
                <w:color w:val="auto"/>
                <w:szCs w:val="21"/>
                <w:highlight w:val="none"/>
                <w:lang w:eastAsia="zh-CN"/>
              </w:rPr>
              <w:t>产权交易系统</w:t>
            </w:r>
            <w:r>
              <w:rPr>
                <w:rFonts w:hint="eastAsia" w:ascii="微软雅黑" w:hAnsi="微软雅黑" w:cs="微软雅黑"/>
                <w:b/>
                <w:bCs/>
                <w:color w:val="auto"/>
                <w:szCs w:val="21"/>
                <w:highlight w:val="none"/>
              </w:rPr>
              <w:t>采用反向</w:t>
            </w:r>
            <w:r>
              <w:rPr>
                <w:rFonts w:hint="eastAsia" w:ascii="微软雅黑" w:hAnsi="微软雅黑" w:cs="微软雅黑"/>
                <w:b/>
                <w:bCs/>
                <w:color w:val="auto"/>
                <w:szCs w:val="21"/>
                <w:highlight w:val="none"/>
                <w:lang w:val="en-US" w:eastAsia="zh-CN"/>
              </w:rPr>
              <w:t>报价</w:t>
            </w:r>
            <w:r>
              <w:rPr>
                <w:rFonts w:hint="eastAsia" w:ascii="微软雅黑" w:hAnsi="微软雅黑" w:cs="微软雅黑"/>
                <w:b/>
                <w:bCs/>
                <w:color w:val="auto"/>
                <w:szCs w:val="21"/>
                <w:highlight w:val="none"/>
              </w:rPr>
              <w:t>多次报价方式竞争。</w:t>
            </w:r>
          </w:p>
        </w:tc>
      </w:tr>
      <w:tr w14:paraId="5F4C71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70" w:hRule="atLeast"/>
          <w:jc w:val="center"/>
        </w:trPr>
        <w:tc>
          <w:tcPr>
            <w:tcW w:w="1125" w:type="dxa"/>
            <w:vAlign w:val="center"/>
          </w:tcPr>
          <w:p w14:paraId="7374DC10">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15.1</w:t>
            </w:r>
          </w:p>
        </w:tc>
        <w:tc>
          <w:tcPr>
            <w:tcW w:w="2375" w:type="dxa"/>
            <w:vAlign w:val="center"/>
          </w:tcPr>
          <w:p w14:paraId="7F123B07">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投标保证金</w:t>
            </w:r>
          </w:p>
        </w:tc>
        <w:tc>
          <w:tcPr>
            <w:tcW w:w="6263" w:type="dxa"/>
            <w:vAlign w:val="center"/>
          </w:tcPr>
          <w:p w14:paraId="0D470C97">
            <w:pPr>
              <w:pStyle w:val="44"/>
              <w:ind w:firstLine="420" w:firstLineChars="200"/>
              <w:jc w:val="left"/>
              <w:textAlignment w:val="baseline"/>
              <w:rPr>
                <w:rFonts w:hint="eastAsia" w:ascii="微软雅黑" w:hAnsi="微软雅黑" w:cs="微软雅黑"/>
                <w:color w:val="auto"/>
                <w:szCs w:val="21"/>
                <w:highlight w:val="none"/>
                <w:lang w:val="en-US" w:eastAsia="zh-CN"/>
              </w:rPr>
            </w:pPr>
            <w:r>
              <w:rPr>
                <w:rFonts w:hint="eastAsia" w:ascii="微软雅黑" w:hAnsi="微软雅黑" w:cs="微软雅黑"/>
                <w:color w:val="auto"/>
                <w:szCs w:val="21"/>
                <w:highlight w:val="none"/>
                <w:lang w:val="en-US" w:eastAsia="zh-CN"/>
              </w:rPr>
              <w:sym w:font="Wingdings" w:char="00A8"/>
            </w:r>
            <w:r>
              <w:rPr>
                <w:rFonts w:hint="eastAsia" w:ascii="微软雅黑" w:hAnsi="微软雅黑" w:cs="微软雅黑"/>
                <w:color w:val="auto"/>
                <w:szCs w:val="21"/>
                <w:highlight w:val="none"/>
                <w:lang w:val="en-US" w:eastAsia="zh-CN"/>
              </w:rPr>
              <w:t>不要求提供</w:t>
            </w:r>
          </w:p>
          <w:p w14:paraId="034827CA">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sym w:font="Wingdings" w:char="00FE"/>
            </w:r>
            <w:r>
              <w:rPr>
                <w:rFonts w:hint="eastAsia" w:ascii="微软雅黑" w:hAnsi="微软雅黑" w:cs="微软雅黑"/>
                <w:color w:val="auto"/>
                <w:szCs w:val="21"/>
                <w:highlight w:val="none"/>
              </w:rPr>
              <w:t>要求提供</w:t>
            </w:r>
          </w:p>
          <w:p w14:paraId="3BDE40AB">
            <w:pPr>
              <w:pStyle w:val="44"/>
              <w:ind w:firstLine="420" w:firstLineChars="200"/>
              <w:jc w:val="left"/>
              <w:textAlignment w:val="baseline"/>
              <w:rPr>
                <w:rFonts w:hint="default" w:ascii="微软雅黑" w:hAnsi="微软雅黑" w:eastAsia="微软雅黑" w:cs="微软雅黑"/>
                <w:b/>
                <w:bCs/>
                <w:color w:val="auto"/>
                <w:szCs w:val="21"/>
                <w:highlight w:val="none"/>
                <w:lang w:val="en-US" w:eastAsia="zh-CN"/>
              </w:rPr>
            </w:pPr>
            <w:r>
              <w:rPr>
                <w:rFonts w:hint="eastAsia" w:ascii="微软雅黑" w:hAnsi="微软雅黑" w:cs="微软雅黑"/>
                <w:b/>
                <w:bCs/>
                <w:color w:val="auto"/>
                <w:szCs w:val="21"/>
                <w:highlight w:val="none"/>
              </w:rPr>
              <w:t>1.投标保证金金额：</w:t>
            </w:r>
            <w:r>
              <w:rPr>
                <w:rFonts w:hint="eastAsia" w:ascii="微软雅黑" w:hAnsi="微软雅黑" w:cs="微软雅黑"/>
                <w:b/>
                <w:bCs/>
                <w:color w:val="auto"/>
                <w:szCs w:val="21"/>
                <w:highlight w:val="none"/>
                <w:lang w:val="en-US" w:eastAsia="zh-CN"/>
              </w:rPr>
              <w:t>人民币</w:t>
            </w:r>
            <w:r>
              <w:rPr>
                <w:rFonts w:hint="eastAsia" w:ascii="微软雅黑" w:hAnsi="微软雅黑" w:cs="微软雅黑"/>
                <w:b/>
                <w:bCs/>
                <w:color w:val="auto"/>
                <w:szCs w:val="21"/>
                <w:highlight w:val="none"/>
                <w:u w:val="single"/>
                <w:lang w:val="en-US" w:eastAsia="zh-CN"/>
              </w:rPr>
              <w:t>1</w:t>
            </w:r>
            <w:r>
              <w:rPr>
                <w:rFonts w:hint="eastAsia" w:ascii="微软雅黑" w:hAnsi="微软雅黑" w:cs="微软雅黑"/>
                <w:b/>
                <w:bCs/>
                <w:color w:val="auto"/>
                <w:szCs w:val="21"/>
                <w:highlight w:val="none"/>
                <w:lang w:val="en-US" w:eastAsia="zh-CN"/>
              </w:rPr>
              <w:t>元整</w:t>
            </w:r>
          </w:p>
          <w:p w14:paraId="52715A65">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2.投标保证金到账截止时间：同投标文件递交截止时间；</w:t>
            </w:r>
          </w:p>
          <w:p w14:paraId="3604B4E7">
            <w:pPr>
              <w:pStyle w:val="44"/>
              <w:ind w:firstLine="420" w:firstLineChars="200"/>
              <w:jc w:val="left"/>
              <w:textAlignment w:val="baseline"/>
              <w:rPr>
                <w:rFonts w:ascii="微软雅黑" w:hAnsi="微软雅黑" w:cs="微软雅黑"/>
                <w:b/>
                <w:bCs/>
                <w:color w:val="auto"/>
                <w:szCs w:val="21"/>
                <w:highlight w:val="none"/>
              </w:rPr>
            </w:pPr>
            <w:r>
              <w:rPr>
                <w:rFonts w:hint="eastAsia" w:ascii="微软雅黑" w:hAnsi="微软雅黑" w:cs="微软雅黑"/>
                <w:b/>
                <w:bCs/>
                <w:color w:val="auto"/>
                <w:szCs w:val="21"/>
                <w:highlight w:val="none"/>
              </w:rPr>
              <w:t>3.投标保证金缴纳方式：</w:t>
            </w:r>
          </w:p>
          <w:p w14:paraId="47B30A67">
            <w:pPr>
              <w:pStyle w:val="44"/>
              <w:ind w:firstLine="420" w:firstLineChars="200"/>
              <w:jc w:val="left"/>
              <w:textAlignment w:val="baseline"/>
              <w:rPr>
                <w:rFonts w:ascii="宋体" w:hAnsi="宋体" w:eastAsia="宋体" w:cs="宋体"/>
                <w:color w:val="auto"/>
                <w:kern w:val="0"/>
                <w:sz w:val="24"/>
                <w:szCs w:val="24"/>
                <w:highlight w:val="none"/>
                <w:lang w:val="en-US" w:eastAsia="zh-CN" w:bidi="ar"/>
              </w:rPr>
            </w:pPr>
            <w:r>
              <w:rPr>
                <w:rFonts w:hint="eastAsia" w:ascii="微软雅黑" w:hAnsi="微软雅黑" w:cs="微软雅黑"/>
                <w:b/>
                <w:bCs/>
                <w:color w:val="auto"/>
                <w:szCs w:val="21"/>
                <w:highlight w:val="none"/>
              </w:rPr>
              <w:sym w:font="Wingdings" w:char="00FE"/>
            </w:r>
            <w:r>
              <w:rPr>
                <w:rFonts w:hint="eastAsia" w:ascii="微软雅黑" w:hAnsi="微软雅黑" w:cs="微软雅黑"/>
                <w:b/>
                <w:bCs/>
                <w:color w:val="auto"/>
                <w:szCs w:val="21"/>
                <w:highlight w:val="none"/>
                <w:lang w:val="en-US" w:eastAsia="zh-CN"/>
              </w:rPr>
              <w:t>银行</w:t>
            </w:r>
            <w:r>
              <w:rPr>
                <w:rFonts w:hint="eastAsia" w:ascii="微软雅黑" w:hAnsi="微软雅黑" w:cs="微软雅黑"/>
                <w:b/>
                <w:bCs/>
                <w:color w:val="auto"/>
                <w:szCs w:val="21"/>
                <w:highlight w:val="none"/>
              </w:rPr>
              <w:t>转账</w:t>
            </w:r>
            <w:r>
              <w:rPr>
                <w:rFonts w:hint="eastAsia" w:ascii="微软雅黑" w:hAnsi="微软雅黑" w:cs="微软雅黑"/>
                <w:b/>
                <w:bCs/>
                <w:color w:val="auto"/>
                <w:szCs w:val="21"/>
                <w:highlight w:val="none"/>
                <w:lang w:val="en-US" w:eastAsia="zh-CN"/>
              </w:rPr>
              <w:t xml:space="preserve"> </w:t>
            </w:r>
            <w:r>
              <w:rPr>
                <w:rFonts w:hint="eastAsia" w:ascii="微软雅黑" w:hAnsi="微软雅黑" w:cs="微软雅黑"/>
                <w:b/>
                <w:bCs/>
                <w:color w:val="auto"/>
                <w:szCs w:val="21"/>
                <w:highlight w:val="none"/>
              </w:rPr>
              <w:sym w:font="Wingdings" w:char="00FE"/>
            </w:r>
            <w:r>
              <w:rPr>
                <w:rFonts w:hint="eastAsia" w:ascii="微软雅黑" w:hAnsi="微软雅黑" w:cs="微软雅黑"/>
                <w:b/>
                <w:bCs/>
                <w:color w:val="auto"/>
                <w:szCs w:val="21"/>
                <w:highlight w:val="none"/>
              </w:rPr>
              <w:t>支票</w:t>
            </w:r>
            <w:r>
              <w:rPr>
                <w:rFonts w:hint="eastAsia" w:ascii="微软雅黑" w:hAnsi="微软雅黑" w:cs="微软雅黑"/>
                <w:b/>
                <w:bCs/>
                <w:color w:val="auto"/>
                <w:szCs w:val="21"/>
                <w:highlight w:val="none"/>
                <w:lang w:val="en-US" w:eastAsia="zh-CN"/>
              </w:rPr>
              <w:t xml:space="preserve"> </w:t>
            </w:r>
            <w:r>
              <w:rPr>
                <w:rFonts w:hint="eastAsia" w:ascii="微软雅黑" w:hAnsi="微软雅黑" w:cs="微软雅黑"/>
                <w:b/>
                <w:bCs/>
                <w:color w:val="auto"/>
                <w:szCs w:val="21"/>
                <w:highlight w:val="none"/>
              </w:rPr>
              <w:sym w:font="Wingdings" w:char="00FE"/>
            </w:r>
            <w:r>
              <w:rPr>
                <w:rFonts w:hint="eastAsia" w:ascii="微软雅黑" w:hAnsi="微软雅黑" w:cs="微软雅黑"/>
                <w:b/>
                <w:bCs/>
                <w:color w:val="auto"/>
                <w:szCs w:val="21"/>
                <w:highlight w:val="none"/>
              </w:rPr>
              <w:t>汇票</w:t>
            </w:r>
            <w:r>
              <w:rPr>
                <w:rFonts w:hint="eastAsia" w:ascii="微软雅黑" w:hAnsi="微软雅黑" w:cs="微软雅黑"/>
                <w:b/>
                <w:bCs/>
                <w:color w:val="auto"/>
                <w:szCs w:val="21"/>
                <w:highlight w:val="none"/>
                <w:lang w:val="en-US" w:eastAsia="zh-CN"/>
              </w:rPr>
              <w:t xml:space="preserve"> </w:t>
            </w:r>
            <w:r>
              <w:rPr>
                <w:rFonts w:hint="eastAsia" w:ascii="微软雅黑" w:hAnsi="微软雅黑" w:cs="微软雅黑"/>
                <w:b/>
                <w:bCs/>
                <w:color w:val="auto"/>
                <w:szCs w:val="21"/>
                <w:highlight w:val="none"/>
              </w:rPr>
              <w:sym w:font="Wingdings" w:char="00FE"/>
            </w:r>
            <w:r>
              <w:rPr>
                <w:rFonts w:hint="eastAsia" w:ascii="微软雅黑" w:hAnsi="微软雅黑" w:cs="微软雅黑"/>
                <w:b/>
                <w:bCs/>
                <w:color w:val="auto"/>
                <w:szCs w:val="21"/>
                <w:highlight w:val="none"/>
              </w:rPr>
              <w:t>本票</w:t>
            </w:r>
            <w:r>
              <w:rPr>
                <w:rFonts w:hint="eastAsia" w:ascii="微软雅黑" w:hAnsi="微软雅黑" w:cs="微软雅黑"/>
                <w:b/>
                <w:bCs/>
                <w:color w:val="auto"/>
                <w:szCs w:val="21"/>
                <w:highlight w:val="none"/>
                <w:lang w:val="en-US" w:eastAsia="zh-CN"/>
              </w:rPr>
              <w:t xml:space="preserve"> </w:t>
            </w:r>
            <w:r>
              <w:rPr>
                <w:rFonts w:hint="eastAsia" w:ascii="微软雅黑" w:hAnsi="微软雅黑" w:cs="微软雅黑"/>
                <w:b/>
                <w:bCs/>
                <w:color w:val="auto"/>
                <w:szCs w:val="21"/>
                <w:highlight w:val="none"/>
              </w:rPr>
              <w:sym w:font="Wingdings" w:char="00FE"/>
            </w:r>
            <w:r>
              <w:rPr>
                <w:rFonts w:hint="eastAsia" w:ascii="微软雅黑" w:hAnsi="微软雅黑" w:cs="微软雅黑"/>
                <w:b/>
                <w:bCs/>
                <w:color w:val="auto"/>
                <w:szCs w:val="21"/>
                <w:highlight w:val="none"/>
                <w:lang w:val="en-US" w:eastAsia="zh-CN"/>
              </w:rPr>
              <w:t>银行</w:t>
            </w:r>
            <w:r>
              <w:rPr>
                <w:rFonts w:hint="eastAsia" w:ascii="微软雅黑" w:hAnsi="微软雅黑" w:cs="微软雅黑"/>
                <w:b/>
                <w:bCs/>
                <w:color w:val="auto"/>
                <w:szCs w:val="21"/>
                <w:highlight w:val="none"/>
              </w:rPr>
              <w:t>保函</w:t>
            </w:r>
          </w:p>
          <w:p w14:paraId="4D61C6A3">
            <w:pPr>
              <w:pStyle w:val="44"/>
              <w:ind w:firstLine="420" w:firstLineChars="200"/>
              <w:jc w:val="left"/>
              <w:textAlignment w:val="baseline"/>
              <w:rPr>
                <w:rFonts w:hint="default" w:ascii="微软雅黑" w:hAnsi="微软雅黑" w:cs="微软雅黑"/>
                <w:color w:val="auto"/>
                <w:szCs w:val="21"/>
                <w:highlight w:val="none"/>
                <w:lang w:val="en-US" w:eastAsia="zh-CN"/>
              </w:rPr>
            </w:pPr>
            <w:r>
              <w:rPr>
                <w:rFonts w:hint="eastAsia" w:ascii="微软雅黑" w:hAnsi="微软雅黑" w:cs="微软雅黑"/>
                <w:color w:val="auto"/>
                <w:szCs w:val="21"/>
                <w:highlight w:val="none"/>
                <w:lang w:val="en-US" w:eastAsia="zh-CN"/>
              </w:rPr>
              <w:t>备注：采用支票、汇票、本票、银行保函缴纳保证金的应按</w:t>
            </w:r>
            <w:r>
              <w:rPr>
                <w:rFonts w:hint="eastAsia" w:ascii="微软雅黑" w:hAnsi="微软雅黑" w:cs="微软雅黑"/>
                <w:color w:val="auto"/>
                <w:szCs w:val="21"/>
                <w:highlight w:val="none"/>
                <w:lang w:eastAsia="zh-CN"/>
              </w:rPr>
              <w:t>银行转账</w:t>
            </w:r>
            <w:r>
              <w:rPr>
                <w:rFonts w:hint="eastAsia" w:ascii="微软雅黑" w:hAnsi="微软雅黑" w:cs="微软雅黑"/>
                <w:color w:val="auto"/>
                <w:szCs w:val="21"/>
                <w:highlight w:val="none"/>
                <w:lang w:val="en-US" w:eastAsia="zh-CN"/>
              </w:rPr>
              <w:t>+支票</w:t>
            </w:r>
            <w:r>
              <w:rPr>
                <w:rFonts w:hint="eastAsia" w:ascii="微软雅黑" w:hAnsi="微软雅黑" w:cs="微软雅黑"/>
                <w:color w:val="auto"/>
                <w:szCs w:val="21"/>
                <w:highlight w:val="none"/>
                <w:u w:val="none" w:color="auto"/>
                <w:lang w:val="en-US" w:eastAsia="zh-CN"/>
              </w:rPr>
              <w:t>/</w:t>
            </w:r>
            <w:r>
              <w:rPr>
                <w:rFonts w:hint="eastAsia" w:ascii="微软雅黑" w:hAnsi="微软雅黑" w:cs="微软雅黑"/>
                <w:color w:val="auto"/>
                <w:szCs w:val="21"/>
                <w:highlight w:val="none"/>
                <w:lang w:val="en-US" w:eastAsia="zh-CN"/>
              </w:rPr>
              <w:t>汇票</w:t>
            </w:r>
            <w:r>
              <w:rPr>
                <w:rFonts w:hint="eastAsia" w:ascii="微软雅黑" w:hAnsi="微软雅黑" w:cs="微软雅黑"/>
                <w:color w:val="auto"/>
                <w:szCs w:val="21"/>
                <w:highlight w:val="none"/>
                <w:u w:val="none" w:color="auto"/>
                <w:lang w:val="en-US" w:eastAsia="zh-CN"/>
              </w:rPr>
              <w:t>/</w:t>
            </w:r>
            <w:r>
              <w:rPr>
                <w:rFonts w:hint="eastAsia" w:ascii="微软雅黑" w:hAnsi="微软雅黑" w:cs="微软雅黑"/>
                <w:color w:val="auto"/>
                <w:szCs w:val="21"/>
                <w:highlight w:val="none"/>
                <w:lang w:val="en-US" w:eastAsia="zh-CN"/>
              </w:rPr>
              <w:t>本票</w:t>
            </w:r>
            <w:r>
              <w:rPr>
                <w:rFonts w:hint="eastAsia" w:ascii="微软雅黑" w:hAnsi="微软雅黑" w:cs="微软雅黑"/>
                <w:color w:val="auto"/>
                <w:szCs w:val="21"/>
                <w:highlight w:val="none"/>
                <w:u w:val="none" w:color="auto"/>
                <w:lang w:val="en-US" w:eastAsia="zh-CN"/>
              </w:rPr>
              <w:t>/银行</w:t>
            </w:r>
            <w:r>
              <w:rPr>
                <w:rFonts w:hint="eastAsia" w:ascii="微软雅黑" w:hAnsi="微软雅黑" w:cs="微软雅黑"/>
                <w:color w:val="auto"/>
                <w:szCs w:val="21"/>
                <w:highlight w:val="none"/>
                <w:lang w:val="en-US" w:eastAsia="zh-CN"/>
              </w:rPr>
              <w:t>保函组合缴纳方式，相应凭证复印件请放在投标文件中。具体如下：</w:t>
            </w:r>
          </w:p>
          <w:p w14:paraId="2158468F">
            <w:pPr>
              <w:pStyle w:val="44"/>
              <w:ind w:firstLine="420" w:firstLineChars="200"/>
              <w:jc w:val="left"/>
              <w:textAlignment w:val="baseline"/>
              <w:rPr>
                <w:rFonts w:hint="default" w:ascii="微软雅黑" w:hAnsi="微软雅黑" w:cs="微软雅黑"/>
                <w:b/>
                <w:bCs/>
                <w:color w:val="auto"/>
                <w:szCs w:val="21"/>
                <w:highlight w:val="none"/>
                <w:lang w:val="en-US"/>
              </w:rPr>
            </w:pPr>
            <w:r>
              <w:rPr>
                <w:rFonts w:hint="eastAsia" w:ascii="微软雅黑" w:hAnsi="微软雅黑" w:cs="微软雅黑"/>
                <w:b/>
                <w:bCs/>
                <w:color w:val="auto"/>
                <w:szCs w:val="21"/>
                <w:highlight w:val="none"/>
                <w:lang w:val="en-US" w:eastAsia="zh-CN"/>
              </w:rPr>
              <w:t>因系统设置银行转账额度不能少于1元钱，但实际银行转账额度可大于或等于1元钱，采用银行转账+银行保函组合方式缴纳投标保证金的投标人，两项合计金额应等于投标保证金。项目结束后按保证金程序退还。</w:t>
            </w:r>
          </w:p>
          <w:p w14:paraId="63F12B02">
            <w:pPr>
              <w:pStyle w:val="44"/>
              <w:ind w:firstLine="420" w:firstLineChars="200"/>
              <w:jc w:val="left"/>
              <w:textAlignment w:val="baseline"/>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rPr>
              <w:t>保证金缴纳账号：</w:t>
            </w:r>
            <w:r>
              <w:rPr>
                <w:rFonts w:hint="eastAsia" w:ascii="微软雅黑" w:hAnsi="微软雅黑" w:cs="微软雅黑"/>
                <w:color w:val="auto"/>
                <w:szCs w:val="21"/>
                <w:highlight w:val="none"/>
                <w:lang w:val="en-US" w:eastAsia="zh-CN"/>
              </w:rPr>
              <w:t>投标人</w:t>
            </w:r>
            <w:r>
              <w:rPr>
                <w:rFonts w:hint="eastAsia" w:ascii="微软雅黑" w:hAnsi="微软雅黑" w:cs="微软雅黑"/>
                <w:color w:val="auto"/>
                <w:szCs w:val="21"/>
                <w:highlight w:val="none"/>
              </w:rPr>
              <w:t>登陆</w:t>
            </w:r>
            <w:r>
              <w:rPr>
                <w:rFonts w:hint="eastAsia" w:ascii="微软雅黑" w:hAnsi="微软雅黑" w:cs="微软雅黑"/>
                <w:color w:val="auto"/>
                <w:szCs w:val="21"/>
                <w:highlight w:val="none"/>
                <w:lang w:eastAsia="zh-CN"/>
              </w:rPr>
              <w:t>张家界市公共资源交易中心产权交易系</w:t>
            </w:r>
            <w:r>
              <w:rPr>
                <w:rFonts w:hint="eastAsia" w:ascii="微软雅黑" w:hAnsi="微软雅黑" w:cs="微软雅黑"/>
                <w:color w:val="auto"/>
                <w:szCs w:val="21"/>
                <w:highlight w:val="none"/>
              </w:rPr>
              <w:t>（</w:t>
            </w:r>
            <w:r>
              <w:rPr>
                <w:rFonts w:hint="eastAsia" w:ascii="微软雅黑" w:hAnsi="微软雅黑" w:cs="微软雅黑"/>
                <w:color w:val="auto"/>
                <w:szCs w:val="21"/>
                <w:highlight w:val="none"/>
                <w:lang w:eastAsia="zh-CN"/>
              </w:rPr>
              <w:t>https://www.zjjggzy.cn/portal/index</w:t>
            </w:r>
            <w:r>
              <w:rPr>
                <w:rFonts w:hint="eastAsia" w:ascii="微软雅黑" w:hAnsi="微软雅黑" w:cs="微软雅黑"/>
                <w:color w:val="auto"/>
                <w:szCs w:val="21"/>
                <w:highlight w:val="none"/>
              </w:rPr>
              <w:t>），即可浏览、查阅和下载相关项目</w:t>
            </w:r>
            <w:r>
              <w:rPr>
                <w:rFonts w:hint="eastAsia" w:ascii="微软雅黑" w:hAnsi="微软雅黑" w:cs="微软雅黑"/>
                <w:color w:val="auto"/>
                <w:szCs w:val="21"/>
                <w:highlight w:val="none"/>
                <w:lang w:eastAsia="zh-CN"/>
              </w:rPr>
              <w:t>采购</w:t>
            </w:r>
            <w:r>
              <w:rPr>
                <w:rFonts w:hint="eastAsia" w:ascii="微软雅黑" w:hAnsi="微软雅黑" w:cs="微软雅黑"/>
                <w:color w:val="auto"/>
                <w:szCs w:val="21"/>
                <w:highlight w:val="none"/>
              </w:rPr>
              <w:t>文件，对意向项目点击“</w:t>
            </w:r>
            <w:r>
              <w:rPr>
                <w:rFonts w:hint="eastAsia" w:ascii="微软雅黑" w:hAnsi="微软雅黑" w:cs="微软雅黑"/>
                <w:color w:val="auto"/>
                <w:szCs w:val="21"/>
                <w:highlight w:val="none"/>
                <w:lang w:eastAsia="zh-CN"/>
              </w:rPr>
              <w:t>竞买申请</w:t>
            </w:r>
            <w:r>
              <w:rPr>
                <w:rFonts w:hint="eastAsia" w:ascii="微软雅黑" w:hAnsi="微软雅黑" w:cs="微软雅黑"/>
                <w:color w:val="auto"/>
                <w:szCs w:val="21"/>
                <w:highlight w:val="none"/>
              </w:rPr>
              <w:t>”按钮，网上填报《竞</w:t>
            </w:r>
            <w:r>
              <w:rPr>
                <w:rFonts w:hint="eastAsia" w:ascii="微软雅黑" w:hAnsi="微软雅黑" w:cs="微软雅黑"/>
                <w:color w:val="auto"/>
                <w:szCs w:val="21"/>
                <w:highlight w:val="none"/>
                <w:lang w:eastAsia="zh-CN"/>
              </w:rPr>
              <w:t>买</w:t>
            </w:r>
            <w:r>
              <w:rPr>
                <w:rFonts w:hint="eastAsia" w:ascii="微软雅黑" w:hAnsi="微软雅黑" w:cs="微软雅黑"/>
                <w:color w:val="auto"/>
                <w:szCs w:val="21"/>
                <w:highlight w:val="none"/>
              </w:rPr>
              <w:t>申请书》，点击银行获取</w:t>
            </w:r>
            <w:r>
              <w:rPr>
                <w:rFonts w:hint="eastAsia" w:ascii="微软雅黑" w:hAnsi="微软雅黑" w:cs="微软雅黑"/>
                <w:color w:val="auto"/>
                <w:szCs w:val="21"/>
                <w:highlight w:val="none"/>
                <w:lang w:val="en-US" w:eastAsia="zh-CN"/>
              </w:rPr>
              <w:t>张家界市公共资源交易中心</w:t>
            </w:r>
            <w:r>
              <w:rPr>
                <w:rFonts w:hint="eastAsia" w:ascii="微软雅黑" w:hAnsi="微软雅黑" w:cs="微软雅黑"/>
                <w:color w:val="auto"/>
                <w:szCs w:val="21"/>
                <w:highlight w:val="none"/>
              </w:rPr>
              <w:t>在该银行开设账户的随机子账号</w:t>
            </w:r>
            <w:r>
              <w:rPr>
                <w:rFonts w:hint="eastAsia" w:ascii="微软雅黑" w:hAnsi="微软雅黑" w:cs="微软雅黑"/>
                <w:color w:val="auto"/>
                <w:szCs w:val="21"/>
                <w:highlight w:val="none"/>
                <w:lang w:eastAsia="zh-CN"/>
              </w:rPr>
              <w:t>。</w:t>
            </w:r>
          </w:p>
          <w:p w14:paraId="000DC5C0">
            <w:pPr>
              <w:pStyle w:val="44"/>
              <w:ind w:firstLine="420" w:firstLineChars="200"/>
              <w:jc w:val="left"/>
              <w:textAlignment w:val="baseline"/>
              <w:rPr>
                <w:rFonts w:hint="eastAsia" w:ascii="微软雅黑" w:hAnsi="微软雅黑" w:cs="微软雅黑"/>
                <w:b/>
                <w:bCs/>
                <w:color w:val="auto"/>
                <w:szCs w:val="21"/>
                <w:highlight w:val="none"/>
                <w:lang w:val="en-US" w:eastAsia="zh-CN"/>
              </w:rPr>
            </w:pPr>
            <w:r>
              <w:rPr>
                <w:rFonts w:hint="eastAsia" w:ascii="微软雅黑" w:hAnsi="微软雅黑" w:cs="微软雅黑"/>
                <w:b/>
                <w:bCs/>
                <w:color w:val="auto"/>
                <w:szCs w:val="21"/>
                <w:highlight w:val="none"/>
              </w:rPr>
              <w:t>4.</w:t>
            </w:r>
            <w:r>
              <w:rPr>
                <w:rFonts w:hint="eastAsia" w:ascii="微软雅黑" w:hAnsi="微软雅黑" w:cs="微软雅黑"/>
                <w:b/>
                <w:bCs/>
                <w:color w:val="auto"/>
                <w:szCs w:val="21"/>
                <w:highlight w:val="none"/>
                <w:lang w:val="en-US" w:eastAsia="zh-CN"/>
              </w:rPr>
              <w:t>各投标人出具的银行保函应为见索即付保函。</w:t>
            </w:r>
          </w:p>
          <w:p w14:paraId="5F8E2BC1">
            <w:pPr>
              <w:pStyle w:val="44"/>
              <w:ind w:firstLine="420" w:firstLineChars="200"/>
              <w:jc w:val="left"/>
              <w:textAlignment w:val="baseline"/>
              <w:rPr>
                <w:rFonts w:hint="default" w:ascii="微软雅黑" w:hAnsi="微软雅黑" w:cs="微软雅黑"/>
                <w:b/>
                <w:bCs/>
                <w:color w:val="auto"/>
                <w:szCs w:val="21"/>
                <w:highlight w:val="none"/>
                <w:u w:val="none"/>
                <w:lang w:val="en-US" w:eastAsia="zh-CN"/>
              </w:rPr>
            </w:pPr>
            <w:r>
              <w:rPr>
                <w:rFonts w:hint="eastAsia" w:ascii="微软雅黑" w:hAnsi="微软雅黑" w:cs="微软雅黑"/>
                <w:b/>
                <w:bCs/>
                <w:color w:val="auto"/>
                <w:szCs w:val="21"/>
                <w:highlight w:val="none"/>
                <w:lang w:val="en-US" w:eastAsia="zh-CN"/>
              </w:rPr>
              <w:t>5.纸质投标保函原件</w:t>
            </w:r>
            <w:r>
              <w:rPr>
                <w:rFonts w:hint="eastAsia" w:ascii="微软雅黑" w:hAnsi="微软雅黑" w:cs="微软雅黑"/>
                <w:color w:val="auto"/>
                <w:szCs w:val="21"/>
                <w:highlight w:val="none"/>
                <w:lang w:val="en-US" w:eastAsia="zh-CN"/>
              </w:rPr>
              <w:t>应使用单独的密封封套进行包装，并单独递交给招标人，封套上注明“纸质投标保函原件”字样，载明项目名称、招标人名称、招标人地址、投标人名称和投标人地址，封套的封口处加贴封条并加盖投标人单位公章。</w:t>
            </w:r>
          </w:p>
        </w:tc>
      </w:tr>
      <w:tr w14:paraId="1F54E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32EA984F">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15.3</w:t>
            </w:r>
          </w:p>
        </w:tc>
        <w:tc>
          <w:tcPr>
            <w:tcW w:w="2375" w:type="dxa"/>
            <w:vAlign w:val="center"/>
          </w:tcPr>
          <w:p w14:paraId="5759D376">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其他不予退还投标保证金的情形</w:t>
            </w:r>
          </w:p>
        </w:tc>
        <w:tc>
          <w:tcPr>
            <w:tcW w:w="6263" w:type="dxa"/>
            <w:vAlign w:val="center"/>
          </w:tcPr>
          <w:p w14:paraId="0BB69E5C">
            <w:pPr>
              <w:pStyle w:val="44"/>
              <w:ind w:firstLine="420" w:firstLineChars="200"/>
              <w:jc w:val="left"/>
              <w:textAlignment w:val="baseline"/>
              <w:rPr>
                <w:rFonts w:ascii="微软雅黑" w:hAnsi="微软雅黑" w:cs="微软雅黑"/>
                <w:color w:val="auto"/>
                <w:szCs w:val="21"/>
                <w:highlight w:val="none"/>
                <w:u w:val="single"/>
              </w:rPr>
            </w:pPr>
            <w:r>
              <w:rPr>
                <w:rFonts w:hint="eastAsia" w:ascii="微软雅黑" w:hAnsi="微软雅黑" w:cs="微软雅黑"/>
                <w:color w:val="auto"/>
                <w:szCs w:val="21"/>
                <w:highlight w:val="none"/>
                <w:u w:val="single" w:color="000000"/>
              </w:rPr>
              <w:t xml:space="preserve"> </w:t>
            </w:r>
            <w:r>
              <w:rPr>
                <w:rFonts w:hint="eastAsia" w:ascii="微软雅黑" w:hAnsi="微软雅黑" w:cs="微软雅黑"/>
                <w:color w:val="auto"/>
                <w:szCs w:val="21"/>
                <w:highlight w:val="none"/>
                <w:u w:val="single" w:color="000000"/>
                <w:lang w:val="en-US" w:eastAsia="zh-CN"/>
              </w:rPr>
              <w:t>/</w:t>
            </w:r>
            <w:r>
              <w:rPr>
                <w:rFonts w:hint="eastAsia" w:ascii="微软雅黑" w:hAnsi="微软雅黑" w:cs="微软雅黑"/>
                <w:color w:val="auto"/>
                <w:szCs w:val="21"/>
                <w:highlight w:val="none"/>
                <w:u w:val="single" w:color="000000"/>
              </w:rPr>
              <w:t xml:space="preserve"> </w:t>
            </w:r>
          </w:p>
        </w:tc>
      </w:tr>
      <w:tr w14:paraId="536C09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1B217490">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16.1</w:t>
            </w:r>
          </w:p>
        </w:tc>
        <w:tc>
          <w:tcPr>
            <w:tcW w:w="2375" w:type="dxa"/>
            <w:vAlign w:val="center"/>
          </w:tcPr>
          <w:p w14:paraId="2F4139E7">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投标有效期</w:t>
            </w:r>
          </w:p>
        </w:tc>
        <w:tc>
          <w:tcPr>
            <w:tcW w:w="6263" w:type="dxa"/>
            <w:vAlign w:val="center"/>
          </w:tcPr>
          <w:p w14:paraId="54498D1E">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u w:val="single" w:color="000000"/>
              </w:rPr>
              <w:t xml:space="preserve">  90  </w:t>
            </w:r>
            <w:r>
              <w:rPr>
                <w:rFonts w:hint="eastAsia" w:ascii="微软雅黑" w:hAnsi="微软雅黑" w:cs="微软雅黑"/>
                <w:color w:val="auto"/>
                <w:szCs w:val="21"/>
                <w:highlight w:val="none"/>
              </w:rPr>
              <w:t>日（日历日）</w:t>
            </w:r>
          </w:p>
        </w:tc>
      </w:tr>
      <w:tr w14:paraId="25FA52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00B31883">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17.1</w:t>
            </w:r>
          </w:p>
        </w:tc>
        <w:tc>
          <w:tcPr>
            <w:tcW w:w="2375" w:type="dxa"/>
            <w:vAlign w:val="center"/>
          </w:tcPr>
          <w:p w14:paraId="326E15E8">
            <w:pPr>
              <w:pStyle w:val="44"/>
              <w:textAlignment w:val="baseline"/>
              <w:rPr>
                <w:rFonts w:ascii="微软雅黑" w:hAnsi="微软雅黑" w:cs="微软雅黑"/>
                <w:color w:val="auto"/>
                <w:szCs w:val="21"/>
                <w:highlight w:val="none"/>
              </w:rPr>
            </w:pPr>
            <w:r>
              <w:rPr>
                <w:rFonts w:hint="eastAsia"/>
                <w:b/>
                <w:bCs/>
                <w:color w:val="auto"/>
                <w:sz w:val="20"/>
                <w:szCs w:val="20"/>
                <w:highlight w:val="none"/>
              </w:rPr>
              <w:t>投标文件要求</w:t>
            </w:r>
          </w:p>
        </w:tc>
        <w:tc>
          <w:tcPr>
            <w:tcW w:w="6263" w:type="dxa"/>
            <w:vAlign w:val="center"/>
          </w:tcPr>
          <w:p w14:paraId="28320ED8">
            <w:pPr>
              <w:pStyle w:val="46"/>
              <w:jc w:val="both"/>
              <w:textAlignment w:val="baseline"/>
              <w:rPr>
                <w:rFonts w:hint="default" w:ascii="微软雅黑" w:hAnsi="微软雅黑" w:eastAsia="微软雅黑" w:cs="微软雅黑"/>
                <w:color w:val="auto"/>
                <w:sz w:val="21"/>
                <w:szCs w:val="21"/>
                <w:highlight w:val="none"/>
                <w:lang w:val="en-US" w:eastAsia="zh-CN"/>
              </w:rPr>
            </w:pPr>
            <w:r>
              <w:rPr>
                <w:rFonts w:hint="eastAsia" w:ascii="微软雅黑" w:hAnsi="微软雅黑" w:cs="微软雅黑"/>
                <w:color w:val="auto"/>
                <w:sz w:val="21"/>
                <w:szCs w:val="21"/>
                <w:highlight w:val="none"/>
                <w:lang w:val="en-US" w:eastAsia="zh-CN"/>
              </w:rPr>
              <w:t>加密电子投标文件</w:t>
            </w:r>
          </w:p>
        </w:tc>
      </w:tr>
      <w:tr w14:paraId="61BBD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6" w:hRule="atLeast"/>
          <w:jc w:val="center"/>
        </w:trPr>
        <w:tc>
          <w:tcPr>
            <w:tcW w:w="1125" w:type="dxa"/>
            <w:vMerge w:val="restart"/>
            <w:vAlign w:val="center"/>
          </w:tcPr>
          <w:p w14:paraId="06D72F6E">
            <w:pPr>
              <w:pStyle w:val="44"/>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lang w:val="en-US" w:eastAsia="zh-CN"/>
              </w:rPr>
              <w:t>18.1</w:t>
            </w:r>
          </w:p>
        </w:tc>
        <w:tc>
          <w:tcPr>
            <w:tcW w:w="2375" w:type="dxa"/>
            <w:vAlign w:val="center"/>
          </w:tcPr>
          <w:p w14:paraId="2A053686">
            <w:pPr>
              <w:pStyle w:val="44"/>
              <w:textAlignment w:val="baseline"/>
              <w:rPr>
                <w:rFonts w:ascii="Times New Roman" w:hAnsi="Times New Roman" w:eastAsia="微软雅黑" w:cs="Times New Roman"/>
                <w:color w:val="auto"/>
                <w:kern w:val="2"/>
                <w:sz w:val="20"/>
                <w:szCs w:val="20"/>
                <w:highlight w:val="none"/>
                <w:lang w:val="en-US" w:eastAsia="zh-CN" w:bidi="ar-SA"/>
              </w:rPr>
            </w:pPr>
            <w:r>
              <w:rPr>
                <w:rFonts w:hint="eastAsia"/>
                <w:b/>
                <w:bCs/>
                <w:color w:val="auto"/>
                <w:sz w:val="20"/>
                <w:szCs w:val="20"/>
                <w:highlight w:val="none"/>
              </w:rPr>
              <w:t>投标截止时间</w:t>
            </w:r>
          </w:p>
        </w:tc>
        <w:tc>
          <w:tcPr>
            <w:tcW w:w="6263" w:type="dxa"/>
            <w:vAlign w:val="center"/>
          </w:tcPr>
          <w:p w14:paraId="42E9A7A8">
            <w:pPr>
              <w:pStyle w:val="46"/>
              <w:ind w:firstLine="420" w:firstLineChars="200"/>
              <w:jc w:val="both"/>
              <w:textAlignment w:val="baseline"/>
              <w:rPr>
                <w:rFonts w:ascii="Times New Roman" w:hAnsi="Times New Roman" w:eastAsia="微软雅黑" w:cs="Times New Roman"/>
                <w:color w:val="auto"/>
                <w:kern w:val="2"/>
                <w:sz w:val="20"/>
                <w:szCs w:val="20"/>
                <w:highlight w:val="none"/>
                <w:lang w:val="en-US" w:eastAsia="zh-CN" w:bidi="ar-SA"/>
              </w:rPr>
            </w:pPr>
            <w:r>
              <w:rPr>
                <w:rFonts w:hint="eastAsia"/>
                <w:b/>
                <w:bCs/>
                <w:color w:val="auto"/>
                <w:sz w:val="21"/>
                <w:highlight w:val="none"/>
              </w:rPr>
              <w:t>202</w:t>
            </w:r>
            <w:r>
              <w:rPr>
                <w:rFonts w:hint="eastAsia"/>
                <w:b/>
                <w:bCs/>
                <w:color w:val="auto"/>
                <w:sz w:val="21"/>
                <w:highlight w:val="none"/>
                <w:lang w:val="en-US" w:eastAsia="zh-CN"/>
              </w:rPr>
              <w:t>6</w:t>
            </w:r>
            <w:r>
              <w:rPr>
                <w:rFonts w:hint="eastAsia"/>
                <w:b/>
                <w:bCs/>
                <w:color w:val="auto"/>
                <w:sz w:val="21"/>
                <w:highlight w:val="none"/>
              </w:rPr>
              <w:t>年</w:t>
            </w:r>
            <w:r>
              <w:rPr>
                <w:rFonts w:hint="eastAsia"/>
                <w:b/>
                <w:bCs/>
                <w:color w:val="auto"/>
                <w:sz w:val="21"/>
                <w:highlight w:val="none"/>
                <w:lang w:val="en-US" w:eastAsia="zh-CN"/>
              </w:rPr>
              <w:t xml:space="preserve"> 8 月 21日</w:t>
            </w:r>
            <w:r>
              <w:rPr>
                <w:rFonts w:hint="eastAsia"/>
                <w:b/>
                <w:bCs/>
                <w:color w:val="auto"/>
                <w:sz w:val="21"/>
                <w:highlight w:val="none"/>
              </w:rPr>
              <w:t>上午</w:t>
            </w:r>
            <w:r>
              <w:rPr>
                <w:rFonts w:hint="eastAsia"/>
                <w:b/>
                <w:bCs/>
                <w:color w:val="auto"/>
                <w:sz w:val="21"/>
                <w:highlight w:val="none"/>
                <w:lang w:val="en-US" w:eastAsia="zh-CN"/>
              </w:rPr>
              <w:t>10</w:t>
            </w:r>
            <w:r>
              <w:rPr>
                <w:rFonts w:hint="eastAsia"/>
                <w:b/>
                <w:bCs/>
                <w:color w:val="auto"/>
                <w:sz w:val="21"/>
                <w:highlight w:val="none"/>
              </w:rPr>
              <w:t>：00（北京时间）</w:t>
            </w:r>
          </w:p>
        </w:tc>
      </w:tr>
      <w:tr w14:paraId="2B00C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125" w:type="dxa"/>
            <w:vMerge w:val="continue"/>
            <w:vAlign w:val="center"/>
          </w:tcPr>
          <w:p w14:paraId="2D123988">
            <w:pPr>
              <w:pStyle w:val="44"/>
              <w:textAlignment w:val="baseline"/>
              <w:rPr>
                <w:rFonts w:ascii="微软雅黑" w:hAnsi="微软雅黑" w:cs="微软雅黑"/>
                <w:color w:val="auto"/>
                <w:szCs w:val="21"/>
                <w:highlight w:val="none"/>
              </w:rPr>
            </w:pPr>
          </w:p>
        </w:tc>
        <w:tc>
          <w:tcPr>
            <w:tcW w:w="2375" w:type="dxa"/>
            <w:vAlign w:val="center"/>
          </w:tcPr>
          <w:p w14:paraId="102C6694">
            <w:pPr>
              <w:pStyle w:val="44"/>
              <w:textAlignment w:val="baseline"/>
              <w:rPr>
                <w:rFonts w:asciiTheme="minorEastAsia" w:hAnsiTheme="minorEastAsia" w:eastAsiaTheme="minorEastAsia" w:cstheme="minorBidi"/>
                <w:color w:val="auto"/>
                <w:kern w:val="2"/>
                <w:sz w:val="21"/>
                <w:szCs w:val="21"/>
                <w:highlight w:val="none"/>
                <w:lang w:val="en-US" w:eastAsia="zh-CN" w:bidi="ar-SA"/>
              </w:rPr>
            </w:pPr>
            <w:r>
              <w:rPr>
                <w:rFonts w:hint="eastAsia"/>
                <w:color w:val="auto"/>
                <w:sz w:val="20"/>
                <w:szCs w:val="20"/>
                <w:highlight w:val="none"/>
              </w:rPr>
              <w:t>投标地点</w:t>
            </w:r>
          </w:p>
        </w:tc>
        <w:tc>
          <w:tcPr>
            <w:tcW w:w="6263" w:type="dxa"/>
            <w:vAlign w:val="center"/>
          </w:tcPr>
          <w:p w14:paraId="3B0E8B06">
            <w:pPr>
              <w:pStyle w:val="46"/>
              <w:ind w:firstLine="420" w:firstLineChars="200"/>
              <w:jc w:val="both"/>
              <w:textAlignment w:val="baseline"/>
              <w:rPr>
                <w:rFonts w:asciiTheme="minorEastAsia" w:hAnsiTheme="minorEastAsia" w:eastAsiaTheme="minorEastAsia" w:cstheme="minorBidi"/>
                <w:bCs/>
                <w:color w:val="auto"/>
                <w:kern w:val="2"/>
                <w:sz w:val="21"/>
                <w:szCs w:val="21"/>
                <w:highlight w:val="none"/>
                <w:lang w:val="en-US" w:eastAsia="zh-CN" w:bidi="ar-SA"/>
              </w:rPr>
            </w:pPr>
            <w:r>
              <w:rPr>
                <w:rFonts w:hint="eastAsia"/>
                <w:color w:val="auto"/>
                <w:sz w:val="21"/>
                <w:highlight w:val="none"/>
              </w:rPr>
              <w:t>详见招标公告</w:t>
            </w:r>
          </w:p>
        </w:tc>
      </w:tr>
      <w:tr w14:paraId="76343A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125" w:type="dxa"/>
            <w:vMerge w:val="restart"/>
            <w:vAlign w:val="center"/>
          </w:tcPr>
          <w:p w14:paraId="03D52EE7">
            <w:pPr>
              <w:pStyle w:val="44"/>
              <w:textAlignment w:val="baseline"/>
              <w:rPr>
                <w:rFonts w:hint="default" w:ascii="微软雅黑" w:hAnsi="微软雅黑" w:cs="微软雅黑"/>
                <w:color w:val="auto"/>
                <w:szCs w:val="21"/>
                <w:highlight w:val="none"/>
                <w:lang w:val="en-US"/>
              </w:rPr>
            </w:pPr>
            <w:r>
              <w:rPr>
                <w:rFonts w:hint="eastAsia" w:ascii="微软雅黑" w:hAnsi="微软雅黑" w:cs="微软雅黑"/>
                <w:color w:val="auto"/>
                <w:szCs w:val="21"/>
                <w:highlight w:val="none"/>
                <w:lang w:val="en-US" w:eastAsia="zh-CN"/>
              </w:rPr>
              <w:t>20.1</w:t>
            </w:r>
          </w:p>
        </w:tc>
        <w:tc>
          <w:tcPr>
            <w:tcW w:w="2375" w:type="dxa"/>
            <w:vAlign w:val="center"/>
          </w:tcPr>
          <w:p w14:paraId="1679AD63">
            <w:pPr>
              <w:pStyle w:val="44"/>
              <w:textAlignment w:val="baseline"/>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cs="微软雅黑"/>
                <w:color w:val="auto"/>
                <w:szCs w:val="21"/>
                <w:highlight w:val="none"/>
              </w:rPr>
              <w:t>开标时间</w:t>
            </w:r>
          </w:p>
        </w:tc>
        <w:tc>
          <w:tcPr>
            <w:tcW w:w="6263" w:type="dxa"/>
            <w:vAlign w:val="center"/>
          </w:tcPr>
          <w:p w14:paraId="1AEB77C9">
            <w:pPr>
              <w:pStyle w:val="44"/>
              <w:ind w:firstLine="420" w:firstLineChars="200"/>
              <w:jc w:val="left"/>
              <w:textAlignment w:val="baseline"/>
              <w:rPr>
                <w:rFonts w:hint="eastAsia" w:ascii="微软雅黑" w:hAnsi="微软雅黑" w:eastAsia="微软雅黑" w:cs="微软雅黑"/>
                <w:b/>
                <w:bCs/>
                <w:color w:val="auto"/>
                <w:kern w:val="2"/>
                <w:sz w:val="21"/>
                <w:szCs w:val="21"/>
                <w:highlight w:val="none"/>
                <w:lang w:val="en-US" w:eastAsia="zh-CN" w:bidi="ar-SA"/>
              </w:rPr>
            </w:pPr>
            <w:r>
              <w:rPr>
                <w:rFonts w:hint="eastAsia" w:ascii="微软雅黑" w:hAnsi="微软雅黑" w:cs="微软雅黑"/>
                <w:b/>
                <w:bCs/>
                <w:color w:val="auto"/>
                <w:szCs w:val="21"/>
                <w:highlight w:val="none"/>
              </w:rPr>
              <w:t>详见招标公告</w:t>
            </w:r>
          </w:p>
        </w:tc>
      </w:tr>
      <w:tr w14:paraId="4786E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Merge w:val="continue"/>
            <w:vAlign w:val="center"/>
          </w:tcPr>
          <w:p w14:paraId="34045D56">
            <w:pPr>
              <w:pStyle w:val="44"/>
              <w:textAlignment w:val="baseline"/>
              <w:rPr>
                <w:rFonts w:ascii="微软雅黑" w:hAnsi="微软雅黑" w:cs="微软雅黑"/>
                <w:color w:val="auto"/>
                <w:szCs w:val="21"/>
                <w:highlight w:val="none"/>
              </w:rPr>
            </w:pPr>
          </w:p>
        </w:tc>
        <w:tc>
          <w:tcPr>
            <w:tcW w:w="2375" w:type="dxa"/>
            <w:vAlign w:val="center"/>
          </w:tcPr>
          <w:p w14:paraId="7D59FCD3">
            <w:pPr>
              <w:pStyle w:val="44"/>
              <w:textAlignment w:val="baseline"/>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cs="微软雅黑"/>
                <w:color w:val="auto"/>
                <w:szCs w:val="21"/>
                <w:highlight w:val="none"/>
              </w:rPr>
              <w:t xml:space="preserve">开标地点 </w:t>
            </w:r>
          </w:p>
        </w:tc>
        <w:tc>
          <w:tcPr>
            <w:tcW w:w="6263" w:type="dxa"/>
            <w:vAlign w:val="center"/>
          </w:tcPr>
          <w:p w14:paraId="54C9269B">
            <w:pPr>
              <w:pStyle w:val="44"/>
              <w:ind w:firstLine="420" w:firstLineChars="200"/>
              <w:jc w:val="left"/>
              <w:textAlignment w:val="baseline"/>
              <w:rPr>
                <w:rFonts w:hint="eastAsia" w:ascii="微软雅黑" w:hAnsi="微软雅黑" w:eastAsia="微软雅黑" w:cs="微软雅黑"/>
                <w:b/>
                <w:bCs/>
                <w:color w:val="auto"/>
                <w:kern w:val="2"/>
                <w:sz w:val="21"/>
                <w:szCs w:val="21"/>
                <w:highlight w:val="none"/>
                <w:lang w:val="en-US" w:eastAsia="zh-CN" w:bidi="ar-SA"/>
              </w:rPr>
            </w:pPr>
            <w:r>
              <w:rPr>
                <w:rFonts w:hint="eastAsia" w:ascii="微软雅黑" w:hAnsi="微软雅黑" w:cs="微软雅黑"/>
                <w:b/>
                <w:bCs/>
                <w:color w:val="auto"/>
                <w:szCs w:val="21"/>
                <w:highlight w:val="none"/>
              </w:rPr>
              <w:t>详见招标公告</w:t>
            </w:r>
          </w:p>
        </w:tc>
      </w:tr>
      <w:tr w14:paraId="4153FC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7867B4C7">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2</w:t>
            </w:r>
            <w:r>
              <w:rPr>
                <w:rFonts w:hint="eastAsia" w:ascii="微软雅黑" w:hAnsi="微软雅黑" w:cs="微软雅黑"/>
                <w:color w:val="auto"/>
                <w:szCs w:val="21"/>
                <w:highlight w:val="none"/>
                <w:lang w:val="en-US" w:eastAsia="zh-CN"/>
              </w:rPr>
              <w:t>0</w:t>
            </w:r>
            <w:r>
              <w:rPr>
                <w:rFonts w:hint="eastAsia" w:ascii="微软雅黑" w:hAnsi="微软雅黑" w:cs="微软雅黑"/>
                <w:color w:val="auto"/>
                <w:szCs w:val="21"/>
                <w:highlight w:val="none"/>
              </w:rPr>
              <w:t>.2</w:t>
            </w:r>
          </w:p>
        </w:tc>
        <w:tc>
          <w:tcPr>
            <w:tcW w:w="2375" w:type="dxa"/>
            <w:vAlign w:val="center"/>
          </w:tcPr>
          <w:p w14:paraId="3B5BCEBD">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需要宣布的其他内容</w:t>
            </w:r>
          </w:p>
        </w:tc>
        <w:tc>
          <w:tcPr>
            <w:tcW w:w="6263" w:type="dxa"/>
            <w:vAlign w:val="center"/>
          </w:tcPr>
          <w:p w14:paraId="5EB48FE0">
            <w:pPr>
              <w:pStyle w:val="44"/>
              <w:ind w:firstLine="630" w:firstLineChars="300"/>
              <w:jc w:val="left"/>
              <w:textAlignment w:val="baseline"/>
              <w:rPr>
                <w:rFonts w:hint="eastAsia" w:ascii="微软雅黑" w:hAnsi="微软雅黑" w:eastAsia="微软雅黑" w:cs="微软雅黑"/>
                <w:color w:val="auto"/>
                <w:szCs w:val="21"/>
                <w:highlight w:val="none"/>
                <w:u w:val="single"/>
                <w:lang w:val="en-US" w:eastAsia="zh-CN"/>
              </w:rPr>
            </w:pPr>
            <w:r>
              <w:rPr>
                <w:rFonts w:hint="eastAsia" w:ascii="微软雅黑" w:hAnsi="微软雅黑" w:cs="微软雅黑"/>
                <w:color w:val="auto"/>
                <w:szCs w:val="21"/>
                <w:highlight w:val="none"/>
                <w:u w:val="single"/>
                <w:lang w:val="en-US" w:eastAsia="zh-CN"/>
              </w:rPr>
              <w:t>/</w:t>
            </w:r>
          </w:p>
        </w:tc>
      </w:tr>
      <w:tr w14:paraId="56EC88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1125" w:type="dxa"/>
            <w:vAlign w:val="center"/>
          </w:tcPr>
          <w:p w14:paraId="24C4A0AD">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2</w:t>
            </w:r>
            <w:r>
              <w:rPr>
                <w:rFonts w:hint="eastAsia" w:ascii="微软雅黑" w:hAnsi="微软雅黑" w:cs="微软雅黑"/>
                <w:color w:val="auto"/>
                <w:szCs w:val="21"/>
                <w:highlight w:val="none"/>
                <w:lang w:val="en-US" w:eastAsia="zh-CN"/>
              </w:rPr>
              <w:t>5</w:t>
            </w:r>
            <w:r>
              <w:rPr>
                <w:rFonts w:hint="eastAsia" w:ascii="微软雅黑" w:hAnsi="微软雅黑" w:cs="微软雅黑"/>
                <w:color w:val="auto"/>
                <w:szCs w:val="21"/>
                <w:highlight w:val="none"/>
              </w:rPr>
              <w:t>.2</w:t>
            </w:r>
          </w:p>
        </w:tc>
        <w:tc>
          <w:tcPr>
            <w:tcW w:w="2375" w:type="dxa"/>
            <w:vAlign w:val="center"/>
          </w:tcPr>
          <w:p w14:paraId="5894E64E">
            <w:pPr>
              <w:pStyle w:val="44"/>
              <w:textAlignment w:val="baseline"/>
              <w:rPr>
                <w:rFonts w:ascii="微软雅黑" w:hAnsi="微软雅黑" w:cs="微软雅黑"/>
                <w:color w:val="auto"/>
                <w:szCs w:val="21"/>
                <w:highlight w:val="none"/>
              </w:rPr>
            </w:pPr>
            <w:r>
              <w:rPr>
                <w:rFonts w:hint="eastAsia"/>
                <w:b/>
                <w:bCs/>
                <w:color w:val="auto"/>
                <w:sz w:val="20"/>
                <w:szCs w:val="20"/>
                <w:highlight w:val="none"/>
              </w:rPr>
              <w:t>评标方法</w:t>
            </w:r>
          </w:p>
        </w:tc>
        <w:tc>
          <w:tcPr>
            <w:tcW w:w="6263" w:type="dxa"/>
            <w:vAlign w:val="center"/>
          </w:tcPr>
          <w:p w14:paraId="3A003C64">
            <w:pPr>
              <w:pStyle w:val="46"/>
              <w:jc w:val="both"/>
              <w:textAlignment w:val="baseline"/>
              <w:rPr>
                <w:b/>
                <w:bCs/>
                <w:color w:val="auto"/>
                <w:sz w:val="21"/>
                <w:highlight w:val="none"/>
              </w:rPr>
            </w:pPr>
            <w:r>
              <w:rPr>
                <w:rFonts w:ascii="宋体" w:hAnsi="宋体" w:eastAsia="宋体" w:cs="宋体"/>
                <w:color w:val="auto"/>
                <w:kern w:val="0"/>
                <w:sz w:val="24"/>
                <w:szCs w:val="24"/>
                <w:highlight w:val="none"/>
                <w:lang w:val="en-US" w:eastAsia="zh-CN" w:bidi="ar"/>
              </w:rPr>
              <w:sym w:font="Wingdings" w:char="00FE"/>
            </w:r>
            <w:r>
              <w:rPr>
                <w:rFonts w:hint="eastAsia"/>
                <w:b/>
                <w:bCs/>
                <w:color w:val="auto"/>
                <w:sz w:val="21"/>
                <w:highlight w:val="none"/>
              </w:rPr>
              <w:t>最低评标价法</w:t>
            </w:r>
          </w:p>
          <w:p w14:paraId="1E522966">
            <w:pPr>
              <w:pStyle w:val="46"/>
              <w:jc w:val="both"/>
              <w:textAlignment w:val="baseline"/>
              <w:rPr>
                <w:rFonts w:ascii="微软雅黑" w:hAnsi="微软雅黑" w:cs="微软雅黑"/>
                <w:color w:val="auto"/>
                <w:sz w:val="21"/>
                <w:szCs w:val="21"/>
                <w:highlight w:val="none"/>
              </w:rPr>
            </w:pPr>
            <w:r>
              <w:rPr>
                <w:rFonts w:ascii="宋体" w:hAnsi="宋体" w:eastAsia="宋体" w:cs="宋体"/>
                <w:color w:val="auto"/>
                <w:kern w:val="0"/>
                <w:sz w:val="24"/>
                <w:szCs w:val="24"/>
                <w:highlight w:val="none"/>
                <w:lang w:val="en-US" w:eastAsia="zh-CN" w:bidi="ar"/>
              </w:rPr>
              <w:sym w:font="Wingdings" w:char="00A8"/>
            </w:r>
            <w:r>
              <w:rPr>
                <w:rFonts w:hint="eastAsia"/>
                <w:b w:val="0"/>
                <w:bCs w:val="0"/>
                <w:color w:val="auto"/>
                <w:sz w:val="21"/>
                <w:highlight w:val="none"/>
              </w:rPr>
              <w:t>综合评分法</w:t>
            </w:r>
          </w:p>
        </w:tc>
      </w:tr>
      <w:tr w14:paraId="3CF9F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2DFF166D">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29</w:t>
            </w:r>
            <w:r>
              <w:rPr>
                <w:rFonts w:hint="eastAsia" w:ascii="微软雅黑" w:hAnsi="微软雅黑" w:cs="微软雅黑"/>
                <w:color w:val="auto"/>
                <w:szCs w:val="21"/>
                <w:highlight w:val="none"/>
              </w:rPr>
              <w:t>.1</w:t>
            </w:r>
          </w:p>
        </w:tc>
        <w:tc>
          <w:tcPr>
            <w:tcW w:w="2375" w:type="dxa"/>
            <w:vAlign w:val="center"/>
          </w:tcPr>
          <w:p w14:paraId="37BFB282">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中标候选人的数量</w:t>
            </w:r>
          </w:p>
        </w:tc>
        <w:tc>
          <w:tcPr>
            <w:tcW w:w="6263" w:type="dxa"/>
            <w:vAlign w:val="center"/>
          </w:tcPr>
          <w:p w14:paraId="2017FE45">
            <w:pPr>
              <w:pStyle w:val="44"/>
              <w:ind w:firstLine="420" w:firstLineChars="200"/>
              <w:jc w:val="left"/>
              <w:textAlignment w:val="baseline"/>
              <w:rPr>
                <w:rFonts w:ascii="微软雅黑" w:hAnsi="微软雅黑" w:cs="微软雅黑"/>
                <w:color w:val="auto"/>
                <w:szCs w:val="21"/>
                <w:highlight w:val="none"/>
                <w:u w:val="single"/>
              </w:rPr>
            </w:pPr>
            <w:r>
              <w:rPr>
                <w:rFonts w:hint="eastAsia" w:ascii="微软雅黑" w:hAnsi="微软雅黑" w:cs="微软雅黑"/>
                <w:color w:val="auto"/>
                <w:szCs w:val="21"/>
                <w:highlight w:val="none"/>
                <w:u w:val="single" w:color="000000"/>
              </w:rPr>
              <w:t xml:space="preserve">  </w:t>
            </w:r>
            <w:r>
              <w:rPr>
                <w:rFonts w:hint="eastAsia" w:ascii="微软雅黑" w:hAnsi="微软雅黑" w:cs="微软雅黑"/>
                <w:color w:val="auto"/>
                <w:szCs w:val="21"/>
                <w:highlight w:val="none"/>
                <w:u w:val="single" w:color="000000"/>
                <w:lang w:val="en-US" w:eastAsia="zh-CN"/>
              </w:rPr>
              <w:t>1-3</w:t>
            </w:r>
            <w:r>
              <w:rPr>
                <w:rFonts w:hint="eastAsia" w:ascii="微软雅黑" w:hAnsi="微软雅黑" w:cs="微软雅黑"/>
                <w:color w:val="auto"/>
                <w:szCs w:val="21"/>
                <w:highlight w:val="none"/>
                <w:u w:val="single" w:color="000000"/>
              </w:rPr>
              <w:t xml:space="preserve">  </w:t>
            </w:r>
            <w:r>
              <w:rPr>
                <w:rFonts w:hint="eastAsia" w:ascii="微软雅黑" w:hAnsi="微软雅黑" w:cs="微软雅黑"/>
                <w:color w:val="auto"/>
                <w:szCs w:val="21"/>
                <w:highlight w:val="none"/>
              </w:rPr>
              <w:t>人</w:t>
            </w:r>
          </w:p>
        </w:tc>
      </w:tr>
      <w:tr w14:paraId="170CAF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131ECBF4">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29</w:t>
            </w:r>
            <w:r>
              <w:rPr>
                <w:rFonts w:hint="eastAsia" w:ascii="微软雅黑" w:hAnsi="微软雅黑" w:cs="微软雅黑"/>
                <w:color w:val="auto"/>
                <w:szCs w:val="21"/>
                <w:highlight w:val="none"/>
              </w:rPr>
              <w:t>.2</w:t>
            </w:r>
          </w:p>
        </w:tc>
        <w:tc>
          <w:tcPr>
            <w:tcW w:w="2375" w:type="dxa"/>
            <w:vAlign w:val="center"/>
          </w:tcPr>
          <w:p w14:paraId="15E3C996">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确定中标人</w:t>
            </w:r>
          </w:p>
        </w:tc>
        <w:tc>
          <w:tcPr>
            <w:tcW w:w="6263" w:type="dxa"/>
            <w:vAlign w:val="center"/>
          </w:tcPr>
          <w:p w14:paraId="75DFA0B0">
            <w:pPr>
              <w:pStyle w:val="44"/>
              <w:ind w:firstLine="482" w:firstLineChars="200"/>
              <w:jc w:val="left"/>
              <w:textAlignment w:val="baseline"/>
              <w:rPr>
                <w:rFonts w:ascii="微软雅黑" w:hAnsi="微软雅黑" w:cs="微软雅黑"/>
                <w:b/>
                <w:bCs/>
                <w:color w:val="auto"/>
                <w:szCs w:val="21"/>
                <w:highlight w:val="none"/>
              </w:rPr>
            </w:pPr>
            <w:r>
              <w:rPr>
                <w:rFonts w:ascii="宋体" w:hAnsi="宋体" w:eastAsia="宋体" w:cs="宋体"/>
                <w:b/>
                <w:bCs/>
                <w:color w:val="auto"/>
                <w:kern w:val="0"/>
                <w:sz w:val="24"/>
                <w:szCs w:val="24"/>
                <w:highlight w:val="none"/>
                <w:lang w:val="en-US" w:eastAsia="zh-CN" w:bidi="ar"/>
              </w:rPr>
              <w:sym w:font="Wingdings" w:char="00FE"/>
            </w:r>
            <w:r>
              <w:rPr>
                <w:rFonts w:hint="eastAsia" w:ascii="微软雅黑" w:hAnsi="微软雅黑" w:cs="微软雅黑"/>
                <w:b/>
                <w:bCs/>
                <w:color w:val="auto"/>
                <w:szCs w:val="21"/>
                <w:highlight w:val="none"/>
              </w:rPr>
              <w:t>采购人委托评标委员会确定</w:t>
            </w:r>
          </w:p>
          <w:p w14:paraId="10C31154">
            <w:pPr>
              <w:pStyle w:val="44"/>
              <w:ind w:firstLine="480" w:firstLineChars="200"/>
              <w:jc w:val="left"/>
              <w:textAlignment w:val="baseline"/>
              <w:rPr>
                <w:rFonts w:ascii="微软雅黑" w:hAnsi="微软雅黑" w:cs="微软雅黑"/>
                <w:color w:val="auto"/>
                <w:szCs w:val="21"/>
                <w:highlight w:val="none"/>
              </w:rPr>
            </w:pPr>
            <w:r>
              <w:rPr>
                <w:rFonts w:ascii="宋体" w:hAnsi="宋体" w:eastAsia="宋体" w:cs="宋体"/>
                <w:b w:val="0"/>
                <w:bCs w:val="0"/>
                <w:color w:val="auto"/>
                <w:kern w:val="0"/>
                <w:sz w:val="24"/>
                <w:szCs w:val="24"/>
                <w:highlight w:val="none"/>
                <w:lang w:val="en-US" w:eastAsia="zh-CN" w:bidi="ar"/>
              </w:rPr>
              <w:sym w:font="Wingdings" w:char="00A8"/>
            </w:r>
            <w:r>
              <w:rPr>
                <w:rFonts w:hint="eastAsia" w:ascii="微软雅黑" w:hAnsi="微软雅黑" w:cs="微软雅黑"/>
                <w:b w:val="0"/>
                <w:bCs w:val="0"/>
                <w:color w:val="auto"/>
                <w:szCs w:val="21"/>
                <w:highlight w:val="none"/>
              </w:rPr>
              <w:t>采购人确定</w:t>
            </w:r>
          </w:p>
        </w:tc>
      </w:tr>
      <w:tr w14:paraId="0F07E6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720510B9">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w:t>
            </w:r>
            <w:r>
              <w:rPr>
                <w:rFonts w:hint="eastAsia" w:ascii="微软雅黑" w:hAnsi="微软雅黑" w:cs="微软雅黑"/>
                <w:color w:val="auto"/>
                <w:szCs w:val="21"/>
                <w:highlight w:val="none"/>
                <w:lang w:val="en-US" w:eastAsia="zh-CN"/>
              </w:rPr>
              <w:t>1</w:t>
            </w:r>
            <w:r>
              <w:rPr>
                <w:rFonts w:hint="eastAsia" w:ascii="微软雅黑" w:hAnsi="微软雅黑" w:cs="微软雅黑"/>
                <w:color w:val="auto"/>
                <w:szCs w:val="21"/>
                <w:highlight w:val="none"/>
              </w:rPr>
              <w:t>.3</w:t>
            </w:r>
          </w:p>
        </w:tc>
        <w:tc>
          <w:tcPr>
            <w:tcW w:w="2375" w:type="dxa"/>
            <w:vAlign w:val="center"/>
          </w:tcPr>
          <w:p w14:paraId="14D0FE93">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随中标公告同时公告的中标人的投标文件内容</w:t>
            </w:r>
          </w:p>
        </w:tc>
        <w:tc>
          <w:tcPr>
            <w:tcW w:w="6263" w:type="dxa"/>
            <w:vAlign w:val="center"/>
          </w:tcPr>
          <w:p w14:paraId="7C425565">
            <w:pPr>
              <w:pStyle w:val="44"/>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（1）无重大违法记录声明函、无不良信用记录声明函；</w:t>
            </w:r>
          </w:p>
          <w:p w14:paraId="1562974E">
            <w:pPr>
              <w:pStyle w:val="44"/>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（2）投标业绩承诺函；（如有）</w:t>
            </w:r>
          </w:p>
          <w:p w14:paraId="5543089D">
            <w:pPr>
              <w:pStyle w:val="44"/>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（3）中小企业声明函；（如有）</w:t>
            </w:r>
          </w:p>
          <w:p w14:paraId="113C0759">
            <w:pPr>
              <w:pStyle w:val="44"/>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（4）残疾人福利性单位声明函；（如有）</w:t>
            </w:r>
          </w:p>
          <w:p w14:paraId="28A45966">
            <w:pPr>
              <w:pStyle w:val="44"/>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（5）</w:t>
            </w:r>
            <w:r>
              <w:rPr>
                <w:rFonts w:hint="eastAsia" w:ascii="微软雅黑" w:hAnsi="微软雅黑" w:cs="微软雅黑"/>
                <w:color w:val="auto"/>
                <w:szCs w:val="21"/>
                <w:highlight w:val="none"/>
                <w:u w:val="single" w:color="000000"/>
              </w:rPr>
              <w:t>招标文件中规定进行公示的其他内容。</w:t>
            </w:r>
            <w:r>
              <w:rPr>
                <w:rFonts w:hint="eastAsia" w:ascii="微软雅黑" w:hAnsi="微软雅黑" w:cs="微软雅黑"/>
                <w:color w:val="auto"/>
                <w:szCs w:val="21"/>
                <w:highlight w:val="none"/>
              </w:rPr>
              <w:t>（如有）</w:t>
            </w:r>
          </w:p>
        </w:tc>
      </w:tr>
      <w:tr w14:paraId="5F8917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31886FBA">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w:t>
            </w:r>
            <w:r>
              <w:rPr>
                <w:rFonts w:hint="eastAsia" w:ascii="微软雅黑" w:hAnsi="微软雅黑" w:cs="微软雅黑"/>
                <w:color w:val="auto"/>
                <w:szCs w:val="21"/>
                <w:highlight w:val="none"/>
                <w:lang w:val="en-US" w:eastAsia="zh-CN"/>
              </w:rPr>
              <w:t>2</w:t>
            </w:r>
            <w:r>
              <w:rPr>
                <w:rFonts w:hint="eastAsia" w:ascii="微软雅黑" w:hAnsi="微软雅黑" w:cs="微软雅黑"/>
                <w:color w:val="auto"/>
                <w:szCs w:val="21"/>
                <w:highlight w:val="none"/>
              </w:rPr>
              <w:t>.1</w:t>
            </w:r>
          </w:p>
        </w:tc>
        <w:tc>
          <w:tcPr>
            <w:tcW w:w="2375" w:type="dxa"/>
            <w:vAlign w:val="center"/>
          </w:tcPr>
          <w:p w14:paraId="77CCB858">
            <w:pPr>
              <w:pStyle w:val="44"/>
              <w:textAlignment w:val="baseline"/>
              <w:rPr>
                <w:color w:val="auto"/>
                <w:highlight w:val="none"/>
              </w:rPr>
            </w:pPr>
            <w:r>
              <w:rPr>
                <w:color w:val="auto"/>
                <w:highlight w:val="none"/>
              </w:rPr>
              <w:t>中标通知书发出</w:t>
            </w:r>
          </w:p>
          <w:p w14:paraId="3F09C4C4">
            <w:pPr>
              <w:pStyle w:val="44"/>
              <w:textAlignment w:val="baseline"/>
              <w:rPr>
                <w:color w:val="auto"/>
                <w:highlight w:val="none"/>
              </w:rPr>
            </w:pPr>
            <w:r>
              <w:rPr>
                <w:color w:val="auto"/>
                <w:highlight w:val="none"/>
              </w:rPr>
              <w:t>的形式</w:t>
            </w:r>
          </w:p>
        </w:tc>
        <w:tc>
          <w:tcPr>
            <w:tcW w:w="6263" w:type="dxa"/>
            <w:vAlign w:val="center"/>
          </w:tcPr>
          <w:p w14:paraId="3281F4B4">
            <w:pPr>
              <w:pStyle w:val="46"/>
              <w:jc w:val="both"/>
              <w:textAlignment w:val="baseline"/>
              <w:rPr>
                <w:b/>
                <w:bCs/>
                <w:color w:val="auto"/>
                <w:sz w:val="21"/>
                <w:highlight w:val="none"/>
              </w:rPr>
            </w:pPr>
            <w:r>
              <w:rPr>
                <w:rFonts w:ascii="宋体" w:hAnsi="宋体" w:eastAsia="宋体" w:cs="宋体"/>
                <w:color w:val="auto"/>
                <w:kern w:val="0"/>
                <w:sz w:val="24"/>
                <w:szCs w:val="24"/>
                <w:highlight w:val="none"/>
                <w:lang w:val="en-US" w:eastAsia="zh-CN" w:bidi="ar"/>
              </w:rPr>
              <w:sym w:font="Wingdings" w:char="00FE"/>
            </w:r>
            <w:r>
              <w:rPr>
                <w:b/>
                <w:bCs/>
                <w:color w:val="auto"/>
                <w:sz w:val="21"/>
                <w:highlight w:val="none"/>
              </w:rPr>
              <w:t>书面</w:t>
            </w:r>
            <w:r>
              <w:rPr>
                <w:b/>
                <w:bCs/>
                <w:color w:val="auto"/>
                <w:sz w:val="21"/>
                <w:highlight w:val="none"/>
              </w:rPr>
              <w:tab/>
            </w:r>
            <w:r>
              <w:rPr>
                <w:rFonts w:hint="eastAsia"/>
                <w:b/>
                <w:bCs/>
                <w:color w:val="auto"/>
                <w:sz w:val="21"/>
                <w:highlight w:val="none"/>
                <w:lang w:val="en-US" w:eastAsia="zh-CN"/>
              </w:rPr>
              <w:t xml:space="preserve"> </w:t>
            </w:r>
            <w:r>
              <w:rPr>
                <w:rFonts w:ascii="宋体" w:hAnsi="宋体" w:eastAsia="宋体" w:cs="宋体"/>
                <w:color w:val="auto"/>
                <w:kern w:val="0"/>
                <w:sz w:val="24"/>
                <w:szCs w:val="24"/>
                <w:highlight w:val="none"/>
                <w:lang w:val="en-US" w:eastAsia="zh-CN" w:bidi="ar"/>
              </w:rPr>
              <w:sym w:font="Wingdings" w:char="00A8"/>
            </w:r>
            <w:r>
              <w:rPr>
                <w:color w:val="auto"/>
                <w:sz w:val="21"/>
                <w:highlight w:val="none"/>
              </w:rPr>
              <w:t>数据电文</w:t>
            </w:r>
          </w:p>
        </w:tc>
      </w:tr>
      <w:tr w14:paraId="1075A7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684227DA">
            <w:pPr>
              <w:pStyle w:val="44"/>
              <w:textAlignment w:val="baseline"/>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rPr>
              <w:t>3</w:t>
            </w:r>
            <w:r>
              <w:rPr>
                <w:rFonts w:hint="eastAsia" w:ascii="微软雅黑" w:hAnsi="微软雅黑" w:cs="微软雅黑"/>
                <w:color w:val="auto"/>
                <w:szCs w:val="21"/>
                <w:highlight w:val="none"/>
                <w:lang w:val="en-US" w:eastAsia="zh-CN"/>
              </w:rPr>
              <w:t>3</w:t>
            </w:r>
          </w:p>
        </w:tc>
        <w:tc>
          <w:tcPr>
            <w:tcW w:w="2375" w:type="dxa"/>
          </w:tcPr>
          <w:p w14:paraId="07DC9B2D">
            <w:pPr>
              <w:pStyle w:val="44"/>
              <w:textAlignment w:val="baseline"/>
              <w:rPr>
                <w:color w:val="auto"/>
                <w:highlight w:val="none"/>
              </w:rPr>
            </w:pPr>
            <w:r>
              <w:rPr>
                <w:color w:val="auto"/>
                <w:highlight w:val="none"/>
              </w:rPr>
              <w:t>告知招标结果的</w:t>
            </w:r>
          </w:p>
          <w:p w14:paraId="12DECA72">
            <w:pPr>
              <w:pStyle w:val="44"/>
              <w:textAlignment w:val="baseline"/>
              <w:rPr>
                <w:color w:val="auto"/>
                <w:highlight w:val="none"/>
              </w:rPr>
            </w:pPr>
            <w:r>
              <w:rPr>
                <w:color w:val="auto"/>
                <w:highlight w:val="none"/>
              </w:rPr>
              <w:t>形式</w:t>
            </w:r>
          </w:p>
        </w:tc>
        <w:tc>
          <w:tcPr>
            <w:tcW w:w="6263" w:type="dxa"/>
          </w:tcPr>
          <w:p w14:paraId="05306DD1">
            <w:pPr>
              <w:pStyle w:val="46"/>
              <w:jc w:val="both"/>
              <w:textAlignment w:val="baseline"/>
              <w:rPr>
                <w:b/>
                <w:bCs/>
                <w:color w:val="auto"/>
                <w:sz w:val="21"/>
                <w:highlight w:val="none"/>
              </w:rPr>
            </w:pPr>
            <w:r>
              <w:rPr>
                <w:rFonts w:ascii="宋体" w:hAnsi="宋体" w:eastAsia="宋体" w:cs="宋体"/>
                <w:color w:val="auto"/>
                <w:kern w:val="0"/>
                <w:sz w:val="24"/>
                <w:szCs w:val="24"/>
                <w:highlight w:val="none"/>
                <w:lang w:val="en-US" w:eastAsia="zh-CN" w:bidi="ar"/>
              </w:rPr>
              <w:sym w:font="Wingdings" w:char="00FE"/>
            </w:r>
            <w:r>
              <w:rPr>
                <w:b/>
                <w:bCs/>
                <w:color w:val="auto"/>
                <w:sz w:val="21"/>
                <w:highlight w:val="none"/>
              </w:rPr>
              <w:t>投标人自行登录</w:t>
            </w:r>
            <w:r>
              <w:rPr>
                <w:b/>
                <w:bCs/>
                <w:color w:val="auto"/>
                <w:sz w:val="21"/>
                <w:highlight w:val="none"/>
                <w:lang w:val="en-US" w:eastAsia="zh-CN"/>
              </w:rPr>
              <w:t>中国湖南政府采购网</w:t>
            </w:r>
            <w:r>
              <w:rPr>
                <w:rFonts w:hint="eastAsia"/>
                <w:b/>
                <w:bCs/>
                <w:color w:val="auto"/>
                <w:sz w:val="21"/>
                <w:highlight w:val="none"/>
                <w:lang w:val="en-US" w:eastAsia="zh-CN"/>
              </w:rPr>
              <w:t>、张家界市公共资源交易网</w:t>
            </w:r>
            <w:r>
              <w:rPr>
                <w:b/>
                <w:bCs/>
                <w:color w:val="auto"/>
                <w:sz w:val="21"/>
                <w:highlight w:val="none"/>
              </w:rPr>
              <w:t>查看</w:t>
            </w:r>
          </w:p>
          <w:p w14:paraId="6575B8C7">
            <w:pPr>
              <w:pStyle w:val="46"/>
              <w:jc w:val="both"/>
              <w:textAlignment w:val="baseline"/>
              <w:rPr>
                <w:b/>
                <w:bCs/>
                <w:color w:val="auto"/>
                <w:sz w:val="21"/>
                <w:highlight w:val="none"/>
              </w:rPr>
            </w:pPr>
            <w:r>
              <w:rPr>
                <w:rFonts w:ascii="宋体" w:hAnsi="宋体" w:eastAsia="宋体" w:cs="宋体"/>
                <w:color w:val="auto"/>
                <w:kern w:val="0"/>
                <w:sz w:val="24"/>
                <w:szCs w:val="24"/>
                <w:highlight w:val="none"/>
                <w:lang w:val="en-US" w:eastAsia="zh-CN" w:bidi="ar"/>
              </w:rPr>
              <w:sym w:font="Wingdings" w:char="00A8"/>
            </w:r>
            <w:r>
              <w:rPr>
                <w:color w:val="auto"/>
                <w:sz w:val="21"/>
                <w:highlight w:val="none"/>
              </w:rPr>
              <w:t>评标现场告知</w:t>
            </w:r>
          </w:p>
        </w:tc>
      </w:tr>
      <w:tr w14:paraId="6F0E7D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5ECA27BC">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w:t>
            </w:r>
            <w:r>
              <w:rPr>
                <w:rFonts w:hint="eastAsia" w:ascii="微软雅黑" w:hAnsi="微软雅黑" w:cs="微软雅黑"/>
                <w:color w:val="auto"/>
                <w:szCs w:val="21"/>
                <w:highlight w:val="none"/>
                <w:lang w:val="en-US" w:eastAsia="zh-CN"/>
              </w:rPr>
              <w:t>6</w:t>
            </w:r>
            <w:r>
              <w:rPr>
                <w:rFonts w:hint="eastAsia" w:ascii="微软雅黑" w:hAnsi="微软雅黑" w:cs="微软雅黑"/>
                <w:color w:val="auto"/>
                <w:szCs w:val="21"/>
                <w:highlight w:val="none"/>
              </w:rPr>
              <w:t>.1</w:t>
            </w:r>
          </w:p>
        </w:tc>
        <w:tc>
          <w:tcPr>
            <w:tcW w:w="2375" w:type="dxa"/>
            <w:vAlign w:val="center"/>
          </w:tcPr>
          <w:p w14:paraId="32D349F8">
            <w:pPr>
              <w:pStyle w:val="44"/>
              <w:textAlignment w:val="baseline"/>
              <w:rPr>
                <w:rFonts w:hint="eastAsia" w:ascii="微软雅黑" w:hAnsi="微软雅黑" w:cs="微软雅黑"/>
                <w:color w:val="auto"/>
                <w:szCs w:val="21"/>
                <w:highlight w:val="none"/>
                <w:lang w:eastAsia="zh-CN"/>
              </w:rPr>
            </w:pPr>
            <w:r>
              <w:rPr>
                <w:rFonts w:hint="eastAsia" w:ascii="微软雅黑" w:hAnsi="微软雅黑" w:cs="微软雅黑"/>
                <w:color w:val="auto"/>
                <w:szCs w:val="21"/>
                <w:highlight w:val="none"/>
              </w:rPr>
              <w:t>履约</w:t>
            </w:r>
            <w:r>
              <w:rPr>
                <w:rFonts w:hint="eastAsia" w:ascii="微软雅黑" w:hAnsi="微软雅黑" w:cs="微软雅黑"/>
                <w:color w:val="auto"/>
                <w:szCs w:val="21"/>
                <w:highlight w:val="none"/>
                <w:lang w:eastAsia="zh-CN"/>
              </w:rPr>
              <w:t>担保</w:t>
            </w:r>
          </w:p>
          <w:p w14:paraId="08500612">
            <w:pPr>
              <w:pStyle w:val="44"/>
              <w:jc w:val="both"/>
              <w:textAlignment w:val="baseline"/>
              <w:rPr>
                <w:rFonts w:hint="eastAsia" w:ascii="微软雅黑" w:hAnsi="微软雅黑" w:cs="微软雅黑"/>
                <w:color w:val="auto"/>
                <w:szCs w:val="21"/>
                <w:highlight w:val="none"/>
                <w:lang w:eastAsia="zh-CN"/>
              </w:rPr>
            </w:pPr>
          </w:p>
        </w:tc>
        <w:tc>
          <w:tcPr>
            <w:tcW w:w="6263" w:type="dxa"/>
            <w:vAlign w:val="center"/>
          </w:tcPr>
          <w:p w14:paraId="348DE104">
            <w:pPr>
              <w:pStyle w:val="44"/>
              <w:ind w:firstLine="480" w:firstLineChars="200"/>
              <w:jc w:val="left"/>
              <w:textAlignment w:val="baseline"/>
              <w:rPr>
                <w:rFonts w:ascii="微软雅黑" w:hAnsi="微软雅黑" w:cs="微软雅黑"/>
                <w:b w:val="0"/>
                <w:bCs w:val="0"/>
                <w:color w:val="auto"/>
                <w:szCs w:val="21"/>
                <w:highlight w:val="none"/>
              </w:rPr>
            </w:pPr>
            <w:r>
              <w:rPr>
                <w:rFonts w:ascii="宋体" w:hAnsi="宋体" w:eastAsia="宋体" w:cs="宋体"/>
                <w:color w:val="auto"/>
                <w:kern w:val="0"/>
                <w:sz w:val="24"/>
                <w:szCs w:val="24"/>
                <w:highlight w:val="none"/>
                <w:lang w:val="en-US" w:eastAsia="zh-CN" w:bidi="ar"/>
              </w:rPr>
              <w:sym w:font="Wingdings" w:char="00A8"/>
            </w:r>
            <w:r>
              <w:rPr>
                <w:rFonts w:hint="eastAsia" w:ascii="微软雅黑" w:hAnsi="微软雅黑" w:cs="微软雅黑"/>
                <w:b w:val="0"/>
                <w:bCs w:val="0"/>
                <w:color w:val="auto"/>
                <w:szCs w:val="21"/>
                <w:highlight w:val="none"/>
              </w:rPr>
              <w:t>不要求提供</w:t>
            </w:r>
          </w:p>
          <w:p w14:paraId="03198667">
            <w:pPr>
              <w:pStyle w:val="44"/>
              <w:ind w:firstLine="480" w:firstLineChars="200"/>
              <w:jc w:val="left"/>
              <w:textAlignment w:val="baseline"/>
              <w:rPr>
                <w:rFonts w:ascii="微软雅黑" w:hAnsi="微软雅黑" w:cs="微软雅黑"/>
                <w:b/>
                <w:bCs/>
                <w:color w:val="auto"/>
                <w:szCs w:val="21"/>
                <w:highlight w:val="none"/>
              </w:rPr>
            </w:pP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b/>
                <w:bCs/>
                <w:color w:val="auto"/>
                <w:szCs w:val="21"/>
                <w:highlight w:val="none"/>
              </w:rPr>
              <w:t>要求提供</w:t>
            </w:r>
          </w:p>
          <w:p w14:paraId="68131E31">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（1）金额：中标金额降价幅度不超过采购预算10% 的，履约保证金为中标金额的10%;中标金额降价幅度超过采购预算10%以上的，履约保证金为采购预算减去中标金额的差额。</w:t>
            </w:r>
          </w:p>
          <w:p w14:paraId="5072420A">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（2）支付方式：</w:t>
            </w:r>
          </w:p>
          <w:p w14:paraId="1C673347">
            <w:pPr>
              <w:pStyle w:val="44"/>
              <w:ind w:firstLine="480" w:firstLineChars="200"/>
              <w:jc w:val="left"/>
              <w:textAlignment w:val="baseline"/>
              <w:rPr>
                <w:rFonts w:hint="eastAsia" w:ascii="微软雅黑" w:hAnsi="微软雅黑" w:cs="微软雅黑"/>
                <w:b w:val="0"/>
                <w:bCs w:val="0"/>
                <w:color w:val="auto"/>
                <w:szCs w:val="21"/>
                <w:highlight w:val="none"/>
              </w:rPr>
            </w:pP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b/>
                <w:bCs/>
                <w:color w:val="auto"/>
                <w:szCs w:val="21"/>
                <w:highlight w:val="none"/>
                <w:lang w:val="en-US" w:eastAsia="zh-CN"/>
              </w:rPr>
              <w:t>银行</w:t>
            </w:r>
            <w:r>
              <w:rPr>
                <w:rFonts w:hint="eastAsia" w:ascii="微软雅黑" w:hAnsi="微软雅黑" w:cs="微软雅黑"/>
                <w:b/>
                <w:bCs/>
                <w:color w:val="auto"/>
                <w:szCs w:val="21"/>
                <w:highlight w:val="none"/>
              </w:rPr>
              <w:t>转账</w:t>
            </w:r>
            <w:r>
              <w:rPr>
                <w:rFonts w:hint="eastAsia" w:ascii="微软雅黑" w:hAnsi="微软雅黑" w:cs="微软雅黑"/>
                <w:color w:val="auto"/>
                <w:szCs w:val="21"/>
                <w:highlight w:val="none"/>
                <w:lang w:val="en-US" w:eastAsia="zh-CN"/>
              </w:rPr>
              <w:t xml:space="preserve"> </w:t>
            </w: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color w:val="auto"/>
                <w:szCs w:val="21"/>
                <w:highlight w:val="none"/>
              </w:rPr>
              <w:t xml:space="preserve">支票  </w:t>
            </w: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color w:val="auto"/>
                <w:szCs w:val="21"/>
                <w:highlight w:val="none"/>
              </w:rPr>
              <w:t xml:space="preserve">汇票  </w:t>
            </w: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color w:val="auto"/>
                <w:szCs w:val="21"/>
                <w:highlight w:val="none"/>
              </w:rPr>
              <w:t xml:space="preserve">本票  </w:t>
            </w:r>
            <w:r>
              <w:rPr>
                <w:rFonts w:ascii="宋体" w:hAnsi="宋体" w:eastAsia="宋体" w:cs="宋体"/>
                <w:color w:val="auto"/>
                <w:kern w:val="0"/>
                <w:sz w:val="24"/>
                <w:szCs w:val="24"/>
                <w:highlight w:val="none"/>
                <w:lang w:val="en-US" w:eastAsia="zh-CN" w:bidi="ar"/>
              </w:rPr>
              <w:sym w:font="Wingdings" w:char="00FE"/>
            </w:r>
            <w:r>
              <w:rPr>
                <w:rFonts w:hint="eastAsia" w:ascii="微软雅黑" w:hAnsi="微软雅黑" w:cs="微软雅黑"/>
                <w:b/>
                <w:bCs/>
                <w:color w:val="auto"/>
                <w:szCs w:val="21"/>
                <w:highlight w:val="none"/>
                <w:lang w:val="en-US" w:eastAsia="zh-CN"/>
              </w:rPr>
              <w:t>银行</w:t>
            </w:r>
            <w:r>
              <w:rPr>
                <w:rFonts w:hint="eastAsia" w:ascii="微软雅黑" w:hAnsi="微软雅黑" w:cs="微软雅黑"/>
                <w:b/>
                <w:bCs/>
                <w:color w:val="auto"/>
                <w:szCs w:val="21"/>
                <w:highlight w:val="none"/>
              </w:rPr>
              <w:t>保函</w:t>
            </w:r>
            <w:r>
              <w:rPr>
                <w:rFonts w:hint="eastAsia" w:ascii="微软雅黑" w:hAnsi="微软雅黑" w:cs="微软雅黑"/>
                <w:color w:val="auto"/>
                <w:szCs w:val="21"/>
                <w:highlight w:val="none"/>
                <w:lang w:val="en-US" w:eastAsia="zh-CN"/>
              </w:rPr>
              <w:t xml:space="preserve"> </w:t>
            </w:r>
          </w:p>
          <w:p w14:paraId="3FB8977D">
            <w:pPr>
              <w:pStyle w:val="44"/>
              <w:ind w:firstLine="420" w:firstLineChars="200"/>
              <w:jc w:val="left"/>
              <w:textAlignment w:val="baseline"/>
              <w:rPr>
                <w:rFonts w:hint="eastAsia" w:ascii="微软雅黑" w:hAnsi="微软雅黑" w:cs="微软雅黑"/>
                <w:b w:val="0"/>
                <w:bCs w:val="0"/>
                <w:color w:val="auto"/>
                <w:szCs w:val="21"/>
                <w:highlight w:val="none"/>
              </w:rPr>
            </w:pPr>
            <w:r>
              <w:rPr>
                <w:rFonts w:hint="eastAsia" w:ascii="微软雅黑" w:hAnsi="微软雅黑" w:cs="微软雅黑"/>
                <w:b w:val="0"/>
                <w:bCs w:val="0"/>
                <w:color w:val="auto"/>
                <w:szCs w:val="21"/>
                <w:highlight w:val="none"/>
              </w:rPr>
              <w:t>供应商提交的</w:t>
            </w:r>
            <w:r>
              <w:rPr>
                <w:rFonts w:hint="eastAsia" w:ascii="微软雅黑" w:hAnsi="微软雅黑" w:cs="微软雅黑"/>
                <w:b w:val="0"/>
                <w:bCs w:val="0"/>
                <w:color w:val="auto"/>
                <w:szCs w:val="21"/>
                <w:highlight w:val="none"/>
                <w:lang w:val="en-US" w:eastAsia="zh-CN"/>
              </w:rPr>
              <w:t>支票、汇票、本票、</w:t>
            </w:r>
            <w:r>
              <w:rPr>
                <w:rFonts w:hint="eastAsia" w:ascii="微软雅黑" w:hAnsi="微软雅黑" w:cs="微软雅黑"/>
                <w:b w:val="0"/>
                <w:bCs w:val="0"/>
                <w:color w:val="auto"/>
                <w:szCs w:val="21"/>
                <w:highlight w:val="none"/>
              </w:rPr>
              <w:t>银行保函，在项目交付使用前不可撤销、不可转让、见索即付，履约担保责任至对应项目交付使用之日终止。银行保函应当是投标人注册地或者项目所在地市域内的银行出具的保函。</w:t>
            </w:r>
            <w:r>
              <w:rPr>
                <w:rFonts w:hint="eastAsia" w:ascii="微软雅黑" w:hAnsi="微软雅黑" w:cs="微软雅黑"/>
                <w:b/>
                <w:bCs/>
                <w:color w:val="auto"/>
                <w:szCs w:val="21"/>
                <w:highlight w:val="none"/>
              </w:rPr>
              <w:t>银行保函由采购人负责核验，报市公共资源交易中心登记。</w:t>
            </w:r>
          </w:p>
          <w:p w14:paraId="13572F3B">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（3）收取单位：</w:t>
            </w:r>
            <w:r>
              <w:rPr>
                <w:rFonts w:hint="eastAsia" w:ascii="微软雅黑" w:hAnsi="微软雅黑" w:cs="微软雅黑"/>
                <w:color w:val="auto"/>
                <w:sz w:val="21"/>
                <w:szCs w:val="21"/>
                <w:highlight w:val="none"/>
                <w:lang w:val="en-US" w:eastAsia="zh-CN"/>
              </w:rPr>
              <w:t>慈利县农业农村局</w:t>
            </w:r>
            <w:r>
              <w:rPr>
                <w:rFonts w:hint="eastAsia" w:ascii="微软雅黑" w:hAnsi="微软雅黑" w:cs="微软雅黑"/>
                <w:color w:val="auto"/>
                <w:szCs w:val="21"/>
                <w:highlight w:val="none"/>
              </w:rPr>
              <w:tab/>
            </w:r>
          </w:p>
          <w:p w14:paraId="35AC8EA7">
            <w:pPr>
              <w:pStyle w:val="44"/>
              <w:ind w:firstLine="420" w:firstLineChars="200"/>
              <w:jc w:val="left"/>
              <w:textAlignment w:val="baseline"/>
              <w:rPr>
                <w:rFonts w:hint="eastAsia" w:ascii="微软雅黑" w:hAnsi="微软雅黑" w:cs="微软雅黑"/>
                <w:color w:val="auto"/>
                <w:szCs w:val="21"/>
                <w:highlight w:val="none"/>
                <w:lang w:val="en-US" w:eastAsia="zh-CN"/>
              </w:rPr>
            </w:pPr>
            <w:r>
              <w:rPr>
                <w:rFonts w:hint="eastAsia" w:ascii="微软雅黑" w:hAnsi="微软雅黑" w:cs="微软雅黑"/>
                <w:color w:val="auto"/>
                <w:szCs w:val="21"/>
                <w:highlight w:val="none"/>
              </w:rPr>
              <w:t>（4）缴纳时间：</w:t>
            </w:r>
            <w:r>
              <w:rPr>
                <w:rFonts w:hint="eastAsia" w:ascii="微软雅黑" w:hAnsi="微软雅黑" w:cs="微软雅黑"/>
                <w:color w:val="auto"/>
                <w:szCs w:val="21"/>
                <w:highlight w:val="none"/>
                <w:lang w:eastAsia="zh-CN"/>
              </w:rPr>
              <w:t>供应商自领取</w:t>
            </w:r>
            <w:r>
              <w:rPr>
                <w:rFonts w:hint="eastAsia" w:ascii="微软雅黑" w:hAnsi="微软雅黑" w:cs="微软雅黑"/>
                <w:color w:val="auto"/>
                <w:szCs w:val="21"/>
                <w:highlight w:val="none"/>
                <w:lang w:val="en-US" w:eastAsia="zh-CN"/>
              </w:rPr>
              <w:t>中标</w:t>
            </w:r>
            <w:r>
              <w:rPr>
                <w:rFonts w:hint="eastAsia" w:ascii="微软雅黑" w:hAnsi="微软雅黑" w:cs="微软雅黑"/>
                <w:color w:val="auto"/>
                <w:szCs w:val="21"/>
                <w:highlight w:val="none"/>
              </w:rPr>
              <w:t>通知书后</w:t>
            </w:r>
            <w:r>
              <w:rPr>
                <w:rFonts w:hint="eastAsia" w:ascii="微软雅黑" w:hAnsi="微软雅黑" w:cs="微软雅黑"/>
                <w:color w:val="auto"/>
                <w:szCs w:val="21"/>
                <w:highlight w:val="none"/>
                <w:lang w:val="en-US" w:eastAsia="zh-CN"/>
              </w:rPr>
              <w:t>7个工作</w:t>
            </w:r>
            <w:r>
              <w:rPr>
                <w:rFonts w:hint="eastAsia" w:ascii="微软雅黑" w:hAnsi="微软雅黑" w:cs="微软雅黑"/>
                <w:color w:val="auto"/>
                <w:szCs w:val="21"/>
                <w:highlight w:val="none"/>
              </w:rPr>
              <w:t>日内</w:t>
            </w:r>
            <w:r>
              <w:rPr>
                <w:rFonts w:hint="eastAsia" w:ascii="微软雅黑" w:hAnsi="微软雅黑" w:cs="微软雅黑"/>
                <w:color w:val="auto"/>
                <w:szCs w:val="21"/>
                <w:highlight w:val="none"/>
                <w:lang w:eastAsia="zh-CN"/>
              </w:rPr>
              <w:t>提交履约保证金，最长不超过</w:t>
            </w:r>
            <w:r>
              <w:rPr>
                <w:rFonts w:hint="eastAsia" w:ascii="微软雅黑" w:hAnsi="微软雅黑" w:cs="微软雅黑"/>
                <w:color w:val="auto"/>
                <w:szCs w:val="21"/>
                <w:highlight w:val="none"/>
                <w:lang w:val="en-US" w:eastAsia="zh-CN"/>
              </w:rPr>
              <w:t>14个工作日。</w:t>
            </w:r>
          </w:p>
          <w:p w14:paraId="30E98BA1">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（5）若供应商未在规定时间内提交履约保证金，视为放弃中标成交资格。采购人应当取消其中标资格，供应商的</w:t>
            </w:r>
            <w:r>
              <w:rPr>
                <w:rFonts w:hint="eastAsia" w:ascii="微软雅黑" w:hAnsi="微软雅黑" w:cs="微软雅黑"/>
                <w:color w:val="auto"/>
                <w:szCs w:val="21"/>
                <w:highlight w:val="none"/>
                <w:lang w:eastAsia="zh-CN"/>
              </w:rPr>
              <w:t>投标保证金不予退还，并将其列入张家界市“严重失信企业名单”实行联合惩戒，</w:t>
            </w:r>
            <w:r>
              <w:rPr>
                <w:rFonts w:hint="eastAsia" w:ascii="微软雅黑" w:hAnsi="微软雅黑" w:cs="微软雅黑"/>
                <w:color w:val="auto"/>
                <w:szCs w:val="21"/>
                <w:highlight w:val="none"/>
                <w:lang w:val="en-US" w:eastAsia="zh-CN"/>
              </w:rPr>
              <w:t>3年内不接受其参与市域内政府采购项目的投标。</w:t>
            </w:r>
            <w:r>
              <w:rPr>
                <w:rFonts w:hint="eastAsia" w:ascii="微软雅黑" w:hAnsi="微软雅黑" w:cs="微软雅黑"/>
                <w:color w:val="auto"/>
                <w:szCs w:val="21"/>
                <w:highlight w:val="none"/>
              </w:rPr>
              <w:tab/>
            </w:r>
          </w:p>
          <w:p w14:paraId="04D8EC67">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w:t>
            </w:r>
            <w:r>
              <w:rPr>
                <w:rFonts w:hint="eastAsia" w:ascii="微软雅黑" w:hAnsi="微软雅黑" w:cs="微软雅黑"/>
                <w:color w:val="auto"/>
                <w:szCs w:val="21"/>
                <w:highlight w:val="none"/>
                <w:lang w:val="en-US" w:eastAsia="zh-CN"/>
              </w:rPr>
              <w:t>6</w:t>
            </w:r>
            <w:r>
              <w:rPr>
                <w:rFonts w:hint="eastAsia" w:ascii="微软雅黑" w:hAnsi="微软雅黑" w:cs="微软雅黑"/>
                <w:color w:val="auto"/>
                <w:szCs w:val="21"/>
                <w:highlight w:val="none"/>
              </w:rPr>
              <w:t>）退还时间：</w:t>
            </w:r>
            <w:r>
              <w:rPr>
                <w:rFonts w:hint="eastAsia" w:ascii="微软雅黑" w:hAnsi="微软雅黑" w:cs="微软雅黑"/>
                <w:b w:val="0"/>
                <w:bCs w:val="0"/>
                <w:color w:val="auto"/>
                <w:szCs w:val="21"/>
                <w:highlight w:val="none"/>
              </w:rPr>
              <w:t>履约担保责任至对应项目交付使用之日终止</w:t>
            </w:r>
            <w:r>
              <w:rPr>
                <w:rFonts w:hint="eastAsia" w:ascii="微软雅黑" w:hAnsi="微软雅黑" w:cs="微软雅黑"/>
                <w:color w:val="auto"/>
                <w:szCs w:val="21"/>
                <w:highlight w:val="none"/>
                <w:lang w:val="en-US" w:eastAsia="zh-CN"/>
              </w:rPr>
              <w:t xml:space="preserve">。 </w:t>
            </w:r>
          </w:p>
        </w:tc>
      </w:tr>
      <w:tr w14:paraId="247F25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1125" w:type="dxa"/>
            <w:vAlign w:val="center"/>
          </w:tcPr>
          <w:p w14:paraId="6F066519">
            <w:pPr>
              <w:pStyle w:val="44"/>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lang w:val="en-US" w:eastAsia="zh-CN"/>
              </w:rPr>
              <w:t>39</w:t>
            </w:r>
          </w:p>
        </w:tc>
        <w:tc>
          <w:tcPr>
            <w:tcW w:w="2375" w:type="dxa"/>
            <w:vAlign w:val="center"/>
          </w:tcPr>
          <w:p w14:paraId="2AF23AE0">
            <w:pPr>
              <w:pStyle w:val="44"/>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lang w:eastAsia="zh-CN"/>
              </w:rPr>
              <w:t>询问截止时间</w:t>
            </w:r>
          </w:p>
        </w:tc>
        <w:tc>
          <w:tcPr>
            <w:tcW w:w="6263" w:type="dxa"/>
            <w:vAlign w:val="center"/>
          </w:tcPr>
          <w:p w14:paraId="3E1A4DEE">
            <w:pPr>
              <w:pStyle w:val="44"/>
              <w:numPr>
                <w:ilvl w:val="0"/>
                <w:numId w:val="0"/>
              </w:numPr>
              <w:ind w:firstLine="420" w:firstLineChars="200"/>
              <w:jc w:val="left"/>
              <w:textAlignment w:val="baseline"/>
              <w:rPr>
                <w:rFonts w:hint="eastAsia" w:ascii="微软雅黑" w:hAnsi="微软雅黑" w:cs="微软雅黑"/>
                <w:color w:val="auto"/>
                <w:highlight w:val="none"/>
              </w:rPr>
            </w:pPr>
            <w:r>
              <w:rPr>
                <w:rFonts w:hint="eastAsia" w:ascii="微软雅黑" w:hAnsi="微软雅黑" w:cs="微软雅黑"/>
                <w:color w:val="auto"/>
                <w:highlight w:val="none"/>
                <w:lang w:val="en-US" w:eastAsia="zh-CN"/>
              </w:rPr>
              <w:t>2026年 8月20 日17时00分</w:t>
            </w:r>
          </w:p>
        </w:tc>
      </w:tr>
      <w:tr w14:paraId="061EE9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43CC03F4">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lang w:val="en-US" w:eastAsia="zh-CN"/>
              </w:rPr>
              <w:t>40</w:t>
            </w:r>
            <w:r>
              <w:rPr>
                <w:rFonts w:hint="eastAsia" w:ascii="微软雅黑" w:hAnsi="微软雅黑" w:cs="微软雅黑"/>
                <w:color w:val="auto"/>
                <w:szCs w:val="21"/>
                <w:highlight w:val="none"/>
              </w:rPr>
              <w:t>.3</w:t>
            </w:r>
          </w:p>
        </w:tc>
        <w:tc>
          <w:tcPr>
            <w:tcW w:w="2375" w:type="dxa"/>
            <w:vAlign w:val="center"/>
          </w:tcPr>
          <w:p w14:paraId="03EEFDF1">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质疑函递交方式、接收部门、联系电话和通讯地址</w:t>
            </w:r>
          </w:p>
        </w:tc>
        <w:tc>
          <w:tcPr>
            <w:tcW w:w="6263" w:type="dxa"/>
            <w:vAlign w:val="center"/>
          </w:tcPr>
          <w:p w14:paraId="77AAC380">
            <w:pPr>
              <w:pStyle w:val="44"/>
              <w:ind w:firstLine="420" w:firstLineChars="200"/>
              <w:jc w:val="left"/>
              <w:textAlignment w:val="baseline"/>
              <w:rPr>
                <w:rFonts w:ascii="微软雅黑" w:hAnsi="微软雅黑" w:cs="微软雅黑"/>
                <w:b/>
                <w:bCs/>
                <w:color w:val="auto"/>
                <w:szCs w:val="21"/>
                <w:highlight w:val="none"/>
                <w:u w:val="single"/>
              </w:rPr>
            </w:pPr>
            <w:r>
              <w:rPr>
                <w:rFonts w:hint="eastAsia" w:ascii="微软雅黑" w:hAnsi="微软雅黑" w:cs="微软雅黑"/>
                <w:color w:val="auto"/>
                <w:szCs w:val="21"/>
                <w:highlight w:val="none"/>
              </w:rPr>
              <w:t>递交方式：</w:t>
            </w:r>
            <w:r>
              <w:rPr>
                <w:rFonts w:hint="eastAsia" w:ascii="微软雅黑" w:hAnsi="微软雅黑" w:cs="微软雅黑"/>
                <w:b/>
                <w:bCs/>
                <w:color w:val="auto"/>
                <w:szCs w:val="21"/>
                <w:highlight w:val="none"/>
                <w:u w:val="single" w:color="000000"/>
              </w:rPr>
              <w:t>书面递交</w:t>
            </w:r>
          </w:p>
          <w:p w14:paraId="4FAC0D22">
            <w:pPr>
              <w:pStyle w:val="44"/>
              <w:ind w:firstLine="420" w:firstLineChars="200"/>
              <w:jc w:val="left"/>
              <w:textAlignment w:val="baseline"/>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rPr>
              <w:t>联系部门：</w:t>
            </w:r>
            <w:r>
              <w:rPr>
                <w:rFonts w:hint="eastAsia" w:ascii="微软雅黑" w:hAnsi="微软雅黑" w:cs="微软雅黑"/>
                <w:color w:val="auto"/>
                <w:szCs w:val="21"/>
                <w:highlight w:val="none"/>
                <w:lang w:eastAsia="zh-CN"/>
              </w:rPr>
              <w:t>湖南智高项目管理有限公司</w:t>
            </w:r>
          </w:p>
          <w:p w14:paraId="5246C9EB">
            <w:pPr>
              <w:pStyle w:val="44"/>
              <w:ind w:firstLine="420" w:firstLineChars="200"/>
              <w:jc w:val="left"/>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rPr>
              <w:t>联系电话：</w:t>
            </w:r>
            <w:r>
              <w:rPr>
                <w:rFonts w:hint="eastAsia" w:ascii="微软雅黑" w:hAnsi="微软雅黑" w:cs="微软雅黑"/>
                <w:color w:val="auto"/>
                <w:szCs w:val="21"/>
                <w:highlight w:val="none"/>
                <w:lang w:val="en-US" w:eastAsia="zh-CN"/>
              </w:rPr>
              <w:t>15207449686</w:t>
            </w:r>
          </w:p>
          <w:p w14:paraId="4DC9366F">
            <w:pPr>
              <w:pStyle w:val="44"/>
              <w:ind w:firstLine="420" w:firstLineChars="200"/>
              <w:jc w:val="left"/>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cs="微软雅黑"/>
                <w:color w:val="auto"/>
                <w:szCs w:val="21"/>
                <w:highlight w:val="none"/>
              </w:rPr>
              <w:t>通信地址：</w:t>
            </w:r>
            <w:r>
              <w:rPr>
                <w:rFonts w:hint="eastAsia" w:ascii="微软雅黑" w:hAnsi="微软雅黑" w:cs="微软雅黑"/>
                <w:color w:val="auto"/>
                <w:szCs w:val="21"/>
                <w:highlight w:val="none"/>
                <w:lang w:val="en-US" w:eastAsia="zh-CN"/>
              </w:rPr>
              <w:t>慈利县胜汉步行街19栋3楼</w:t>
            </w:r>
          </w:p>
        </w:tc>
      </w:tr>
      <w:tr w14:paraId="1C1FFA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763" w:type="dxa"/>
            <w:gridSpan w:val="3"/>
            <w:vAlign w:val="center"/>
          </w:tcPr>
          <w:p w14:paraId="729F5037">
            <w:pPr>
              <w:pStyle w:val="44"/>
              <w:jc w:val="left"/>
              <w:textAlignment w:val="baseline"/>
              <w:rPr>
                <w:rFonts w:ascii="微软雅黑" w:hAnsi="微软雅黑" w:cs="微软雅黑"/>
                <w:color w:val="auto"/>
                <w:szCs w:val="21"/>
                <w:highlight w:val="none"/>
              </w:rPr>
            </w:pPr>
            <w:r>
              <w:rPr>
                <w:rFonts w:hint="eastAsia" w:ascii="微软雅黑" w:hAnsi="微软雅黑" w:cs="微软雅黑"/>
                <w:b/>
                <w:bCs/>
                <w:color w:val="auto"/>
                <w:szCs w:val="21"/>
                <w:highlight w:val="none"/>
              </w:rPr>
              <w:t>4</w:t>
            </w:r>
            <w:r>
              <w:rPr>
                <w:rFonts w:hint="eastAsia" w:ascii="微软雅黑" w:hAnsi="微软雅黑" w:cs="微软雅黑"/>
                <w:b/>
                <w:bCs/>
                <w:color w:val="auto"/>
                <w:szCs w:val="21"/>
                <w:highlight w:val="none"/>
                <w:lang w:val="en-US" w:eastAsia="zh-CN"/>
              </w:rPr>
              <w:t>3</w:t>
            </w:r>
            <w:r>
              <w:rPr>
                <w:rFonts w:hint="eastAsia" w:ascii="微软雅黑" w:hAnsi="微软雅黑" w:cs="微软雅黑"/>
                <w:b/>
                <w:bCs/>
                <w:color w:val="auto"/>
                <w:szCs w:val="21"/>
                <w:highlight w:val="none"/>
              </w:rPr>
              <w:t>其他内容</w:t>
            </w:r>
          </w:p>
        </w:tc>
      </w:tr>
      <w:tr w14:paraId="5C073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restart"/>
            <w:vAlign w:val="center"/>
          </w:tcPr>
          <w:p w14:paraId="49914B8E">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4</w:t>
            </w: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.1</w:t>
            </w:r>
          </w:p>
        </w:tc>
        <w:tc>
          <w:tcPr>
            <w:tcW w:w="2375" w:type="dxa"/>
            <w:vAlign w:val="center"/>
          </w:tcPr>
          <w:p w14:paraId="205C86E3">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政府采购支持中小企业融资</w:t>
            </w:r>
          </w:p>
        </w:tc>
        <w:tc>
          <w:tcPr>
            <w:tcW w:w="6263" w:type="dxa"/>
            <w:vAlign w:val="center"/>
          </w:tcPr>
          <w:p w14:paraId="31C0946D">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有融资需求的，可查询中国湖南政府采购网办事指南专栏中相关业务简介。</w:t>
            </w:r>
          </w:p>
        </w:tc>
      </w:tr>
      <w:tr w14:paraId="452E0A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continue"/>
            <w:vAlign w:val="center"/>
          </w:tcPr>
          <w:p w14:paraId="42915C7A">
            <w:pPr>
              <w:pStyle w:val="44"/>
              <w:textAlignment w:val="baseline"/>
              <w:rPr>
                <w:rFonts w:ascii="微软雅黑" w:hAnsi="微软雅黑" w:cs="微软雅黑"/>
                <w:color w:val="auto"/>
                <w:szCs w:val="21"/>
                <w:highlight w:val="none"/>
              </w:rPr>
            </w:pPr>
          </w:p>
        </w:tc>
        <w:tc>
          <w:tcPr>
            <w:tcW w:w="2375" w:type="dxa"/>
            <w:vAlign w:val="center"/>
          </w:tcPr>
          <w:p w14:paraId="72A68C6B">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政府采购信用担保</w:t>
            </w:r>
          </w:p>
        </w:tc>
        <w:tc>
          <w:tcPr>
            <w:tcW w:w="6263" w:type="dxa"/>
            <w:vAlign w:val="center"/>
          </w:tcPr>
          <w:p w14:paraId="283A56E5">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有担保需求的，可查询中国湖南政府采购网办事指南专栏中相关业务简介。</w:t>
            </w:r>
          </w:p>
        </w:tc>
      </w:tr>
      <w:tr w14:paraId="0ECBEC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7CE633BE">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4</w:t>
            </w: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.2</w:t>
            </w:r>
          </w:p>
        </w:tc>
        <w:tc>
          <w:tcPr>
            <w:tcW w:w="2375" w:type="dxa"/>
            <w:vAlign w:val="center"/>
          </w:tcPr>
          <w:p w14:paraId="68D96CEF">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关于联合体投标的相关约定</w:t>
            </w:r>
          </w:p>
        </w:tc>
        <w:tc>
          <w:tcPr>
            <w:tcW w:w="6263" w:type="dxa"/>
            <w:vAlign w:val="center"/>
          </w:tcPr>
          <w:p w14:paraId="6206235F">
            <w:pPr>
              <w:pStyle w:val="44"/>
              <w:numPr>
                <w:ilvl w:val="0"/>
                <w:numId w:val="0"/>
              </w:numPr>
              <w:ind w:leftChars="200"/>
              <w:jc w:val="center"/>
              <w:textAlignment w:val="baseline"/>
              <w:rPr>
                <w:rFonts w:ascii="微软雅黑" w:hAnsi="微软雅黑" w:cs="微软雅黑"/>
                <w:color w:val="auto"/>
                <w:szCs w:val="21"/>
                <w:highlight w:val="none"/>
              </w:rPr>
            </w:pPr>
            <w:r>
              <w:rPr>
                <w:rFonts w:hint="eastAsia" w:ascii="微软雅黑" w:hAnsi="微软雅黑" w:cs="微软雅黑"/>
                <w:b/>
                <w:bCs/>
                <w:color w:val="auto"/>
                <w:szCs w:val="21"/>
                <w:highlight w:val="none"/>
                <w:lang w:val="en-US" w:eastAsia="zh-CN"/>
              </w:rPr>
              <w:t>不接受联合体投标。</w:t>
            </w:r>
          </w:p>
        </w:tc>
      </w:tr>
      <w:tr w14:paraId="06C3B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6F8D8711">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4</w:t>
            </w: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.3</w:t>
            </w:r>
          </w:p>
        </w:tc>
        <w:tc>
          <w:tcPr>
            <w:tcW w:w="2375" w:type="dxa"/>
            <w:vAlign w:val="center"/>
          </w:tcPr>
          <w:p w14:paraId="3EF128EB">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社保证明材料</w:t>
            </w:r>
          </w:p>
        </w:tc>
        <w:tc>
          <w:tcPr>
            <w:tcW w:w="6263" w:type="dxa"/>
          </w:tcPr>
          <w:p w14:paraId="1255D94F">
            <w:pPr>
              <w:pStyle w:val="44"/>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本项目招标文件中要求提供的社保证明材料为下述形式之一（投标文件中须提供扫描件）：</w:t>
            </w:r>
          </w:p>
          <w:p w14:paraId="3FB9411D">
            <w:pPr>
              <w:pStyle w:val="44"/>
              <w:numPr>
                <w:ilvl w:val="0"/>
                <w:numId w:val="5"/>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人社局官方网站查询的缴费记录截图；</w:t>
            </w:r>
          </w:p>
          <w:p w14:paraId="341D6AF7">
            <w:pPr>
              <w:pStyle w:val="44"/>
              <w:numPr>
                <w:ilvl w:val="0"/>
                <w:numId w:val="5"/>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人社局的书面证明材料；</w:t>
            </w:r>
          </w:p>
          <w:p w14:paraId="2A0D91C7">
            <w:pPr>
              <w:pStyle w:val="44"/>
              <w:numPr>
                <w:ilvl w:val="0"/>
                <w:numId w:val="5"/>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经投标人委托的第三方人力资源服务机构或与投标人有直接隶属关系的机构可以代缴社保，但须提供有关证明材料并经评标委员会确认</w:t>
            </w:r>
            <w:r>
              <w:rPr>
                <w:rFonts w:hint="eastAsia" w:ascii="微软雅黑" w:hAnsi="微软雅黑" w:cs="微软雅黑"/>
                <w:color w:val="auto"/>
                <w:szCs w:val="21"/>
                <w:highlight w:val="none"/>
                <w:lang w:eastAsia="zh-CN"/>
              </w:rPr>
              <w:t>。</w:t>
            </w:r>
          </w:p>
        </w:tc>
      </w:tr>
      <w:tr w14:paraId="74F7F7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4ABE5CF5">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4</w:t>
            </w: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.4</w:t>
            </w:r>
          </w:p>
        </w:tc>
        <w:tc>
          <w:tcPr>
            <w:tcW w:w="2375" w:type="dxa"/>
            <w:vAlign w:val="center"/>
          </w:tcPr>
          <w:p w14:paraId="543FAC14">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重要提示</w:t>
            </w:r>
          </w:p>
        </w:tc>
        <w:tc>
          <w:tcPr>
            <w:tcW w:w="6263" w:type="dxa"/>
          </w:tcPr>
          <w:p w14:paraId="3859EFB2">
            <w:pPr>
              <w:pStyle w:val="44"/>
              <w:numPr>
                <w:ilvl w:val="0"/>
                <w:numId w:val="6"/>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中标人应在规定期限内提交履约担保并与采购人签订合同，若中标人未能在规定期限内提交履约担保或签订合同，采购人有权取消中标人中标资格，并将相关违约行为报送监管部门，实施信用惩戒；</w:t>
            </w:r>
          </w:p>
          <w:p w14:paraId="7608E94F">
            <w:pPr>
              <w:pStyle w:val="44"/>
              <w:numPr>
                <w:ilvl w:val="0"/>
                <w:numId w:val="6"/>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合同签订后，中标人存在规定时间内不组织人员进场开工，不履行供货、安装或服务义务等情况，采购人有权解除合同，并追究违约责任，同时将相关违约行为报送监管部门，记不良行为记录，实施信用惩戒；</w:t>
            </w:r>
          </w:p>
          <w:p w14:paraId="05A55DA1">
            <w:pPr>
              <w:pStyle w:val="44"/>
              <w:numPr>
                <w:ilvl w:val="0"/>
                <w:numId w:val="6"/>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中标人中标后被监管部门查实存在违法行为不满足中标条件的，由采购人取消中标资格，并做好项目后续工作；</w:t>
            </w:r>
          </w:p>
          <w:p w14:paraId="58D17594">
            <w:pPr>
              <w:pStyle w:val="44"/>
              <w:numPr>
                <w:ilvl w:val="0"/>
                <w:numId w:val="6"/>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中标人在中标项目发生投诉、信访举报案件、履约存在争议时，拒绝协助配合执法部门调查案件的，采购人可以取消其中标资格或解除合同，并追究其违约责任。</w:t>
            </w:r>
          </w:p>
        </w:tc>
      </w:tr>
      <w:tr w14:paraId="057236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337972E1">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4</w:t>
            </w: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.5</w:t>
            </w:r>
          </w:p>
        </w:tc>
        <w:tc>
          <w:tcPr>
            <w:tcW w:w="2375" w:type="dxa"/>
            <w:vAlign w:val="center"/>
          </w:tcPr>
          <w:p w14:paraId="3A47AC11">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解释权</w:t>
            </w:r>
          </w:p>
        </w:tc>
        <w:tc>
          <w:tcPr>
            <w:tcW w:w="6263" w:type="dxa"/>
          </w:tcPr>
          <w:p w14:paraId="7A3F109E">
            <w:pPr>
              <w:pStyle w:val="44"/>
              <w:numPr>
                <w:ilvl w:val="0"/>
                <w:numId w:val="7"/>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构成本招标文件的各个组成文件应互为解释，互为说明；</w:t>
            </w:r>
          </w:p>
          <w:p w14:paraId="7AD7CFDE">
            <w:pPr>
              <w:pStyle w:val="44"/>
              <w:numPr>
                <w:ilvl w:val="0"/>
                <w:numId w:val="7"/>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同一组成文件中就同一事项的规定或约定不一致的，以编排顺序在后者为准；</w:t>
            </w:r>
          </w:p>
          <w:p w14:paraId="269ED6AB">
            <w:pPr>
              <w:pStyle w:val="44"/>
              <w:numPr>
                <w:ilvl w:val="0"/>
                <w:numId w:val="7"/>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如有不明确或不一致，构成合同文件组成内容的，以合同文件约定内容为准，且以专用合同条款约定的合同文件优先顺序解释；</w:t>
            </w:r>
          </w:p>
          <w:p w14:paraId="54F0CB9A">
            <w:pPr>
              <w:pStyle w:val="44"/>
              <w:numPr>
                <w:ilvl w:val="0"/>
                <w:numId w:val="7"/>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除招标文件中有特别规定外，仅适用于招标投标阶段的规定，按招标公告、投标人须知、评标方法和标准、投标文件格式的先后顺序解释；</w:t>
            </w:r>
          </w:p>
          <w:p w14:paraId="03EAE30F">
            <w:pPr>
              <w:pStyle w:val="44"/>
              <w:numPr>
                <w:ilvl w:val="0"/>
                <w:numId w:val="7"/>
              </w:numPr>
              <w:ind w:firstLine="420" w:firstLineChars="200"/>
              <w:jc w:val="left"/>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按本款前述规定仍不能形成结论的，由采购人负责解释。</w:t>
            </w:r>
          </w:p>
        </w:tc>
      </w:tr>
      <w:tr w14:paraId="193DB6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5" w:hRule="atLeast"/>
          <w:jc w:val="center"/>
        </w:trPr>
        <w:tc>
          <w:tcPr>
            <w:tcW w:w="1125" w:type="dxa"/>
            <w:vAlign w:val="center"/>
          </w:tcPr>
          <w:p w14:paraId="06E1DD21">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4</w:t>
            </w:r>
            <w:r>
              <w:rPr>
                <w:rFonts w:hint="eastAsia" w:ascii="微软雅黑" w:hAnsi="微软雅黑" w:cs="微软雅黑"/>
                <w:color w:val="auto"/>
                <w:szCs w:val="21"/>
                <w:highlight w:val="none"/>
                <w:lang w:val="en-US" w:eastAsia="zh-CN"/>
              </w:rPr>
              <w:t>3</w:t>
            </w:r>
            <w:r>
              <w:rPr>
                <w:rFonts w:hint="eastAsia" w:ascii="微软雅黑" w:hAnsi="微软雅黑" w:cs="微软雅黑"/>
                <w:color w:val="auto"/>
                <w:szCs w:val="21"/>
                <w:highlight w:val="none"/>
              </w:rPr>
              <w:t>.6</w:t>
            </w:r>
          </w:p>
        </w:tc>
        <w:tc>
          <w:tcPr>
            <w:tcW w:w="2375" w:type="dxa"/>
            <w:vAlign w:val="center"/>
          </w:tcPr>
          <w:p w14:paraId="260C51A5">
            <w:pPr>
              <w:pStyle w:val="44"/>
              <w:textAlignment w:val="baseline"/>
              <w:rPr>
                <w:rFonts w:ascii="微软雅黑" w:hAnsi="微软雅黑" w:cs="微软雅黑"/>
                <w:color w:val="auto"/>
                <w:szCs w:val="21"/>
                <w:highlight w:val="none"/>
              </w:rPr>
            </w:pPr>
            <w:r>
              <w:rPr>
                <w:rFonts w:hint="eastAsia" w:ascii="微软雅黑" w:hAnsi="微软雅黑" w:cs="微软雅黑"/>
                <w:color w:val="auto"/>
                <w:szCs w:val="21"/>
                <w:highlight w:val="none"/>
              </w:rPr>
              <w:t>其他补充说明</w:t>
            </w:r>
          </w:p>
        </w:tc>
        <w:tc>
          <w:tcPr>
            <w:tcW w:w="6263" w:type="dxa"/>
            <w:vAlign w:val="center"/>
          </w:tcPr>
          <w:p w14:paraId="7C185AAD">
            <w:pPr>
              <w:widowControl w:val="0"/>
              <w:spacing w:before="67" w:after="120" w:line="240" w:lineRule="exact"/>
              <w:ind w:right="91" w:firstLine="420" w:firstLineChars="200"/>
              <w:jc w:val="both"/>
              <w:rPr>
                <w:rFonts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w:t>
            </w:r>
          </w:p>
          <w:p w14:paraId="6132A8CF">
            <w:pPr>
              <w:widowControl w:val="0"/>
              <w:spacing w:before="62" w:after="120" w:line="240" w:lineRule="exact"/>
              <w:ind w:right="17" w:firstLine="420" w:firstLineChars="200"/>
              <w:jc w:val="both"/>
              <w:rPr>
                <w:rFonts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若第二中标候选人不接受此成交条件，第三中标候选人同意按照高于第一中标候选人一个减价幅度的报价的，则第三中标候选人应当确定为中标供应商。</w:t>
            </w:r>
          </w:p>
          <w:p w14:paraId="1BA1527D">
            <w:pPr>
              <w:pStyle w:val="44"/>
              <w:numPr>
                <w:ilvl w:val="0"/>
                <w:numId w:val="0"/>
              </w:numPr>
              <w:adjustRightInd/>
              <w:snapToGrid/>
              <w:ind w:firstLine="420" w:firstLineChars="200"/>
              <w:jc w:val="left"/>
              <w:textAlignment w:val="baseline"/>
              <w:rPr>
                <w:rFonts w:hint="default" w:ascii="微软雅黑" w:hAnsi="微软雅黑" w:eastAsia="微软雅黑" w:cs="微软雅黑"/>
                <w:color w:val="auto"/>
                <w:szCs w:val="21"/>
                <w:highlight w:val="none"/>
                <w:lang w:val="en-US" w:eastAsia="zh-CN"/>
              </w:rPr>
            </w:pPr>
            <w:r>
              <w:rPr>
                <w:rFonts w:hint="eastAsia" w:ascii="微软雅黑" w:hAnsi="微软雅黑" w:eastAsia="微软雅黑" w:cs="微软雅黑"/>
                <w:color w:val="auto"/>
                <w:kern w:val="2"/>
                <w:sz w:val="21"/>
                <w:szCs w:val="21"/>
                <w:highlight w:val="none"/>
                <w:lang w:val="en-US" w:eastAsia="zh-CN" w:bidi="ar-SA"/>
              </w:rPr>
              <w:t>若3个中标候选人均不接受此成交条件，采购人应当重新组织采购活动。</w:t>
            </w:r>
          </w:p>
        </w:tc>
      </w:tr>
    </w:tbl>
    <w:p w14:paraId="3BF0AE1D">
      <w:pPr>
        <w:rPr>
          <w:rFonts w:hint="eastAsia"/>
          <w:color w:val="auto"/>
        </w:rPr>
      </w:pPr>
    </w:p>
    <w:p w14:paraId="3B14D149">
      <w:pPr>
        <w:pStyle w:val="3"/>
        <w:textAlignment w:val="baseline"/>
        <w:rPr>
          <w:rStyle w:val="80"/>
          <w:color w:val="auto"/>
        </w:rPr>
      </w:pPr>
      <w:r>
        <w:rPr>
          <w:rStyle w:val="80"/>
          <w:rFonts w:hint="eastAsia"/>
          <w:color w:val="auto"/>
        </w:rPr>
        <w:t xml:space="preserve"> </w:t>
      </w:r>
      <w:bookmarkEnd w:id="47"/>
      <w:bookmarkEnd w:id="48"/>
      <w:bookmarkEnd w:id="49"/>
      <w:bookmarkStart w:id="50" w:name="_Toc23339"/>
      <w:bookmarkStart w:id="51" w:name="_Toc29773"/>
      <w:r>
        <w:rPr>
          <w:rStyle w:val="80"/>
          <w:rFonts w:hint="eastAsia"/>
          <w:color w:val="auto"/>
        </w:rPr>
        <w:t>第二节 投标人须知正文</w:t>
      </w:r>
      <w:bookmarkEnd w:id="50"/>
      <w:bookmarkEnd w:id="51"/>
    </w:p>
    <w:p w14:paraId="3ABC0FEA">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1适用范围</w:t>
      </w:r>
    </w:p>
    <w:p w14:paraId="36D9420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1.1本招标文件仅适用于本章第一节“投标人须知前附表”（以下简称</w:t>
      </w:r>
      <w:r>
        <w:rPr>
          <w:rFonts w:hint="eastAsia"/>
          <w:b/>
          <w:color w:val="auto"/>
        </w:rPr>
        <w:t>【投标人须知前附表】</w:t>
      </w:r>
      <w:r>
        <w:rPr>
          <w:rFonts w:hint="eastAsia"/>
          <w:color w:val="auto"/>
        </w:rPr>
        <w:t>）中所叙述的采购项目。</w:t>
      </w:r>
    </w:p>
    <w:p w14:paraId="6DF2CE28">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2定义</w:t>
      </w:r>
    </w:p>
    <w:p w14:paraId="10A0DDE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2.1服务：系指除货物和工程以外的其他政府采购对象，包括咨询、调研、评估、规划、设计、监理、审计、保险、租赁、印刷、维修、物业管理等。</w:t>
      </w:r>
    </w:p>
    <w:p w14:paraId="0143F06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2.2时限（年份、月份等）计算：系指从开标之日向前追溯 X 年/月（“X” 为“一”及以后整数）起算。</w:t>
      </w:r>
    </w:p>
    <w:p w14:paraId="040199E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2.3业绩：业绩系指符合本招标文件规定的与最终用户签订的合同及招标文件要求的相关证明。投标人与其关联公司（如母公司、控股公司、分公司、子公司、同一法定代表人的公司等）之间签订的合同，均不予认可。</w:t>
      </w:r>
    </w:p>
    <w:p w14:paraId="28F8D8A8">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除非本招标文件中另有规定，否则业绩均为已服务完毕的业绩，业绩时间均以合同签订之日为追溯节点。</w:t>
      </w:r>
    </w:p>
    <w:p w14:paraId="53B9E773">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3采购人、采购代理机构及投标人</w:t>
      </w:r>
    </w:p>
    <w:p w14:paraId="3E4380D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3.1采购人：是指依法开展政府采购活动的国家机关、事业单位、团体组织。本项目的采购人见</w:t>
      </w:r>
      <w:r>
        <w:rPr>
          <w:rFonts w:hint="eastAsia"/>
          <w:b/>
          <w:color w:val="auto"/>
        </w:rPr>
        <w:t>【投标人须知前附表】</w:t>
      </w:r>
      <w:r>
        <w:rPr>
          <w:rFonts w:hint="eastAsia"/>
          <w:color w:val="auto"/>
        </w:rPr>
        <w:t>。</w:t>
      </w:r>
    </w:p>
    <w:p w14:paraId="6D42A7C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3.2采购代理机构：是指集中采购机构或从事采购代理业务的社会中介机构。本项目的采购代理机构见</w:t>
      </w:r>
      <w:r>
        <w:rPr>
          <w:rFonts w:hint="eastAsia"/>
          <w:b/>
          <w:color w:val="auto"/>
        </w:rPr>
        <w:t>【投标人须知前附表】</w:t>
      </w:r>
      <w:r>
        <w:rPr>
          <w:rFonts w:hint="eastAsia"/>
          <w:color w:val="auto"/>
        </w:rPr>
        <w:t>。</w:t>
      </w:r>
    </w:p>
    <w:p w14:paraId="2FFA103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3.3投标人：是指向采购人提供货物、工程或者服务的法人、非法人组织或者自然人。分支机构不得参加政府采购活动，但银行、保险、石油石化、电力、电信等特殊行业除外。本项目的投标人须满足以下条件：</w:t>
      </w:r>
    </w:p>
    <w:p w14:paraId="16A022CF">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3.3.1在中华人民共和国境内注册，能够独立承担民事责任，有生产或供应能力的本国供应商。</w:t>
      </w:r>
    </w:p>
    <w:p w14:paraId="3A2E7B8D">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3.3.2具备《中华人民共和国政府采购法》第二十二条关于供应商条件的规定，遵守本项目采购人本级和上级财政部门政府采购的有关规定。</w:t>
      </w:r>
    </w:p>
    <w:p w14:paraId="46A4860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3.3.3以采购代理机构认可的方式获得了本项目的招标文件。</w:t>
      </w:r>
    </w:p>
    <w:p w14:paraId="413F29F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3.3.4若</w:t>
      </w:r>
      <w:r>
        <w:rPr>
          <w:rFonts w:hint="eastAsia"/>
          <w:b/>
          <w:color w:val="auto"/>
        </w:rPr>
        <w:t>【投标人须知前附表】</w:t>
      </w:r>
      <w:r>
        <w:rPr>
          <w:rFonts w:hint="eastAsia"/>
          <w:color w:val="auto"/>
        </w:rPr>
        <w:t>中写明专门面向中小企业采购的，如投标人为非中小企业，其投标将被认定为</w:t>
      </w:r>
      <w:r>
        <w:rPr>
          <w:rFonts w:hint="eastAsia"/>
          <w:b/>
          <w:bCs/>
          <w:color w:val="auto"/>
        </w:rPr>
        <w:t>投标无效</w:t>
      </w:r>
      <w:r>
        <w:rPr>
          <w:rFonts w:hint="eastAsia"/>
          <w:color w:val="auto"/>
        </w:rPr>
        <w:t>。</w:t>
      </w:r>
    </w:p>
    <w:p w14:paraId="721AEFE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3.4若</w:t>
      </w:r>
      <w:r>
        <w:rPr>
          <w:rFonts w:hint="eastAsia"/>
          <w:b/>
          <w:color w:val="auto"/>
        </w:rPr>
        <w:t>【投标人须知前附表】</w:t>
      </w:r>
      <w:r>
        <w:rPr>
          <w:rFonts w:hint="eastAsia"/>
          <w:color w:val="auto"/>
        </w:rPr>
        <w:t>中允许联合体投标，对联合体规定如下：</w:t>
      </w:r>
    </w:p>
    <w:p w14:paraId="652EFC9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3.4.1两个以上供应商可以组成一个投标联合体，以一个投标人的身份投标。</w:t>
      </w:r>
    </w:p>
    <w:p w14:paraId="0E3984E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3.4.2联合体各方均应符合《中华人民共和国政府采购法》第二十二条规定的条件。</w:t>
      </w:r>
    </w:p>
    <w:p w14:paraId="3D8B53B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3.4.3采购人根据采购项目对投标人的特殊要求，联合体中至少应当有一方符合相关规定。</w:t>
      </w:r>
    </w:p>
    <w:p w14:paraId="7565677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3.4.4联合体各方应签订联合体协议，明确约定联合体各方承担的工作和相应的责任，并将联合体协议作为投标文件的一部分提交。</w:t>
      </w:r>
    </w:p>
    <w:p w14:paraId="7B35838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3.4.5大中型企业、其他自然人、法人或者非法人组织与小型、微型企业组成联合体共同参加投标，联合体协议中应写明小型、微型企业的协议合同金额占到联合体协议投标总金额的比例。</w:t>
      </w:r>
    </w:p>
    <w:p w14:paraId="657259A2">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3.4.6联合体中有同类资质的供应商按照联合体分工承担相同工作的，应当按照资质等级较低的供应商确定资质等级。</w:t>
      </w:r>
    </w:p>
    <w:p w14:paraId="10927D2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3.4.7以联合体形式参加政府采购活动的，联合体各方不得再单独参加或者与其他供应商另外组成联合体参加本项目投标，否则相关投标将被认定为</w:t>
      </w:r>
      <w:r>
        <w:rPr>
          <w:rFonts w:hint="eastAsia"/>
          <w:b/>
          <w:color w:val="auto"/>
        </w:rPr>
        <w:t>投标无效</w:t>
      </w:r>
      <w:r>
        <w:rPr>
          <w:rFonts w:hint="eastAsia"/>
          <w:color w:val="auto"/>
        </w:rPr>
        <w:t>。</w:t>
      </w:r>
    </w:p>
    <w:p w14:paraId="04488A92">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3.4.8对联合体投标的其他资格要求见投标人资格。</w:t>
      </w:r>
    </w:p>
    <w:p w14:paraId="21127D3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3.5单位负责人为同一人或者存在直接控股、管理关系的不同供应商，不得参加同一合同项下的政府采购活动。否则其投标将被认定为</w:t>
      </w:r>
      <w:r>
        <w:rPr>
          <w:rFonts w:hint="eastAsia"/>
          <w:b/>
          <w:bCs/>
          <w:color w:val="auto"/>
        </w:rPr>
        <w:t>投标无效</w:t>
      </w:r>
      <w:r>
        <w:rPr>
          <w:rFonts w:hint="eastAsia"/>
          <w:color w:val="auto"/>
        </w:rPr>
        <w:t>。</w:t>
      </w:r>
    </w:p>
    <w:p w14:paraId="6DE514E2">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3.6为本项目提供过整体设计、规范编制或者项目管理、监理、检测等服务的供应商，不得再参加本项目上述服务以外的其他采购活动。否则其投标将被认定为</w:t>
      </w:r>
      <w:r>
        <w:rPr>
          <w:rFonts w:hint="eastAsia"/>
          <w:b/>
          <w:color w:val="auto"/>
        </w:rPr>
        <w:t>投标无效</w:t>
      </w:r>
      <w:r>
        <w:rPr>
          <w:rFonts w:hint="eastAsia"/>
          <w:color w:val="auto"/>
        </w:rPr>
        <w:t>。</w:t>
      </w:r>
    </w:p>
    <w:p w14:paraId="2761B752">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4资金来源</w:t>
      </w:r>
    </w:p>
    <w:p w14:paraId="5F41D2F8">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4.1本项目的采购人已获得足以支付本次招标后所签订的合同项下的资金。</w:t>
      </w:r>
    </w:p>
    <w:p w14:paraId="15E4AF7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4.2项目预算金额和分项（或分包）最高限价见</w:t>
      </w:r>
      <w:r>
        <w:rPr>
          <w:rFonts w:hint="eastAsia"/>
          <w:color w:val="auto"/>
          <w:u w:val="single" w:color="000000"/>
        </w:rPr>
        <w:t>招标公告</w:t>
      </w:r>
      <w:r>
        <w:rPr>
          <w:rFonts w:hint="eastAsia"/>
          <w:color w:val="auto"/>
        </w:rPr>
        <w:t>。</w:t>
      </w:r>
    </w:p>
    <w:p w14:paraId="0D8A7705">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 xml:space="preserve">5投标费用 </w:t>
      </w:r>
    </w:p>
    <w:p w14:paraId="6255D71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不论投标的结果如何，投标人应承担所有与准备和参加投标有关的费用。</w:t>
      </w:r>
    </w:p>
    <w:p w14:paraId="08C8E395">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6适用法律</w:t>
      </w:r>
    </w:p>
    <w:p w14:paraId="5CA263C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本项目采购人、采购代理机构、投标人、评标委员会的相关行为均受《中华人民共和国政府采购法</w:t>
      </w:r>
      <w:r>
        <w:rPr>
          <w:rFonts w:hint="eastAsia"/>
          <w:color w:val="auto"/>
          <w:lang w:eastAsia="zh-CN"/>
        </w:rPr>
        <w:t>》《</w:t>
      </w:r>
      <w:r>
        <w:rPr>
          <w:rFonts w:hint="eastAsia"/>
          <w:color w:val="auto"/>
        </w:rPr>
        <w:t>中华人民共和国政府采购法实施条例》及本项目本级和上级财政部门、政府采购监督管理部门的政府采购有关规定的约束，其权利受到上述法律法规的保护。</w:t>
      </w:r>
    </w:p>
    <w:p w14:paraId="0715E33D">
      <w:pPr>
        <w:pStyle w:val="6"/>
        <w:pageBreakBefore w:val="0"/>
        <w:widowControl w:val="0"/>
        <w:kinsoku/>
        <w:wordWrap/>
        <w:overflowPunct/>
        <w:topLinePunct w:val="0"/>
        <w:autoSpaceDE/>
        <w:autoSpaceDN/>
        <w:bidi w:val="0"/>
        <w:spacing w:before="0" w:after="0"/>
        <w:ind w:firstLine="480" w:firstLineChars="200"/>
        <w:textAlignment w:val="baseline"/>
        <w:rPr>
          <w:bCs/>
          <w:color w:val="auto"/>
        </w:rPr>
      </w:pPr>
      <w:r>
        <w:rPr>
          <w:rFonts w:hint="eastAsia"/>
          <w:color w:val="auto"/>
        </w:rPr>
        <w:t>7现场</w:t>
      </w:r>
      <w:r>
        <w:rPr>
          <w:rFonts w:hint="eastAsia"/>
          <w:bCs/>
          <w:color w:val="auto"/>
        </w:rPr>
        <w:t>考察</w:t>
      </w:r>
    </w:p>
    <w:p w14:paraId="1F4A60A4">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7.1供应商应按</w:t>
      </w:r>
      <w:r>
        <w:rPr>
          <w:rFonts w:hint="eastAsia" w:eastAsia="微软雅黑"/>
          <w:b/>
          <w:color w:val="auto"/>
        </w:rPr>
        <w:t>【投标人须知前附表】</w:t>
      </w:r>
      <w:r>
        <w:rPr>
          <w:rFonts w:hint="eastAsia"/>
          <w:color w:val="auto"/>
        </w:rPr>
        <w:t>中规定对采购项目现场和周围环境的现场</w:t>
      </w:r>
      <w:r>
        <w:rPr>
          <w:rFonts w:hint="eastAsia"/>
          <w:bCs/>
          <w:color w:val="auto"/>
        </w:rPr>
        <w:t>考察；</w:t>
      </w:r>
    </w:p>
    <w:p w14:paraId="4D72570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7.2</w:t>
      </w:r>
      <w:r>
        <w:rPr>
          <w:rFonts w:hint="eastAsia"/>
          <w:bCs/>
          <w:color w:val="auto"/>
        </w:rPr>
        <w:t>考察</w:t>
      </w:r>
      <w:r>
        <w:rPr>
          <w:rFonts w:hint="eastAsia"/>
          <w:color w:val="auto"/>
        </w:rPr>
        <w:t>现场的费用由供应商自己承担，考察期间所发生的人身伤害及财产损失由供应商自己负责；</w:t>
      </w:r>
    </w:p>
    <w:p w14:paraId="27106EBD">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7.3采购人不对供应商据此而做出的推论、理解和结论负责。一旦成交，供应商不得以任何借口，提出额外补偿，或延长合同期限的要求；</w:t>
      </w:r>
    </w:p>
    <w:p w14:paraId="430F00E8">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8采购进口产品</w:t>
      </w:r>
    </w:p>
    <w:p w14:paraId="347E8411">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8.1除</w:t>
      </w:r>
      <w:r>
        <w:rPr>
          <w:rFonts w:hint="eastAsia" w:eastAsia="微软雅黑"/>
          <w:b/>
          <w:color w:val="auto"/>
        </w:rPr>
        <w:t>【投标人须知前附表】</w:t>
      </w:r>
      <w:r>
        <w:rPr>
          <w:rFonts w:hint="eastAsia"/>
          <w:color w:val="auto"/>
        </w:rPr>
        <w:t>另有规定外，本项目拒绝进口产品参加招标采购活动。</w:t>
      </w:r>
    </w:p>
    <w:p w14:paraId="56B17E47">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8.2本章第8.1款规定同意购买进口产品的，本项目采购活动不限制满足招标文件要求的国内产品参与投标。</w:t>
      </w:r>
    </w:p>
    <w:p w14:paraId="10FDF954">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9招标文件的构成</w:t>
      </w:r>
    </w:p>
    <w:p w14:paraId="68E1C1B1">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9.1 招标文件共七章，各章内容如下：</w:t>
      </w:r>
    </w:p>
    <w:p w14:paraId="6A2C3A37">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第一章 招标公告</w:t>
      </w:r>
    </w:p>
    <w:p w14:paraId="792761EB">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第二章 投标</w:t>
      </w:r>
      <w:r>
        <w:rPr>
          <w:rFonts w:hint="eastAsia"/>
          <w:color w:val="auto"/>
          <w:lang w:val="en-US" w:eastAsia="zh-CN"/>
        </w:rPr>
        <w:t>人</w:t>
      </w:r>
      <w:r>
        <w:rPr>
          <w:rFonts w:hint="eastAsia"/>
          <w:color w:val="auto"/>
        </w:rPr>
        <w:t>须知</w:t>
      </w:r>
    </w:p>
    <w:p w14:paraId="52253C41">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第三章 采购需求</w:t>
      </w:r>
    </w:p>
    <w:p w14:paraId="36D49892">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第四章 评标方法及标准</w:t>
      </w:r>
    </w:p>
    <w:p w14:paraId="3D4AD5F7">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第五章 政府采购合同</w:t>
      </w:r>
    </w:p>
    <w:p w14:paraId="5CA36F69">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第六章 投标文件的组成</w:t>
      </w:r>
    </w:p>
    <w:p w14:paraId="4589220F">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第七章 政府采购供应商质疑函范本</w:t>
      </w:r>
    </w:p>
    <w:p w14:paraId="662DD82A">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9.2招标文件中有不一致的，有澄清的部分以最终的澄清更正内容为准。</w:t>
      </w:r>
    </w:p>
    <w:p w14:paraId="379D3472">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9.3现场考察及相关事项见本章第7款。</w:t>
      </w:r>
    </w:p>
    <w:p w14:paraId="7D54B22F">
      <w:pPr>
        <w:pStyle w:val="42"/>
        <w:keepNext w:val="0"/>
        <w:keepLines w:val="0"/>
        <w:pageBreakBefore w:val="0"/>
        <w:widowControl w:val="0"/>
        <w:kinsoku/>
        <w:wordWrap/>
        <w:overflowPunct/>
        <w:topLinePunct w:val="0"/>
        <w:autoSpaceDE/>
        <w:autoSpaceDN/>
        <w:bidi w:val="0"/>
        <w:adjustRightInd w:val="0"/>
        <w:snapToGrid w:val="0"/>
        <w:spacing w:before="0" w:beforeLines="0"/>
        <w:ind w:firstLine="480"/>
        <w:textAlignment w:val="baseline"/>
        <w:rPr>
          <w:rFonts w:ascii="等线" w:hAnsi="等线" w:eastAsia="等线" w:cs="宋体"/>
          <w:color w:val="auto"/>
        </w:rPr>
      </w:pPr>
      <w:r>
        <w:rPr>
          <w:rFonts w:hint="eastAsia"/>
          <w:color w:val="auto"/>
        </w:rPr>
        <w:t>9.4投标人应认真阅读招标文件所有的事项、格式、条款和技术规范等。</w:t>
      </w:r>
    </w:p>
    <w:p w14:paraId="3E260493">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10招标文件的澄清与修改</w:t>
      </w:r>
    </w:p>
    <w:p w14:paraId="2DABFA6F">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10.</w:t>
      </w:r>
      <w:r>
        <w:rPr>
          <w:rFonts w:hint="eastAsia"/>
          <w:color w:val="auto"/>
          <w:lang w:val="en-US" w:eastAsia="zh-CN"/>
        </w:rPr>
        <w:t>1</w:t>
      </w:r>
      <w:r>
        <w:rPr>
          <w:rFonts w:hint="eastAsia"/>
          <w:color w:val="auto"/>
        </w:rPr>
        <w:t>采购人可主动地或在解答投标人提出的问题时对招标文件进行澄清与修改。采购代理机构将在湖南省政府采购网以发布澄清（更正）公告的方式，澄清或修改招标文件，澄清或修改的内容作为招标文件的组成部分，对投标人起约束作用。投标人应主动上网查询。采购代理机构不承担投标人未及时关注相关信息引发的相关责任。</w:t>
      </w:r>
    </w:p>
    <w:p w14:paraId="641CA2B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10.</w:t>
      </w:r>
      <w:r>
        <w:rPr>
          <w:rFonts w:hint="eastAsia"/>
          <w:color w:val="auto"/>
          <w:lang w:val="en-US" w:eastAsia="zh-CN"/>
        </w:rPr>
        <w:t>2</w:t>
      </w:r>
      <w:r>
        <w:rPr>
          <w:rFonts w:hint="eastAsia"/>
          <w:color w:val="auto"/>
        </w:rPr>
        <w:t>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23FAF4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10.</w:t>
      </w:r>
      <w:r>
        <w:rPr>
          <w:rFonts w:hint="eastAsia"/>
          <w:color w:val="auto"/>
          <w:lang w:val="en-US" w:eastAsia="zh-CN"/>
        </w:rPr>
        <w:t>3</w:t>
      </w:r>
      <w:r>
        <w:rPr>
          <w:rFonts w:hint="eastAsia"/>
          <w:color w:val="auto"/>
        </w:rPr>
        <w:t>对于没有提出疑问又参与了本项目投标的投标人将被视为完全认同本招标文件（含澄清或修改的内容）。</w:t>
      </w:r>
    </w:p>
    <w:p w14:paraId="2FC4EEDA">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11投标范围及投标文件中标准和计量单位的使用</w:t>
      </w:r>
    </w:p>
    <w:p w14:paraId="468FB4D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11.1项目有分包的，投标人可对招标文件其中某一个或几个分包进行投标，除非在</w:t>
      </w:r>
      <w:r>
        <w:rPr>
          <w:rFonts w:hint="eastAsia"/>
          <w:b/>
          <w:color w:val="auto"/>
        </w:rPr>
        <w:t>【投标人须知前附表】</w:t>
      </w:r>
      <w:r>
        <w:rPr>
          <w:rFonts w:hint="eastAsia"/>
          <w:color w:val="auto"/>
        </w:rPr>
        <w:t>中另有规定。</w:t>
      </w:r>
    </w:p>
    <w:p w14:paraId="0C8E844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11.2投标人应当对所投分包招标文件中“采购需求”所列的所有内容进行投标，如仅响应所投包别中的部分内容，其所投包别的投标将被认定为</w:t>
      </w:r>
      <w:r>
        <w:rPr>
          <w:rFonts w:hint="eastAsia"/>
          <w:b/>
          <w:bCs/>
          <w:color w:val="auto"/>
        </w:rPr>
        <w:t>投标无效</w:t>
      </w:r>
      <w:r>
        <w:rPr>
          <w:rFonts w:hint="eastAsia"/>
          <w:color w:val="auto"/>
        </w:rPr>
        <w:t>。</w:t>
      </w:r>
    </w:p>
    <w:p w14:paraId="71FB32DC">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11.3无论招标文件中是否要求，投标人所投服务及伴随的货物和工程均应符合国家强制性标准。</w:t>
      </w:r>
    </w:p>
    <w:p w14:paraId="64478E5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11.4投标人与采购代理机构之间与投标有关的所有往来通知、函件和投标文件均用中文表述。投标人随投标文件提供的证明文件和资料可以为其他语言，但必须附中文译文。翻译的中文资料与外文资料出现差异时，以中文为准。</w:t>
      </w:r>
    </w:p>
    <w:p w14:paraId="671A0FE7">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11.5除招标文件中有特殊要求外，投标文件中所使用的计量单位，应采用中华人民共和国法定计量单位。</w:t>
      </w:r>
    </w:p>
    <w:p w14:paraId="085529F7">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12投标文件构成</w:t>
      </w:r>
    </w:p>
    <w:p w14:paraId="6B66BFC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12.1投标人应完整的按招标文件提供的投标文件格式及要求编写投标文件，具体内容详见本项目</w:t>
      </w:r>
      <w:r>
        <w:rPr>
          <w:rFonts w:hint="eastAsia"/>
          <w:b/>
          <w:bCs/>
          <w:color w:val="auto"/>
        </w:rPr>
        <w:t>第六章投标文件的组成</w:t>
      </w:r>
      <w:r>
        <w:rPr>
          <w:rFonts w:hint="eastAsia"/>
          <w:color w:val="auto"/>
        </w:rPr>
        <w:t>的相关内容。</w:t>
      </w:r>
    </w:p>
    <w:p w14:paraId="557E555F">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12.2上述文件应按照招标文件规定的格式填写、签署和盖章。</w:t>
      </w:r>
    </w:p>
    <w:p w14:paraId="785025AD">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13证明投标标的的合格性和符合招标文件规定的响应文件</w:t>
      </w:r>
    </w:p>
    <w:p w14:paraId="549CD19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13.1投标人的资格证明文件</w:t>
      </w:r>
    </w:p>
    <w:p w14:paraId="29565D2F">
      <w:pPr>
        <w:adjustRightInd w:val="0"/>
        <w:snapToGrid w:val="0"/>
        <w:spacing w:before="156" w:beforeLines="50" w:line="360" w:lineRule="auto"/>
        <w:ind w:firstLine="480" w:firstLineChars="200"/>
        <w:rPr>
          <w:rFonts w:hint="eastAsia" w:ascii="Times New Roman" w:hAnsi="Times New Roman" w:eastAsia="宋体" w:cs="Times New Roman"/>
          <w:bCs/>
          <w:color w:val="auto"/>
          <w:kern w:val="2"/>
          <w:sz w:val="24"/>
          <w:szCs w:val="22"/>
          <w:lang w:val="en-US" w:eastAsia="zh-CN" w:bidi="ar-SA"/>
        </w:rPr>
      </w:pPr>
      <w:r>
        <w:rPr>
          <w:rFonts w:hint="eastAsia" w:ascii="Times New Roman" w:hAnsi="Times New Roman" w:eastAsia="宋体" w:cs="Times New Roman"/>
          <w:bCs/>
          <w:color w:val="auto"/>
          <w:kern w:val="2"/>
          <w:sz w:val="24"/>
          <w:szCs w:val="22"/>
          <w:lang w:val="en-US" w:eastAsia="zh-CN" w:bidi="ar-SA"/>
        </w:rPr>
        <w:t>13.1.1投标人应当符合【投标须知前附表】规定的投标人资格条件。</w:t>
      </w:r>
    </w:p>
    <w:p w14:paraId="4AEF8A2D">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bCs/>
          <w:color w:val="auto"/>
        </w:rPr>
      </w:pPr>
      <w:r>
        <w:rPr>
          <w:rFonts w:hint="eastAsia"/>
          <w:color w:val="auto"/>
        </w:rPr>
        <w:t>13.1.2</w:t>
      </w:r>
      <w:r>
        <w:rPr>
          <w:rFonts w:hint="eastAsia"/>
          <w:bCs/>
          <w:color w:val="auto"/>
        </w:rPr>
        <w:t>投标人以联合体形式投标的，除应提交联合协议外，参加联合体的各方均应提交上款资格证明材料。</w:t>
      </w:r>
    </w:p>
    <w:p w14:paraId="7FF31C3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bCs/>
          <w:color w:val="auto"/>
        </w:rPr>
        <w:t>13.1.3投标人的资格证明文件均应为有效文件并加盖投标人单位公章，并按招标文件规定签署</w:t>
      </w:r>
      <w:r>
        <w:rPr>
          <w:rFonts w:hint="eastAsia"/>
          <w:color w:val="auto"/>
        </w:rPr>
        <w:t>。</w:t>
      </w:r>
    </w:p>
    <w:p w14:paraId="41D609CC">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13.2投标货物及服务符合招标文件规定的证明文件</w:t>
      </w:r>
    </w:p>
    <w:p w14:paraId="1756A62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13.2.1投标人应当提交其</w:t>
      </w:r>
      <w:r>
        <w:rPr>
          <w:rFonts w:hint="eastAsia"/>
          <w:color w:val="auto"/>
          <w:lang w:eastAsia="zh-CN"/>
        </w:rPr>
        <w:t>拟提</w:t>
      </w:r>
      <w:r>
        <w:rPr>
          <w:rFonts w:hint="eastAsia"/>
          <w:color w:val="auto"/>
        </w:rPr>
        <w:t>供的合同项下货物及其服务符合招标文件规定的证明文件，该证明文件作为投标文件的一部分。</w:t>
      </w:r>
    </w:p>
    <w:p w14:paraId="03BB1A7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13.2.2上述证明文件可以是文字资料、图表、数据、证书等资料，包括但不限于：</w:t>
      </w:r>
    </w:p>
    <w:p w14:paraId="15889C4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（1）货物主要技术指标和性能的详细说明。对有具体参数要求的指标，投标人应提供具体参数值；</w:t>
      </w:r>
    </w:p>
    <w:p w14:paraId="5C5768FD">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（2）货物的品牌型号、制造商及原产地等说明；</w:t>
      </w:r>
    </w:p>
    <w:p w14:paraId="5C33BA2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（3）招标文件第三章“采购需求”要求的其他文件。</w:t>
      </w:r>
    </w:p>
    <w:p w14:paraId="44C2FA5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13.3投标人提供的软件及硬件产品要求有中华人民共和国境内拥有合法的使用权和版权，采购人应拥有合法的使用权。</w:t>
      </w:r>
    </w:p>
    <w:p w14:paraId="6039134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13.4投标人按照招标文件的要求编制的投标文件，应当对招标文件提出的要求和条件作出明确响应。</w:t>
      </w:r>
    </w:p>
    <w:p w14:paraId="3E5E373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13.5偏离是指投标文件不响应或者不满足招标文件提出的要求和条件，分为实质性偏离和非实质性偏离。</w:t>
      </w:r>
    </w:p>
    <w:p w14:paraId="0CBCBDB2">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13.6除法律、法规和招标文件规定的其他投标无效情形外，招标文件中用“★”符号标明的条款为实质性要求和条件，对其中任何一条的偏离，为实质性偏离，其</w:t>
      </w:r>
      <w:r>
        <w:rPr>
          <w:rFonts w:hint="eastAsia"/>
          <w:b/>
          <w:bCs/>
          <w:color w:val="auto"/>
        </w:rPr>
        <w:t>投标无效</w:t>
      </w:r>
      <w:r>
        <w:rPr>
          <w:rFonts w:hint="eastAsia"/>
          <w:color w:val="auto"/>
        </w:rPr>
        <w:t>。</w:t>
      </w:r>
    </w:p>
    <w:p w14:paraId="7F51E7AD">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14投标报价</w:t>
      </w:r>
    </w:p>
    <w:p w14:paraId="4D60CB99">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14.1投标人的报价应当包括满足本次招标全部采购需求所应提供的服务，以及伴随的货物和工程。所有投标均应以人民币报价投标人的投标报价应遵守《中华人民共和国价格法》。</w:t>
      </w:r>
    </w:p>
    <w:p w14:paraId="494B453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14.</w:t>
      </w:r>
      <w:r>
        <w:rPr>
          <w:rFonts w:hint="eastAsia"/>
          <w:color w:val="auto"/>
          <w:lang w:val="en-US" w:eastAsia="zh-CN"/>
        </w:rPr>
        <w:t>2</w:t>
      </w:r>
      <w:r>
        <w:rPr>
          <w:rFonts w:hint="eastAsia"/>
          <w:color w:val="auto"/>
        </w:rPr>
        <w:t>投标文件中标明的价格在合同执行过程中是固定不变的，不得以任何理由予以变更。任何包含价格调整要求和条件的投标，其</w:t>
      </w:r>
      <w:r>
        <w:rPr>
          <w:rFonts w:hint="eastAsia"/>
          <w:b/>
          <w:color w:val="auto"/>
        </w:rPr>
        <w:t>投标无效</w:t>
      </w:r>
      <w:r>
        <w:rPr>
          <w:rFonts w:hint="eastAsia"/>
          <w:color w:val="auto"/>
        </w:rPr>
        <w:t>。</w:t>
      </w:r>
    </w:p>
    <w:p w14:paraId="26EA4FA4">
      <w:pPr>
        <w:pStyle w:val="42"/>
        <w:pageBreakBefore w:val="0"/>
        <w:widowControl w:val="0"/>
        <w:kinsoku/>
        <w:wordWrap/>
        <w:overflowPunct/>
        <w:topLinePunct w:val="0"/>
        <w:autoSpaceDE/>
        <w:autoSpaceDN/>
        <w:bidi w:val="0"/>
        <w:spacing w:before="0" w:beforeLines="0"/>
        <w:ind w:firstLine="480"/>
        <w:textAlignment w:val="baseline"/>
        <w:rPr>
          <w:rFonts w:hint="eastAsia"/>
          <w:color w:val="auto"/>
        </w:rPr>
      </w:pPr>
      <w:r>
        <w:rPr>
          <w:rFonts w:hint="eastAsia"/>
          <w:color w:val="auto"/>
        </w:rPr>
        <w:t>14.</w:t>
      </w:r>
      <w:r>
        <w:rPr>
          <w:rFonts w:hint="eastAsia"/>
          <w:color w:val="auto"/>
          <w:lang w:val="en-US" w:eastAsia="zh-CN"/>
        </w:rPr>
        <w:t>3</w:t>
      </w:r>
      <w:r>
        <w:rPr>
          <w:rFonts w:hint="eastAsia"/>
          <w:color w:val="auto"/>
        </w:rPr>
        <w:t>采购人不接受具有附加条件的报价。</w:t>
      </w:r>
    </w:p>
    <w:p w14:paraId="459B0497">
      <w:pPr>
        <w:pStyle w:val="42"/>
        <w:pageBreakBefore w:val="0"/>
        <w:widowControl w:val="0"/>
        <w:kinsoku/>
        <w:wordWrap/>
        <w:overflowPunct/>
        <w:topLinePunct w:val="0"/>
        <w:autoSpaceDE/>
        <w:autoSpaceDN/>
        <w:bidi w:val="0"/>
        <w:spacing w:before="0" w:beforeLines="0"/>
        <w:ind w:firstLine="480"/>
        <w:textAlignment w:val="baseline"/>
        <w:rPr>
          <w:rFonts w:hint="eastAsia"/>
          <w:color w:val="auto"/>
          <w:lang w:val="en-US" w:eastAsia="zh-CN"/>
        </w:rPr>
      </w:pPr>
      <w:r>
        <w:rPr>
          <w:rFonts w:hint="eastAsia"/>
          <w:color w:val="auto"/>
          <w:lang w:val="en-US" w:eastAsia="zh-CN"/>
        </w:rPr>
        <w:t>14.4网上报价程序</w:t>
      </w:r>
    </w:p>
    <w:p w14:paraId="31606F58">
      <w:pPr>
        <w:pStyle w:val="42"/>
        <w:pageBreakBefore w:val="0"/>
        <w:widowControl w:val="0"/>
        <w:numPr>
          <w:ilvl w:val="0"/>
          <w:numId w:val="0"/>
        </w:numPr>
        <w:kinsoku/>
        <w:wordWrap/>
        <w:overflowPunct/>
        <w:topLinePunct w:val="0"/>
        <w:autoSpaceDE/>
        <w:autoSpaceDN/>
        <w:bidi w:val="0"/>
        <w:spacing w:before="0" w:beforeLines="0"/>
        <w:ind w:leftChars="200"/>
        <w:rPr>
          <w:color w:val="auto"/>
          <w:highlight w:val="none"/>
        </w:rPr>
      </w:pPr>
      <w:r>
        <w:rPr>
          <w:rFonts w:hint="eastAsia"/>
          <w:color w:val="auto"/>
          <w:highlight w:val="none"/>
          <w:lang w:val="en-US" w:eastAsia="zh-CN"/>
        </w:rPr>
        <w:t>14.4.1</w:t>
      </w:r>
      <w:r>
        <w:rPr>
          <w:rFonts w:hint="eastAsia"/>
          <w:color w:val="auto"/>
          <w:highlight w:val="none"/>
        </w:rPr>
        <w:t>网上</w:t>
      </w:r>
      <w:r>
        <w:rPr>
          <w:rFonts w:hint="eastAsia"/>
          <w:color w:val="auto"/>
          <w:highlight w:val="none"/>
          <w:lang w:val="en-US" w:eastAsia="zh-CN"/>
        </w:rPr>
        <w:t>报价</w:t>
      </w:r>
      <w:r>
        <w:rPr>
          <w:rFonts w:hint="eastAsia"/>
          <w:color w:val="auto"/>
          <w:highlight w:val="none"/>
        </w:rPr>
        <w:t>信息</w:t>
      </w:r>
    </w:p>
    <w:p w14:paraId="4E449447">
      <w:pPr>
        <w:pStyle w:val="42"/>
        <w:pageBreakBefore w:val="0"/>
        <w:widowControl w:val="0"/>
        <w:numPr>
          <w:ilvl w:val="0"/>
          <w:numId w:val="0"/>
        </w:numPr>
        <w:kinsoku/>
        <w:wordWrap/>
        <w:overflowPunct/>
        <w:topLinePunct w:val="0"/>
        <w:autoSpaceDE/>
        <w:autoSpaceDN/>
        <w:bidi w:val="0"/>
        <w:spacing w:before="0" w:beforeLines="0"/>
        <w:ind w:firstLine="480" w:firstLineChars="200"/>
        <w:rPr>
          <w:rFonts w:hint="eastAsia" w:eastAsia="宋体"/>
          <w:color w:val="auto"/>
          <w:highlight w:val="none"/>
          <w:lang w:eastAsia="zh-CN"/>
        </w:rPr>
      </w:pPr>
      <w:r>
        <w:rPr>
          <w:rFonts w:hint="eastAsia"/>
          <w:color w:val="auto"/>
          <w:highlight w:val="none"/>
        </w:rPr>
        <w:t>有关（项目名称）基本信息、</w:t>
      </w:r>
      <w:r>
        <w:rPr>
          <w:rFonts w:hint="eastAsia"/>
          <w:color w:val="auto"/>
          <w:highlight w:val="none"/>
          <w:lang w:val="en-US" w:eastAsia="zh-CN"/>
        </w:rPr>
        <w:t>报价</w:t>
      </w:r>
      <w:r>
        <w:rPr>
          <w:rFonts w:hint="eastAsia"/>
          <w:color w:val="auto"/>
          <w:highlight w:val="none"/>
        </w:rPr>
        <w:t>起始价、减价幅度、保证金等信息在</w:t>
      </w:r>
      <w:r>
        <w:rPr>
          <w:rFonts w:hint="eastAsia"/>
          <w:color w:val="auto"/>
          <w:highlight w:val="none"/>
          <w:lang w:val="en-US" w:eastAsia="zh-CN"/>
        </w:rPr>
        <w:t>招标文件中明确</w:t>
      </w:r>
      <w:r>
        <w:rPr>
          <w:rFonts w:hint="eastAsia"/>
          <w:color w:val="auto"/>
          <w:highlight w:val="none"/>
        </w:rPr>
        <w:t>。</w:t>
      </w:r>
    </w:p>
    <w:p w14:paraId="6CC2C395">
      <w:pPr>
        <w:pStyle w:val="42"/>
        <w:pageBreakBefore w:val="0"/>
        <w:widowControl w:val="0"/>
        <w:numPr>
          <w:ilvl w:val="0"/>
          <w:numId w:val="0"/>
        </w:numPr>
        <w:kinsoku/>
        <w:wordWrap/>
        <w:overflowPunct/>
        <w:topLinePunct w:val="0"/>
        <w:autoSpaceDE/>
        <w:autoSpaceDN/>
        <w:bidi w:val="0"/>
        <w:spacing w:before="0" w:beforeLines="0"/>
        <w:ind w:leftChars="200"/>
        <w:rPr>
          <w:rFonts w:hint="eastAsia" w:eastAsia="宋体"/>
          <w:color w:val="auto"/>
          <w:highlight w:val="none"/>
          <w:lang w:val="en-US" w:eastAsia="zh-CN"/>
        </w:rPr>
      </w:pPr>
      <w:r>
        <w:rPr>
          <w:rFonts w:hint="eastAsia"/>
          <w:color w:val="auto"/>
          <w:highlight w:val="none"/>
          <w:lang w:val="en-US" w:eastAsia="zh-CN"/>
        </w:rPr>
        <w:t>14.4.2</w:t>
      </w:r>
      <w:r>
        <w:rPr>
          <w:rFonts w:hint="eastAsia"/>
          <w:color w:val="auto"/>
          <w:highlight w:val="none"/>
        </w:rPr>
        <w:t>网上</w:t>
      </w:r>
      <w:r>
        <w:rPr>
          <w:rFonts w:hint="eastAsia"/>
          <w:color w:val="auto"/>
          <w:highlight w:val="none"/>
          <w:lang w:val="en-US" w:eastAsia="zh-CN"/>
        </w:rPr>
        <w:t>报价</w:t>
      </w:r>
    </w:p>
    <w:p w14:paraId="72E4AE9D">
      <w:pPr>
        <w:pStyle w:val="42"/>
        <w:pageBreakBefore w:val="0"/>
        <w:widowControl w:val="0"/>
        <w:numPr>
          <w:ilvl w:val="0"/>
          <w:numId w:val="8"/>
        </w:numPr>
        <w:kinsoku/>
        <w:wordWrap/>
        <w:overflowPunct/>
        <w:topLinePunct w:val="0"/>
        <w:autoSpaceDE/>
        <w:autoSpaceDN/>
        <w:bidi w:val="0"/>
        <w:spacing w:before="0" w:beforeLines="0"/>
        <w:ind w:firstLineChars="0"/>
        <w:rPr>
          <w:color w:val="auto"/>
          <w:highlight w:val="none"/>
        </w:rPr>
      </w:pPr>
      <w:r>
        <w:rPr>
          <w:rFonts w:hint="eastAsia"/>
          <w:color w:val="auto"/>
          <w:highlight w:val="none"/>
        </w:rPr>
        <w:t>报价规则</w:t>
      </w:r>
    </w:p>
    <w:p w14:paraId="75426AEC">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①本次网上</w:t>
      </w:r>
      <w:r>
        <w:rPr>
          <w:rFonts w:hint="eastAsia"/>
          <w:color w:val="auto"/>
          <w:highlight w:val="none"/>
          <w:lang w:val="en-US" w:eastAsia="zh-CN"/>
        </w:rPr>
        <w:t>报价</w:t>
      </w:r>
      <w:r>
        <w:rPr>
          <w:rFonts w:hint="eastAsia"/>
          <w:color w:val="auto"/>
          <w:highlight w:val="none"/>
        </w:rPr>
        <w:t>以减价方式进行报价，同一</w:t>
      </w:r>
      <w:r>
        <w:rPr>
          <w:rFonts w:hint="eastAsia"/>
          <w:color w:val="auto"/>
          <w:highlight w:val="none"/>
          <w:lang w:val="en-US" w:eastAsia="zh-CN"/>
        </w:rPr>
        <w:t>投标人</w:t>
      </w:r>
      <w:r>
        <w:rPr>
          <w:rFonts w:hint="eastAsia"/>
          <w:color w:val="auto"/>
          <w:highlight w:val="none"/>
        </w:rPr>
        <w:t>可多次报价。初次报价不得高于起始价，初次报价后的每次报价的减价幅度应当符合规定。</w:t>
      </w:r>
    </w:p>
    <w:p w14:paraId="3BDED262">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②</w:t>
      </w:r>
      <w:r>
        <w:rPr>
          <w:rFonts w:hint="eastAsia"/>
          <w:color w:val="auto"/>
          <w:highlight w:val="none"/>
          <w:lang w:val="en-US" w:eastAsia="zh-CN"/>
        </w:rPr>
        <w:t>投标人</w:t>
      </w:r>
      <w:r>
        <w:rPr>
          <w:rFonts w:hint="eastAsia"/>
          <w:color w:val="auto"/>
          <w:highlight w:val="none"/>
        </w:rPr>
        <w:t>通过系统提交的报价一经报出，不得撤回。</w:t>
      </w:r>
    </w:p>
    <w:p w14:paraId="28543BA5">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③因网络延迟问题，</w:t>
      </w:r>
      <w:r>
        <w:rPr>
          <w:rFonts w:hint="eastAsia"/>
          <w:color w:val="auto"/>
          <w:highlight w:val="none"/>
          <w:lang w:val="en-US" w:eastAsia="zh-CN"/>
        </w:rPr>
        <w:t>投标人</w:t>
      </w:r>
      <w:r>
        <w:rPr>
          <w:rFonts w:hint="eastAsia"/>
          <w:color w:val="auto"/>
          <w:highlight w:val="none"/>
        </w:rPr>
        <w:t>应尽量避免在网上报价截止前最后几秒钟内才报价，最迟在网上报价截止前30秒报价，以防止系统无法及时接收到报价的情况发生。</w:t>
      </w:r>
    </w:p>
    <w:p w14:paraId="59F287DC">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④</w:t>
      </w:r>
      <w:r>
        <w:rPr>
          <w:rFonts w:hint="eastAsia"/>
          <w:color w:val="auto"/>
          <w:highlight w:val="none"/>
          <w:lang w:val="en-US" w:eastAsia="zh-CN"/>
        </w:rPr>
        <w:t>投标人</w:t>
      </w:r>
      <w:r>
        <w:rPr>
          <w:rFonts w:hint="eastAsia"/>
          <w:color w:val="auto"/>
          <w:highlight w:val="none"/>
        </w:rPr>
        <w:t>报价有下列情形之一的，为无效报价：</w:t>
      </w:r>
    </w:p>
    <w:p w14:paraId="04E792C0">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A.报价因系统故障未在网上</w:t>
      </w:r>
      <w:r>
        <w:rPr>
          <w:rFonts w:hint="eastAsia"/>
          <w:color w:val="auto"/>
          <w:highlight w:val="none"/>
          <w:lang w:val="en-US" w:eastAsia="zh-CN"/>
        </w:rPr>
        <w:t>报价</w:t>
      </w:r>
      <w:r>
        <w:rPr>
          <w:rFonts w:hint="eastAsia"/>
          <w:color w:val="auto"/>
          <w:highlight w:val="none"/>
        </w:rPr>
        <w:t>期限内收到的；</w:t>
      </w:r>
    </w:p>
    <w:p w14:paraId="2C46F229">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B.报价因</w:t>
      </w:r>
      <w:r>
        <w:rPr>
          <w:rFonts w:hint="eastAsia"/>
          <w:color w:val="auto"/>
          <w:highlight w:val="none"/>
          <w:lang w:val="en-US" w:eastAsia="zh-CN"/>
        </w:rPr>
        <w:t>投标人</w:t>
      </w:r>
      <w:r>
        <w:rPr>
          <w:rFonts w:hint="eastAsia"/>
          <w:color w:val="auto"/>
          <w:highlight w:val="none"/>
        </w:rPr>
        <w:t>网络故障未在网上</w:t>
      </w:r>
      <w:r>
        <w:rPr>
          <w:rFonts w:hint="eastAsia"/>
          <w:color w:val="auto"/>
          <w:highlight w:val="none"/>
          <w:lang w:val="en-US" w:eastAsia="zh-CN"/>
        </w:rPr>
        <w:t>报价</w:t>
      </w:r>
      <w:r>
        <w:rPr>
          <w:rFonts w:hint="eastAsia"/>
          <w:color w:val="auto"/>
          <w:highlight w:val="none"/>
        </w:rPr>
        <w:t>期限内收到的；</w:t>
      </w:r>
    </w:p>
    <w:p w14:paraId="5409242C">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C.报价高于起始价等不符合报价规则的；</w:t>
      </w:r>
    </w:p>
    <w:p w14:paraId="4F347BA0">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D.报价不符合</w:t>
      </w:r>
      <w:r>
        <w:rPr>
          <w:rFonts w:hint="eastAsia"/>
          <w:color w:val="auto"/>
          <w:highlight w:val="none"/>
          <w:lang w:val="en-US" w:eastAsia="zh-CN"/>
        </w:rPr>
        <w:t>招标</w:t>
      </w:r>
      <w:r>
        <w:rPr>
          <w:rFonts w:hint="eastAsia"/>
          <w:color w:val="auto"/>
          <w:highlight w:val="none"/>
        </w:rPr>
        <w:t>文件规定的其他情形。</w:t>
      </w:r>
    </w:p>
    <w:p w14:paraId="1981E67C">
      <w:pPr>
        <w:pStyle w:val="42"/>
        <w:pageBreakBefore w:val="0"/>
        <w:widowControl w:val="0"/>
        <w:numPr>
          <w:ilvl w:val="0"/>
          <w:numId w:val="8"/>
        </w:numPr>
        <w:kinsoku/>
        <w:wordWrap/>
        <w:overflowPunct/>
        <w:topLinePunct w:val="0"/>
        <w:autoSpaceDE/>
        <w:autoSpaceDN/>
        <w:bidi w:val="0"/>
        <w:spacing w:before="0" w:beforeLines="0"/>
        <w:ind w:firstLineChars="0"/>
        <w:rPr>
          <w:color w:val="auto"/>
          <w:highlight w:val="none"/>
        </w:rPr>
      </w:pPr>
      <w:r>
        <w:rPr>
          <w:rFonts w:hint="eastAsia"/>
          <w:color w:val="auto"/>
          <w:highlight w:val="none"/>
        </w:rPr>
        <w:t>报价及系统接受报价、显示、确认报价</w:t>
      </w:r>
    </w:p>
    <w:p w14:paraId="302E6545">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①系统从开始接受报价；</w:t>
      </w:r>
    </w:p>
    <w:p w14:paraId="79DF8CB1">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②</w:t>
      </w:r>
      <w:r>
        <w:rPr>
          <w:rFonts w:hint="eastAsia"/>
          <w:color w:val="auto"/>
          <w:highlight w:val="none"/>
          <w:lang w:val="en-US" w:eastAsia="zh-CN"/>
        </w:rPr>
        <w:t>投标人</w:t>
      </w:r>
      <w:r>
        <w:rPr>
          <w:rFonts w:hint="eastAsia"/>
          <w:color w:val="auto"/>
          <w:highlight w:val="none"/>
        </w:rPr>
        <w:t>通过系统进行报价，该报价须为当前系统确认的最低报价。</w:t>
      </w:r>
    </w:p>
    <w:p w14:paraId="6D32BD62">
      <w:pPr>
        <w:pStyle w:val="42"/>
        <w:pageBreakBefore w:val="0"/>
        <w:widowControl w:val="0"/>
        <w:numPr>
          <w:ilvl w:val="0"/>
          <w:numId w:val="0"/>
        </w:numPr>
        <w:kinsoku/>
        <w:wordWrap/>
        <w:overflowPunct/>
        <w:topLinePunct w:val="0"/>
        <w:autoSpaceDE/>
        <w:autoSpaceDN/>
        <w:bidi w:val="0"/>
        <w:spacing w:before="0" w:beforeLines="0"/>
        <w:ind w:firstLine="480" w:firstLineChars="200"/>
        <w:rPr>
          <w:color w:val="auto"/>
          <w:highlight w:val="none"/>
        </w:rPr>
      </w:pPr>
      <w:r>
        <w:rPr>
          <w:rFonts w:hint="eastAsia"/>
          <w:color w:val="auto"/>
          <w:highlight w:val="none"/>
          <w:lang w:val="en-US" w:eastAsia="zh-CN"/>
        </w:rPr>
        <w:t>14.4.3</w:t>
      </w:r>
      <w:r>
        <w:rPr>
          <w:rFonts w:hint="eastAsia"/>
          <w:color w:val="auto"/>
          <w:highlight w:val="none"/>
        </w:rPr>
        <w:t>网上</w:t>
      </w:r>
      <w:r>
        <w:rPr>
          <w:rFonts w:hint="eastAsia"/>
          <w:color w:val="auto"/>
          <w:highlight w:val="none"/>
          <w:lang w:val="en-US" w:eastAsia="zh-CN"/>
        </w:rPr>
        <w:t>报价</w:t>
      </w:r>
      <w:r>
        <w:rPr>
          <w:rFonts w:hint="eastAsia"/>
          <w:color w:val="auto"/>
          <w:highlight w:val="none"/>
        </w:rPr>
        <w:t>开始</w:t>
      </w:r>
    </w:p>
    <w:p w14:paraId="261EC37E">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网上</w:t>
      </w:r>
      <w:r>
        <w:rPr>
          <w:rFonts w:hint="eastAsia"/>
          <w:color w:val="auto"/>
          <w:highlight w:val="none"/>
          <w:lang w:val="en-US" w:eastAsia="zh-CN"/>
        </w:rPr>
        <w:t>报价</w:t>
      </w:r>
      <w:r>
        <w:rPr>
          <w:rFonts w:hint="eastAsia"/>
          <w:color w:val="auto"/>
          <w:highlight w:val="none"/>
        </w:rPr>
        <w:t>分为自由</w:t>
      </w:r>
      <w:r>
        <w:rPr>
          <w:rFonts w:hint="eastAsia"/>
          <w:color w:val="auto"/>
          <w:highlight w:val="none"/>
          <w:lang w:val="en-US" w:eastAsia="zh-CN"/>
        </w:rPr>
        <w:t>报价</w:t>
      </w:r>
      <w:r>
        <w:rPr>
          <w:rFonts w:hint="eastAsia"/>
          <w:color w:val="auto"/>
          <w:highlight w:val="none"/>
        </w:rPr>
        <w:t>和限时</w:t>
      </w:r>
      <w:r>
        <w:rPr>
          <w:rFonts w:hint="eastAsia"/>
          <w:color w:val="auto"/>
          <w:highlight w:val="none"/>
          <w:lang w:val="en-US" w:eastAsia="zh-CN"/>
        </w:rPr>
        <w:t>报价</w:t>
      </w:r>
      <w:r>
        <w:rPr>
          <w:rFonts w:hint="eastAsia"/>
          <w:color w:val="auto"/>
          <w:highlight w:val="none"/>
        </w:rPr>
        <w:t>两个阶段；</w:t>
      </w:r>
    </w:p>
    <w:p w14:paraId="61C168B0">
      <w:pPr>
        <w:pStyle w:val="42"/>
        <w:pageBreakBefore w:val="0"/>
        <w:widowControl w:val="0"/>
        <w:kinsoku/>
        <w:wordWrap/>
        <w:overflowPunct/>
        <w:topLinePunct w:val="0"/>
        <w:autoSpaceDE/>
        <w:autoSpaceDN/>
        <w:bidi w:val="0"/>
        <w:spacing w:before="0" w:beforeLines="0"/>
        <w:ind w:firstLine="482"/>
        <w:rPr>
          <w:b/>
          <w:bCs/>
          <w:color w:val="auto"/>
          <w:highlight w:val="none"/>
        </w:rPr>
      </w:pPr>
      <w:r>
        <w:rPr>
          <w:rFonts w:hint="eastAsia"/>
          <w:b/>
          <w:bCs/>
          <w:color w:val="auto"/>
          <w:highlight w:val="none"/>
        </w:rPr>
        <w:t>网上自由</w:t>
      </w:r>
      <w:r>
        <w:rPr>
          <w:rFonts w:hint="eastAsia"/>
          <w:b/>
          <w:bCs/>
          <w:color w:val="auto"/>
          <w:highlight w:val="none"/>
          <w:lang w:val="en-US" w:eastAsia="zh-CN"/>
        </w:rPr>
        <w:t>报价</w:t>
      </w:r>
      <w:r>
        <w:rPr>
          <w:rFonts w:hint="eastAsia"/>
          <w:b/>
          <w:bCs/>
          <w:color w:val="auto"/>
          <w:highlight w:val="none"/>
        </w:rPr>
        <w:t>开始时间自通过评审专家评审通过后，系统自动颁发资格证书后，</w:t>
      </w:r>
      <w:r>
        <w:rPr>
          <w:rFonts w:hint="eastAsia"/>
          <w:b/>
          <w:bCs/>
          <w:color w:val="auto"/>
          <w:highlight w:val="none"/>
          <w:lang w:val="en-US" w:eastAsia="zh-CN"/>
        </w:rPr>
        <w:t>投标人</w:t>
      </w:r>
      <w:r>
        <w:rPr>
          <w:rFonts w:hint="eastAsia"/>
          <w:b/>
          <w:bCs/>
          <w:color w:val="auto"/>
          <w:highlight w:val="none"/>
        </w:rPr>
        <w:t>即可在系统进行网上报价（</w:t>
      </w:r>
      <w:r>
        <w:rPr>
          <w:rFonts w:hint="eastAsia"/>
          <w:b/>
          <w:bCs/>
          <w:color w:val="auto"/>
          <w:highlight w:val="none"/>
          <w:lang w:val="en-US" w:eastAsia="zh-CN"/>
        </w:rPr>
        <w:t>投标人</w:t>
      </w:r>
      <w:r>
        <w:rPr>
          <w:rFonts w:hint="eastAsia"/>
          <w:b/>
          <w:bCs/>
          <w:color w:val="auto"/>
          <w:highlight w:val="none"/>
        </w:rPr>
        <w:t>在自由</w:t>
      </w:r>
      <w:r>
        <w:rPr>
          <w:rFonts w:hint="eastAsia"/>
          <w:b/>
          <w:bCs/>
          <w:color w:val="auto"/>
          <w:highlight w:val="none"/>
          <w:lang w:val="en-US" w:eastAsia="zh-CN"/>
        </w:rPr>
        <w:t>报价</w:t>
      </w:r>
      <w:r>
        <w:rPr>
          <w:rFonts w:hint="eastAsia"/>
          <w:b/>
          <w:bCs/>
          <w:color w:val="auto"/>
          <w:highlight w:val="none"/>
        </w:rPr>
        <w:t>期间需进行至少一次有效报价，方可有资格进入限时</w:t>
      </w:r>
      <w:r>
        <w:rPr>
          <w:rFonts w:hint="eastAsia"/>
          <w:b/>
          <w:bCs/>
          <w:color w:val="auto"/>
          <w:highlight w:val="none"/>
          <w:lang w:val="en-US" w:eastAsia="zh-CN"/>
        </w:rPr>
        <w:t>报价</w:t>
      </w:r>
      <w:r>
        <w:rPr>
          <w:rFonts w:hint="eastAsia"/>
          <w:b/>
          <w:bCs/>
          <w:color w:val="auto"/>
          <w:highlight w:val="none"/>
        </w:rPr>
        <w:t>阶段）；</w:t>
      </w:r>
      <w:r>
        <w:rPr>
          <w:rFonts w:hint="eastAsia"/>
          <w:color w:val="auto"/>
          <w:highlight w:val="none"/>
        </w:rPr>
        <w:t>在进入限时</w:t>
      </w:r>
      <w:r>
        <w:rPr>
          <w:rFonts w:hint="eastAsia"/>
          <w:color w:val="auto"/>
          <w:highlight w:val="none"/>
          <w:lang w:val="en-US" w:eastAsia="zh-CN"/>
        </w:rPr>
        <w:t>报价</w:t>
      </w:r>
      <w:r>
        <w:rPr>
          <w:rFonts w:hint="eastAsia"/>
          <w:color w:val="auto"/>
          <w:highlight w:val="none"/>
        </w:rPr>
        <w:t>阶段前，须有</w:t>
      </w:r>
      <w:r>
        <w:rPr>
          <w:rFonts w:hint="eastAsia"/>
          <w:color w:val="auto"/>
          <w:highlight w:val="none"/>
          <w:lang w:val="en-US" w:eastAsia="zh-CN"/>
        </w:rPr>
        <w:t>3</w:t>
      </w:r>
      <w:r>
        <w:rPr>
          <w:rFonts w:hint="eastAsia"/>
          <w:color w:val="auto"/>
          <w:highlight w:val="none"/>
        </w:rPr>
        <w:t>家及以上的</w:t>
      </w:r>
      <w:r>
        <w:rPr>
          <w:rFonts w:hint="eastAsia"/>
          <w:color w:val="auto"/>
          <w:highlight w:val="none"/>
          <w:lang w:val="en-US" w:eastAsia="zh-CN"/>
        </w:rPr>
        <w:t>投标人</w:t>
      </w:r>
      <w:r>
        <w:rPr>
          <w:rFonts w:hint="eastAsia"/>
          <w:color w:val="auto"/>
          <w:highlight w:val="none"/>
        </w:rPr>
        <w:t>有效报价，否则终止</w:t>
      </w:r>
      <w:r>
        <w:rPr>
          <w:rFonts w:hint="eastAsia"/>
          <w:color w:val="auto"/>
          <w:highlight w:val="none"/>
          <w:lang w:val="en-US" w:eastAsia="zh-CN"/>
        </w:rPr>
        <w:t>报价</w:t>
      </w:r>
      <w:r>
        <w:rPr>
          <w:rFonts w:hint="eastAsia"/>
          <w:color w:val="auto"/>
          <w:highlight w:val="none"/>
        </w:rPr>
        <w:t>活动，作</w:t>
      </w:r>
      <w:r>
        <w:rPr>
          <w:rFonts w:hint="eastAsia"/>
          <w:color w:val="auto"/>
          <w:highlight w:val="none"/>
          <w:lang w:val="en-US" w:eastAsia="zh-CN"/>
        </w:rPr>
        <w:t>投标</w:t>
      </w:r>
      <w:r>
        <w:rPr>
          <w:rFonts w:hint="eastAsia"/>
          <w:color w:val="auto"/>
          <w:highlight w:val="none"/>
        </w:rPr>
        <w:t>失败处理。取得资格的</w:t>
      </w:r>
      <w:r>
        <w:rPr>
          <w:rFonts w:hint="eastAsia"/>
          <w:color w:val="auto"/>
          <w:highlight w:val="none"/>
          <w:lang w:val="en-US" w:eastAsia="zh-CN"/>
        </w:rPr>
        <w:t>投标人</w:t>
      </w:r>
      <w:r>
        <w:rPr>
          <w:rFonts w:hint="eastAsia"/>
          <w:color w:val="auto"/>
          <w:highlight w:val="none"/>
        </w:rPr>
        <w:t>，按照</w:t>
      </w:r>
      <w:r>
        <w:rPr>
          <w:rFonts w:hint="eastAsia"/>
          <w:color w:val="auto"/>
          <w:highlight w:val="none"/>
          <w:lang w:val="en-US" w:eastAsia="zh-CN"/>
        </w:rPr>
        <w:t>报价</w:t>
      </w:r>
      <w:r>
        <w:rPr>
          <w:rFonts w:hint="eastAsia"/>
          <w:color w:val="auto"/>
          <w:highlight w:val="none"/>
        </w:rPr>
        <w:t>规则的要求，在限时</w:t>
      </w:r>
      <w:r>
        <w:rPr>
          <w:rFonts w:hint="eastAsia"/>
          <w:color w:val="auto"/>
          <w:highlight w:val="none"/>
          <w:lang w:val="en-US" w:eastAsia="zh-CN"/>
        </w:rPr>
        <w:t>报价</w:t>
      </w:r>
      <w:r>
        <w:rPr>
          <w:rFonts w:hint="eastAsia"/>
          <w:color w:val="auto"/>
          <w:highlight w:val="none"/>
        </w:rPr>
        <w:t>阶段，通过</w:t>
      </w:r>
      <w:r>
        <w:rPr>
          <w:rFonts w:hint="eastAsia"/>
          <w:color w:val="auto"/>
          <w:highlight w:val="none"/>
          <w:lang w:eastAsia="zh-CN"/>
        </w:rPr>
        <w:t>产权交易系统</w:t>
      </w:r>
      <w:r>
        <w:rPr>
          <w:rFonts w:hint="eastAsia"/>
          <w:color w:val="auto"/>
          <w:highlight w:val="none"/>
        </w:rPr>
        <w:t>采用反向</w:t>
      </w:r>
      <w:r>
        <w:rPr>
          <w:rFonts w:hint="eastAsia"/>
          <w:color w:val="auto"/>
          <w:highlight w:val="none"/>
          <w:lang w:val="en-US" w:eastAsia="zh-CN"/>
        </w:rPr>
        <w:t>报价</w:t>
      </w:r>
      <w:r>
        <w:rPr>
          <w:rFonts w:hint="eastAsia"/>
          <w:color w:val="auto"/>
          <w:highlight w:val="none"/>
        </w:rPr>
        <w:t>多次报价方式竞争。</w:t>
      </w:r>
    </w:p>
    <w:p w14:paraId="1E1411B4">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网上限时</w:t>
      </w:r>
      <w:r>
        <w:rPr>
          <w:rFonts w:hint="eastAsia"/>
          <w:color w:val="auto"/>
          <w:highlight w:val="none"/>
          <w:lang w:val="en-US" w:eastAsia="zh-CN"/>
        </w:rPr>
        <w:t>报价</w:t>
      </w:r>
      <w:r>
        <w:rPr>
          <w:rFonts w:hint="eastAsia"/>
          <w:color w:val="auto"/>
          <w:highlight w:val="none"/>
        </w:rPr>
        <w:t>开始时间由系统按</w:t>
      </w:r>
      <w:r>
        <w:rPr>
          <w:rFonts w:hint="eastAsia"/>
          <w:color w:val="auto"/>
          <w:highlight w:val="none"/>
          <w:lang w:val="en-US" w:eastAsia="zh-CN"/>
        </w:rPr>
        <w:t>招标文件</w:t>
      </w:r>
      <w:r>
        <w:rPr>
          <w:rFonts w:hint="eastAsia"/>
          <w:color w:val="auto"/>
          <w:highlight w:val="none"/>
        </w:rPr>
        <w:t>规定自动确定。在</w:t>
      </w:r>
      <w:r>
        <w:rPr>
          <w:rFonts w:hint="eastAsia"/>
          <w:color w:val="auto"/>
          <w:highlight w:val="none"/>
          <w:lang w:val="en-US" w:eastAsia="zh-CN"/>
        </w:rPr>
        <w:t>文件</w:t>
      </w:r>
      <w:r>
        <w:rPr>
          <w:rFonts w:hint="eastAsia"/>
          <w:color w:val="auto"/>
          <w:highlight w:val="none"/>
        </w:rPr>
        <w:t>规定的网上</w:t>
      </w:r>
      <w:r>
        <w:rPr>
          <w:rFonts w:hint="eastAsia"/>
          <w:color w:val="auto"/>
          <w:highlight w:val="none"/>
          <w:lang w:val="en-US" w:eastAsia="zh-CN"/>
        </w:rPr>
        <w:t>报价</w:t>
      </w:r>
      <w:r>
        <w:rPr>
          <w:rFonts w:hint="eastAsia"/>
          <w:color w:val="auto"/>
          <w:highlight w:val="none"/>
        </w:rPr>
        <w:t>开始时间前1分钟，系统将当前最低有效报价进行三次提示。</w:t>
      </w:r>
      <w:r>
        <w:rPr>
          <w:rFonts w:hint="eastAsia"/>
          <w:color w:val="auto"/>
          <w:highlight w:val="none"/>
          <w:lang w:val="en-US" w:eastAsia="zh-CN"/>
        </w:rPr>
        <w:t>报价</w:t>
      </w:r>
      <w:r>
        <w:rPr>
          <w:rFonts w:hint="eastAsia"/>
          <w:color w:val="auto"/>
          <w:highlight w:val="none"/>
        </w:rPr>
        <w:t>截止，按下列规则处理：</w:t>
      </w:r>
    </w:p>
    <w:p w14:paraId="5097BF56">
      <w:pPr>
        <w:pStyle w:val="42"/>
        <w:pageBreakBefore w:val="0"/>
        <w:widowControl w:val="0"/>
        <w:numPr>
          <w:ilvl w:val="0"/>
          <w:numId w:val="9"/>
        </w:numPr>
        <w:kinsoku/>
        <w:wordWrap/>
        <w:overflowPunct/>
        <w:topLinePunct w:val="0"/>
        <w:autoSpaceDE/>
        <w:autoSpaceDN/>
        <w:bidi w:val="0"/>
        <w:spacing w:before="0" w:beforeLines="0"/>
        <w:ind w:firstLineChars="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期间无人报价</w:t>
      </w:r>
    </w:p>
    <w:p w14:paraId="4244C8A0">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期间，一直无人报价，网上自由</w:t>
      </w:r>
      <w:r>
        <w:rPr>
          <w:rFonts w:hint="eastAsia"/>
          <w:color w:val="auto"/>
          <w:highlight w:val="none"/>
          <w:lang w:val="en-US" w:eastAsia="zh-CN"/>
        </w:rPr>
        <w:t>报价</w:t>
      </w:r>
      <w:r>
        <w:rPr>
          <w:rFonts w:hint="eastAsia"/>
          <w:color w:val="auto"/>
          <w:highlight w:val="none"/>
        </w:rPr>
        <w:t>截止时，系统显示网上</w:t>
      </w:r>
      <w:r>
        <w:rPr>
          <w:rFonts w:hint="eastAsia"/>
          <w:color w:val="auto"/>
          <w:highlight w:val="none"/>
          <w:lang w:val="en-US" w:eastAsia="zh-CN"/>
        </w:rPr>
        <w:t>报价</w:t>
      </w:r>
      <w:r>
        <w:rPr>
          <w:rFonts w:hint="eastAsia"/>
          <w:color w:val="auto"/>
          <w:highlight w:val="none"/>
        </w:rPr>
        <w:t>不成交。</w:t>
      </w:r>
    </w:p>
    <w:p w14:paraId="7294F769">
      <w:pPr>
        <w:pStyle w:val="42"/>
        <w:pageBreakBefore w:val="0"/>
        <w:widowControl w:val="0"/>
        <w:numPr>
          <w:ilvl w:val="0"/>
          <w:numId w:val="9"/>
        </w:numPr>
        <w:kinsoku/>
        <w:wordWrap/>
        <w:overflowPunct/>
        <w:topLinePunct w:val="0"/>
        <w:autoSpaceDE/>
        <w:autoSpaceDN/>
        <w:bidi w:val="0"/>
        <w:spacing w:before="0" w:beforeLines="0"/>
        <w:ind w:firstLineChars="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期间有</w:t>
      </w:r>
      <w:r>
        <w:rPr>
          <w:rStyle w:val="35"/>
          <w:rFonts w:hint="eastAsia" w:ascii="宋体" w:hAnsi="宋体" w:cs="宋体"/>
          <w:bCs/>
          <w:color w:val="auto"/>
          <w:szCs w:val="24"/>
          <w:highlight w:val="none"/>
          <w:shd w:val="clear" w:color="auto" w:fill="FFFFFF"/>
          <w:lang w:val="en-US" w:eastAsia="zh-CN"/>
        </w:rPr>
        <w:t>三</w:t>
      </w:r>
      <w:r>
        <w:rPr>
          <w:rStyle w:val="35"/>
          <w:rFonts w:hint="eastAsia" w:ascii="宋体" w:hAnsi="宋体" w:cs="宋体"/>
          <w:bCs/>
          <w:color w:val="auto"/>
          <w:szCs w:val="24"/>
          <w:highlight w:val="none"/>
          <w:shd w:val="clear" w:color="auto" w:fill="FFFFFF"/>
        </w:rPr>
        <w:t>家或</w:t>
      </w:r>
      <w:r>
        <w:rPr>
          <w:rStyle w:val="35"/>
          <w:rFonts w:hint="eastAsia" w:ascii="宋体" w:hAnsi="宋体" w:cs="宋体"/>
          <w:bCs/>
          <w:color w:val="auto"/>
          <w:szCs w:val="24"/>
          <w:highlight w:val="none"/>
          <w:shd w:val="clear" w:color="auto" w:fill="FFFFFF"/>
          <w:lang w:val="en-US" w:eastAsia="zh-CN"/>
        </w:rPr>
        <w:t>三</w:t>
      </w:r>
      <w:r>
        <w:rPr>
          <w:rStyle w:val="35"/>
          <w:rFonts w:hint="eastAsia" w:ascii="宋体" w:hAnsi="宋体" w:cs="宋体"/>
          <w:bCs/>
          <w:color w:val="auto"/>
          <w:szCs w:val="24"/>
          <w:highlight w:val="none"/>
          <w:shd w:val="clear" w:color="auto" w:fill="FFFFFF"/>
        </w:rPr>
        <w:t>家以上</w:t>
      </w:r>
      <w:r>
        <w:rPr>
          <w:rFonts w:hint="eastAsia"/>
          <w:color w:val="auto"/>
          <w:highlight w:val="none"/>
        </w:rPr>
        <w:t>有效报价。</w:t>
      </w:r>
    </w:p>
    <w:p w14:paraId="65EAF9D1">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网上自由</w:t>
      </w:r>
      <w:r>
        <w:rPr>
          <w:rFonts w:hint="eastAsia"/>
          <w:color w:val="auto"/>
          <w:highlight w:val="none"/>
          <w:lang w:val="en-US" w:eastAsia="zh-CN"/>
        </w:rPr>
        <w:t>报价</w:t>
      </w:r>
      <w:r>
        <w:rPr>
          <w:rFonts w:hint="eastAsia"/>
          <w:color w:val="auto"/>
          <w:highlight w:val="none"/>
        </w:rPr>
        <w:t>截止时，有</w:t>
      </w:r>
      <w:r>
        <w:rPr>
          <w:rStyle w:val="35"/>
          <w:rFonts w:hint="eastAsia" w:ascii="宋体" w:hAnsi="宋体" w:cs="宋体"/>
          <w:bCs/>
          <w:color w:val="auto"/>
          <w:szCs w:val="24"/>
          <w:highlight w:val="none"/>
          <w:shd w:val="clear" w:color="auto" w:fill="FFFFFF"/>
          <w:lang w:val="en-US" w:eastAsia="zh-CN"/>
        </w:rPr>
        <w:t>三</w:t>
      </w:r>
      <w:r>
        <w:rPr>
          <w:rStyle w:val="35"/>
          <w:rFonts w:hint="eastAsia" w:ascii="宋体" w:hAnsi="宋体" w:cs="宋体"/>
          <w:bCs/>
          <w:color w:val="auto"/>
          <w:szCs w:val="24"/>
          <w:highlight w:val="none"/>
          <w:shd w:val="clear" w:color="auto" w:fill="FFFFFF"/>
        </w:rPr>
        <w:t>家及以上的</w:t>
      </w:r>
      <w:r>
        <w:rPr>
          <w:rFonts w:hint="eastAsia"/>
          <w:color w:val="auto"/>
          <w:highlight w:val="none"/>
          <w:lang w:val="en-US" w:eastAsia="zh-CN"/>
        </w:rPr>
        <w:t>投标人</w:t>
      </w:r>
      <w:r>
        <w:rPr>
          <w:rFonts w:hint="eastAsia"/>
          <w:color w:val="auto"/>
          <w:highlight w:val="none"/>
        </w:rPr>
        <w:t>有效报价，系统进入网上限时</w:t>
      </w:r>
      <w:r>
        <w:rPr>
          <w:rFonts w:hint="eastAsia"/>
          <w:color w:val="auto"/>
          <w:highlight w:val="none"/>
          <w:lang w:val="en-US" w:eastAsia="zh-CN"/>
        </w:rPr>
        <w:t>报价</w:t>
      </w:r>
      <w:r>
        <w:rPr>
          <w:rFonts w:hint="eastAsia"/>
          <w:color w:val="auto"/>
          <w:highlight w:val="none"/>
        </w:rPr>
        <w:t>程序。</w:t>
      </w:r>
    </w:p>
    <w:p w14:paraId="366BC0C0">
      <w:pPr>
        <w:pStyle w:val="42"/>
        <w:pageBreakBefore w:val="0"/>
        <w:widowControl w:val="0"/>
        <w:numPr>
          <w:ilvl w:val="0"/>
          <w:numId w:val="9"/>
        </w:numPr>
        <w:kinsoku/>
        <w:wordWrap/>
        <w:overflowPunct/>
        <w:topLinePunct w:val="0"/>
        <w:autoSpaceDE/>
        <w:autoSpaceDN/>
        <w:bidi w:val="0"/>
        <w:spacing w:before="0" w:beforeLines="0"/>
        <w:ind w:firstLineChars="0"/>
        <w:rPr>
          <w:color w:val="auto"/>
          <w:highlight w:val="none"/>
        </w:rPr>
      </w:pPr>
      <w:r>
        <w:rPr>
          <w:rFonts w:hint="eastAsia"/>
          <w:color w:val="auto"/>
          <w:highlight w:val="none"/>
          <w:lang w:val="en-US" w:eastAsia="zh-CN"/>
        </w:rPr>
        <w:t>3</w:t>
      </w:r>
      <w:r>
        <w:rPr>
          <w:rFonts w:hint="eastAsia"/>
          <w:color w:val="auto"/>
          <w:highlight w:val="none"/>
        </w:rPr>
        <w:t>分钟倒计时</w:t>
      </w:r>
      <w:r>
        <w:rPr>
          <w:rFonts w:hint="eastAsia"/>
          <w:color w:val="auto"/>
          <w:highlight w:val="none"/>
          <w:lang w:val="en-US" w:eastAsia="zh-CN"/>
        </w:rPr>
        <w:t>报价</w:t>
      </w:r>
      <w:r>
        <w:rPr>
          <w:rFonts w:hint="eastAsia"/>
          <w:color w:val="auto"/>
          <w:highlight w:val="none"/>
        </w:rPr>
        <w:t>规则</w:t>
      </w:r>
    </w:p>
    <w:p w14:paraId="02B1CDA6">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系统设置</w:t>
      </w:r>
      <w:r>
        <w:rPr>
          <w:rFonts w:hint="eastAsia"/>
          <w:color w:val="auto"/>
          <w:highlight w:val="none"/>
          <w:lang w:val="en-US" w:eastAsia="zh-CN"/>
        </w:rPr>
        <w:t>报价</w:t>
      </w:r>
      <w:r>
        <w:rPr>
          <w:rFonts w:hint="eastAsia"/>
          <w:color w:val="auto"/>
          <w:highlight w:val="none"/>
        </w:rPr>
        <w:t>开始时间到达，有</w:t>
      </w:r>
      <w:r>
        <w:rPr>
          <w:rFonts w:hint="eastAsia"/>
          <w:color w:val="auto"/>
          <w:highlight w:val="none"/>
          <w:lang w:val="en-US" w:eastAsia="zh-CN"/>
        </w:rPr>
        <w:t>投标人</w:t>
      </w:r>
      <w:r>
        <w:rPr>
          <w:rFonts w:hint="eastAsia"/>
          <w:color w:val="auto"/>
          <w:highlight w:val="none"/>
        </w:rPr>
        <w:t>参加网上限时</w:t>
      </w:r>
      <w:r>
        <w:rPr>
          <w:rFonts w:hint="eastAsia"/>
          <w:color w:val="auto"/>
          <w:highlight w:val="none"/>
          <w:lang w:val="en-US" w:eastAsia="zh-CN"/>
        </w:rPr>
        <w:t>报价</w:t>
      </w:r>
      <w:r>
        <w:rPr>
          <w:rFonts w:hint="eastAsia"/>
          <w:color w:val="auto"/>
          <w:highlight w:val="none"/>
        </w:rPr>
        <w:t>的，系统开始第一次</w:t>
      </w:r>
      <w:r>
        <w:rPr>
          <w:rFonts w:hint="eastAsia"/>
          <w:color w:val="auto"/>
          <w:highlight w:val="none"/>
          <w:lang w:val="en-US" w:eastAsia="zh-CN"/>
        </w:rPr>
        <w:t>3</w:t>
      </w:r>
      <w:r>
        <w:rPr>
          <w:rFonts w:hint="eastAsia"/>
          <w:color w:val="auto"/>
          <w:highlight w:val="none"/>
        </w:rPr>
        <w:t>分钟倒计时，具有网上限时</w:t>
      </w:r>
      <w:r>
        <w:rPr>
          <w:rFonts w:hint="eastAsia"/>
          <w:color w:val="auto"/>
          <w:highlight w:val="none"/>
          <w:lang w:val="en-US" w:eastAsia="zh-CN"/>
        </w:rPr>
        <w:t>报价</w:t>
      </w:r>
      <w:r>
        <w:rPr>
          <w:rFonts w:hint="eastAsia"/>
          <w:color w:val="auto"/>
          <w:highlight w:val="none"/>
        </w:rPr>
        <w:t>资格的</w:t>
      </w:r>
      <w:r>
        <w:rPr>
          <w:rFonts w:hint="eastAsia"/>
          <w:color w:val="auto"/>
          <w:highlight w:val="none"/>
          <w:lang w:val="en-US" w:eastAsia="zh-CN"/>
        </w:rPr>
        <w:t>投标</w:t>
      </w:r>
      <w:r>
        <w:rPr>
          <w:rFonts w:hint="eastAsia"/>
          <w:color w:val="auto"/>
          <w:highlight w:val="none"/>
        </w:rPr>
        <w:t>人可参加限时</w:t>
      </w:r>
      <w:r>
        <w:rPr>
          <w:rFonts w:hint="eastAsia"/>
          <w:color w:val="auto"/>
          <w:highlight w:val="none"/>
          <w:lang w:val="en-US" w:eastAsia="zh-CN"/>
        </w:rPr>
        <w:t>报价</w:t>
      </w:r>
      <w:r>
        <w:rPr>
          <w:rFonts w:hint="eastAsia"/>
          <w:color w:val="auto"/>
          <w:highlight w:val="none"/>
        </w:rPr>
        <w:t>，限时</w:t>
      </w:r>
      <w:r>
        <w:rPr>
          <w:rFonts w:hint="eastAsia"/>
          <w:color w:val="auto"/>
          <w:highlight w:val="none"/>
          <w:lang w:val="en-US" w:eastAsia="zh-CN"/>
        </w:rPr>
        <w:t>报价</w:t>
      </w:r>
      <w:r>
        <w:rPr>
          <w:rFonts w:hint="eastAsia"/>
          <w:color w:val="auto"/>
          <w:highlight w:val="none"/>
        </w:rPr>
        <w:t>中的报价应当在</w:t>
      </w:r>
      <w:r>
        <w:rPr>
          <w:rFonts w:hint="eastAsia"/>
          <w:color w:val="auto"/>
          <w:highlight w:val="none"/>
          <w:lang w:val="en-US" w:eastAsia="zh-CN"/>
        </w:rPr>
        <w:t>3</w:t>
      </w:r>
      <w:r>
        <w:rPr>
          <w:rFonts w:hint="eastAsia"/>
          <w:color w:val="auto"/>
          <w:highlight w:val="none"/>
        </w:rPr>
        <w:t>分钟倒计时内提交，报价规则按本须知规定执行。</w:t>
      </w:r>
    </w:p>
    <w:p w14:paraId="7A7583C5">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如在</w:t>
      </w:r>
      <w:r>
        <w:rPr>
          <w:rFonts w:hint="eastAsia"/>
          <w:color w:val="auto"/>
          <w:highlight w:val="none"/>
          <w:lang w:val="en-US" w:eastAsia="zh-CN"/>
        </w:rPr>
        <w:t>3</w:t>
      </w:r>
      <w:r>
        <w:rPr>
          <w:rFonts w:hint="eastAsia"/>
          <w:color w:val="auto"/>
          <w:highlight w:val="none"/>
        </w:rPr>
        <w:t>分钟倒计时内的任一时刻，系统接收到具有网上限时</w:t>
      </w:r>
      <w:r>
        <w:rPr>
          <w:rFonts w:hint="eastAsia"/>
          <w:color w:val="auto"/>
          <w:highlight w:val="none"/>
          <w:lang w:val="en-US" w:eastAsia="zh-CN"/>
        </w:rPr>
        <w:t>报价</w:t>
      </w:r>
      <w:r>
        <w:rPr>
          <w:rFonts w:hint="eastAsia"/>
          <w:color w:val="auto"/>
          <w:highlight w:val="none"/>
        </w:rPr>
        <w:t>资格的任一</w:t>
      </w:r>
      <w:r>
        <w:rPr>
          <w:rFonts w:hint="eastAsia"/>
          <w:color w:val="auto"/>
          <w:highlight w:val="none"/>
          <w:lang w:val="en-US" w:eastAsia="zh-CN"/>
        </w:rPr>
        <w:t>投标</w:t>
      </w:r>
      <w:r>
        <w:rPr>
          <w:rFonts w:hint="eastAsia"/>
          <w:color w:val="auto"/>
          <w:highlight w:val="none"/>
        </w:rPr>
        <w:t>人有新的报价，系统则确认该最新报价，予以显示，并从此时刻起再顺延一个新的</w:t>
      </w:r>
      <w:r>
        <w:rPr>
          <w:rFonts w:hint="eastAsia"/>
          <w:color w:val="auto"/>
          <w:highlight w:val="none"/>
          <w:lang w:val="en-US" w:eastAsia="zh-CN"/>
        </w:rPr>
        <w:t>3</w:t>
      </w:r>
      <w:r>
        <w:rPr>
          <w:rFonts w:hint="eastAsia"/>
          <w:color w:val="auto"/>
          <w:highlight w:val="none"/>
        </w:rPr>
        <w:t>分钟倒计时，具有网上限时</w:t>
      </w:r>
      <w:r>
        <w:rPr>
          <w:rFonts w:hint="eastAsia"/>
          <w:color w:val="auto"/>
          <w:highlight w:val="none"/>
          <w:lang w:val="en-US" w:eastAsia="zh-CN"/>
        </w:rPr>
        <w:t>报价</w:t>
      </w:r>
      <w:r>
        <w:rPr>
          <w:rFonts w:hint="eastAsia"/>
          <w:color w:val="auto"/>
          <w:highlight w:val="none"/>
        </w:rPr>
        <w:t>资格的</w:t>
      </w:r>
      <w:r>
        <w:rPr>
          <w:rFonts w:hint="eastAsia"/>
          <w:color w:val="auto"/>
          <w:highlight w:val="none"/>
          <w:lang w:val="en-US" w:eastAsia="zh-CN"/>
        </w:rPr>
        <w:t>投标</w:t>
      </w:r>
      <w:r>
        <w:rPr>
          <w:rFonts w:hint="eastAsia"/>
          <w:color w:val="auto"/>
          <w:highlight w:val="none"/>
        </w:rPr>
        <w:t>人可参加新一轮</w:t>
      </w:r>
      <w:r>
        <w:rPr>
          <w:rFonts w:hint="eastAsia"/>
          <w:color w:val="auto"/>
          <w:highlight w:val="none"/>
          <w:lang w:eastAsia="zh-CN"/>
        </w:rPr>
        <w:t>报价</w:t>
      </w:r>
      <w:r>
        <w:rPr>
          <w:rFonts w:hint="eastAsia"/>
          <w:color w:val="auto"/>
          <w:highlight w:val="none"/>
        </w:rPr>
        <w:t>，并按此方式不断顺延下去，直至</w:t>
      </w:r>
      <w:r>
        <w:rPr>
          <w:rFonts w:hint="eastAsia"/>
          <w:color w:val="auto"/>
          <w:highlight w:val="none"/>
          <w:lang w:val="en-US" w:eastAsia="zh-CN"/>
        </w:rPr>
        <w:t>报价</w:t>
      </w:r>
      <w:r>
        <w:rPr>
          <w:rFonts w:hint="eastAsia"/>
          <w:color w:val="auto"/>
          <w:highlight w:val="none"/>
        </w:rPr>
        <w:t>结束。</w:t>
      </w:r>
    </w:p>
    <w:p w14:paraId="2330E013">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网上限时</w:t>
      </w:r>
      <w:r>
        <w:rPr>
          <w:rFonts w:hint="eastAsia"/>
          <w:color w:val="auto"/>
          <w:highlight w:val="none"/>
          <w:lang w:val="en-US" w:eastAsia="zh-CN"/>
        </w:rPr>
        <w:t>报价</w:t>
      </w:r>
      <w:r>
        <w:rPr>
          <w:rFonts w:hint="eastAsia"/>
          <w:color w:val="auto"/>
          <w:highlight w:val="none"/>
        </w:rPr>
        <w:t>在</w:t>
      </w:r>
      <w:r>
        <w:rPr>
          <w:rFonts w:hint="eastAsia"/>
          <w:color w:val="auto"/>
          <w:highlight w:val="none"/>
          <w:lang w:val="en-US" w:eastAsia="zh-CN"/>
        </w:rPr>
        <w:t>3</w:t>
      </w:r>
      <w:r>
        <w:rPr>
          <w:rFonts w:hint="eastAsia"/>
          <w:color w:val="auto"/>
          <w:highlight w:val="none"/>
        </w:rPr>
        <w:t>分钟倒计时延续到最后1分钟，系统对当前最低有效</w:t>
      </w:r>
      <w:r>
        <w:rPr>
          <w:rFonts w:hint="eastAsia"/>
          <w:color w:val="auto"/>
          <w:highlight w:val="none"/>
          <w:lang w:val="en-US" w:eastAsia="zh-CN"/>
        </w:rPr>
        <w:t>报价</w:t>
      </w:r>
      <w:r>
        <w:rPr>
          <w:rFonts w:hint="eastAsia"/>
          <w:color w:val="auto"/>
          <w:highlight w:val="none"/>
        </w:rPr>
        <w:t>进行三次提示，每次提示延时20秒。最后一次提示延时完成，限时</w:t>
      </w:r>
      <w:r>
        <w:rPr>
          <w:rFonts w:hint="eastAsia"/>
          <w:color w:val="auto"/>
          <w:highlight w:val="none"/>
          <w:lang w:val="en-US" w:eastAsia="zh-CN"/>
        </w:rPr>
        <w:t>报价</w:t>
      </w:r>
      <w:r>
        <w:rPr>
          <w:rFonts w:hint="eastAsia"/>
          <w:color w:val="auto"/>
          <w:highlight w:val="none"/>
        </w:rPr>
        <w:t>结束，系统按规定确认</w:t>
      </w:r>
      <w:r>
        <w:rPr>
          <w:rFonts w:hint="eastAsia"/>
          <w:color w:val="auto"/>
          <w:highlight w:val="none"/>
          <w:lang w:val="en-US" w:eastAsia="zh-CN"/>
        </w:rPr>
        <w:t>排名</w:t>
      </w:r>
      <w:r>
        <w:rPr>
          <w:rFonts w:hint="eastAsia"/>
          <w:color w:val="auto"/>
          <w:highlight w:val="none"/>
        </w:rPr>
        <w:t>。</w:t>
      </w:r>
    </w:p>
    <w:p w14:paraId="044718AF">
      <w:pPr>
        <w:pStyle w:val="42"/>
        <w:pageBreakBefore w:val="0"/>
        <w:widowControl w:val="0"/>
        <w:numPr>
          <w:ilvl w:val="0"/>
          <w:numId w:val="9"/>
        </w:numPr>
        <w:kinsoku/>
        <w:wordWrap/>
        <w:overflowPunct/>
        <w:topLinePunct w:val="0"/>
        <w:autoSpaceDE/>
        <w:autoSpaceDN/>
        <w:bidi w:val="0"/>
        <w:spacing w:before="0" w:beforeLines="0"/>
        <w:ind w:firstLineChars="0"/>
        <w:rPr>
          <w:color w:val="auto"/>
          <w:highlight w:val="none"/>
        </w:rPr>
      </w:pPr>
      <w:r>
        <w:rPr>
          <w:rFonts w:hint="eastAsia"/>
          <w:color w:val="auto"/>
          <w:highlight w:val="none"/>
        </w:rPr>
        <w:t>成交结果报告</w:t>
      </w:r>
    </w:p>
    <w:p w14:paraId="74C96308">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default"/>
          <w:color w:val="auto"/>
          <w:highlight w:val="none"/>
        </w:rPr>
        <w:t>①</w:t>
      </w:r>
      <w:r>
        <w:rPr>
          <w:rFonts w:hint="eastAsia"/>
          <w:color w:val="auto"/>
          <w:highlight w:val="none"/>
        </w:rPr>
        <w:t>网上</w:t>
      </w:r>
      <w:r>
        <w:rPr>
          <w:rFonts w:hint="eastAsia"/>
          <w:color w:val="auto"/>
          <w:highlight w:val="none"/>
          <w:lang w:eastAsia="zh-CN"/>
        </w:rPr>
        <w:t>自由报价</w:t>
      </w:r>
      <w:r>
        <w:rPr>
          <w:rFonts w:hint="eastAsia"/>
          <w:color w:val="auto"/>
          <w:highlight w:val="none"/>
        </w:rPr>
        <w:t>有人报价，</w:t>
      </w:r>
      <w:r>
        <w:rPr>
          <w:rFonts w:hint="eastAsia"/>
          <w:color w:val="auto"/>
          <w:highlight w:val="none"/>
          <w:lang w:eastAsia="zh-CN"/>
        </w:rPr>
        <w:t>限时报价</w:t>
      </w:r>
      <w:r>
        <w:rPr>
          <w:rFonts w:hint="eastAsia"/>
          <w:color w:val="auto"/>
          <w:highlight w:val="none"/>
        </w:rPr>
        <w:t>无人报价时的成交结果报告</w:t>
      </w:r>
    </w:p>
    <w:p w14:paraId="1BC1B551">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eastAsia"/>
          <w:color w:val="auto"/>
          <w:highlight w:val="none"/>
        </w:rPr>
        <w:t>网上</w:t>
      </w:r>
      <w:r>
        <w:rPr>
          <w:rFonts w:hint="eastAsia"/>
          <w:color w:val="auto"/>
          <w:highlight w:val="none"/>
          <w:lang w:eastAsia="zh-CN"/>
        </w:rPr>
        <w:t>自由报价</w:t>
      </w:r>
      <w:r>
        <w:rPr>
          <w:rFonts w:hint="eastAsia"/>
          <w:color w:val="auto"/>
          <w:highlight w:val="none"/>
        </w:rPr>
        <w:t>有两个或两个以上竞价人有效报价，但无人进入</w:t>
      </w:r>
      <w:r>
        <w:rPr>
          <w:rFonts w:hint="eastAsia"/>
          <w:color w:val="auto"/>
          <w:highlight w:val="none"/>
          <w:lang w:eastAsia="zh-CN"/>
        </w:rPr>
        <w:t>限时报价</w:t>
      </w:r>
      <w:r>
        <w:rPr>
          <w:rFonts w:hint="eastAsia"/>
          <w:color w:val="auto"/>
          <w:highlight w:val="none"/>
        </w:rPr>
        <w:t>时，系统将最低有效报价与保留价（底价）进行比较，按下列规定确定网上竞价结果：</w:t>
      </w:r>
    </w:p>
    <w:p w14:paraId="40552C07">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eastAsia"/>
          <w:color w:val="auto"/>
          <w:highlight w:val="none"/>
        </w:rPr>
        <w:t>最低有效报价不高于保留价（底价）的，应在竞价结束后，确定最低报价者为本项目的竞得第一候选人，由交易机构向委托人发出公开竞价报告；不符合的，不予发出公开竞价报告。</w:t>
      </w:r>
    </w:p>
    <w:p w14:paraId="5FD773F6">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eastAsia"/>
          <w:color w:val="auto"/>
          <w:highlight w:val="none"/>
        </w:rPr>
        <w:t>最低有效报价高于保留价（底价）的，系统显示网上竞价不成交。</w:t>
      </w:r>
    </w:p>
    <w:p w14:paraId="15ACF940">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default"/>
          <w:color w:val="auto"/>
          <w:highlight w:val="none"/>
          <w:lang w:val="en-US" w:eastAsia="zh-CN"/>
        </w:rPr>
        <w:t>②</w:t>
      </w:r>
      <w:r>
        <w:rPr>
          <w:rFonts w:hint="eastAsia"/>
          <w:color w:val="auto"/>
          <w:highlight w:val="none"/>
        </w:rPr>
        <w:t>网上</w:t>
      </w:r>
      <w:r>
        <w:rPr>
          <w:rFonts w:hint="eastAsia"/>
          <w:color w:val="auto"/>
          <w:highlight w:val="none"/>
          <w:lang w:eastAsia="zh-CN"/>
        </w:rPr>
        <w:t>限时报价</w:t>
      </w:r>
      <w:r>
        <w:rPr>
          <w:rFonts w:hint="eastAsia"/>
          <w:color w:val="auto"/>
          <w:highlight w:val="none"/>
        </w:rPr>
        <w:t>中有人报价时的成交结果报告</w:t>
      </w:r>
    </w:p>
    <w:p w14:paraId="287CF398">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eastAsia"/>
          <w:color w:val="auto"/>
          <w:highlight w:val="none"/>
        </w:rPr>
        <w:t>任何一次完整的3分钟倒计时截止时，系统会自动关闭</w:t>
      </w:r>
      <w:r>
        <w:rPr>
          <w:rFonts w:hint="eastAsia"/>
          <w:color w:val="auto"/>
          <w:highlight w:val="none"/>
          <w:lang w:eastAsia="zh-CN"/>
        </w:rPr>
        <w:t>限时报价</w:t>
      </w:r>
      <w:r>
        <w:rPr>
          <w:rFonts w:hint="eastAsia"/>
          <w:color w:val="auto"/>
          <w:highlight w:val="none"/>
        </w:rPr>
        <w:t>中的报价通道，确认当前系统接受的最低有效报价为最终报价，系统将最低有效报价与保留价（底价）进行比较，按下列规定确定网上竞价结果报告：</w:t>
      </w:r>
    </w:p>
    <w:p w14:paraId="2C647BD6">
      <w:pPr>
        <w:pStyle w:val="42"/>
        <w:pageBreakBefore w:val="0"/>
        <w:widowControl w:val="0"/>
        <w:kinsoku/>
        <w:wordWrap/>
        <w:overflowPunct/>
        <w:topLinePunct w:val="0"/>
        <w:autoSpaceDE/>
        <w:autoSpaceDN/>
        <w:bidi w:val="0"/>
        <w:spacing w:before="0" w:beforeLines="0"/>
        <w:rPr>
          <w:rFonts w:hint="eastAsia"/>
          <w:color w:val="auto"/>
          <w:highlight w:val="none"/>
        </w:rPr>
      </w:pPr>
      <w:r>
        <w:rPr>
          <w:rFonts w:hint="eastAsia"/>
          <w:color w:val="auto"/>
          <w:highlight w:val="none"/>
        </w:rPr>
        <w:t>最低有效报价不高于保留价（底价）的，在竞价结束后，确定最低报价者为本项目的竞得第一候选人，由交易机构向委托人发出公开竞价报告；不符合的，不予发出公开竞价报告。</w:t>
      </w:r>
    </w:p>
    <w:p w14:paraId="1528D652">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eastAsia"/>
          <w:color w:val="auto"/>
          <w:highlight w:val="none"/>
        </w:rPr>
        <w:t>最低有效报价高于保留价的，系统显示网上竞价不成交。</w:t>
      </w:r>
    </w:p>
    <w:p w14:paraId="217CEE3D">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default"/>
          <w:color w:val="auto"/>
          <w:highlight w:val="none"/>
          <w:lang w:val="en-US" w:eastAsia="zh-CN"/>
        </w:rPr>
        <w:t>③</w:t>
      </w:r>
      <w:r>
        <w:rPr>
          <w:rFonts w:hint="eastAsia"/>
          <w:color w:val="auto"/>
          <w:highlight w:val="none"/>
        </w:rPr>
        <w:t>网上</w:t>
      </w:r>
      <w:r>
        <w:rPr>
          <w:rFonts w:hint="eastAsia"/>
          <w:color w:val="auto"/>
          <w:highlight w:val="none"/>
          <w:lang w:eastAsia="zh-CN"/>
        </w:rPr>
        <w:t>限时报价</w:t>
      </w:r>
      <w:r>
        <w:rPr>
          <w:rFonts w:hint="eastAsia"/>
          <w:color w:val="auto"/>
          <w:highlight w:val="none"/>
        </w:rPr>
        <w:t>中无人报价时的竞价结果报告</w:t>
      </w:r>
    </w:p>
    <w:p w14:paraId="0E644E07">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eastAsia"/>
          <w:color w:val="auto"/>
          <w:highlight w:val="none"/>
        </w:rPr>
        <w:t>网上</w:t>
      </w:r>
      <w:r>
        <w:rPr>
          <w:rFonts w:hint="eastAsia"/>
          <w:color w:val="auto"/>
          <w:highlight w:val="none"/>
          <w:lang w:eastAsia="zh-CN"/>
        </w:rPr>
        <w:t>自由报价</w:t>
      </w:r>
      <w:r>
        <w:rPr>
          <w:rFonts w:hint="eastAsia"/>
          <w:color w:val="auto"/>
          <w:highlight w:val="none"/>
        </w:rPr>
        <w:t>中最先报得的最低有效报价且不高于保留价（底价）的，系统显示成交。</w:t>
      </w:r>
    </w:p>
    <w:p w14:paraId="4F3D1A28">
      <w:pPr>
        <w:pStyle w:val="42"/>
        <w:pageBreakBefore w:val="0"/>
        <w:widowControl w:val="0"/>
        <w:kinsoku/>
        <w:wordWrap/>
        <w:overflowPunct/>
        <w:topLinePunct w:val="0"/>
        <w:autoSpaceDE/>
        <w:autoSpaceDN/>
        <w:bidi w:val="0"/>
        <w:spacing w:before="0" w:beforeLines="0"/>
        <w:ind w:firstLine="480"/>
        <w:rPr>
          <w:rFonts w:hint="eastAsia"/>
          <w:color w:val="auto"/>
          <w:highlight w:val="none"/>
        </w:rPr>
      </w:pPr>
      <w:r>
        <w:rPr>
          <w:rFonts w:hint="eastAsia"/>
          <w:color w:val="auto"/>
          <w:highlight w:val="none"/>
        </w:rPr>
        <w:t>最低有效报价高于保留价（底价）的，系统显示网上竞价不成交。</w:t>
      </w:r>
    </w:p>
    <w:p w14:paraId="28FBCE89">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15投标保证金</w:t>
      </w:r>
    </w:p>
    <w:p w14:paraId="5274115F">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15.1投标人应提交</w:t>
      </w:r>
      <w:r>
        <w:rPr>
          <w:rFonts w:hint="eastAsia"/>
          <w:b/>
          <w:color w:val="auto"/>
        </w:rPr>
        <w:t>【投标人须知前附表】</w:t>
      </w:r>
      <w:r>
        <w:rPr>
          <w:rFonts w:hint="eastAsia"/>
          <w:color w:val="auto"/>
        </w:rPr>
        <w:t>中规定的投标保证金，并作为其投标的一部分。投标人未按本招标文件规定提交投标保证金的，其投标将被认定为</w:t>
      </w:r>
      <w:r>
        <w:rPr>
          <w:rFonts w:hint="eastAsia"/>
          <w:b/>
          <w:bCs/>
          <w:color w:val="auto"/>
        </w:rPr>
        <w:t>投标无效</w:t>
      </w:r>
      <w:r>
        <w:rPr>
          <w:rFonts w:hint="eastAsia"/>
          <w:color w:val="auto"/>
        </w:rPr>
        <w:t>。</w:t>
      </w:r>
    </w:p>
    <w:p w14:paraId="2B88595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15.2投标保证金必须是从供应商单位的基本账户转入保证金的托管账户管理。采购人不接受以现金方式提交的保证金，以现金方式提交的保证金无效。联合体投标的，其保证金由牵头人递交。</w:t>
      </w:r>
    </w:p>
    <w:p w14:paraId="6A2917E4">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15.</w:t>
      </w:r>
      <w:r>
        <w:rPr>
          <w:rFonts w:hint="eastAsia"/>
          <w:color w:val="auto"/>
          <w:lang w:val="en-US" w:eastAsia="zh-CN"/>
        </w:rPr>
        <w:t>3</w:t>
      </w:r>
      <w:r>
        <w:rPr>
          <w:rFonts w:hint="eastAsia"/>
          <w:color w:val="auto"/>
        </w:rPr>
        <w:t>投标人请注意：</w:t>
      </w:r>
    </w:p>
    <w:p w14:paraId="57B1A12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（1）前次采购失败的，采购代理机构将退还投标人的投标保证金。</w:t>
      </w:r>
    </w:p>
    <w:p w14:paraId="19796CC2">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w:t>
      </w:r>
      <w:r>
        <w:rPr>
          <w:rFonts w:hint="eastAsia"/>
          <w:color w:val="auto"/>
          <w:lang w:val="en-US" w:eastAsia="zh-CN"/>
        </w:rPr>
        <w:t>2</w:t>
      </w:r>
      <w:r>
        <w:rPr>
          <w:rFonts w:hint="eastAsia"/>
          <w:color w:val="auto"/>
        </w:rPr>
        <w:t>）凡转账到本项目前次公告账号的，投标保证金无效。</w:t>
      </w:r>
    </w:p>
    <w:p w14:paraId="40571C8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15.</w:t>
      </w:r>
      <w:r>
        <w:rPr>
          <w:rFonts w:hint="eastAsia"/>
          <w:color w:val="auto"/>
          <w:lang w:val="en-US" w:eastAsia="zh-CN"/>
        </w:rPr>
        <w:t>4</w:t>
      </w:r>
      <w:r>
        <w:rPr>
          <w:rFonts w:hint="eastAsia"/>
          <w:color w:val="auto"/>
        </w:rPr>
        <w:t>有下列情形之一的，投标保证金不予退还：</w:t>
      </w:r>
    </w:p>
    <w:p w14:paraId="5432B8E4">
      <w:pPr>
        <w:pStyle w:val="42"/>
        <w:pageBreakBefore w:val="0"/>
        <w:widowControl w:val="0"/>
        <w:kinsoku/>
        <w:wordWrap/>
        <w:overflowPunct/>
        <w:topLinePunct w:val="0"/>
        <w:autoSpaceDE/>
        <w:autoSpaceDN/>
        <w:bidi w:val="0"/>
        <w:spacing w:before="0" w:beforeLines="0"/>
        <w:ind w:firstLine="480"/>
        <w:textAlignment w:val="baseline"/>
        <w:rPr>
          <w:rFonts w:hint="eastAsia" w:ascii="Times New Roman" w:hAnsi="Times New Roman" w:cs="Times New Roman"/>
          <w:color w:val="auto"/>
        </w:rPr>
      </w:pPr>
      <w:r>
        <w:rPr>
          <w:rFonts w:hint="eastAsia" w:ascii="Times New Roman" w:hAnsi="Times New Roman" w:cs="Times New Roman"/>
          <w:color w:val="auto"/>
        </w:rPr>
        <w:t>（1）供应商在投标、响应截止时间后撤回投标、响应文件的；</w:t>
      </w:r>
    </w:p>
    <w:p w14:paraId="03729232">
      <w:pPr>
        <w:pStyle w:val="42"/>
        <w:pageBreakBefore w:val="0"/>
        <w:widowControl w:val="0"/>
        <w:kinsoku/>
        <w:wordWrap/>
        <w:overflowPunct/>
        <w:topLinePunct w:val="0"/>
        <w:autoSpaceDE/>
        <w:autoSpaceDN/>
        <w:bidi w:val="0"/>
        <w:spacing w:before="0" w:beforeLines="0"/>
        <w:ind w:firstLine="480"/>
        <w:textAlignment w:val="baseline"/>
        <w:rPr>
          <w:rFonts w:hint="eastAsia" w:ascii="等线" w:hAnsi="等线" w:eastAsia="宋体" w:cs="宋体"/>
          <w:color w:val="auto"/>
          <w:lang w:eastAsia="zh-CN"/>
        </w:rPr>
      </w:pPr>
      <w:r>
        <w:rPr>
          <w:rFonts w:hint="eastAsia"/>
          <w:color w:val="auto"/>
        </w:rPr>
        <w:t>（2）供应商在投标、响应文件中提供虚假材料的</w:t>
      </w:r>
      <w:r>
        <w:rPr>
          <w:rFonts w:hint="eastAsia"/>
          <w:color w:val="auto"/>
          <w:lang w:eastAsia="zh-CN"/>
        </w:rPr>
        <w:t>；</w:t>
      </w:r>
    </w:p>
    <w:p w14:paraId="6AF31688">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（3）中标、成交供应商无不可抗力放弃中标、成交结果或者 未按期向采购人提交履约担保并签订合同的；</w:t>
      </w:r>
    </w:p>
    <w:p w14:paraId="12CE8354">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（4）中标、成交供应商在签订合同时向采购人提出附加条件 未获得满足拒签合同的；</w:t>
      </w:r>
    </w:p>
    <w:p w14:paraId="254F36DC">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（5）供应商与其他供应商、采购人、代理机构等恶意串通的。</w:t>
      </w:r>
    </w:p>
    <w:p w14:paraId="34FBD8C4">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（6）</w:t>
      </w:r>
      <w:r>
        <w:rPr>
          <w:rFonts w:hint="eastAsia"/>
          <w:b/>
          <w:color w:val="auto"/>
        </w:rPr>
        <w:t>【投标人须知前附表】</w:t>
      </w:r>
      <w:r>
        <w:rPr>
          <w:rFonts w:hint="eastAsia"/>
          <w:color w:val="auto"/>
        </w:rPr>
        <w:t>中规定的其他不予退还投标保证金的情形。</w:t>
      </w:r>
    </w:p>
    <w:p w14:paraId="61B2246F">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16投标有效期</w:t>
      </w:r>
    </w:p>
    <w:p w14:paraId="380884B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16.1投标有效期为从投标截止之日算起的日历天数，投标有效期详见</w:t>
      </w:r>
      <w:r>
        <w:rPr>
          <w:rFonts w:hint="eastAsia"/>
          <w:b/>
          <w:color w:val="auto"/>
        </w:rPr>
        <w:t>【投标人须知前附表】</w:t>
      </w:r>
      <w:r>
        <w:rPr>
          <w:rFonts w:hint="eastAsia"/>
          <w:color w:val="auto"/>
        </w:rPr>
        <w:t>。</w:t>
      </w:r>
    </w:p>
    <w:p w14:paraId="0C7B2A6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16.2在投标有效期内，投标人的投标保持有效，投标人不得要求撤销或修改其投标文件。投标有效期不满足要求的投标，其投标将被认定为</w:t>
      </w:r>
      <w:r>
        <w:rPr>
          <w:rFonts w:hint="eastAsia"/>
          <w:b/>
          <w:bCs/>
          <w:color w:val="auto"/>
        </w:rPr>
        <w:t>投标无效</w:t>
      </w:r>
      <w:r>
        <w:rPr>
          <w:rFonts w:hint="eastAsia"/>
          <w:color w:val="auto"/>
        </w:rPr>
        <w:t>。</w:t>
      </w:r>
    </w:p>
    <w:p w14:paraId="199A807F">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16.3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B8D21A7">
      <w:pPr>
        <w:pStyle w:val="6"/>
        <w:pageBreakBefore w:val="0"/>
        <w:widowControl w:val="0"/>
        <w:kinsoku/>
        <w:wordWrap/>
        <w:overflowPunct/>
        <w:topLinePunct w:val="0"/>
        <w:autoSpaceDE/>
        <w:autoSpaceDN/>
        <w:bidi w:val="0"/>
        <w:spacing w:before="0" w:after="0"/>
        <w:ind w:firstLine="480"/>
        <w:textAlignment w:val="baseline"/>
        <w:rPr>
          <w:color w:val="auto"/>
          <w:highlight w:val="none"/>
        </w:rPr>
      </w:pPr>
      <w:r>
        <w:rPr>
          <w:rFonts w:hint="eastAsia"/>
          <w:color w:val="auto"/>
          <w:highlight w:val="none"/>
        </w:rPr>
        <w:t>17投标文件的制作</w:t>
      </w:r>
    </w:p>
    <w:p w14:paraId="6BF20434">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17.1本项目要求提供电子投标文件，投标文件的制作应满足以下规定：</w:t>
      </w:r>
    </w:p>
    <w:p w14:paraId="69F0B3E6">
      <w:pPr>
        <w:pStyle w:val="42"/>
        <w:pageBreakBefore w:val="0"/>
        <w:widowControl w:val="0"/>
        <w:kinsoku/>
        <w:wordWrap/>
        <w:overflowPunct/>
        <w:topLinePunct w:val="0"/>
        <w:autoSpaceDE/>
        <w:autoSpaceDN/>
        <w:bidi w:val="0"/>
        <w:spacing w:before="0" w:beforeLines="0"/>
        <w:ind w:firstLine="480"/>
        <w:textAlignment w:val="baseline"/>
        <w:rPr>
          <w:rFonts w:hint="eastAsia"/>
          <w:color w:val="auto"/>
          <w:highlight w:val="none"/>
        </w:rPr>
      </w:pPr>
      <w:r>
        <w:rPr>
          <w:rFonts w:hint="eastAsia"/>
          <w:color w:val="auto"/>
          <w:highlight w:val="none"/>
        </w:rPr>
        <w:t>（1）投标文件由投标人</w:t>
      </w:r>
      <w:r>
        <w:rPr>
          <w:rFonts w:hint="eastAsia"/>
          <w:color w:val="auto"/>
          <w:highlight w:val="none"/>
          <w:lang w:val="en-US" w:eastAsia="zh-CN"/>
        </w:rPr>
        <w:t>按照招标文件要求编制后自行上传</w:t>
      </w:r>
      <w:r>
        <w:rPr>
          <w:rFonts w:hint="eastAsia"/>
          <w:color w:val="auto"/>
          <w:highlight w:val="none"/>
        </w:rPr>
        <w:t>电子交易系统。</w:t>
      </w:r>
    </w:p>
    <w:p w14:paraId="3F7842EA">
      <w:pPr>
        <w:pStyle w:val="42"/>
        <w:pageBreakBefore w:val="0"/>
        <w:widowControl w:val="0"/>
        <w:kinsoku/>
        <w:wordWrap/>
        <w:overflowPunct/>
        <w:topLinePunct w:val="0"/>
        <w:autoSpaceDE/>
        <w:autoSpaceDN/>
        <w:bidi w:val="0"/>
        <w:spacing w:before="0" w:beforeLines="0"/>
        <w:ind w:firstLine="480"/>
        <w:rPr>
          <w:color w:val="auto"/>
          <w:highlight w:val="none"/>
        </w:rPr>
      </w:pPr>
      <w:r>
        <w:rPr>
          <w:rFonts w:hint="eastAsia"/>
          <w:color w:val="auto"/>
          <w:highlight w:val="none"/>
        </w:rPr>
        <w:t>（2）在第六章“投标文件格式”中要求盖投标人电子签章处，投标人均应加盖投标人电子签章。联合体投标的，除联合体协议及联合体各成员单位提供的本单位证明材料外，投标文件由联合体牵头人按上述规定加盖联合体牵头人单位电子签章。</w:t>
      </w:r>
    </w:p>
    <w:p w14:paraId="1B681454">
      <w:pPr>
        <w:pStyle w:val="42"/>
        <w:pageBreakBefore w:val="0"/>
        <w:widowControl w:val="0"/>
        <w:kinsoku/>
        <w:wordWrap/>
        <w:overflowPunct/>
        <w:topLinePunct w:val="0"/>
        <w:autoSpaceDE/>
        <w:autoSpaceDN/>
        <w:bidi w:val="0"/>
        <w:spacing w:before="0" w:beforeLines="0"/>
        <w:ind w:firstLine="480"/>
        <w:textAlignment w:val="baseline"/>
        <w:rPr>
          <w:color w:val="auto"/>
          <w:highlight w:val="none"/>
        </w:rPr>
      </w:pPr>
      <w:r>
        <w:rPr>
          <w:rFonts w:hint="eastAsia"/>
          <w:color w:val="auto"/>
          <w:highlight w:val="none"/>
        </w:rPr>
        <w:t>17.2因投标人自身原因而导致投标文件无法导入电子交易系统电子开标、评标系统，该投标视为无效投标，投标人自行承担由此导致的全部责任。</w:t>
      </w:r>
    </w:p>
    <w:p w14:paraId="5AB94547">
      <w:pPr>
        <w:pStyle w:val="6"/>
        <w:pageBreakBefore w:val="0"/>
        <w:widowControl w:val="0"/>
        <w:kinsoku/>
        <w:wordWrap/>
        <w:overflowPunct/>
        <w:topLinePunct w:val="0"/>
        <w:autoSpaceDE/>
        <w:autoSpaceDN/>
        <w:bidi w:val="0"/>
        <w:spacing w:before="0" w:after="0"/>
        <w:ind w:firstLine="480"/>
        <w:textAlignment w:val="baseline"/>
        <w:rPr>
          <w:color w:val="auto"/>
          <w:highlight w:val="none"/>
        </w:rPr>
      </w:pPr>
      <w:r>
        <w:rPr>
          <w:rFonts w:hint="eastAsia"/>
          <w:color w:val="auto"/>
          <w:highlight w:val="none"/>
        </w:rPr>
        <w:t>18投标截止</w:t>
      </w:r>
    </w:p>
    <w:p w14:paraId="0864561D">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18.1投标人应在</w:t>
      </w:r>
      <w:r>
        <w:rPr>
          <w:rFonts w:hint="eastAsia"/>
          <w:b/>
          <w:bCs/>
          <w:color w:val="auto"/>
          <w:highlight w:val="none"/>
        </w:rPr>
        <w:t>【投标人须知前附表】</w:t>
      </w:r>
      <w:r>
        <w:rPr>
          <w:rFonts w:hint="eastAsia"/>
          <w:color w:val="auto"/>
          <w:highlight w:val="none"/>
        </w:rPr>
        <w:t>中规定的投标截止时间前，在网上提交电子投标文件。</w:t>
      </w:r>
    </w:p>
    <w:p w14:paraId="277A730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18.</w:t>
      </w:r>
      <w:r>
        <w:rPr>
          <w:rFonts w:hint="eastAsia"/>
          <w:color w:val="auto"/>
          <w:highlight w:val="none"/>
          <w:lang w:val="en-US" w:eastAsia="zh-CN"/>
        </w:rPr>
        <w:t>2</w:t>
      </w:r>
      <w:r>
        <w:rPr>
          <w:rFonts w:hint="eastAsia"/>
          <w:color w:val="auto"/>
          <w:highlight w:val="none"/>
        </w:rPr>
        <w:t>采购人和采购代理机构有权按本招标文件的规定，延迟投标截止时间。在此情况下，采购人、采购代理机构和投标人受投标截止时间制约的所有权利和义务均应延长至新的截止时间。</w:t>
      </w:r>
    </w:p>
    <w:p w14:paraId="4537BC7B">
      <w:pPr>
        <w:pStyle w:val="6"/>
        <w:pageBreakBefore w:val="0"/>
        <w:widowControl w:val="0"/>
        <w:kinsoku/>
        <w:wordWrap/>
        <w:overflowPunct/>
        <w:topLinePunct w:val="0"/>
        <w:autoSpaceDE/>
        <w:autoSpaceDN/>
        <w:bidi w:val="0"/>
        <w:spacing w:before="0" w:after="0"/>
        <w:ind w:firstLine="480"/>
        <w:textAlignment w:val="baseline"/>
        <w:rPr>
          <w:color w:val="auto"/>
          <w:highlight w:val="none"/>
        </w:rPr>
      </w:pPr>
      <w:r>
        <w:rPr>
          <w:rFonts w:hint="eastAsia"/>
          <w:color w:val="auto"/>
          <w:highlight w:val="none"/>
        </w:rPr>
        <w:t>19投标文件的修改和撤回</w:t>
      </w:r>
    </w:p>
    <w:p w14:paraId="643D8DD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19.1投标人应当在第一章“招标公告”规定的投标截止时间前，将投标文件在电子交易系统上传。</w:t>
      </w:r>
    </w:p>
    <w:p w14:paraId="386A48C7">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19.2投标人应当在投标截止时间前完成投标文件的传输递交（以接收到电子签收凭证为准），并可以补充、修改或者撤回投标文件。投标截止时间前未完成投标文件传输的，视为撤回投标文件。未按规定</w:t>
      </w:r>
      <w:r>
        <w:rPr>
          <w:rFonts w:hint="eastAsia"/>
          <w:color w:val="auto"/>
          <w:highlight w:val="none"/>
          <w:lang w:val="en-US" w:eastAsia="zh-CN"/>
        </w:rPr>
        <w:t>在</w:t>
      </w:r>
      <w:r>
        <w:rPr>
          <w:rFonts w:hint="eastAsia"/>
          <w:color w:val="auto"/>
          <w:highlight w:val="none"/>
        </w:rPr>
        <w:t>投标截止时间后送达的投标文件，电子交易系统应当拒收。</w:t>
      </w:r>
    </w:p>
    <w:p w14:paraId="3B3B8561">
      <w:pPr>
        <w:pStyle w:val="6"/>
        <w:pageBreakBefore w:val="0"/>
        <w:widowControl w:val="0"/>
        <w:kinsoku/>
        <w:wordWrap/>
        <w:overflowPunct/>
        <w:topLinePunct w:val="0"/>
        <w:autoSpaceDE/>
        <w:autoSpaceDN/>
        <w:bidi w:val="0"/>
        <w:spacing w:before="0" w:after="0"/>
        <w:ind w:firstLine="480"/>
        <w:textAlignment w:val="baseline"/>
        <w:rPr>
          <w:color w:val="auto"/>
          <w:highlight w:val="none"/>
        </w:rPr>
      </w:pPr>
      <w:r>
        <w:rPr>
          <w:rFonts w:hint="eastAsia"/>
          <w:color w:val="auto"/>
          <w:highlight w:val="none"/>
        </w:rPr>
        <w:t>20开标</w:t>
      </w:r>
    </w:p>
    <w:p w14:paraId="4D87F781">
      <w:pPr>
        <w:pStyle w:val="42"/>
        <w:pageBreakBefore w:val="0"/>
        <w:widowControl w:val="0"/>
        <w:kinsoku/>
        <w:wordWrap/>
        <w:overflowPunct/>
        <w:topLinePunct w:val="0"/>
        <w:autoSpaceDE/>
        <w:autoSpaceDN/>
        <w:bidi w:val="0"/>
        <w:spacing w:before="0" w:beforeLines="0"/>
        <w:ind w:firstLine="480"/>
        <w:textAlignment w:val="baseline"/>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本项目属于电子标项目，实行线上开标，所有投标人应当准时在线参加竞价，并在规定的时间内上传投标文件。</w:t>
      </w:r>
    </w:p>
    <w:p w14:paraId="0AD2FF4A">
      <w:pPr>
        <w:pStyle w:val="6"/>
        <w:pageBreakBefore w:val="0"/>
        <w:widowControl w:val="0"/>
        <w:kinsoku/>
        <w:wordWrap/>
        <w:overflowPunct/>
        <w:topLinePunct w:val="0"/>
        <w:autoSpaceDE/>
        <w:autoSpaceDN/>
        <w:bidi w:val="0"/>
        <w:spacing w:before="0" w:after="0"/>
        <w:ind w:firstLine="480" w:firstLineChars="200"/>
        <w:textAlignment w:val="baseline"/>
        <w:rPr>
          <w:color w:val="auto"/>
          <w:highlight w:val="none"/>
        </w:rPr>
      </w:pPr>
      <w:r>
        <w:rPr>
          <w:rFonts w:hint="eastAsia"/>
          <w:color w:val="auto"/>
          <w:highlight w:val="none"/>
        </w:rPr>
        <w:t>2</w:t>
      </w:r>
      <w:r>
        <w:rPr>
          <w:rFonts w:hint="eastAsia"/>
          <w:color w:val="auto"/>
          <w:highlight w:val="none"/>
          <w:lang w:val="en-US" w:eastAsia="zh-CN"/>
        </w:rPr>
        <w:t>1</w:t>
      </w:r>
      <w:r>
        <w:rPr>
          <w:rFonts w:hint="eastAsia"/>
          <w:color w:val="auto"/>
          <w:highlight w:val="none"/>
        </w:rPr>
        <w:t>资格</w:t>
      </w:r>
      <w:r>
        <w:rPr>
          <w:rFonts w:hint="eastAsia"/>
          <w:color w:val="auto"/>
          <w:highlight w:val="none"/>
          <w:lang w:val="en-US" w:eastAsia="zh-CN"/>
        </w:rPr>
        <w:t>审查</w:t>
      </w:r>
    </w:p>
    <w:p w14:paraId="1BDB8F12">
      <w:pPr>
        <w:pStyle w:val="42"/>
        <w:pageBreakBefore w:val="0"/>
        <w:widowControl w:val="0"/>
        <w:kinsoku/>
        <w:wordWrap/>
        <w:overflowPunct/>
        <w:topLinePunct w:val="0"/>
        <w:autoSpaceDE/>
        <w:autoSpaceDN/>
        <w:bidi w:val="0"/>
        <w:spacing w:before="0" w:beforeLines="0"/>
        <w:ind w:firstLine="480"/>
        <w:textAlignment w:val="baseline"/>
        <w:rPr>
          <w:rFonts w:hint="eastAsia" w:ascii="等线" w:hAnsi="等线" w:eastAsia="宋体" w:cs="宋体"/>
          <w:color w:val="auto"/>
          <w:highlight w:val="none"/>
          <w:lang w:val="en-US" w:eastAsia="zh-CN"/>
        </w:rPr>
      </w:pPr>
      <w:r>
        <w:rPr>
          <w:rFonts w:hint="eastAsia"/>
          <w:color w:val="auto"/>
          <w:highlight w:val="none"/>
        </w:rPr>
        <w:t>2</w:t>
      </w:r>
      <w:r>
        <w:rPr>
          <w:rFonts w:hint="eastAsia"/>
          <w:color w:val="auto"/>
          <w:highlight w:val="none"/>
          <w:lang w:val="en-US" w:eastAsia="zh-CN"/>
        </w:rPr>
        <w:t>1</w:t>
      </w:r>
      <w:r>
        <w:rPr>
          <w:rFonts w:hint="eastAsia"/>
          <w:color w:val="auto"/>
          <w:highlight w:val="none"/>
        </w:rPr>
        <w:t>.1评审专家组依据</w:t>
      </w:r>
      <w:r>
        <w:rPr>
          <w:rFonts w:hint="eastAsia"/>
          <w:color w:val="auto"/>
          <w:highlight w:val="none"/>
          <w:lang w:val="en-US" w:eastAsia="zh-CN"/>
        </w:rPr>
        <w:t>招标</w:t>
      </w:r>
      <w:r>
        <w:rPr>
          <w:rFonts w:hint="eastAsia"/>
          <w:color w:val="auto"/>
          <w:highlight w:val="none"/>
        </w:rPr>
        <w:t>文件规定的评审办法进行在线评审，负责</w:t>
      </w:r>
      <w:r>
        <w:rPr>
          <w:rFonts w:hint="eastAsia"/>
          <w:color w:val="auto"/>
          <w:highlight w:val="none"/>
          <w:lang w:val="en-US" w:eastAsia="zh-CN"/>
        </w:rPr>
        <w:t>投标人</w:t>
      </w:r>
      <w:r>
        <w:rPr>
          <w:rFonts w:hint="eastAsia"/>
          <w:color w:val="auto"/>
          <w:highlight w:val="none"/>
        </w:rPr>
        <w:t>资格审查，并对评审结果签字确认。未通过资格审查的投标人不进入</w:t>
      </w:r>
      <w:r>
        <w:rPr>
          <w:rFonts w:hint="eastAsia"/>
          <w:color w:val="auto"/>
          <w:highlight w:val="none"/>
          <w:lang w:val="en-US" w:eastAsia="zh-CN"/>
        </w:rPr>
        <w:t>下一个评审环节</w:t>
      </w:r>
      <w:r>
        <w:rPr>
          <w:rFonts w:hint="eastAsia"/>
          <w:color w:val="auto"/>
          <w:highlight w:val="none"/>
        </w:rPr>
        <w:t>。</w:t>
      </w:r>
      <w:r>
        <w:rPr>
          <w:rFonts w:hint="eastAsia"/>
          <w:color w:val="auto"/>
          <w:highlight w:val="none"/>
          <w:lang w:val="en-US" w:eastAsia="zh-CN"/>
        </w:rPr>
        <w:t xml:space="preserve"> </w:t>
      </w:r>
    </w:p>
    <w:p w14:paraId="3927EA1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2</w:t>
      </w:r>
      <w:r>
        <w:rPr>
          <w:rFonts w:hint="eastAsia"/>
          <w:color w:val="auto"/>
          <w:highlight w:val="none"/>
          <w:lang w:val="en-US" w:eastAsia="zh-CN"/>
        </w:rPr>
        <w:t>1</w:t>
      </w:r>
      <w:r>
        <w:rPr>
          <w:rFonts w:hint="eastAsia"/>
          <w:color w:val="auto"/>
          <w:highlight w:val="none"/>
        </w:rPr>
        <w:t>.2采购人或采购代理机构将在投标截止时间后至评审结束前查询投标人的信用记录。投标人存在不良信用记录的，其投标将被认定为投标无效。</w:t>
      </w:r>
    </w:p>
    <w:p w14:paraId="0AD5C598">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2</w:t>
      </w:r>
      <w:r>
        <w:rPr>
          <w:rFonts w:hint="eastAsia"/>
          <w:color w:val="auto"/>
          <w:highlight w:val="none"/>
          <w:lang w:val="en-US" w:eastAsia="zh-CN"/>
        </w:rPr>
        <w:t>1</w:t>
      </w:r>
      <w:r>
        <w:rPr>
          <w:rFonts w:hint="eastAsia"/>
          <w:color w:val="auto"/>
          <w:highlight w:val="none"/>
        </w:rPr>
        <w:t>.2.1不良信用记录是指：（1）供应商被人民法院列入失信被执行人；（</w:t>
      </w:r>
      <w:r>
        <w:rPr>
          <w:rFonts w:hint="eastAsia"/>
          <w:color w:val="auto"/>
          <w:highlight w:val="none"/>
          <w:lang w:val="en-US" w:eastAsia="zh-CN"/>
        </w:rPr>
        <w:t>2</w:t>
      </w:r>
      <w:r>
        <w:rPr>
          <w:rFonts w:hint="eastAsia"/>
          <w:color w:val="auto"/>
          <w:highlight w:val="none"/>
        </w:rPr>
        <w:t>）供应商被税务部门列入重大税收违法案件当事人名单；（</w:t>
      </w:r>
      <w:r>
        <w:rPr>
          <w:rFonts w:hint="eastAsia"/>
          <w:color w:val="auto"/>
          <w:highlight w:val="none"/>
          <w:lang w:val="en-US" w:eastAsia="zh-CN"/>
        </w:rPr>
        <w:t>3</w:t>
      </w:r>
      <w:r>
        <w:rPr>
          <w:rFonts w:hint="eastAsia"/>
          <w:color w:val="auto"/>
          <w:highlight w:val="none"/>
        </w:rPr>
        <w:t>）供应商被政府采购监管部门列入政府采购严重违法失信行为记录名单，以及存在《中华人民共和国政府采购法实施条例》第十九条规定的行政处罚记录。</w:t>
      </w:r>
    </w:p>
    <w:p w14:paraId="5C20029F">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以联合体形式参加投标的，联合体任何成员存在以上不良信用记录的，联合体投标将被认定为投标无效。</w:t>
      </w:r>
    </w:p>
    <w:p w14:paraId="6548E163">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2</w:t>
      </w:r>
      <w:r>
        <w:rPr>
          <w:rFonts w:hint="eastAsia"/>
          <w:color w:val="auto"/>
          <w:highlight w:val="none"/>
          <w:lang w:val="en-US" w:eastAsia="zh-CN"/>
        </w:rPr>
        <w:t>1</w:t>
      </w:r>
      <w:r>
        <w:rPr>
          <w:rFonts w:hint="eastAsia"/>
          <w:color w:val="auto"/>
          <w:highlight w:val="none"/>
        </w:rPr>
        <w:t>.2.2信用信息查询渠道：中国政府采购网（www.ccgp.gov.cn）、“信用中国”网站（www.creditchina.gov.cn）。</w:t>
      </w:r>
    </w:p>
    <w:p w14:paraId="469A1BB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2</w:t>
      </w:r>
      <w:r>
        <w:rPr>
          <w:rFonts w:hint="eastAsia"/>
          <w:color w:val="auto"/>
          <w:highlight w:val="none"/>
          <w:lang w:val="en-US" w:eastAsia="zh-CN"/>
        </w:rPr>
        <w:t>1</w:t>
      </w:r>
      <w:r>
        <w:rPr>
          <w:rFonts w:hint="eastAsia"/>
          <w:color w:val="auto"/>
          <w:highlight w:val="none"/>
        </w:rPr>
        <w:t>.2.3信用信息记录方式：采购人或采购代理机构工作人员将查询网页打印、签字并存档备查。投标人不良信用记录以采购人或采购代理机构查询结果为准。</w:t>
      </w:r>
    </w:p>
    <w:p w14:paraId="3237CFA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在本招标文件规定的查询时间之外，网站信息发生的任何变更均不作为资格审查依据。</w:t>
      </w:r>
    </w:p>
    <w:p w14:paraId="226950A9">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highlight w:val="none"/>
        </w:rPr>
      </w:pPr>
      <w:r>
        <w:rPr>
          <w:rFonts w:hint="eastAsia"/>
          <w:color w:val="auto"/>
          <w:highlight w:val="none"/>
        </w:rPr>
        <w:t>投标人自行提供的与网站信息不一致的其他证明材料亦不作为资格审查依据。</w:t>
      </w:r>
    </w:p>
    <w:p w14:paraId="7F53B86E">
      <w:pPr>
        <w:pStyle w:val="6"/>
        <w:pageBreakBefore w:val="0"/>
        <w:widowControl w:val="0"/>
        <w:kinsoku/>
        <w:wordWrap/>
        <w:overflowPunct/>
        <w:topLinePunct w:val="0"/>
        <w:autoSpaceDE/>
        <w:autoSpaceDN/>
        <w:bidi w:val="0"/>
        <w:spacing w:before="0" w:after="0"/>
        <w:ind w:firstLine="480" w:firstLineChars="200"/>
        <w:textAlignment w:val="baseline"/>
        <w:rPr>
          <w:rFonts w:hint="default"/>
          <w:color w:val="auto"/>
          <w:highlight w:val="none"/>
          <w:lang w:val="en-US" w:eastAsia="zh-CN"/>
        </w:rPr>
      </w:pPr>
      <w:r>
        <w:rPr>
          <w:rFonts w:hint="eastAsia"/>
          <w:color w:val="auto"/>
          <w:highlight w:val="none"/>
        </w:rPr>
        <w:t>2</w:t>
      </w:r>
      <w:r>
        <w:rPr>
          <w:rFonts w:hint="eastAsia"/>
          <w:color w:val="auto"/>
          <w:highlight w:val="none"/>
          <w:lang w:val="en-US" w:eastAsia="zh-CN"/>
        </w:rPr>
        <w:t>2评标委员会</w:t>
      </w:r>
    </w:p>
    <w:p w14:paraId="35C4A4D3">
      <w:pPr>
        <w:pStyle w:val="42"/>
        <w:pageBreakBefore w:val="0"/>
        <w:widowControl w:val="0"/>
        <w:kinsoku/>
        <w:wordWrap/>
        <w:overflowPunct/>
        <w:topLinePunct w:val="0"/>
        <w:autoSpaceDE/>
        <w:autoSpaceDN/>
        <w:bidi w:val="0"/>
        <w:spacing w:before="0" w:beforeLines="0"/>
        <w:ind w:firstLine="480"/>
        <w:textAlignment w:val="baseline"/>
        <w:rPr>
          <w:rFonts w:hint="eastAsia"/>
          <w:color w:val="auto"/>
        </w:rPr>
      </w:pPr>
      <w:r>
        <w:rPr>
          <w:rFonts w:hint="eastAsia"/>
          <w:color w:val="auto"/>
          <w:highlight w:val="none"/>
          <w:lang w:val="en-US" w:eastAsia="zh-CN"/>
        </w:rPr>
        <w:t>22.1</w:t>
      </w:r>
      <w:r>
        <w:rPr>
          <w:rFonts w:hint="eastAsia"/>
          <w:color w:val="auto"/>
          <w:highlight w:val="none"/>
        </w:rPr>
        <w:t>按照《中华人民共和国政府采购法</w:t>
      </w:r>
      <w:r>
        <w:rPr>
          <w:rFonts w:hint="eastAsia"/>
          <w:color w:val="auto"/>
          <w:highlight w:val="none"/>
          <w:lang w:eastAsia="zh-CN"/>
        </w:rPr>
        <w:t>》《</w:t>
      </w:r>
      <w:r>
        <w:rPr>
          <w:rFonts w:hint="eastAsia"/>
          <w:color w:val="auto"/>
          <w:highlight w:val="none"/>
        </w:rPr>
        <w:t>中华人民共和国政府采购法实施条例》</w:t>
      </w:r>
      <w:r>
        <w:rPr>
          <w:rFonts w:hint="eastAsia"/>
          <w:color w:val="auto"/>
        </w:rPr>
        <w:t>及本项目本级和上级财政部门、政府采购监督管理部门的有关规定依法组建的评标委员会，负责本项目评标工作。</w:t>
      </w:r>
    </w:p>
    <w:p w14:paraId="23962368">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lang w:val="en-US" w:eastAsia="zh-CN"/>
        </w:rPr>
        <w:t>22.2</w:t>
      </w:r>
      <w:r>
        <w:rPr>
          <w:rFonts w:hint="eastAsia"/>
          <w:color w:val="auto"/>
        </w:rPr>
        <w:t>评标委员会成员有下列情形之一的，应当回避：</w:t>
      </w:r>
    </w:p>
    <w:p w14:paraId="7D3851CD">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rPr>
        <w:t>（1）参加采购活动前三年内</w:t>
      </w:r>
      <w:r>
        <w:rPr>
          <w:rFonts w:hint="eastAsia"/>
          <w:color w:val="auto"/>
          <w:lang w:eastAsia="zh-CN"/>
        </w:rPr>
        <w:t>，</w:t>
      </w:r>
      <w:r>
        <w:rPr>
          <w:rFonts w:hint="eastAsia"/>
          <w:color w:val="auto"/>
        </w:rPr>
        <w:t>与投标人存在劳动关系</w:t>
      </w:r>
      <w:r>
        <w:rPr>
          <w:rFonts w:hint="eastAsia"/>
          <w:color w:val="auto"/>
          <w:lang w:eastAsia="zh-CN"/>
        </w:rPr>
        <w:t>，</w:t>
      </w:r>
      <w:r>
        <w:rPr>
          <w:rFonts w:hint="eastAsia"/>
          <w:color w:val="auto"/>
        </w:rPr>
        <w:t>或者担任过投标人的董事、监事</w:t>
      </w:r>
      <w:r>
        <w:rPr>
          <w:rFonts w:hint="eastAsia"/>
          <w:color w:val="auto"/>
          <w:lang w:eastAsia="zh-CN"/>
        </w:rPr>
        <w:t>，</w:t>
      </w:r>
      <w:r>
        <w:rPr>
          <w:rFonts w:hint="eastAsia"/>
          <w:color w:val="auto"/>
        </w:rPr>
        <w:t>或者是投标人的控股股东或实际控制人；</w:t>
      </w:r>
    </w:p>
    <w:p w14:paraId="3C29B17A">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rPr>
        <w:t>（2）与投标人的法定代表人或者负责人有夫妻、直系血亲、三代以内旁系血亲或者近姻亲关系；</w:t>
      </w:r>
    </w:p>
    <w:p w14:paraId="65A6730E">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rPr>
        <w:t>（3）与投标人有其他可能影响政府采购活动公平、公正进行的关系。</w:t>
      </w:r>
    </w:p>
    <w:p w14:paraId="6EBDE115">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lang w:val="en-US" w:eastAsia="zh-CN"/>
        </w:rPr>
        <w:t>22.3</w:t>
      </w:r>
      <w:r>
        <w:rPr>
          <w:rFonts w:hint="eastAsia"/>
          <w:color w:val="auto"/>
        </w:rPr>
        <w:t>评标委员会负责具体评标事务，并独立履行下列职责：</w:t>
      </w:r>
    </w:p>
    <w:p w14:paraId="52EEB4BB">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rPr>
        <w:t>（1）审查、评价投标文件是否符合招标文件的商务、技术等实质性要求；</w:t>
      </w:r>
    </w:p>
    <w:p w14:paraId="60104E4A">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rPr>
        <w:t>（2）要求投标人对投标文件有关事项作出澄清或者说明；</w:t>
      </w:r>
    </w:p>
    <w:p w14:paraId="09C8B602">
      <w:pPr>
        <w:pStyle w:val="42"/>
        <w:pageBreakBefore w:val="0"/>
        <w:widowControl w:val="0"/>
        <w:kinsoku/>
        <w:wordWrap/>
        <w:overflowPunct/>
        <w:topLinePunct w:val="0"/>
        <w:autoSpaceDE/>
        <w:autoSpaceDN/>
        <w:bidi w:val="0"/>
        <w:spacing w:before="0" w:beforeLines="0"/>
        <w:ind w:firstLine="480"/>
        <w:rPr>
          <w:color w:val="auto"/>
        </w:rPr>
      </w:pPr>
      <w:r>
        <w:rPr>
          <w:rFonts w:hint="eastAsia"/>
          <w:color w:val="auto"/>
        </w:rPr>
        <w:t>（3）对投标文件进行比较和评价；</w:t>
      </w:r>
    </w:p>
    <w:p w14:paraId="0FB22DE9">
      <w:pPr>
        <w:pStyle w:val="42"/>
        <w:pageBreakBefore w:val="0"/>
        <w:widowControl w:val="0"/>
        <w:kinsoku/>
        <w:wordWrap/>
        <w:overflowPunct/>
        <w:topLinePunct w:val="0"/>
        <w:autoSpaceDE/>
        <w:autoSpaceDN/>
        <w:bidi w:val="0"/>
        <w:spacing w:before="0" w:beforeLines="0"/>
        <w:ind w:firstLine="480"/>
        <w:rPr>
          <w:rFonts w:hint="eastAsia"/>
          <w:color w:val="auto"/>
        </w:rPr>
      </w:pPr>
      <w:r>
        <w:rPr>
          <w:rFonts w:hint="eastAsia"/>
          <w:color w:val="auto"/>
        </w:rPr>
        <w:t>（4）确定中标候选人名单，以及根据采购人委托直接确定中标人。</w:t>
      </w:r>
    </w:p>
    <w:p w14:paraId="4DA2BA8B">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2</w:t>
      </w:r>
      <w:r>
        <w:rPr>
          <w:rFonts w:hint="eastAsia"/>
          <w:color w:val="auto"/>
          <w:lang w:val="en-US" w:eastAsia="zh-CN"/>
        </w:rPr>
        <w:t>3</w:t>
      </w:r>
      <w:r>
        <w:rPr>
          <w:rFonts w:hint="eastAsia"/>
          <w:color w:val="auto"/>
        </w:rPr>
        <w:t>投标文件符合性审查与澄清</w:t>
      </w:r>
    </w:p>
    <w:p w14:paraId="5F2EEDB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3</w:t>
      </w:r>
      <w:r>
        <w:rPr>
          <w:rFonts w:hint="eastAsia"/>
          <w:color w:val="auto"/>
        </w:rPr>
        <w:t>.1符合性审查是指依据招标文件的规定，从投标文件的有效性和完整性对招标文件的响应程度进行审查，以确定是否对招标文件的实质性要求做出响应。</w:t>
      </w:r>
    </w:p>
    <w:p w14:paraId="0924021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3</w:t>
      </w:r>
      <w:r>
        <w:rPr>
          <w:rFonts w:hint="eastAsia"/>
          <w:color w:val="auto"/>
        </w:rPr>
        <w:t>.2投标文件的澄清</w:t>
      </w:r>
    </w:p>
    <w:p w14:paraId="50B9B127">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3</w:t>
      </w:r>
      <w:r>
        <w:rPr>
          <w:rFonts w:hint="eastAsia"/>
          <w:color w:val="auto"/>
        </w:rPr>
        <w:t>.2.1为有助于投标文件的审查、评价和比较，在评标期间，评标委员会将以书面方式（询标）要求投标人对其投标文件中含义不明确、对同类问题表述不一致或者有明显文字和计算错误的内容，有可能影响履约的情况做必要的澄清、说明或补正。投标人的澄清、说明或补正应在评标委员会规定的时间内以书面方式进行，并不得超出投标文件范围或者改变投标文件的实质性内容。</w:t>
      </w:r>
    </w:p>
    <w:p w14:paraId="2BC597A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3</w:t>
      </w:r>
      <w:r>
        <w:rPr>
          <w:rFonts w:hint="eastAsia"/>
          <w:color w:val="auto"/>
        </w:rPr>
        <w:t>.2.2投标人的澄清、说明或补正将作为投标文件的一部分。</w:t>
      </w:r>
    </w:p>
    <w:p w14:paraId="52F8DF32">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3</w:t>
      </w:r>
      <w:r>
        <w:rPr>
          <w:rFonts w:hint="eastAsia"/>
          <w:color w:val="auto"/>
        </w:rPr>
        <w:t>.2.3评标委员会对投标人提交的澄清、说明或补正有疑问的，可以要求投标人进一步澄清、说明或补正，直至满足评标委员会的要求。</w:t>
      </w:r>
    </w:p>
    <w:p w14:paraId="2F4039E3">
      <w:pPr>
        <w:pStyle w:val="42"/>
        <w:pageBreakBefore w:val="0"/>
        <w:widowControl w:val="0"/>
        <w:kinsoku/>
        <w:wordWrap/>
        <w:overflowPunct/>
        <w:topLinePunct w:val="0"/>
        <w:autoSpaceDE/>
        <w:autoSpaceDN/>
        <w:bidi w:val="0"/>
        <w:spacing w:before="0" w:beforeLines="0"/>
        <w:ind w:firstLine="480" w:firstLineChars="200"/>
        <w:textAlignment w:val="baseline"/>
        <w:rPr>
          <w:rFonts w:ascii="等线" w:hAnsi="等线" w:eastAsia="等线" w:cs="宋体"/>
          <w:color w:val="auto"/>
        </w:rPr>
      </w:pPr>
      <w:r>
        <w:rPr>
          <w:rFonts w:hint="eastAsia"/>
          <w:color w:val="auto"/>
        </w:rPr>
        <w:t>对不同文字文本投标文件的解释发生异议的，以中文文本为准。</w:t>
      </w:r>
    </w:p>
    <w:p w14:paraId="680FD3AC">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2</w:t>
      </w:r>
      <w:r>
        <w:rPr>
          <w:rFonts w:hint="eastAsia"/>
          <w:color w:val="auto"/>
          <w:lang w:val="en-US" w:eastAsia="zh-CN"/>
        </w:rPr>
        <w:t>4</w:t>
      </w:r>
      <w:r>
        <w:rPr>
          <w:rFonts w:hint="eastAsia"/>
          <w:color w:val="auto"/>
        </w:rPr>
        <w:t>投标无效</w:t>
      </w:r>
    </w:p>
    <w:p w14:paraId="35B30F7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4</w:t>
      </w:r>
      <w:r>
        <w:rPr>
          <w:rFonts w:hint="eastAsia"/>
          <w:color w:val="auto"/>
        </w:rPr>
        <w:t>.1根据本招标文件的规定，评标委员会要审查每份投标文件是否实质上响应了招标文件的要求。投标人不得通过修正或撤销不符合要求的偏离，从而使其投标成为实质上响应的投标。</w:t>
      </w:r>
    </w:p>
    <w:p w14:paraId="6E20722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评标委员会决定投标的响应性质根据招标文件要求和投标文件内容。</w:t>
      </w:r>
    </w:p>
    <w:p w14:paraId="0142FC8E">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无论何种原因，即使投标人投标时携带了证书材料的原件，但投标文件中未提供与之内容完全一致的扫描件的，评标委员会视同其未提供。</w:t>
      </w:r>
    </w:p>
    <w:p w14:paraId="484B8A2B">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4</w:t>
      </w:r>
      <w:r>
        <w:rPr>
          <w:rFonts w:hint="eastAsia"/>
          <w:color w:val="auto"/>
        </w:rPr>
        <w:t>.2如发现下列情况之一的，其投标将被认定为投标无效：</w:t>
      </w:r>
    </w:p>
    <w:p w14:paraId="5FF49E4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（1）未按招标文件的规定提交投标保证金的；</w:t>
      </w:r>
    </w:p>
    <w:p w14:paraId="1B47E930">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（2）投标文件未按照招标文件规定要求签署、盖章的；</w:t>
      </w:r>
    </w:p>
    <w:p w14:paraId="631ED85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（3）不具备招标文件中规定的资格要求的；</w:t>
      </w:r>
    </w:p>
    <w:p w14:paraId="1B8C792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（4）报价超过招标文件中规定的预算金额或者最高限价的；</w:t>
      </w:r>
    </w:p>
    <w:p w14:paraId="0F3C3E1C">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（5）投标文件含有采购人不能接受的附加条件的；</w:t>
      </w:r>
    </w:p>
    <w:p w14:paraId="1956152D">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（6）法律、法规和招标文件规定的其他无效情形。</w:t>
      </w:r>
    </w:p>
    <w:p w14:paraId="53482039">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2</w:t>
      </w:r>
      <w:r>
        <w:rPr>
          <w:rFonts w:hint="eastAsia"/>
          <w:color w:val="auto"/>
          <w:lang w:val="en-US" w:eastAsia="zh-CN"/>
        </w:rPr>
        <w:t>5</w:t>
      </w:r>
      <w:r>
        <w:rPr>
          <w:rFonts w:hint="eastAsia"/>
          <w:color w:val="auto"/>
        </w:rPr>
        <w:t>比较与评价</w:t>
      </w:r>
    </w:p>
    <w:p w14:paraId="7656F4CC">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5</w:t>
      </w:r>
      <w:r>
        <w:rPr>
          <w:rFonts w:hint="eastAsia"/>
          <w:color w:val="auto"/>
        </w:rPr>
        <w:t>.1经符合性审查合格的投标文件，评标委员会将根据招标文件确定的评标方法和标准，对其投标文件做进一步的比较与评价。</w:t>
      </w:r>
    </w:p>
    <w:p w14:paraId="6DDD3DF8">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5</w:t>
      </w:r>
      <w:r>
        <w:rPr>
          <w:rFonts w:hint="eastAsia"/>
          <w:color w:val="auto"/>
        </w:rPr>
        <w:t>.2评标严格按照招标文件的要求和条件进行。根据实际情况，在</w:t>
      </w:r>
      <w:r>
        <w:rPr>
          <w:rFonts w:hint="eastAsia"/>
          <w:b/>
          <w:color w:val="auto"/>
        </w:rPr>
        <w:t>【投标人须知前附表】</w:t>
      </w:r>
      <w:r>
        <w:rPr>
          <w:rFonts w:hint="eastAsia"/>
          <w:color w:val="auto"/>
        </w:rPr>
        <w:t>中规定采用下列一种评标方法，详细评标方法和标准见招标文件第四章：</w:t>
      </w:r>
    </w:p>
    <w:p w14:paraId="746A85D7">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（1）最低评标价法，是指投标文件满足招标文件全部实质性要求，且投标报价最低的投标人为中标候选人的评标方法。</w:t>
      </w:r>
    </w:p>
    <w:p w14:paraId="41D82AB1">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（2）综合评分法，是指投标文件满足招标文件全部实质性要求，且按照评审因素的量化指标评审得分最高的投标人为中标候选人的评标方法。</w:t>
      </w:r>
    </w:p>
    <w:p w14:paraId="4F89B4AE">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2</w:t>
      </w:r>
      <w:r>
        <w:rPr>
          <w:rFonts w:hint="eastAsia"/>
          <w:color w:val="auto"/>
          <w:lang w:val="en-US" w:eastAsia="zh-CN"/>
        </w:rPr>
        <w:t>6</w:t>
      </w:r>
      <w:r>
        <w:rPr>
          <w:rFonts w:hint="eastAsia"/>
          <w:color w:val="auto"/>
        </w:rPr>
        <w:t>废标</w:t>
      </w:r>
    </w:p>
    <w:p w14:paraId="133E9CD5">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出现下列情形之一，将导致项目废标：</w:t>
      </w:r>
    </w:p>
    <w:p w14:paraId="4AEA949E">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（1）符合专业条件的供应商或者对招标文件做实质性响应的供应商不足规定数量的；</w:t>
      </w:r>
    </w:p>
    <w:p w14:paraId="1E543BE0">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（2）出现影响采购公正的违法、违规行为的；</w:t>
      </w:r>
    </w:p>
    <w:p w14:paraId="71C14219">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（3）投标人的报价均超过了采购预算，采购人不能支付的；</w:t>
      </w:r>
    </w:p>
    <w:p w14:paraId="1E5841F3">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（4）因重大变故，采购任务取消的。</w:t>
      </w:r>
    </w:p>
    <w:p w14:paraId="2F67A20C">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2</w:t>
      </w:r>
      <w:r>
        <w:rPr>
          <w:rFonts w:hint="eastAsia"/>
          <w:color w:val="auto"/>
          <w:lang w:val="en-US" w:eastAsia="zh-CN"/>
        </w:rPr>
        <w:t>7</w:t>
      </w:r>
      <w:r>
        <w:rPr>
          <w:rFonts w:hint="eastAsia"/>
          <w:color w:val="auto"/>
        </w:rPr>
        <w:t>保密要求</w:t>
      </w:r>
    </w:p>
    <w:p w14:paraId="1E6073E7">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7</w:t>
      </w:r>
      <w:r>
        <w:rPr>
          <w:rFonts w:hint="eastAsia"/>
          <w:color w:val="auto"/>
        </w:rPr>
        <w:t>.1评标将在严格保密的情况下进行。</w:t>
      </w:r>
    </w:p>
    <w:p w14:paraId="4FCD02E1">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2</w:t>
      </w:r>
      <w:r>
        <w:rPr>
          <w:rFonts w:hint="eastAsia"/>
          <w:color w:val="auto"/>
          <w:lang w:val="en-US" w:eastAsia="zh-CN"/>
        </w:rPr>
        <w:t>7</w:t>
      </w:r>
      <w:r>
        <w:rPr>
          <w:rFonts w:hint="eastAsia"/>
          <w:color w:val="auto"/>
        </w:rPr>
        <w:t>.2有关人员应当遵守评标工作纪律，不得泄露评标文件、评标情况和评标中获悉的国家秘密、商业秘密。</w:t>
      </w:r>
    </w:p>
    <w:p w14:paraId="2C21F2AA">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lang w:val="en-US" w:eastAsia="zh-CN"/>
        </w:rPr>
        <w:t>28</w:t>
      </w:r>
      <w:r>
        <w:rPr>
          <w:color w:val="auto"/>
        </w:rPr>
        <w:t>中标候选人的确定原则及标准</w:t>
      </w:r>
    </w:p>
    <w:p w14:paraId="3E0B6CAA">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cs="宋体"/>
          <w:color w:val="auto"/>
          <w:lang w:val="en-US" w:eastAsia="zh-CN"/>
        </w:rPr>
        <w:t>28</w:t>
      </w:r>
      <w:r>
        <w:rPr>
          <w:rFonts w:hint="eastAsia" w:ascii="宋体" w:hAnsi="宋体" w:eastAsia="宋体" w:cs="宋体"/>
          <w:color w:val="auto"/>
        </w:rPr>
        <w:t>.1依据本项目招标文件所约定的评标方法，对实质</w:t>
      </w:r>
      <w:r>
        <w:rPr>
          <w:rFonts w:hint="eastAsia" w:ascii="宋体" w:hAnsi="宋体" w:cs="宋体"/>
          <w:color w:val="auto"/>
          <w:lang w:val="en-US" w:eastAsia="zh-CN"/>
        </w:rPr>
        <w:t>性</w:t>
      </w:r>
      <w:r>
        <w:rPr>
          <w:rFonts w:hint="eastAsia" w:ascii="宋体" w:hAnsi="宋体" w:eastAsia="宋体" w:cs="宋体"/>
          <w:color w:val="auto"/>
        </w:rPr>
        <w:t>响应招标文件的投标人按下列方法进行排序，确定中标候选人：</w:t>
      </w:r>
    </w:p>
    <w:p w14:paraId="29FCD41D">
      <w:pPr>
        <w:pStyle w:val="42"/>
        <w:pageBreakBefore w:val="0"/>
        <w:widowControl w:val="0"/>
        <w:numPr>
          <w:ilvl w:val="0"/>
          <w:numId w:val="0"/>
        </w:numPr>
        <w:kinsoku/>
        <w:wordWrap/>
        <w:overflowPunct/>
        <w:topLinePunct w:val="0"/>
        <w:autoSpaceDE/>
        <w:autoSpaceDN/>
        <w:bidi w:val="0"/>
        <w:spacing w:before="0" w:beforeLines="0"/>
        <w:ind w:firstLine="240" w:firstLineChars="100"/>
        <w:textAlignment w:val="baseline"/>
        <w:rPr>
          <w:rFonts w:hint="eastAsia" w:ascii="宋体" w:hAnsi="宋体" w:eastAsia="宋体" w:cs="宋体"/>
          <w:color w:val="auto"/>
        </w:rPr>
      </w:pPr>
      <w:r>
        <w:rPr>
          <w:rFonts w:hint="eastAsia" w:ascii="宋体" w:hAnsi="宋体" w:eastAsia="宋体" w:cs="宋体"/>
          <w:color w:val="auto"/>
        </w:rPr>
        <w:t>（</w:t>
      </w:r>
      <w:r>
        <w:rPr>
          <w:rFonts w:hint="eastAsia" w:ascii="宋体" w:hAnsi="宋体" w:cs="宋体"/>
          <w:color w:val="auto"/>
          <w:lang w:val="en-US" w:eastAsia="zh-CN"/>
        </w:rPr>
        <w:t>1</w:t>
      </w:r>
      <w:r>
        <w:rPr>
          <w:rFonts w:hint="eastAsia" w:ascii="宋体" w:hAnsi="宋体" w:eastAsia="宋体" w:cs="宋体"/>
          <w:color w:val="auto"/>
        </w:rPr>
        <w:t>）采用最低评标价法的，</w:t>
      </w:r>
      <w:r>
        <w:rPr>
          <w:rFonts w:hint="eastAsia" w:ascii="宋体" w:hAnsi="宋体" w:cs="宋体"/>
          <w:color w:val="auto"/>
          <w:kern w:val="0"/>
          <w:sz w:val="24"/>
          <w:szCs w:val="24"/>
          <w:lang w:val="en-US" w:eastAsia="zh-CN" w:bidi="ar"/>
        </w:rPr>
        <w:t>需</w:t>
      </w:r>
      <w:r>
        <w:rPr>
          <w:rFonts w:hint="eastAsia" w:ascii="宋体" w:hAnsi="宋体" w:eastAsia="宋体" w:cs="宋体"/>
          <w:color w:val="auto"/>
          <w:kern w:val="0"/>
          <w:sz w:val="24"/>
          <w:szCs w:val="24"/>
          <w:lang w:val="en-US" w:eastAsia="zh-CN" w:bidi="ar"/>
        </w:rPr>
        <w:t>设置保留价（底价），根据报价情况，将不高于保留价的报价人按照报价由低到高的顺序推荐3名</w:t>
      </w:r>
      <w:r>
        <w:rPr>
          <w:rFonts w:hint="eastAsia" w:ascii="宋体" w:hAnsi="宋体" w:cs="宋体"/>
          <w:color w:val="auto"/>
          <w:kern w:val="0"/>
          <w:sz w:val="24"/>
          <w:szCs w:val="24"/>
          <w:lang w:val="en-US" w:eastAsia="zh-CN" w:bidi="ar"/>
        </w:rPr>
        <w:t>中标</w:t>
      </w:r>
      <w:r>
        <w:rPr>
          <w:rFonts w:hint="eastAsia" w:ascii="宋体" w:hAnsi="宋体" w:eastAsia="宋体" w:cs="宋体"/>
          <w:color w:val="auto"/>
          <w:kern w:val="0"/>
          <w:sz w:val="24"/>
          <w:szCs w:val="24"/>
          <w:lang w:val="en-US" w:eastAsia="zh-CN" w:bidi="ar"/>
        </w:rPr>
        <w:t>候选人，不足3个</w:t>
      </w:r>
      <w:r>
        <w:rPr>
          <w:rFonts w:hint="eastAsia" w:ascii="宋体" w:hAnsi="宋体" w:cs="宋体"/>
          <w:color w:val="auto"/>
          <w:kern w:val="0"/>
          <w:sz w:val="24"/>
          <w:szCs w:val="24"/>
          <w:lang w:val="en-US" w:eastAsia="zh-CN" w:bidi="ar"/>
        </w:rPr>
        <w:t>中标</w:t>
      </w:r>
      <w:r>
        <w:rPr>
          <w:rFonts w:hint="eastAsia" w:ascii="宋体" w:hAnsi="宋体" w:eastAsia="宋体" w:cs="宋体"/>
          <w:color w:val="auto"/>
          <w:kern w:val="0"/>
          <w:sz w:val="24"/>
          <w:szCs w:val="24"/>
          <w:lang w:val="en-US" w:eastAsia="zh-CN" w:bidi="ar"/>
        </w:rPr>
        <w:t>候选人的，按实际个数推荐。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若第二中标候选人不接受此成交条件，第三中标候选人同意按照高于第一中标候选人一个减价幅度的报价的，则第三中标候选人应当确定为中标供应商。若3个中标候选人均不接受此成交条件，采购人应当重新组织采购活动。</w:t>
      </w:r>
    </w:p>
    <w:p w14:paraId="3E508FB9">
      <w:pPr>
        <w:pStyle w:val="42"/>
        <w:pageBreakBefore w:val="0"/>
        <w:widowControl w:val="0"/>
        <w:kinsoku/>
        <w:wordWrap/>
        <w:overflowPunct/>
        <w:topLinePunct w:val="0"/>
        <w:autoSpaceDE/>
        <w:autoSpaceDN/>
        <w:bidi w:val="0"/>
        <w:spacing w:before="0" w:beforeLines="0"/>
        <w:ind w:firstLine="480"/>
        <w:textAlignment w:val="baseline"/>
        <w:rPr>
          <w:rFonts w:hint="default" w:ascii="宋体" w:hAnsi="宋体" w:eastAsia="宋体" w:cs="宋体"/>
          <w:color w:val="auto"/>
          <w:kern w:val="0"/>
          <w:sz w:val="24"/>
          <w:szCs w:val="24"/>
          <w:lang w:val="en-US" w:eastAsia="zh-CN" w:bidi="ar"/>
        </w:rPr>
      </w:pPr>
      <w:r>
        <w:rPr>
          <w:rFonts w:hint="eastAsia" w:ascii="宋体" w:hAnsi="宋体" w:eastAsia="宋体" w:cs="宋体"/>
          <w:color w:val="auto"/>
        </w:rPr>
        <w:t>（2）采用综合评分法的，评标结果按评审后得分由高到低顺序排列。得分相同的，按投标报价由低到高顺序排列。得分与投标报价均相同的，则采取评标委员会抽签方式确定中标候选顺序。</w:t>
      </w:r>
    </w:p>
    <w:p w14:paraId="2FE0A9E0">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lang w:val="en-US" w:eastAsia="zh-CN"/>
        </w:rPr>
        <w:t>29</w:t>
      </w:r>
      <w:r>
        <w:rPr>
          <w:color w:val="auto"/>
        </w:rPr>
        <w:t>确定中标候选人和中标人</w:t>
      </w:r>
    </w:p>
    <w:p w14:paraId="11FE1056">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cs="宋体"/>
          <w:color w:val="auto"/>
          <w:lang w:val="en-US" w:eastAsia="zh-CN"/>
        </w:rPr>
        <w:t>29</w:t>
      </w:r>
      <w:r>
        <w:rPr>
          <w:rFonts w:hint="eastAsia" w:ascii="宋体" w:hAnsi="宋体" w:eastAsia="宋体" w:cs="宋体"/>
          <w:color w:val="auto"/>
        </w:rPr>
        <w:t>.1</w:t>
      </w:r>
      <w:r>
        <w:rPr>
          <w:rFonts w:hint="eastAsia" w:ascii="宋体" w:hAnsi="宋体" w:cs="宋体"/>
          <w:color w:val="auto"/>
          <w:lang w:val="en-US" w:eastAsia="zh-CN"/>
        </w:rPr>
        <w:t>投标文件满足招标文件全部实质性要求且投标报价</w:t>
      </w:r>
      <w:r>
        <w:rPr>
          <w:rFonts w:hint="eastAsia" w:ascii="Times New Roman" w:hAnsi="Times New Roman" w:eastAsia="宋体" w:cs="Times New Roman"/>
          <w:color w:val="auto"/>
          <w:highlight w:val="none"/>
        </w:rPr>
        <w:t>最低</w:t>
      </w:r>
      <w:r>
        <w:rPr>
          <w:rFonts w:hint="eastAsia" w:ascii="宋体" w:hAnsi="宋体" w:cs="宋体"/>
          <w:color w:val="auto"/>
          <w:lang w:val="en-US" w:eastAsia="zh-CN"/>
        </w:rPr>
        <w:t>确定中标候选人</w:t>
      </w:r>
      <w:r>
        <w:rPr>
          <w:rFonts w:hint="eastAsia" w:ascii="宋体" w:hAnsi="宋体" w:eastAsia="宋体" w:cs="宋体"/>
          <w:color w:val="auto"/>
        </w:rPr>
        <w:t>，按</w:t>
      </w:r>
      <w:r>
        <w:rPr>
          <w:rFonts w:hint="eastAsia" w:ascii="宋体" w:hAnsi="宋体" w:eastAsia="宋体" w:cs="宋体"/>
          <w:b/>
          <w:color w:val="auto"/>
        </w:rPr>
        <w:t>【投标人须知前附表】</w:t>
      </w:r>
      <w:r>
        <w:rPr>
          <w:rFonts w:hint="eastAsia" w:ascii="宋体" w:hAnsi="宋体" w:eastAsia="宋体" w:cs="宋体"/>
          <w:color w:val="auto"/>
        </w:rPr>
        <w:t>中规定数量推荐中标候选人。</w:t>
      </w:r>
    </w:p>
    <w:p w14:paraId="53040184">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cs="宋体"/>
          <w:color w:val="auto"/>
          <w:lang w:val="en-US" w:eastAsia="zh-CN"/>
        </w:rPr>
        <w:t>29</w:t>
      </w:r>
      <w:r>
        <w:rPr>
          <w:rFonts w:hint="eastAsia" w:ascii="宋体" w:hAnsi="宋体" w:eastAsia="宋体" w:cs="宋体"/>
          <w:color w:val="auto"/>
        </w:rPr>
        <w:t>.2按</w:t>
      </w:r>
      <w:r>
        <w:rPr>
          <w:rFonts w:hint="eastAsia" w:ascii="宋体" w:hAnsi="宋体" w:eastAsia="宋体" w:cs="宋体"/>
          <w:b/>
          <w:color w:val="auto"/>
        </w:rPr>
        <w:t>【投标人须知前附表】</w:t>
      </w:r>
      <w:r>
        <w:rPr>
          <w:rFonts w:hint="eastAsia" w:ascii="宋体" w:hAnsi="宋体" w:eastAsia="宋体" w:cs="宋体"/>
          <w:color w:val="auto"/>
        </w:rPr>
        <w:t>中规定，由评标委员会或采购人确定中标人。</w:t>
      </w:r>
    </w:p>
    <w:p w14:paraId="231F0F30">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cs="宋体"/>
          <w:color w:val="auto"/>
          <w:lang w:val="en-US" w:eastAsia="zh-CN"/>
        </w:rPr>
        <w:t>29</w:t>
      </w:r>
      <w:r>
        <w:rPr>
          <w:rFonts w:hint="eastAsia" w:ascii="宋体" w:hAnsi="宋体" w:eastAsia="宋体" w:cs="宋体"/>
          <w:color w:val="auto"/>
        </w:rPr>
        <w:t>.3因重大变故采购任务取消时，采购人有权拒绝任何投标人中标，且对受影响的投标人不承担任何责任。</w:t>
      </w:r>
    </w:p>
    <w:p w14:paraId="4FE8217C">
      <w:pPr>
        <w:pStyle w:val="42"/>
        <w:pageBreakBefore w:val="0"/>
        <w:widowControl w:val="0"/>
        <w:kinsoku/>
        <w:wordWrap/>
        <w:overflowPunct/>
        <w:topLinePunct w:val="0"/>
        <w:autoSpaceDE/>
        <w:autoSpaceDN/>
        <w:bidi w:val="0"/>
        <w:spacing w:before="0" w:beforeLines="0"/>
        <w:ind w:firstLine="480"/>
        <w:textAlignment w:val="baseline"/>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29.4 采用最低评标价法的项目，评标委员会应当根据通过资格审核和符合性审查的供应商的报价，</w:t>
      </w:r>
      <w:r>
        <w:rPr>
          <w:rFonts w:hint="eastAsia"/>
          <w:color w:val="auto"/>
          <w:highlight w:val="none"/>
        </w:rPr>
        <w:t>按照本章第</w:t>
      </w:r>
      <w:r>
        <w:rPr>
          <w:rFonts w:hint="eastAsia"/>
          <w:color w:val="auto"/>
          <w:highlight w:val="none"/>
          <w:lang w:val="en-US" w:eastAsia="zh-CN"/>
        </w:rPr>
        <w:t>28.1</w:t>
      </w:r>
      <w:r>
        <w:rPr>
          <w:rFonts w:hint="eastAsia"/>
          <w:color w:val="auto"/>
          <w:highlight w:val="none"/>
        </w:rPr>
        <w:t>款规定</w:t>
      </w:r>
      <w:r>
        <w:rPr>
          <w:rFonts w:hint="eastAsia" w:ascii="宋体" w:hAnsi="宋体" w:cs="宋体"/>
          <w:color w:val="auto"/>
          <w:highlight w:val="none"/>
          <w:lang w:val="en-US" w:eastAsia="zh-CN"/>
        </w:rPr>
        <w:t>推荐中标人，并编写评审报告。第一中标候选人的报价应当等于或者小于保留价。采购人应当按照评审报告推荐的中标候选人的顺序确定中标候选人。</w:t>
      </w:r>
    </w:p>
    <w:p w14:paraId="03C16A48">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lang w:val="en-US" w:eastAsia="zh-CN"/>
        </w:rPr>
        <w:t>30</w:t>
      </w:r>
      <w:r>
        <w:rPr>
          <w:color w:val="auto"/>
        </w:rPr>
        <w:t>编写评标报告</w:t>
      </w:r>
    </w:p>
    <w:p w14:paraId="0E36296A">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4178963C">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3</w:t>
      </w:r>
      <w:r>
        <w:rPr>
          <w:rFonts w:hint="eastAsia"/>
          <w:color w:val="auto"/>
          <w:lang w:val="en-US" w:eastAsia="zh-CN"/>
        </w:rPr>
        <w:t>1</w:t>
      </w:r>
      <w:r>
        <w:rPr>
          <w:rFonts w:hint="eastAsia"/>
          <w:color w:val="auto"/>
        </w:rPr>
        <w:t>中标信息公布</w:t>
      </w:r>
    </w:p>
    <w:p w14:paraId="5F267AF9">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1</w:t>
      </w:r>
      <w:r>
        <w:rPr>
          <w:rFonts w:hint="eastAsia"/>
          <w:color w:val="auto"/>
        </w:rPr>
        <w:t>.1除</w:t>
      </w:r>
      <w:r>
        <w:rPr>
          <w:rFonts w:hint="eastAsia"/>
          <w:b/>
          <w:color w:val="auto"/>
        </w:rPr>
        <w:t>【投标人须知前附表】</w:t>
      </w:r>
      <w:r>
        <w:rPr>
          <w:rFonts w:hint="eastAsia"/>
          <w:color w:val="auto"/>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采购人应当自收到评标报告之日起5个工作日内，在评标报告确定的中标候选人名单中按顺序确定中标人。中标候选人并列的，按照</w:t>
      </w:r>
      <w:r>
        <w:rPr>
          <w:rFonts w:hint="eastAsia"/>
          <w:b/>
          <w:color w:val="auto"/>
        </w:rPr>
        <w:t>【投标人须知前附表】</w:t>
      </w:r>
      <w:r>
        <w:rPr>
          <w:rFonts w:hint="eastAsia"/>
          <w:color w:val="auto"/>
        </w:rPr>
        <w:t>规定的方式确定中标人；招标文件未规定的，采取随机抽取的方式确定。</w:t>
      </w:r>
    </w:p>
    <w:p w14:paraId="67872932">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1</w:t>
      </w:r>
      <w:r>
        <w:rPr>
          <w:rFonts w:hint="eastAsia"/>
          <w:color w:val="auto"/>
        </w:rPr>
        <w:t>.2自中标人确定之日起2个工作日内，采购代理机构将在中国湖南政府采购网、张家界市公共资源交易网上发布中标公告。</w:t>
      </w:r>
    </w:p>
    <w:p w14:paraId="2C231E59">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1</w:t>
      </w:r>
      <w:r>
        <w:rPr>
          <w:rFonts w:hint="eastAsia"/>
          <w:color w:val="auto"/>
        </w:rPr>
        <w:t>.3中标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b/>
          <w:color w:val="auto"/>
        </w:rPr>
        <w:t>【投标人须知前附表】</w:t>
      </w:r>
      <w:r>
        <w:rPr>
          <w:rFonts w:hint="eastAsia"/>
          <w:color w:val="auto"/>
        </w:rPr>
        <w:t>中约定进行公告的内容。中标公告期限为1个工作日。</w:t>
      </w:r>
    </w:p>
    <w:p w14:paraId="7574D1CD">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3</w:t>
      </w:r>
      <w:r>
        <w:rPr>
          <w:rFonts w:hint="eastAsia"/>
          <w:color w:val="auto"/>
          <w:lang w:val="en-US" w:eastAsia="zh-CN"/>
        </w:rPr>
        <w:t>2</w:t>
      </w:r>
      <w:r>
        <w:rPr>
          <w:rFonts w:hint="eastAsia"/>
          <w:color w:val="auto"/>
        </w:rPr>
        <w:t>中标通知书</w:t>
      </w:r>
    </w:p>
    <w:p w14:paraId="3ADB59AF">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2</w:t>
      </w:r>
      <w:r>
        <w:rPr>
          <w:rFonts w:hint="eastAsia" w:ascii="宋体" w:hAnsi="宋体" w:eastAsia="宋体" w:cs="宋体"/>
          <w:color w:val="auto"/>
        </w:rPr>
        <w:t>.1采购代理机构发布中标公告的同时以</w:t>
      </w:r>
      <w:r>
        <w:rPr>
          <w:rFonts w:hint="eastAsia" w:ascii="宋体" w:hAnsi="宋体" w:eastAsia="宋体" w:cs="宋体"/>
          <w:b/>
          <w:color w:val="auto"/>
        </w:rPr>
        <w:t>【投标人须知前附表】</w:t>
      </w:r>
      <w:r>
        <w:rPr>
          <w:rFonts w:hint="eastAsia" w:ascii="宋体" w:hAnsi="宋体" w:eastAsia="宋体" w:cs="宋体"/>
          <w:bCs/>
          <w:color w:val="auto"/>
        </w:rPr>
        <w:t>规定</w:t>
      </w:r>
      <w:r>
        <w:rPr>
          <w:rFonts w:hint="eastAsia" w:ascii="宋体" w:hAnsi="宋体" w:eastAsia="宋体" w:cs="宋体"/>
          <w:color w:val="auto"/>
        </w:rPr>
        <w:t>的形式向中标人发出中标通知书。</w:t>
      </w:r>
    </w:p>
    <w:p w14:paraId="731BB709">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2</w:t>
      </w:r>
      <w:r>
        <w:rPr>
          <w:rFonts w:hint="eastAsia" w:ascii="宋体" w:hAnsi="宋体" w:eastAsia="宋体" w:cs="宋体"/>
          <w:color w:val="auto"/>
        </w:rPr>
        <w:t>.2中标通知书对采购人和中标人具有同等法律效力。中标通知书发出以后，采购人改变中标结果或者中标人放弃中标，应当承担相应的法律责任。</w:t>
      </w:r>
    </w:p>
    <w:p w14:paraId="404D3FDB">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2</w:t>
      </w:r>
      <w:r>
        <w:rPr>
          <w:rFonts w:hint="eastAsia" w:ascii="宋体" w:hAnsi="宋体" w:eastAsia="宋体" w:cs="宋体"/>
          <w:color w:val="auto"/>
        </w:rPr>
        <w:t>.3中标通知书是合同的组成部分。</w:t>
      </w:r>
    </w:p>
    <w:p w14:paraId="722C1A62">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3</w:t>
      </w:r>
      <w:r>
        <w:rPr>
          <w:rFonts w:hint="eastAsia"/>
          <w:color w:val="auto"/>
          <w:lang w:val="en-US" w:eastAsia="zh-CN"/>
        </w:rPr>
        <w:t>3</w:t>
      </w:r>
      <w:r>
        <w:rPr>
          <w:rFonts w:hint="eastAsia"/>
          <w:color w:val="auto"/>
        </w:rPr>
        <w:t>告知招标结果</w:t>
      </w:r>
    </w:p>
    <w:p w14:paraId="65592B47">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在公告中标结果的同时，采购代理机构同时以</w:t>
      </w:r>
      <w:r>
        <w:rPr>
          <w:rFonts w:hint="eastAsia"/>
          <w:b/>
          <w:bCs/>
          <w:color w:val="auto"/>
        </w:rPr>
        <w:t>【投标人须知前附表】</w:t>
      </w:r>
      <w:r>
        <w:rPr>
          <w:rFonts w:hint="eastAsia"/>
          <w:color w:val="auto"/>
        </w:rPr>
        <w:t>规定的形式告知未通过资格审查的投标人未通过的原因；采用综合评分法评审的，还将告知未中标人本人的评审得分和排序。</w:t>
      </w:r>
    </w:p>
    <w:p w14:paraId="41DF5280">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3</w:t>
      </w:r>
      <w:r>
        <w:rPr>
          <w:rFonts w:hint="eastAsia"/>
          <w:color w:val="auto"/>
          <w:lang w:val="en-US" w:eastAsia="zh-CN"/>
        </w:rPr>
        <w:t>4</w:t>
      </w:r>
      <w:r>
        <w:rPr>
          <w:rFonts w:hint="eastAsia"/>
          <w:color w:val="auto"/>
        </w:rPr>
        <w:t>人员回避</w:t>
      </w:r>
    </w:p>
    <w:p w14:paraId="19832EDF">
      <w:pPr>
        <w:pStyle w:val="42"/>
        <w:pageBreakBefore w:val="0"/>
        <w:widowControl w:val="0"/>
        <w:kinsoku/>
        <w:wordWrap/>
        <w:overflowPunct/>
        <w:topLinePunct w:val="0"/>
        <w:autoSpaceDE/>
        <w:autoSpaceDN/>
        <w:bidi w:val="0"/>
        <w:spacing w:before="0" w:beforeLines="0"/>
        <w:ind w:firstLine="480"/>
        <w:textAlignment w:val="baseline"/>
        <w:rPr>
          <w:rFonts w:hint="eastAsia" w:ascii="宋体" w:hAnsi="宋体" w:eastAsia="宋体" w:cs="宋体"/>
          <w:color w:val="auto"/>
        </w:rPr>
      </w:pPr>
      <w:r>
        <w:rPr>
          <w:rFonts w:hint="eastAsia" w:ascii="宋体" w:hAnsi="宋体" w:eastAsia="宋体" w:cs="宋体"/>
          <w:color w:val="auto"/>
        </w:rPr>
        <w:t>投标人认为采购人员及其相关人员有法律法规所列与其他供应商有利害关系的，可以向采购人或采购代理机构书面提出回避申请，并说明理由。</w:t>
      </w:r>
    </w:p>
    <w:p w14:paraId="649E86FF">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lang w:val="en-US" w:eastAsia="zh-CN"/>
        </w:rPr>
        <w:t>35</w:t>
      </w:r>
      <w:r>
        <w:rPr>
          <w:rFonts w:hint="eastAsia"/>
          <w:color w:val="auto"/>
        </w:rPr>
        <w:t>签订合同</w:t>
      </w:r>
    </w:p>
    <w:p w14:paraId="2E2FCD2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5</w:t>
      </w:r>
      <w:r>
        <w:rPr>
          <w:rFonts w:hint="eastAsia"/>
          <w:color w:val="auto"/>
        </w:rPr>
        <w:t>.1采购人应自中标通知书发出之日起30日内，按中标通知书指定的时间、地点与中标人签订政府采购合同。所签订的合同不得对招标文件确定的事项和中标人投标文件作实质性修改。</w:t>
      </w:r>
    </w:p>
    <w:p w14:paraId="07363C1A">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5</w:t>
      </w:r>
      <w:r>
        <w:rPr>
          <w:rFonts w:hint="eastAsia"/>
          <w:color w:val="auto"/>
        </w:rPr>
        <w:t>.2招标文件、中标人的投标文件及其澄清文件等，均为签订合同的依据。</w:t>
      </w:r>
    </w:p>
    <w:p w14:paraId="228F9378">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5</w:t>
      </w:r>
      <w:r>
        <w:rPr>
          <w:rFonts w:hint="eastAsia"/>
          <w:color w:val="auto"/>
        </w:rPr>
        <w:t>.3联合体中标的，联合体各方应当共同与采购人签订合同，就中标项目向采购人承担连带责任。</w:t>
      </w:r>
    </w:p>
    <w:p w14:paraId="560F22A4">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5</w:t>
      </w:r>
      <w:r>
        <w:rPr>
          <w:rFonts w:hint="eastAsia"/>
          <w:color w:val="auto"/>
        </w:rPr>
        <w:t>.4中标合同将在招标公告指定媒体上公告，但合同中涉及国家秘密、商业秘密的内容除外。</w:t>
      </w:r>
    </w:p>
    <w:p w14:paraId="0369C4D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5</w:t>
      </w:r>
      <w:r>
        <w:rPr>
          <w:rFonts w:hint="eastAsia"/>
          <w:color w:val="auto"/>
        </w:rPr>
        <w:t>.5中标人应当按照合同约定依法履行合同义务。政府采购合同的履行、违约责任和解决争议的方法等适用《中华人民共和国民法典》。</w:t>
      </w:r>
    </w:p>
    <w:p w14:paraId="5A176988">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5</w:t>
      </w:r>
      <w:r>
        <w:rPr>
          <w:rFonts w:hint="eastAsia"/>
          <w:color w:val="auto"/>
        </w:rPr>
        <w:t>.6中标人拒绝与采购人签订合同的，采购人可以按照评审报告推荐的中标候选人名单排序，确定下一中标候选人为中标人，也可以重新开展政府采购活动。</w:t>
      </w:r>
    </w:p>
    <w:p w14:paraId="0DEA3615">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5</w:t>
      </w:r>
      <w:r>
        <w:rPr>
          <w:rFonts w:hint="eastAsia"/>
          <w:color w:val="auto"/>
        </w:rPr>
        <w:t>.7当出现法规规定的中标无效或中标结果无效情形时，采购人可依法与排名下一位的中标候选人另行签订合同，或依法重新开展采购活动。</w:t>
      </w:r>
    </w:p>
    <w:p w14:paraId="64B0C0FC">
      <w:pPr>
        <w:pStyle w:val="6"/>
        <w:pageBreakBefore w:val="0"/>
        <w:widowControl w:val="0"/>
        <w:kinsoku/>
        <w:wordWrap/>
        <w:overflowPunct/>
        <w:topLinePunct w:val="0"/>
        <w:autoSpaceDE/>
        <w:autoSpaceDN/>
        <w:bidi w:val="0"/>
        <w:spacing w:before="0" w:after="0"/>
        <w:ind w:firstLine="480" w:firstLineChars="200"/>
        <w:textAlignment w:val="baseline"/>
        <w:rPr>
          <w:rFonts w:hint="eastAsia" w:eastAsia="黑体"/>
          <w:color w:val="auto"/>
          <w:lang w:eastAsia="zh-CN"/>
        </w:rPr>
      </w:pPr>
      <w:r>
        <w:rPr>
          <w:rFonts w:hint="eastAsia"/>
          <w:color w:val="auto"/>
        </w:rPr>
        <w:t>3</w:t>
      </w:r>
      <w:r>
        <w:rPr>
          <w:rFonts w:hint="eastAsia"/>
          <w:color w:val="auto"/>
          <w:lang w:val="en-US" w:eastAsia="zh-CN"/>
        </w:rPr>
        <w:t>6</w:t>
      </w:r>
      <w:r>
        <w:rPr>
          <w:rFonts w:hint="eastAsia"/>
          <w:color w:val="auto"/>
          <w:lang w:eastAsia="zh-CN"/>
        </w:rPr>
        <w:t>履约保证</w:t>
      </w:r>
    </w:p>
    <w:p w14:paraId="01D52DB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6</w:t>
      </w:r>
      <w:r>
        <w:rPr>
          <w:rFonts w:hint="eastAsia"/>
          <w:color w:val="auto"/>
        </w:rPr>
        <w:t>.1招标文件要求中标人向采购人提交</w:t>
      </w:r>
      <w:r>
        <w:rPr>
          <w:rFonts w:hint="eastAsia"/>
          <w:color w:val="auto"/>
          <w:lang w:eastAsia="zh-CN"/>
        </w:rPr>
        <w:t>履约保证</w:t>
      </w:r>
      <w:r>
        <w:rPr>
          <w:rFonts w:hint="eastAsia"/>
          <w:color w:val="auto"/>
        </w:rPr>
        <w:t>的，中标人应按照</w:t>
      </w:r>
      <w:r>
        <w:rPr>
          <w:rFonts w:hint="eastAsia"/>
          <w:b/>
          <w:color w:val="auto"/>
        </w:rPr>
        <w:t>【投标人须知前附表】</w:t>
      </w:r>
      <w:r>
        <w:rPr>
          <w:rFonts w:hint="eastAsia"/>
          <w:color w:val="auto"/>
        </w:rPr>
        <w:t>的规定提交。联合体中标的，</w:t>
      </w:r>
      <w:r>
        <w:rPr>
          <w:rFonts w:hint="eastAsia"/>
          <w:color w:val="auto"/>
          <w:lang w:eastAsia="zh-CN"/>
        </w:rPr>
        <w:t>履约保证</w:t>
      </w:r>
      <w:r>
        <w:rPr>
          <w:rFonts w:hint="eastAsia"/>
          <w:color w:val="auto"/>
        </w:rPr>
        <w:t>由联合体各方或联合体中牵头人的名义提交。</w:t>
      </w:r>
    </w:p>
    <w:p w14:paraId="59A68446">
      <w:pPr>
        <w:pStyle w:val="42"/>
        <w:pageBreakBefore w:val="0"/>
        <w:widowControl w:val="0"/>
        <w:kinsoku/>
        <w:wordWrap/>
        <w:overflowPunct/>
        <w:topLinePunct w:val="0"/>
        <w:autoSpaceDE/>
        <w:autoSpaceDN/>
        <w:bidi w:val="0"/>
        <w:spacing w:before="0" w:beforeLines="0"/>
        <w:ind w:firstLine="480"/>
        <w:textAlignment w:val="baseline"/>
        <w:rPr>
          <w:rFonts w:ascii="等线" w:hAnsi="等线" w:eastAsia="等线" w:cs="宋体"/>
          <w:color w:val="auto"/>
        </w:rPr>
      </w:pPr>
      <w:r>
        <w:rPr>
          <w:rFonts w:hint="eastAsia"/>
          <w:color w:val="auto"/>
        </w:rPr>
        <w:t>3</w:t>
      </w:r>
      <w:r>
        <w:rPr>
          <w:rFonts w:hint="eastAsia"/>
          <w:color w:val="auto"/>
          <w:lang w:val="en-US" w:eastAsia="zh-CN"/>
        </w:rPr>
        <w:t>6</w:t>
      </w:r>
      <w:r>
        <w:rPr>
          <w:rFonts w:hint="eastAsia"/>
          <w:color w:val="auto"/>
        </w:rPr>
        <w:t>.2中标人没有按照本章第3</w:t>
      </w:r>
      <w:r>
        <w:rPr>
          <w:rFonts w:hint="eastAsia"/>
          <w:color w:val="auto"/>
          <w:lang w:val="en-US" w:eastAsia="zh-CN"/>
        </w:rPr>
        <w:t>6</w:t>
      </w:r>
      <w:r>
        <w:rPr>
          <w:rFonts w:hint="eastAsia"/>
          <w:color w:val="auto"/>
        </w:rPr>
        <w:t>.1款规定提交</w:t>
      </w:r>
      <w:r>
        <w:rPr>
          <w:rFonts w:hint="eastAsia"/>
          <w:color w:val="auto"/>
          <w:lang w:eastAsia="zh-CN"/>
        </w:rPr>
        <w:t>履约保证</w:t>
      </w:r>
      <w:r>
        <w:rPr>
          <w:rFonts w:hint="eastAsia"/>
          <w:color w:val="auto"/>
        </w:rPr>
        <w:t>的，视为放弃中标，其投标保证金不予退还。</w:t>
      </w:r>
    </w:p>
    <w:p w14:paraId="477275DC">
      <w:pPr>
        <w:pStyle w:val="6"/>
        <w:pageBreakBefore w:val="0"/>
        <w:widowControl w:val="0"/>
        <w:kinsoku/>
        <w:wordWrap/>
        <w:overflowPunct/>
        <w:topLinePunct w:val="0"/>
        <w:autoSpaceDE/>
        <w:autoSpaceDN/>
        <w:bidi w:val="0"/>
        <w:spacing w:before="0" w:after="0"/>
        <w:ind w:firstLine="480" w:firstLineChars="200"/>
        <w:textAlignment w:val="baseline"/>
        <w:rPr>
          <w:color w:val="auto"/>
        </w:rPr>
      </w:pPr>
      <w:r>
        <w:rPr>
          <w:rFonts w:hint="eastAsia"/>
          <w:color w:val="auto"/>
        </w:rPr>
        <w:t>3</w:t>
      </w:r>
      <w:r>
        <w:rPr>
          <w:rFonts w:hint="eastAsia"/>
          <w:color w:val="auto"/>
          <w:lang w:val="en-US" w:eastAsia="zh-CN"/>
        </w:rPr>
        <w:t>7</w:t>
      </w:r>
      <w:r>
        <w:rPr>
          <w:rFonts w:hint="eastAsia"/>
          <w:color w:val="auto"/>
        </w:rPr>
        <w:t>政府采购合同履行中数量的变更</w:t>
      </w:r>
    </w:p>
    <w:p w14:paraId="2231A942">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rPr>
        <w:t>政府采购合同履行中，采购人需追加与合同标的相同的货物服务的，在不改变合同其他条款的前提下，可以与中标人协商签订补充合同，但所有补充合同的采购金额不得超过原合同采购金额的百分之十。</w:t>
      </w:r>
    </w:p>
    <w:p w14:paraId="4FF5762F">
      <w:pPr>
        <w:pStyle w:val="6"/>
        <w:pageBreakBefore w:val="0"/>
        <w:widowControl w:val="0"/>
        <w:kinsoku/>
        <w:wordWrap/>
        <w:overflowPunct/>
        <w:topLinePunct w:val="0"/>
        <w:autoSpaceDE/>
        <w:autoSpaceDN/>
        <w:bidi w:val="0"/>
        <w:spacing w:before="0" w:after="0" w:line="440" w:lineRule="exact"/>
        <w:ind w:firstLine="480" w:firstLineChars="200"/>
        <w:textAlignment w:val="baseline"/>
        <w:rPr>
          <w:rFonts w:hint="default" w:eastAsia="黑体"/>
          <w:color w:val="auto"/>
          <w:lang w:val="en-US" w:eastAsia="zh-CN"/>
        </w:rPr>
      </w:pPr>
      <w:r>
        <w:rPr>
          <w:rFonts w:hint="eastAsia"/>
          <w:color w:val="auto"/>
          <w:lang w:val="en-US" w:eastAsia="zh-CN"/>
        </w:rPr>
        <w:t>38</w:t>
      </w:r>
      <w:r>
        <w:rPr>
          <w:rFonts w:hint="eastAsia"/>
          <w:color w:val="auto"/>
        </w:rPr>
        <w:t>政府采购政策</w:t>
      </w:r>
    </w:p>
    <w:p w14:paraId="7665F38F">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rPr>
        <w:t>强制采购：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b/>
          <w:color w:val="auto"/>
        </w:rPr>
        <w:t>投标无效</w:t>
      </w:r>
      <w:r>
        <w:rPr>
          <w:rFonts w:hint="eastAsia"/>
          <w:color w:val="auto"/>
        </w:rPr>
        <w:t>。</w:t>
      </w:r>
    </w:p>
    <w:p w14:paraId="5306C32C">
      <w:pPr>
        <w:pStyle w:val="6"/>
        <w:pageBreakBefore w:val="0"/>
        <w:widowControl w:val="0"/>
        <w:kinsoku/>
        <w:wordWrap/>
        <w:overflowPunct/>
        <w:topLinePunct w:val="0"/>
        <w:autoSpaceDE/>
        <w:autoSpaceDN/>
        <w:bidi w:val="0"/>
        <w:spacing w:before="0" w:after="0" w:line="440" w:lineRule="exact"/>
        <w:ind w:firstLine="480" w:firstLineChars="200"/>
        <w:textAlignment w:val="baseline"/>
        <w:rPr>
          <w:color w:val="auto"/>
        </w:rPr>
      </w:pPr>
      <w:r>
        <w:rPr>
          <w:rFonts w:hint="eastAsia"/>
          <w:color w:val="auto"/>
          <w:lang w:val="en-US" w:eastAsia="zh-CN"/>
        </w:rPr>
        <w:t>39</w:t>
      </w:r>
      <w:r>
        <w:rPr>
          <w:rFonts w:hint="eastAsia"/>
          <w:color w:val="auto"/>
        </w:rPr>
        <w:t>询问</w:t>
      </w:r>
    </w:p>
    <w:p w14:paraId="1586CAC9">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rPr>
        <w:t>投标人对政府采购活动事项有疑问的，可以向采购人、采购代理机构提出询问。采购人或采购代理机构将在3个工作日内作出答复。</w:t>
      </w:r>
    </w:p>
    <w:p w14:paraId="11DBD89D">
      <w:pPr>
        <w:pStyle w:val="6"/>
        <w:pageBreakBefore w:val="0"/>
        <w:widowControl w:val="0"/>
        <w:kinsoku/>
        <w:wordWrap/>
        <w:overflowPunct/>
        <w:topLinePunct w:val="0"/>
        <w:autoSpaceDE/>
        <w:autoSpaceDN/>
        <w:bidi w:val="0"/>
        <w:spacing w:before="0" w:after="0" w:line="440" w:lineRule="exact"/>
        <w:ind w:firstLine="480" w:firstLineChars="200"/>
        <w:textAlignment w:val="baseline"/>
        <w:rPr>
          <w:color w:val="auto"/>
        </w:rPr>
      </w:pPr>
      <w:r>
        <w:rPr>
          <w:rFonts w:hint="eastAsia"/>
          <w:color w:val="auto"/>
          <w:lang w:val="en-US" w:eastAsia="zh-CN"/>
        </w:rPr>
        <w:t>40</w:t>
      </w:r>
      <w:r>
        <w:rPr>
          <w:rFonts w:hint="eastAsia"/>
          <w:color w:val="auto"/>
        </w:rPr>
        <w:t>质疑</w:t>
      </w:r>
    </w:p>
    <w:p w14:paraId="6A2D3C83">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lang w:val="en-US" w:eastAsia="zh-CN"/>
        </w:rPr>
        <w:t>40</w:t>
      </w:r>
      <w:r>
        <w:rPr>
          <w:rFonts w:hint="eastAsia"/>
          <w:color w:val="auto"/>
        </w:rPr>
        <w:t>.1投标人认为招标文件、采购过程和中标结果使自己的权益受到损害的，可以在知道或者应知其权益受到损害之日起7个工作日内，按照《政府采购质疑和投诉办法》（财政部令第94号）规定，在下列时间内以纸质书面形式向采购人、采购代理机构提出质疑：</w:t>
      </w:r>
    </w:p>
    <w:p w14:paraId="5FF58830">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rPr>
        <w:t>（1）关于招标文件的质疑，应从招标文件发出之日起七个工作日内提出；</w:t>
      </w:r>
    </w:p>
    <w:p w14:paraId="7AFFB9D7">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rPr>
        <w:t>（2）关于采购过程的质疑，应在采购程序环节结束之日起七个工作日内提出；</w:t>
      </w:r>
    </w:p>
    <w:p w14:paraId="1711A442">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rPr>
        <w:t>（3）关于成交结果的质疑，应在成交结果信息发布后七个工作日内提出。</w:t>
      </w:r>
    </w:p>
    <w:p w14:paraId="5E7079A5">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lang w:val="en-US" w:eastAsia="zh-CN"/>
        </w:rPr>
        <w:t>40</w:t>
      </w:r>
      <w:r>
        <w:rPr>
          <w:rFonts w:hint="eastAsia"/>
          <w:color w:val="auto"/>
        </w:rPr>
        <w:t>.2 投标人提出质疑的，应按照《政府采购质疑和投诉办法》（财政部令第94号》格式和要求在法定质疑期内以书面形式提出质疑，超出法定质疑期提交的质疑将被拒绝。针对同一采购程序环节的质疑应一次性提出。</w:t>
      </w:r>
    </w:p>
    <w:p w14:paraId="7D8C9497">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lang w:val="en-US" w:eastAsia="zh-CN"/>
        </w:rPr>
        <w:t>40.</w:t>
      </w:r>
      <w:r>
        <w:rPr>
          <w:rFonts w:hint="eastAsia"/>
          <w:color w:val="auto"/>
        </w:rPr>
        <w:t>3采购人、采购代理机构接收质疑函的联系部门、联系电话和通信地址见</w:t>
      </w:r>
      <w:r>
        <w:rPr>
          <w:rFonts w:hint="eastAsia" w:eastAsia="微软雅黑"/>
          <w:b/>
          <w:color w:val="auto"/>
        </w:rPr>
        <w:t>【投标人须知前附表】</w:t>
      </w:r>
      <w:r>
        <w:rPr>
          <w:rFonts w:hint="eastAsia"/>
          <w:color w:val="auto"/>
        </w:rPr>
        <w:t>。</w:t>
      </w:r>
    </w:p>
    <w:p w14:paraId="5E48C1E9">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lang w:val="en-US" w:eastAsia="zh-CN"/>
        </w:rPr>
        <w:t>40</w:t>
      </w:r>
      <w:r>
        <w:rPr>
          <w:rFonts w:hint="eastAsia"/>
          <w:color w:val="auto"/>
        </w:rPr>
        <w:t>.4采购人、采购代理机构按照《政府采购质疑和投诉办法》（财政部令第94号</w:t>
      </w:r>
      <w:r>
        <w:rPr>
          <w:rFonts w:hint="eastAsia"/>
          <w:color w:val="auto"/>
          <w:lang w:eastAsia="zh-CN"/>
        </w:rPr>
        <w:t>）格式</w:t>
      </w:r>
      <w:r>
        <w:rPr>
          <w:rFonts w:hint="eastAsia"/>
          <w:color w:val="auto"/>
        </w:rPr>
        <w:t>规定进行质疑答复。</w:t>
      </w:r>
    </w:p>
    <w:p w14:paraId="4B390921">
      <w:pPr>
        <w:pStyle w:val="6"/>
        <w:pageBreakBefore w:val="0"/>
        <w:widowControl w:val="0"/>
        <w:kinsoku/>
        <w:wordWrap/>
        <w:overflowPunct/>
        <w:topLinePunct w:val="0"/>
        <w:autoSpaceDE/>
        <w:autoSpaceDN/>
        <w:bidi w:val="0"/>
        <w:spacing w:before="0" w:after="0" w:line="440" w:lineRule="exact"/>
        <w:ind w:firstLine="480" w:firstLineChars="200"/>
        <w:textAlignment w:val="baseline"/>
        <w:rPr>
          <w:color w:val="auto"/>
        </w:rPr>
      </w:pPr>
      <w:r>
        <w:rPr>
          <w:rFonts w:hint="eastAsia"/>
          <w:color w:val="auto"/>
        </w:rPr>
        <w:t>4</w:t>
      </w:r>
      <w:r>
        <w:rPr>
          <w:rFonts w:hint="eastAsia"/>
          <w:color w:val="auto"/>
          <w:lang w:val="en-US" w:eastAsia="zh-CN"/>
        </w:rPr>
        <w:t>1</w:t>
      </w:r>
      <w:r>
        <w:rPr>
          <w:rFonts w:hint="eastAsia"/>
          <w:color w:val="auto"/>
        </w:rPr>
        <w:t>投诉</w:t>
      </w:r>
    </w:p>
    <w:p w14:paraId="2AF61CCC">
      <w:pPr>
        <w:pStyle w:val="42"/>
        <w:pageBreakBefore w:val="0"/>
        <w:widowControl w:val="0"/>
        <w:kinsoku/>
        <w:wordWrap/>
        <w:overflowPunct/>
        <w:topLinePunct w:val="0"/>
        <w:autoSpaceDE/>
        <w:autoSpaceDN/>
        <w:bidi w:val="0"/>
        <w:spacing w:before="0" w:beforeLines="0" w:line="440" w:lineRule="exact"/>
        <w:ind w:firstLine="480"/>
        <w:textAlignment w:val="baseline"/>
        <w:rPr>
          <w:rFonts w:ascii="等线" w:hAnsi="等线" w:eastAsia="等线" w:cs="宋体"/>
          <w:color w:val="auto"/>
        </w:rPr>
      </w:pPr>
      <w:r>
        <w:rPr>
          <w:rFonts w:hint="eastAsia"/>
          <w:color w:val="auto"/>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p>
    <w:p w14:paraId="5A102915">
      <w:pPr>
        <w:pStyle w:val="6"/>
        <w:pageBreakBefore w:val="0"/>
        <w:widowControl w:val="0"/>
        <w:kinsoku/>
        <w:wordWrap/>
        <w:overflowPunct/>
        <w:topLinePunct w:val="0"/>
        <w:autoSpaceDE/>
        <w:autoSpaceDN/>
        <w:bidi w:val="0"/>
        <w:spacing w:before="0" w:after="0" w:line="440" w:lineRule="exact"/>
        <w:ind w:firstLine="480" w:firstLineChars="200"/>
        <w:textAlignment w:val="baseline"/>
        <w:rPr>
          <w:color w:val="auto"/>
        </w:rPr>
      </w:pPr>
      <w:r>
        <w:rPr>
          <w:rFonts w:hint="eastAsia"/>
          <w:color w:val="auto"/>
        </w:rPr>
        <w:t>4</w:t>
      </w:r>
      <w:r>
        <w:rPr>
          <w:rFonts w:hint="eastAsia"/>
          <w:color w:val="auto"/>
          <w:lang w:val="en-US" w:eastAsia="zh-CN"/>
        </w:rPr>
        <w:t>2</w:t>
      </w:r>
      <w:r>
        <w:rPr>
          <w:rFonts w:hint="eastAsia"/>
          <w:color w:val="auto"/>
        </w:rPr>
        <w:t>采购代理服务费</w:t>
      </w:r>
    </w:p>
    <w:p w14:paraId="541418B8">
      <w:pPr>
        <w:widowControl w:val="0"/>
        <w:adjustRightInd w:val="0"/>
        <w:snapToGrid w:val="0"/>
        <w:spacing w:before="0" w:beforeLines="0" w:line="440" w:lineRule="exact"/>
        <w:ind w:firstLine="480" w:firstLineChars="200"/>
        <w:jc w:val="both"/>
        <w:textAlignment w:val="baseline"/>
        <w:rPr>
          <w:rFonts w:ascii="等线" w:hAnsi="等线" w:eastAsia="等线" w:cs="宋体"/>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采购代理服务费按照采购人与代理机构签订和委托代理协议约定由采购人支付。</w:t>
      </w:r>
    </w:p>
    <w:p w14:paraId="7A1E1BDE">
      <w:pPr>
        <w:pStyle w:val="6"/>
        <w:pageBreakBefore w:val="0"/>
        <w:widowControl w:val="0"/>
        <w:kinsoku/>
        <w:wordWrap/>
        <w:overflowPunct/>
        <w:topLinePunct w:val="0"/>
        <w:autoSpaceDE/>
        <w:autoSpaceDN/>
        <w:bidi w:val="0"/>
        <w:spacing w:before="0" w:after="0" w:line="440" w:lineRule="exact"/>
        <w:ind w:firstLine="480" w:firstLineChars="200"/>
        <w:textAlignment w:val="baseline"/>
        <w:rPr>
          <w:color w:val="auto"/>
        </w:rPr>
      </w:pPr>
      <w:r>
        <w:rPr>
          <w:rFonts w:hint="eastAsia"/>
          <w:color w:val="auto"/>
        </w:rPr>
        <w:t>4</w:t>
      </w:r>
      <w:r>
        <w:rPr>
          <w:rFonts w:hint="eastAsia"/>
          <w:color w:val="auto"/>
          <w:lang w:val="en-US" w:eastAsia="zh-CN"/>
        </w:rPr>
        <w:t>3</w:t>
      </w:r>
      <w:r>
        <w:rPr>
          <w:rFonts w:hint="eastAsia"/>
          <w:color w:val="auto"/>
        </w:rPr>
        <w:t>需要补充的其他内容</w:t>
      </w:r>
    </w:p>
    <w:p w14:paraId="10234A1D">
      <w:pPr>
        <w:pStyle w:val="42"/>
        <w:pageBreakBefore w:val="0"/>
        <w:widowControl w:val="0"/>
        <w:kinsoku/>
        <w:wordWrap/>
        <w:overflowPunct/>
        <w:topLinePunct w:val="0"/>
        <w:autoSpaceDE/>
        <w:autoSpaceDN/>
        <w:bidi w:val="0"/>
        <w:spacing w:before="0" w:beforeLines="0" w:line="440" w:lineRule="exact"/>
        <w:ind w:firstLine="480"/>
        <w:textAlignment w:val="baseline"/>
        <w:rPr>
          <w:rFonts w:hint="eastAsia"/>
          <w:color w:val="auto"/>
        </w:rPr>
      </w:pPr>
      <w:r>
        <w:rPr>
          <w:rFonts w:hint="eastAsia"/>
          <w:color w:val="auto"/>
        </w:rPr>
        <w:t>需要补充的其他内容，见</w:t>
      </w:r>
      <w:r>
        <w:rPr>
          <w:rFonts w:hint="eastAsia" w:eastAsia="微软雅黑"/>
          <w:b/>
          <w:color w:val="auto"/>
        </w:rPr>
        <w:t>【投标人须知前附表】</w:t>
      </w:r>
      <w:r>
        <w:rPr>
          <w:rFonts w:hint="eastAsia"/>
          <w:color w:val="auto"/>
        </w:rPr>
        <w:t>。</w:t>
      </w:r>
    </w:p>
    <w:p w14:paraId="27E9317F">
      <w:pPr>
        <w:pStyle w:val="2"/>
        <w:rPr>
          <w:rFonts w:hint="eastAsia"/>
          <w:color w:val="auto"/>
        </w:rPr>
      </w:pPr>
      <w:bookmarkStart w:id="52" w:name="_Toc23057"/>
      <w:r>
        <w:rPr>
          <w:rFonts w:hint="eastAsia"/>
          <w:color w:val="auto"/>
        </w:rPr>
        <w:t>第三章 采购需求</w:t>
      </w:r>
      <w:bookmarkEnd w:id="52"/>
    </w:p>
    <w:p w14:paraId="1BAD0CBD">
      <w:pPr>
        <w:pStyle w:val="42"/>
        <w:pageBreakBefore w:val="0"/>
        <w:kinsoku/>
        <w:wordWrap/>
        <w:overflowPunct/>
        <w:topLinePunct w:val="0"/>
        <w:autoSpaceDE/>
        <w:autoSpaceDN/>
        <w:bidi w:val="0"/>
        <w:spacing w:line="480" w:lineRule="exact"/>
        <w:ind w:left="0" w:leftChars="0" w:firstLine="0" w:firstLineChars="0"/>
        <w:rPr>
          <w:rFonts w:hint="eastAsia"/>
          <w:b/>
          <w:bCs/>
          <w:color w:val="auto"/>
          <w:lang w:val="en-US" w:eastAsia="zh-CN"/>
        </w:rPr>
      </w:pPr>
      <w:bookmarkStart w:id="53" w:name="_Toc2067"/>
      <w:bookmarkStart w:id="54" w:name="_Toc32740"/>
      <w:r>
        <w:rPr>
          <w:rFonts w:hint="eastAsia"/>
          <w:b/>
          <w:bCs/>
          <w:color w:val="auto"/>
          <w:lang w:val="en-US" w:eastAsia="zh-CN"/>
        </w:rPr>
        <w:t>前注：</w:t>
      </w:r>
    </w:p>
    <w:p w14:paraId="1B19961F">
      <w:pPr>
        <w:pStyle w:val="42"/>
        <w:pageBreakBefore w:val="0"/>
        <w:widowControl w:val="0"/>
        <w:numPr>
          <w:ilvl w:val="0"/>
          <w:numId w:val="10"/>
        </w:numPr>
        <w:kinsoku/>
        <w:wordWrap/>
        <w:overflowPunct/>
        <w:topLinePunct w:val="0"/>
        <w:autoSpaceDE/>
        <w:autoSpaceDN/>
        <w:bidi w:val="0"/>
        <w:spacing w:before="0" w:beforeLines="0" w:line="480" w:lineRule="exact"/>
        <w:textAlignment w:val="auto"/>
        <w:rPr>
          <w:rFonts w:hint="eastAsia"/>
          <w:color w:val="auto"/>
          <w:lang w:val="en-US" w:eastAsia="zh-CN"/>
        </w:rPr>
      </w:pPr>
      <w:r>
        <w:rPr>
          <w:rFonts w:hint="eastAsia"/>
          <w:color w:val="auto"/>
          <w:lang w:val="en-US" w:eastAsia="zh-CN"/>
        </w:rPr>
        <w:t xml:space="preserve">本采购需求中提出的服务方案仅为参考，如无明确限制，投标人可以进行优化，提供满足采购人实际需要的更优（或者性能实质上不低于的）服务方案，且此方案须经评标委员会评审认可。 </w:t>
      </w:r>
    </w:p>
    <w:p w14:paraId="1A048312">
      <w:pPr>
        <w:pStyle w:val="42"/>
        <w:pageBreakBefore w:val="0"/>
        <w:widowControl w:val="0"/>
        <w:numPr>
          <w:ilvl w:val="0"/>
          <w:numId w:val="10"/>
        </w:numPr>
        <w:kinsoku/>
        <w:wordWrap/>
        <w:overflowPunct/>
        <w:topLinePunct w:val="0"/>
        <w:autoSpaceDE/>
        <w:autoSpaceDN/>
        <w:bidi w:val="0"/>
        <w:spacing w:before="0" w:beforeLines="0" w:line="480" w:lineRule="exact"/>
        <w:textAlignment w:val="auto"/>
        <w:rPr>
          <w:color w:val="auto"/>
        </w:rPr>
      </w:pPr>
      <w:r>
        <w:rPr>
          <w:rFonts w:hint="eastAsia"/>
          <w:color w:val="auto"/>
          <w:lang w:val="en-US" w:eastAsia="zh-CN"/>
        </w:rPr>
        <w:t>下列采购需求中用“★”符号标明的条款为实质性要求和条件，投标人必须完全响应，未按要求响应，视为实质性偏离，其</w:t>
      </w:r>
      <w:r>
        <w:rPr>
          <w:rFonts w:hint="eastAsia"/>
          <w:b/>
          <w:bCs/>
          <w:color w:val="auto"/>
          <w:lang w:val="en-US" w:eastAsia="zh-CN"/>
        </w:rPr>
        <w:t>投标无效</w:t>
      </w:r>
      <w:r>
        <w:rPr>
          <w:rFonts w:hint="eastAsia"/>
          <w:color w:val="auto"/>
          <w:lang w:val="en-US" w:eastAsia="zh-CN"/>
        </w:rPr>
        <w:t>。</w:t>
      </w:r>
    </w:p>
    <w:p w14:paraId="2D52447B">
      <w:pPr>
        <w:pStyle w:val="42"/>
        <w:pageBreakBefore w:val="0"/>
        <w:widowControl w:val="0"/>
        <w:numPr>
          <w:ilvl w:val="0"/>
          <w:numId w:val="10"/>
        </w:numPr>
        <w:kinsoku/>
        <w:wordWrap/>
        <w:overflowPunct/>
        <w:topLinePunct w:val="0"/>
        <w:autoSpaceDE/>
        <w:autoSpaceDN/>
        <w:bidi w:val="0"/>
        <w:spacing w:before="0" w:beforeLines="0" w:line="480" w:lineRule="exact"/>
        <w:textAlignment w:val="auto"/>
        <w:rPr>
          <w:b/>
          <w:bCs/>
          <w:color w:val="auto"/>
        </w:rPr>
      </w:pPr>
      <w:r>
        <w:rPr>
          <w:rFonts w:hint="eastAsia"/>
          <w:b/>
          <w:bCs/>
          <w:color w:val="auto"/>
          <w:lang w:val="en-US" w:eastAsia="zh-CN"/>
        </w:rPr>
        <w:t>未标注“★” 的条款为非实质性要求和条件，视为非实质性偏离，非实质性负偏离达5项以上（含5项）为无效投标。</w:t>
      </w:r>
    </w:p>
    <w:p w14:paraId="7570BB8A">
      <w:pPr>
        <w:pStyle w:val="3"/>
        <w:pageBreakBefore w:val="0"/>
        <w:widowControl w:val="0"/>
        <w:numPr>
          <w:ilvl w:val="0"/>
          <w:numId w:val="0"/>
        </w:numPr>
        <w:kinsoku/>
        <w:wordWrap/>
        <w:overflowPunct/>
        <w:topLinePunct w:val="0"/>
        <w:autoSpaceDE/>
        <w:autoSpaceDN/>
        <w:bidi w:val="0"/>
        <w:spacing w:before="0" w:after="0" w:line="480" w:lineRule="exact"/>
        <w:ind w:left="-420" w:leftChars="0" w:firstLine="420" w:firstLineChars="0"/>
        <w:jc w:val="left"/>
        <w:textAlignment w:val="auto"/>
        <w:rPr>
          <w:color w:val="auto"/>
        </w:rPr>
      </w:pPr>
      <w:bookmarkStart w:id="55" w:name="_Toc1949"/>
      <w:bookmarkStart w:id="56" w:name="_Toc140679429"/>
      <w:r>
        <w:rPr>
          <w:rFonts w:hint="eastAsia" w:ascii="Arial" w:hAnsi="Arial" w:eastAsia="黑体" w:cs="Times New Roman"/>
          <w:color w:val="auto"/>
          <w:kern w:val="2"/>
          <w:sz w:val="30"/>
          <w:szCs w:val="24"/>
          <w:lang w:val="en-US" w:eastAsia="zh-CN" w:bidi="ar-SA"/>
        </w:rPr>
        <w:t>（一）</w:t>
      </w:r>
      <w:r>
        <w:rPr>
          <w:rFonts w:hint="eastAsia"/>
          <w:color w:val="auto"/>
        </w:rPr>
        <w:t>项目概况</w:t>
      </w:r>
      <w:bookmarkEnd w:id="55"/>
      <w:bookmarkEnd w:id="56"/>
    </w:p>
    <w:p w14:paraId="287EF969">
      <w:pPr>
        <w:ind w:firstLine="240" w:firstLineChars="100"/>
        <w:rPr>
          <w:rFonts w:hint="default"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项目名称：慈利县2026年度菜籽油大县奖励资金项目—油菜种子、硼肥采购子项目</w:t>
      </w:r>
    </w:p>
    <w:p w14:paraId="31064C04">
      <w:pPr>
        <w:ind w:firstLine="240" w:firstLineChars="100"/>
        <w:rPr>
          <w:rFonts w:hint="default" w:ascii="Times New Roman" w:hAnsi="Times New Roman" w:eastAsia="宋体" w:cs="Times New Roman"/>
          <w:color w:val="auto"/>
          <w:kern w:val="2"/>
          <w:sz w:val="24"/>
          <w:szCs w:val="22"/>
          <w:lang w:val="en-US" w:eastAsia="zh-CN" w:bidi="ar-SA"/>
        </w:rPr>
      </w:pPr>
    </w:p>
    <w:p w14:paraId="26D067DF">
      <w:pPr>
        <w:pStyle w:val="3"/>
        <w:pageBreakBefore w:val="0"/>
        <w:widowControl w:val="0"/>
        <w:numPr>
          <w:ilvl w:val="0"/>
          <w:numId w:val="0"/>
        </w:numPr>
        <w:kinsoku/>
        <w:wordWrap/>
        <w:overflowPunct/>
        <w:topLinePunct w:val="0"/>
        <w:autoSpaceDE/>
        <w:autoSpaceDN/>
        <w:bidi w:val="0"/>
        <w:spacing w:before="0" w:after="0" w:line="480" w:lineRule="exact"/>
        <w:ind w:left="-420" w:leftChars="0" w:firstLine="420" w:firstLineChars="0"/>
        <w:jc w:val="left"/>
        <w:textAlignment w:val="auto"/>
        <w:rPr>
          <w:color w:val="auto"/>
        </w:rPr>
      </w:pPr>
      <w:bookmarkStart w:id="57" w:name="_Toc140679430"/>
      <w:bookmarkStart w:id="58" w:name="_Toc7650"/>
      <w:r>
        <w:rPr>
          <w:rFonts w:hint="eastAsia" w:ascii="Arial" w:hAnsi="Arial" w:eastAsia="黑体" w:cs="Times New Roman"/>
          <w:color w:val="auto"/>
          <w:kern w:val="2"/>
          <w:sz w:val="30"/>
          <w:szCs w:val="24"/>
          <w:lang w:val="en-US" w:eastAsia="zh-CN" w:bidi="ar-SA"/>
        </w:rPr>
        <w:t>（二）</w:t>
      </w:r>
      <w:r>
        <w:rPr>
          <w:rFonts w:hint="eastAsia"/>
          <w:color w:val="auto"/>
        </w:rPr>
        <w:t>采购项目预（概）算</w:t>
      </w:r>
      <w:bookmarkEnd w:id="57"/>
      <w:bookmarkEnd w:id="58"/>
    </w:p>
    <w:p w14:paraId="56512B7A">
      <w:pPr>
        <w:pStyle w:val="42"/>
        <w:pageBreakBefore w:val="0"/>
        <w:widowControl w:val="0"/>
        <w:kinsoku/>
        <w:wordWrap/>
        <w:overflowPunct/>
        <w:topLinePunct w:val="0"/>
        <w:autoSpaceDE/>
        <w:autoSpaceDN/>
        <w:bidi w:val="0"/>
        <w:spacing w:before="0" w:beforeLines="0" w:line="480" w:lineRule="exact"/>
        <w:ind w:firstLine="480"/>
        <w:textAlignment w:val="auto"/>
        <w:rPr>
          <w:rFonts w:hint="default" w:eastAsia="宋体"/>
          <w:color w:val="auto"/>
          <w:lang w:val="en-US" w:eastAsia="zh-CN"/>
        </w:rPr>
      </w:pPr>
      <w:r>
        <w:rPr>
          <w:rFonts w:hint="eastAsia"/>
          <w:color w:val="auto"/>
        </w:rPr>
        <w:t>总 预 算∶</w:t>
      </w:r>
      <w:r>
        <w:rPr>
          <w:rFonts w:hint="eastAsia" w:ascii="宋体" w:hAnsi="宋体" w:cs="宋体"/>
          <w:color w:val="auto"/>
          <w:highlight w:val="none"/>
          <w:u w:val="single"/>
          <w:lang w:val="en-US" w:eastAsia="zh-CN"/>
        </w:rPr>
        <w:t>330</w:t>
      </w:r>
      <w:r>
        <w:rPr>
          <w:rFonts w:hint="eastAsia" w:ascii="宋体" w:hAnsi="宋体" w:eastAsia="宋体" w:cs="宋体"/>
          <w:color w:val="auto"/>
          <w:highlight w:val="none"/>
          <w:u w:val="single"/>
          <w:lang w:val="en-US" w:eastAsia="zh-CN"/>
        </w:rPr>
        <w:t>万元</w:t>
      </w:r>
      <w:r>
        <w:rPr>
          <w:rFonts w:hint="eastAsia"/>
          <w:color w:val="auto"/>
          <w:lang w:val="en-US" w:eastAsia="zh-CN"/>
        </w:rPr>
        <w:t>。</w:t>
      </w:r>
    </w:p>
    <w:p w14:paraId="0034B4FD">
      <w:pPr>
        <w:pStyle w:val="42"/>
        <w:pageBreakBefore w:val="0"/>
        <w:widowControl w:val="0"/>
        <w:kinsoku/>
        <w:wordWrap/>
        <w:overflowPunct/>
        <w:topLinePunct w:val="0"/>
        <w:autoSpaceDE/>
        <w:autoSpaceDN/>
        <w:bidi w:val="0"/>
        <w:spacing w:before="0" w:beforeLines="0" w:line="480" w:lineRule="exact"/>
        <w:ind w:firstLine="480"/>
        <w:textAlignment w:val="auto"/>
        <w:rPr>
          <w:color w:val="auto"/>
        </w:rPr>
      </w:pPr>
      <w:r>
        <w:rPr>
          <w:rFonts w:hint="eastAsia"/>
          <w:color w:val="auto"/>
        </w:rPr>
        <w:t>最高限价：</w:t>
      </w:r>
      <w:r>
        <w:rPr>
          <w:rFonts w:hint="eastAsia" w:ascii="宋体" w:hAnsi="宋体" w:cs="宋体"/>
          <w:color w:val="auto"/>
          <w:highlight w:val="none"/>
          <w:u w:val="single"/>
          <w:lang w:val="en-US" w:eastAsia="zh-CN"/>
        </w:rPr>
        <w:t>330</w:t>
      </w:r>
      <w:r>
        <w:rPr>
          <w:rFonts w:hint="eastAsia" w:ascii="宋体" w:hAnsi="宋体" w:eastAsia="宋体" w:cs="宋体"/>
          <w:color w:val="auto"/>
          <w:highlight w:val="none"/>
          <w:u w:val="single"/>
          <w:lang w:val="en-US" w:eastAsia="zh-CN"/>
        </w:rPr>
        <w:t>万元</w:t>
      </w:r>
      <w:r>
        <w:rPr>
          <w:rFonts w:hint="eastAsia"/>
          <w:color w:val="auto"/>
          <w:lang w:val="en-US" w:eastAsia="zh-CN"/>
        </w:rPr>
        <w:t>。</w:t>
      </w:r>
    </w:p>
    <w:p w14:paraId="6DDC7B12">
      <w:pPr>
        <w:pStyle w:val="3"/>
        <w:pageBreakBefore w:val="0"/>
        <w:widowControl w:val="0"/>
        <w:numPr>
          <w:ilvl w:val="0"/>
          <w:numId w:val="0"/>
        </w:numPr>
        <w:kinsoku/>
        <w:wordWrap/>
        <w:overflowPunct/>
        <w:topLinePunct w:val="0"/>
        <w:autoSpaceDE/>
        <w:autoSpaceDN/>
        <w:bidi w:val="0"/>
        <w:spacing w:before="0" w:after="0" w:line="480" w:lineRule="exact"/>
        <w:ind w:left="-420" w:leftChars="0" w:firstLine="420" w:firstLineChars="0"/>
        <w:jc w:val="left"/>
        <w:textAlignment w:val="auto"/>
        <w:rPr>
          <w:color w:val="auto"/>
        </w:rPr>
      </w:pPr>
      <w:bookmarkStart w:id="59" w:name="_Toc3082"/>
      <w:bookmarkStart w:id="60" w:name="_Toc140679431"/>
      <w:r>
        <w:rPr>
          <w:rFonts w:hint="eastAsia" w:ascii="Arial" w:hAnsi="Arial" w:eastAsia="黑体" w:cs="Times New Roman"/>
          <w:color w:val="auto"/>
          <w:kern w:val="2"/>
          <w:sz w:val="30"/>
          <w:szCs w:val="24"/>
          <w:lang w:val="en-US" w:eastAsia="zh-CN" w:bidi="ar-SA"/>
        </w:rPr>
        <w:t>（三）</w:t>
      </w:r>
      <w:r>
        <w:rPr>
          <w:rFonts w:hint="eastAsia"/>
          <w:color w:val="auto"/>
        </w:rPr>
        <w:t>采购标的汇总表</w:t>
      </w:r>
      <w:bookmarkEnd w:id="59"/>
      <w:bookmarkEnd w:id="60"/>
    </w:p>
    <w:tbl>
      <w:tblPr>
        <w:tblStyle w:val="33"/>
        <w:tblW w:w="10105" w:type="dxa"/>
        <w:tblInd w:w="335"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395"/>
        <w:gridCol w:w="1461"/>
        <w:gridCol w:w="2125"/>
        <w:gridCol w:w="1138"/>
        <w:gridCol w:w="1462"/>
        <w:gridCol w:w="788"/>
        <w:gridCol w:w="1200"/>
      </w:tblGrid>
      <w:tr w14:paraId="6C85AD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536" w:type="dxa"/>
            <w:tcBorders>
              <w:tl2br w:val="nil"/>
              <w:tr2bl w:val="nil"/>
            </w:tcBorders>
            <w:vAlign w:val="center"/>
          </w:tcPr>
          <w:p w14:paraId="0E5ADF9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包号</w:t>
            </w:r>
          </w:p>
        </w:tc>
        <w:tc>
          <w:tcPr>
            <w:tcW w:w="1395" w:type="dxa"/>
            <w:tcBorders>
              <w:tl2br w:val="nil"/>
              <w:tr2bl w:val="nil"/>
            </w:tcBorders>
            <w:vAlign w:val="center"/>
          </w:tcPr>
          <w:p w14:paraId="7E45BD1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color w:val="auto"/>
                <w:sz w:val="22"/>
                <w:lang w:val="en-US" w:eastAsia="zh-CN"/>
              </w:rPr>
            </w:pPr>
            <w:r>
              <w:rPr>
                <w:rFonts w:hint="eastAsia" w:ascii="宋体" w:hAnsi="宋体" w:eastAsia="宋体" w:cs="宋体"/>
                <w:b/>
                <w:bCs/>
                <w:color w:val="auto"/>
                <w:sz w:val="22"/>
                <w:lang w:val="en-US" w:eastAsia="zh-CN"/>
              </w:rPr>
              <w:t>项目名称</w:t>
            </w:r>
          </w:p>
        </w:tc>
        <w:tc>
          <w:tcPr>
            <w:tcW w:w="1461" w:type="dxa"/>
            <w:tcBorders>
              <w:tl2br w:val="nil"/>
              <w:tr2bl w:val="nil"/>
            </w:tcBorders>
            <w:vAlign w:val="center"/>
          </w:tcPr>
          <w:p w14:paraId="790B845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标的名称</w:t>
            </w:r>
          </w:p>
        </w:tc>
        <w:tc>
          <w:tcPr>
            <w:tcW w:w="2125" w:type="dxa"/>
            <w:tcBorders>
              <w:tl2br w:val="nil"/>
              <w:tr2bl w:val="nil"/>
            </w:tcBorders>
            <w:vAlign w:val="center"/>
          </w:tcPr>
          <w:p w14:paraId="110440F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品目分类编码</w:t>
            </w:r>
          </w:p>
        </w:tc>
        <w:tc>
          <w:tcPr>
            <w:tcW w:w="1138" w:type="dxa"/>
            <w:tcBorders>
              <w:tl2br w:val="nil"/>
              <w:tr2bl w:val="nil"/>
            </w:tcBorders>
            <w:vAlign w:val="center"/>
          </w:tcPr>
          <w:p w14:paraId="5EB4FD3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计量单位</w:t>
            </w:r>
          </w:p>
        </w:tc>
        <w:tc>
          <w:tcPr>
            <w:tcW w:w="1462" w:type="dxa"/>
            <w:tcBorders>
              <w:tl2br w:val="nil"/>
              <w:tr2bl w:val="nil"/>
            </w:tcBorders>
            <w:vAlign w:val="center"/>
          </w:tcPr>
          <w:p w14:paraId="586C83F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数量</w:t>
            </w:r>
          </w:p>
        </w:tc>
        <w:tc>
          <w:tcPr>
            <w:tcW w:w="788" w:type="dxa"/>
            <w:tcBorders>
              <w:tl2br w:val="nil"/>
              <w:tr2bl w:val="nil"/>
            </w:tcBorders>
            <w:vAlign w:val="center"/>
          </w:tcPr>
          <w:p w14:paraId="5D05CDD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是否进口</w:t>
            </w:r>
          </w:p>
        </w:tc>
        <w:tc>
          <w:tcPr>
            <w:tcW w:w="1200" w:type="dxa"/>
            <w:tcBorders>
              <w:tl2br w:val="nil"/>
              <w:tr2bl w:val="nil"/>
            </w:tcBorders>
            <w:vAlign w:val="center"/>
          </w:tcPr>
          <w:p w14:paraId="5B8473E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color w:val="auto"/>
                <w:sz w:val="22"/>
                <w:lang w:val="en-US" w:eastAsia="zh-CN"/>
              </w:rPr>
            </w:pPr>
            <w:r>
              <w:rPr>
                <w:rFonts w:hint="eastAsia" w:ascii="宋体" w:hAnsi="宋体" w:eastAsia="宋体" w:cs="宋体"/>
                <w:b/>
                <w:bCs/>
                <w:color w:val="auto"/>
                <w:sz w:val="22"/>
                <w:lang w:val="en-US" w:eastAsia="zh-CN"/>
              </w:rPr>
              <w:t>是否为核心产品</w:t>
            </w:r>
          </w:p>
        </w:tc>
      </w:tr>
      <w:tr w14:paraId="2CDF5E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536" w:type="dxa"/>
            <w:vMerge w:val="restart"/>
            <w:tcBorders>
              <w:tl2br w:val="nil"/>
              <w:tr2bl w:val="nil"/>
            </w:tcBorders>
            <w:vAlign w:val="center"/>
          </w:tcPr>
          <w:p w14:paraId="2A2ED787">
            <w:pPr>
              <w:pStyle w:val="50"/>
              <w:keepNext w:val="0"/>
              <w:keepLines w:val="0"/>
              <w:pageBreakBefore w:val="0"/>
              <w:kinsoku/>
              <w:wordWrap/>
              <w:overflowPunct/>
              <w:topLinePunct w:val="0"/>
              <w:autoSpaceDE/>
              <w:autoSpaceDN/>
              <w:bidi w:val="0"/>
              <w:adjustRightInd/>
              <w:snapToGrid/>
              <w:spacing w:line="240" w:lineRule="auto"/>
              <w:ind w:left="0" w:leftChars="0" w:firstLine="220" w:firstLineChars="100"/>
              <w:jc w:val="both"/>
              <w:textAlignment w:val="auto"/>
              <w:rPr>
                <w:rFonts w:hint="default" w:ascii="宋体" w:hAnsi="宋体" w:eastAsia="宋体" w:cs="宋体"/>
                <w:color w:val="auto"/>
                <w:sz w:val="28"/>
                <w:szCs w:val="28"/>
                <w:lang w:val="en-US" w:eastAsia="zh-CN"/>
              </w:rPr>
            </w:pPr>
            <w:r>
              <w:rPr>
                <w:rFonts w:hint="eastAsia" w:ascii="宋体" w:hAnsi="宋体" w:eastAsia="宋体" w:cstheme="minorBidi"/>
                <w:color w:val="auto"/>
                <w:kern w:val="0"/>
                <w:sz w:val="22"/>
                <w:szCs w:val="22"/>
                <w:lang w:val="en-US" w:eastAsia="zh-CN" w:bidi="ar-SA"/>
              </w:rPr>
              <w:t>1</w:t>
            </w:r>
          </w:p>
        </w:tc>
        <w:tc>
          <w:tcPr>
            <w:tcW w:w="1395" w:type="dxa"/>
            <w:vMerge w:val="restart"/>
            <w:tcBorders>
              <w:tl2br w:val="nil"/>
              <w:tr2bl w:val="nil"/>
            </w:tcBorders>
            <w:vAlign w:val="center"/>
          </w:tcPr>
          <w:p w14:paraId="28354E5D">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kern w:val="2"/>
                <w:sz w:val="21"/>
                <w:szCs w:val="21"/>
                <w:lang w:val="en-US" w:eastAsia="zh-CN" w:bidi="ar-SA"/>
              </w:rPr>
            </w:pPr>
            <w:r>
              <w:rPr>
                <w:rFonts w:hint="eastAsia" w:cs="宋体"/>
                <w:b w:val="0"/>
                <w:bCs w:val="0"/>
                <w:color w:val="auto"/>
                <w:sz w:val="21"/>
                <w:szCs w:val="21"/>
                <w:highlight w:val="none"/>
                <w:lang w:val="en-US" w:eastAsia="zh-CN"/>
              </w:rPr>
              <w:t>慈利县2026年度菜籽油大县奖励资金项目—油菜种子、硼肥采购子项目</w:t>
            </w:r>
          </w:p>
        </w:tc>
        <w:tc>
          <w:tcPr>
            <w:tcW w:w="1461" w:type="dxa"/>
            <w:tcBorders>
              <w:tl2br w:val="nil"/>
              <w:tr2bl w:val="nil"/>
            </w:tcBorders>
            <w:shd w:val="clear" w:color="auto" w:fill="auto"/>
            <w:vAlign w:val="center"/>
          </w:tcPr>
          <w:p w14:paraId="26003DD5">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sz w:val="21"/>
                <w:szCs w:val="21"/>
                <w:highlight w:val="none"/>
                <w:lang w:eastAsia="zh-CN"/>
              </w:rPr>
              <w:t>杂交油菜种子</w:t>
            </w:r>
          </w:p>
        </w:tc>
        <w:tc>
          <w:tcPr>
            <w:tcW w:w="2125" w:type="dxa"/>
            <w:tcBorders>
              <w:tl2br w:val="nil"/>
              <w:tr2bl w:val="nil"/>
            </w:tcBorders>
            <w:vAlign w:val="center"/>
          </w:tcPr>
          <w:p w14:paraId="64DF16DB">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A07030302-油菜籽</w:t>
            </w:r>
          </w:p>
        </w:tc>
        <w:tc>
          <w:tcPr>
            <w:tcW w:w="1138" w:type="dxa"/>
            <w:tcBorders>
              <w:tl2br w:val="nil"/>
              <w:tr2bl w:val="nil"/>
            </w:tcBorders>
            <w:vAlign w:val="center"/>
          </w:tcPr>
          <w:p w14:paraId="6A8E85D8">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包</w:t>
            </w:r>
          </w:p>
        </w:tc>
        <w:tc>
          <w:tcPr>
            <w:tcW w:w="1462" w:type="dxa"/>
            <w:tcBorders>
              <w:tl2br w:val="nil"/>
              <w:tr2bl w:val="nil"/>
            </w:tcBorders>
            <w:vAlign w:val="center"/>
          </w:tcPr>
          <w:p w14:paraId="2D1DD911">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ind w:left="210" w:leftChars="10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32万包</w:t>
            </w:r>
          </w:p>
        </w:tc>
        <w:tc>
          <w:tcPr>
            <w:tcW w:w="788" w:type="dxa"/>
            <w:tcBorders>
              <w:tl2br w:val="nil"/>
              <w:tr2bl w:val="nil"/>
            </w:tcBorders>
            <w:vAlign w:val="center"/>
          </w:tcPr>
          <w:p w14:paraId="64162E1B">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ind w:left="210" w:leftChars="100" w:firstLine="0" w:firstLineChars="0"/>
              <w:jc w:val="both"/>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否</w:t>
            </w:r>
          </w:p>
        </w:tc>
        <w:tc>
          <w:tcPr>
            <w:tcW w:w="1200" w:type="dxa"/>
            <w:tcBorders>
              <w:tl2br w:val="nil"/>
              <w:tr2bl w:val="nil"/>
            </w:tcBorders>
            <w:vAlign w:val="center"/>
          </w:tcPr>
          <w:p w14:paraId="1E820931">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ind w:left="210" w:leftChars="100" w:firstLine="0" w:firstLineChars="0"/>
              <w:jc w:val="both"/>
              <w:textAlignment w:val="auto"/>
              <w:rPr>
                <w:rFonts w:hint="default" w:ascii="宋体" w:hAnsi="宋体" w:cs="宋体"/>
                <w:color w:val="auto"/>
                <w:szCs w:val="21"/>
                <w:highlight w:val="none"/>
                <w:lang w:val="en-US" w:eastAsia="zh-CN"/>
              </w:rPr>
            </w:pPr>
            <w:r>
              <w:rPr>
                <w:rFonts w:hint="eastAsia" w:cs="宋体"/>
                <w:color w:val="auto"/>
                <w:szCs w:val="21"/>
                <w:highlight w:val="none"/>
                <w:lang w:val="en-US" w:eastAsia="zh-CN"/>
              </w:rPr>
              <w:t>是</w:t>
            </w:r>
          </w:p>
        </w:tc>
      </w:tr>
      <w:tr w14:paraId="69C5DF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536" w:type="dxa"/>
            <w:vMerge w:val="continue"/>
            <w:tcBorders>
              <w:tl2br w:val="nil"/>
              <w:tr2bl w:val="nil"/>
            </w:tcBorders>
            <w:vAlign w:val="center"/>
          </w:tcPr>
          <w:p w14:paraId="72A32872">
            <w:pPr>
              <w:pStyle w:val="50"/>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8"/>
                <w:szCs w:val="28"/>
              </w:rPr>
            </w:pPr>
          </w:p>
        </w:tc>
        <w:tc>
          <w:tcPr>
            <w:tcW w:w="1395" w:type="dxa"/>
            <w:vMerge w:val="continue"/>
            <w:tcBorders>
              <w:tl2br w:val="nil"/>
              <w:tr2bl w:val="nil"/>
            </w:tcBorders>
            <w:vAlign w:val="center"/>
          </w:tcPr>
          <w:p w14:paraId="50B26EEA">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ind w:left="210" w:leftChars="100"/>
              <w:jc w:val="center"/>
              <w:textAlignment w:val="auto"/>
              <w:rPr>
                <w:rFonts w:hint="eastAsia" w:ascii="宋体" w:hAnsi="宋体" w:eastAsia="宋体" w:cs="宋体"/>
                <w:b w:val="0"/>
                <w:bCs w:val="0"/>
                <w:i/>
                <w:iCs/>
                <w:color w:val="auto"/>
                <w:sz w:val="21"/>
                <w:szCs w:val="21"/>
              </w:rPr>
            </w:pPr>
          </w:p>
        </w:tc>
        <w:tc>
          <w:tcPr>
            <w:tcW w:w="1461" w:type="dxa"/>
            <w:tcBorders>
              <w:tl2br w:val="nil"/>
              <w:tr2bl w:val="nil"/>
            </w:tcBorders>
            <w:shd w:val="clear" w:color="auto" w:fill="auto"/>
            <w:vAlign w:val="center"/>
          </w:tcPr>
          <w:p w14:paraId="0861955E">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i/>
                <w:iCs/>
                <w:color w:val="auto"/>
                <w:kern w:val="2"/>
                <w:sz w:val="21"/>
                <w:szCs w:val="21"/>
                <w:lang w:val="en-US" w:eastAsia="zh-CN" w:bidi="ar-SA"/>
              </w:rPr>
            </w:pPr>
            <w:r>
              <w:rPr>
                <w:rFonts w:hint="eastAsia" w:cs="宋体"/>
                <w:b w:val="0"/>
                <w:bCs w:val="0"/>
                <w:color w:val="auto"/>
                <w:sz w:val="21"/>
                <w:szCs w:val="21"/>
                <w:highlight w:val="none"/>
                <w:lang w:val="en-US" w:eastAsia="zh-CN"/>
              </w:rPr>
              <w:t>油菜</w:t>
            </w:r>
            <w:r>
              <w:rPr>
                <w:rFonts w:hint="eastAsia" w:ascii="宋体" w:hAnsi="宋体" w:cs="宋体"/>
                <w:b w:val="0"/>
                <w:bCs w:val="0"/>
                <w:color w:val="auto"/>
                <w:sz w:val="21"/>
                <w:szCs w:val="21"/>
                <w:highlight w:val="none"/>
              </w:rPr>
              <w:t>硼肥</w:t>
            </w:r>
          </w:p>
        </w:tc>
        <w:tc>
          <w:tcPr>
            <w:tcW w:w="2125" w:type="dxa"/>
            <w:tcBorders>
              <w:tl2br w:val="nil"/>
              <w:tr2bl w:val="nil"/>
            </w:tcBorders>
            <w:vAlign w:val="center"/>
          </w:tcPr>
          <w:p w14:paraId="5969738A">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A07080104-化学肥料</w:t>
            </w:r>
          </w:p>
        </w:tc>
        <w:tc>
          <w:tcPr>
            <w:tcW w:w="1138" w:type="dxa"/>
            <w:tcBorders>
              <w:tl2br w:val="nil"/>
              <w:tr2bl w:val="nil"/>
            </w:tcBorders>
            <w:vAlign w:val="center"/>
          </w:tcPr>
          <w:p w14:paraId="4F474A40">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包</w:t>
            </w:r>
          </w:p>
        </w:tc>
        <w:tc>
          <w:tcPr>
            <w:tcW w:w="1462" w:type="dxa"/>
            <w:tcBorders>
              <w:tl2br w:val="nil"/>
              <w:tr2bl w:val="nil"/>
            </w:tcBorders>
            <w:vAlign w:val="center"/>
          </w:tcPr>
          <w:p w14:paraId="4674F35F">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ind w:left="210" w:leftChars="100"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32万包</w:t>
            </w:r>
          </w:p>
        </w:tc>
        <w:tc>
          <w:tcPr>
            <w:tcW w:w="788" w:type="dxa"/>
            <w:tcBorders>
              <w:tl2br w:val="nil"/>
              <w:tr2bl w:val="nil"/>
            </w:tcBorders>
            <w:vAlign w:val="center"/>
          </w:tcPr>
          <w:p w14:paraId="5C0AAE65">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ind w:left="210" w:leftChars="100" w:firstLine="0" w:firstLineChars="0"/>
              <w:jc w:val="both"/>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否</w:t>
            </w:r>
          </w:p>
        </w:tc>
        <w:tc>
          <w:tcPr>
            <w:tcW w:w="1200" w:type="dxa"/>
            <w:tcBorders>
              <w:tl2br w:val="nil"/>
              <w:tr2bl w:val="nil"/>
            </w:tcBorders>
            <w:vAlign w:val="center"/>
          </w:tcPr>
          <w:p w14:paraId="1DBA820B">
            <w:pPr>
              <w:pStyle w:val="49"/>
              <w:keepNext w:val="0"/>
              <w:keepLines w:val="0"/>
              <w:pageBreakBefore w:val="0"/>
              <w:widowControl/>
              <w:numPr>
                <w:ilvl w:val="0"/>
                <w:numId w:val="0"/>
              </w:numPr>
              <w:kinsoku/>
              <w:wordWrap/>
              <w:overflowPunct/>
              <w:topLinePunct w:val="0"/>
              <w:autoSpaceDE/>
              <w:autoSpaceDN/>
              <w:bidi w:val="0"/>
              <w:adjustRightInd/>
              <w:snapToGrid/>
              <w:spacing w:line="440" w:lineRule="exact"/>
              <w:ind w:left="210" w:leftChars="100" w:firstLine="0" w:firstLineChars="0"/>
              <w:jc w:val="both"/>
              <w:textAlignment w:val="auto"/>
              <w:rPr>
                <w:rFonts w:hint="default" w:ascii="宋体" w:hAnsi="宋体" w:cs="宋体"/>
                <w:color w:val="auto"/>
                <w:szCs w:val="21"/>
                <w:highlight w:val="none"/>
                <w:lang w:val="en-US" w:eastAsia="zh-CN"/>
              </w:rPr>
            </w:pPr>
            <w:r>
              <w:rPr>
                <w:rFonts w:hint="eastAsia" w:cs="宋体"/>
                <w:color w:val="auto"/>
                <w:szCs w:val="21"/>
                <w:highlight w:val="none"/>
                <w:lang w:val="en-US" w:eastAsia="zh-CN"/>
              </w:rPr>
              <w:t>否</w:t>
            </w:r>
          </w:p>
        </w:tc>
      </w:tr>
    </w:tbl>
    <w:p w14:paraId="3C753860">
      <w:pPr>
        <w:numPr>
          <w:ilvl w:val="0"/>
          <w:numId w:val="0"/>
        </w:numPr>
        <w:bidi w:val="0"/>
        <w:ind w:left="-420" w:leftChars="0" w:firstLine="420" w:firstLineChars="0"/>
        <w:rPr>
          <w:rFonts w:hint="eastAsia" w:asciiTheme="minorHAnsi" w:hAnsiTheme="minorHAnsi" w:eastAsiaTheme="minorEastAsia" w:cstheme="minorBidi"/>
          <w:color w:val="auto"/>
          <w:kern w:val="2"/>
          <w:sz w:val="21"/>
          <w:szCs w:val="22"/>
          <w:lang w:val="en-US" w:eastAsia="zh-CN" w:bidi="ar-SA"/>
        </w:rPr>
      </w:pPr>
      <w:bookmarkStart w:id="61" w:name="_Toc17815"/>
      <w:bookmarkStart w:id="62" w:name="_Toc140679432"/>
    </w:p>
    <w:p w14:paraId="2BDA3F64">
      <w:pPr>
        <w:numPr>
          <w:ilvl w:val="0"/>
          <w:numId w:val="0"/>
        </w:numPr>
        <w:bidi w:val="0"/>
        <w:ind w:left="-420" w:leftChars="0" w:firstLine="420" w:firstLineChars="0"/>
        <w:rPr>
          <w:rFonts w:hint="eastAsia" w:asciiTheme="minorHAnsi" w:hAnsiTheme="minorHAnsi" w:eastAsiaTheme="minorEastAsia" w:cstheme="minorBidi"/>
          <w:color w:val="auto"/>
          <w:kern w:val="2"/>
          <w:sz w:val="21"/>
          <w:szCs w:val="22"/>
          <w:lang w:val="en-US" w:eastAsia="zh-CN" w:bidi="ar-SA"/>
        </w:rPr>
      </w:pPr>
    </w:p>
    <w:p w14:paraId="24837456">
      <w:pPr>
        <w:numPr>
          <w:ilvl w:val="0"/>
          <w:numId w:val="0"/>
        </w:numPr>
        <w:bidi w:val="0"/>
        <w:ind w:left="-420" w:leftChars="0" w:firstLine="420" w:firstLineChars="0"/>
        <w:rPr>
          <w:rFonts w:hint="eastAsia"/>
          <w:color w:val="auto"/>
        </w:rPr>
      </w:pPr>
      <w:r>
        <w:rPr>
          <w:rFonts w:hint="eastAsia" w:ascii="Arial" w:hAnsi="Arial" w:eastAsia="黑体" w:cs="Times New Roman"/>
          <w:color w:val="auto"/>
          <w:kern w:val="2"/>
          <w:sz w:val="30"/>
          <w:szCs w:val="24"/>
          <w:lang w:val="en-US" w:eastAsia="zh-CN" w:bidi="ar-SA"/>
        </w:rPr>
        <w:t>（四）技术商务要求</w:t>
      </w:r>
      <w:bookmarkEnd w:id="61"/>
      <w:bookmarkEnd w:id="62"/>
    </w:p>
    <w:p w14:paraId="7D9ECA8D">
      <w:pPr>
        <w:pStyle w:val="3"/>
        <w:pageBreakBefore w:val="0"/>
        <w:widowControl w:val="0"/>
        <w:numPr>
          <w:ilvl w:val="0"/>
          <w:numId w:val="0"/>
        </w:numPr>
        <w:kinsoku/>
        <w:wordWrap/>
        <w:overflowPunct/>
        <w:topLinePunct w:val="0"/>
        <w:autoSpaceDE/>
        <w:autoSpaceDN/>
        <w:bidi w:val="0"/>
        <w:adjustRightInd/>
        <w:snapToGrid/>
        <w:spacing w:before="0" w:line="480" w:lineRule="exact"/>
        <w:ind w:leftChars="0"/>
        <w:jc w:val="center"/>
        <w:textAlignment w:val="auto"/>
        <w:rPr>
          <w:rFonts w:hint="eastAsia"/>
          <w:color w:val="auto"/>
          <w:sz w:val="28"/>
          <w:szCs w:val="28"/>
        </w:rPr>
      </w:pPr>
      <w:r>
        <w:rPr>
          <w:rFonts w:hint="eastAsia"/>
          <w:color w:val="auto"/>
          <w:sz w:val="28"/>
          <w:szCs w:val="28"/>
          <w:lang w:val="en-US" w:eastAsia="zh-CN"/>
        </w:rPr>
        <w:t>1、</w:t>
      </w:r>
      <w:r>
        <w:rPr>
          <w:rFonts w:hint="eastAsia"/>
          <w:color w:val="auto"/>
          <w:sz w:val="28"/>
          <w:szCs w:val="28"/>
        </w:rPr>
        <w:t>技术要求</w:t>
      </w:r>
    </w:p>
    <w:p w14:paraId="7290868F">
      <w:pPr>
        <w:pageBreakBefore w:val="0"/>
        <w:widowControl/>
        <w:kinsoku/>
        <w:wordWrap/>
        <w:overflowPunct/>
        <w:topLinePunct w:val="0"/>
        <w:autoSpaceDE/>
        <w:autoSpaceDN/>
        <w:bidi w:val="0"/>
        <w:adjustRightInd w:val="0"/>
        <w:snapToGrid w:val="0"/>
        <w:spacing w:before="0" w:beforeAutospacing="0" w:after="0" w:afterAutospacing="0" w:line="480" w:lineRule="exact"/>
        <w:jc w:val="left"/>
        <w:rPr>
          <w:rFonts w:hint="eastAsia" w:ascii="宋体" w:hAnsi="宋体" w:eastAsia="宋体" w:cs="宋体"/>
          <w:b/>
          <w:bCs w:val="0"/>
          <w:color w:val="auto"/>
          <w:kern w:val="2"/>
          <w:sz w:val="28"/>
          <w:szCs w:val="28"/>
          <w:lang w:val="en-US" w:eastAsia="zh-CN" w:bidi="ar-SA"/>
        </w:rPr>
      </w:pPr>
      <w:r>
        <w:rPr>
          <w:rFonts w:hint="eastAsia" w:ascii="宋体" w:hAnsi="宋体" w:eastAsia="宋体" w:cs="宋体"/>
          <w:b/>
          <w:bCs w:val="0"/>
          <w:color w:val="auto"/>
          <w:kern w:val="2"/>
          <w:sz w:val="28"/>
          <w:szCs w:val="28"/>
          <w:lang w:val="en-US" w:eastAsia="zh-CN" w:bidi="ar-SA"/>
        </w:rPr>
        <w:t>一、杂交油菜种子的数量、技术参数和质量要求</w:t>
      </w:r>
    </w:p>
    <w:p w14:paraId="7FEE4528">
      <w:pPr>
        <w:bidi w:val="0"/>
        <w:rPr>
          <w:rFonts w:hint="eastAsia"/>
          <w:color w:val="auto"/>
          <w:lang w:val="en-US" w:eastAsia="zh-CN"/>
        </w:rPr>
      </w:pPr>
    </w:p>
    <w:p w14:paraId="2AE86A15">
      <w:pPr>
        <w:bidi w:val="0"/>
        <w:rPr>
          <w:rFonts w:hint="eastAsia" w:ascii="宋体" w:hAnsi="宋体" w:eastAsia="宋体" w:cs="宋体"/>
          <w:color w:val="auto"/>
          <w:sz w:val="28"/>
          <w:szCs w:val="32"/>
          <w:lang w:val="en-US" w:eastAsia="zh-CN"/>
        </w:rPr>
      </w:pPr>
      <w:r>
        <w:rPr>
          <w:rFonts w:hint="eastAsia" w:ascii="宋体" w:hAnsi="宋体" w:eastAsia="宋体" w:cs="宋体"/>
          <w:b/>
          <w:bCs w:val="0"/>
          <w:color w:val="auto"/>
          <w:kern w:val="2"/>
          <w:sz w:val="28"/>
          <w:szCs w:val="28"/>
          <w:lang w:val="en-US" w:eastAsia="zh-CN" w:bidi="ar-SA"/>
        </w:rPr>
        <w:t>★</w:t>
      </w:r>
      <w:r>
        <w:rPr>
          <w:rFonts w:hint="eastAsia" w:ascii="宋体" w:hAnsi="宋体" w:eastAsia="宋体" w:cs="宋体"/>
          <w:color w:val="auto"/>
          <w:sz w:val="28"/>
          <w:szCs w:val="32"/>
          <w:lang w:val="en-US" w:eastAsia="zh-CN"/>
        </w:rPr>
        <w:t>（1）</w:t>
      </w:r>
      <w:r>
        <w:rPr>
          <w:rFonts w:hint="eastAsia" w:ascii="宋体" w:hAnsi="宋体" w:eastAsia="宋体" w:cs="宋体"/>
          <w:color w:val="auto"/>
          <w:sz w:val="28"/>
          <w:szCs w:val="28"/>
          <w:highlight w:val="none"/>
          <w:lang w:eastAsia="zh-CN"/>
        </w:rPr>
        <w:t>杂交油菜种子</w:t>
      </w:r>
      <w:r>
        <w:rPr>
          <w:rFonts w:hint="eastAsia" w:ascii="宋体" w:hAnsi="宋体" w:eastAsia="宋体" w:cs="宋体"/>
          <w:color w:val="auto"/>
          <w:sz w:val="28"/>
          <w:szCs w:val="28"/>
          <w:highlight w:val="none"/>
          <w:lang w:val="en-US" w:eastAsia="zh-CN"/>
        </w:rPr>
        <w:t>采购数量：</w:t>
      </w:r>
    </w:p>
    <w:tbl>
      <w:tblPr>
        <w:tblStyle w:val="32"/>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3"/>
        <w:gridCol w:w="2468"/>
        <w:gridCol w:w="1623"/>
        <w:gridCol w:w="1699"/>
        <w:gridCol w:w="1566"/>
      </w:tblGrid>
      <w:tr w14:paraId="21C4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2483" w:type="dxa"/>
            <w:tcBorders>
              <w:tl2br w:val="nil"/>
              <w:tr2bl w:val="nil"/>
            </w:tcBorders>
            <w:noWrap w:val="0"/>
            <w:vAlign w:val="center"/>
          </w:tcPr>
          <w:p w14:paraId="2753DD13">
            <w:pPr>
              <w:pageBreakBefore w:val="0"/>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品目名称</w:t>
            </w:r>
          </w:p>
        </w:tc>
        <w:tc>
          <w:tcPr>
            <w:tcW w:w="2468" w:type="dxa"/>
            <w:tcBorders>
              <w:tl2br w:val="nil"/>
              <w:tr2bl w:val="nil"/>
            </w:tcBorders>
            <w:noWrap w:val="0"/>
            <w:vAlign w:val="center"/>
          </w:tcPr>
          <w:p w14:paraId="219590C6">
            <w:pPr>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种类</w:t>
            </w:r>
          </w:p>
        </w:tc>
        <w:tc>
          <w:tcPr>
            <w:tcW w:w="1623" w:type="dxa"/>
            <w:tcBorders>
              <w:tl2br w:val="nil"/>
              <w:tr2bl w:val="nil"/>
            </w:tcBorders>
            <w:noWrap w:val="0"/>
            <w:vAlign w:val="center"/>
          </w:tcPr>
          <w:p w14:paraId="75DF7A28">
            <w:pPr>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规格</w:t>
            </w:r>
          </w:p>
        </w:tc>
        <w:tc>
          <w:tcPr>
            <w:tcW w:w="1699" w:type="dxa"/>
            <w:tcBorders>
              <w:tl2br w:val="nil"/>
              <w:tr2bl w:val="nil"/>
            </w:tcBorders>
            <w:noWrap w:val="0"/>
            <w:vAlign w:val="center"/>
          </w:tcPr>
          <w:p w14:paraId="2250178D">
            <w:pPr>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数量</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包</w:t>
            </w:r>
            <w:r>
              <w:rPr>
                <w:rFonts w:hint="eastAsia" w:ascii="Times New Roman" w:hAnsi="Times New Roman" w:eastAsia="宋体" w:cs="Times New Roman"/>
                <w:color w:val="auto"/>
                <w:sz w:val="24"/>
                <w:szCs w:val="24"/>
                <w:lang w:eastAsia="zh-CN"/>
              </w:rPr>
              <w:t>）</w:t>
            </w:r>
          </w:p>
        </w:tc>
        <w:tc>
          <w:tcPr>
            <w:tcW w:w="1566" w:type="dxa"/>
            <w:tcBorders>
              <w:tl2br w:val="nil"/>
              <w:tr2bl w:val="nil"/>
            </w:tcBorders>
            <w:noWrap w:val="0"/>
            <w:vAlign w:val="center"/>
          </w:tcPr>
          <w:p w14:paraId="66B0D187">
            <w:pPr>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备注</w:t>
            </w:r>
          </w:p>
        </w:tc>
      </w:tr>
      <w:tr w14:paraId="36E2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483" w:type="dxa"/>
            <w:vMerge w:val="restart"/>
            <w:tcBorders>
              <w:tl2br w:val="nil"/>
              <w:tr2bl w:val="nil"/>
            </w:tcBorders>
            <w:noWrap w:val="0"/>
            <w:vAlign w:val="center"/>
          </w:tcPr>
          <w:p w14:paraId="65CAE36E">
            <w:pPr>
              <w:pageBreakBefore w:val="0"/>
              <w:kinsoku/>
              <w:wordWrap/>
              <w:overflowPunct/>
              <w:topLinePunct w:val="0"/>
              <w:autoSpaceDE/>
              <w:autoSpaceDN/>
              <w:bidi w:val="0"/>
              <w:adjustRightInd w:val="0"/>
              <w:snapToGrid w:val="0"/>
              <w:spacing w:before="156" w:beforeLines="50" w:line="480" w:lineRule="exact"/>
              <w:jc w:val="center"/>
              <w:rPr>
                <w:rFonts w:ascii="Times New Roman" w:hAnsi="Times New Roman" w:eastAsia="宋体" w:cs="Times New Roman"/>
                <w:color w:val="auto"/>
                <w:szCs w:val="21"/>
                <w:highlight w:val="none"/>
              </w:rPr>
            </w:pPr>
            <w:r>
              <w:rPr>
                <w:rFonts w:hint="eastAsia" w:ascii="Times New Roman" w:hAnsi="宋体" w:eastAsia="宋体" w:cs="Times New Roman"/>
                <w:b w:val="0"/>
                <w:bCs/>
                <w:color w:val="auto"/>
                <w:kern w:val="2"/>
                <w:sz w:val="24"/>
                <w:szCs w:val="24"/>
                <w:highlight w:val="none"/>
                <w:lang w:val="en-US" w:eastAsia="zh-CN" w:bidi="ar-SA"/>
              </w:rPr>
              <w:t>杂交油菜种子</w:t>
            </w:r>
          </w:p>
        </w:tc>
        <w:tc>
          <w:tcPr>
            <w:tcW w:w="2468" w:type="dxa"/>
            <w:tcBorders>
              <w:tl2br w:val="nil"/>
              <w:tr2bl w:val="nil"/>
            </w:tcBorders>
            <w:shd w:val="clear" w:color="auto" w:fill="auto"/>
            <w:noWrap w:val="0"/>
            <w:vAlign w:val="center"/>
          </w:tcPr>
          <w:p w14:paraId="0AE0403F">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lang w:val="en-US" w:eastAsia="zh-CN"/>
              </w:rPr>
              <w:t>华油杂160R</w:t>
            </w:r>
          </w:p>
        </w:tc>
        <w:tc>
          <w:tcPr>
            <w:tcW w:w="1623" w:type="dxa"/>
            <w:tcBorders>
              <w:tl2br w:val="nil"/>
              <w:tr2bl w:val="nil"/>
            </w:tcBorders>
            <w:shd w:val="clear" w:color="auto" w:fill="auto"/>
            <w:noWrap w:val="0"/>
            <w:vAlign w:val="center"/>
          </w:tcPr>
          <w:p w14:paraId="5935F881">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rPr>
              <w:t>100g/包</w:t>
            </w:r>
          </w:p>
        </w:tc>
        <w:tc>
          <w:tcPr>
            <w:tcW w:w="1699" w:type="dxa"/>
            <w:tcBorders>
              <w:tl2br w:val="nil"/>
              <w:tr2bl w:val="nil"/>
            </w:tcBorders>
            <w:shd w:val="clear" w:color="auto" w:fill="auto"/>
            <w:noWrap w:val="0"/>
            <w:vAlign w:val="center"/>
          </w:tcPr>
          <w:p w14:paraId="2486FE5F">
            <w:pPr>
              <w:spacing w:line="24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Times New Roman"/>
                <w:color w:val="auto"/>
                <w:sz w:val="24"/>
                <w:szCs w:val="24"/>
                <w:highlight w:val="none"/>
                <w:lang w:val="en-US" w:eastAsia="zh-CN"/>
              </w:rPr>
              <w:t>6</w:t>
            </w:r>
            <w:r>
              <w:rPr>
                <w:rFonts w:hint="eastAsia" w:ascii="宋体" w:hAnsi="宋体" w:cs="Times New Roman"/>
                <w:color w:val="auto"/>
                <w:sz w:val="24"/>
                <w:szCs w:val="24"/>
                <w:highlight w:val="none"/>
              </w:rPr>
              <w:t>0000</w:t>
            </w:r>
          </w:p>
        </w:tc>
        <w:tc>
          <w:tcPr>
            <w:tcW w:w="1566" w:type="dxa"/>
            <w:tcBorders>
              <w:tl2br w:val="nil"/>
              <w:tr2bl w:val="nil"/>
            </w:tcBorders>
            <w:shd w:val="clear" w:color="auto" w:fill="auto"/>
            <w:noWrap w:val="0"/>
            <w:vAlign w:val="center"/>
          </w:tcPr>
          <w:p w14:paraId="0107A1E9">
            <w:pPr>
              <w:spacing w:line="240" w:lineRule="atLeast"/>
              <w:jc w:val="center"/>
              <w:rPr>
                <w:rFonts w:hint="eastAsia" w:ascii="宋体" w:hAnsi="宋体" w:cs="Times New Roman"/>
                <w:color w:val="auto"/>
                <w:sz w:val="24"/>
                <w:szCs w:val="24"/>
                <w:highlight w:val="none"/>
                <w:lang w:val="en-US" w:eastAsia="zh-CN"/>
              </w:rPr>
            </w:pPr>
          </w:p>
        </w:tc>
      </w:tr>
      <w:tr w14:paraId="0A8B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jc w:val="center"/>
        </w:trPr>
        <w:tc>
          <w:tcPr>
            <w:tcW w:w="2483" w:type="dxa"/>
            <w:vMerge w:val="continue"/>
            <w:tcBorders>
              <w:tl2br w:val="nil"/>
              <w:tr2bl w:val="nil"/>
            </w:tcBorders>
            <w:noWrap w:val="0"/>
            <w:vAlign w:val="center"/>
          </w:tcPr>
          <w:p w14:paraId="59CE6F29">
            <w:pPr>
              <w:pageBreakBefore w:val="0"/>
              <w:kinsoku/>
              <w:wordWrap/>
              <w:overflowPunct/>
              <w:topLinePunct w:val="0"/>
              <w:autoSpaceDE/>
              <w:autoSpaceDN/>
              <w:bidi w:val="0"/>
              <w:adjustRightInd w:val="0"/>
              <w:snapToGrid w:val="0"/>
              <w:spacing w:before="156" w:beforeLines="50" w:line="480" w:lineRule="exact"/>
              <w:jc w:val="center"/>
              <w:rPr>
                <w:rFonts w:ascii="Times New Roman" w:hAnsi="Times New Roman" w:eastAsia="宋体" w:cs="Times New Roman"/>
                <w:color w:val="auto"/>
                <w:szCs w:val="21"/>
                <w:highlight w:val="none"/>
              </w:rPr>
            </w:pPr>
          </w:p>
        </w:tc>
        <w:tc>
          <w:tcPr>
            <w:tcW w:w="2468" w:type="dxa"/>
            <w:tcBorders>
              <w:tl2br w:val="nil"/>
              <w:tr2bl w:val="nil"/>
            </w:tcBorders>
            <w:shd w:val="clear" w:color="auto" w:fill="auto"/>
            <w:noWrap w:val="0"/>
            <w:vAlign w:val="center"/>
          </w:tcPr>
          <w:p w14:paraId="02AE19EF">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lang w:val="en-US" w:eastAsia="zh-CN"/>
              </w:rPr>
              <w:t>华油杂115R</w:t>
            </w:r>
          </w:p>
        </w:tc>
        <w:tc>
          <w:tcPr>
            <w:tcW w:w="1623" w:type="dxa"/>
            <w:tcBorders>
              <w:tl2br w:val="nil"/>
              <w:tr2bl w:val="nil"/>
            </w:tcBorders>
            <w:shd w:val="clear" w:color="auto" w:fill="auto"/>
            <w:noWrap w:val="0"/>
            <w:vAlign w:val="center"/>
          </w:tcPr>
          <w:p w14:paraId="3D8316A9">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rPr>
              <w:t>100g/包</w:t>
            </w:r>
          </w:p>
        </w:tc>
        <w:tc>
          <w:tcPr>
            <w:tcW w:w="1699" w:type="dxa"/>
            <w:tcBorders>
              <w:tl2br w:val="nil"/>
              <w:tr2bl w:val="nil"/>
            </w:tcBorders>
            <w:shd w:val="clear" w:color="auto" w:fill="auto"/>
            <w:noWrap w:val="0"/>
            <w:vAlign w:val="center"/>
          </w:tcPr>
          <w:p w14:paraId="7765C9ED">
            <w:pPr>
              <w:spacing w:line="24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Times New Roman"/>
                <w:color w:val="auto"/>
                <w:sz w:val="24"/>
                <w:szCs w:val="24"/>
                <w:highlight w:val="none"/>
                <w:lang w:val="en-US" w:eastAsia="zh-CN"/>
              </w:rPr>
              <w:t>2</w:t>
            </w:r>
            <w:r>
              <w:rPr>
                <w:rFonts w:hint="eastAsia" w:ascii="宋体" w:hAnsi="宋体" w:cs="Times New Roman"/>
                <w:color w:val="auto"/>
                <w:sz w:val="24"/>
                <w:szCs w:val="24"/>
                <w:highlight w:val="none"/>
              </w:rPr>
              <w:t>0000</w:t>
            </w:r>
          </w:p>
        </w:tc>
        <w:tc>
          <w:tcPr>
            <w:tcW w:w="1566" w:type="dxa"/>
            <w:tcBorders>
              <w:tl2br w:val="nil"/>
              <w:tr2bl w:val="nil"/>
            </w:tcBorders>
            <w:shd w:val="clear" w:color="auto" w:fill="auto"/>
            <w:noWrap w:val="0"/>
            <w:vAlign w:val="center"/>
          </w:tcPr>
          <w:p w14:paraId="24ECCE01">
            <w:pPr>
              <w:spacing w:line="240" w:lineRule="atLeast"/>
              <w:jc w:val="center"/>
              <w:rPr>
                <w:rFonts w:hint="eastAsia" w:ascii="宋体" w:hAnsi="宋体" w:cs="Times New Roman"/>
                <w:color w:val="auto"/>
                <w:sz w:val="24"/>
                <w:szCs w:val="24"/>
                <w:highlight w:val="none"/>
              </w:rPr>
            </w:pPr>
          </w:p>
        </w:tc>
      </w:tr>
      <w:tr w14:paraId="0461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jc w:val="center"/>
        </w:trPr>
        <w:tc>
          <w:tcPr>
            <w:tcW w:w="2483" w:type="dxa"/>
            <w:vMerge w:val="continue"/>
            <w:tcBorders>
              <w:tl2br w:val="nil"/>
              <w:tr2bl w:val="nil"/>
            </w:tcBorders>
            <w:noWrap w:val="0"/>
            <w:vAlign w:val="center"/>
          </w:tcPr>
          <w:p w14:paraId="37C312AB">
            <w:pPr>
              <w:pageBreakBefore w:val="0"/>
              <w:kinsoku/>
              <w:wordWrap/>
              <w:overflowPunct/>
              <w:topLinePunct w:val="0"/>
              <w:autoSpaceDE/>
              <w:autoSpaceDN/>
              <w:bidi w:val="0"/>
              <w:adjustRightInd w:val="0"/>
              <w:snapToGrid w:val="0"/>
              <w:spacing w:before="156" w:beforeLines="50" w:line="480" w:lineRule="exact"/>
              <w:jc w:val="center"/>
              <w:rPr>
                <w:rFonts w:ascii="Times New Roman" w:hAnsi="Times New Roman" w:eastAsia="宋体" w:cs="Times New Roman"/>
                <w:color w:val="auto"/>
                <w:szCs w:val="21"/>
                <w:highlight w:val="none"/>
              </w:rPr>
            </w:pPr>
          </w:p>
        </w:tc>
        <w:tc>
          <w:tcPr>
            <w:tcW w:w="2468" w:type="dxa"/>
            <w:tcBorders>
              <w:tl2br w:val="nil"/>
              <w:tr2bl w:val="nil"/>
            </w:tcBorders>
            <w:shd w:val="clear" w:color="auto" w:fill="auto"/>
            <w:noWrap w:val="0"/>
            <w:vAlign w:val="center"/>
          </w:tcPr>
          <w:p w14:paraId="1F7C0AAC">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b w:val="0"/>
                <w:bCs w:val="0"/>
                <w:color w:val="auto"/>
                <w:sz w:val="24"/>
                <w:szCs w:val="24"/>
                <w:highlight w:val="none"/>
                <w:lang w:val="en-US" w:eastAsia="zh-CN"/>
              </w:rPr>
              <w:t>沣  油79</w:t>
            </w:r>
          </w:p>
        </w:tc>
        <w:tc>
          <w:tcPr>
            <w:tcW w:w="1623" w:type="dxa"/>
            <w:tcBorders>
              <w:tl2br w:val="nil"/>
              <w:tr2bl w:val="nil"/>
            </w:tcBorders>
            <w:shd w:val="clear" w:color="auto" w:fill="auto"/>
            <w:noWrap w:val="0"/>
            <w:vAlign w:val="center"/>
          </w:tcPr>
          <w:p w14:paraId="4EC4E56C">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lang w:val="en-US" w:eastAsia="zh-CN"/>
              </w:rPr>
              <w:t>10</w:t>
            </w:r>
            <w:r>
              <w:rPr>
                <w:rFonts w:hint="eastAsia" w:ascii="宋体" w:hAnsi="宋体" w:cs="Times New Roman"/>
                <w:color w:val="auto"/>
                <w:sz w:val="24"/>
                <w:szCs w:val="24"/>
                <w:highlight w:val="none"/>
              </w:rPr>
              <w:t>0g/包</w:t>
            </w:r>
          </w:p>
        </w:tc>
        <w:tc>
          <w:tcPr>
            <w:tcW w:w="1699" w:type="dxa"/>
            <w:tcBorders>
              <w:tl2br w:val="nil"/>
              <w:tr2bl w:val="nil"/>
            </w:tcBorders>
            <w:shd w:val="clear" w:color="auto" w:fill="auto"/>
            <w:noWrap w:val="0"/>
            <w:vAlign w:val="center"/>
          </w:tcPr>
          <w:p w14:paraId="208C7662">
            <w:pPr>
              <w:spacing w:line="24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Times New Roman"/>
                <w:color w:val="auto"/>
                <w:sz w:val="24"/>
                <w:szCs w:val="24"/>
                <w:highlight w:val="none"/>
                <w:lang w:val="en-US" w:eastAsia="zh-CN"/>
              </w:rPr>
              <w:t>2</w:t>
            </w:r>
            <w:r>
              <w:rPr>
                <w:rFonts w:hint="eastAsia" w:ascii="宋体" w:hAnsi="宋体" w:cs="Times New Roman"/>
                <w:color w:val="auto"/>
                <w:sz w:val="24"/>
                <w:szCs w:val="24"/>
                <w:highlight w:val="none"/>
              </w:rPr>
              <w:t>0000</w:t>
            </w:r>
          </w:p>
        </w:tc>
        <w:tc>
          <w:tcPr>
            <w:tcW w:w="1566" w:type="dxa"/>
            <w:tcBorders>
              <w:tl2br w:val="nil"/>
              <w:tr2bl w:val="nil"/>
            </w:tcBorders>
            <w:shd w:val="clear" w:color="auto" w:fill="auto"/>
            <w:noWrap w:val="0"/>
            <w:vAlign w:val="center"/>
          </w:tcPr>
          <w:p w14:paraId="42CBAD4A">
            <w:pPr>
              <w:spacing w:line="240" w:lineRule="atLeast"/>
              <w:jc w:val="center"/>
              <w:rPr>
                <w:rFonts w:hint="eastAsia" w:ascii="宋体" w:hAnsi="宋体" w:cs="Times New Roman"/>
                <w:color w:val="auto"/>
                <w:sz w:val="24"/>
                <w:szCs w:val="24"/>
                <w:highlight w:val="none"/>
              </w:rPr>
            </w:pPr>
          </w:p>
        </w:tc>
      </w:tr>
      <w:tr w14:paraId="39E6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2483" w:type="dxa"/>
            <w:vMerge w:val="continue"/>
            <w:tcBorders>
              <w:tl2br w:val="nil"/>
              <w:tr2bl w:val="nil"/>
            </w:tcBorders>
            <w:noWrap w:val="0"/>
            <w:vAlign w:val="center"/>
          </w:tcPr>
          <w:p w14:paraId="099E9812">
            <w:pPr>
              <w:pageBreakBefore w:val="0"/>
              <w:kinsoku/>
              <w:wordWrap/>
              <w:overflowPunct/>
              <w:topLinePunct w:val="0"/>
              <w:autoSpaceDE/>
              <w:autoSpaceDN/>
              <w:bidi w:val="0"/>
              <w:adjustRightInd w:val="0"/>
              <w:snapToGrid w:val="0"/>
              <w:spacing w:before="156" w:beforeLines="50" w:line="480" w:lineRule="exact"/>
              <w:jc w:val="center"/>
              <w:rPr>
                <w:rFonts w:ascii="Times New Roman" w:hAnsi="Times New Roman" w:eastAsia="宋体" w:cs="Times New Roman"/>
                <w:color w:val="auto"/>
                <w:szCs w:val="21"/>
                <w:highlight w:val="none"/>
              </w:rPr>
            </w:pPr>
          </w:p>
        </w:tc>
        <w:tc>
          <w:tcPr>
            <w:tcW w:w="2468" w:type="dxa"/>
            <w:tcBorders>
              <w:tl2br w:val="nil"/>
              <w:tr2bl w:val="nil"/>
            </w:tcBorders>
            <w:shd w:val="clear" w:color="auto" w:fill="auto"/>
            <w:noWrap w:val="0"/>
            <w:vAlign w:val="center"/>
          </w:tcPr>
          <w:p w14:paraId="6B12FC06">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lang w:val="en-US" w:eastAsia="zh-CN"/>
              </w:rPr>
              <w:t>春  云2号</w:t>
            </w:r>
          </w:p>
        </w:tc>
        <w:tc>
          <w:tcPr>
            <w:tcW w:w="1623" w:type="dxa"/>
            <w:tcBorders>
              <w:tl2br w:val="nil"/>
              <w:tr2bl w:val="nil"/>
            </w:tcBorders>
            <w:shd w:val="clear" w:color="auto" w:fill="auto"/>
            <w:noWrap w:val="0"/>
            <w:vAlign w:val="center"/>
          </w:tcPr>
          <w:p w14:paraId="716EAF9A">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rPr>
              <w:t>100g/包</w:t>
            </w:r>
          </w:p>
        </w:tc>
        <w:tc>
          <w:tcPr>
            <w:tcW w:w="1699" w:type="dxa"/>
            <w:tcBorders>
              <w:tl2br w:val="nil"/>
              <w:tr2bl w:val="nil"/>
            </w:tcBorders>
            <w:shd w:val="clear" w:color="auto" w:fill="auto"/>
            <w:noWrap w:val="0"/>
            <w:vAlign w:val="center"/>
          </w:tcPr>
          <w:p w14:paraId="19A76840">
            <w:pPr>
              <w:spacing w:line="24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Times New Roman"/>
                <w:color w:val="auto"/>
                <w:sz w:val="24"/>
                <w:szCs w:val="24"/>
                <w:highlight w:val="none"/>
                <w:lang w:val="en-US" w:eastAsia="zh-CN"/>
              </w:rPr>
              <w:t>8</w:t>
            </w:r>
            <w:r>
              <w:rPr>
                <w:rFonts w:hint="eastAsia" w:ascii="宋体" w:hAnsi="宋体" w:cs="Times New Roman"/>
                <w:color w:val="auto"/>
                <w:sz w:val="24"/>
                <w:szCs w:val="24"/>
                <w:highlight w:val="none"/>
              </w:rPr>
              <w:t>0000</w:t>
            </w:r>
          </w:p>
        </w:tc>
        <w:tc>
          <w:tcPr>
            <w:tcW w:w="1566" w:type="dxa"/>
            <w:tcBorders>
              <w:tl2br w:val="nil"/>
              <w:tr2bl w:val="nil"/>
            </w:tcBorders>
            <w:shd w:val="clear" w:color="auto" w:fill="auto"/>
            <w:noWrap w:val="0"/>
            <w:vAlign w:val="center"/>
          </w:tcPr>
          <w:p w14:paraId="3CAF43B1">
            <w:pPr>
              <w:spacing w:line="240" w:lineRule="atLeast"/>
              <w:jc w:val="center"/>
              <w:rPr>
                <w:rFonts w:hint="eastAsia" w:ascii="宋体" w:hAnsi="宋体" w:cs="Times New Roman"/>
                <w:color w:val="auto"/>
                <w:sz w:val="24"/>
                <w:szCs w:val="24"/>
                <w:highlight w:val="none"/>
                <w:lang w:val="en-US" w:eastAsia="zh-CN"/>
              </w:rPr>
            </w:pPr>
          </w:p>
        </w:tc>
      </w:tr>
      <w:tr w14:paraId="543A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2483" w:type="dxa"/>
            <w:vMerge w:val="continue"/>
            <w:tcBorders>
              <w:tl2br w:val="nil"/>
              <w:tr2bl w:val="nil"/>
            </w:tcBorders>
            <w:noWrap w:val="0"/>
            <w:vAlign w:val="center"/>
          </w:tcPr>
          <w:p w14:paraId="3D4B358C">
            <w:pPr>
              <w:pageBreakBefore w:val="0"/>
              <w:kinsoku/>
              <w:wordWrap/>
              <w:overflowPunct/>
              <w:topLinePunct w:val="0"/>
              <w:autoSpaceDE/>
              <w:autoSpaceDN/>
              <w:bidi w:val="0"/>
              <w:adjustRightInd w:val="0"/>
              <w:snapToGrid w:val="0"/>
              <w:spacing w:before="156" w:beforeLines="50" w:line="480" w:lineRule="exact"/>
              <w:jc w:val="center"/>
              <w:rPr>
                <w:rFonts w:ascii="Times New Roman" w:hAnsi="Times New Roman" w:eastAsia="宋体" w:cs="Times New Roman"/>
                <w:color w:val="auto"/>
                <w:szCs w:val="21"/>
                <w:highlight w:val="none"/>
              </w:rPr>
            </w:pPr>
          </w:p>
        </w:tc>
        <w:tc>
          <w:tcPr>
            <w:tcW w:w="2468" w:type="dxa"/>
            <w:tcBorders>
              <w:tl2br w:val="nil"/>
              <w:tr2bl w:val="nil"/>
            </w:tcBorders>
            <w:shd w:val="clear" w:color="auto" w:fill="auto"/>
            <w:noWrap w:val="0"/>
            <w:vAlign w:val="center"/>
          </w:tcPr>
          <w:p w14:paraId="2A8A194A">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rPr>
              <w:t>湘杂油787</w:t>
            </w:r>
          </w:p>
        </w:tc>
        <w:tc>
          <w:tcPr>
            <w:tcW w:w="1623" w:type="dxa"/>
            <w:tcBorders>
              <w:tl2br w:val="nil"/>
              <w:tr2bl w:val="nil"/>
            </w:tcBorders>
            <w:shd w:val="clear" w:color="auto" w:fill="auto"/>
            <w:noWrap w:val="0"/>
            <w:vAlign w:val="center"/>
          </w:tcPr>
          <w:p w14:paraId="2EFAA7D3">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rPr>
              <w:t>100g/包</w:t>
            </w:r>
          </w:p>
        </w:tc>
        <w:tc>
          <w:tcPr>
            <w:tcW w:w="1699" w:type="dxa"/>
            <w:tcBorders>
              <w:tl2br w:val="nil"/>
              <w:tr2bl w:val="nil"/>
            </w:tcBorders>
            <w:shd w:val="clear" w:color="auto" w:fill="auto"/>
            <w:noWrap w:val="0"/>
            <w:vAlign w:val="center"/>
          </w:tcPr>
          <w:p w14:paraId="35C01184">
            <w:pPr>
              <w:spacing w:line="24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Times New Roman"/>
                <w:color w:val="auto"/>
                <w:sz w:val="24"/>
                <w:szCs w:val="24"/>
                <w:highlight w:val="none"/>
                <w:lang w:val="en-US" w:eastAsia="zh-CN"/>
              </w:rPr>
              <w:t>4</w:t>
            </w:r>
            <w:r>
              <w:rPr>
                <w:rFonts w:hint="eastAsia" w:ascii="宋体" w:hAnsi="宋体" w:cs="Times New Roman"/>
                <w:color w:val="auto"/>
                <w:sz w:val="24"/>
                <w:szCs w:val="24"/>
                <w:highlight w:val="none"/>
              </w:rPr>
              <w:t>0000</w:t>
            </w:r>
          </w:p>
        </w:tc>
        <w:tc>
          <w:tcPr>
            <w:tcW w:w="1566" w:type="dxa"/>
            <w:tcBorders>
              <w:tl2br w:val="nil"/>
              <w:tr2bl w:val="nil"/>
            </w:tcBorders>
            <w:shd w:val="clear" w:color="auto" w:fill="auto"/>
            <w:noWrap w:val="0"/>
            <w:vAlign w:val="center"/>
          </w:tcPr>
          <w:p w14:paraId="66829302">
            <w:pPr>
              <w:spacing w:line="240" w:lineRule="atLeast"/>
              <w:jc w:val="center"/>
              <w:rPr>
                <w:rFonts w:hint="eastAsia" w:ascii="宋体" w:hAnsi="宋体" w:cs="Times New Roman"/>
                <w:color w:val="auto"/>
                <w:sz w:val="24"/>
                <w:szCs w:val="24"/>
                <w:highlight w:val="none"/>
                <w:lang w:val="en-US" w:eastAsia="zh-CN"/>
              </w:rPr>
            </w:pPr>
          </w:p>
        </w:tc>
      </w:tr>
      <w:tr w14:paraId="4CEB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2483" w:type="dxa"/>
            <w:vMerge w:val="continue"/>
            <w:tcBorders>
              <w:tl2br w:val="nil"/>
              <w:tr2bl w:val="nil"/>
            </w:tcBorders>
            <w:noWrap w:val="0"/>
            <w:vAlign w:val="center"/>
          </w:tcPr>
          <w:p w14:paraId="5B28A488">
            <w:pPr>
              <w:pageBreakBefore w:val="0"/>
              <w:kinsoku/>
              <w:wordWrap/>
              <w:overflowPunct/>
              <w:topLinePunct w:val="0"/>
              <w:autoSpaceDE/>
              <w:autoSpaceDN/>
              <w:bidi w:val="0"/>
              <w:adjustRightInd w:val="0"/>
              <w:snapToGrid w:val="0"/>
              <w:spacing w:before="156" w:beforeLines="50" w:line="480" w:lineRule="exact"/>
              <w:jc w:val="center"/>
              <w:rPr>
                <w:rFonts w:ascii="Times New Roman" w:hAnsi="Times New Roman" w:eastAsia="宋体" w:cs="Times New Roman"/>
                <w:color w:val="auto"/>
                <w:szCs w:val="21"/>
                <w:highlight w:val="none"/>
              </w:rPr>
            </w:pPr>
          </w:p>
        </w:tc>
        <w:tc>
          <w:tcPr>
            <w:tcW w:w="2468" w:type="dxa"/>
            <w:tcBorders>
              <w:tl2br w:val="nil"/>
              <w:tr2bl w:val="nil"/>
            </w:tcBorders>
            <w:shd w:val="clear" w:color="auto" w:fill="auto"/>
            <w:noWrap w:val="0"/>
            <w:vAlign w:val="center"/>
          </w:tcPr>
          <w:p w14:paraId="50987DAB">
            <w:pPr>
              <w:spacing w:line="240" w:lineRule="atLeast"/>
              <w:jc w:val="center"/>
              <w:rPr>
                <w:rFonts w:hint="default" w:ascii="宋体" w:hAnsi="宋体" w:cs="Times New Roman" w:eastAsiaTheme="minorEastAsia"/>
                <w:color w:val="auto"/>
                <w:sz w:val="24"/>
                <w:szCs w:val="24"/>
                <w:highlight w:val="none"/>
                <w:lang w:val="en-US" w:eastAsia="zh-CN"/>
              </w:rPr>
            </w:pPr>
            <w:r>
              <w:rPr>
                <w:rFonts w:hint="eastAsia" w:ascii="宋体" w:hAnsi="宋体" w:cs="Times New Roman"/>
                <w:color w:val="auto"/>
                <w:sz w:val="24"/>
                <w:szCs w:val="24"/>
                <w:highlight w:val="none"/>
                <w:lang w:val="en-US" w:eastAsia="zh-CN"/>
              </w:rPr>
              <w:t>鸿  油888</w:t>
            </w:r>
          </w:p>
        </w:tc>
        <w:tc>
          <w:tcPr>
            <w:tcW w:w="1623" w:type="dxa"/>
            <w:tcBorders>
              <w:tl2br w:val="nil"/>
              <w:tr2bl w:val="nil"/>
            </w:tcBorders>
            <w:shd w:val="clear" w:color="auto" w:fill="auto"/>
            <w:noWrap w:val="0"/>
            <w:vAlign w:val="center"/>
          </w:tcPr>
          <w:p w14:paraId="4A37E912">
            <w:pPr>
              <w:spacing w:line="240" w:lineRule="atLeast"/>
              <w:jc w:val="center"/>
              <w:rPr>
                <w:rFonts w:hint="eastAsia" w:ascii="宋体" w:hAnsi="宋体" w:cs="Times New Roman"/>
                <w:color w:val="auto"/>
                <w:sz w:val="24"/>
                <w:szCs w:val="24"/>
                <w:highlight w:val="none"/>
              </w:rPr>
            </w:pPr>
            <w:r>
              <w:rPr>
                <w:rFonts w:hint="eastAsia" w:ascii="宋体" w:hAnsi="宋体" w:cs="Times New Roman"/>
                <w:color w:val="auto"/>
                <w:sz w:val="24"/>
                <w:szCs w:val="24"/>
                <w:highlight w:val="none"/>
              </w:rPr>
              <w:t>100g/包</w:t>
            </w:r>
          </w:p>
        </w:tc>
        <w:tc>
          <w:tcPr>
            <w:tcW w:w="1699" w:type="dxa"/>
            <w:tcBorders>
              <w:tl2br w:val="nil"/>
              <w:tr2bl w:val="nil"/>
            </w:tcBorders>
            <w:shd w:val="clear" w:color="auto" w:fill="auto"/>
            <w:noWrap w:val="0"/>
            <w:vAlign w:val="center"/>
          </w:tcPr>
          <w:p w14:paraId="13DD0A32">
            <w:pPr>
              <w:spacing w:line="240" w:lineRule="atLeast"/>
              <w:jc w:val="center"/>
              <w:rPr>
                <w:rFonts w:hint="eastAsia" w:ascii="宋体" w:hAnsi="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4</w:t>
            </w:r>
            <w:r>
              <w:rPr>
                <w:rFonts w:hint="eastAsia" w:ascii="宋体" w:hAnsi="宋体" w:cs="Times New Roman"/>
                <w:color w:val="auto"/>
                <w:sz w:val="24"/>
                <w:szCs w:val="24"/>
                <w:highlight w:val="none"/>
              </w:rPr>
              <w:t>0000</w:t>
            </w:r>
          </w:p>
        </w:tc>
        <w:tc>
          <w:tcPr>
            <w:tcW w:w="1566" w:type="dxa"/>
            <w:tcBorders>
              <w:tl2br w:val="nil"/>
              <w:tr2bl w:val="nil"/>
            </w:tcBorders>
            <w:shd w:val="clear" w:color="auto" w:fill="auto"/>
            <w:noWrap w:val="0"/>
            <w:vAlign w:val="center"/>
          </w:tcPr>
          <w:p w14:paraId="0140BE92">
            <w:pPr>
              <w:spacing w:line="240" w:lineRule="atLeast"/>
              <w:jc w:val="center"/>
              <w:rPr>
                <w:rFonts w:hint="eastAsia" w:ascii="宋体" w:hAnsi="宋体" w:cs="Times New Roman"/>
                <w:color w:val="auto"/>
                <w:sz w:val="24"/>
                <w:szCs w:val="24"/>
                <w:highlight w:val="none"/>
                <w:lang w:val="en-US" w:eastAsia="zh-CN"/>
              </w:rPr>
            </w:pPr>
          </w:p>
        </w:tc>
      </w:tr>
      <w:tr w14:paraId="439B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2483" w:type="dxa"/>
            <w:vMerge w:val="continue"/>
            <w:tcBorders>
              <w:tl2br w:val="nil"/>
              <w:tr2bl w:val="nil"/>
            </w:tcBorders>
            <w:noWrap w:val="0"/>
            <w:vAlign w:val="center"/>
          </w:tcPr>
          <w:p w14:paraId="0640F780">
            <w:pPr>
              <w:pageBreakBefore w:val="0"/>
              <w:kinsoku/>
              <w:wordWrap/>
              <w:overflowPunct/>
              <w:topLinePunct w:val="0"/>
              <w:autoSpaceDE/>
              <w:autoSpaceDN/>
              <w:bidi w:val="0"/>
              <w:adjustRightInd w:val="0"/>
              <w:snapToGrid w:val="0"/>
              <w:spacing w:before="156" w:beforeLines="50" w:line="480" w:lineRule="exact"/>
              <w:jc w:val="center"/>
              <w:rPr>
                <w:rFonts w:ascii="Times New Roman" w:hAnsi="Times New Roman" w:eastAsia="宋体" w:cs="Times New Roman"/>
                <w:color w:val="auto"/>
                <w:szCs w:val="21"/>
                <w:highlight w:val="none"/>
              </w:rPr>
            </w:pPr>
          </w:p>
        </w:tc>
        <w:tc>
          <w:tcPr>
            <w:tcW w:w="2468" w:type="dxa"/>
            <w:tcBorders>
              <w:tl2br w:val="nil"/>
              <w:tr2bl w:val="nil"/>
            </w:tcBorders>
            <w:shd w:val="clear" w:color="auto" w:fill="auto"/>
            <w:noWrap w:val="0"/>
            <w:vAlign w:val="center"/>
          </w:tcPr>
          <w:p w14:paraId="69A9509F">
            <w:pPr>
              <w:spacing w:line="240" w:lineRule="atLeast"/>
              <w:jc w:val="center"/>
              <w:rPr>
                <w:rFonts w:hint="default"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lang w:val="en-US" w:eastAsia="zh-CN"/>
              </w:rPr>
              <w:t>沣  油2118</w:t>
            </w:r>
          </w:p>
        </w:tc>
        <w:tc>
          <w:tcPr>
            <w:tcW w:w="1623" w:type="dxa"/>
            <w:tcBorders>
              <w:tl2br w:val="nil"/>
              <w:tr2bl w:val="nil"/>
            </w:tcBorders>
            <w:shd w:val="clear" w:color="auto" w:fill="auto"/>
            <w:noWrap w:val="0"/>
            <w:vAlign w:val="center"/>
          </w:tcPr>
          <w:p w14:paraId="1705AF1B">
            <w:pPr>
              <w:spacing w:line="240" w:lineRule="atLeast"/>
              <w:jc w:val="center"/>
              <w:rPr>
                <w:rFonts w:hint="eastAsia" w:ascii="Times New Roman" w:hAnsi="宋体" w:cs="Times New Roman" w:eastAsiaTheme="minorEastAsia"/>
                <w:b/>
                <w:color w:val="auto"/>
                <w:kern w:val="2"/>
                <w:sz w:val="21"/>
                <w:szCs w:val="22"/>
                <w:highlight w:val="none"/>
                <w:lang w:val="en-US" w:eastAsia="zh-CN" w:bidi="ar-SA"/>
              </w:rPr>
            </w:pPr>
            <w:r>
              <w:rPr>
                <w:rFonts w:hint="eastAsia" w:ascii="宋体" w:hAnsi="宋体" w:cs="Times New Roman"/>
                <w:color w:val="auto"/>
                <w:sz w:val="24"/>
                <w:szCs w:val="24"/>
                <w:highlight w:val="none"/>
                <w:lang w:val="en-US" w:eastAsia="zh-CN"/>
              </w:rPr>
              <w:t>10</w:t>
            </w:r>
            <w:r>
              <w:rPr>
                <w:rFonts w:hint="eastAsia" w:ascii="宋体" w:hAnsi="宋体" w:cs="Times New Roman"/>
                <w:color w:val="auto"/>
                <w:sz w:val="24"/>
                <w:szCs w:val="24"/>
                <w:highlight w:val="none"/>
              </w:rPr>
              <w:t>0g/包</w:t>
            </w:r>
          </w:p>
        </w:tc>
        <w:tc>
          <w:tcPr>
            <w:tcW w:w="1699" w:type="dxa"/>
            <w:tcBorders>
              <w:tl2br w:val="nil"/>
              <w:tr2bl w:val="nil"/>
            </w:tcBorders>
            <w:shd w:val="clear" w:color="auto" w:fill="auto"/>
            <w:noWrap w:val="0"/>
            <w:vAlign w:val="center"/>
          </w:tcPr>
          <w:p w14:paraId="1DA4660C">
            <w:pPr>
              <w:spacing w:line="24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cs="Times New Roman"/>
                <w:color w:val="auto"/>
                <w:sz w:val="24"/>
                <w:szCs w:val="24"/>
                <w:highlight w:val="none"/>
                <w:lang w:val="en-US" w:eastAsia="zh-CN"/>
              </w:rPr>
              <w:t>60000</w:t>
            </w:r>
          </w:p>
        </w:tc>
        <w:tc>
          <w:tcPr>
            <w:tcW w:w="1566" w:type="dxa"/>
            <w:tcBorders>
              <w:tl2br w:val="nil"/>
              <w:tr2bl w:val="nil"/>
            </w:tcBorders>
            <w:shd w:val="clear" w:color="auto" w:fill="auto"/>
            <w:noWrap w:val="0"/>
            <w:vAlign w:val="center"/>
          </w:tcPr>
          <w:p w14:paraId="318AAD5F">
            <w:pPr>
              <w:spacing w:line="240" w:lineRule="atLeast"/>
              <w:jc w:val="center"/>
              <w:rPr>
                <w:rFonts w:hint="eastAsia" w:ascii="宋体" w:hAnsi="宋体" w:cs="Times New Roman"/>
                <w:color w:val="auto"/>
                <w:sz w:val="24"/>
                <w:szCs w:val="24"/>
                <w:highlight w:val="none"/>
                <w:lang w:val="en-US" w:eastAsia="zh-CN"/>
              </w:rPr>
            </w:pPr>
          </w:p>
        </w:tc>
      </w:tr>
      <w:tr w14:paraId="145A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6574" w:type="dxa"/>
            <w:gridSpan w:val="3"/>
            <w:tcBorders>
              <w:tl2br w:val="nil"/>
              <w:tr2bl w:val="nil"/>
            </w:tcBorders>
            <w:noWrap w:val="0"/>
            <w:vAlign w:val="center"/>
          </w:tcPr>
          <w:p w14:paraId="0C1AC197">
            <w:pPr>
              <w:spacing w:line="240" w:lineRule="atLeast"/>
              <w:jc w:val="center"/>
              <w:rPr>
                <w:rFonts w:hint="eastAsia" w:ascii="宋体" w:hAnsi="宋体" w:cs="Times New Roman"/>
                <w:color w:val="auto"/>
                <w:sz w:val="24"/>
                <w:szCs w:val="24"/>
                <w:highlight w:val="none"/>
              </w:rPr>
            </w:pPr>
            <w:r>
              <w:rPr>
                <w:rFonts w:hint="eastAsia" w:ascii="宋体" w:hAnsi="宋体" w:cs="Times New Roman"/>
                <w:color w:val="auto"/>
                <w:sz w:val="24"/>
                <w:szCs w:val="24"/>
                <w:highlight w:val="none"/>
                <w:lang w:val="en-US" w:eastAsia="zh-CN"/>
              </w:rPr>
              <w:t>合计</w:t>
            </w:r>
          </w:p>
        </w:tc>
        <w:tc>
          <w:tcPr>
            <w:tcW w:w="1699" w:type="dxa"/>
            <w:tcBorders>
              <w:tl2br w:val="nil"/>
              <w:tr2bl w:val="nil"/>
            </w:tcBorders>
            <w:shd w:val="clear" w:color="auto" w:fill="auto"/>
            <w:noWrap w:val="0"/>
            <w:vAlign w:val="center"/>
          </w:tcPr>
          <w:p w14:paraId="199F03A5">
            <w:pPr>
              <w:spacing w:line="240" w:lineRule="atLeast"/>
              <w:jc w:val="center"/>
              <w:rPr>
                <w:rFonts w:hint="default" w:ascii="宋体" w:hAnsi="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320000</w:t>
            </w:r>
          </w:p>
        </w:tc>
        <w:tc>
          <w:tcPr>
            <w:tcW w:w="1566" w:type="dxa"/>
            <w:tcBorders>
              <w:tl2br w:val="nil"/>
              <w:tr2bl w:val="nil"/>
            </w:tcBorders>
            <w:shd w:val="clear" w:color="auto" w:fill="auto"/>
            <w:noWrap w:val="0"/>
            <w:vAlign w:val="center"/>
          </w:tcPr>
          <w:p w14:paraId="594E0EF5">
            <w:pPr>
              <w:spacing w:line="240" w:lineRule="atLeast"/>
              <w:jc w:val="center"/>
              <w:rPr>
                <w:rFonts w:hint="eastAsia" w:ascii="宋体" w:hAnsi="宋体" w:cs="Times New Roman"/>
                <w:color w:val="auto"/>
                <w:sz w:val="24"/>
                <w:szCs w:val="24"/>
                <w:highlight w:val="none"/>
                <w:lang w:val="en-US" w:eastAsia="zh-CN"/>
              </w:rPr>
            </w:pPr>
          </w:p>
        </w:tc>
      </w:tr>
    </w:tbl>
    <w:p w14:paraId="35401B5C">
      <w:pPr>
        <w:bidi w:val="0"/>
        <w:rPr>
          <w:rFonts w:hint="eastAsia" w:ascii="宋体" w:hAnsi="宋体" w:eastAsia="宋体" w:cs="宋体"/>
          <w:color w:val="auto"/>
          <w:sz w:val="28"/>
          <w:szCs w:val="28"/>
          <w:highlight w:val="none"/>
          <w:lang w:eastAsia="zh-CN"/>
        </w:rPr>
      </w:pPr>
      <w:r>
        <w:rPr>
          <w:rFonts w:hint="eastAsia" w:ascii="宋体" w:hAnsi="宋体" w:eastAsia="宋体" w:cs="宋体"/>
          <w:b/>
          <w:bCs w:val="0"/>
          <w:color w:val="auto"/>
          <w:kern w:val="2"/>
          <w:sz w:val="28"/>
          <w:szCs w:val="28"/>
          <w:lang w:val="en-US" w:eastAsia="zh-CN" w:bidi="ar-SA"/>
        </w:rPr>
        <w:t>★</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杂交油菜种子</w:t>
      </w:r>
      <w:r>
        <w:rPr>
          <w:rFonts w:hint="eastAsia" w:ascii="宋体" w:hAnsi="宋体" w:eastAsia="宋体" w:cs="宋体"/>
          <w:color w:val="auto"/>
          <w:sz w:val="28"/>
          <w:szCs w:val="28"/>
          <w:highlight w:val="none"/>
          <w:lang w:eastAsia="zh-CN"/>
        </w:rPr>
        <w:t>质量要求及参数</w:t>
      </w:r>
    </w:p>
    <w:p w14:paraId="68A94AE9">
      <w:pPr>
        <w:autoSpaceDE w:val="0"/>
        <w:autoSpaceDN w:val="0"/>
        <w:adjustRightInd w:val="0"/>
        <w:snapToGrid w:val="0"/>
        <w:spacing w:before="156" w:beforeLines="50" w:after="156" w:afterLines="50" w:line="360" w:lineRule="auto"/>
        <w:ind w:firstLine="480" w:firstLineChars="200"/>
        <w:jc w:val="left"/>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所投油菜籽种子必须符合《中华人民共和国种子法》和《湖南省实施〈中华人民共和国种子法〉办法》规定。其主要技术参数要求如下：</w:t>
      </w:r>
    </w:p>
    <w:tbl>
      <w:tblPr>
        <w:tblStyle w:val="32"/>
        <w:tblW w:w="9928" w:type="dxa"/>
        <w:tblInd w:w="87" w:type="dxa"/>
        <w:tblLayout w:type="fixed"/>
        <w:tblCellMar>
          <w:top w:w="0" w:type="dxa"/>
          <w:left w:w="108" w:type="dxa"/>
          <w:bottom w:w="0" w:type="dxa"/>
          <w:right w:w="108" w:type="dxa"/>
        </w:tblCellMar>
      </w:tblPr>
      <w:tblGrid>
        <w:gridCol w:w="1644"/>
        <w:gridCol w:w="3644"/>
        <w:gridCol w:w="4640"/>
      </w:tblGrid>
      <w:tr w14:paraId="761DC79D">
        <w:tblPrEx>
          <w:tblCellMar>
            <w:top w:w="0" w:type="dxa"/>
            <w:left w:w="108" w:type="dxa"/>
            <w:bottom w:w="0" w:type="dxa"/>
            <w:right w:w="108" w:type="dxa"/>
          </w:tblCellMar>
        </w:tblPrEx>
        <w:trPr>
          <w:trHeight w:val="586" w:hRule="atLeast"/>
        </w:trPr>
        <w:tc>
          <w:tcPr>
            <w:tcW w:w="5288" w:type="dxa"/>
            <w:gridSpan w:val="2"/>
            <w:tcBorders>
              <w:top w:val="single" w:color="auto" w:sz="4" w:space="0"/>
              <w:left w:val="single" w:color="auto" w:sz="4" w:space="0"/>
              <w:bottom w:val="single" w:color="auto" w:sz="4" w:space="0"/>
              <w:right w:val="single" w:color="auto" w:sz="4" w:space="0"/>
            </w:tcBorders>
            <w:noWrap w:val="0"/>
            <w:vAlign w:val="center"/>
          </w:tcPr>
          <w:p w14:paraId="2EBE57B3">
            <w:pPr>
              <w:bidi w:val="0"/>
              <w:spacing w:line="240" w:lineRule="auto"/>
              <w:jc w:val="center"/>
              <w:rPr>
                <w:rFonts w:hint="eastAsia" w:ascii="宋体" w:hAnsi="宋体" w:eastAsia="宋体" w:cs="宋体"/>
                <w:b/>
                <w:bCs/>
                <w:color w:val="auto"/>
                <w:sz w:val="22"/>
                <w:szCs w:val="24"/>
                <w:lang w:val="en-US" w:eastAsia="zh-CN"/>
              </w:rPr>
            </w:pPr>
            <w:r>
              <w:rPr>
                <w:rFonts w:hint="eastAsia" w:ascii="宋体" w:hAnsi="宋体" w:eastAsia="宋体" w:cs="宋体"/>
                <w:b/>
                <w:bCs/>
                <w:color w:val="auto"/>
                <w:sz w:val="22"/>
                <w:szCs w:val="24"/>
                <w:lang w:val="en-US" w:eastAsia="zh-CN"/>
              </w:rPr>
              <w:t>简要技术要求</w:t>
            </w:r>
          </w:p>
        </w:tc>
        <w:tc>
          <w:tcPr>
            <w:tcW w:w="4640" w:type="dxa"/>
            <w:tcBorders>
              <w:top w:val="single" w:color="auto" w:sz="4" w:space="0"/>
              <w:left w:val="single" w:color="auto" w:sz="4" w:space="0"/>
              <w:bottom w:val="single" w:color="auto" w:sz="4" w:space="0"/>
              <w:right w:val="single" w:color="auto" w:sz="4" w:space="0"/>
            </w:tcBorders>
            <w:noWrap w:val="0"/>
            <w:vAlign w:val="center"/>
          </w:tcPr>
          <w:p w14:paraId="1790114A">
            <w:pPr>
              <w:bidi w:val="0"/>
              <w:spacing w:line="240" w:lineRule="auto"/>
              <w:jc w:val="center"/>
              <w:rPr>
                <w:rFonts w:hint="eastAsia" w:ascii="宋体" w:hAnsi="宋体" w:eastAsia="宋体" w:cs="宋体"/>
                <w:b/>
                <w:bCs/>
                <w:color w:val="auto"/>
                <w:sz w:val="22"/>
                <w:szCs w:val="24"/>
              </w:rPr>
            </w:pPr>
            <w:r>
              <w:rPr>
                <w:rFonts w:hint="eastAsia" w:ascii="宋体" w:hAnsi="宋体" w:eastAsia="宋体" w:cs="宋体"/>
                <w:b/>
                <w:bCs/>
                <w:color w:val="auto"/>
                <w:sz w:val="22"/>
                <w:szCs w:val="24"/>
              </w:rPr>
              <w:t>标准</w:t>
            </w:r>
          </w:p>
        </w:tc>
      </w:tr>
      <w:tr w14:paraId="48DA2D19">
        <w:tblPrEx>
          <w:tblCellMar>
            <w:top w:w="0" w:type="dxa"/>
            <w:left w:w="108" w:type="dxa"/>
            <w:bottom w:w="0" w:type="dxa"/>
            <w:right w:w="108" w:type="dxa"/>
          </w:tblCellMar>
        </w:tblPrEx>
        <w:trPr>
          <w:trHeight w:val="283" w:hRule="atLeast"/>
        </w:trPr>
        <w:tc>
          <w:tcPr>
            <w:tcW w:w="1644" w:type="dxa"/>
            <w:vMerge w:val="restart"/>
            <w:tcBorders>
              <w:top w:val="nil"/>
              <w:left w:val="single" w:color="auto" w:sz="4" w:space="0"/>
              <w:right w:val="single" w:color="auto" w:sz="4" w:space="0"/>
            </w:tcBorders>
            <w:noWrap w:val="0"/>
            <w:vAlign w:val="center"/>
          </w:tcPr>
          <w:p w14:paraId="215316AF">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主要指标</w:t>
            </w:r>
          </w:p>
        </w:tc>
        <w:tc>
          <w:tcPr>
            <w:tcW w:w="3644" w:type="dxa"/>
            <w:tcBorders>
              <w:top w:val="nil"/>
              <w:left w:val="single" w:color="auto" w:sz="4" w:space="0"/>
              <w:bottom w:val="single" w:color="auto" w:sz="4" w:space="0"/>
              <w:right w:val="single" w:color="auto" w:sz="4" w:space="0"/>
            </w:tcBorders>
            <w:noWrap w:val="0"/>
            <w:vAlign w:val="center"/>
          </w:tcPr>
          <w:p w14:paraId="112964B8">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纯度，%</w:t>
            </w:r>
          </w:p>
        </w:tc>
        <w:tc>
          <w:tcPr>
            <w:tcW w:w="4640" w:type="dxa"/>
            <w:tcBorders>
              <w:top w:val="nil"/>
              <w:left w:val="nil"/>
              <w:bottom w:val="single" w:color="auto" w:sz="4" w:space="0"/>
              <w:right w:val="single" w:color="auto" w:sz="4" w:space="0"/>
            </w:tcBorders>
            <w:noWrap w:val="0"/>
            <w:vAlign w:val="center"/>
          </w:tcPr>
          <w:p w14:paraId="506251B3">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t>≥8</w:t>
            </w:r>
            <w:r>
              <w:rPr>
                <w:rFonts w:hint="eastAsia" w:ascii="宋体" w:hAnsi="宋体" w:eastAsia="宋体" w:cs="宋体"/>
                <w:b w:val="0"/>
                <w:bCs w:val="0"/>
                <w:color w:val="auto"/>
                <w:sz w:val="24"/>
                <w:szCs w:val="24"/>
                <w:highlight w:val="none"/>
                <w:lang w:val="en-US" w:eastAsia="zh-CN"/>
              </w:rPr>
              <w:t>6%</w:t>
            </w:r>
          </w:p>
        </w:tc>
      </w:tr>
      <w:tr w14:paraId="7BBEF80C">
        <w:tblPrEx>
          <w:tblCellMar>
            <w:top w:w="0" w:type="dxa"/>
            <w:left w:w="108" w:type="dxa"/>
            <w:bottom w:w="0" w:type="dxa"/>
            <w:right w:w="108" w:type="dxa"/>
          </w:tblCellMar>
        </w:tblPrEx>
        <w:trPr>
          <w:trHeight w:val="340" w:hRule="atLeast"/>
        </w:trPr>
        <w:tc>
          <w:tcPr>
            <w:tcW w:w="1644" w:type="dxa"/>
            <w:vMerge w:val="continue"/>
            <w:tcBorders>
              <w:left w:val="single" w:color="auto" w:sz="4" w:space="0"/>
              <w:right w:val="single" w:color="auto" w:sz="4" w:space="0"/>
            </w:tcBorders>
            <w:noWrap w:val="0"/>
            <w:vAlign w:val="center"/>
          </w:tcPr>
          <w:p w14:paraId="14033B6B">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p>
        </w:tc>
        <w:tc>
          <w:tcPr>
            <w:tcW w:w="3644" w:type="dxa"/>
            <w:tcBorders>
              <w:top w:val="nil"/>
              <w:left w:val="single" w:color="auto" w:sz="4" w:space="0"/>
              <w:bottom w:val="single" w:color="auto" w:sz="4" w:space="0"/>
              <w:right w:val="single" w:color="auto" w:sz="4" w:space="0"/>
            </w:tcBorders>
            <w:noWrap w:val="0"/>
            <w:vAlign w:val="center"/>
          </w:tcPr>
          <w:p w14:paraId="734DE211">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净度，%</w:t>
            </w:r>
          </w:p>
        </w:tc>
        <w:tc>
          <w:tcPr>
            <w:tcW w:w="4640" w:type="dxa"/>
            <w:tcBorders>
              <w:top w:val="nil"/>
              <w:left w:val="nil"/>
              <w:bottom w:val="single" w:color="auto" w:sz="4" w:space="0"/>
              <w:right w:val="single" w:color="auto" w:sz="4" w:space="0"/>
            </w:tcBorders>
            <w:noWrap w:val="0"/>
            <w:vAlign w:val="center"/>
          </w:tcPr>
          <w:p w14:paraId="4F871653">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≥98</w:t>
            </w:r>
            <w:r>
              <w:rPr>
                <w:rFonts w:hint="eastAsia" w:ascii="宋体" w:hAnsi="宋体" w:eastAsia="宋体" w:cs="宋体"/>
                <w:b w:val="0"/>
                <w:bCs w:val="0"/>
                <w:color w:val="auto"/>
                <w:sz w:val="24"/>
                <w:szCs w:val="24"/>
                <w:lang w:val="en-US" w:eastAsia="zh-CN"/>
              </w:rPr>
              <w:t>%</w:t>
            </w:r>
          </w:p>
        </w:tc>
      </w:tr>
      <w:tr w14:paraId="229F15BF">
        <w:tblPrEx>
          <w:tblCellMar>
            <w:top w:w="0" w:type="dxa"/>
            <w:left w:w="108" w:type="dxa"/>
            <w:bottom w:w="0" w:type="dxa"/>
            <w:right w:w="108" w:type="dxa"/>
          </w:tblCellMar>
        </w:tblPrEx>
        <w:trPr>
          <w:trHeight w:val="340" w:hRule="atLeast"/>
        </w:trPr>
        <w:tc>
          <w:tcPr>
            <w:tcW w:w="1644" w:type="dxa"/>
            <w:vMerge w:val="continue"/>
            <w:tcBorders>
              <w:left w:val="single" w:color="auto" w:sz="4" w:space="0"/>
              <w:right w:val="single" w:color="auto" w:sz="4" w:space="0"/>
            </w:tcBorders>
            <w:noWrap w:val="0"/>
            <w:vAlign w:val="center"/>
          </w:tcPr>
          <w:p w14:paraId="755FC311">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p>
        </w:tc>
        <w:tc>
          <w:tcPr>
            <w:tcW w:w="3644" w:type="dxa"/>
            <w:tcBorders>
              <w:top w:val="nil"/>
              <w:left w:val="single" w:color="auto" w:sz="4" w:space="0"/>
              <w:bottom w:val="single" w:color="auto" w:sz="4" w:space="0"/>
              <w:right w:val="single" w:color="auto" w:sz="4" w:space="0"/>
            </w:tcBorders>
            <w:noWrap w:val="0"/>
            <w:vAlign w:val="center"/>
          </w:tcPr>
          <w:p w14:paraId="61B69B6A">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发芽率，%</w:t>
            </w:r>
          </w:p>
        </w:tc>
        <w:tc>
          <w:tcPr>
            <w:tcW w:w="4640" w:type="dxa"/>
            <w:tcBorders>
              <w:top w:val="nil"/>
              <w:left w:val="nil"/>
              <w:bottom w:val="single" w:color="auto" w:sz="4" w:space="0"/>
              <w:right w:val="single" w:color="auto" w:sz="4" w:space="0"/>
            </w:tcBorders>
            <w:noWrap w:val="0"/>
            <w:vAlign w:val="center"/>
          </w:tcPr>
          <w:p w14:paraId="24897BEF">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t>≥8</w:t>
            </w:r>
            <w:r>
              <w:rPr>
                <w:rFonts w:hint="eastAsia" w:ascii="宋体" w:hAnsi="宋体" w:eastAsia="宋体" w:cs="宋体"/>
                <w:b w:val="0"/>
                <w:bCs w:val="0"/>
                <w:color w:val="auto"/>
                <w:sz w:val="24"/>
                <w:szCs w:val="24"/>
                <w:highlight w:val="none"/>
                <w:lang w:val="en-US" w:eastAsia="zh-CN"/>
              </w:rPr>
              <w:t>2%</w:t>
            </w:r>
          </w:p>
        </w:tc>
      </w:tr>
      <w:tr w14:paraId="6974CF06">
        <w:tblPrEx>
          <w:tblCellMar>
            <w:top w:w="0" w:type="dxa"/>
            <w:left w:w="108" w:type="dxa"/>
            <w:bottom w:w="0" w:type="dxa"/>
            <w:right w:w="108" w:type="dxa"/>
          </w:tblCellMar>
        </w:tblPrEx>
        <w:trPr>
          <w:trHeight w:val="488" w:hRule="atLeast"/>
        </w:trPr>
        <w:tc>
          <w:tcPr>
            <w:tcW w:w="1644" w:type="dxa"/>
            <w:vMerge w:val="continue"/>
            <w:tcBorders>
              <w:left w:val="single" w:color="auto" w:sz="4" w:space="0"/>
              <w:bottom w:val="single" w:color="auto" w:sz="4" w:space="0"/>
              <w:right w:val="single" w:color="auto" w:sz="4" w:space="0"/>
            </w:tcBorders>
            <w:noWrap w:val="0"/>
            <w:vAlign w:val="center"/>
          </w:tcPr>
          <w:p w14:paraId="09677389">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p>
        </w:tc>
        <w:tc>
          <w:tcPr>
            <w:tcW w:w="3644" w:type="dxa"/>
            <w:tcBorders>
              <w:top w:val="nil"/>
              <w:left w:val="single" w:color="auto" w:sz="4" w:space="0"/>
              <w:bottom w:val="single" w:color="auto" w:sz="4" w:space="0"/>
              <w:right w:val="single" w:color="auto" w:sz="4" w:space="0"/>
            </w:tcBorders>
            <w:noWrap w:val="0"/>
            <w:vAlign w:val="center"/>
          </w:tcPr>
          <w:p w14:paraId="0CBEDFD5">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水分含量，%</w:t>
            </w:r>
          </w:p>
        </w:tc>
        <w:tc>
          <w:tcPr>
            <w:tcW w:w="4640" w:type="dxa"/>
            <w:tcBorders>
              <w:top w:val="nil"/>
              <w:left w:val="nil"/>
              <w:bottom w:val="single" w:color="auto" w:sz="4" w:space="0"/>
              <w:right w:val="single" w:color="auto" w:sz="4" w:space="0"/>
            </w:tcBorders>
            <w:noWrap w:val="0"/>
            <w:vAlign w:val="center"/>
          </w:tcPr>
          <w:p w14:paraId="5B0E5D10">
            <w:pPr>
              <w:autoSpaceDE w:val="0"/>
              <w:autoSpaceDN w:val="0"/>
              <w:adjustRightInd w:val="0"/>
              <w:snapToGrid w:val="0"/>
              <w:spacing w:before="156" w:beforeLines="50" w:after="156" w:afterLines="50" w:line="240" w:lineRule="auto"/>
              <w:jc w:val="center"/>
              <w:outlineLvl w:val="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≤9</w:t>
            </w:r>
            <w:r>
              <w:rPr>
                <w:rFonts w:hint="eastAsia" w:ascii="宋体" w:hAnsi="宋体" w:eastAsia="宋体" w:cs="宋体"/>
                <w:b w:val="0"/>
                <w:bCs w:val="0"/>
                <w:color w:val="auto"/>
                <w:sz w:val="24"/>
                <w:szCs w:val="24"/>
                <w:lang w:val="en-US" w:eastAsia="zh-CN"/>
              </w:rPr>
              <w:t>%</w:t>
            </w:r>
          </w:p>
        </w:tc>
      </w:tr>
    </w:tbl>
    <w:p w14:paraId="43DC8C09">
      <w:pPr>
        <w:autoSpaceDE w:val="0"/>
        <w:autoSpaceDN w:val="0"/>
        <w:adjustRightInd w:val="0"/>
        <w:snapToGrid w:val="0"/>
        <w:spacing w:before="156" w:beforeLines="50" w:after="156" w:afterLines="50" w:line="360" w:lineRule="auto"/>
        <w:jc w:val="left"/>
        <w:outlineLvl w:val="0"/>
        <w:rPr>
          <w:rFonts w:hint="eastAsia" w:ascii="宋体" w:hAnsi="宋体" w:eastAsia="宋体" w:cs="宋体"/>
          <w:b w:val="0"/>
          <w:bCs w:val="0"/>
          <w:color w:val="auto"/>
          <w:szCs w:val="21"/>
        </w:rPr>
      </w:pPr>
      <w:r>
        <w:rPr>
          <w:rFonts w:hint="eastAsia" w:ascii="宋体" w:hAnsi="宋体" w:eastAsia="宋体" w:cs="宋体"/>
          <w:b w:val="0"/>
          <w:bCs w:val="0"/>
          <w:color w:val="auto"/>
          <w:szCs w:val="21"/>
        </w:rPr>
        <w:t>注：★以上所有技术参数不允许缺项漏项和负偏离。</w:t>
      </w:r>
    </w:p>
    <w:p w14:paraId="2619CF3E">
      <w:pPr>
        <w:bidi w:val="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（3）质量要求</w:t>
      </w:r>
    </w:p>
    <w:p w14:paraId="6476888A">
      <w:pPr>
        <w:autoSpaceDE w:val="0"/>
        <w:autoSpaceDN w:val="0"/>
        <w:adjustRightInd w:val="0"/>
        <w:snapToGrid w:val="0"/>
        <w:spacing w:before="156" w:beforeLines="50" w:after="156" w:afterLines="50" w:line="360" w:lineRule="auto"/>
        <w:ind w:firstLine="480" w:firstLineChars="200"/>
        <w:jc w:val="left"/>
        <w:outlineLvl w:val="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①、</w:t>
      </w:r>
      <w:r>
        <w:rPr>
          <w:rFonts w:hint="eastAsia" w:ascii="宋体" w:hAnsi="宋体" w:eastAsia="宋体" w:cs="宋体"/>
          <w:b w:val="0"/>
          <w:bCs w:val="0"/>
          <w:color w:val="auto"/>
          <w:sz w:val="24"/>
          <w:szCs w:val="24"/>
        </w:rPr>
        <w:t>所投</w:t>
      </w:r>
      <w:r>
        <w:rPr>
          <w:rFonts w:hint="eastAsia" w:ascii="宋体" w:hAnsi="宋体" w:eastAsia="宋体" w:cs="宋体"/>
          <w:b w:val="0"/>
          <w:bCs w:val="0"/>
          <w:color w:val="auto"/>
          <w:sz w:val="24"/>
          <w:szCs w:val="24"/>
          <w:lang w:val="en-US" w:eastAsia="zh-CN"/>
        </w:rPr>
        <w:t>产品通过国家或省级登记的油菜品种。</w:t>
      </w:r>
    </w:p>
    <w:p w14:paraId="068B7C1C">
      <w:pPr>
        <w:autoSpaceDE w:val="0"/>
        <w:autoSpaceDN w:val="0"/>
        <w:adjustRightInd w:val="0"/>
        <w:snapToGrid w:val="0"/>
        <w:spacing w:before="156" w:beforeLines="50" w:after="156" w:afterLines="50" w:line="360" w:lineRule="auto"/>
        <w:ind w:firstLine="480" w:firstLineChars="200"/>
        <w:jc w:val="left"/>
        <w:outlineLvl w:val="0"/>
        <w:rPr>
          <w:rFonts w:hint="eastAsia" w:ascii="Times New Roman" w:hAnsi="Times New Roman" w:eastAsia="宋体" w:cs="Times New Roman"/>
          <w:color w:val="auto"/>
          <w:kern w:val="2"/>
          <w:sz w:val="24"/>
          <w:szCs w:val="22"/>
          <w:lang w:val="en-US" w:eastAsia="zh-CN" w:bidi="ar-SA"/>
        </w:rPr>
      </w:pPr>
      <w:r>
        <w:rPr>
          <w:rFonts w:hint="eastAsia" w:ascii="宋体" w:hAnsi="宋体" w:eastAsia="宋体" w:cs="宋体"/>
          <w:b w:val="0"/>
          <w:bCs w:val="0"/>
          <w:color w:val="auto"/>
          <w:sz w:val="24"/>
          <w:szCs w:val="24"/>
          <w:lang w:val="en-US" w:eastAsia="zh-CN"/>
        </w:rPr>
        <w:t>②、</w:t>
      </w:r>
      <w:r>
        <w:rPr>
          <w:rFonts w:hint="eastAsia" w:ascii="Times New Roman" w:hAnsi="Times New Roman" w:eastAsia="宋体" w:cs="Times New Roman"/>
          <w:color w:val="auto"/>
          <w:kern w:val="2"/>
          <w:sz w:val="24"/>
          <w:szCs w:val="22"/>
          <w:lang w:val="en-US" w:eastAsia="zh-CN" w:bidi="ar-SA"/>
        </w:rPr>
        <w:t>根据《中华人民共和国农业技术推广法》第十一条、第十九条，《种子法》第十五条、第二十三条，《湖南省农作物种子管理条例》第十二条规定，向农业劳动者推广的农业技术，必须在推广地区经过试验证明具有先进性和适用性。</w:t>
      </w:r>
    </w:p>
    <w:p w14:paraId="6076BA9B">
      <w:pPr>
        <w:autoSpaceDE w:val="0"/>
        <w:autoSpaceDN w:val="0"/>
        <w:adjustRightInd w:val="0"/>
        <w:snapToGrid w:val="0"/>
        <w:spacing w:before="156" w:beforeLines="50" w:after="156" w:afterLines="50" w:line="360" w:lineRule="auto"/>
        <w:ind w:firstLine="480" w:firstLineChars="200"/>
        <w:jc w:val="left"/>
        <w:outlineLvl w:val="0"/>
        <w:rPr>
          <w:rFonts w:hint="eastAsia" w:ascii="宋体" w:hAnsi="宋体" w:eastAsia="宋体" w:cs="宋体"/>
          <w:b w:val="0"/>
          <w:bCs w:val="0"/>
          <w:color w:val="auto"/>
          <w:sz w:val="24"/>
          <w:szCs w:val="24"/>
        </w:rPr>
      </w:pPr>
      <w:r>
        <w:rPr>
          <w:rFonts w:hint="eastAsia" w:ascii="Times New Roman" w:hAnsi="Times New Roman" w:eastAsia="宋体" w:cs="Times New Roman"/>
          <w:color w:val="auto"/>
          <w:kern w:val="2"/>
          <w:sz w:val="24"/>
          <w:szCs w:val="22"/>
          <w:lang w:val="en-US" w:eastAsia="zh-CN" w:bidi="ar-SA"/>
        </w:rPr>
        <w:t>③、</w:t>
      </w:r>
      <w:r>
        <w:rPr>
          <w:rFonts w:hint="eastAsia" w:ascii="宋体" w:hAnsi="宋体" w:eastAsia="宋体" w:cs="宋体"/>
          <w:b w:val="0"/>
          <w:bCs w:val="0"/>
          <w:color w:val="auto"/>
          <w:sz w:val="24"/>
          <w:szCs w:val="24"/>
        </w:rPr>
        <w:t>所</w:t>
      </w:r>
      <w:r>
        <w:rPr>
          <w:rFonts w:hint="eastAsia" w:ascii="宋体" w:hAnsi="宋体" w:eastAsia="宋体" w:cs="宋体"/>
          <w:b w:val="0"/>
          <w:bCs w:val="0"/>
          <w:color w:val="auto"/>
          <w:sz w:val="24"/>
          <w:szCs w:val="24"/>
          <w:lang w:val="en-US" w:eastAsia="zh-CN"/>
        </w:rPr>
        <w:t>投</w:t>
      </w:r>
      <w:r>
        <w:rPr>
          <w:rFonts w:hint="eastAsia" w:ascii="宋体" w:hAnsi="宋体" w:eastAsia="宋体" w:cs="宋体"/>
          <w:b w:val="0"/>
          <w:bCs w:val="0"/>
          <w:color w:val="auto"/>
          <w:sz w:val="24"/>
          <w:szCs w:val="24"/>
        </w:rPr>
        <w:t>品种须</w:t>
      </w:r>
      <w:r>
        <w:rPr>
          <w:rFonts w:hint="eastAsia" w:ascii="宋体" w:hAnsi="宋体" w:eastAsia="宋体" w:cs="宋体"/>
          <w:b w:val="0"/>
          <w:bCs w:val="0"/>
          <w:color w:val="auto"/>
          <w:sz w:val="24"/>
          <w:szCs w:val="24"/>
          <w:lang w:val="en-US" w:eastAsia="zh-CN"/>
        </w:rPr>
        <w:t>在项目所属地（或同生态区）由县农业农村局组织专家根据近2年以上的油菜新品种展示示范结果，并适应当地气候特点，</w:t>
      </w:r>
      <w:r>
        <w:rPr>
          <w:rFonts w:hint="eastAsia" w:ascii="宋体" w:hAnsi="宋体" w:eastAsia="宋体" w:cs="宋体"/>
          <w:b w:val="0"/>
          <w:bCs w:val="0"/>
          <w:color w:val="auto"/>
          <w:sz w:val="24"/>
          <w:szCs w:val="24"/>
          <w:lang w:eastAsia="zh-CN"/>
        </w:rPr>
        <w:t>且未发现种植缺陷的</w:t>
      </w:r>
      <w:r>
        <w:rPr>
          <w:rFonts w:hint="eastAsia" w:ascii="宋体" w:hAnsi="宋体" w:eastAsia="宋体" w:cs="宋体"/>
          <w:b w:val="0"/>
          <w:bCs w:val="0"/>
          <w:color w:val="auto"/>
          <w:sz w:val="24"/>
          <w:szCs w:val="24"/>
          <w:lang w:val="en-US" w:eastAsia="zh-CN"/>
        </w:rPr>
        <w:t>推荐</w:t>
      </w:r>
      <w:r>
        <w:rPr>
          <w:rFonts w:hint="eastAsia" w:ascii="宋体" w:hAnsi="宋体" w:eastAsia="宋体" w:cs="宋体"/>
          <w:b w:val="0"/>
          <w:bCs w:val="0"/>
          <w:color w:val="auto"/>
          <w:sz w:val="24"/>
          <w:szCs w:val="24"/>
          <w:lang w:eastAsia="zh-CN"/>
        </w:rPr>
        <w:t>品种。</w:t>
      </w:r>
    </w:p>
    <w:p w14:paraId="2FA506E3">
      <w:pPr>
        <w:autoSpaceDE w:val="0"/>
        <w:autoSpaceDN w:val="0"/>
        <w:adjustRightInd w:val="0"/>
        <w:snapToGrid w:val="0"/>
        <w:spacing w:before="156" w:beforeLines="50" w:after="156" w:afterLines="50" w:line="360" w:lineRule="auto"/>
        <w:ind w:firstLine="480" w:firstLineChars="200"/>
        <w:jc w:val="left"/>
        <w:outlineLvl w:val="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注：供应商提供的种子应是原装正品，符合国家质量检测标准，具有出厂合格证或国家鉴定合格证。提供的种子须符合相关国家标准；各项技术参数必须达到合同和相关技术文件规定的要求，必须符合国家和行业的有关规定和标准。</w:t>
      </w:r>
    </w:p>
    <w:p w14:paraId="5E58694B">
      <w:pPr>
        <w:pageBreakBefore w:val="0"/>
        <w:widowControl/>
        <w:kinsoku/>
        <w:wordWrap/>
        <w:overflowPunct/>
        <w:topLinePunct w:val="0"/>
        <w:autoSpaceDE/>
        <w:autoSpaceDN/>
        <w:bidi w:val="0"/>
        <w:adjustRightInd w:val="0"/>
        <w:snapToGrid w:val="0"/>
        <w:spacing w:before="0" w:beforeAutospacing="0" w:after="0" w:afterAutospacing="0" w:line="480" w:lineRule="exact"/>
        <w:jc w:val="left"/>
        <w:rPr>
          <w:rFonts w:hint="eastAsia" w:ascii="宋体" w:hAnsi="宋体" w:eastAsia="宋体" w:cs="宋体"/>
          <w:b/>
          <w:bCs w:val="0"/>
          <w:color w:val="auto"/>
          <w:kern w:val="2"/>
          <w:sz w:val="28"/>
          <w:szCs w:val="28"/>
          <w:lang w:val="en-US" w:eastAsia="zh-CN" w:bidi="ar-SA"/>
        </w:rPr>
      </w:pPr>
      <w:r>
        <w:rPr>
          <w:rFonts w:hint="eastAsia" w:ascii="宋体" w:hAnsi="宋体" w:eastAsia="宋体" w:cs="宋体"/>
          <w:b/>
          <w:bCs w:val="0"/>
          <w:color w:val="auto"/>
          <w:kern w:val="2"/>
          <w:sz w:val="28"/>
          <w:szCs w:val="28"/>
          <w:lang w:val="en-US" w:eastAsia="zh-CN" w:bidi="ar-SA"/>
        </w:rPr>
        <w:t>二、油菜硼肥参数功能要求：</w:t>
      </w:r>
    </w:p>
    <w:tbl>
      <w:tblPr>
        <w:tblStyle w:val="33"/>
        <w:tblW w:w="9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1320"/>
        <w:gridCol w:w="7211"/>
      </w:tblGrid>
      <w:tr w14:paraId="08FB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402" w:type="dxa"/>
            <w:noWrap w:val="0"/>
            <w:vAlign w:val="center"/>
          </w:tcPr>
          <w:p w14:paraId="2FA85A00">
            <w:pPr>
              <w:pageBreakBefore w:val="0"/>
              <w:widowControl w:val="0"/>
              <w:numPr>
                <w:ilvl w:val="0"/>
                <w:numId w:val="0"/>
              </w:numPr>
              <w:kinsoku/>
              <w:wordWrap/>
              <w:overflowPunct/>
              <w:topLinePunct w:val="0"/>
              <w:autoSpaceDE/>
              <w:autoSpaceDN/>
              <w:bidi w:val="0"/>
              <w:spacing w:line="480" w:lineRule="exact"/>
              <w:jc w:val="center"/>
              <w:rPr>
                <w:rFonts w:hint="eastAsia" w:ascii="宋体" w:hAnsi="宋体" w:eastAsia="宋体" w:cs="宋体"/>
                <w:b/>
                <w:bCs/>
                <w:i w:val="0"/>
                <w:iCs w:val="0"/>
                <w:caps w:val="0"/>
                <w:color w:val="auto"/>
                <w:spacing w:val="0"/>
                <w:kern w:val="2"/>
                <w:sz w:val="22"/>
                <w:szCs w:val="22"/>
                <w:lang w:val="en-US" w:eastAsia="zh-CN" w:bidi="ar-SA"/>
              </w:rPr>
            </w:pPr>
            <w:r>
              <w:rPr>
                <w:rFonts w:hint="eastAsia" w:ascii="宋体" w:hAnsi="宋体" w:eastAsia="宋体" w:cs="宋体"/>
                <w:b/>
                <w:bCs/>
                <w:i w:val="0"/>
                <w:iCs w:val="0"/>
                <w:caps w:val="0"/>
                <w:color w:val="auto"/>
                <w:spacing w:val="0"/>
                <w:kern w:val="2"/>
                <w:sz w:val="22"/>
                <w:szCs w:val="22"/>
                <w:lang w:val="en-US" w:eastAsia="zh-CN" w:bidi="ar-SA"/>
              </w:rPr>
              <w:t>品目名称</w:t>
            </w:r>
          </w:p>
        </w:tc>
        <w:tc>
          <w:tcPr>
            <w:tcW w:w="1320" w:type="dxa"/>
            <w:noWrap w:val="0"/>
            <w:vAlign w:val="center"/>
          </w:tcPr>
          <w:p w14:paraId="0048A287">
            <w:pPr>
              <w:pageBreakBefore w:val="0"/>
              <w:widowControl w:val="0"/>
              <w:numPr>
                <w:ilvl w:val="0"/>
                <w:numId w:val="0"/>
              </w:numPr>
              <w:kinsoku/>
              <w:wordWrap/>
              <w:overflowPunct/>
              <w:topLinePunct w:val="0"/>
              <w:autoSpaceDE/>
              <w:autoSpaceDN/>
              <w:bidi w:val="0"/>
              <w:spacing w:line="480" w:lineRule="exact"/>
              <w:jc w:val="center"/>
              <w:rPr>
                <w:rFonts w:hint="eastAsia" w:ascii="宋体" w:hAnsi="宋体" w:eastAsia="宋体" w:cs="宋体"/>
                <w:b/>
                <w:bCs/>
                <w:i w:val="0"/>
                <w:iCs w:val="0"/>
                <w:caps w:val="0"/>
                <w:color w:val="auto"/>
                <w:spacing w:val="0"/>
                <w:kern w:val="2"/>
                <w:sz w:val="22"/>
                <w:szCs w:val="22"/>
                <w:lang w:val="en-US" w:eastAsia="zh-CN" w:bidi="ar-SA"/>
              </w:rPr>
            </w:pPr>
            <w:r>
              <w:rPr>
                <w:rFonts w:hint="eastAsia" w:ascii="宋体" w:hAnsi="宋体" w:eastAsia="宋体" w:cs="宋体"/>
                <w:b/>
                <w:bCs/>
                <w:i w:val="0"/>
                <w:iCs w:val="0"/>
                <w:caps w:val="0"/>
                <w:color w:val="auto"/>
                <w:spacing w:val="0"/>
                <w:kern w:val="2"/>
                <w:sz w:val="22"/>
                <w:szCs w:val="22"/>
                <w:lang w:val="en-US" w:eastAsia="zh-CN" w:bidi="ar-SA"/>
              </w:rPr>
              <w:t>数量</w:t>
            </w:r>
          </w:p>
        </w:tc>
        <w:tc>
          <w:tcPr>
            <w:tcW w:w="7211" w:type="dxa"/>
            <w:noWrap w:val="0"/>
            <w:vAlign w:val="center"/>
          </w:tcPr>
          <w:p w14:paraId="739454B0">
            <w:pPr>
              <w:pageBreakBefore w:val="0"/>
              <w:widowControl w:val="0"/>
              <w:numPr>
                <w:ilvl w:val="0"/>
                <w:numId w:val="0"/>
              </w:numPr>
              <w:kinsoku/>
              <w:wordWrap/>
              <w:overflowPunct/>
              <w:topLinePunct w:val="0"/>
              <w:autoSpaceDE/>
              <w:autoSpaceDN/>
              <w:bidi w:val="0"/>
              <w:spacing w:line="480" w:lineRule="exact"/>
              <w:ind w:leftChars="0" w:firstLine="442" w:firstLineChars="200"/>
              <w:jc w:val="center"/>
              <w:rPr>
                <w:rFonts w:hint="default" w:ascii="宋体" w:hAnsi="宋体" w:eastAsia="宋体" w:cs="宋体"/>
                <w:b/>
                <w:bCs/>
                <w:i w:val="0"/>
                <w:iCs w:val="0"/>
                <w:caps w:val="0"/>
                <w:color w:val="auto"/>
                <w:spacing w:val="0"/>
                <w:kern w:val="2"/>
                <w:sz w:val="22"/>
                <w:szCs w:val="22"/>
                <w:lang w:val="en-US" w:eastAsia="zh-CN" w:bidi="ar-SA"/>
              </w:rPr>
            </w:pPr>
            <w:r>
              <w:rPr>
                <w:rFonts w:hint="eastAsia" w:ascii="宋体" w:hAnsi="宋体" w:eastAsia="宋体" w:cs="宋体"/>
                <w:b/>
                <w:bCs/>
                <w:i w:val="0"/>
                <w:iCs w:val="0"/>
                <w:caps w:val="0"/>
                <w:color w:val="auto"/>
                <w:spacing w:val="0"/>
                <w:kern w:val="2"/>
                <w:sz w:val="22"/>
                <w:szCs w:val="22"/>
                <w:lang w:val="en-US" w:eastAsia="zh-CN" w:bidi="ar-SA"/>
              </w:rPr>
              <w:t>简要技术参数</w:t>
            </w:r>
          </w:p>
        </w:tc>
      </w:tr>
      <w:tr w14:paraId="37D8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1402" w:type="dxa"/>
            <w:noWrap w:val="0"/>
            <w:vAlign w:val="center"/>
          </w:tcPr>
          <w:p w14:paraId="4D7E10D4">
            <w:pPr>
              <w:pageBreakBefore w:val="0"/>
              <w:widowControl w:val="0"/>
              <w:numPr>
                <w:ilvl w:val="0"/>
                <w:numId w:val="0"/>
              </w:numPr>
              <w:kinsoku/>
              <w:wordWrap/>
              <w:overflowPunct/>
              <w:topLinePunct w:val="0"/>
              <w:autoSpaceDE/>
              <w:autoSpaceDN/>
              <w:bidi w:val="0"/>
              <w:spacing w:line="480" w:lineRule="exact"/>
              <w:jc w:val="center"/>
              <w:rPr>
                <w:rFonts w:hint="eastAsia" w:ascii="宋体" w:hAnsi="宋体" w:eastAsia="宋体" w:cs="宋体"/>
                <w:b w:val="0"/>
                <w:bCs w:val="0"/>
                <w:i w:val="0"/>
                <w:iCs w:val="0"/>
                <w:caps w:val="0"/>
                <w:color w:val="auto"/>
                <w:spacing w:val="0"/>
                <w:kern w:val="2"/>
                <w:sz w:val="24"/>
                <w:szCs w:val="24"/>
                <w:lang w:val="en-US" w:eastAsia="zh-CN" w:bidi="ar-SA"/>
              </w:rPr>
            </w:pPr>
            <w:r>
              <w:rPr>
                <w:rFonts w:hint="eastAsia" w:ascii="宋体" w:hAnsi="宋体" w:eastAsia="宋体" w:cs="宋体"/>
                <w:b w:val="0"/>
                <w:bCs w:val="0"/>
                <w:i w:val="0"/>
                <w:iCs w:val="0"/>
                <w:caps w:val="0"/>
                <w:color w:val="auto"/>
                <w:spacing w:val="0"/>
                <w:kern w:val="2"/>
                <w:sz w:val="24"/>
                <w:szCs w:val="24"/>
                <w:lang w:val="en-US" w:eastAsia="zh-CN" w:bidi="ar-SA"/>
              </w:rPr>
              <w:t>油菜硼肥</w:t>
            </w:r>
          </w:p>
        </w:tc>
        <w:tc>
          <w:tcPr>
            <w:tcW w:w="1320" w:type="dxa"/>
            <w:noWrap w:val="0"/>
            <w:vAlign w:val="center"/>
          </w:tcPr>
          <w:p w14:paraId="4EFADABD">
            <w:pPr>
              <w:pageBreakBefore w:val="0"/>
              <w:widowControl w:val="0"/>
              <w:numPr>
                <w:ilvl w:val="0"/>
                <w:numId w:val="0"/>
              </w:numPr>
              <w:kinsoku/>
              <w:wordWrap/>
              <w:overflowPunct/>
              <w:topLinePunct w:val="0"/>
              <w:autoSpaceDE/>
              <w:autoSpaceDN/>
              <w:bidi w:val="0"/>
              <w:spacing w:line="480" w:lineRule="exact"/>
              <w:jc w:val="center"/>
              <w:rPr>
                <w:rFonts w:hint="eastAsia" w:ascii="宋体" w:hAnsi="宋体" w:eastAsia="宋体" w:cs="宋体"/>
                <w:b w:val="0"/>
                <w:bCs w:val="0"/>
                <w:i w:val="0"/>
                <w:iCs w:val="0"/>
                <w:caps w:val="0"/>
                <w:color w:val="auto"/>
                <w:spacing w:val="0"/>
                <w:kern w:val="2"/>
                <w:sz w:val="24"/>
                <w:szCs w:val="24"/>
                <w:lang w:val="en-US" w:eastAsia="zh-CN" w:bidi="ar-SA"/>
              </w:rPr>
            </w:pPr>
            <w:r>
              <w:rPr>
                <w:rFonts w:hint="eastAsia" w:ascii="宋体" w:hAnsi="宋体" w:eastAsia="宋体" w:cs="宋体"/>
                <w:b w:val="0"/>
                <w:bCs w:val="0"/>
                <w:i w:val="0"/>
                <w:iCs w:val="0"/>
                <w:caps w:val="0"/>
                <w:color w:val="auto"/>
                <w:spacing w:val="0"/>
                <w:kern w:val="2"/>
                <w:sz w:val="24"/>
                <w:szCs w:val="24"/>
                <w:lang w:val="en-US" w:eastAsia="zh-CN" w:bidi="ar-SA"/>
              </w:rPr>
              <w:t>32万包</w:t>
            </w:r>
          </w:p>
        </w:tc>
        <w:tc>
          <w:tcPr>
            <w:tcW w:w="7211" w:type="dxa"/>
            <w:noWrap w:val="0"/>
            <w:vAlign w:val="center"/>
          </w:tcPr>
          <w:p w14:paraId="01C52F13">
            <w:pPr>
              <w:pageBreakBefore w:val="0"/>
              <w:widowControl w:val="0"/>
              <w:numPr>
                <w:ilvl w:val="0"/>
                <w:numId w:val="0"/>
              </w:numPr>
              <w:kinsoku/>
              <w:wordWrap/>
              <w:overflowPunct/>
              <w:topLinePunct w:val="0"/>
              <w:autoSpaceDE/>
              <w:autoSpaceDN/>
              <w:bidi w:val="0"/>
              <w:spacing w:line="480" w:lineRule="exact"/>
              <w:ind w:leftChars="0" w:firstLine="480" w:firstLineChars="200"/>
              <w:jc w:val="both"/>
              <w:rPr>
                <w:rFonts w:hint="eastAsia" w:ascii="宋体" w:hAnsi="宋体" w:eastAsia="宋体" w:cs="宋体"/>
                <w:b w:val="0"/>
                <w:bCs w:val="0"/>
                <w:i w:val="0"/>
                <w:iCs w:val="0"/>
                <w:caps w:val="0"/>
                <w:color w:val="auto"/>
                <w:spacing w:val="0"/>
                <w:kern w:val="2"/>
                <w:sz w:val="24"/>
                <w:szCs w:val="24"/>
                <w:lang w:val="en-US" w:eastAsia="zh-CN" w:bidi="ar-SA"/>
              </w:rPr>
            </w:pPr>
            <w:r>
              <w:rPr>
                <w:rFonts w:hint="eastAsia" w:ascii="宋体" w:hAnsi="宋体" w:eastAsia="宋体" w:cs="宋体"/>
                <w:b w:val="0"/>
                <w:bCs w:val="0"/>
                <w:i w:val="0"/>
                <w:iCs w:val="0"/>
                <w:caps w:val="0"/>
                <w:color w:val="auto"/>
                <w:spacing w:val="0"/>
                <w:kern w:val="2"/>
                <w:sz w:val="24"/>
                <w:szCs w:val="24"/>
                <w:lang w:val="en-US" w:eastAsia="zh-CN" w:bidi="ar-SA"/>
              </w:rPr>
              <w:t>主要采购油菜硼肥，具体技术要求为：</w:t>
            </w:r>
          </w:p>
          <w:p w14:paraId="7D0DB979">
            <w:pPr>
              <w:pageBreakBefore w:val="0"/>
              <w:widowControl w:val="0"/>
              <w:numPr>
                <w:ilvl w:val="0"/>
                <w:numId w:val="0"/>
              </w:numPr>
              <w:kinsoku/>
              <w:wordWrap/>
              <w:overflowPunct/>
              <w:topLinePunct w:val="0"/>
              <w:autoSpaceDE/>
              <w:autoSpaceDN/>
              <w:bidi w:val="0"/>
              <w:spacing w:line="480" w:lineRule="exact"/>
              <w:ind w:leftChars="0" w:firstLine="480" w:firstLineChars="200"/>
              <w:jc w:val="both"/>
              <w:rPr>
                <w:rFonts w:hint="eastAsia" w:ascii="宋体" w:hAnsi="宋体" w:eastAsia="宋体" w:cs="宋体"/>
                <w:b w:val="0"/>
                <w:bCs w:val="0"/>
                <w:i w:val="0"/>
                <w:iCs w:val="0"/>
                <w:caps w:val="0"/>
                <w:color w:val="auto"/>
                <w:spacing w:val="0"/>
                <w:kern w:val="2"/>
                <w:sz w:val="24"/>
                <w:szCs w:val="24"/>
                <w:lang w:val="en-US" w:eastAsia="zh-CN" w:bidi="ar-SA"/>
              </w:rPr>
            </w:pPr>
            <w:r>
              <w:rPr>
                <w:rFonts w:hint="eastAsia" w:ascii="宋体" w:hAnsi="宋体" w:eastAsia="宋体" w:cs="宋体"/>
                <w:b w:val="0"/>
                <w:bCs w:val="0"/>
                <w:i w:val="0"/>
                <w:iCs w:val="0"/>
                <w:caps w:val="0"/>
                <w:color w:val="auto"/>
                <w:spacing w:val="0"/>
                <w:kern w:val="2"/>
                <w:sz w:val="24"/>
                <w:szCs w:val="24"/>
                <w:lang w:val="en-US" w:eastAsia="zh-CN" w:bidi="ar-SA"/>
              </w:rPr>
              <w:t>①采购所需硼肥为单质硼（B）含量≥12%，白色颗粒，颜色为纯白无杂色，颗粒均匀无杂质，易溶于水;</w:t>
            </w:r>
          </w:p>
          <w:p w14:paraId="41468C95">
            <w:pPr>
              <w:pageBreakBefore w:val="0"/>
              <w:widowControl w:val="0"/>
              <w:numPr>
                <w:ilvl w:val="0"/>
                <w:numId w:val="0"/>
              </w:numPr>
              <w:kinsoku/>
              <w:wordWrap/>
              <w:overflowPunct/>
              <w:topLinePunct w:val="0"/>
              <w:autoSpaceDE/>
              <w:autoSpaceDN/>
              <w:bidi w:val="0"/>
              <w:spacing w:line="480" w:lineRule="exact"/>
              <w:ind w:leftChars="0" w:firstLine="480" w:firstLineChars="200"/>
              <w:jc w:val="both"/>
              <w:rPr>
                <w:rFonts w:hint="eastAsia" w:ascii="宋体" w:hAnsi="宋体" w:eastAsia="宋体" w:cs="宋体"/>
                <w:b w:val="0"/>
                <w:bCs w:val="0"/>
                <w:i w:val="0"/>
                <w:iCs w:val="0"/>
                <w:caps w:val="0"/>
                <w:color w:val="auto"/>
                <w:spacing w:val="0"/>
                <w:kern w:val="2"/>
                <w:sz w:val="24"/>
                <w:szCs w:val="24"/>
                <w:lang w:val="en-US" w:eastAsia="zh-CN" w:bidi="ar-SA"/>
              </w:rPr>
            </w:pPr>
            <w:r>
              <w:rPr>
                <w:rFonts w:hint="eastAsia" w:ascii="宋体" w:hAnsi="宋体" w:eastAsia="宋体" w:cs="宋体"/>
                <w:b w:val="0"/>
                <w:bCs w:val="0"/>
                <w:i w:val="0"/>
                <w:iCs w:val="0"/>
                <w:caps w:val="0"/>
                <w:color w:val="auto"/>
                <w:spacing w:val="0"/>
                <w:kern w:val="2"/>
                <w:sz w:val="24"/>
                <w:szCs w:val="24"/>
                <w:lang w:val="en-US" w:eastAsia="zh-CN" w:bidi="ar-SA"/>
              </w:rPr>
              <w:t>②采购产品包装完好，无结块和熔（溶）化现象;</w:t>
            </w:r>
          </w:p>
          <w:p w14:paraId="1108BB7D">
            <w:pPr>
              <w:pageBreakBefore w:val="0"/>
              <w:widowControl w:val="0"/>
              <w:numPr>
                <w:ilvl w:val="0"/>
                <w:numId w:val="0"/>
              </w:numPr>
              <w:kinsoku/>
              <w:wordWrap/>
              <w:overflowPunct/>
              <w:topLinePunct w:val="0"/>
              <w:autoSpaceDE/>
              <w:autoSpaceDN/>
              <w:bidi w:val="0"/>
              <w:spacing w:line="480" w:lineRule="exact"/>
              <w:ind w:leftChars="0" w:firstLine="480" w:firstLineChars="200"/>
              <w:jc w:val="both"/>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lang w:val="en-US" w:eastAsia="zh-CN" w:bidi="ar-SA"/>
              </w:rPr>
              <w:t>③采购产品内外标签标识齐全，小包装破损率&lt;1%，</w:t>
            </w:r>
            <w:r>
              <w:rPr>
                <w:rFonts w:hint="eastAsia" w:ascii="宋体" w:hAnsi="宋体" w:eastAsia="宋体" w:cs="宋体"/>
                <w:b w:val="0"/>
                <w:bCs w:val="0"/>
                <w:i w:val="0"/>
                <w:iCs w:val="0"/>
                <w:caps w:val="0"/>
                <w:color w:val="auto"/>
                <w:spacing w:val="0"/>
                <w:kern w:val="2"/>
                <w:sz w:val="24"/>
                <w:szCs w:val="24"/>
                <w:highlight w:val="none"/>
                <w:lang w:val="en-US" w:eastAsia="zh-CN" w:bidi="ar-SA"/>
              </w:rPr>
              <w:t>每小包200克。</w:t>
            </w:r>
          </w:p>
          <w:p w14:paraId="3317561E">
            <w:pPr>
              <w:pageBreakBefore w:val="0"/>
              <w:widowControl w:val="0"/>
              <w:numPr>
                <w:ilvl w:val="0"/>
                <w:numId w:val="0"/>
              </w:numPr>
              <w:kinsoku/>
              <w:wordWrap/>
              <w:overflowPunct/>
              <w:topLinePunct w:val="0"/>
              <w:autoSpaceDE/>
              <w:autoSpaceDN/>
              <w:bidi w:val="0"/>
              <w:spacing w:line="480" w:lineRule="exact"/>
              <w:ind w:leftChars="0" w:firstLine="480" w:firstLineChars="200"/>
              <w:jc w:val="both"/>
              <w:rPr>
                <w:rFonts w:hint="eastAsia" w:ascii="宋体" w:hAnsi="宋体" w:eastAsia="宋体" w:cs="宋体"/>
                <w:b w:val="0"/>
                <w:bCs w:val="0"/>
                <w:i w:val="0"/>
                <w:iCs w:val="0"/>
                <w:caps w:val="0"/>
                <w:color w:val="auto"/>
                <w:spacing w:val="0"/>
                <w:kern w:val="2"/>
                <w:sz w:val="24"/>
                <w:szCs w:val="24"/>
                <w:lang w:val="en-US" w:eastAsia="zh-CN" w:bidi="ar-SA"/>
              </w:rPr>
            </w:pPr>
            <w:r>
              <w:rPr>
                <w:rFonts w:hint="eastAsia" w:ascii="宋体" w:hAnsi="宋体" w:eastAsia="宋体" w:cs="宋体"/>
                <w:b w:val="0"/>
                <w:bCs w:val="0"/>
                <w:i w:val="0"/>
                <w:iCs w:val="0"/>
                <w:caps w:val="0"/>
                <w:color w:val="auto"/>
                <w:spacing w:val="0"/>
                <w:kern w:val="2"/>
                <w:sz w:val="24"/>
                <w:szCs w:val="24"/>
                <w:lang w:val="en-US" w:eastAsia="zh-CN" w:bidi="ar-SA"/>
              </w:rPr>
              <w:t>④经由具有检测资质的第三方检测机构出具的合格检测报告（检测依据：NY1428-2010）</w:t>
            </w:r>
          </w:p>
        </w:tc>
      </w:tr>
    </w:tbl>
    <w:p w14:paraId="58DF3628">
      <w:pPr>
        <w:pStyle w:val="42"/>
        <w:keepNext w:val="0"/>
        <w:keepLines w:val="0"/>
        <w:pageBreakBefore w:val="0"/>
        <w:widowControl w:val="0"/>
        <w:numPr>
          <w:ilvl w:val="0"/>
          <w:numId w:val="0"/>
        </w:numPr>
        <w:kinsoku/>
        <w:wordWrap/>
        <w:overflowPunct/>
        <w:topLinePunct w:val="0"/>
        <w:autoSpaceDE/>
        <w:autoSpaceDN/>
        <w:bidi w:val="0"/>
        <w:spacing w:before="0" w:beforeLines="0" w:line="480" w:lineRule="exact"/>
        <w:ind w:firstLine="240" w:firstLineChars="100"/>
        <w:textAlignment w:val="auto"/>
        <w:rPr>
          <w:rFonts w:hint="eastAsia"/>
          <w:color w:val="auto"/>
          <w:lang w:val="en-US" w:eastAsia="zh-CN"/>
        </w:rPr>
      </w:pPr>
      <w:r>
        <w:rPr>
          <w:rFonts w:hint="eastAsia"/>
          <w:color w:val="auto"/>
          <w:lang w:val="en-US" w:eastAsia="zh-CN"/>
        </w:rPr>
        <w:t>备注：1.上述采购需求中用“★”符号标明的条款为实质性要求和条件，投标人必须完全响应，未按要求响应，视为实质性偏离，其</w:t>
      </w:r>
      <w:r>
        <w:rPr>
          <w:rFonts w:hint="eastAsia"/>
          <w:b/>
          <w:bCs/>
          <w:color w:val="auto"/>
          <w:lang w:val="en-US" w:eastAsia="zh-CN"/>
        </w:rPr>
        <w:t>投标无效</w:t>
      </w:r>
      <w:r>
        <w:rPr>
          <w:rFonts w:hint="eastAsia"/>
          <w:color w:val="auto"/>
          <w:lang w:val="en-US" w:eastAsia="zh-CN"/>
        </w:rPr>
        <w:t>。</w:t>
      </w:r>
    </w:p>
    <w:p w14:paraId="1D1454E7">
      <w:pPr>
        <w:pStyle w:val="42"/>
        <w:keepNext w:val="0"/>
        <w:keepLines w:val="0"/>
        <w:pageBreakBefore w:val="0"/>
        <w:widowControl w:val="0"/>
        <w:numPr>
          <w:ilvl w:val="0"/>
          <w:numId w:val="0"/>
        </w:numPr>
        <w:kinsoku/>
        <w:wordWrap/>
        <w:overflowPunct/>
        <w:topLinePunct w:val="0"/>
        <w:autoSpaceDE/>
        <w:autoSpaceDN/>
        <w:bidi w:val="0"/>
        <w:spacing w:before="0" w:beforeLines="0" w:line="480" w:lineRule="exact"/>
        <w:ind w:firstLine="723" w:firstLineChars="300"/>
        <w:textAlignment w:val="auto"/>
        <w:rPr>
          <w:rFonts w:hint="eastAsia"/>
          <w:b/>
          <w:bCs/>
          <w:color w:val="auto"/>
          <w:sz w:val="24"/>
          <w:szCs w:val="24"/>
          <w:lang w:val="en-US" w:eastAsia="zh-CN"/>
        </w:rPr>
      </w:pPr>
      <w:r>
        <w:rPr>
          <w:rFonts w:hint="eastAsia"/>
          <w:b/>
          <w:bCs/>
          <w:color w:val="auto"/>
          <w:lang w:val="en-US" w:eastAsia="zh-CN"/>
        </w:rPr>
        <w:t>2.未标注“★” 的条款为非实质性要求和条件，视为非实质性偏离，非实质性负偏离达5项以上（含5项）为无效投标。</w:t>
      </w:r>
    </w:p>
    <w:p w14:paraId="7D3F8DC2">
      <w:pPr>
        <w:pStyle w:val="3"/>
        <w:pageBreakBefore w:val="0"/>
        <w:widowControl w:val="0"/>
        <w:numPr>
          <w:ilvl w:val="0"/>
          <w:numId w:val="0"/>
        </w:numPr>
        <w:kinsoku/>
        <w:wordWrap/>
        <w:overflowPunct/>
        <w:topLinePunct w:val="0"/>
        <w:autoSpaceDE/>
        <w:autoSpaceDN/>
        <w:bidi w:val="0"/>
        <w:adjustRightInd/>
        <w:snapToGrid/>
        <w:spacing w:before="0" w:line="480" w:lineRule="exact"/>
        <w:ind w:leftChars="0"/>
        <w:jc w:val="center"/>
        <w:textAlignment w:val="auto"/>
        <w:rPr>
          <w:rFonts w:hint="eastAsia" w:cs="Times New Roman"/>
          <w:color w:val="auto"/>
          <w:sz w:val="28"/>
          <w:szCs w:val="28"/>
          <w:lang w:val="en-US" w:eastAsia="zh-CN"/>
        </w:rPr>
      </w:pPr>
      <w:r>
        <w:rPr>
          <w:rFonts w:hint="eastAsia" w:cs="Times New Roman"/>
          <w:color w:val="auto"/>
          <w:sz w:val="28"/>
          <w:szCs w:val="28"/>
          <w:lang w:val="en-US" w:eastAsia="zh-CN"/>
        </w:rPr>
        <w:t>2、商务要求</w:t>
      </w:r>
    </w:p>
    <w:p w14:paraId="5B9498A5">
      <w:pPr>
        <w:keepNext w:val="0"/>
        <w:keepLines w:val="0"/>
        <w:pageBreakBefore w:val="0"/>
        <w:numPr>
          <w:ilvl w:val="0"/>
          <w:numId w:val="0"/>
        </w:numPr>
        <w:kinsoku/>
        <w:wordWrap/>
        <w:overflowPunct/>
        <w:topLinePunct w:val="0"/>
        <w:autoSpaceDE/>
        <w:autoSpaceDN/>
        <w:bidi w:val="0"/>
        <w:spacing w:line="480" w:lineRule="exact"/>
        <w:ind w:firstLine="482" w:firstLineChars="200"/>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一、交货的时间、地点及方式：</w:t>
      </w:r>
    </w:p>
    <w:p w14:paraId="266D5597">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u w:val="none"/>
          <w:lang w:val="en-US" w:eastAsia="zh-CN" w:bidi="ar-SA"/>
        </w:rPr>
      </w:pPr>
      <w:r>
        <w:rPr>
          <w:rFonts w:hint="eastAsia" w:ascii="宋体" w:hAnsi="宋体" w:eastAsia="宋体" w:cs="宋体"/>
          <w:color w:val="auto"/>
          <w:sz w:val="24"/>
          <w:szCs w:val="24"/>
        </w:rPr>
        <w:t>交货时间：</w:t>
      </w:r>
      <w:r>
        <w:rPr>
          <w:rFonts w:hint="eastAsia" w:ascii="宋体" w:hAnsi="宋体" w:eastAsia="宋体" w:cs="宋体"/>
          <w:bCs/>
          <w:color w:val="auto"/>
          <w:sz w:val="24"/>
          <w:szCs w:val="24"/>
          <w:u w:val="none"/>
        </w:rPr>
        <w:t>合同签订之</w:t>
      </w:r>
      <w:r>
        <w:rPr>
          <w:rFonts w:hint="eastAsia" w:ascii="宋体" w:hAnsi="宋体" w:eastAsia="宋体" w:cs="宋体"/>
          <w:bCs/>
          <w:color w:val="auto"/>
          <w:sz w:val="24"/>
          <w:szCs w:val="24"/>
          <w:u w:val="none"/>
        </w:rPr>
        <w:t>日起</w:t>
      </w:r>
      <w:r>
        <w:rPr>
          <w:rFonts w:hint="eastAsia" w:ascii="宋体" w:hAnsi="宋体" w:eastAsia="宋体" w:cs="宋体"/>
          <w:bCs/>
          <w:color w:val="auto"/>
          <w:sz w:val="24"/>
          <w:szCs w:val="24"/>
          <w:u w:val="none"/>
          <w:lang w:val="en-US" w:eastAsia="zh-CN"/>
        </w:rPr>
        <w:t>7个</w:t>
      </w:r>
      <w:r>
        <w:rPr>
          <w:rFonts w:hint="eastAsia" w:ascii="宋体" w:hAnsi="宋体" w:eastAsia="宋体" w:cs="宋体"/>
          <w:bCs/>
          <w:color w:val="auto"/>
          <w:sz w:val="24"/>
          <w:szCs w:val="24"/>
          <w:u w:val="none"/>
          <w:lang w:eastAsia="zh-CN"/>
        </w:rPr>
        <w:t>工作日</w:t>
      </w:r>
      <w:r>
        <w:rPr>
          <w:rFonts w:hint="eastAsia" w:ascii="Times New Roman" w:hAnsi="Times New Roman" w:eastAsia="宋体" w:cs="Times New Roman"/>
          <w:color w:val="auto"/>
          <w:kern w:val="2"/>
          <w:sz w:val="24"/>
          <w:szCs w:val="20"/>
          <w:highlight w:val="none"/>
          <w:u w:val="none"/>
          <w:lang w:val="en-US" w:eastAsia="zh-CN" w:bidi="ar-SA"/>
        </w:rPr>
        <w:t>须</w:t>
      </w:r>
      <w:r>
        <w:rPr>
          <w:rFonts w:hint="eastAsia" w:ascii="Times New Roman" w:hAnsi="Times New Roman" w:eastAsia="宋体" w:cs="Times New Roman"/>
          <w:color w:val="auto"/>
          <w:kern w:val="2"/>
          <w:sz w:val="24"/>
          <w:szCs w:val="20"/>
          <w:highlight w:val="none"/>
          <w:u w:val="none"/>
          <w:lang w:val="en-US" w:eastAsia="zh-CN" w:bidi="ar-SA"/>
        </w:rPr>
        <w:t>完成本项目全部供货并通过验收。</w:t>
      </w:r>
    </w:p>
    <w:p w14:paraId="2DA9F498">
      <w:pPr>
        <w:keepNext w:val="0"/>
        <w:keepLines w:val="0"/>
        <w:pageBreakBefore w:val="0"/>
        <w:kinsoku/>
        <w:wordWrap/>
        <w:overflowPunct/>
        <w:topLinePunct w:val="0"/>
        <w:autoSpaceDE/>
        <w:autoSpaceDN/>
        <w:bidi w:val="0"/>
        <w:adjustRightInd w:val="0"/>
        <w:snapToGrid w:val="0"/>
        <w:spacing w:line="480" w:lineRule="exact"/>
        <w:ind w:firstLine="480" w:firstLineChars="200"/>
        <w:jc w:val="left"/>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交货地点：</w:t>
      </w:r>
      <w:r>
        <w:rPr>
          <w:rFonts w:hint="eastAsia" w:ascii="Times New Roman" w:hAnsi="Times New Roman" w:eastAsia="宋体" w:cs="Times New Roman"/>
          <w:color w:val="auto"/>
          <w:kern w:val="2"/>
          <w:sz w:val="24"/>
          <w:szCs w:val="20"/>
          <w:highlight w:val="none"/>
          <w:lang w:val="en-US" w:eastAsia="zh-CN" w:bidi="ar-SA"/>
        </w:rPr>
        <w:t>采购人指定地点。</w:t>
      </w:r>
    </w:p>
    <w:p w14:paraId="1B7EAADD">
      <w:pPr>
        <w:keepNext w:val="0"/>
        <w:keepLines w:val="0"/>
        <w:pageBreakBefore w:val="0"/>
        <w:widowControl/>
        <w:kinsoku/>
        <w:wordWrap/>
        <w:overflowPunct/>
        <w:topLinePunct w:val="0"/>
        <w:autoSpaceDE/>
        <w:autoSpaceDN/>
        <w:bidi w:val="0"/>
        <w:spacing w:line="480" w:lineRule="exact"/>
        <w:ind w:firstLine="480" w:firstLineChars="200"/>
        <w:jc w:val="left"/>
        <w:textAlignment w:val="auto"/>
        <w:rPr>
          <w:rFonts w:hint="eastAsia" w:ascii="宋体" w:hAnsi="宋体" w:eastAsia="宋体" w:cs="宋体"/>
          <w:b/>
          <w:bCs/>
          <w:color w:val="auto"/>
          <w:kern w:val="0"/>
          <w:sz w:val="24"/>
          <w:szCs w:val="24"/>
          <w:u w:val="none"/>
          <w:lang w:val="en-US" w:eastAsia="zh-CN" w:bidi="ar-SA"/>
        </w:rPr>
      </w:pPr>
      <w:r>
        <w:rPr>
          <w:rFonts w:hint="eastAsia" w:ascii="宋体" w:hAnsi="宋体" w:eastAsia="宋体" w:cs="宋体"/>
          <w:color w:val="auto"/>
          <w:kern w:val="0"/>
          <w:sz w:val="24"/>
          <w:szCs w:val="24"/>
          <w:u w:val="none"/>
          <w:lang w:val="en-US" w:eastAsia="zh-CN" w:bidi="ar-SA"/>
        </w:rPr>
        <w:t>交货方式：</w:t>
      </w:r>
      <w:r>
        <w:rPr>
          <w:rFonts w:hint="eastAsia" w:ascii="宋体" w:hAnsi="宋体" w:eastAsia="宋体" w:cs="宋体"/>
          <w:bCs/>
          <w:color w:val="auto"/>
          <w:kern w:val="0"/>
          <w:sz w:val="24"/>
          <w:szCs w:val="24"/>
          <w:u w:val="none"/>
          <w:lang w:val="en-US" w:eastAsia="zh-CN" w:bidi="ar-SA"/>
        </w:rPr>
        <w:t>中标人负责采购清单中的货物的全部运输，包括装卸、现场搬运等所有工作(费用由中标人负责)，直至验收合格。</w:t>
      </w:r>
    </w:p>
    <w:p w14:paraId="1393D41A">
      <w:pPr>
        <w:keepNext w:val="0"/>
        <w:keepLines w:val="0"/>
        <w:pageBreakBefore w:val="0"/>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二、验收标准和方法：</w:t>
      </w:r>
    </w:p>
    <w:p w14:paraId="52CDB66E">
      <w:pPr>
        <w:keepNext w:val="0"/>
        <w:keepLines w:val="0"/>
        <w:pageBreakBefore w:val="0"/>
        <w:widowControl/>
        <w:kinsoku/>
        <w:wordWrap/>
        <w:overflowPunct/>
        <w:topLinePunct w:val="0"/>
        <w:autoSpaceDE/>
        <w:autoSpaceDN/>
        <w:bidi w:val="0"/>
        <w:adjustRightInd w:val="0"/>
        <w:snapToGrid w:val="0"/>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lang w:val="en-US" w:eastAsia="zh-CN" w:bidi="ar-SA"/>
        </w:rPr>
        <w:t>中标人免费负责送货上门，由采购人组织相关人员按照国家及行业标准对照招标文件和投标文件承诺的技术要求进行现场验收；若产品验收不能满足和达不到招标文件提出的和投标文件承诺的技术参数及技术要求，将不予认可。给采购人造成的损失，由中标人承担一切责任，并有权提出退货</w:t>
      </w:r>
      <w:r>
        <w:rPr>
          <w:rFonts w:hint="eastAsia" w:ascii="Times New Roman" w:hAnsi="Times New Roman" w:eastAsia="宋体" w:cs="宋体"/>
          <w:color w:val="auto"/>
          <w:kern w:val="2"/>
          <w:sz w:val="24"/>
          <w:szCs w:val="24"/>
          <w:lang w:val="en-US" w:eastAsia="zh-CN" w:bidi="ar-SA"/>
        </w:rPr>
        <w:t>。</w:t>
      </w:r>
    </w:p>
    <w:p w14:paraId="5CA44B0A">
      <w:pPr>
        <w:keepNext w:val="0"/>
        <w:keepLines w:val="0"/>
        <w:pageBreakBefore w:val="0"/>
        <w:widowControl/>
        <w:kinsoku/>
        <w:wordWrap/>
        <w:overflowPunct/>
        <w:topLinePunct w:val="0"/>
        <w:autoSpaceDE/>
        <w:autoSpaceDN/>
        <w:bidi w:val="0"/>
        <w:adjustRightInd w:val="0"/>
        <w:snapToGrid w:val="0"/>
        <w:spacing w:before="0" w:beforeAutospacing="0" w:after="0" w:afterAutospacing="0" w:line="480" w:lineRule="exact"/>
        <w:ind w:firstLine="482" w:firstLineChars="200"/>
        <w:jc w:val="left"/>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2"/>
          <w:sz w:val="24"/>
          <w:szCs w:val="24"/>
          <w:lang w:val="en-US" w:eastAsia="zh-CN" w:bidi="ar-SA"/>
        </w:rPr>
        <w:t>三、付款方式：</w:t>
      </w:r>
    </w:p>
    <w:p w14:paraId="4D83045A">
      <w:pPr>
        <w:keepNext w:val="0"/>
        <w:keepLines w:val="0"/>
        <w:pageBreakBefore w:val="0"/>
        <w:widowControl/>
        <w:kinsoku/>
        <w:wordWrap/>
        <w:overflowPunct/>
        <w:topLinePunct w:val="0"/>
        <w:autoSpaceDE/>
        <w:autoSpaceDN/>
        <w:bidi w:val="0"/>
        <w:adjustRightInd w:val="0"/>
        <w:snapToGrid w:val="0"/>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u w:val="single"/>
          <w:lang w:val="en-US" w:eastAsia="zh-CN" w:bidi="ar-SA"/>
        </w:rPr>
        <w:t>合同另行约定。</w:t>
      </w:r>
    </w:p>
    <w:p w14:paraId="701D5684">
      <w:pPr>
        <w:keepNext w:val="0"/>
        <w:keepLines w:val="0"/>
        <w:pageBreakBefore w:val="0"/>
        <w:widowControl/>
        <w:kinsoku/>
        <w:wordWrap/>
        <w:overflowPunct/>
        <w:topLinePunct w:val="0"/>
        <w:autoSpaceDE/>
        <w:autoSpaceDN/>
        <w:bidi w:val="0"/>
        <w:adjustRightInd w:val="0"/>
        <w:snapToGrid w:val="0"/>
        <w:spacing w:before="0" w:beforeAutospacing="0" w:after="0" w:afterAutospacing="0" w:line="480" w:lineRule="exact"/>
        <w:ind w:firstLine="482"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四、质量保证及验收：</w:t>
      </w:r>
    </w:p>
    <w:p w14:paraId="116FCE99">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1、验收按相关文件要求进行验收，项目验收国家有强制性规定的，按国家规定执行，验收费用由中标供应商承担。</w:t>
      </w:r>
    </w:p>
    <w:p w14:paraId="6CC4876F">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2、验收过程中产生纠纷的，由质量技术监督部门认定的检测机构检测,如为中标供应商原因造成的，由中标供应商承担检测费用；否则，由采购人承担。</w:t>
      </w:r>
    </w:p>
    <w:p w14:paraId="72F1575D">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3、项目验收不合格，由中标供应商返工直至合格，有关返工、再行验收，以及给采购人造成的损失等费用由中标供应商承担。连续两次项目验收不合格的，采购人可终止合同，另行按规定选择其他供应商采购，由此带来的一切损失由中标供应商承担。</w:t>
      </w:r>
    </w:p>
    <w:p w14:paraId="35B479FD">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4、提供1年的质量保证期，质保期内免费质保。中标供应商提供的产品必须保证在供货当日有2年以上有效期。质保期内出现任何质量问题（人为破坏或自然灾害等不可抗力除外），由中标供应商负责全免费（免全部工时费、材料费、管理费、财务费等等）更换。</w:t>
      </w:r>
    </w:p>
    <w:p w14:paraId="3ECAEBD0">
      <w:pPr>
        <w:keepNext w:val="0"/>
        <w:keepLines w:val="0"/>
        <w:pageBreakBefore w:val="0"/>
        <w:widowControl/>
        <w:kinsoku/>
        <w:wordWrap/>
        <w:overflowPunct/>
        <w:topLinePunct w:val="0"/>
        <w:autoSpaceDE/>
        <w:autoSpaceDN/>
        <w:bidi w:val="0"/>
        <w:adjustRightInd w:val="0"/>
        <w:snapToGrid w:val="0"/>
        <w:spacing w:before="0" w:beforeAutospacing="0" w:after="0" w:afterAutospacing="0" w:line="480" w:lineRule="exact"/>
        <w:ind w:firstLine="482"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五、售后服务：</w:t>
      </w:r>
    </w:p>
    <w:p w14:paraId="6FAE894A">
      <w:pPr>
        <w:pageBreakBefore w:val="0"/>
        <w:tabs>
          <w:tab w:val="left" w:pos="1120"/>
        </w:tabs>
        <w:kinsoku/>
        <w:wordWrap/>
        <w:overflowPunct/>
        <w:topLinePunct w:val="0"/>
        <w:autoSpaceDE/>
        <w:autoSpaceDN/>
        <w:bidi w:val="0"/>
        <w:spacing w:line="460" w:lineRule="exact"/>
        <w:ind w:left="959" w:leftChars="228" w:hanging="480" w:hanging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1、投标人应对所提供的产品提供相应的售后服务承诺。</w:t>
      </w:r>
    </w:p>
    <w:p w14:paraId="5AE2CFD2">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2、成交供应商除提供合格种子外，同时，还必须制定与提交详细的、操作性强的种子发放及技术指导服务方案。即对种子使用提供全方位的售后服务，包括向农户提供与合同一致的种子的简要性状、主要栽培措施、使用条件说明等资料，并在本生产周期内全程免费提供技术咨询和技术指导。</w:t>
      </w:r>
    </w:p>
    <w:p w14:paraId="2F148AB7">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3、提供 7×24 小时的技术咨询服务</w:t>
      </w:r>
    </w:p>
    <w:p w14:paraId="6CCD9E6D">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4、敏感时期、重大节假日提供技术人员值守服务。</w:t>
      </w:r>
    </w:p>
    <w:p w14:paraId="20EAD1DB">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5</w:t>
      </w:r>
      <w:r>
        <w:rPr>
          <w:rFonts w:hint="eastAsia" w:ascii="Times New Roman" w:hAnsi="Times New Roman" w:eastAsia="宋体" w:cs="Times New Roman"/>
          <w:b/>
          <w:bCs/>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质保期内出现任何质量问题（人为破坏或自然灾害等不可抗力除外），由中标供应商负责全免费更换。</w:t>
      </w:r>
    </w:p>
    <w:p w14:paraId="570EDF8C">
      <w:pPr>
        <w:keepNext w:val="0"/>
        <w:keepLines w:val="0"/>
        <w:pageBreakBefore w:val="0"/>
        <w:widowControl/>
        <w:kinsoku/>
        <w:wordWrap/>
        <w:overflowPunct/>
        <w:topLinePunct w:val="0"/>
        <w:autoSpaceDE/>
        <w:autoSpaceDN/>
        <w:bidi w:val="0"/>
        <w:adjustRightInd w:val="0"/>
        <w:snapToGrid w:val="0"/>
        <w:spacing w:before="0" w:beforeAutospacing="0" w:after="0" w:afterAutospacing="0" w:line="480" w:lineRule="exact"/>
        <w:ind w:firstLine="482"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六、其他要求说明</w:t>
      </w:r>
    </w:p>
    <w:p w14:paraId="7582AD4A">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1、本项目采用包干方式，供应商应根据采购人要求，详细列明项目所需种子运输保险保管、验收、培训、质保期免费维护等所需人工、管理、财务等所有费用，如一旦成交，在项目实施中出现任何遗漏，均由成交供应商免费提供，采购人不再支付任何费用。</w:t>
      </w:r>
    </w:p>
    <w:p w14:paraId="0E398802">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2、未尽事宜按国家相关法律及行业标准执行</w:t>
      </w:r>
    </w:p>
    <w:p w14:paraId="1D4445E9">
      <w:pPr>
        <w:rPr>
          <w:rFonts w:hint="eastAsia"/>
          <w:color w:val="auto"/>
        </w:rPr>
      </w:pPr>
      <w:r>
        <w:rPr>
          <w:rFonts w:hint="eastAsia"/>
          <w:color w:val="auto"/>
        </w:rPr>
        <w:br w:type="page"/>
      </w:r>
    </w:p>
    <w:p w14:paraId="3552A261">
      <w:pPr>
        <w:pStyle w:val="2"/>
        <w:bidi w:val="0"/>
        <w:jc w:val="center"/>
        <w:rPr>
          <w:color w:val="auto"/>
        </w:rPr>
      </w:pPr>
      <w:r>
        <w:rPr>
          <w:rFonts w:hint="eastAsia"/>
          <w:color w:val="auto"/>
        </w:rPr>
        <w:t>第四章 评标方法及标准</w:t>
      </w:r>
      <w:bookmarkEnd w:id="53"/>
      <w:bookmarkEnd w:id="54"/>
    </w:p>
    <w:p w14:paraId="1734C4C8">
      <w:pPr>
        <w:pStyle w:val="42"/>
        <w:spacing w:before="156"/>
        <w:ind w:firstLine="480"/>
        <w:textAlignment w:val="baseline"/>
        <w:rPr>
          <w:rFonts w:ascii="等线" w:hAnsi="等线" w:eastAsia="等线" w:cs="宋体"/>
          <w:color w:val="auto"/>
        </w:rPr>
      </w:pPr>
      <w:r>
        <w:rPr>
          <w:rFonts w:hint="eastAsia"/>
          <w:color w:val="auto"/>
        </w:rPr>
        <w:t>本项目将按照招标文件</w:t>
      </w:r>
      <w:r>
        <w:rPr>
          <w:rFonts w:hint="eastAsia"/>
          <w:b/>
          <w:bCs/>
          <w:color w:val="auto"/>
        </w:rPr>
        <w:t>第二章投标人须知</w:t>
      </w:r>
      <w:r>
        <w:rPr>
          <w:rFonts w:hint="eastAsia"/>
          <w:color w:val="auto"/>
        </w:rPr>
        <w:t>的相关要求及本章的规定评标。</w:t>
      </w:r>
    </w:p>
    <w:p w14:paraId="1F843324">
      <w:pPr>
        <w:pStyle w:val="3"/>
        <w:textAlignment w:val="baseline"/>
        <w:rPr>
          <w:color w:val="auto"/>
        </w:rPr>
      </w:pPr>
      <w:bookmarkStart w:id="63" w:name="_Toc16812"/>
      <w:bookmarkStart w:id="64" w:name="_Toc10407"/>
      <w:r>
        <w:rPr>
          <w:rFonts w:hint="eastAsia"/>
          <w:color w:val="auto"/>
        </w:rPr>
        <w:t>第一节 资格审查</w:t>
      </w:r>
      <w:bookmarkEnd w:id="63"/>
      <w:bookmarkEnd w:id="64"/>
    </w:p>
    <w:p w14:paraId="4B11AAF3">
      <w:pPr>
        <w:pStyle w:val="42"/>
        <w:spacing w:before="156"/>
        <w:ind w:firstLine="480"/>
        <w:textAlignment w:val="baseline"/>
        <w:rPr>
          <w:rFonts w:ascii="等线" w:hAnsi="等线" w:eastAsia="等线" w:cs="宋体"/>
          <w:color w:val="auto"/>
        </w:rPr>
      </w:pPr>
      <w:r>
        <w:rPr>
          <w:rFonts w:hint="eastAsia"/>
          <w:color w:val="auto"/>
        </w:rPr>
        <w:t>1.1依据政府采购相关法律法规规定，由采购人或采购代理机构对投标人进行资格审查。资格审查表如下：</w:t>
      </w:r>
    </w:p>
    <w:p w14:paraId="1CF5E35E">
      <w:pPr>
        <w:pStyle w:val="42"/>
        <w:spacing w:before="156"/>
        <w:ind w:firstLine="0" w:firstLineChars="0"/>
        <w:jc w:val="center"/>
        <w:textAlignment w:val="baseline"/>
        <w:rPr>
          <w:rFonts w:ascii="方正小标宋_GBK" w:hAnsi="方正小标宋_GBK" w:eastAsia="方正小标宋_GBK" w:cs="方正小标宋_GBK"/>
          <w:color w:val="auto"/>
          <w:sz w:val="30"/>
          <w:szCs w:val="30"/>
        </w:rPr>
      </w:pPr>
      <w:r>
        <w:rPr>
          <w:rFonts w:hint="eastAsia" w:ascii="方正小标宋_GBK" w:hAnsi="方正小标宋_GBK" w:eastAsia="方正小标宋_GBK" w:cs="方正小标宋_GBK"/>
          <w:color w:val="auto"/>
          <w:sz w:val="30"/>
          <w:szCs w:val="30"/>
        </w:rPr>
        <w:t>资格审查表</w:t>
      </w:r>
    </w:p>
    <w:tbl>
      <w:tblPr>
        <w:tblStyle w:val="33"/>
        <w:tblW w:w="1021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263"/>
        <w:gridCol w:w="2400"/>
        <w:gridCol w:w="4725"/>
      </w:tblGrid>
      <w:tr w14:paraId="11A47F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blHeader/>
        </w:trPr>
        <w:tc>
          <w:tcPr>
            <w:tcW w:w="830" w:type="dxa"/>
            <w:tcBorders>
              <w:tl2br w:val="nil"/>
              <w:tr2bl w:val="nil"/>
            </w:tcBorders>
            <w:shd w:val="pct10" w:color="ADB9CA" w:themeColor="text2" w:themeTint="66" w:fill="D6DCE5" w:themeFill="text2" w:themeFillTint="32"/>
            <w:vAlign w:val="center"/>
          </w:tcPr>
          <w:p w14:paraId="51D535DF">
            <w:pPr>
              <w:pStyle w:val="41"/>
              <w:textAlignment w:val="baseline"/>
              <w:rPr>
                <w:color w:val="auto"/>
              </w:rPr>
            </w:pPr>
            <w:r>
              <w:rPr>
                <w:color w:val="auto"/>
              </w:rPr>
              <w:t>序号</w:t>
            </w:r>
          </w:p>
        </w:tc>
        <w:tc>
          <w:tcPr>
            <w:tcW w:w="2263" w:type="dxa"/>
            <w:tcBorders>
              <w:tl2br w:val="nil"/>
              <w:tr2bl w:val="nil"/>
            </w:tcBorders>
            <w:shd w:val="pct10" w:color="ADB9CA" w:themeColor="text2" w:themeTint="66" w:fill="D6DCE5" w:themeFill="text2" w:themeFillTint="32"/>
            <w:vAlign w:val="center"/>
          </w:tcPr>
          <w:p w14:paraId="008459B1">
            <w:pPr>
              <w:pStyle w:val="41"/>
              <w:textAlignment w:val="baseline"/>
              <w:rPr>
                <w:color w:val="auto"/>
              </w:rPr>
            </w:pPr>
            <w:r>
              <w:rPr>
                <w:color w:val="auto"/>
              </w:rPr>
              <w:t>评审指标</w:t>
            </w:r>
          </w:p>
        </w:tc>
        <w:tc>
          <w:tcPr>
            <w:tcW w:w="2400" w:type="dxa"/>
            <w:tcBorders>
              <w:tl2br w:val="nil"/>
              <w:tr2bl w:val="nil"/>
            </w:tcBorders>
            <w:shd w:val="pct10" w:color="ADB9CA" w:themeColor="text2" w:themeTint="66" w:fill="D6DCE5" w:themeFill="text2" w:themeFillTint="32"/>
            <w:vAlign w:val="center"/>
          </w:tcPr>
          <w:p w14:paraId="50FCDB62">
            <w:pPr>
              <w:pStyle w:val="41"/>
              <w:textAlignment w:val="baseline"/>
              <w:rPr>
                <w:color w:val="auto"/>
              </w:rPr>
            </w:pPr>
            <w:r>
              <w:rPr>
                <w:color w:val="auto"/>
              </w:rPr>
              <w:t>评审标准</w:t>
            </w:r>
          </w:p>
        </w:tc>
        <w:tc>
          <w:tcPr>
            <w:tcW w:w="4725" w:type="dxa"/>
            <w:tcBorders>
              <w:tl2br w:val="nil"/>
              <w:tr2bl w:val="nil"/>
            </w:tcBorders>
            <w:shd w:val="pct10" w:color="ADB9CA" w:themeColor="text2" w:themeTint="66" w:fill="D6DCE5" w:themeFill="text2" w:themeFillTint="32"/>
            <w:vAlign w:val="center"/>
          </w:tcPr>
          <w:p w14:paraId="373FE698">
            <w:pPr>
              <w:pStyle w:val="41"/>
              <w:textAlignment w:val="baseline"/>
              <w:rPr>
                <w:color w:val="auto"/>
              </w:rPr>
            </w:pPr>
            <w:r>
              <w:rPr>
                <w:color w:val="auto"/>
              </w:rPr>
              <w:t>格式及材料要求</w:t>
            </w:r>
          </w:p>
        </w:tc>
      </w:tr>
      <w:tr w14:paraId="00234C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830" w:type="dxa"/>
            <w:tcBorders>
              <w:tl2br w:val="nil"/>
              <w:tr2bl w:val="nil"/>
            </w:tcBorders>
            <w:vAlign w:val="center"/>
          </w:tcPr>
          <w:p w14:paraId="49F7EA4E">
            <w:pPr>
              <w:pStyle w:val="59"/>
              <w:numPr>
                <w:ilvl w:val="0"/>
                <w:numId w:val="11"/>
              </w:numPr>
              <w:textAlignment w:val="baseline"/>
              <w:rPr>
                <w:color w:val="auto"/>
              </w:rPr>
            </w:pPr>
          </w:p>
        </w:tc>
        <w:tc>
          <w:tcPr>
            <w:tcW w:w="2263" w:type="dxa"/>
            <w:tcBorders>
              <w:tl2br w:val="nil"/>
              <w:tr2bl w:val="nil"/>
            </w:tcBorders>
            <w:vAlign w:val="center"/>
          </w:tcPr>
          <w:p w14:paraId="363F4424">
            <w:pPr>
              <w:pStyle w:val="61"/>
              <w:spacing w:before="31"/>
              <w:ind w:firstLine="0" w:firstLineChars="0"/>
              <w:jc w:val="center"/>
              <w:textAlignment w:val="baseline"/>
              <w:rPr>
                <w:rFonts w:hint="default"/>
                <w:color w:val="auto"/>
              </w:rPr>
            </w:pPr>
            <w:r>
              <w:rPr>
                <w:color w:val="auto"/>
              </w:rPr>
              <w:t>法人或者其他组织的营业执照等主体资格证明文件，自然人的身份证明</w:t>
            </w:r>
          </w:p>
        </w:tc>
        <w:tc>
          <w:tcPr>
            <w:tcW w:w="2400" w:type="dxa"/>
            <w:tcBorders>
              <w:tl2br w:val="nil"/>
              <w:tr2bl w:val="nil"/>
            </w:tcBorders>
            <w:vAlign w:val="center"/>
          </w:tcPr>
          <w:p w14:paraId="736ED027">
            <w:pPr>
              <w:pStyle w:val="61"/>
              <w:spacing w:before="31"/>
              <w:ind w:firstLine="0" w:firstLineChars="0"/>
              <w:jc w:val="center"/>
              <w:textAlignment w:val="baseline"/>
              <w:rPr>
                <w:rFonts w:hint="default"/>
                <w:color w:val="auto"/>
              </w:rPr>
            </w:pPr>
            <w:r>
              <w:rPr>
                <w:color w:val="auto"/>
              </w:rPr>
              <w:t>合法有效</w:t>
            </w:r>
          </w:p>
        </w:tc>
        <w:tc>
          <w:tcPr>
            <w:tcW w:w="4725" w:type="dxa"/>
            <w:tcBorders>
              <w:tl2br w:val="nil"/>
              <w:tr2bl w:val="nil"/>
            </w:tcBorders>
            <w:vAlign w:val="center"/>
          </w:tcPr>
          <w:p w14:paraId="4E6EC97E">
            <w:pPr>
              <w:pStyle w:val="61"/>
              <w:spacing w:before="31"/>
              <w:ind w:firstLine="420"/>
              <w:textAlignment w:val="baseline"/>
              <w:rPr>
                <w:rFonts w:hint="default"/>
                <w:color w:val="auto"/>
              </w:rPr>
            </w:pPr>
            <w:r>
              <w:rPr>
                <w:color w:val="auto"/>
              </w:rPr>
              <w:t>提供有效的投标人营业执照（或事业单位法人登记证书）和税务登记证的扫描件，应完整地体现出营业执照（或事业单位法人登记证书）和税务登记证的全部内容。已办理“三证合一”或“五证合一”登记的， 投标文件中提供营业执照（或事业单位法人登记证书）扫描件即可。</w:t>
            </w:r>
          </w:p>
        </w:tc>
      </w:tr>
      <w:tr w14:paraId="24EC1D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30" w:type="dxa"/>
            <w:tcBorders>
              <w:tl2br w:val="nil"/>
              <w:tr2bl w:val="nil"/>
            </w:tcBorders>
            <w:vAlign w:val="center"/>
          </w:tcPr>
          <w:p w14:paraId="2A944D78">
            <w:pPr>
              <w:pStyle w:val="59"/>
              <w:numPr>
                <w:ilvl w:val="0"/>
                <w:numId w:val="11"/>
              </w:numPr>
              <w:textAlignment w:val="baseline"/>
              <w:rPr>
                <w:color w:val="auto"/>
              </w:rPr>
            </w:pPr>
          </w:p>
        </w:tc>
        <w:tc>
          <w:tcPr>
            <w:tcW w:w="2263" w:type="dxa"/>
            <w:tcBorders>
              <w:tl2br w:val="nil"/>
              <w:tr2bl w:val="nil"/>
            </w:tcBorders>
            <w:vAlign w:val="center"/>
          </w:tcPr>
          <w:p w14:paraId="16D31767">
            <w:pPr>
              <w:pStyle w:val="44"/>
              <w:textAlignment w:val="baseline"/>
              <w:rPr>
                <w:rFonts w:ascii="Times New Roman" w:hAnsi="Times New Roman" w:eastAsia="微软雅黑" w:cs="Times New Roman"/>
                <w:color w:val="auto"/>
                <w:kern w:val="2"/>
                <w:sz w:val="21"/>
                <w:szCs w:val="24"/>
                <w:lang w:val="en-US" w:eastAsia="zh-CN" w:bidi="ar-SA"/>
              </w:rPr>
            </w:pPr>
            <w:r>
              <w:rPr>
                <w:color w:val="auto"/>
              </w:rPr>
              <w:t>开标一览表</w:t>
            </w:r>
          </w:p>
        </w:tc>
        <w:tc>
          <w:tcPr>
            <w:tcW w:w="2400" w:type="dxa"/>
            <w:tcBorders>
              <w:tl2br w:val="nil"/>
              <w:tr2bl w:val="nil"/>
            </w:tcBorders>
            <w:vAlign w:val="center"/>
          </w:tcPr>
          <w:p w14:paraId="04604C41">
            <w:pPr>
              <w:pStyle w:val="44"/>
              <w:jc w:val="center"/>
              <w:textAlignment w:val="baseline"/>
              <w:rPr>
                <w:rFonts w:hint="eastAsia" w:ascii="Times New Roman" w:hAnsi="Times New Roman" w:eastAsia="微软雅黑" w:cs="Times New Roman"/>
                <w:color w:val="auto"/>
                <w:kern w:val="2"/>
                <w:sz w:val="21"/>
                <w:szCs w:val="24"/>
                <w:lang w:val="en-US" w:eastAsia="zh-CN" w:bidi="ar-SA"/>
              </w:rPr>
            </w:pPr>
            <w:r>
              <w:rPr>
                <w:color w:val="auto"/>
              </w:rPr>
              <w:t>格式、填写要求符合招标文件规定并加盖投标</w:t>
            </w:r>
            <w:r>
              <w:rPr>
                <w:rFonts w:hint="eastAsia"/>
                <w:color w:val="auto"/>
              </w:rPr>
              <w:t>人</w:t>
            </w:r>
            <w:r>
              <w:rPr>
                <w:rFonts w:hint="eastAsia"/>
                <w:color w:val="auto"/>
                <w:lang w:eastAsia="zh-CN"/>
              </w:rPr>
              <w:t>公章</w:t>
            </w:r>
          </w:p>
        </w:tc>
        <w:tc>
          <w:tcPr>
            <w:tcW w:w="4725" w:type="dxa"/>
            <w:tcBorders>
              <w:tl2br w:val="nil"/>
              <w:tr2bl w:val="nil"/>
            </w:tcBorders>
            <w:vAlign w:val="center"/>
          </w:tcPr>
          <w:p w14:paraId="41744BDB">
            <w:pPr>
              <w:pStyle w:val="44"/>
              <w:jc w:val="left"/>
              <w:textAlignment w:val="baseline"/>
              <w:rPr>
                <w:rFonts w:ascii="Times New Roman" w:hAnsi="Times New Roman" w:eastAsia="微软雅黑" w:cs="Times New Roman"/>
                <w:color w:val="auto"/>
                <w:kern w:val="2"/>
                <w:sz w:val="21"/>
                <w:szCs w:val="24"/>
                <w:lang w:val="en-US" w:eastAsia="zh-CN" w:bidi="ar-SA"/>
              </w:rPr>
            </w:pPr>
            <w:r>
              <w:rPr>
                <w:color w:val="auto"/>
              </w:rPr>
              <w:t>详见第六章投标文件</w:t>
            </w:r>
            <w:r>
              <w:rPr>
                <w:rFonts w:hint="eastAsia"/>
                <w:color w:val="auto"/>
              </w:rPr>
              <w:t>的组成</w:t>
            </w:r>
            <w:r>
              <w:rPr>
                <w:color w:val="auto"/>
              </w:rPr>
              <w:t>格式</w:t>
            </w:r>
            <w:r>
              <w:rPr>
                <w:rFonts w:hint="eastAsia"/>
                <w:color w:val="auto"/>
              </w:rPr>
              <w:t>二</w:t>
            </w:r>
          </w:p>
        </w:tc>
      </w:tr>
      <w:tr w14:paraId="6D87A2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31850315">
            <w:pPr>
              <w:pStyle w:val="59"/>
              <w:numPr>
                <w:ilvl w:val="0"/>
                <w:numId w:val="11"/>
              </w:numPr>
              <w:textAlignment w:val="baseline"/>
              <w:rPr>
                <w:color w:val="auto"/>
              </w:rPr>
            </w:pPr>
          </w:p>
        </w:tc>
        <w:tc>
          <w:tcPr>
            <w:tcW w:w="2263" w:type="dxa"/>
            <w:tcBorders>
              <w:tl2br w:val="nil"/>
              <w:tr2bl w:val="nil"/>
            </w:tcBorders>
            <w:vAlign w:val="center"/>
          </w:tcPr>
          <w:p w14:paraId="44BF3E58">
            <w:pPr>
              <w:pStyle w:val="61"/>
              <w:spacing w:before="31"/>
              <w:ind w:firstLine="0" w:firstLineChars="0"/>
              <w:jc w:val="center"/>
              <w:textAlignment w:val="baseline"/>
              <w:rPr>
                <w:rFonts w:hint="default"/>
                <w:color w:val="auto"/>
              </w:rPr>
            </w:pPr>
            <w:r>
              <w:rPr>
                <w:color w:val="auto"/>
              </w:rPr>
              <w:t>不良信用记录查询</w:t>
            </w:r>
          </w:p>
        </w:tc>
        <w:tc>
          <w:tcPr>
            <w:tcW w:w="2400" w:type="dxa"/>
            <w:tcBorders>
              <w:tl2br w:val="nil"/>
              <w:tr2bl w:val="nil"/>
            </w:tcBorders>
            <w:vAlign w:val="center"/>
          </w:tcPr>
          <w:p w14:paraId="60B8E996">
            <w:pPr>
              <w:pStyle w:val="61"/>
              <w:spacing w:before="31"/>
              <w:ind w:firstLine="0" w:firstLineChars="0"/>
              <w:jc w:val="center"/>
              <w:textAlignment w:val="baseline"/>
              <w:rPr>
                <w:rFonts w:hint="default"/>
                <w:color w:val="auto"/>
              </w:rPr>
            </w:pPr>
            <w:r>
              <w:rPr>
                <w:color w:val="auto"/>
              </w:rPr>
              <w:t>投标人不得存在投标人资格中的不良信用</w:t>
            </w:r>
          </w:p>
          <w:p w14:paraId="1537B123">
            <w:pPr>
              <w:pStyle w:val="61"/>
              <w:spacing w:before="31"/>
              <w:ind w:firstLine="0" w:firstLineChars="0"/>
              <w:jc w:val="center"/>
              <w:textAlignment w:val="baseline"/>
              <w:rPr>
                <w:rFonts w:hint="default"/>
                <w:color w:val="auto"/>
              </w:rPr>
            </w:pPr>
            <w:r>
              <w:rPr>
                <w:color w:val="auto"/>
              </w:rPr>
              <w:t>记录情形</w:t>
            </w:r>
          </w:p>
        </w:tc>
        <w:tc>
          <w:tcPr>
            <w:tcW w:w="4725" w:type="dxa"/>
            <w:tcBorders>
              <w:tl2br w:val="nil"/>
              <w:tr2bl w:val="nil"/>
            </w:tcBorders>
            <w:vAlign w:val="center"/>
          </w:tcPr>
          <w:p w14:paraId="4445C14C">
            <w:pPr>
              <w:pStyle w:val="61"/>
              <w:spacing w:before="31"/>
              <w:ind w:firstLine="420"/>
              <w:textAlignment w:val="baseline"/>
              <w:rPr>
                <w:rFonts w:hint="default"/>
                <w:color w:val="auto"/>
              </w:rPr>
            </w:pPr>
            <w:r>
              <w:rPr>
                <w:color w:val="auto"/>
              </w:rPr>
              <w:t>详见投标人须知第 2</w:t>
            </w:r>
            <w:r>
              <w:rPr>
                <w:rFonts w:hint="eastAsia"/>
                <w:color w:val="auto"/>
                <w:lang w:val="en-US" w:eastAsia="zh-CN"/>
              </w:rPr>
              <w:t>1</w:t>
            </w:r>
            <w:r>
              <w:rPr>
                <w:color w:val="auto"/>
              </w:rPr>
              <w:t>.2 条要求</w:t>
            </w:r>
          </w:p>
        </w:tc>
      </w:tr>
      <w:tr w14:paraId="1A9A2F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1CB6AAF5">
            <w:pPr>
              <w:pStyle w:val="59"/>
              <w:numPr>
                <w:ilvl w:val="0"/>
                <w:numId w:val="11"/>
              </w:numPr>
              <w:textAlignment w:val="baseline"/>
              <w:rPr>
                <w:color w:val="auto"/>
              </w:rPr>
            </w:pPr>
          </w:p>
        </w:tc>
        <w:tc>
          <w:tcPr>
            <w:tcW w:w="2263" w:type="dxa"/>
            <w:tcBorders>
              <w:tl2br w:val="nil"/>
              <w:tr2bl w:val="nil"/>
            </w:tcBorders>
            <w:vAlign w:val="center"/>
          </w:tcPr>
          <w:p w14:paraId="4B416D33">
            <w:pPr>
              <w:pStyle w:val="44"/>
              <w:textAlignment w:val="baseline"/>
              <w:rPr>
                <w:rFonts w:ascii="Times New Roman" w:hAnsi="Times New Roman" w:eastAsia="微软雅黑" w:cs="Times New Roman"/>
                <w:color w:val="auto"/>
                <w:kern w:val="2"/>
                <w:sz w:val="21"/>
                <w:szCs w:val="24"/>
                <w:lang w:val="en-US" w:eastAsia="zh-CN" w:bidi="ar-SA"/>
              </w:rPr>
            </w:pPr>
            <w:r>
              <w:rPr>
                <w:color w:val="auto"/>
              </w:rPr>
              <w:t>授权书</w:t>
            </w:r>
          </w:p>
        </w:tc>
        <w:tc>
          <w:tcPr>
            <w:tcW w:w="2400" w:type="dxa"/>
            <w:tcBorders>
              <w:tl2br w:val="nil"/>
              <w:tr2bl w:val="nil"/>
            </w:tcBorders>
            <w:vAlign w:val="center"/>
          </w:tcPr>
          <w:p w14:paraId="079C9BB6">
            <w:pPr>
              <w:pStyle w:val="44"/>
              <w:jc w:val="left"/>
              <w:textAlignment w:val="baseline"/>
              <w:rPr>
                <w:rFonts w:ascii="Times New Roman" w:hAnsi="Times New Roman" w:eastAsia="微软雅黑" w:cs="Times New Roman"/>
                <w:color w:val="auto"/>
                <w:kern w:val="2"/>
                <w:sz w:val="21"/>
                <w:szCs w:val="24"/>
                <w:lang w:val="en-US" w:eastAsia="zh-CN" w:bidi="ar-SA"/>
              </w:rPr>
            </w:pPr>
            <w:r>
              <w:rPr>
                <w:color w:val="auto"/>
              </w:rPr>
              <w:t>格式、填写要求符合招标文件规定并加盖投标人</w:t>
            </w:r>
            <w:r>
              <w:rPr>
                <w:rFonts w:hint="eastAsia"/>
                <w:color w:val="auto"/>
                <w:lang w:eastAsia="zh-CN"/>
              </w:rPr>
              <w:t>公章</w:t>
            </w:r>
          </w:p>
        </w:tc>
        <w:tc>
          <w:tcPr>
            <w:tcW w:w="4725" w:type="dxa"/>
            <w:tcBorders>
              <w:tl2br w:val="nil"/>
              <w:tr2bl w:val="nil"/>
            </w:tcBorders>
            <w:vAlign w:val="center"/>
          </w:tcPr>
          <w:p w14:paraId="325B3916">
            <w:pPr>
              <w:pStyle w:val="44"/>
              <w:jc w:val="left"/>
              <w:textAlignment w:val="baseline"/>
              <w:rPr>
                <w:rFonts w:ascii="Times New Roman" w:hAnsi="Times New Roman" w:eastAsia="微软雅黑" w:cs="Times New Roman"/>
                <w:color w:val="auto"/>
                <w:kern w:val="2"/>
                <w:sz w:val="21"/>
                <w:szCs w:val="24"/>
                <w:lang w:val="en-US" w:eastAsia="zh-CN" w:bidi="ar-SA"/>
              </w:rPr>
            </w:pPr>
            <w:r>
              <w:rPr>
                <w:color w:val="auto"/>
              </w:rPr>
              <w:t>法定代表人参加投标的无需此件，提供身份证明即可。详见第六章投标文件</w:t>
            </w:r>
            <w:r>
              <w:rPr>
                <w:rFonts w:hint="eastAsia"/>
                <w:color w:val="auto"/>
              </w:rPr>
              <w:t>的组成</w:t>
            </w:r>
            <w:r>
              <w:rPr>
                <w:color w:val="auto"/>
              </w:rPr>
              <w:t>格式</w:t>
            </w:r>
            <w:r>
              <w:rPr>
                <w:rFonts w:hint="eastAsia"/>
                <w:color w:val="auto"/>
              </w:rPr>
              <w:t>三</w:t>
            </w:r>
          </w:p>
        </w:tc>
      </w:tr>
      <w:tr w14:paraId="474F47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670736D3">
            <w:pPr>
              <w:pStyle w:val="59"/>
              <w:numPr>
                <w:ilvl w:val="0"/>
                <w:numId w:val="11"/>
              </w:numPr>
              <w:textAlignment w:val="baseline"/>
              <w:rPr>
                <w:color w:val="auto"/>
              </w:rPr>
            </w:pPr>
          </w:p>
        </w:tc>
        <w:tc>
          <w:tcPr>
            <w:tcW w:w="2263" w:type="dxa"/>
            <w:tcBorders>
              <w:tl2br w:val="nil"/>
              <w:tr2bl w:val="nil"/>
            </w:tcBorders>
            <w:vAlign w:val="center"/>
          </w:tcPr>
          <w:p w14:paraId="371375A3">
            <w:pPr>
              <w:pStyle w:val="61"/>
              <w:spacing w:before="31"/>
              <w:ind w:firstLine="0" w:firstLineChars="0"/>
              <w:jc w:val="center"/>
              <w:textAlignment w:val="baseline"/>
              <w:rPr>
                <w:color w:val="auto"/>
              </w:rPr>
            </w:pPr>
            <w:r>
              <w:rPr>
                <w:rFonts w:hint="eastAsia"/>
                <w:color w:val="auto"/>
              </w:rPr>
              <w:t>投标人资格声明</w:t>
            </w:r>
          </w:p>
        </w:tc>
        <w:tc>
          <w:tcPr>
            <w:tcW w:w="2400" w:type="dxa"/>
            <w:tcBorders>
              <w:tl2br w:val="nil"/>
              <w:tr2bl w:val="nil"/>
            </w:tcBorders>
            <w:vAlign w:val="center"/>
          </w:tcPr>
          <w:p w14:paraId="16FB880E">
            <w:pPr>
              <w:pStyle w:val="61"/>
              <w:spacing w:before="31"/>
              <w:ind w:firstLine="0" w:firstLineChars="0"/>
              <w:jc w:val="center"/>
              <w:textAlignment w:val="baseline"/>
              <w:rPr>
                <w:color w:val="auto"/>
              </w:rPr>
            </w:pPr>
            <w:r>
              <w:rPr>
                <w:color w:val="auto"/>
              </w:rPr>
              <w:t>格式、填写要求符合招标文件规定并加盖投标人</w:t>
            </w:r>
            <w:r>
              <w:rPr>
                <w:rFonts w:hint="eastAsia"/>
                <w:color w:val="auto"/>
                <w:lang w:eastAsia="zh-CN"/>
              </w:rPr>
              <w:t>公章</w:t>
            </w:r>
          </w:p>
        </w:tc>
        <w:tc>
          <w:tcPr>
            <w:tcW w:w="4725" w:type="dxa"/>
            <w:tcBorders>
              <w:tl2br w:val="nil"/>
              <w:tr2bl w:val="nil"/>
            </w:tcBorders>
            <w:vAlign w:val="center"/>
          </w:tcPr>
          <w:p w14:paraId="020423BD">
            <w:pPr>
              <w:pStyle w:val="61"/>
              <w:spacing w:before="31"/>
              <w:ind w:firstLine="420"/>
              <w:textAlignment w:val="baseline"/>
              <w:rPr>
                <w:rFonts w:hint="eastAsia" w:eastAsia="微软雅黑"/>
                <w:color w:val="auto"/>
                <w:lang w:val="en-US" w:eastAsia="zh-CN"/>
              </w:rPr>
            </w:pPr>
            <w:r>
              <w:rPr>
                <w:color w:val="auto"/>
              </w:rPr>
              <w:t>详见第六章投标文件格式附件</w:t>
            </w:r>
            <w:r>
              <w:rPr>
                <w:rFonts w:hint="eastAsia"/>
                <w:color w:val="auto"/>
                <w:lang w:val="en-US" w:eastAsia="zh-CN"/>
              </w:rPr>
              <w:t>4</w:t>
            </w:r>
            <w:r>
              <w:rPr>
                <w:color w:val="auto"/>
              </w:rPr>
              <w:t>-</w:t>
            </w:r>
            <w:r>
              <w:rPr>
                <w:rFonts w:hint="eastAsia"/>
                <w:color w:val="auto"/>
                <w:lang w:val="en-US" w:eastAsia="zh-CN"/>
              </w:rPr>
              <w:t>1</w:t>
            </w:r>
          </w:p>
        </w:tc>
      </w:tr>
      <w:tr w14:paraId="61F300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0B5224B0">
            <w:pPr>
              <w:pStyle w:val="59"/>
              <w:numPr>
                <w:ilvl w:val="0"/>
                <w:numId w:val="11"/>
              </w:numPr>
              <w:textAlignment w:val="baseline"/>
              <w:rPr>
                <w:color w:val="auto"/>
              </w:rPr>
            </w:pPr>
          </w:p>
        </w:tc>
        <w:tc>
          <w:tcPr>
            <w:tcW w:w="2263" w:type="dxa"/>
            <w:tcBorders>
              <w:tl2br w:val="nil"/>
              <w:tr2bl w:val="nil"/>
            </w:tcBorders>
            <w:vAlign w:val="center"/>
          </w:tcPr>
          <w:p w14:paraId="12AF4CDD">
            <w:pPr>
              <w:pStyle w:val="61"/>
              <w:spacing w:before="31"/>
              <w:ind w:firstLine="0" w:firstLineChars="0"/>
              <w:jc w:val="center"/>
              <w:textAlignment w:val="baseline"/>
              <w:rPr>
                <w:rFonts w:hint="default" w:ascii="Times New Roman" w:hAnsi="Times New Roman" w:eastAsia="微软雅黑" w:cs="Times New Roman"/>
                <w:color w:val="auto"/>
                <w:kern w:val="2"/>
                <w:sz w:val="20"/>
                <w:szCs w:val="22"/>
                <w:lang w:val="en-US" w:eastAsia="zh-CN" w:bidi="ar-SA"/>
              </w:rPr>
            </w:pPr>
            <w:r>
              <w:rPr>
                <w:color w:val="auto"/>
                <w:lang w:val="en-US" w:eastAsia="zh-CN"/>
              </w:rPr>
              <w:t>湖南省政府采购供应商资格承诺函</w:t>
            </w:r>
          </w:p>
        </w:tc>
        <w:tc>
          <w:tcPr>
            <w:tcW w:w="2400" w:type="dxa"/>
            <w:tcBorders>
              <w:tl2br w:val="nil"/>
              <w:tr2bl w:val="nil"/>
            </w:tcBorders>
            <w:vAlign w:val="center"/>
          </w:tcPr>
          <w:p w14:paraId="6FF12CA0">
            <w:pPr>
              <w:pStyle w:val="61"/>
              <w:spacing w:before="31"/>
              <w:ind w:firstLine="0" w:firstLineChars="0"/>
              <w:jc w:val="center"/>
              <w:textAlignment w:val="baseline"/>
              <w:rPr>
                <w:rFonts w:hint="default" w:ascii="Times New Roman" w:hAnsi="Times New Roman" w:eastAsia="微软雅黑" w:cs="Times New Roman"/>
                <w:color w:val="auto"/>
                <w:kern w:val="2"/>
                <w:sz w:val="20"/>
                <w:szCs w:val="22"/>
                <w:lang w:val="en-US" w:eastAsia="zh-CN" w:bidi="ar-SA"/>
              </w:rPr>
            </w:pPr>
            <w:r>
              <w:rPr>
                <w:color w:val="auto"/>
              </w:rPr>
              <w:t>格式、填写要求符合招标文件规定并加盖投标人</w:t>
            </w:r>
            <w:r>
              <w:rPr>
                <w:rFonts w:hint="eastAsia"/>
                <w:color w:val="auto"/>
                <w:lang w:eastAsia="zh-CN"/>
              </w:rPr>
              <w:t>公章</w:t>
            </w:r>
          </w:p>
        </w:tc>
        <w:tc>
          <w:tcPr>
            <w:tcW w:w="4725" w:type="dxa"/>
            <w:tcBorders>
              <w:tl2br w:val="nil"/>
              <w:tr2bl w:val="nil"/>
            </w:tcBorders>
            <w:vAlign w:val="center"/>
          </w:tcPr>
          <w:p w14:paraId="7180AF55">
            <w:pPr>
              <w:pStyle w:val="61"/>
              <w:spacing w:before="31"/>
              <w:ind w:firstLine="400" w:firstLineChars="200"/>
              <w:textAlignment w:val="baseline"/>
              <w:rPr>
                <w:rFonts w:hint="eastAsia" w:ascii="Times New Roman" w:hAnsi="Times New Roman" w:eastAsia="微软雅黑" w:cs="Times New Roman"/>
                <w:color w:val="auto"/>
                <w:kern w:val="2"/>
                <w:sz w:val="20"/>
                <w:szCs w:val="22"/>
                <w:lang w:val="en-US" w:eastAsia="zh-CN" w:bidi="ar-SA"/>
              </w:rPr>
            </w:pPr>
            <w:r>
              <w:rPr>
                <w:color w:val="auto"/>
              </w:rPr>
              <w:t>详见第六章投标文件格式附件</w:t>
            </w:r>
            <w:r>
              <w:rPr>
                <w:rFonts w:hint="eastAsia"/>
                <w:color w:val="auto"/>
                <w:lang w:val="en-US" w:eastAsia="zh-CN"/>
              </w:rPr>
              <w:t>4</w:t>
            </w:r>
            <w:r>
              <w:rPr>
                <w:color w:val="auto"/>
              </w:rPr>
              <w:t>-</w:t>
            </w:r>
            <w:r>
              <w:rPr>
                <w:rFonts w:hint="eastAsia"/>
                <w:color w:val="auto"/>
                <w:lang w:val="en-US" w:eastAsia="zh-CN"/>
              </w:rPr>
              <w:t>2</w:t>
            </w:r>
          </w:p>
        </w:tc>
      </w:tr>
      <w:tr w14:paraId="70CE71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1F4961F9">
            <w:pPr>
              <w:pStyle w:val="59"/>
              <w:numPr>
                <w:ilvl w:val="0"/>
                <w:numId w:val="11"/>
              </w:numPr>
              <w:textAlignment w:val="baseline"/>
              <w:rPr>
                <w:color w:val="auto"/>
              </w:rPr>
            </w:pPr>
          </w:p>
        </w:tc>
        <w:tc>
          <w:tcPr>
            <w:tcW w:w="2263" w:type="dxa"/>
            <w:tcBorders>
              <w:tl2br w:val="nil"/>
              <w:tr2bl w:val="nil"/>
            </w:tcBorders>
            <w:vAlign w:val="center"/>
          </w:tcPr>
          <w:p w14:paraId="6107BD92">
            <w:pPr>
              <w:pStyle w:val="61"/>
              <w:spacing w:before="31"/>
              <w:ind w:firstLine="0" w:firstLineChars="0"/>
              <w:jc w:val="center"/>
              <w:textAlignment w:val="baseline"/>
              <w:rPr>
                <w:rFonts w:hint="default" w:ascii="Times New Roman" w:hAnsi="Times New Roman" w:eastAsia="微软雅黑" w:cs="Times New Roman"/>
                <w:color w:val="auto"/>
                <w:kern w:val="2"/>
                <w:sz w:val="20"/>
                <w:szCs w:val="22"/>
                <w:lang w:val="en-US" w:eastAsia="zh-CN" w:bidi="ar-SA"/>
              </w:rPr>
            </w:pPr>
            <w:r>
              <w:rPr>
                <w:color w:val="auto"/>
              </w:rPr>
              <w:t>存在关联关系的供应商不参与政府采购项目竞争的承诺书</w:t>
            </w:r>
          </w:p>
        </w:tc>
        <w:tc>
          <w:tcPr>
            <w:tcW w:w="2400" w:type="dxa"/>
            <w:tcBorders>
              <w:tl2br w:val="nil"/>
              <w:tr2bl w:val="nil"/>
            </w:tcBorders>
            <w:vAlign w:val="center"/>
          </w:tcPr>
          <w:p w14:paraId="120F4C0F">
            <w:pPr>
              <w:pStyle w:val="61"/>
              <w:spacing w:before="31"/>
              <w:ind w:firstLine="0" w:firstLineChars="0"/>
              <w:jc w:val="center"/>
              <w:textAlignment w:val="baseline"/>
              <w:rPr>
                <w:rFonts w:hint="default" w:ascii="Times New Roman" w:hAnsi="Times New Roman" w:eastAsia="微软雅黑" w:cs="Times New Roman"/>
                <w:color w:val="auto"/>
                <w:kern w:val="2"/>
                <w:sz w:val="20"/>
                <w:szCs w:val="22"/>
                <w:lang w:val="en-US" w:eastAsia="zh-CN" w:bidi="ar-SA"/>
              </w:rPr>
            </w:pPr>
            <w:r>
              <w:rPr>
                <w:color w:val="auto"/>
              </w:rPr>
              <w:t>格式、填写要求符合招标文件规定并加盖投标人</w:t>
            </w:r>
            <w:r>
              <w:rPr>
                <w:rFonts w:hint="eastAsia"/>
                <w:color w:val="auto"/>
                <w:lang w:eastAsia="zh-CN"/>
              </w:rPr>
              <w:t>公章</w:t>
            </w:r>
          </w:p>
        </w:tc>
        <w:tc>
          <w:tcPr>
            <w:tcW w:w="4725" w:type="dxa"/>
            <w:tcBorders>
              <w:tl2br w:val="nil"/>
              <w:tr2bl w:val="nil"/>
            </w:tcBorders>
            <w:vAlign w:val="center"/>
          </w:tcPr>
          <w:p w14:paraId="5C169F7D">
            <w:pPr>
              <w:pStyle w:val="61"/>
              <w:spacing w:before="31"/>
              <w:ind w:firstLine="400" w:firstLineChars="200"/>
              <w:textAlignment w:val="baseline"/>
              <w:rPr>
                <w:rFonts w:hint="eastAsia" w:ascii="Times New Roman" w:hAnsi="Times New Roman" w:eastAsia="微软雅黑" w:cs="Times New Roman"/>
                <w:color w:val="auto"/>
                <w:kern w:val="2"/>
                <w:sz w:val="20"/>
                <w:szCs w:val="22"/>
                <w:lang w:val="en-US" w:eastAsia="zh-CN" w:bidi="ar-SA"/>
              </w:rPr>
            </w:pPr>
            <w:r>
              <w:rPr>
                <w:color w:val="auto"/>
              </w:rPr>
              <w:t>详见第六章投标文件格式附件</w:t>
            </w:r>
            <w:r>
              <w:rPr>
                <w:rFonts w:hint="eastAsia"/>
                <w:color w:val="auto"/>
                <w:lang w:val="en-US" w:eastAsia="zh-CN"/>
              </w:rPr>
              <w:t>4</w:t>
            </w:r>
            <w:r>
              <w:rPr>
                <w:color w:val="auto"/>
              </w:rPr>
              <w:t>-</w:t>
            </w:r>
            <w:r>
              <w:rPr>
                <w:rFonts w:hint="eastAsia"/>
                <w:color w:val="auto"/>
                <w:lang w:val="en-US" w:eastAsia="zh-CN"/>
              </w:rPr>
              <w:t>4</w:t>
            </w:r>
          </w:p>
        </w:tc>
      </w:tr>
      <w:tr w14:paraId="6FC647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63CEA3B2">
            <w:pPr>
              <w:pStyle w:val="59"/>
              <w:numPr>
                <w:ilvl w:val="0"/>
                <w:numId w:val="11"/>
              </w:numPr>
              <w:textAlignment w:val="baseline"/>
              <w:rPr>
                <w:color w:val="auto"/>
              </w:rPr>
            </w:pPr>
          </w:p>
        </w:tc>
        <w:tc>
          <w:tcPr>
            <w:tcW w:w="2263" w:type="dxa"/>
            <w:tcBorders>
              <w:tl2br w:val="nil"/>
              <w:tr2bl w:val="nil"/>
            </w:tcBorders>
            <w:vAlign w:val="center"/>
          </w:tcPr>
          <w:p w14:paraId="09EF0F21">
            <w:pPr>
              <w:pStyle w:val="61"/>
              <w:spacing w:before="31"/>
              <w:ind w:firstLine="0" w:firstLineChars="0"/>
              <w:jc w:val="center"/>
              <w:textAlignment w:val="baseline"/>
              <w:rPr>
                <w:rFonts w:hint="default"/>
                <w:color w:val="auto"/>
              </w:rPr>
            </w:pPr>
            <w:r>
              <w:rPr>
                <w:color w:val="auto"/>
              </w:rPr>
              <w:t>无重大违法记录声明函、无不良信用</w:t>
            </w:r>
          </w:p>
          <w:p w14:paraId="135E6ACB">
            <w:pPr>
              <w:pStyle w:val="61"/>
              <w:spacing w:before="31"/>
              <w:ind w:firstLine="0" w:firstLineChars="0"/>
              <w:jc w:val="center"/>
              <w:textAlignment w:val="baseline"/>
              <w:rPr>
                <w:rFonts w:hint="default"/>
                <w:color w:val="auto"/>
              </w:rPr>
            </w:pPr>
            <w:r>
              <w:rPr>
                <w:color w:val="auto"/>
              </w:rPr>
              <w:t>记录声明函</w:t>
            </w:r>
          </w:p>
        </w:tc>
        <w:tc>
          <w:tcPr>
            <w:tcW w:w="2400" w:type="dxa"/>
            <w:tcBorders>
              <w:tl2br w:val="nil"/>
              <w:tr2bl w:val="nil"/>
            </w:tcBorders>
            <w:vAlign w:val="center"/>
          </w:tcPr>
          <w:p w14:paraId="2B1404F1">
            <w:pPr>
              <w:pStyle w:val="61"/>
              <w:spacing w:before="31"/>
              <w:ind w:firstLine="0" w:firstLineChars="0"/>
              <w:jc w:val="center"/>
              <w:textAlignment w:val="baseline"/>
              <w:rPr>
                <w:rFonts w:hint="default"/>
                <w:color w:val="auto"/>
              </w:rPr>
            </w:pPr>
            <w:r>
              <w:rPr>
                <w:color w:val="auto"/>
              </w:rPr>
              <w:t>格式、填写要求符合招标文件规定并加盖投标人</w:t>
            </w:r>
            <w:r>
              <w:rPr>
                <w:rFonts w:hint="eastAsia"/>
                <w:color w:val="auto"/>
                <w:lang w:eastAsia="zh-CN"/>
              </w:rPr>
              <w:t>公章</w:t>
            </w:r>
          </w:p>
        </w:tc>
        <w:tc>
          <w:tcPr>
            <w:tcW w:w="4725" w:type="dxa"/>
            <w:tcBorders>
              <w:tl2br w:val="nil"/>
              <w:tr2bl w:val="nil"/>
            </w:tcBorders>
            <w:vAlign w:val="center"/>
          </w:tcPr>
          <w:p w14:paraId="4C7CB5CC">
            <w:pPr>
              <w:pStyle w:val="61"/>
              <w:spacing w:before="31"/>
              <w:ind w:firstLine="420"/>
              <w:textAlignment w:val="baseline"/>
              <w:rPr>
                <w:rFonts w:hint="eastAsia" w:eastAsia="微软雅黑"/>
                <w:color w:val="auto"/>
                <w:lang w:val="en-US" w:eastAsia="zh-CN"/>
              </w:rPr>
            </w:pPr>
            <w:r>
              <w:rPr>
                <w:color w:val="auto"/>
              </w:rPr>
              <w:t>详见第六章投标文件格式附件</w:t>
            </w:r>
            <w:r>
              <w:rPr>
                <w:rFonts w:hint="eastAsia"/>
                <w:color w:val="auto"/>
                <w:lang w:val="en-US" w:eastAsia="zh-CN"/>
              </w:rPr>
              <w:t>4</w:t>
            </w:r>
            <w:r>
              <w:rPr>
                <w:color w:val="auto"/>
              </w:rPr>
              <w:t>-</w:t>
            </w:r>
            <w:r>
              <w:rPr>
                <w:rFonts w:hint="eastAsia"/>
                <w:color w:val="auto"/>
                <w:lang w:val="en-US" w:eastAsia="zh-CN"/>
              </w:rPr>
              <w:t>5</w:t>
            </w:r>
          </w:p>
        </w:tc>
      </w:tr>
      <w:tr w14:paraId="14C636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7D6B2BDE">
            <w:pPr>
              <w:pStyle w:val="59"/>
              <w:numPr>
                <w:ilvl w:val="0"/>
                <w:numId w:val="11"/>
              </w:numPr>
              <w:textAlignment w:val="baseline"/>
              <w:rPr>
                <w:color w:val="auto"/>
              </w:rPr>
            </w:pPr>
          </w:p>
        </w:tc>
        <w:tc>
          <w:tcPr>
            <w:tcW w:w="2263" w:type="dxa"/>
            <w:tcBorders>
              <w:tl2br w:val="nil"/>
              <w:tr2bl w:val="nil"/>
            </w:tcBorders>
            <w:vAlign w:val="center"/>
          </w:tcPr>
          <w:p w14:paraId="53D2546D">
            <w:pPr>
              <w:pStyle w:val="61"/>
              <w:spacing w:before="31"/>
              <w:ind w:firstLine="0" w:firstLineChars="0"/>
              <w:jc w:val="center"/>
              <w:textAlignment w:val="baseline"/>
              <w:rPr>
                <w:rFonts w:hint="eastAsia" w:eastAsia="微软雅黑"/>
                <w:color w:val="auto"/>
                <w:lang w:val="en-US" w:eastAsia="zh-CN"/>
              </w:rPr>
            </w:pPr>
            <w:r>
              <w:rPr>
                <w:color w:val="auto"/>
              </w:rPr>
              <w:t>特定资格条件</w:t>
            </w:r>
            <w:r>
              <w:rPr>
                <w:rFonts w:hint="eastAsia"/>
                <w:color w:val="auto"/>
                <w:lang w:eastAsia="zh-CN"/>
              </w:rPr>
              <w:t>（</w:t>
            </w:r>
            <w:r>
              <w:rPr>
                <w:rFonts w:hint="eastAsia"/>
                <w:color w:val="auto"/>
                <w:lang w:val="en-US" w:eastAsia="zh-CN"/>
              </w:rPr>
              <w:t>如有</w:t>
            </w:r>
            <w:r>
              <w:rPr>
                <w:rFonts w:hint="eastAsia"/>
                <w:color w:val="auto"/>
                <w:lang w:eastAsia="zh-CN"/>
              </w:rPr>
              <w:t>）</w:t>
            </w:r>
          </w:p>
        </w:tc>
        <w:tc>
          <w:tcPr>
            <w:tcW w:w="2400" w:type="dxa"/>
            <w:tcBorders>
              <w:tl2br w:val="nil"/>
              <w:tr2bl w:val="nil"/>
            </w:tcBorders>
            <w:vAlign w:val="center"/>
          </w:tcPr>
          <w:p w14:paraId="542AB900">
            <w:pPr>
              <w:pStyle w:val="61"/>
              <w:spacing w:before="31"/>
              <w:ind w:firstLine="0" w:firstLineChars="0"/>
              <w:jc w:val="center"/>
              <w:textAlignment w:val="baseline"/>
              <w:rPr>
                <w:rFonts w:hint="default"/>
                <w:color w:val="auto"/>
              </w:rPr>
            </w:pPr>
            <w:r>
              <w:rPr>
                <w:color w:val="auto"/>
              </w:rPr>
              <w:t>符合特定资格条件证明材料复印件或者情况说明原件</w:t>
            </w:r>
          </w:p>
        </w:tc>
        <w:tc>
          <w:tcPr>
            <w:tcW w:w="4725" w:type="dxa"/>
            <w:tcBorders>
              <w:tl2br w:val="nil"/>
              <w:tr2bl w:val="nil"/>
            </w:tcBorders>
            <w:vAlign w:val="center"/>
          </w:tcPr>
          <w:p w14:paraId="0F607949">
            <w:pPr>
              <w:pStyle w:val="61"/>
              <w:spacing w:before="31"/>
              <w:ind w:firstLine="420"/>
              <w:textAlignment w:val="baseline"/>
              <w:rPr>
                <w:rFonts w:hint="eastAsia" w:eastAsia="微软雅黑"/>
                <w:color w:val="auto"/>
                <w:lang w:val="en-US" w:eastAsia="zh-CN"/>
              </w:rPr>
            </w:pPr>
            <w:r>
              <w:rPr>
                <w:color w:val="auto"/>
              </w:rPr>
              <w:t>详见第六章投标文件格式附件</w:t>
            </w:r>
            <w:r>
              <w:rPr>
                <w:rFonts w:hint="eastAsia"/>
                <w:color w:val="auto"/>
                <w:lang w:val="en-US" w:eastAsia="zh-CN"/>
              </w:rPr>
              <w:t>4</w:t>
            </w:r>
            <w:r>
              <w:rPr>
                <w:color w:val="auto"/>
              </w:rPr>
              <w:t>-</w:t>
            </w:r>
            <w:r>
              <w:rPr>
                <w:rFonts w:hint="eastAsia"/>
                <w:color w:val="auto"/>
                <w:lang w:val="en-US" w:eastAsia="zh-CN"/>
              </w:rPr>
              <w:t>6</w:t>
            </w:r>
          </w:p>
        </w:tc>
      </w:tr>
      <w:tr w14:paraId="45D393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2A677A75">
            <w:pPr>
              <w:pStyle w:val="59"/>
              <w:numPr>
                <w:ilvl w:val="0"/>
                <w:numId w:val="11"/>
              </w:numPr>
              <w:textAlignment w:val="baseline"/>
              <w:rPr>
                <w:color w:val="auto"/>
              </w:rPr>
            </w:pPr>
          </w:p>
        </w:tc>
        <w:tc>
          <w:tcPr>
            <w:tcW w:w="2263" w:type="dxa"/>
            <w:tcBorders>
              <w:tl2br w:val="nil"/>
              <w:tr2bl w:val="nil"/>
            </w:tcBorders>
            <w:vAlign w:val="center"/>
          </w:tcPr>
          <w:p w14:paraId="14C03F6C">
            <w:pPr>
              <w:pStyle w:val="61"/>
              <w:spacing w:before="31"/>
              <w:ind w:firstLine="0" w:firstLineChars="0"/>
              <w:jc w:val="center"/>
              <w:textAlignment w:val="baseline"/>
              <w:rPr>
                <w:rFonts w:hint="eastAsia" w:eastAsia="微软雅黑"/>
                <w:color w:val="auto"/>
                <w:lang w:eastAsia="zh-CN"/>
              </w:rPr>
            </w:pPr>
            <w:r>
              <w:rPr>
                <w:rFonts w:hint="eastAsia"/>
                <w:color w:val="auto"/>
                <w:lang w:eastAsia="zh-CN"/>
              </w:rPr>
              <w:t>投标承诺函</w:t>
            </w:r>
          </w:p>
        </w:tc>
        <w:tc>
          <w:tcPr>
            <w:tcW w:w="2400" w:type="dxa"/>
            <w:tcBorders>
              <w:tl2br w:val="nil"/>
              <w:tr2bl w:val="nil"/>
            </w:tcBorders>
            <w:vAlign w:val="center"/>
          </w:tcPr>
          <w:p w14:paraId="36D1BC8C">
            <w:pPr>
              <w:pStyle w:val="61"/>
              <w:spacing w:before="31"/>
              <w:ind w:firstLine="0" w:firstLineChars="0"/>
              <w:jc w:val="center"/>
              <w:textAlignment w:val="baseline"/>
              <w:rPr>
                <w:color w:val="auto"/>
              </w:rPr>
            </w:pPr>
            <w:r>
              <w:rPr>
                <w:color w:val="auto"/>
              </w:rPr>
              <w:t>格式、填写要求符合招标文件规定并加盖投标人</w:t>
            </w:r>
            <w:r>
              <w:rPr>
                <w:rFonts w:hint="eastAsia"/>
                <w:color w:val="auto"/>
                <w:lang w:eastAsia="zh-CN"/>
              </w:rPr>
              <w:t>公章</w:t>
            </w:r>
          </w:p>
        </w:tc>
        <w:tc>
          <w:tcPr>
            <w:tcW w:w="4725" w:type="dxa"/>
            <w:tcBorders>
              <w:tl2br w:val="nil"/>
              <w:tr2bl w:val="nil"/>
            </w:tcBorders>
            <w:vAlign w:val="center"/>
          </w:tcPr>
          <w:p w14:paraId="530C618C">
            <w:pPr>
              <w:pStyle w:val="61"/>
              <w:spacing w:before="31"/>
              <w:ind w:firstLine="420"/>
              <w:textAlignment w:val="baseline"/>
              <w:rPr>
                <w:rFonts w:hint="eastAsia" w:eastAsia="微软雅黑"/>
                <w:b/>
                <w:bCs/>
                <w:color w:val="auto"/>
                <w:lang w:val="en-US" w:eastAsia="zh-CN"/>
              </w:rPr>
            </w:pPr>
            <w:r>
              <w:rPr>
                <w:color w:val="auto"/>
              </w:rPr>
              <w:t>详见第六章投标文件格式附件</w:t>
            </w:r>
            <w:r>
              <w:rPr>
                <w:rFonts w:hint="eastAsia"/>
                <w:color w:val="auto"/>
                <w:lang w:val="en-US" w:eastAsia="zh-CN"/>
              </w:rPr>
              <w:t>4</w:t>
            </w:r>
            <w:r>
              <w:rPr>
                <w:color w:val="auto"/>
              </w:rPr>
              <w:t>-</w:t>
            </w:r>
            <w:r>
              <w:rPr>
                <w:rFonts w:hint="eastAsia"/>
                <w:color w:val="auto"/>
                <w:lang w:val="en-US" w:eastAsia="zh-CN"/>
              </w:rPr>
              <w:t>7</w:t>
            </w:r>
          </w:p>
        </w:tc>
      </w:tr>
      <w:tr w14:paraId="577464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15D52483">
            <w:pPr>
              <w:pStyle w:val="59"/>
              <w:numPr>
                <w:ilvl w:val="0"/>
                <w:numId w:val="11"/>
              </w:numPr>
              <w:textAlignment w:val="baseline"/>
              <w:rPr>
                <w:color w:val="auto"/>
              </w:rPr>
            </w:pPr>
          </w:p>
        </w:tc>
        <w:tc>
          <w:tcPr>
            <w:tcW w:w="2263" w:type="dxa"/>
            <w:tcBorders>
              <w:tl2br w:val="nil"/>
              <w:tr2bl w:val="nil"/>
            </w:tcBorders>
            <w:vAlign w:val="center"/>
          </w:tcPr>
          <w:p w14:paraId="53779EAB">
            <w:pPr>
              <w:pStyle w:val="61"/>
              <w:spacing w:before="31"/>
              <w:ind w:firstLine="0" w:firstLineChars="0"/>
              <w:jc w:val="center"/>
              <w:textAlignment w:val="baseline"/>
              <w:rPr>
                <w:rFonts w:hint="default"/>
                <w:color w:val="auto"/>
              </w:rPr>
            </w:pPr>
            <w:r>
              <w:rPr>
                <w:color w:val="auto"/>
              </w:rPr>
              <w:t>投标保证金</w:t>
            </w:r>
          </w:p>
        </w:tc>
        <w:tc>
          <w:tcPr>
            <w:tcW w:w="2400" w:type="dxa"/>
            <w:tcBorders>
              <w:tl2br w:val="nil"/>
              <w:tr2bl w:val="nil"/>
            </w:tcBorders>
            <w:vAlign w:val="center"/>
          </w:tcPr>
          <w:p w14:paraId="7610FF34">
            <w:pPr>
              <w:pStyle w:val="44"/>
              <w:textAlignment w:val="baseline"/>
              <w:rPr>
                <w:color w:val="auto"/>
              </w:rPr>
            </w:pPr>
            <w:r>
              <w:rPr>
                <w:color w:val="auto"/>
              </w:rPr>
              <w:t>符合招标文件投标人须知正文第1</w:t>
            </w:r>
            <w:r>
              <w:rPr>
                <w:rFonts w:hint="eastAsia"/>
                <w:color w:val="auto"/>
              </w:rPr>
              <w:t>5</w:t>
            </w:r>
            <w:r>
              <w:rPr>
                <w:color w:val="auto"/>
              </w:rPr>
              <w:t>条要求</w:t>
            </w:r>
          </w:p>
        </w:tc>
        <w:tc>
          <w:tcPr>
            <w:tcW w:w="4725" w:type="dxa"/>
            <w:tcBorders>
              <w:tl2br w:val="nil"/>
              <w:tr2bl w:val="nil"/>
            </w:tcBorders>
            <w:vAlign w:val="center"/>
          </w:tcPr>
          <w:p w14:paraId="4A2C4ED2">
            <w:pPr>
              <w:pStyle w:val="44"/>
              <w:ind w:firstLine="420" w:firstLineChars="200"/>
              <w:jc w:val="left"/>
              <w:textAlignment w:val="baseline"/>
              <w:rPr>
                <w:color w:val="auto"/>
              </w:rPr>
            </w:pPr>
            <w:r>
              <w:rPr>
                <w:color w:val="auto"/>
              </w:rPr>
              <w:t>查询投标保证金缴纳情况</w:t>
            </w:r>
          </w:p>
        </w:tc>
      </w:tr>
      <w:tr w14:paraId="6A5642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830" w:type="dxa"/>
            <w:tcBorders>
              <w:tl2br w:val="nil"/>
              <w:tr2bl w:val="nil"/>
            </w:tcBorders>
            <w:vAlign w:val="center"/>
          </w:tcPr>
          <w:p w14:paraId="215375FD">
            <w:pPr>
              <w:pStyle w:val="59"/>
              <w:numPr>
                <w:ilvl w:val="0"/>
                <w:numId w:val="11"/>
              </w:numPr>
              <w:textAlignment w:val="baseline"/>
              <w:rPr>
                <w:color w:val="auto"/>
              </w:rPr>
            </w:pPr>
          </w:p>
        </w:tc>
        <w:tc>
          <w:tcPr>
            <w:tcW w:w="2263" w:type="dxa"/>
            <w:tcBorders>
              <w:tl2br w:val="nil"/>
              <w:tr2bl w:val="nil"/>
            </w:tcBorders>
          </w:tcPr>
          <w:p w14:paraId="455D1F59">
            <w:pPr>
              <w:pStyle w:val="61"/>
              <w:spacing w:before="31"/>
              <w:ind w:firstLine="0" w:firstLineChars="0"/>
              <w:jc w:val="center"/>
              <w:textAlignment w:val="baseline"/>
              <w:rPr>
                <w:rFonts w:hint="default"/>
                <w:color w:val="auto"/>
              </w:rPr>
            </w:pPr>
            <w:r>
              <w:rPr>
                <w:color w:val="auto"/>
              </w:rPr>
              <w:t>投标文件的资格证明文件按照招标文件要求签署、盖章</w:t>
            </w:r>
          </w:p>
        </w:tc>
        <w:tc>
          <w:tcPr>
            <w:tcW w:w="2400" w:type="dxa"/>
            <w:tcBorders>
              <w:tl2br w:val="nil"/>
              <w:tr2bl w:val="nil"/>
            </w:tcBorders>
            <w:vAlign w:val="center"/>
          </w:tcPr>
          <w:p w14:paraId="55D6D9F1">
            <w:pPr>
              <w:pStyle w:val="61"/>
              <w:spacing w:before="31"/>
              <w:ind w:firstLine="0" w:firstLineChars="0"/>
              <w:jc w:val="center"/>
              <w:textAlignment w:val="baseline"/>
              <w:rPr>
                <w:rFonts w:hint="default"/>
                <w:color w:val="auto"/>
              </w:rPr>
            </w:pPr>
            <w:r>
              <w:rPr>
                <w:color w:val="auto"/>
              </w:rPr>
              <w:t>符合招标文件的要求</w:t>
            </w:r>
          </w:p>
        </w:tc>
        <w:tc>
          <w:tcPr>
            <w:tcW w:w="4725" w:type="dxa"/>
            <w:tcBorders>
              <w:tl2br w:val="nil"/>
              <w:tr2bl w:val="nil"/>
            </w:tcBorders>
            <w:vAlign w:val="center"/>
          </w:tcPr>
          <w:p w14:paraId="44AA03F1">
            <w:pPr>
              <w:pStyle w:val="61"/>
              <w:spacing w:before="31"/>
              <w:ind w:firstLine="420"/>
              <w:textAlignment w:val="baseline"/>
              <w:rPr>
                <w:rFonts w:hint="default"/>
                <w:color w:val="auto"/>
              </w:rPr>
            </w:pPr>
            <w:r>
              <w:rPr>
                <w:color w:val="auto"/>
              </w:rPr>
              <w:t>详见投标人须知第17条要求</w:t>
            </w:r>
          </w:p>
        </w:tc>
      </w:tr>
    </w:tbl>
    <w:p w14:paraId="1003344B">
      <w:pPr>
        <w:pStyle w:val="42"/>
        <w:spacing w:before="156"/>
        <w:ind w:left="0" w:leftChars="0" w:firstLine="0" w:firstLineChars="0"/>
        <w:textAlignment w:val="baseline"/>
        <w:rPr>
          <w:rFonts w:ascii="等线" w:hAnsi="等线" w:eastAsia="等线" w:cs="宋体"/>
          <w:color w:val="auto"/>
        </w:rPr>
      </w:pPr>
      <w:r>
        <w:rPr>
          <w:rFonts w:hint="eastAsia"/>
          <w:b/>
          <w:bCs/>
          <w:color w:val="auto"/>
        </w:rPr>
        <w:t>资格审查指标通过标准：</w:t>
      </w:r>
      <w:r>
        <w:rPr>
          <w:rFonts w:hint="eastAsia"/>
          <w:color w:val="auto"/>
        </w:rPr>
        <w:t>投标人必须通过资格审查表中的全部评审指标。</w:t>
      </w:r>
    </w:p>
    <w:p w14:paraId="42E44D23">
      <w:pPr>
        <w:textAlignment w:val="baseline"/>
        <w:rPr>
          <w:color w:val="auto"/>
          <w:sz w:val="20"/>
        </w:rPr>
      </w:pPr>
      <w:r>
        <w:rPr>
          <w:rFonts w:hint="eastAsia"/>
          <w:color w:val="auto"/>
        </w:rPr>
        <w:br w:type="page"/>
      </w:r>
    </w:p>
    <w:p w14:paraId="58579B1C">
      <w:pPr>
        <w:pStyle w:val="3"/>
        <w:textAlignment w:val="baseline"/>
        <w:rPr>
          <w:color w:val="auto"/>
        </w:rPr>
      </w:pPr>
      <w:bookmarkStart w:id="65" w:name="_Toc26217"/>
      <w:bookmarkStart w:id="66" w:name="_Toc7790"/>
      <w:r>
        <w:rPr>
          <w:rFonts w:hint="eastAsia"/>
          <w:color w:val="auto"/>
        </w:rPr>
        <w:t>第二节 符合性审查</w:t>
      </w:r>
      <w:bookmarkEnd w:id="65"/>
      <w:bookmarkEnd w:id="66"/>
    </w:p>
    <w:p w14:paraId="494C633D">
      <w:pPr>
        <w:pStyle w:val="16"/>
        <w:pageBreakBefore w:val="0"/>
        <w:widowControl w:val="0"/>
        <w:kinsoku/>
        <w:wordWrap/>
        <w:overflowPunct/>
        <w:topLinePunct w:val="0"/>
        <w:autoSpaceDE/>
        <w:autoSpaceDN/>
        <w:bidi w:val="0"/>
        <w:spacing w:after="0"/>
        <w:ind w:leftChars="0" w:firstLine="420"/>
        <w:textAlignment w:val="baseline"/>
        <w:rPr>
          <w:color w:val="auto"/>
        </w:rPr>
      </w:pPr>
      <w:r>
        <w:rPr>
          <w:rFonts w:hint="eastAsia"/>
          <w:color w:val="auto"/>
        </w:rPr>
        <w:t>2.1评标委员会对通过资格审查的投标人的投标文件进行符合性审查，以确定其是否满足招标文件的实质性要求。符合性审查表如下：</w:t>
      </w:r>
    </w:p>
    <w:p w14:paraId="73F9EBD0">
      <w:pPr>
        <w:pStyle w:val="42"/>
        <w:pageBreakBefore w:val="0"/>
        <w:widowControl w:val="0"/>
        <w:kinsoku/>
        <w:wordWrap/>
        <w:overflowPunct/>
        <w:topLinePunct w:val="0"/>
        <w:autoSpaceDE/>
        <w:autoSpaceDN/>
        <w:bidi w:val="0"/>
        <w:spacing w:before="0" w:beforeLines="0"/>
        <w:ind w:leftChars="0" w:firstLine="0" w:firstLineChars="0"/>
        <w:jc w:val="center"/>
        <w:textAlignment w:val="baseline"/>
        <w:rPr>
          <w:rFonts w:ascii="方正小标宋_GBK" w:hAnsi="方正小标宋_GBK" w:eastAsia="方正小标宋_GBK" w:cs="方正小标宋_GBK"/>
          <w:color w:val="auto"/>
          <w:sz w:val="30"/>
          <w:szCs w:val="30"/>
        </w:rPr>
      </w:pPr>
      <w:r>
        <w:rPr>
          <w:rFonts w:hint="eastAsia" w:ascii="方正小标宋_GBK" w:hAnsi="方正小标宋_GBK" w:eastAsia="方正小标宋_GBK" w:cs="方正小标宋_GBK"/>
          <w:color w:val="auto"/>
          <w:sz w:val="30"/>
          <w:szCs w:val="30"/>
        </w:rPr>
        <w:t>符合性审查表</w:t>
      </w:r>
    </w:p>
    <w:p w14:paraId="3CFCAA28">
      <w:pPr>
        <w:pStyle w:val="42"/>
        <w:pageBreakBefore w:val="0"/>
        <w:widowControl w:val="0"/>
        <w:kinsoku/>
        <w:wordWrap/>
        <w:overflowPunct/>
        <w:topLinePunct w:val="0"/>
        <w:autoSpaceDE/>
        <w:autoSpaceDN/>
        <w:bidi w:val="0"/>
        <w:spacing w:before="0" w:beforeLines="0"/>
        <w:ind w:leftChars="0" w:firstLine="0" w:firstLineChars="0"/>
        <w:jc w:val="center"/>
        <w:textAlignment w:val="baseline"/>
        <w:rPr>
          <w:rFonts w:ascii="方正小标宋_GBK" w:hAnsi="方正小标宋_GBK" w:eastAsia="方正小标宋_GBK" w:cs="方正小标宋_GBK"/>
          <w:color w:val="auto"/>
          <w:sz w:val="30"/>
          <w:szCs w:val="30"/>
        </w:rPr>
      </w:pPr>
    </w:p>
    <w:tbl>
      <w:tblPr>
        <w:tblStyle w:val="33"/>
        <w:tblW w:w="1026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2259"/>
        <w:gridCol w:w="3480"/>
        <w:gridCol w:w="3772"/>
      </w:tblGrid>
      <w:tr w14:paraId="7F818D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52" w:type="dxa"/>
            <w:tcBorders>
              <w:tl2br w:val="nil"/>
              <w:tr2bl w:val="nil"/>
            </w:tcBorders>
            <w:shd w:val="pct10" w:color="ADB9CA" w:themeColor="text2" w:themeTint="66" w:fill="D6DCE5" w:themeFill="text2" w:themeFillTint="32"/>
            <w:vAlign w:val="center"/>
          </w:tcPr>
          <w:p w14:paraId="5AB1C542">
            <w:pPr>
              <w:pStyle w:val="41"/>
              <w:pageBreakBefore w:val="0"/>
              <w:widowControl w:val="0"/>
              <w:kinsoku/>
              <w:wordWrap/>
              <w:overflowPunct/>
              <w:topLinePunct w:val="0"/>
              <w:autoSpaceDE/>
              <w:autoSpaceDN/>
              <w:bidi w:val="0"/>
              <w:ind w:leftChars="0"/>
              <w:textAlignment w:val="baseline"/>
              <w:rPr>
                <w:color w:val="auto"/>
              </w:rPr>
            </w:pPr>
            <w:r>
              <w:rPr>
                <w:color w:val="auto"/>
              </w:rPr>
              <w:t>序号</w:t>
            </w:r>
          </w:p>
        </w:tc>
        <w:tc>
          <w:tcPr>
            <w:tcW w:w="2259" w:type="dxa"/>
            <w:tcBorders>
              <w:tl2br w:val="nil"/>
              <w:tr2bl w:val="nil"/>
            </w:tcBorders>
            <w:shd w:val="pct10" w:color="ADB9CA" w:themeColor="text2" w:themeTint="66" w:fill="D6DCE5" w:themeFill="text2" w:themeFillTint="32"/>
            <w:vAlign w:val="center"/>
          </w:tcPr>
          <w:p w14:paraId="2EA1C394">
            <w:pPr>
              <w:pStyle w:val="41"/>
              <w:pageBreakBefore w:val="0"/>
              <w:widowControl w:val="0"/>
              <w:kinsoku/>
              <w:wordWrap/>
              <w:overflowPunct/>
              <w:topLinePunct w:val="0"/>
              <w:autoSpaceDE/>
              <w:autoSpaceDN/>
              <w:bidi w:val="0"/>
              <w:ind w:leftChars="0"/>
              <w:textAlignment w:val="baseline"/>
              <w:rPr>
                <w:color w:val="auto"/>
              </w:rPr>
            </w:pPr>
            <w:r>
              <w:rPr>
                <w:color w:val="auto"/>
              </w:rPr>
              <w:t>评审指标</w:t>
            </w:r>
          </w:p>
        </w:tc>
        <w:tc>
          <w:tcPr>
            <w:tcW w:w="3480" w:type="dxa"/>
            <w:tcBorders>
              <w:tl2br w:val="nil"/>
              <w:tr2bl w:val="nil"/>
            </w:tcBorders>
            <w:shd w:val="pct10" w:color="ADB9CA" w:themeColor="text2" w:themeTint="66" w:fill="D6DCE5" w:themeFill="text2" w:themeFillTint="32"/>
            <w:vAlign w:val="center"/>
          </w:tcPr>
          <w:p w14:paraId="42DFF423">
            <w:pPr>
              <w:pStyle w:val="41"/>
              <w:pageBreakBefore w:val="0"/>
              <w:widowControl w:val="0"/>
              <w:kinsoku/>
              <w:wordWrap/>
              <w:overflowPunct/>
              <w:topLinePunct w:val="0"/>
              <w:autoSpaceDE/>
              <w:autoSpaceDN/>
              <w:bidi w:val="0"/>
              <w:ind w:leftChars="0"/>
              <w:textAlignment w:val="baseline"/>
              <w:rPr>
                <w:color w:val="auto"/>
              </w:rPr>
            </w:pPr>
            <w:r>
              <w:rPr>
                <w:color w:val="auto"/>
              </w:rPr>
              <w:t>评审标准</w:t>
            </w:r>
          </w:p>
        </w:tc>
        <w:tc>
          <w:tcPr>
            <w:tcW w:w="3772" w:type="dxa"/>
            <w:tcBorders>
              <w:tl2br w:val="nil"/>
              <w:tr2bl w:val="nil"/>
            </w:tcBorders>
            <w:shd w:val="pct10" w:color="ADB9CA" w:themeColor="text2" w:themeTint="66" w:fill="D6DCE5" w:themeFill="text2" w:themeFillTint="32"/>
            <w:vAlign w:val="center"/>
          </w:tcPr>
          <w:p w14:paraId="25445C85">
            <w:pPr>
              <w:pStyle w:val="41"/>
              <w:pageBreakBefore w:val="0"/>
              <w:widowControl w:val="0"/>
              <w:kinsoku/>
              <w:wordWrap/>
              <w:overflowPunct/>
              <w:topLinePunct w:val="0"/>
              <w:autoSpaceDE/>
              <w:autoSpaceDN/>
              <w:bidi w:val="0"/>
              <w:ind w:leftChars="0"/>
              <w:textAlignment w:val="baseline"/>
              <w:rPr>
                <w:color w:val="auto"/>
              </w:rPr>
            </w:pPr>
            <w:r>
              <w:rPr>
                <w:color w:val="auto"/>
              </w:rPr>
              <w:t>格式及材料要求</w:t>
            </w:r>
          </w:p>
        </w:tc>
      </w:tr>
      <w:tr w14:paraId="7A9E77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52" w:type="dxa"/>
            <w:tcBorders>
              <w:tl2br w:val="nil"/>
              <w:tr2bl w:val="nil"/>
            </w:tcBorders>
            <w:vAlign w:val="center"/>
          </w:tcPr>
          <w:p w14:paraId="47D0F89D">
            <w:pPr>
              <w:pStyle w:val="59"/>
              <w:pageBreakBefore w:val="0"/>
              <w:widowControl w:val="0"/>
              <w:numPr>
                <w:ilvl w:val="0"/>
                <w:numId w:val="12"/>
              </w:numPr>
              <w:kinsoku/>
              <w:wordWrap/>
              <w:overflowPunct/>
              <w:topLinePunct w:val="0"/>
              <w:autoSpaceDE/>
              <w:autoSpaceDN/>
              <w:bidi w:val="0"/>
              <w:ind w:leftChars="0"/>
              <w:textAlignment w:val="baseline"/>
              <w:rPr>
                <w:color w:val="auto"/>
              </w:rPr>
            </w:pPr>
          </w:p>
        </w:tc>
        <w:tc>
          <w:tcPr>
            <w:tcW w:w="2259" w:type="dxa"/>
            <w:tcBorders>
              <w:tl2br w:val="nil"/>
              <w:tr2bl w:val="nil"/>
            </w:tcBorders>
            <w:vAlign w:val="center"/>
          </w:tcPr>
          <w:p w14:paraId="1F33AF9E">
            <w:pPr>
              <w:pStyle w:val="44"/>
              <w:pageBreakBefore w:val="0"/>
              <w:widowControl w:val="0"/>
              <w:kinsoku/>
              <w:wordWrap/>
              <w:overflowPunct/>
              <w:topLinePunct w:val="0"/>
              <w:autoSpaceDE/>
              <w:autoSpaceDN/>
              <w:bidi w:val="0"/>
              <w:ind w:leftChars="0"/>
              <w:textAlignment w:val="baseline"/>
              <w:rPr>
                <w:rFonts w:ascii="Times New Roman" w:hAnsi="Times New Roman" w:eastAsia="微软雅黑" w:cs="Times New Roman"/>
                <w:color w:val="auto"/>
                <w:kern w:val="2"/>
                <w:sz w:val="21"/>
                <w:szCs w:val="24"/>
                <w:lang w:val="en-US" w:eastAsia="zh-CN" w:bidi="ar-SA"/>
              </w:rPr>
            </w:pPr>
            <w:r>
              <w:rPr>
                <w:color w:val="auto"/>
              </w:rPr>
              <w:t>投标函</w:t>
            </w:r>
          </w:p>
        </w:tc>
        <w:tc>
          <w:tcPr>
            <w:tcW w:w="3480" w:type="dxa"/>
            <w:tcBorders>
              <w:tl2br w:val="nil"/>
              <w:tr2bl w:val="nil"/>
            </w:tcBorders>
            <w:vAlign w:val="center"/>
          </w:tcPr>
          <w:p w14:paraId="2170D415">
            <w:pPr>
              <w:pStyle w:val="44"/>
              <w:pageBreakBefore w:val="0"/>
              <w:widowControl w:val="0"/>
              <w:kinsoku/>
              <w:wordWrap/>
              <w:overflowPunct/>
              <w:topLinePunct w:val="0"/>
              <w:autoSpaceDE/>
              <w:autoSpaceDN/>
              <w:bidi w:val="0"/>
              <w:ind w:leftChars="0"/>
              <w:jc w:val="left"/>
              <w:textAlignment w:val="baseline"/>
              <w:rPr>
                <w:rFonts w:ascii="Times New Roman" w:hAnsi="Times New Roman" w:eastAsia="微软雅黑" w:cs="Times New Roman"/>
                <w:color w:val="auto"/>
                <w:kern w:val="2"/>
                <w:sz w:val="21"/>
                <w:szCs w:val="24"/>
                <w:lang w:val="en-US" w:eastAsia="zh-CN" w:bidi="ar-SA"/>
              </w:rPr>
            </w:pPr>
            <w:r>
              <w:rPr>
                <w:color w:val="auto"/>
              </w:rPr>
              <w:t>格式、填写要求符合招标文件规定并加盖投标人</w:t>
            </w:r>
            <w:r>
              <w:rPr>
                <w:rFonts w:hint="eastAsia"/>
                <w:color w:val="auto"/>
                <w:lang w:eastAsia="zh-CN"/>
              </w:rPr>
              <w:t>公章</w:t>
            </w:r>
          </w:p>
        </w:tc>
        <w:tc>
          <w:tcPr>
            <w:tcW w:w="3772" w:type="dxa"/>
            <w:tcBorders>
              <w:tl2br w:val="nil"/>
              <w:tr2bl w:val="nil"/>
            </w:tcBorders>
            <w:vAlign w:val="center"/>
          </w:tcPr>
          <w:p w14:paraId="3AED8784">
            <w:pPr>
              <w:pStyle w:val="44"/>
              <w:pageBreakBefore w:val="0"/>
              <w:widowControl w:val="0"/>
              <w:kinsoku/>
              <w:wordWrap/>
              <w:overflowPunct/>
              <w:topLinePunct w:val="0"/>
              <w:autoSpaceDE/>
              <w:autoSpaceDN/>
              <w:bidi w:val="0"/>
              <w:ind w:leftChars="0"/>
              <w:jc w:val="left"/>
              <w:textAlignment w:val="baseline"/>
              <w:rPr>
                <w:rFonts w:ascii="Times New Roman" w:hAnsi="Times New Roman" w:eastAsia="微软雅黑" w:cs="Times New Roman"/>
                <w:color w:val="auto"/>
                <w:kern w:val="2"/>
                <w:sz w:val="21"/>
                <w:szCs w:val="24"/>
                <w:lang w:val="en-US" w:eastAsia="zh-CN" w:bidi="ar-SA"/>
              </w:rPr>
            </w:pPr>
            <w:r>
              <w:rPr>
                <w:color w:val="auto"/>
              </w:rPr>
              <w:t>详见第六章投标文件</w:t>
            </w:r>
            <w:r>
              <w:rPr>
                <w:rFonts w:hint="eastAsia"/>
                <w:color w:val="auto"/>
              </w:rPr>
              <w:t>的组成</w:t>
            </w:r>
            <w:r>
              <w:rPr>
                <w:color w:val="auto"/>
              </w:rPr>
              <w:t>格式</w:t>
            </w:r>
            <w:r>
              <w:rPr>
                <w:rFonts w:hint="eastAsia"/>
                <w:color w:val="auto"/>
              </w:rPr>
              <w:t>一</w:t>
            </w:r>
          </w:p>
        </w:tc>
      </w:tr>
      <w:tr w14:paraId="0ECAD6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52" w:type="dxa"/>
            <w:tcBorders>
              <w:tl2br w:val="nil"/>
              <w:tr2bl w:val="nil"/>
            </w:tcBorders>
            <w:vAlign w:val="center"/>
          </w:tcPr>
          <w:p w14:paraId="1ED56AD5">
            <w:pPr>
              <w:pStyle w:val="59"/>
              <w:pageBreakBefore w:val="0"/>
              <w:widowControl w:val="0"/>
              <w:numPr>
                <w:ilvl w:val="0"/>
                <w:numId w:val="12"/>
              </w:numPr>
              <w:kinsoku/>
              <w:wordWrap/>
              <w:overflowPunct/>
              <w:topLinePunct w:val="0"/>
              <w:autoSpaceDE/>
              <w:autoSpaceDN/>
              <w:bidi w:val="0"/>
              <w:ind w:leftChars="0"/>
              <w:textAlignment w:val="baseline"/>
              <w:rPr>
                <w:color w:val="auto"/>
              </w:rPr>
            </w:pPr>
          </w:p>
        </w:tc>
        <w:tc>
          <w:tcPr>
            <w:tcW w:w="2259" w:type="dxa"/>
            <w:tcBorders>
              <w:tl2br w:val="nil"/>
              <w:tr2bl w:val="nil"/>
            </w:tcBorders>
            <w:shd w:val="clear" w:color="auto" w:fill="auto"/>
            <w:vAlign w:val="center"/>
          </w:tcPr>
          <w:p w14:paraId="6FD9006F">
            <w:pPr>
              <w:widowControl w:val="0"/>
              <w:spacing w:line="300" w:lineRule="exact"/>
              <w:jc w:val="center"/>
              <w:textAlignment w:val="baseline"/>
              <w:rPr>
                <w:rFonts w:hint="eastAsia"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投标人提供的资格证明文件</w:t>
            </w:r>
          </w:p>
        </w:tc>
        <w:tc>
          <w:tcPr>
            <w:tcW w:w="3480" w:type="dxa"/>
            <w:tcBorders>
              <w:tl2br w:val="nil"/>
              <w:tr2bl w:val="nil"/>
            </w:tcBorders>
            <w:shd w:val="clear" w:color="auto" w:fill="auto"/>
            <w:vAlign w:val="center"/>
          </w:tcPr>
          <w:p w14:paraId="3A815CCE">
            <w:pPr>
              <w:widowControl w:val="0"/>
              <w:spacing w:line="300" w:lineRule="exact"/>
              <w:jc w:val="left"/>
              <w:textAlignment w:val="baseline"/>
              <w:rPr>
                <w:rFonts w:hint="eastAsia"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符合招标文件采购需求中的要求</w:t>
            </w:r>
          </w:p>
        </w:tc>
        <w:tc>
          <w:tcPr>
            <w:tcW w:w="3772" w:type="dxa"/>
            <w:tcBorders>
              <w:tl2br w:val="nil"/>
              <w:tr2bl w:val="nil"/>
            </w:tcBorders>
            <w:shd w:val="clear" w:color="auto" w:fill="auto"/>
            <w:vAlign w:val="center"/>
          </w:tcPr>
          <w:p w14:paraId="49717AD5">
            <w:pPr>
              <w:widowControl w:val="0"/>
              <w:spacing w:line="300" w:lineRule="exact"/>
              <w:jc w:val="left"/>
              <w:textAlignment w:val="baseline"/>
              <w:rPr>
                <w:rFonts w:hint="eastAsia"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详见第六章投标文件的组成格式四</w:t>
            </w:r>
          </w:p>
        </w:tc>
      </w:tr>
      <w:tr w14:paraId="396E67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2" w:type="dxa"/>
            <w:tcBorders>
              <w:tl2br w:val="nil"/>
              <w:tr2bl w:val="nil"/>
            </w:tcBorders>
            <w:vAlign w:val="center"/>
          </w:tcPr>
          <w:p w14:paraId="1EE20B99">
            <w:pPr>
              <w:pStyle w:val="59"/>
              <w:pageBreakBefore w:val="0"/>
              <w:widowControl w:val="0"/>
              <w:numPr>
                <w:ilvl w:val="0"/>
                <w:numId w:val="12"/>
              </w:numPr>
              <w:kinsoku/>
              <w:wordWrap/>
              <w:overflowPunct/>
              <w:topLinePunct w:val="0"/>
              <w:autoSpaceDE/>
              <w:autoSpaceDN/>
              <w:bidi w:val="0"/>
              <w:ind w:leftChars="0"/>
              <w:textAlignment w:val="baseline"/>
              <w:rPr>
                <w:color w:val="auto"/>
              </w:rPr>
            </w:pPr>
          </w:p>
        </w:tc>
        <w:tc>
          <w:tcPr>
            <w:tcW w:w="2259" w:type="dxa"/>
            <w:tcBorders>
              <w:tl2br w:val="nil"/>
              <w:tr2bl w:val="nil"/>
            </w:tcBorders>
            <w:vAlign w:val="center"/>
          </w:tcPr>
          <w:p w14:paraId="0FB2BC0C">
            <w:pPr>
              <w:pStyle w:val="44"/>
              <w:pageBreakBefore w:val="0"/>
              <w:widowControl w:val="0"/>
              <w:kinsoku/>
              <w:wordWrap/>
              <w:overflowPunct/>
              <w:topLinePunct w:val="0"/>
              <w:autoSpaceDE/>
              <w:autoSpaceDN/>
              <w:bidi w:val="0"/>
              <w:ind w:leftChars="0"/>
              <w:textAlignment w:val="baseline"/>
              <w:rPr>
                <w:rFonts w:hint="eastAsia" w:eastAsia="微软雅黑"/>
                <w:color w:val="auto"/>
                <w:lang w:eastAsia="zh-CN"/>
              </w:rPr>
            </w:pPr>
            <w:r>
              <w:rPr>
                <w:rFonts w:hint="eastAsia"/>
                <w:color w:val="auto"/>
                <w:lang w:eastAsia="zh-CN"/>
              </w:rPr>
              <w:t>投标（</w:t>
            </w:r>
            <w:r>
              <w:rPr>
                <w:rFonts w:hint="eastAsia"/>
                <w:color w:val="auto"/>
                <w:lang w:val="en-US" w:eastAsia="zh-CN"/>
              </w:rPr>
              <w:t>竞价）</w:t>
            </w:r>
            <w:r>
              <w:rPr>
                <w:rFonts w:hint="eastAsia"/>
                <w:color w:val="auto"/>
                <w:lang w:eastAsia="zh-CN"/>
              </w:rPr>
              <w:t>响应情况</w:t>
            </w:r>
          </w:p>
        </w:tc>
        <w:tc>
          <w:tcPr>
            <w:tcW w:w="3480" w:type="dxa"/>
            <w:tcBorders>
              <w:tl2br w:val="nil"/>
              <w:tr2bl w:val="nil"/>
            </w:tcBorders>
            <w:vAlign w:val="center"/>
          </w:tcPr>
          <w:p w14:paraId="6D247287">
            <w:pPr>
              <w:pStyle w:val="44"/>
              <w:pageBreakBefore w:val="0"/>
              <w:widowControl w:val="0"/>
              <w:kinsoku/>
              <w:wordWrap/>
              <w:overflowPunct/>
              <w:topLinePunct w:val="0"/>
              <w:autoSpaceDE/>
              <w:autoSpaceDN/>
              <w:bidi w:val="0"/>
              <w:ind w:leftChars="0"/>
              <w:jc w:val="left"/>
              <w:textAlignment w:val="baseline"/>
              <w:rPr>
                <w:rFonts w:hint="eastAsia"/>
                <w:color w:val="auto"/>
              </w:rPr>
            </w:pPr>
            <w:r>
              <w:rPr>
                <w:rFonts w:hint="eastAsia"/>
                <w:color w:val="auto"/>
              </w:rPr>
              <w:t>符合招标文件采购需求中的要求</w:t>
            </w:r>
          </w:p>
        </w:tc>
        <w:tc>
          <w:tcPr>
            <w:tcW w:w="3772" w:type="dxa"/>
            <w:tcBorders>
              <w:tl2br w:val="nil"/>
              <w:tr2bl w:val="nil"/>
            </w:tcBorders>
            <w:vAlign w:val="center"/>
          </w:tcPr>
          <w:p w14:paraId="020CD221">
            <w:pPr>
              <w:pStyle w:val="44"/>
              <w:pageBreakBefore w:val="0"/>
              <w:widowControl w:val="0"/>
              <w:kinsoku/>
              <w:wordWrap/>
              <w:overflowPunct/>
              <w:topLinePunct w:val="0"/>
              <w:autoSpaceDE/>
              <w:autoSpaceDN/>
              <w:bidi w:val="0"/>
              <w:ind w:leftChars="0"/>
              <w:jc w:val="left"/>
              <w:textAlignment w:val="baseline"/>
              <w:rPr>
                <w:rFonts w:hint="eastAsia" w:eastAsia="微软雅黑"/>
                <w:color w:val="auto"/>
                <w:lang w:val="en-US" w:eastAsia="zh-CN"/>
              </w:rPr>
            </w:pPr>
            <w:r>
              <w:rPr>
                <w:rFonts w:hint="eastAsia" w:ascii="Times New Roman" w:hAnsi="Times New Roman" w:cs="Times New Roman"/>
                <w:color w:val="auto"/>
              </w:rPr>
              <w:t>详见第六章投标文件的组成格式</w:t>
            </w:r>
            <w:r>
              <w:rPr>
                <w:rFonts w:hint="eastAsia" w:cs="Times New Roman"/>
                <w:color w:val="auto"/>
                <w:lang w:val="en-US" w:eastAsia="zh-CN"/>
              </w:rPr>
              <w:t>五</w:t>
            </w:r>
          </w:p>
        </w:tc>
      </w:tr>
      <w:tr w14:paraId="468953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52" w:type="dxa"/>
            <w:tcBorders>
              <w:tl2br w:val="nil"/>
              <w:tr2bl w:val="nil"/>
            </w:tcBorders>
            <w:vAlign w:val="center"/>
          </w:tcPr>
          <w:p w14:paraId="5BF931A2">
            <w:pPr>
              <w:widowControl w:val="0"/>
              <w:numPr>
                <w:ilvl w:val="0"/>
                <w:numId w:val="12"/>
              </w:numPr>
              <w:tabs>
                <w:tab w:val="left" w:pos="0"/>
              </w:tabs>
              <w:adjustRightInd w:val="0"/>
              <w:snapToGrid w:val="0"/>
              <w:spacing w:line="240" w:lineRule="exact"/>
              <w:jc w:val="center"/>
              <w:textAlignment w:val="baseline"/>
              <w:rPr>
                <w:rFonts w:ascii="Times New Roman" w:hAnsi="Times New Roman" w:eastAsia="微软雅黑" w:cs="Times New Roman"/>
                <w:color w:val="auto"/>
                <w:kern w:val="2"/>
                <w:sz w:val="21"/>
                <w:szCs w:val="24"/>
                <w:lang w:val="en-US" w:eastAsia="zh-CN" w:bidi="ar-SA"/>
              </w:rPr>
            </w:pPr>
          </w:p>
        </w:tc>
        <w:tc>
          <w:tcPr>
            <w:tcW w:w="2259" w:type="dxa"/>
            <w:tcBorders>
              <w:tl2br w:val="nil"/>
              <w:tr2bl w:val="nil"/>
            </w:tcBorders>
            <w:vAlign w:val="center"/>
          </w:tcPr>
          <w:p w14:paraId="527191C1">
            <w:pPr>
              <w:widowControl w:val="0"/>
              <w:spacing w:line="300" w:lineRule="exact"/>
              <w:jc w:val="center"/>
              <w:textAlignment w:val="baseline"/>
              <w:rPr>
                <w:rFonts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投标有效期满足招标文件要求</w:t>
            </w:r>
          </w:p>
        </w:tc>
        <w:tc>
          <w:tcPr>
            <w:tcW w:w="3480" w:type="dxa"/>
            <w:tcBorders>
              <w:tl2br w:val="nil"/>
              <w:tr2bl w:val="nil"/>
            </w:tcBorders>
            <w:vAlign w:val="center"/>
          </w:tcPr>
          <w:p w14:paraId="3903B8B1">
            <w:pPr>
              <w:widowControl w:val="0"/>
              <w:spacing w:line="300" w:lineRule="exact"/>
              <w:jc w:val="left"/>
              <w:textAlignment w:val="baseline"/>
              <w:rPr>
                <w:rFonts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符合招标文件采购需求中的要求</w:t>
            </w:r>
          </w:p>
        </w:tc>
        <w:tc>
          <w:tcPr>
            <w:tcW w:w="3772" w:type="dxa"/>
            <w:tcBorders>
              <w:tl2br w:val="nil"/>
              <w:tr2bl w:val="nil"/>
            </w:tcBorders>
            <w:vAlign w:val="center"/>
          </w:tcPr>
          <w:p w14:paraId="3FF159A6">
            <w:pPr>
              <w:widowControl w:val="0"/>
              <w:spacing w:line="300" w:lineRule="exact"/>
              <w:jc w:val="left"/>
              <w:textAlignment w:val="baseline"/>
              <w:rPr>
                <w:rFonts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详见投标函中关于投标有效期时间</w:t>
            </w:r>
          </w:p>
        </w:tc>
      </w:tr>
      <w:tr w14:paraId="3FE17A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52" w:type="dxa"/>
            <w:tcBorders>
              <w:tl2br w:val="nil"/>
              <w:tr2bl w:val="nil"/>
            </w:tcBorders>
            <w:vAlign w:val="center"/>
          </w:tcPr>
          <w:p w14:paraId="1790C235">
            <w:pPr>
              <w:widowControl w:val="0"/>
              <w:numPr>
                <w:ilvl w:val="0"/>
                <w:numId w:val="12"/>
              </w:numPr>
              <w:tabs>
                <w:tab w:val="left" w:pos="0"/>
              </w:tabs>
              <w:adjustRightInd w:val="0"/>
              <w:snapToGrid w:val="0"/>
              <w:spacing w:line="240" w:lineRule="exact"/>
              <w:jc w:val="center"/>
              <w:textAlignment w:val="baseline"/>
              <w:rPr>
                <w:rFonts w:ascii="Times New Roman" w:hAnsi="Times New Roman" w:eastAsia="微软雅黑" w:cs="Times New Roman"/>
                <w:color w:val="auto"/>
                <w:kern w:val="2"/>
                <w:sz w:val="21"/>
                <w:szCs w:val="24"/>
                <w:lang w:val="en-US" w:eastAsia="zh-CN" w:bidi="ar-SA"/>
              </w:rPr>
            </w:pPr>
          </w:p>
        </w:tc>
        <w:tc>
          <w:tcPr>
            <w:tcW w:w="2259" w:type="dxa"/>
            <w:tcBorders>
              <w:tl2br w:val="nil"/>
              <w:tr2bl w:val="nil"/>
            </w:tcBorders>
            <w:vAlign w:val="center"/>
          </w:tcPr>
          <w:p w14:paraId="5769230E">
            <w:pPr>
              <w:widowControl w:val="0"/>
              <w:spacing w:line="300" w:lineRule="exact"/>
              <w:jc w:val="center"/>
              <w:textAlignment w:val="baseline"/>
              <w:rPr>
                <w:rFonts w:ascii="Times New Roman" w:hAnsi="Times New Roman" w:eastAsia="微软雅黑" w:cs="Times New Roman"/>
                <w:color w:val="auto"/>
                <w:kern w:val="2"/>
                <w:sz w:val="21"/>
                <w:szCs w:val="24"/>
                <w:lang w:val="en-US" w:eastAsia="zh-CN" w:bidi="ar-SA"/>
              </w:rPr>
            </w:pPr>
            <w:r>
              <w:rPr>
                <w:rFonts w:ascii="Times New Roman" w:hAnsi="Times New Roman" w:eastAsia="微软雅黑" w:cs="Times New Roman"/>
                <w:color w:val="auto"/>
                <w:kern w:val="2"/>
                <w:sz w:val="21"/>
                <w:szCs w:val="24"/>
                <w:lang w:val="en-US" w:eastAsia="zh-CN" w:bidi="ar-SA"/>
              </w:rPr>
              <w:t>投标文件对招标文件的实质性要求</w:t>
            </w:r>
            <w:r>
              <w:rPr>
                <w:rFonts w:hint="eastAsia" w:ascii="Times New Roman" w:hAnsi="Times New Roman" w:eastAsia="微软雅黑" w:cs="Times New Roman"/>
                <w:color w:val="auto"/>
                <w:kern w:val="2"/>
                <w:sz w:val="21"/>
                <w:szCs w:val="24"/>
                <w:lang w:val="en-US" w:eastAsia="zh-CN" w:bidi="ar-SA"/>
              </w:rPr>
              <w:t>（总体供货方案（技术方案））</w:t>
            </w:r>
            <w:r>
              <w:rPr>
                <w:rFonts w:ascii="Times New Roman" w:hAnsi="Times New Roman" w:eastAsia="微软雅黑" w:cs="Times New Roman"/>
                <w:color w:val="auto"/>
                <w:kern w:val="2"/>
                <w:sz w:val="21"/>
                <w:szCs w:val="24"/>
                <w:lang w:val="en-US" w:eastAsia="zh-CN" w:bidi="ar-SA"/>
              </w:rPr>
              <w:t>和条件作出响应，或者对招标文件的偏离没有超出招标文件规定的偏离范围和幅度</w:t>
            </w:r>
          </w:p>
        </w:tc>
        <w:tc>
          <w:tcPr>
            <w:tcW w:w="3480" w:type="dxa"/>
            <w:tcBorders>
              <w:tl2br w:val="nil"/>
              <w:tr2bl w:val="nil"/>
            </w:tcBorders>
            <w:vAlign w:val="center"/>
          </w:tcPr>
          <w:p w14:paraId="0A6F1CDC">
            <w:pPr>
              <w:widowControl w:val="0"/>
              <w:spacing w:line="300" w:lineRule="exact"/>
              <w:jc w:val="left"/>
              <w:textAlignment w:val="baseline"/>
              <w:rPr>
                <w:rFonts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符合招标文件采购需求中的要求</w:t>
            </w:r>
          </w:p>
        </w:tc>
        <w:tc>
          <w:tcPr>
            <w:tcW w:w="3772" w:type="dxa"/>
            <w:tcBorders>
              <w:tl2br w:val="nil"/>
              <w:tr2bl w:val="nil"/>
            </w:tcBorders>
            <w:vAlign w:val="center"/>
          </w:tcPr>
          <w:p w14:paraId="7A309C18">
            <w:pPr>
              <w:widowControl w:val="0"/>
              <w:spacing w:line="300" w:lineRule="exact"/>
              <w:jc w:val="left"/>
              <w:textAlignment w:val="baseline"/>
              <w:rPr>
                <w:rFonts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详见第六章投标文件的组成格式六</w:t>
            </w:r>
          </w:p>
        </w:tc>
      </w:tr>
      <w:tr w14:paraId="49E087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52" w:type="dxa"/>
            <w:tcBorders>
              <w:tl2br w:val="nil"/>
              <w:tr2bl w:val="nil"/>
            </w:tcBorders>
            <w:vAlign w:val="center"/>
          </w:tcPr>
          <w:p w14:paraId="09CEFADC">
            <w:pPr>
              <w:widowControl w:val="0"/>
              <w:numPr>
                <w:ilvl w:val="0"/>
                <w:numId w:val="12"/>
              </w:numPr>
              <w:tabs>
                <w:tab w:val="left" w:pos="0"/>
              </w:tabs>
              <w:adjustRightInd w:val="0"/>
              <w:snapToGrid w:val="0"/>
              <w:spacing w:line="240" w:lineRule="exact"/>
              <w:jc w:val="center"/>
              <w:textAlignment w:val="baseline"/>
              <w:rPr>
                <w:rFonts w:ascii="Times New Roman" w:hAnsi="Times New Roman" w:eastAsia="微软雅黑" w:cs="Times New Roman"/>
                <w:color w:val="auto"/>
                <w:kern w:val="2"/>
                <w:sz w:val="21"/>
                <w:szCs w:val="24"/>
                <w:lang w:val="en-US" w:eastAsia="zh-CN" w:bidi="ar-SA"/>
              </w:rPr>
            </w:pPr>
          </w:p>
        </w:tc>
        <w:tc>
          <w:tcPr>
            <w:tcW w:w="2259" w:type="dxa"/>
            <w:tcBorders>
              <w:tl2br w:val="nil"/>
              <w:tr2bl w:val="nil"/>
            </w:tcBorders>
            <w:shd w:val="clear" w:color="auto" w:fill="auto"/>
            <w:vAlign w:val="center"/>
          </w:tcPr>
          <w:p w14:paraId="23930538">
            <w:pPr>
              <w:widowControl w:val="0"/>
              <w:spacing w:line="300" w:lineRule="exact"/>
              <w:jc w:val="center"/>
              <w:textAlignment w:val="baseline"/>
              <w:rPr>
                <w:rFonts w:hint="eastAsia"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投标业绩承诺函</w:t>
            </w:r>
          </w:p>
        </w:tc>
        <w:tc>
          <w:tcPr>
            <w:tcW w:w="3480" w:type="dxa"/>
            <w:tcBorders>
              <w:tl2br w:val="nil"/>
              <w:tr2bl w:val="nil"/>
            </w:tcBorders>
            <w:shd w:val="clear" w:color="auto" w:fill="auto"/>
            <w:vAlign w:val="center"/>
          </w:tcPr>
          <w:p w14:paraId="22D13BED">
            <w:pPr>
              <w:widowControl w:val="0"/>
              <w:spacing w:line="300" w:lineRule="exact"/>
              <w:jc w:val="left"/>
              <w:textAlignment w:val="baseline"/>
              <w:rPr>
                <w:rFonts w:hint="eastAsia"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符合招标文件采购需求中的要求</w:t>
            </w:r>
          </w:p>
        </w:tc>
        <w:tc>
          <w:tcPr>
            <w:tcW w:w="3772" w:type="dxa"/>
            <w:tcBorders>
              <w:tl2br w:val="nil"/>
              <w:tr2bl w:val="nil"/>
            </w:tcBorders>
            <w:shd w:val="clear" w:color="auto" w:fill="auto"/>
            <w:vAlign w:val="center"/>
          </w:tcPr>
          <w:p w14:paraId="27F6C24D">
            <w:pPr>
              <w:widowControl w:val="0"/>
              <w:spacing w:line="300" w:lineRule="exact"/>
              <w:jc w:val="left"/>
              <w:textAlignment w:val="baseline"/>
              <w:rPr>
                <w:rFonts w:hint="eastAsia"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详见第六章投标文件的组成格式七</w:t>
            </w:r>
          </w:p>
        </w:tc>
      </w:tr>
      <w:tr w14:paraId="716F22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52" w:type="dxa"/>
            <w:tcBorders>
              <w:tl2br w:val="nil"/>
              <w:tr2bl w:val="nil"/>
            </w:tcBorders>
            <w:vAlign w:val="center"/>
          </w:tcPr>
          <w:p w14:paraId="265D4D66">
            <w:pPr>
              <w:widowControl w:val="0"/>
              <w:numPr>
                <w:ilvl w:val="0"/>
                <w:numId w:val="12"/>
              </w:numPr>
              <w:tabs>
                <w:tab w:val="left" w:pos="0"/>
              </w:tabs>
              <w:adjustRightInd w:val="0"/>
              <w:snapToGrid w:val="0"/>
              <w:spacing w:line="240" w:lineRule="exact"/>
              <w:jc w:val="center"/>
              <w:textAlignment w:val="baseline"/>
              <w:rPr>
                <w:rFonts w:ascii="Times New Roman" w:hAnsi="Times New Roman" w:eastAsia="微软雅黑" w:cs="Times New Roman"/>
                <w:color w:val="auto"/>
                <w:kern w:val="2"/>
                <w:sz w:val="21"/>
                <w:szCs w:val="24"/>
                <w:lang w:val="en-US" w:eastAsia="zh-CN" w:bidi="ar-SA"/>
              </w:rPr>
            </w:pPr>
          </w:p>
        </w:tc>
        <w:tc>
          <w:tcPr>
            <w:tcW w:w="2259" w:type="dxa"/>
            <w:tcBorders>
              <w:tl2br w:val="nil"/>
              <w:tr2bl w:val="nil"/>
            </w:tcBorders>
            <w:vAlign w:val="center"/>
          </w:tcPr>
          <w:p w14:paraId="3599CECC">
            <w:pPr>
              <w:widowControl w:val="0"/>
              <w:spacing w:line="300" w:lineRule="exact"/>
              <w:jc w:val="center"/>
              <w:textAlignment w:val="baseline"/>
              <w:rPr>
                <w:rFonts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公开竞价承诺函</w:t>
            </w:r>
          </w:p>
        </w:tc>
        <w:tc>
          <w:tcPr>
            <w:tcW w:w="3480" w:type="dxa"/>
            <w:tcBorders>
              <w:tl2br w:val="nil"/>
              <w:tr2bl w:val="nil"/>
            </w:tcBorders>
            <w:shd w:val="clear" w:color="auto" w:fill="auto"/>
            <w:vAlign w:val="center"/>
          </w:tcPr>
          <w:p w14:paraId="2A7F682F">
            <w:pPr>
              <w:pStyle w:val="49"/>
              <w:numPr>
                <w:ilvl w:val="0"/>
                <w:numId w:val="0"/>
              </w:numPr>
              <w:tabs>
                <w:tab w:val="left" w:pos="0"/>
              </w:tabs>
              <w:ind w:right="-48" w:rightChars="-23"/>
              <w:rPr>
                <w:rFonts w:hint="eastAsia" w:ascii="宋体" w:hAnsi="宋体" w:eastAsia="微软雅黑" w:cs="宋体"/>
                <w:color w:val="auto"/>
                <w:kern w:val="2"/>
                <w:sz w:val="20"/>
                <w:szCs w:val="20"/>
                <w:lang w:val="en-US" w:eastAsia="zh-CN" w:bidi="ar-SA"/>
              </w:rPr>
            </w:pPr>
            <w:r>
              <w:rPr>
                <w:rFonts w:hint="eastAsia"/>
                <w:color w:val="auto"/>
              </w:rPr>
              <w:t>符合公开竞价文件项目需求中的要求</w:t>
            </w:r>
          </w:p>
        </w:tc>
        <w:tc>
          <w:tcPr>
            <w:tcW w:w="3772" w:type="dxa"/>
            <w:tcBorders>
              <w:tl2br w:val="nil"/>
              <w:tr2bl w:val="nil"/>
            </w:tcBorders>
            <w:shd w:val="clear" w:color="auto" w:fill="auto"/>
            <w:vAlign w:val="center"/>
          </w:tcPr>
          <w:p w14:paraId="0B2060B8">
            <w:pPr>
              <w:pStyle w:val="49"/>
              <w:numPr>
                <w:ilvl w:val="0"/>
                <w:numId w:val="0"/>
              </w:numPr>
              <w:tabs>
                <w:tab w:val="left" w:pos="0"/>
              </w:tabs>
              <w:ind w:right="-48" w:rightChars="-23"/>
              <w:rPr>
                <w:rFonts w:hint="eastAsia" w:ascii="宋体" w:hAnsi="宋体" w:eastAsia="微软雅黑" w:cs="宋体"/>
                <w:color w:val="auto"/>
                <w:kern w:val="2"/>
                <w:sz w:val="20"/>
                <w:szCs w:val="20"/>
                <w:lang w:val="en-US" w:eastAsia="zh-CN" w:bidi="ar-SA"/>
              </w:rPr>
            </w:pPr>
            <w:r>
              <w:rPr>
                <w:rFonts w:hint="eastAsia"/>
                <w:color w:val="auto"/>
              </w:rPr>
              <w:t>详见第六章</w:t>
            </w:r>
            <w:r>
              <w:rPr>
                <w:rFonts w:hint="eastAsia"/>
                <w:color w:val="auto"/>
                <w:lang w:eastAsia="zh-CN"/>
              </w:rPr>
              <w:t>投标</w:t>
            </w:r>
            <w:r>
              <w:rPr>
                <w:rFonts w:hint="eastAsia"/>
                <w:color w:val="auto"/>
              </w:rPr>
              <w:t>文件组成格式</w:t>
            </w:r>
            <w:r>
              <w:rPr>
                <w:rFonts w:hint="eastAsia"/>
                <w:color w:val="auto"/>
                <w:lang w:eastAsia="zh-CN"/>
              </w:rPr>
              <w:t>八</w:t>
            </w:r>
          </w:p>
        </w:tc>
      </w:tr>
      <w:tr w14:paraId="70D9A8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52" w:type="dxa"/>
            <w:tcBorders>
              <w:tl2br w:val="nil"/>
              <w:tr2bl w:val="nil"/>
            </w:tcBorders>
            <w:vAlign w:val="center"/>
          </w:tcPr>
          <w:p w14:paraId="5B6A91D0">
            <w:pPr>
              <w:widowControl w:val="0"/>
              <w:numPr>
                <w:ilvl w:val="0"/>
                <w:numId w:val="12"/>
              </w:numPr>
              <w:tabs>
                <w:tab w:val="left" w:pos="0"/>
              </w:tabs>
              <w:adjustRightInd w:val="0"/>
              <w:snapToGrid w:val="0"/>
              <w:spacing w:line="240" w:lineRule="exact"/>
              <w:jc w:val="center"/>
              <w:textAlignment w:val="baseline"/>
              <w:rPr>
                <w:rFonts w:ascii="Times New Roman" w:hAnsi="Times New Roman" w:eastAsia="微软雅黑" w:cs="Times New Roman"/>
                <w:color w:val="auto"/>
                <w:kern w:val="2"/>
                <w:sz w:val="21"/>
                <w:szCs w:val="24"/>
                <w:lang w:val="en-US" w:eastAsia="zh-CN" w:bidi="ar-SA"/>
              </w:rPr>
            </w:pPr>
          </w:p>
        </w:tc>
        <w:tc>
          <w:tcPr>
            <w:tcW w:w="2259" w:type="dxa"/>
            <w:tcBorders>
              <w:tl2br w:val="nil"/>
              <w:tr2bl w:val="nil"/>
            </w:tcBorders>
            <w:vAlign w:val="center"/>
          </w:tcPr>
          <w:p w14:paraId="604E31D3">
            <w:pPr>
              <w:widowControl w:val="0"/>
              <w:spacing w:line="300" w:lineRule="exact"/>
              <w:jc w:val="center"/>
              <w:textAlignment w:val="baseline"/>
              <w:rPr>
                <w:rFonts w:hint="eastAsia" w:ascii="Times New Roman" w:hAnsi="Times New Roman" w:eastAsia="微软雅黑" w:cs="Times New Roman"/>
                <w:color w:val="auto"/>
                <w:kern w:val="2"/>
                <w:sz w:val="21"/>
                <w:szCs w:val="24"/>
                <w:lang w:val="en-US" w:eastAsia="zh-CN" w:bidi="ar-SA"/>
              </w:rPr>
            </w:pPr>
            <w:r>
              <w:rPr>
                <w:rFonts w:hint="eastAsia" w:ascii="Times New Roman" w:hAnsi="Times New Roman" w:eastAsia="微软雅黑" w:cs="Times New Roman"/>
                <w:color w:val="auto"/>
                <w:kern w:val="2"/>
                <w:sz w:val="21"/>
                <w:szCs w:val="24"/>
                <w:lang w:val="en-US" w:eastAsia="zh-CN" w:bidi="ar-SA"/>
              </w:rPr>
              <w:t>主要中标标的承诺函</w:t>
            </w:r>
          </w:p>
        </w:tc>
        <w:tc>
          <w:tcPr>
            <w:tcW w:w="3480" w:type="dxa"/>
            <w:tcBorders>
              <w:tl2br w:val="nil"/>
              <w:tr2bl w:val="nil"/>
            </w:tcBorders>
            <w:shd w:val="clear" w:color="auto" w:fill="auto"/>
            <w:vAlign w:val="center"/>
          </w:tcPr>
          <w:p w14:paraId="7F97AB89">
            <w:pPr>
              <w:pStyle w:val="49"/>
              <w:numPr>
                <w:ilvl w:val="0"/>
                <w:numId w:val="0"/>
              </w:numPr>
              <w:tabs>
                <w:tab w:val="left" w:pos="0"/>
              </w:tabs>
              <w:ind w:right="-48" w:rightChars="-23"/>
              <w:rPr>
                <w:rFonts w:hint="eastAsia"/>
                <w:color w:val="auto"/>
              </w:rPr>
            </w:pPr>
            <w:r>
              <w:rPr>
                <w:rFonts w:hint="eastAsia" w:ascii="Times New Roman" w:hAnsi="Times New Roman" w:eastAsia="微软雅黑" w:cs="Times New Roman"/>
                <w:color w:val="auto"/>
                <w:kern w:val="2"/>
                <w:sz w:val="21"/>
                <w:szCs w:val="24"/>
                <w:lang w:val="en-US" w:eastAsia="zh-CN" w:bidi="ar-SA"/>
              </w:rPr>
              <w:t>符合招标文件采购需求中的要求</w:t>
            </w:r>
          </w:p>
        </w:tc>
        <w:tc>
          <w:tcPr>
            <w:tcW w:w="3772" w:type="dxa"/>
            <w:tcBorders>
              <w:tl2br w:val="nil"/>
              <w:tr2bl w:val="nil"/>
            </w:tcBorders>
            <w:shd w:val="clear" w:color="auto" w:fill="auto"/>
            <w:vAlign w:val="center"/>
          </w:tcPr>
          <w:p w14:paraId="4E4A15B7">
            <w:pPr>
              <w:pStyle w:val="49"/>
              <w:numPr>
                <w:ilvl w:val="0"/>
                <w:numId w:val="0"/>
              </w:numPr>
              <w:tabs>
                <w:tab w:val="left" w:pos="0"/>
              </w:tabs>
              <w:ind w:right="-48" w:rightChars="-23"/>
              <w:rPr>
                <w:rFonts w:hint="eastAsia"/>
                <w:color w:val="auto"/>
              </w:rPr>
            </w:pPr>
            <w:r>
              <w:rPr>
                <w:rFonts w:hint="eastAsia"/>
                <w:color w:val="auto"/>
              </w:rPr>
              <w:t>详见第六章</w:t>
            </w:r>
            <w:r>
              <w:rPr>
                <w:rFonts w:hint="eastAsia"/>
                <w:color w:val="auto"/>
                <w:lang w:eastAsia="zh-CN"/>
              </w:rPr>
              <w:t>投标</w:t>
            </w:r>
            <w:r>
              <w:rPr>
                <w:rFonts w:hint="eastAsia"/>
                <w:color w:val="auto"/>
              </w:rPr>
              <w:t>文件组成格式</w:t>
            </w:r>
            <w:r>
              <w:rPr>
                <w:rFonts w:hint="eastAsia"/>
                <w:color w:val="auto"/>
                <w:lang w:eastAsia="zh-CN"/>
              </w:rPr>
              <w:t>十</w:t>
            </w:r>
          </w:p>
        </w:tc>
      </w:tr>
      <w:tr w14:paraId="36820E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14:paraId="6CA91850">
            <w:pPr>
              <w:widowControl w:val="0"/>
              <w:numPr>
                <w:ilvl w:val="0"/>
                <w:numId w:val="12"/>
              </w:numPr>
              <w:tabs>
                <w:tab w:val="left" w:pos="0"/>
              </w:tabs>
              <w:adjustRightInd w:val="0"/>
              <w:snapToGrid w:val="0"/>
              <w:spacing w:line="240" w:lineRule="exact"/>
              <w:jc w:val="center"/>
              <w:textAlignment w:val="baseline"/>
              <w:rPr>
                <w:rFonts w:ascii="Times New Roman" w:hAnsi="Times New Roman" w:eastAsia="微软雅黑" w:cs="Times New Roman"/>
                <w:color w:val="auto"/>
                <w:kern w:val="2"/>
                <w:sz w:val="21"/>
                <w:szCs w:val="24"/>
                <w:lang w:val="en-US" w:eastAsia="zh-CN" w:bidi="ar-SA"/>
              </w:rPr>
            </w:pPr>
          </w:p>
        </w:tc>
        <w:tc>
          <w:tcPr>
            <w:tcW w:w="2259" w:type="dxa"/>
            <w:vAlign w:val="center"/>
          </w:tcPr>
          <w:p w14:paraId="01F5415A">
            <w:pPr>
              <w:widowControl w:val="0"/>
              <w:spacing w:line="300" w:lineRule="exact"/>
              <w:jc w:val="center"/>
              <w:textAlignment w:val="baseline"/>
              <w:rPr>
                <w:rFonts w:ascii="Times New Roman" w:hAnsi="Times New Roman" w:eastAsia="微软雅黑" w:cs="Times New Roman"/>
                <w:color w:val="auto"/>
                <w:kern w:val="2"/>
                <w:sz w:val="21"/>
                <w:szCs w:val="24"/>
                <w:lang w:val="en-US" w:eastAsia="zh-CN" w:bidi="ar-SA"/>
              </w:rPr>
            </w:pPr>
            <w:r>
              <w:rPr>
                <w:rFonts w:ascii="Times New Roman" w:hAnsi="Times New Roman" w:eastAsia="微软雅黑" w:cs="Times New Roman"/>
                <w:color w:val="auto"/>
                <w:kern w:val="2"/>
                <w:sz w:val="21"/>
                <w:szCs w:val="24"/>
                <w:lang w:val="en-US" w:eastAsia="zh-CN" w:bidi="ar-SA"/>
              </w:rPr>
              <w:t>其他要求</w:t>
            </w:r>
          </w:p>
        </w:tc>
        <w:tc>
          <w:tcPr>
            <w:tcW w:w="3480" w:type="dxa"/>
            <w:vAlign w:val="center"/>
          </w:tcPr>
          <w:p w14:paraId="68B2EE2A">
            <w:pPr>
              <w:widowControl w:val="0"/>
              <w:spacing w:line="300" w:lineRule="exact"/>
              <w:jc w:val="left"/>
              <w:textAlignment w:val="baseline"/>
              <w:rPr>
                <w:rFonts w:ascii="Times New Roman" w:hAnsi="Times New Roman" w:eastAsia="微软雅黑" w:cs="Times New Roman"/>
                <w:color w:val="auto"/>
                <w:kern w:val="2"/>
                <w:sz w:val="21"/>
                <w:szCs w:val="24"/>
                <w:lang w:val="en-US" w:eastAsia="zh-CN" w:bidi="ar-SA"/>
              </w:rPr>
            </w:pPr>
            <w:r>
              <w:rPr>
                <w:rFonts w:ascii="Times New Roman" w:hAnsi="Times New Roman" w:eastAsia="微软雅黑" w:cs="Times New Roman"/>
                <w:color w:val="auto"/>
                <w:kern w:val="2"/>
                <w:sz w:val="21"/>
                <w:szCs w:val="24"/>
                <w:lang w:val="en-US" w:eastAsia="zh-CN" w:bidi="ar-SA"/>
              </w:rPr>
              <w:t>符合法律、行政法规规定的其他条件或招标文件列明的其他要求</w:t>
            </w:r>
          </w:p>
        </w:tc>
        <w:tc>
          <w:tcPr>
            <w:tcW w:w="3772" w:type="dxa"/>
          </w:tcPr>
          <w:p w14:paraId="5A433744">
            <w:pPr>
              <w:widowControl w:val="0"/>
              <w:spacing w:line="300" w:lineRule="exact"/>
              <w:jc w:val="left"/>
              <w:textAlignment w:val="baseline"/>
              <w:rPr>
                <w:rFonts w:ascii="Times New Roman" w:hAnsi="Times New Roman" w:eastAsia="微软雅黑" w:cs="Times New Roman"/>
                <w:color w:val="auto"/>
                <w:kern w:val="2"/>
                <w:sz w:val="21"/>
                <w:szCs w:val="24"/>
                <w:lang w:val="en-US" w:eastAsia="zh-CN" w:bidi="ar-SA"/>
              </w:rPr>
            </w:pPr>
          </w:p>
        </w:tc>
      </w:tr>
    </w:tbl>
    <w:p w14:paraId="130A44B9">
      <w:pPr>
        <w:pStyle w:val="42"/>
        <w:pageBreakBefore w:val="0"/>
        <w:widowControl w:val="0"/>
        <w:kinsoku/>
        <w:wordWrap/>
        <w:overflowPunct/>
        <w:topLinePunct w:val="0"/>
        <w:autoSpaceDE/>
        <w:autoSpaceDN/>
        <w:bidi w:val="0"/>
        <w:spacing w:before="0" w:beforeLines="0"/>
        <w:ind w:leftChars="0" w:firstLine="482"/>
        <w:textAlignment w:val="baseline"/>
        <w:rPr>
          <w:rFonts w:hint="eastAsia"/>
          <w:b/>
          <w:bCs/>
          <w:color w:val="auto"/>
        </w:rPr>
      </w:pPr>
    </w:p>
    <w:p w14:paraId="3F3101AB">
      <w:pPr>
        <w:pStyle w:val="42"/>
        <w:pageBreakBefore w:val="0"/>
        <w:widowControl w:val="0"/>
        <w:kinsoku/>
        <w:wordWrap/>
        <w:overflowPunct/>
        <w:topLinePunct w:val="0"/>
        <w:autoSpaceDE/>
        <w:autoSpaceDN/>
        <w:bidi w:val="0"/>
        <w:spacing w:before="0" w:beforeLines="0"/>
        <w:ind w:leftChars="0" w:firstLine="482"/>
        <w:textAlignment w:val="baseline"/>
        <w:rPr>
          <w:color w:val="auto"/>
        </w:rPr>
      </w:pPr>
      <w:r>
        <w:rPr>
          <w:rFonts w:hint="eastAsia"/>
          <w:b/>
          <w:bCs/>
          <w:color w:val="auto"/>
        </w:rPr>
        <w:t>符合性审查指标通过标准：</w:t>
      </w:r>
      <w:r>
        <w:rPr>
          <w:rFonts w:hint="eastAsia"/>
          <w:color w:val="auto"/>
        </w:rPr>
        <w:t>投标人必须通过符合性审查表中的全部评审指标。</w:t>
      </w:r>
    </w:p>
    <w:p w14:paraId="308A059D">
      <w:pPr>
        <w:pageBreakBefore w:val="0"/>
        <w:widowControl w:val="0"/>
        <w:kinsoku/>
        <w:wordWrap/>
        <w:overflowPunct/>
        <w:topLinePunct w:val="0"/>
        <w:autoSpaceDE/>
        <w:autoSpaceDN/>
        <w:bidi w:val="0"/>
        <w:ind w:leftChars="0"/>
        <w:rPr>
          <w:color w:val="auto"/>
          <w:sz w:val="30"/>
        </w:rPr>
      </w:pPr>
      <w:r>
        <w:rPr>
          <w:rFonts w:hint="eastAsia"/>
          <w:color w:val="auto"/>
          <w:sz w:val="30"/>
        </w:rPr>
        <w:br w:type="page"/>
      </w:r>
    </w:p>
    <w:p w14:paraId="7416474F">
      <w:pPr>
        <w:pStyle w:val="3"/>
        <w:pageBreakBefore w:val="0"/>
        <w:widowControl w:val="0"/>
        <w:kinsoku/>
        <w:wordWrap/>
        <w:overflowPunct/>
        <w:topLinePunct w:val="0"/>
        <w:autoSpaceDE/>
        <w:autoSpaceDN/>
        <w:bidi w:val="0"/>
        <w:spacing w:before="0" w:after="0"/>
        <w:ind w:leftChars="0"/>
        <w:rPr>
          <w:rFonts w:hint="default" w:eastAsia="黑体"/>
          <w:color w:val="auto"/>
          <w:lang w:val="en-US" w:eastAsia="zh-CN"/>
        </w:rPr>
      </w:pPr>
      <w:bookmarkStart w:id="67" w:name="_Toc19973"/>
      <w:bookmarkStart w:id="68" w:name="_Toc17802"/>
      <w:r>
        <w:rPr>
          <w:rFonts w:hint="eastAsia"/>
          <w:color w:val="auto"/>
        </w:rPr>
        <w:t xml:space="preserve">第三节 </w:t>
      </w:r>
      <w:bookmarkEnd w:id="67"/>
      <w:r>
        <w:rPr>
          <w:rFonts w:hint="eastAsia"/>
          <w:color w:val="auto"/>
          <w:lang w:val="en-US" w:eastAsia="zh-CN"/>
        </w:rPr>
        <w:t>报价</w:t>
      </w:r>
      <w:bookmarkEnd w:id="68"/>
    </w:p>
    <w:p w14:paraId="4B50EDFD">
      <w:pPr>
        <w:pStyle w:val="42"/>
        <w:pageBreakBefore w:val="0"/>
        <w:widowControl w:val="0"/>
        <w:numPr>
          <w:ilvl w:val="0"/>
          <w:numId w:val="13"/>
        </w:numPr>
        <w:kinsoku/>
        <w:wordWrap/>
        <w:overflowPunct/>
        <w:topLinePunct w:val="0"/>
        <w:autoSpaceDE/>
        <w:autoSpaceDN/>
        <w:bidi w:val="0"/>
        <w:spacing w:before="0" w:beforeLines="0"/>
        <w:ind w:left="0" w:leftChars="0" w:firstLine="482" w:firstLineChars="200"/>
        <w:textAlignment w:val="baseline"/>
        <w:rPr>
          <w:b/>
          <w:bCs/>
          <w:color w:val="auto"/>
        </w:rPr>
      </w:pPr>
      <w:r>
        <w:rPr>
          <w:rFonts w:hint="eastAsia"/>
          <w:b/>
          <w:bCs/>
          <w:color w:val="auto"/>
          <w:lang w:val="en-US" w:eastAsia="zh-CN"/>
        </w:rPr>
        <w:t>本项目报价采用（减价）多轮报价方式，根据报价情况，报价由低到高的顺序推荐3名成交候选人</w:t>
      </w:r>
      <w:r>
        <w:rPr>
          <w:rFonts w:hint="eastAsia"/>
          <w:b/>
          <w:bCs/>
          <w:color w:val="auto"/>
        </w:rPr>
        <w:t>。</w:t>
      </w:r>
    </w:p>
    <w:p w14:paraId="637B781D">
      <w:pPr>
        <w:pStyle w:val="42"/>
        <w:pageBreakBefore w:val="0"/>
        <w:widowControl w:val="0"/>
        <w:numPr>
          <w:ilvl w:val="0"/>
          <w:numId w:val="13"/>
        </w:numPr>
        <w:kinsoku/>
        <w:wordWrap/>
        <w:overflowPunct/>
        <w:topLinePunct w:val="0"/>
        <w:autoSpaceDE/>
        <w:autoSpaceDN/>
        <w:bidi w:val="0"/>
        <w:spacing w:before="0" w:beforeLines="0"/>
        <w:ind w:left="0" w:leftChars="0" w:firstLine="482" w:firstLineChars="200"/>
        <w:textAlignment w:val="baseline"/>
        <w:rPr>
          <w:rFonts w:hint="default" w:ascii="Times New Roman" w:hAnsi="Times New Roman" w:eastAsia="宋体" w:cs="Times New Roman"/>
          <w:b/>
          <w:bCs/>
          <w:color w:val="auto"/>
          <w:lang w:val="en-US" w:eastAsia="zh-CN"/>
        </w:rPr>
      </w:pPr>
      <w:bookmarkStart w:id="69" w:name="_Toc27859"/>
      <w:bookmarkStart w:id="70" w:name="_Toc23919"/>
      <w:r>
        <w:rPr>
          <w:rFonts w:hint="eastAsia" w:ascii="Times New Roman" w:hAnsi="Times New Roman" w:eastAsia="宋体" w:cs="Times New Roman"/>
          <w:b/>
          <w:bCs/>
          <w:color w:val="auto"/>
          <w:lang w:val="en-US" w:eastAsia="zh-CN"/>
        </w:rPr>
        <w:t>报价基本情况</w:t>
      </w:r>
    </w:p>
    <w:tbl>
      <w:tblPr>
        <w:tblStyle w:val="32"/>
        <w:tblW w:w="98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659"/>
        <w:gridCol w:w="1754"/>
        <w:gridCol w:w="2305"/>
        <w:gridCol w:w="1627"/>
        <w:gridCol w:w="1525"/>
      </w:tblGrid>
      <w:tr w14:paraId="5978219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743" w:hRule="atLeast"/>
        </w:trPr>
        <w:tc>
          <w:tcPr>
            <w:tcW w:w="2659" w:type="dxa"/>
            <w:tcBorders>
              <w:tl2br w:val="nil"/>
              <w:tr2bl w:val="nil"/>
            </w:tcBorders>
            <w:shd w:val="pct10" w:color="ADB9CA" w:fill="D6DCE5"/>
            <w:tcMar>
              <w:top w:w="0" w:type="dxa"/>
              <w:left w:w="84" w:type="dxa"/>
              <w:bottom w:w="0" w:type="dxa"/>
              <w:right w:w="84" w:type="dxa"/>
            </w:tcMar>
            <w:vAlign w:val="center"/>
          </w:tcPr>
          <w:p w14:paraId="0688B48C">
            <w:pPr>
              <w:pStyle w:val="44"/>
              <w:pageBreakBefore w:val="0"/>
              <w:widowControl w:val="0"/>
              <w:kinsoku/>
              <w:wordWrap/>
              <w:overflowPunct/>
              <w:topLinePunct w:val="0"/>
              <w:autoSpaceDE/>
              <w:autoSpaceDN/>
              <w:bidi w:val="0"/>
              <w:ind w:leftChars="0"/>
              <w:rPr>
                <w:color w:val="auto"/>
                <w:highlight w:val="none"/>
              </w:rPr>
            </w:pPr>
            <w:r>
              <w:rPr>
                <w:rFonts w:hint="eastAsia"/>
                <w:color w:val="auto"/>
                <w:highlight w:val="none"/>
                <w:lang w:val="en-US" w:eastAsia="zh-CN"/>
              </w:rPr>
              <w:t>采购</w:t>
            </w:r>
            <w:r>
              <w:rPr>
                <w:rFonts w:hint="eastAsia"/>
                <w:color w:val="auto"/>
                <w:highlight w:val="none"/>
              </w:rPr>
              <w:t>项目名称</w:t>
            </w:r>
          </w:p>
        </w:tc>
        <w:tc>
          <w:tcPr>
            <w:tcW w:w="1754" w:type="dxa"/>
            <w:tcBorders>
              <w:tl2br w:val="nil"/>
              <w:tr2bl w:val="nil"/>
            </w:tcBorders>
            <w:shd w:val="pct10" w:color="ADB9CA" w:fill="D6DCE5"/>
            <w:tcMar>
              <w:top w:w="0" w:type="dxa"/>
              <w:left w:w="84" w:type="dxa"/>
              <w:bottom w:w="0" w:type="dxa"/>
              <w:right w:w="84" w:type="dxa"/>
            </w:tcMar>
            <w:vAlign w:val="center"/>
          </w:tcPr>
          <w:p w14:paraId="5097C58C">
            <w:pPr>
              <w:pStyle w:val="44"/>
              <w:pageBreakBefore w:val="0"/>
              <w:widowControl w:val="0"/>
              <w:kinsoku/>
              <w:wordWrap/>
              <w:overflowPunct/>
              <w:topLinePunct w:val="0"/>
              <w:autoSpaceDE/>
              <w:autoSpaceDN/>
              <w:bidi w:val="0"/>
              <w:ind w:leftChars="0"/>
              <w:rPr>
                <w:rFonts w:hint="eastAsia"/>
                <w:color w:val="auto"/>
                <w:highlight w:val="none"/>
              </w:rPr>
            </w:pPr>
            <w:r>
              <w:rPr>
                <w:rFonts w:hint="eastAsia"/>
                <w:color w:val="auto"/>
                <w:highlight w:val="none"/>
                <w:lang w:val="en-US" w:eastAsia="zh-CN"/>
              </w:rPr>
              <w:t>报价</w:t>
            </w:r>
            <w:r>
              <w:rPr>
                <w:rFonts w:hint="eastAsia"/>
                <w:color w:val="auto"/>
                <w:highlight w:val="none"/>
              </w:rPr>
              <w:t>起始价</w:t>
            </w:r>
          </w:p>
          <w:p w14:paraId="05608F45">
            <w:pPr>
              <w:pStyle w:val="44"/>
              <w:pageBreakBefore w:val="0"/>
              <w:widowControl w:val="0"/>
              <w:kinsoku/>
              <w:wordWrap/>
              <w:overflowPunct/>
              <w:topLinePunct w:val="0"/>
              <w:autoSpaceDE/>
              <w:autoSpaceDN/>
              <w:bidi w:val="0"/>
              <w:ind w:leftChars="0"/>
              <w:rPr>
                <w:color w:val="auto"/>
                <w:highlight w:val="none"/>
              </w:rPr>
            </w:pPr>
            <w:r>
              <w:rPr>
                <w:rFonts w:hint="eastAsia"/>
                <w:color w:val="auto"/>
                <w:highlight w:val="none"/>
              </w:rPr>
              <w:t>（元）</w:t>
            </w:r>
          </w:p>
        </w:tc>
        <w:tc>
          <w:tcPr>
            <w:tcW w:w="2305" w:type="dxa"/>
            <w:tcBorders>
              <w:tl2br w:val="nil"/>
              <w:tr2bl w:val="nil"/>
            </w:tcBorders>
            <w:shd w:val="pct10" w:color="ADB9CA" w:fill="D6DCE5"/>
            <w:tcMar>
              <w:top w:w="0" w:type="dxa"/>
              <w:left w:w="84" w:type="dxa"/>
              <w:bottom w:w="0" w:type="dxa"/>
              <w:right w:w="84" w:type="dxa"/>
            </w:tcMar>
            <w:vAlign w:val="center"/>
          </w:tcPr>
          <w:p w14:paraId="1691A19E">
            <w:pPr>
              <w:pStyle w:val="44"/>
              <w:pageBreakBefore w:val="0"/>
              <w:widowControl w:val="0"/>
              <w:kinsoku/>
              <w:wordWrap/>
              <w:overflowPunct/>
              <w:topLinePunct w:val="0"/>
              <w:autoSpaceDE/>
              <w:autoSpaceDN/>
              <w:bidi w:val="0"/>
              <w:ind w:leftChars="0"/>
              <w:rPr>
                <w:color w:val="auto"/>
                <w:highlight w:val="none"/>
              </w:rPr>
            </w:pPr>
            <w:r>
              <w:rPr>
                <w:rFonts w:hint="eastAsia"/>
                <w:color w:val="auto"/>
                <w:highlight w:val="none"/>
              </w:rPr>
              <w:t>保证金（元）</w:t>
            </w:r>
          </w:p>
        </w:tc>
        <w:tc>
          <w:tcPr>
            <w:tcW w:w="1627" w:type="dxa"/>
            <w:tcBorders>
              <w:tl2br w:val="nil"/>
              <w:tr2bl w:val="nil"/>
            </w:tcBorders>
            <w:shd w:val="pct10" w:color="ADB9CA" w:fill="D6DCE5"/>
            <w:tcMar>
              <w:top w:w="0" w:type="dxa"/>
              <w:left w:w="84" w:type="dxa"/>
              <w:bottom w:w="0" w:type="dxa"/>
              <w:right w:w="84" w:type="dxa"/>
            </w:tcMar>
            <w:vAlign w:val="center"/>
          </w:tcPr>
          <w:p w14:paraId="2E5EFE58">
            <w:pPr>
              <w:pStyle w:val="44"/>
              <w:pageBreakBefore w:val="0"/>
              <w:widowControl w:val="0"/>
              <w:kinsoku/>
              <w:wordWrap/>
              <w:overflowPunct/>
              <w:topLinePunct w:val="0"/>
              <w:autoSpaceDE/>
              <w:autoSpaceDN/>
              <w:bidi w:val="0"/>
              <w:ind w:leftChars="0"/>
              <w:rPr>
                <w:color w:val="auto"/>
                <w:highlight w:val="none"/>
              </w:rPr>
            </w:pPr>
            <w:r>
              <w:rPr>
                <w:rFonts w:hint="eastAsia"/>
                <w:color w:val="auto"/>
                <w:highlight w:val="none"/>
                <w:lang w:val="en-US" w:eastAsia="zh-CN"/>
              </w:rPr>
              <w:t>报价</w:t>
            </w:r>
            <w:r>
              <w:rPr>
                <w:rFonts w:hint="eastAsia"/>
                <w:color w:val="auto"/>
                <w:highlight w:val="none"/>
              </w:rPr>
              <w:t>（减价）幅度（元）</w:t>
            </w:r>
          </w:p>
        </w:tc>
        <w:tc>
          <w:tcPr>
            <w:tcW w:w="1525" w:type="dxa"/>
            <w:tcBorders>
              <w:tl2br w:val="nil"/>
              <w:tr2bl w:val="nil"/>
            </w:tcBorders>
            <w:shd w:val="pct10" w:color="ADB9CA" w:fill="D6DCE5"/>
            <w:tcMar>
              <w:top w:w="0" w:type="dxa"/>
              <w:left w:w="84" w:type="dxa"/>
              <w:bottom w:w="0" w:type="dxa"/>
              <w:right w:w="84" w:type="dxa"/>
            </w:tcMar>
            <w:vAlign w:val="center"/>
          </w:tcPr>
          <w:p w14:paraId="1D2BB02A">
            <w:pPr>
              <w:pStyle w:val="44"/>
              <w:pageBreakBefore w:val="0"/>
              <w:widowControl w:val="0"/>
              <w:kinsoku/>
              <w:wordWrap/>
              <w:overflowPunct/>
              <w:topLinePunct w:val="0"/>
              <w:autoSpaceDE/>
              <w:autoSpaceDN/>
              <w:bidi w:val="0"/>
              <w:ind w:leftChars="0"/>
              <w:rPr>
                <w:color w:val="auto"/>
                <w:highlight w:val="none"/>
              </w:rPr>
            </w:pPr>
            <w:r>
              <w:rPr>
                <w:rFonts w:hint="eastAsia"/>
                <w:color w:val="auto"/>
                <w:highlight w:val="none"/>
              </w:rPr>
              <w:t>备注</w:t>
            </w:r>
          </w:p>
        </w:tc>
      </w:tr>
      <w:tr w14:paraId="213C8C8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57" w:hRule="atLeast"/>
        </w:trPr>
        <w:tc>
          <w:tcPr>
            <w:tcW w:w="2659" w:type="dxa"/>
            <w:tcBorders>
              <w:tl2br w:val="nil"/>
              <w:tr2bl w:val="nil"/>
            </w:tcBorders>
            <w:tcMar>
              <w:top w:w="0" w:type="dxa"/>
              <w:left w:w="84" w:type="dxa"/>
              <w:bottom w:w="0" w:type="dxa"/>
              <w:right w:w="84" w:type="dxa"/>
            </w:tcMar>
            <w:vAlign w:val="center"/>
          </w:tcPr>
          <w:p w14:paraId="476F2F54">
            <w:pPr>
              <w:pStyle w:val="44"/>
              <w:pageBreakBefore w:val="0"/>
              <w:widowControl w:val="0"/>
              <w:kinsoku/>
              <w:wordWrap/>
              <w:overflowPunct/>
              <w:topLinePunct w:val="0"/>
              <w:autoSpaceDE/>
              <w:autoSpaceDN/>
              <w:bidi w:val="0"/>
              <w:ind w:leftChars="0"/>
              <w:rPr>
                <w:rFonts w:hint="eastAsia" w:eastAsia="微软雅黑"/>
                <w:b w:val="0"/>
                <w:bCs/>
                <w:color w:val="auto"/>
                <w:highlight w:val="none"/>
                <w:lang w:eastAsia="zh-CN"/>
              </w:rPr>
            </w:pPr>
            <w:r>
              <w:rPr>
                <w:rFonts w:hint="eastAsia"/>
                <w:b w:val="0"/>
                <w:bCs/>
                <w:color w:val="auto"/>
                <w:highlight w:val="none"/>
                <w:lang w:eastAsia="zh-CN"/>
              </w:rPr>
              <w:t>慈利县2026年度菜籽油大县奖励资金项目—油菜种子、硼肥采购子项目</w:t>
            </w:r>
          </w:p>
        </w:tc>
        <w:tc>
          <w:tcPr>
            <w:tcW w:w="1754" w:type="dxa"/>
            <w:tcBorders>
              <w:tl2br w:val="nil"/>
              <w:tr2bl w:val="nil"/>
            </w:tcBorders>
            <w:tcMar>
              <w:top w:w="0" w:type="dxa"/>
              <w:left w:w="84" w:type="dxa"/>
              <w:bottom w:w="0" w:type="dxa"/>
              <w:right w:w="84" w:type="dxa"/>
            </w:tcMar>
            <w:vAlign w:val="center"/>
          </w:tcPr>
          <w:p w14:paraId="5AFA1FB3">
            <w:pPr>
              <w:pStyle w:val="44"/>
              <w:pageBreakBefore w:val="0"/>
              <w:widowControl w:val="0"/>
              <w:kinsoku/>
              <w:wordWrap/>
              <w:overflowPunct/>
              <w:topLinePunct w:val="0"/>
              <w:autoSpaceDE/>
              <w:autoSpaceDN/>
              <w:bidi w:val="0"/>
              <w:ind w:leftChars="0"/>
              <w:rPr>
                <w:rFonts w:hint="default" w:eastAsia="微软雅黑"/>
                <w:b w:val="0"/>
                <w:bCs/>
                <w:color w:val="auto"/>
                <w:highlight w:val="none"/>
                <w:lang w:val="en-US" w:eastAsia="zh-CN"/>
              </w:rPr>
            </w:pPr>
            <w:r>
              <w:rPr>
                <w:rFonts w:hint="eastAsia"/>
                <w:b w:val="0"/>
                <w:bCs/>
                <w:color w:val="auto"/>
                <w:highlight w:val="none"/>
                <w:lang w:val="en-US" w:eastAsia="zh-CN"/>
              </w:rPr>
              <w:t>3300000.00</w:t>
            </w:r>
          </w:p>
        </w:tc>
        <w:tc>
          <w:tcPr>
            <w:tcW w:w="2305" w:type="dxa"/>
            <w:tcBorders>
              <w:tl2br w:val="nil"/>
              <w:tr2bl w:val="nil"/>
            </w:tcBorders>
            <w:tcMar>
              <w:top w:w="0" w:type="dxa"/>
              <w:left w:w="84" w:type="dxa"/>
              <w:bottom w:w="0" w:type="dxa"/>
              <w:right w:w="84" w:type="dxa"/>
            </w:tcMar>
            <w:vAlign w:val="center"/>
          </w:tcPr>
          <w:p w14:paraId="3FC31E32">
            <w:pPr>
              <w:pStyle w:val="44"/>
              <w:pageBreakBefore w:val="0"/>
              <w:widowControl w:val="0"/>
              <w:kinsoku/>
              <w:wordWrap/>
              <w:overflowPunct/>
              <w:topLinePunct w:val="0"/>
              <w:autoSpaceDE/>
              <w:autoSpaceDN/>
              <w:bidi w:val="0"/>
              <w:ind w:leftChars="0"/>
              <w:jc w:val="center"/>
              <w:rPr>
                <w:rFonts w:hint="default" w:eastAsia="微软雅黑"/>
                <w:b w:val="0"/>
                <w:bCs/>
                <w:color w:val="auto"/>
                <w:highlight w:val="none"/>
                <w:u w:val="single"/>
                <w:lang w:val="en-US" w:eastAsia="zh-CN"/>
              </w:rPr>
            </w:pPr>
            <w:r>
              <w:rPr>
                <w:rFonts w:hint="eastAsia"/>
                <w:b w:val="0"/>
                <w:bCs/>
                <w:color w:val="auto"/>
                <w:highlight w:val="none"/>
                <w:u w:val="single"/>
                <w:lang w:val="en-US" w:eastAsia="zh-CN"/>
              </w:rPr>
              <w:t>1元</w:t>
            </w:r>
          </w:p>
        </w:tc>
        <w:tc>
          <w:tcPr>
            <w:tcW w:w="1627" w:type="dxa"/>
            <w:tcBorders>
              <w:tl2br w:val="nil"/>
              <w:tr2bl w:val="nil"/>
            </w:tcBorders>
            <w:tcMar>
              <w:top w:w="0" w:type="dxa"/>
              <w:left w:w="84" w:type="dxa"/>
              <w:bottom w:w="0" w:type="dxa"/>
              <w:right w:w="84" w:type="dxa"/>
            </w:tcMar>
            <w:vAlign w:val="center"/>
          </w:tcPr>
          <w:p w14:paraId="5B4C2A5A">
            <w:pPr>
              <w:pStyle w:val="44"/>
              <w:pageBreakBefore w:val="0"/>
              <w:widowControl w:val="0"/>
              <w:kinsoku/>
              <w:wordWrap/>
              <w:overflowPunct/>
              <w:topLinePunct w:val="0"/>
              <w:autoSpaceDE/>
              <w:autoSpaceDN/>
              <w:bidi w:val="0"/>
              <w:ind w:leftChars="0"/>
              <w:rPr>
                <w:rFonts w:hint="eastAsia" w:eastAsia="微软雅黑"/>
                <w:b w:val="0"/>
                <w:bCs/>
                <w:color w:val="auto"/>
                <w:highlight w:val="none"/>
                <w:lang w:val="en-US" w:eastAsia="zh-CN"/>
              </w:rPr>
            </w:pPr>
            <w:r>
              <w:rPr>
                <w:rFonts w:hint="eastAsia"/>
                <w:b w:val="0"/>
                <w:bCs/>
                <w:color w:val="auto"/>
                <w:highlight w:val="none"/>
                <w:lang w:val="en-US" w:eastAsia="zh-CN"/>
              </w:rPr>
              <w:t>33000及其整数倍</w:t>
            </w:r>
          </w:p>
        </w:tc>
        <w:tc>
          <w:tcPr>
            <w:tcW w:w="1525" w:type="dxa"/>
            <w:tcBorders>
              <w:tl2br w:val="nil"/>
              <w:tr2bl w:val="nil"/>
            </w:tcBorders>
            <w:tcMar>
              <w:top w:w="0" w:type="dxa"/>
              <w:left w:w="84" w:type="dxa"/>
              <w:bottom w:w="0" w:type="dxa"/>
              <w:right w:w="84" w:type="dxa"/>
            </w:tcMar>
            <w:vAlign w:val="center"/>
          </w:tcPr>
          <w:p w14:paraId="0136988E">
            <w:pPr>
              <w:pStyle w:val="44"/>
              <w:pageBreakBefore w:val="0"/>
              <w:widowControl w:val="0"/>
              <w:kinsoku/>
              <w:wordWrap/>
              <w:overflowPunct/>
              <w:topLinePunct w:val="0"/>
              <w:autoSpaceDE/>
              <w:autoSpaceDN/>
              <w:bidi w:val="0"/>
              <w:ind w:leftChars="0"/>
              <w:rPr>
                <w:b w:val="0"/>
                <w:bCs/>
                <w:color w:val="auto"/>
                <w:highlight w:val="none"/>
              </w:rPr>
            </w:pPr>
          </w:p>
        </w:tc>
      </w:tr>
    </w:tbl>
    <w:p w14:paraId="7CAE236D">
      <w:pPr>
        <w:pStyle w:val="42"/>
        <w:pageBreakBefore w:val="0"/>
        <w:widowControl w:val="0"/>
        <w:numPr>
          <w:ilvl w:val="0"/>
          <w:numId w:val="13"/>
        </w:numPr>
        <w:kinsoku/>
        <w:wordWrap/>
        <w:overflowPunct/>
        <w:topLinePunct w:val="0"/>
        <w:autoSpaceDE/>
        <w:autoSpaceDN/>
        <w:bidi w:val="0"/>
        <w:spacing w:before="0" w:beforeLines="0"/>
        <w:ind w:left="0" w:leftChars="0" w:firstLine="482" w:firstLineChars="200"/>
        <w:textAlignment w:val="baseline"/>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报价时间安排</w:t>
      </w:r>
    </w:p>
    <w:p w14:paraId="29AD5FE9">
      <w:pPr>
        <w:pStyle w:val="42"/>
        <w:keepNext w:val="0"/>
        <w:keepLines w:val="0"/>
        <w:pageBreakBefore w:val="0"/>
        <w:widowControl w:val="0"/>
        <w:numPr>
          <w:ilvl w:val="0"/>
          <w:numId w:val="14"/>
        </w:numPr>
        <w:kinsoku/>
        <w:wordWrap/>
        <w:overflowPunct/>
        <w:topLinePunct w:val="0"/>
        <w:autoSpaceDE/>
        <w:autoSpaceDN/>
        <w:bidi w:val="0"/>
        <w:spacing w:before="0" w:beforeLines="0"/>
        <w:ind w:left="0" w:leftChars="0" w:firstLine="425" w:firstLineChars="0"/>
        <w:textAlignment w:val="auto"/>
        <w:rPr>
          <w:color w:val="auto"/>
          <w:highlight w:val="none"/>
        </w:rPr>
      </w:pPr>
      <w:r>
        <w:rPr>
          <w:rFonts w:hint="eastAsia"/>
          <w:color w:val="auto"/>
          <w:highlight w:val="none"/>
        </w:rPr>
        <w:t>自由</w:t>
      </w:r>
      <w:r>
        <w:rPr>
          <w:rFonts w:hint="eastAsia"/>
          <w:color w:val="auto"/>
          <w:highlight w:val="none"/>
          <w:lang w:val="en-US" w:eastAsia="zh-CN"/>
        </w:rPr>
        <w:t>报价</w:t>
      </w:r>
      <w:r>
        <w:rPr>
          <w:rFonts w:hint="eastAsia"/>
          <w:color w:val="auto"/>
          <w:highlight w:val="none"/>
        </w:rPr>
        <w:t>开始时间：</w:t>
      </w:r>
      <w:r>
        <w:rPr>
          <w:rFonts w:hint="eastAsia"/>
          <w:color w:val="auto"/>
          <w:highlight w:val="none"/>
          <w:u w:val="single"/>
          <w:lang w:eastAsia="zh-CN"/>
        </w:rPr>
        <w:t>202</w:t>
      </w:r>
      <w:r>
        <w:rPr>
          <w:rFonts w:hint="eastAsia"/>
          <w:color w:val="auto"/>
          <w:highlight w:val="none"/>
          <w:u w:val="single"/>
          <w:lang w:val="en-US" w:eastAsia="zh-CN"/>
        </w:rPr>
        <w:t>6</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lang w:val="en-US" w:eastAsia="zh-CN"/>
        </w:rPr>
        <w:t xml:space="preserve">  8 </w:t>
      </w:r>
      <w:r>
        <w:rPr>
          <w:rFonts w:hint="eastAsia"/>
          <w:color w:val="auto"/>
          <w:highlight w:val="none"/>
          <w:u w:val="single"/>
        </w:rPr>
        <w:t>月</w:t>
      </w:r>
      <w:r>
        <w:rPr>
          <w:rFonts w:hint="eastAsia"/>
          <w:color w:val="auto"/>
          <w:highlight w:val="none"/>
          <w:u w:val="single"/>
          <w:lang w:val="en-US" w:eastAsia="zh-CN"/>
        </w:rPr>
        <w:t xml:space="preserve"> 21 </w:t>
      </w:r>
      <w:r>
        <w:rPr>
          <w:rFonts w:hint="eastAsia"/>
          <w:color w:val="auto"/>
          <w:highlight w:val="none"/>
        </w:rPr>
        <w:t>日</w:t>
      </w:r>
      <w:r>
        <w:rPr>
          <w:rFonts w:hint="eastAsia"/>
          <w:color w:val="auto"/>
          <w:highlight w:val="none"/>
        </w:rPr>
        <w:t>（备注：经</w:t>
      </w:r>
      <w:r>
        <w:rPr>
          <w:rFonts w:hint="eastAsia"/>
          <w:color w:val="auto"/>
          <w:highlight w:val="none"/>
          <w:lang w:val="en-US" w:eastAsia="zh-CN"/>
        </w:rPr>
        <w:t>资格审查和符合性审查</w:t>
      </w:r>
      <w:r>
        <w:rPr>
          <w:rFonts w:hint="eastAsia"/>
          <w:color w:val="auto"/>
          <w:highlight w:val="none"/>
        </w:rPr>
        <w:t>通过后由系统颁发资格证书进行</w:t>
      </w:r>
      <w:r>
        <w:rPr>
          <w:rFonts w:hint="eastAsia"/>
          <w:color w:val="auto"/>
          <w:highlight w:val="none"/>
          <w:lang w:val="en-US" w:eastAsia="zh-CN"/>
        </w:rPr>
        <w:t>报价</w:t>
      </w:r>
      <w:r>
        <w:rPr>
          <w:rFonts w:hint="eastAsia"/>
          <w:color w:val="auto"/>
          <w:highlight w:val="none"/>
        </w:rPr>
        <w:t>）。</w:t>
      </w:r>
    </w:p>
    <w:p w14:paraId="10FB1B0C">
      <w:pPr>
        <w:pStyle w:val="42"/>
        <w:keepNext w:val="0"/>
        <w:keepLines w:val="0"/>
        <w:pageBreakBefore w:val="0"/>
        <w:widowControl w:val="0"/>
        <w:numPr>
          <w:ilvl w:val="0"/>
          <w:numId w:val="14"/>
        </w:numPr>
        <w:kinsoku/>
        <w:wordWrap/>
        <w:overflowPunct/>
        <w:topLinePunct w:val="0"/>
        <w:autoSpaceDE/>
        <w:autoSpaceDN/>
        <w:bidi w:val="0"/>
        <w:spacing w:before="0" w:beforeLines="0"/>
        <w:ind w:left="0" w:leftChars="0" w:firstLine="425" w:firstLineChars="0"/>
        <w:textAlignment w:val="auto"/>
        <w:rPr>
          <w:color w:val="auto"/>
          <w:highlight w:val="none"/>
        </w:rPr>
      </w:pPr>
      <w:r>
        <w:rPr>
          <w:rFonts w:hint="eastAsia"/>
          <w:color w:val="auto"/>
          <w:highlight w:val="none"/>
        </w:rPr>
        <w:t>限时</w:t>
      </w:r>
      <w:r>
        <w:rPr>
          <w:rFonts w:hint="eastAsia"/>
          <w:color w:val="auto"/>
          <w:highlight w:val="none"/>
          <w:lang w:eastAsia="zh-CN"/>
        </w:rPr>
        <w:t>报价</w:t>
      </w:r>
      <w:r>
        <w:rPr>
          <w:rFonts w:hint="eastAsia"/>
          <w:color w:val="auto"/>
          <w:highlight w:val="none"/>
        </w:rPr>
        <w:t>开始时间：</w:t>
      </w:r>
      <w:r>
        <w:rPr>
          <w:rFonts w:hint="eastAsia"/>
          <w:color w:val="auto"/>
          <w:highlight w:val="none"/>
          <w:u w:val="single"/>
          <w:lang w:eastAsia="zh-CN"/>
        </w:rPr>
        <w:t>202</w:t>
      </w:r>
      <w:r>
        <w:rPr>
          <w:rFonts w:hint="eastAsia"/>
          <w:color w:val="auto"/>
          <w:highlight w:val="none"/>
          <w:u w:val="single"/>
          <w:lang w:val="en-US" w:eastAsia="zh-CN"/>
        </w:rPr>
        <w:t>6</w:t>
      </w:r>
      <w:r>
        <w:rPr>
          <w:rFonts w:hint="eastAsia"/>
          <w:color w:val="auto"/>
          <w:highlight w:val="none"/>
        </w:rPr>
        <w:t>年</w:t>
      </w:r>
      <w:r>
        <w:rPr>
          <w:rFonts w:hint="eastAsia"/>
          <w:color w:val="auto"/>
          <w:highlight w:val="none"/>
          <w:u w:val="single"/>
          <w:lang w:val="en-US" w:eastAsia="zh-CN"/>
        </w:rPr>
        <w:t xml:space="preserve">  8 </w:t>
      </w:r>
      <w:r>
        <w:rPr>
          <w:rFonts w:hint="eastAsia"/>
          <w:color w:val="auto"/>
          <w:highlight w:val="none"/>
        </w:rPr>
        <w:t>月</w:t>
      </w:r>
      <w:r>
        <w:rPr>
          <w:rFonts w:hint="eastAsia"/>
          <w:color w:val="auto"/>
          <w:highlight w:val="none"/>
          <w:u w:val="single"/>
          <w:lang w:val="en-US" w:eastAsia="zh-CN"/>
        </w:rPr>
        <w:t xml:space="preserve"> 21  </w:t>
      </w:r>
      <w:r>
        <w:rPr>
          <w:rFonts w:hint="eastAsia"/>
          <w:color w:val="auto"/>
          <w:highlight w:val="none"/>
        </w:rPr>
        <w:t>日</w:t>
      </w:r>
      <w:r>
        <w:rPr>
          <w:rFonts w:hint="eastAsia"/>
          <w:color w:val="auto"/>
          <w:highlight w:val="none"/>
          <w:u w:val="single"/>
        </w:rPr>
        <w:t>1</w:t>
      </w:r>
      <w:r>
        <w:rPr>
          <w:rFonts w:hint="eastAsia"/>
          <w:color w:val="auto"/>
          <w:highlight w:val="none"/>
          <w:u w:val="single"/>
          <w:lang w:val="en-US" w:eastAsia="zh-CN"/>
        </w:rPr>
        <w:t>5</w:t>
      </w:r>
      <w:r>
        <w:rPr>
          <w:rFonts w:hint="eastAsia"/>
          <w:color w:val="auto"/>
          <w:highlight w:val="none"/>
          <w:u w:val="single"/>
        </w:rPr>
        <w:t>：00</w:t>
      </w:r>
      <w:r>
        <w:rPr>
          <w:rFonts w:hint="eastAsia"/>
          <w:color w:val="auto"/>
          <w:highlight w:val="none"/>
        </w:rPr>
        <w:t>。</w:t>
      </w:r>
    </w:p>
    <w:p w14:paraId="2CFD977C">
      <w:pPr>
        <w:pStyle w:val="42"/>
        <w:pageBreakBefore w:val="0"/>
        <w:widowControl w:val="0"/>
        <w:numPr>
          <w:ilvl w:val="0"/>
          <w:numId w:val="13"/>
        </w:numPr>
        <w:kinsoku/>
        <w:wordWrap/>
        <w:overflowPunct/>
        <w:topLinePunct w:val="0"/>
        <w:autoSpaceDE/>
        <w:autoSpaceDN/>
        <w:bidi w:val="0"/>
        <w:spacing w:before="0" w:beforeLines="0"/>
        <w:ind w:left="0" w:leftChars="0" w:firstLine="482" w:firstLineChars="200"/>
        <w:textAlignment w:val="baseline"/>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张家界市公共资源交易中心产权交易系统申请情况说明</w:t>
      </w:r>
    </w:p>
    <w:p w14:paraId="0AA38D13">
      <w:pPr>
        <w:pStyle w:val="42"/>
        <w:keepNext w:val="0"/>
        <w:keepLines w:val="0"/>
        <w:pageBreakBefore w:val="0"/>
        <w:widowControl w:val="0"/>
        <w:numPr>
          <w:ilvl w:val="0"/>
          <w:numId w:val="15"/>
        </w:numPr>
        <w:kinsoku/>
        <w:wordWrap w:val="0"/>
        <w:overflowPunct/>
        <w:topLinePunct/>
        <w:autoSpaceDE/>
        <w:autoSpaceDN/>
        <w:bidi w:val="0"/>
        <w:adjustRightInd w:val="0"/>
        <w:snapToGrid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须办理数字证书ukey（办理数字证书请登录湖南省CA证书与电子签章资源共享平台注册办理，或到</w:t>
      </w:r>
      <w:r>
        <w:rPr>
          <w:rFonts w:hint="eastAsia" w:ascii="Times New Roman" w:hAnsi="Times New Roman" w:eastAsia="宋体" w:cs="Times New Roman"/>
          <w:color w:val="auto"/>
          <w:highlight w:val="none"/>
          <w:lang w:val="en-US" w:eastAsia="zh-CN"/>
        </w:rPr>
        <w:t>张家界市公共资源</w:t>
      </w:r>
      <w:r>
        <w:rPr>
          <w:rFonts w:hint="eastAsia" w:ascii="Times New Roman" w:hAnsi="Times New Roman" w:eastAsia="宋体" w:cs="Times New Roman"/>
          <w:color w:val="auto"/>
          <w:highlight w:val="none"/>
        </w:rPr>
        <w:t>中心一楼大厅数字证书服务窗口办理。湖南省CA证书与电子签章资源共享平台登录地址：https://casign.hnsggzy.com:7080/ca-hunanplatform/operation/main</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），数字证书驱动下载请到张家界市公共资源交易中心</w:t>
      </w:r>
      <w:r>
        <w:rPr>
          <w:rFonts w:hint="eastAsia" w:ascii="Times New Roman" w:hAnsi="Times New Roman" w:eastAsia="宋体" w:cs="Times New Roman"/>
          <w:color w:val="auto"/>
          <w:highlight w:val="none"/>
          <w:lang w:eastAsia="zh-CN"/>
        </w:rPr>
        <w:t>产权交易</w:t>
      </w:r>
      <w:r>
        <w:rPr>
          <w:rFonts w:hint="eastAsia" w:ascii="Times New Roman" w:hAnsi="Times New Roman" w:eastAsia="宋体" w:cs="Times New Roman"/>
          <w:color w:val="auto"/>
          <w:highlight w:val="none"/>
        </w:rPr>
        <w:t>系统下载专用驱动；</w:t>
      </w:r>
    </w:p>
    <w:p w14:paraId="13B97CB0">
      <w:pPr>
        <w:pStyle w:val="42"/>
        <w:keepNext w:val="0"/>
        <w:keepLines w:val="0"/>
        <w:pageBreakBefore w:val="0"/>
        <w:widowControl w:val="0"/>
        <w:numPr>
          <w:ilvl w:val="0"/>
          <w:numId w:val="15"/>
        </w:numPr>
        <w:kinsoku/>
        <w:wordWrap w:val="0"/>
        <w:overflowPunct/>
        <w:topLinePunct/>
        <w:autoSpaceDE/>
        <w:autoSpaceDN/>
        <w:bidi w:val="0"/>
        <w:adjustRightInd w:val="0"/>
        <w:snapToGrid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登陆</w:t>
      </w:r>
      <w:r>
        <w:rPr>
          <w:rFonts w:hint="eastAsia" w:ascii="Times New Roman" w:hAnsi="Times New Roman" w:eastAsia="宋体" w:cs="Times New Roman"/>
          <w:color w:val="auto"/>
          <w:highlight w:val="none"/>
          <w:lang w:eastAsia="zh-CN"/>
        </w:rPr>
        <w:t>张家界市公共资源交易中心产权交易系统</w:t>
      </w:r>
      <w:r>
        <w:rPr>
          <w:rFonts w:hint="eastAsia" w:ascii="Times New Roman" w:hAnsi="Times New Roman" w:eastAsia="宋体" w:cs="Times New Roman"/>
          <w:color w:val="auto"/>
          <w:highlight w:val="none"/>
        </w:rPr>
        <w:t>（</w:t>
      </w:r>
      <w:r>
        <w:rPr>
          <w:rFonts w:hint="eastAsia" w:cs="Times New Roman"/>
          <w:color w:val="auto"/>
          <w:highlight w:val="none"/>
          <w:lang w:eastAsia="zh-CN"/>
        </w:rPr>
        <w:t>https://www.zjjggzy.cn/portal/index</w:t>
      </w:r>
      <w:r>
        <w:rPr>
          <w:rFonts w:hint="eastAsia" w:ascii="Times New Roman" w:hAnsi="Times New Roman" w:eastAsia="宋体" w:cs="Times New Roman"/>
          <w:color w:val="auto"/>
          <w:highlight w:val="none"/>
        </w:rPr>
        <w:t>），即可浏览、查阅和下载相关项目</w:t>
      </w:r>
      <w:r>
        <w:rPr>
          <w:rFonts w:hint="eastAsia" w:ascii="Times New Roman" w:hAnsi="Times New Roman" w:eastAsia="宋体" w:cs="Times New Roman"/>
          <w:color w:val="auto"/>
          <w:highlight w:val="none"/>
          <w:lang w:val="en-US" w:eastAsia="zh-CN"/>
        </w:rPr>
        <w:t>招标</w:t>
      </w:r>
      <w:r>
        <w:rPr>
          <w:rFonts w:hint="eastAsia" w:ascii="Times New Roman" w:hAnsi="Times New Roman" w:eastAsia="宋体" w:cs="Times New Roman"/>
          <w:color w:val="auto"/>
          <w:highlight w:val="none"/>
        </w:rPr>
        <w:t>文件，对意向项目点击“竞</w:t>
      </w:r>
      <w:r>
        <w:rPr>
          <w:rFonts w:hint="eastAsia" w:ascii="Times New Roman" w:hAnsi="Times New Roman" w:eastAsia="宋体" w:cs="Times New Roman"/>
          <w:color w:val="auto"/>
          <w:highlight w:val="none"/>
          <w:lang w:eastAsia="zh-CN"/>
        </w:rPr>
        <w:t>买申请</w:t>
      </w:r>
      <w:r>
        <w:rPr>
          <w:rFonts w:hint="eastAsia" w:ascii="Times New Roman" w:hAnsi="Times New Roman" w:eastAsia="宋体" w:cs="Times New Roman"/>
          <w:color w:val="auto"/>
          <w:highlight w:val="none"/>
        </w:rPr>
        <w:t>”按钮，网上填报《竞</w:t>
      </w:r>
      <w:r>
        <w:rPr>
          <w:rFonts w:hint="eastAsia" w:ascii="Times New Roman" w:hAnsi="Times New Roman" w:eastAsia="宋体" w:cs="Times New Roman"/>
          <w:color w:val="auto"/>
          <w:highlight w:val="none"/>
          <w:lang w:eastAsia="zh-CN"/>
        </w:rPr>
        <w:t>买</w:t>
      </w:r>
      <w:r>
        <w:rPr>
          <w:rFonts w:hint="eastAsia" w:ascii="Times New Roman" w:hAnsi="Times New Roman" w:eastAsia="宋体" w:cs="Times New Roman"/>
          <w:color w:val="auto"/>
          <w:highlight w:val="none"/>
        </w:rPr>
        <w:t>申请书》，点击银行获取</w:t>
      </w:r>
      <w:r>
        <w:rPr>
          <w:rFonts w:hint="eastAsia" w:ascii="Times New Roman" w:hAnsi="Times New Roman" w:eastAsia="宋体" w:cs="Times New Roman"/>
          <w:color w:val="auto"/>
          <w:highlight w:val="none"/>
          <w:lang w:val="en-US" w:eastAsia="zh-CN"/>
        </w:rPr>
        <w:t>张家界市公共资源交易中心</w:t>
      </w:r>
      <w:r>
        <w:rPr>
          <w:rFonts w:hint="eastAsia" w:ascii="Times New Roman" w:hAnsi="Times New Roman" w:eastAsia="宋体" w:cs="Times New Roman"/>
          <w:color w:val="auto"/>
          <w:highlight w:val="none"/>
        </w:rPr>
        <w:t>在该银行开设账户的随机子账号，</w:t>
      </w:r>
      <w:r>
        <w:rPr>
          <w:rFonts w:hint="eastAsia" w:ascii="Times New Roman" w:hAnsi="Times New Roman" w:eastAsia="宋体" w:cs="Times New Roman"/>
          <w:color w:val="auto"/>
          <w:highlight w:val="none"/>
          <w:lang w:eastAsia="zh-CN"/>
        </w:rPr>
        <w:t>再</w:t>
      </w:r>
      <w:r>
        <w:rPr>
          <w:rFonts w:hint="eastAsia" w:ascii="Times New Roman" w:hAnsi="Times New Roman" w:eastAsia="宋体" w:cs="Times New Roman"/>
          <w:color w:val="auto"/>
          <w:highlight w:val="none"/>
        </w:rPr>
        <w:t>缴纳保证金；</w:t>
      </w:r>
    </w:p>
    <w:p w14:paraId="4CF21BDF">
      <w:pPr>
        <w:pStyle w:val="42"/>
        <w:keepNext w:val="0"/>
        <w:keepLines w:val="0"/>
        <w:pageBreakBefore w:val="0"/>
        <w:widowControl w:val="0"/>
        <w:numPr>
          <w:ilvl w:val="0"/>
          <w:numId w:val="15"/>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系统确认保证金到账后，</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应当在</w:t>
      </w:r>
      <w:r>
        <w:rPr>
          <w:rFonts w:hint="eastAsia" w:ascii="Times New Roman" w:hAnsi="Times New Roman" w:eastAsia="宋体" w:cs="Times New Roman"/>
          <w:color w:val="auto"/>
          <w:highlight w:val="none"/>
          <w:lang w:val="en-US" w:eastAsia="zh-CN"/>
        </w:rPr>
        <w:t>投标截止</w:t>
      </w:r>
      <w:r>
        <w:rPr>
          <w:rFonts w:hint="eastAsia" w:ascii="Times New Roman" w:hAnsi="Times New Roman" w:eastAsia="宋体" w:cs="Times New Roman"/>
          <w:color w:val="auto"/>
          <w:highlight w:val="none"/>
        </w:rPr>
        <w:t>时间前在</w:t>
      </w:r>
      <w:r>
        <w:rPr>
          <w:rFonts w:hint="eastAsia" w:ascii="Times New Roman" w:hAnsi="Times New Roman" w:eastAsia="宋体" w:cs="Times New Roman"/>
          <w:color w:val="auto"/>
          <w:highlight w:val="none"/>
          <w:lang w:eastAsia="zh-CN"/>
        </w:rPr>
        <w:t>产权交易</w:t>
      </w:r>
      <w:r>
        <w:rPr>
          <w:rFonts w:hint="eastAsia" w:ascii="Times New Roman" w:hAnsi="Times New Roman" w:eastAsia="宋体" w:cs="Times New Roman"/>
          <w:color w:val="auto"/>
          <w:highlight w:val="none"/>
        </w:rPr>
        <w:t>系统完成</w:t>
      </w:r>
      <w:r>
        <w:rPr>
          <w:rFonts w:hint="eastAsia" w:ascii="Times New Roman" w:hAnsi="Times New Roman" w:eastAsia="宋体" w:cs="Times New Roman"/>
          <w:color w:val="auto"/>
          <w:highlight w:val="none"/>
          <w:lang w:val="en-US" w:eastAsia="zh-CN"/>
        </w:rPr>
        <w:t>投标</w:t>
      </w:r>
      <w:r>
        <w:rPr>
          <w:rFonts w:hint="eastAsia" w:ascii="Times New Roman" w:hAnsi="Times New Roman" w:eastAsia="宋体" w:cs="Times New Roman"/>
          <w:color w:val="auto"/>
          <w:highlight w:val="none"/>
        </w:rPr>
        <w:t>文件的传输递交。</w:t>
      </w:r>
    </w:p>
    <w:p w14:paraId="0F3E587A">
      <w:pPr>
        <w:pStyle w:val="42"/>
        <w:keepNext w:val="0"/>
        <w:keepLines w:val="0"/>
        <w:pageBreakBefore w:val="0"/>
        <w:widowControl w:val="0"/>
        <w:numPr>
          <w:ilvl w:val="0"/>
          <w:numId w:val="15"/>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本次</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需对</w:t>
      </w:r>
      <w:r>
        <w:rPr>
          <w:rFonts w:hint="eastAsia" w:ascii="Times New Roman" w:hAnsi="Times New Roman" w:eastAsia="宋体" w:cs="Times New Roman"/>
          <w:color w:val="auto"/>
          <w:highlight w:val="none"/>
          <w:lang w:val="en-US" w:eastAsia="zh-CN"/>
        </w:rPr>
        <w:t>投标人</w:t>
      </w:r>
      <w:r>
        <w:rPr>
          <w:rFonts w:hint="eastAsia" w:ascii="Times New Roman" w:hAnsi="Times New Roman" w:eastAsia="宋体" w:cs="Times New Roman"/>
          <w:color w:val="auto"/>
          <w:highlight w:val="none"/>
        </w:rPr>
        <w:t>进行资格性和符合性审查，资格性和符合性均审查通过后，</w:t>
      </w:r>
      <w:r>
        <w:rPr>
          <w:rFonts w:hint="eastAsia" w:ascii="Times New Roman" w:hAnsi="Times New Roman" w:eastAsia="宋体" w:cs="Times New Roman"/>
          <w:color w:val="auto"/>
          <w:highlight w:val="none"/>
          <w:lang w:val="en-US" w:eastAsia="zh-CN"/>
        </w:rPr>
        <w:t>投标人</w:t>
      </w:r>
      <w:r>
        <w:rPr>
          <w:rFonts w:hint="eastAsia" w:ascii="Times New Roman" w:hAnsi="Times New Roman" w:eastAsia="宋体" w:cs="Times New Roman"/>
          <w:color w:val="auto"/>
          <w:highlight w:val="none"/>
        </w:rPr>
        <w:t>才能获得相应项目的</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资格；</w:t>
      </w:r>
    </w:p>
    <w:p w14:paraId="114AC70F">
      <w:pPr>
        <w:pStyle w:val="42"/>
        <w:keepNext w:val="0"/>
        <w:keepLines w:val="0"/>
        <w:pageBreakBefore w:val="0"/>
        <w:widowControl w:val="0"/>
        <w:numPr>
          <w:ilvl w:val="0"/>
          <w:numId w:val="15"/>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在</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前应认真阅读《</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须知》等文件并依照执行；</w:t>
      </w:r>
    </w:p>
    <w:p w14:paraId="4E63D9D2">
      <w:pPr>
        <w:pStyle w:val="42"/>
        <w:keepNext w:val="0"/>
        <w:keepLines w:val="0"/>
        <w:pageBreakBefore w:val="0"/>
        <w:widowControl w:val="0"/>
        <w:numPr>
          <w:ilvl w:val="0"/>
          <w:numId w:val="15"/>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必须保证所提供的</w:t>
      </w:r>
      <w:r>
        <w:rPr>
          <w:rFonts w:hint="eastAsia" w:ascii="Times New Roman" w:hAnsi="Times New Roman" w:eastAsia="宋体" w:cs="Times New Roman"/>
          <w:color w:val="auto"/>
          <w:highlight w:val="none"/>
          <w:lang w:val="en-US" w:eastAsia="zh-CN"/>
        </w:rPr>
        <w:t>投标</w:t>
      </w:r>
      <w:r>
        <w:rPr>
          <w:rFonts w:hint="eastAsia" w:ascii="Times New Roman" w:hAnsi="Times New Roman" w:eastAsia="宋体" w:cs="Times New Roman"/>
          <w:color w:val="auto"/>
          <w:highlight w:val="none"/>
        </w:rPr>
        <w:t>文件和身份信息真实、合法、有效。</w:t>
      </w:r>
    </w:p>
    <w:p w14:paraId="65C2D405">
      <w:pPr>
        <w:pStyle w:val="42"/>
        <w:pageBreakBefore w:val="0"/>
        <w:widowControl w:val="0"/>
        <w:numPr>
          <w:ilvl w:val="0"/>
          <w:numId w:val="13"/>
        </w:numPr>
        <w:kinsoku/>
        <w:wordWrap/>
        <w:overflowPunct/>
        <w:topLinePunct w:val="0"/>
        <w:autoSpaceDE/>
        <w:autoSpaceDN/>
        <w:bidi w:val="0"/>
        <w:spacing w:before="0" w:beforeLines="0"/>
        <w:ind w:left="0" w:leftChars="0" w:firstLine="482" w:firstLineChars="200"/>
        <w:textAlignment w:val="baseline"/>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张家界市公共资源交易中心产权交易系统操作须知</w:t>
      </w:r>
    </w:p>
    <w:p w14:paraId="764AEFF1">
      <w:pPr>
        <w:pStyle w:val="42"/>
        <w:keepNext w:val="0"/>
        <w:keepLines w:val="0"/>
        <w:pageBreakBefore w:val="0"/>
        <w:widowControl w:val="0"/>
        <w:numPr>
          <w:ilvl w:val="0"/>
          <w:numId w:val="16"/>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应妥善保管数字证书，由于数字证书遗失、损坏、更换、续期等情况导致</w:t>
      </w:r>
      <w:r>
        <w:rPr>
          <w:rFonts w:hint="eastAsia" w:ascii="Times New Roman" w:hAnsi="Times New Roman" w:eastAsia="宋体" w:cs="Times New Roman"/>
          <w:color w:val="auto"/>
          <w:highlight w:val="none"/>
          <w:lang w:val="en-US" w:eastAsia="zh-CN"/>
        </w:rPr>
        <w:t>投标</w:t>
      </w:r>
      <w:r>
        <w:rPr>
          <w:rFonts w:hint="eastAsia" w:ascii="Times New Roman" w:hAnsi="Times New Roman" w:eastAsia="宋体" w:cs="Times New Roman"/>
          <w:color w:val="auto"/>
          <w:highlight w:val="none"/>
        </w:rPr>
        <w:t>文件无法上传，由</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自行承担责任。</w:t>
      </w:r>
    </w:p>
    <w:p w14:paraId="688D2C1F">
      <w:pPr>
        <w:pStyle w:val="42"/>
        <w:keepNext w:val="0"/>
        <w:keepLines w:val="0"/>
        <w:pageBreakBefore w:val="0"/>
        <w:widowControl w:val="0"/>
        <w:numPr>
          <w:ilvl w:val="0"/>
          <w:numId w:val="16"/>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投标</w:t>
      </w:r>
      <w:r>
        <w:rPr>
          <w:rFonts w:hint="eastAsia" w:ascii="Times New Roman" w:hAnsi="Times New Roman" w:eastAsia="宋体" w:cs="Times New Roman"/>
          <w:color w:val="auto"/>
          <w:highlight w:val="none"/>
        </w:rPr>
        <w:t>截止时间以</w:t>
      </w:r>
      <w:r>
        <w:rPr>
          <w:rFonts w:hint="eastAsia" w:ascii="Times New Roman" w:hAnsi="Times New Roman" w:eastAsia="宋体" w:cs="Times New Roman"/>
          <w:color w:val="auto"/>
          <w:highlight w:val="none"/>
          <w:lang w:eastAsia="zh-CN"/>
        </w:rPr>
        <w:t>产权交易系统</w:t>
      </w:r>
      <w:r>
        <w:rPr>
          <w:rFonts w:hint="eastAsia" w:ascii="Times New Roman" w:hAnsi="Times New Roman" w:eastAsia="宋体" w:cs="Times New Roman"/>
          <w:color w:val="auto"/>
          <w:highlight w:val="none"/>
        </w:rPr>
        <w:t>显示的时间为准，逾期系统将自动关闭，未完成上传的</w:t>
      </w:r>
      <w:r>
        <w:rPr>
          <w:rFonts w:hint="eastAsia" w:ascii="Times New Roman" w:hAnsi="Times New Roman" w:eastAsia="宋体" w:cs="Times New Roman"/>
          <w:color w:val="auto"/>
          <w:highlight w:val="none"/>
          <w:lang w:val="en-US" w:eastAsia="zh-CN"/>
        </w:rPr>
        <w:t>投标</w:t>
      </w:r>
      <w:r>
        <w:rPr>
          <w:rFonts w:hint="eastAsia" w:ascii="Times New Roman" w:hAnsi="Times New Roman" w:eastAsia="宋体" w:cs="Times New Roman"/>
          <w:color w:val="auto"/>
          <w:highlight w:val="none"/>
        </w:rPr>
        <w:t>文件将被拒绝。</w:t>
      </w:r>
    </w:p>
    <w:p w14:paraId="1AA9414A">
      <w:pPr>
        <w:pStyle w:val="42"/>
        <w:keepNext w:val="0"/>
        <w:keepLines w:val="0"/>
        <w:pageBreakBefore w:val="0"/>
        <w:widowControl w:val="0"/>
        <w:numPr>
          <w:ilvl w:val="0"/>
          <w:numId w:val="16"/>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须按照</w:t>
      </w:r>
      <w:r>
        <w:rPr>
          <w:rFonts w:hint="eastAsia" w:ascii="Times New Roman" w:hAnsi="Times New Roman" w:eastAsia="宋体" w:cs="Times New Roman"/>
          <w:color w:val="auto"/>
          <w:highlight w:val="none"/>
          <w:lang w:val="en-US" w:eastAsia="zh-CN"/>
        </w:rPr>
        <w:t>招标</w:t>
      </w:r>
      <w:r>
        <w:rPr>
          <w:rFonts w:hint="eastAsia" w:ascii="Times New Roman" w:hAnsi="Times New Roman" w:eastAsia="宋体" w:cs="Times New Roman"/>
          <w:color w:val="auto"/>
          <w:highlight w:val="none"/>
        </w:rPr>
        <w:t>文件的要求在自由</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及限时</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时间以前登录</w:t>
      </w:r>
      <w:r>
        <w:rPr>
          <w:rFonts w:hint="eastAsia" w:ascii="Times New Roman" w:hAnsi="Times New Roman" w:eastAsia="宋体" w:cs="Times New Roman"/>
          <w:color w:val="auto"/>
          <w:highlight w:val="none"/>
          <w:lang w:eastAsia="zh-CN"/>
        </w:rPr>
        <w:t>张家界市公共资源交易中心产权交易系统</w:t>
      </w:r>
      <w:r>
        <w:rPr>
          <w:rFonts w:hint="eastAsia" w:ascii="Times New Roman" w:hAnsi="Times New Roman" w:eastAsia="宋体" w:cs="Times New Roman"/>
          <w:color w:val="auto"/>
          <w:highlight w:val="none"/>
        </w:rPr>
        <w:t>，密切关注系统并保持通讯设备畅通，直到项目</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结束。</w:t>
      </w:r>
    </w:p>
    <w:p w14:paraId="59163230">
      <w:pPr>
        <w:pStyle w:val="42"/>
        <w:keepNext w:val="0"/>
        <w:keepLines w:val="0"/>
        <w:pageBreakBefore w:val="0"/>
        <w:widowControl w:val="0"/>
        <w:numPr>
          <w:ilvl w:val="0"/>
          <w:numId w:val="16"/>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在报名截止时间后按</w:t>
      </w:r>
      <w:r>
        <w:rPr>
          <w:rFonts w:hint="eastAsia" w:ascii="Times New Roman" w:hAnsi="Times New Roman" w:eastAsia="宋体" w:cs="Times New Roman"/>
          <w:color w:val="auto"/>
          <w:highlight w:val="none"/>
          <w:lang w:val="en-US" w:eastAsia="zh-CN"/>
        </w:rPr>
        <w:t>招标</w:t>
      </w:r>
      <w:r>
        <w:rPr>
          <w:rFonts w:hint="eastAsia" w:ascii="Times New Roman" w:hAnsi="Times New Roman" w:eastAsia="宋体" w:cs="Times New Roman"/>
          <w:color w:val="auto"/>
          <w:highlight w:val="none"/>
        </w:rPr>
        <w:t>文件规定的自由</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时间完成网上报价。</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未在</w:t>
      </w:r>
      <w:r>
        <w:rPr>
          <w:rFonts w:hint="eastAsia" w:ascii="Times New Roman" w:hAnsi="Times New Roman" w:eastAsia="宋体" w:cs="Times New Roman"/>
          <w:color w:val="auto"/>
          <w:highlight w:val="none"/>
          <w:lang w:val="en-US" w:eastAsia="zh-CN"/>
        </w:rPr>
        <w:t>招标</w:t>
      </w:r>
      <w:r>
        <w:rPr>
          <w:rFonts w:hint="eastAsia" w:ascii="Times New Roman" w:hAnsi="Times New Roman" w:eastAsia="宋体" w:cs="Times New Roman"/>
          <w:color w:val="auto"/>
          <w:highlight w:val="none"/>
        </w:rPr>
        <w:t>文件规定的自由</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时间内完成网上报价的视为其放弃进入限时</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w:t>
      </w:r>
    </w:p>
    <w:p w14:paraId="545656E5">
      <w:pPr>
        <w:pStyle w:val="42"/>
        <w:keepNext w:val="0"/>
        <w:keepLines w:val="0"/>
        <w:pageBreakBefore w:val="0"/>
        <w:widowControl w:val="0"/>
        <w:numPr>
          <w:ilvl w:val="0"/>
          <w:numId w:val="16"/>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完成评审后</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采购代理</w:t>
      </w:r>
      <w:r>
        <w:rPr>
          <w:rFonts w:hint="eastAsia" w:ascii="Times New Roman" w:hAnsi="Times New Roman" w:eastAsia="宋体" w:cs="Times New Roman"/>
          <w:color w:val="auto"/>
          <w:highlight w:val="none"/>
        </w:rPr>
        <w:t>机构将评审结果及时提交至</w:t>
      </w:r>
      <w:r>
        <w:rPr>
          <w:rFonts w:hint="eastAsia" w:ascii="Times New Roman" w:hAnsi="Times New Roman" w:eastAsia="宋体" w:cs="Times New Roman"/>
          <w:color w:val="auto"/>
          <w:highlight w:val="none"/>
          <w:lang w:eastAsia="zh-CN"/>
        </w:rPr>
        <w:t>张家界市公共资源交易中心产权交易系统</w:t>
      </w:r>
      <w:r>
        <w:rPr>
          <w:rFonts w:hint="eastAsia" w:ascii="Times New Roman" w:hAnsi="Times New Roman" w:eastAsia="宋体" w:cs="Times New Roman"/>
          <w:color w:val="auto"/>
          <w:highlight w:val="none"/>
        </w:rPr>
        <w:t>，通过</w:t>
      </w:r>
      <w:r>
        <w:rPr>
          <w:rFonts w:hint="eastAsia" w:ascii="Times New Roman" w:hAnsi="Times New Roman" w:eastAsia="宋体" w:cs="Times New Roman"/>
          <w:color w:val="auto"/>
          <w:highlight w:val="none"/>
          <w:lang w:eastAsia="zh-CN"/>
        </w:rPr>
        <w:t>产权交易系统</w:t>
      </w:r>
      <w:r>
        <w:rPr>
          <w:rFonts w:hint="eastAsia" w:ascii="Times New Roman" w:hAnsi="Times New Roman" w:eastAsia="宋体" w:cs="Times New Roman"/>
          <w:color w:val="auto"/>
          <w:highlight w:val="none"/>
        </w:rPr>
        <w:t>向</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颁发资格确认书。未通过资格审查和符合性审查的</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无资格参与网上</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w:t>
      </w:r>
    </w:p>
    <w:p w14:paraId="1A3A7D86">
      <w:pPr>
        <w:pStyle w:val="42"/>
        <w:keepNext w:val="0"/>
        <w:keepLines w:val="0"/>
        <w:pageBreakBefore w:val="0"/>
        <w:widowControl w:val="0"/>
        <w:numPr>
          <w:ilvl w:val="0"/>
          <w:numId w:val="16"/>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出现下列情形导致</w:t>
      </w:r>
      <w:r>
        <w:rPr>
          <w:rFonts w:hint="eastAsia" w:ascii="Times New Roman" w:hAnsi="Times New Roman" w:eastAsia="宋体" w:cs="Times New Roman"/>
          <w:color w:val="auto"/>
          <w:highlight w:val="none"/>
          <w:lang w:eastAsia="zh-CN"/>
        </w:rPr>
        <w:t>产权交易系统</w:t>
      </w:r>
      <w:r>
        <w:rPr>
          <w:rFonts w:hint="eastAsia" w:ascii="Times New Roman" w:hAnsi="Times New Roman" w:eastAsia="宋体" w:cs="Times New Roman"/>
          <w:color w:val="auto"/>
          <w:highlight w:val="none"/>
        </w:rPr>
        <w:t>无法正常运行，影响公开</w:t>
      </w:r>
      <w:r>
        <w:rPr>
          <w:rFonts w:hint="eastAsia" w:ascii="Times New Roman" w:hAnsi="Times New Roman" w:eastAsia="宋体" w:cs="Times New Roman"/>
          <w:color w:val="auto"/>
          <w:highlight w:val="none"/>
          <w:lang w:eastAsia="zh-CN"/>
        </w:rPr>
        <w:t>报价</w:t>
      </w:r>
      <w:r>
        <w:rPr>
          <w:rFonts w:hint="eastAsia" w:ascii="Times New Roman" w:hAnsi="Times New Roman" w:eastAsia="宋体" w:cs="Times New Roman"/>
          <w:color w:val="auto"/>
          <w:highlight w:val="none"/>
        </w:rPr>
        <w:t>过程的公平、公正和信息安全，经第三方机构认定后，各方当事人免责：</w:t>
      </w:r>
    </w:p>
    <w:p w14:paraId="5EEB4F6D">
      <w:pPr>
        <w:pStyle w:val="42"/>
        <w:keepNext w:val="0"/>
        <w:keepLines w:val="0"/>
        <w:pageBreakBefore w:val="0"/>
        <w:widowControl w:val="0"/>
        <w:numPr>
          <w:ilvl w:val="0"/>
          <w:numId w:val="17"/>
        </w:numPr>
        <w:kinsoku/>
        <w:wordWrap/>
        <w:overflowPunct/>
        <w:topLinePunct w:val="0"/>
        <w:autoSpaceDE/>
        <w:autoSpaceDN/>
        <w:bidi w:val="0"/>
        <w:adjustRightInd w:val="0"/>
        <w:snapToGrid w:val="0"/>
        <w:spacing w:before="0" w:beforeLines="0"/>
        <w:ind w:left="0" w:leftChars="0" w:firstLine="480" w:firstLineChars="200"/>
        <w:textAlignment w:val="auto"/>
        <w:rPr>
          <w:color w:val="auto"/>
          <w:highlight w:val="none"/>
        </w:rPr>
      </w:pPr>
      <w:r>
        <w:rPr>
          <w:rFonts w:hint="eastAsia"/>
          <w:color w:val="auto"/>
          <w:highlight w:val="none"/>
        </w:rPr>
        <w:t>网络、服务器、数据库发生故障造成无法访问或使用的；</w:t>
      </w:r>
    </w:p>
    <w:p w14:paraId="1E00101D">
      <w:pPr>
        <w:pStyle w:val="42"/>
        <w:keepNext w:val="0"/>
        <w:keepLines w:val="0"/>
        <w:pageBreakBefore w:val="0"/>
        <w:widowControl w:val="0"/>
        <w:numPr>
          <w:ilvl w:val="0"/>
          <w:numId w:val="17"/>
        </w:numPr>
        <w:kinsoku/>
        <w:wordWrap/>
        <w:overflowPunct/>
        <w:topLinePunct w:val="0"/>
        <w:autoSpaceDE/>
        <w:autoSpaceDN/>
        <w:bidi w:val="0"/>
        <w:adjustRightInd w:val="0"/>
        <w:snapToGrid w:val="0"/>
        <w:spacing w:before="0" w:beforeLines="0"/>
        <w:ind w:left="0" w:leftChars="0" w:firstLine="480" w:firstLineChars="200"/>
        <w:textAlignment w:val="auto"/>
        <w:rPr>
          <w:color w:val="auto"/>
          <w:highlight w:val="none"/>
        </w:rPr>
      </w:pPr>
      <w:r>
        <w:rPr>
          <w:rFonts w:hint="eastAsia"/>
          <w:color w:val="auto"/>
          <w:highlight w:val="none"/>
        </w:rPr>
        <w:t>电力系统发生故障导致</w:t>
      </w:r>
      <w:r>
        <w:rPr>
          <w:rFonts w:hint="eastAsia"/>
          <w:color w:val="auto"/>
          <w:highlight w:val="none"/>
          <w:lang w:eastAsia="zh-CN"/>
        </w:rPr>
        <w:t>产权交易系统</w:t>
      </w:r>
      <w:r>
        <w:rPr>
          <w:rFonts w:hint="eastAsia"/>
          <w:color w:val="auto"/>
          <w:highlight w:val="none"/>
        </w:rPr>
        <w:t>无法运行；</w:t>
      </w:r>
    </w:p>
    <w:p w14:paraId="2A38523D">
      <w:pPr>
        <w:pStyle w:val="42"/>
        <w:keepNext w:val="0"/>
        <w:keepLines w:val="0"/>
        <w:pageBreakBefore w:val="0"/>
        <w:widowControl w:val="0"/>
        <w:numPr>
          <w:ilvl w:val="0"/>
          <w:numId w:val="17"/>
        </w:numPr>
        <w:kinsoku/>
        <w:wordWrap/>
        <w:overflowPunct/>
        <w:topLinePunct w:val="0"/>
        <w:autoSpaceDE/>
        <w:autoSpaceDN/>
        <w:bidi w:val="0"/>
        <w:adjustRightInd w:val="0"/>
        <w:snapToGrid w:val="0"/>
        <w:spacing w:before="0" w:beforeLines="0"/>
        <w:ind w:left="0" w:leftChars="0" w:firstLine="480" w:firstLineChars="200"/>
        <w:textAlignment w:val="auto"/>
        <w:rPr>
          <w:color w:val="auto"/>
          <w:highlight w:val="none"/>
        </w:rPr>
      </w:pPr>
      <w:r>
        <w:rPr>
          <w:rFonts w:hint="eastAsia"/>
          <w:color w:val="auto"/>
          <w:highlight w:val="none"/>
        </w:rPr>
        <w:t>出现网络攻击、病毒入侵以及</w:t>
      </w:r>
      <w:r>
        <w:rPr>
          <w:rFonts w:hint="eastAsia"/>
          <w:color w:val="auto"/>
          <w:highlight w:val="none"/>
          <w:lang w:eastAsia="zh-CN"/>
        </w:rPr>
        <w:t>产权交易系统</w:t>
      </w:r>
      <w:r>
        <w:rPr>
          <w:rFonts w:hint="eastAsia"/>
          <w:color w:val="auto"/>
          <w:highlight w:val="none"/>
        </w:rPr>
        <w:t>安全漏洞导致无法正常提供服务的；</w:t>
      </w:r>
    </w:p>
    <w:p w14:paraId="3FC0B74A">
      <w:pPr>
        <w:pStyle w:val="42"/>
        <w:keepNext w:val="0"/>
        <w:keepLines w:val="0"/>
        <w:pageBreakBefore w:val="0"/>
        <w:widowControl w:val="0"/>
        <w:numPr>
          <w:ilvl w:val="0"/>
          <w:numId w:val="17"/>
        </w:numPr>
        <w:kinsoku/>
        <w:wordWrap/>
        <w:overflowPunct/>
        <w:topLinePunct w:val="0"/>
        <w:autoSpaceDE/>
        <w:autoSpaceDN/>
        <w:bidi w:val="0"/>
        <w:adjustRightInd w:val="0"/>
        <w:snapToGrid w:val="0"/>
        <w:spacing w:before="0" w:beforeLines="0"/>
        <w:ind w:left="0" w:leftChars="0" w:firstLine="480" w:firstLineChars="200"/>
        <w:textAlignment w:val="auto"/>
        <w:rPr>
          <w:color w:val="auto"/>
          <w:highlight w:val="none"/>
        </w:rPr>
      </w:pPr>
      <w:r>
        <w:rPr>
          <w:rFonts w:hint="eastAsia"/>
          <w:color w:val="auto"/>
          <w:highlight w:val="none"/>
        </w:rPr>
        <w:t>其他无法保证公开</w:t>
      </w:r>
      <w:r>
        <w:rPr>
          <w:rFonts w:hint="eastAsia"/>
          <w:color w:val="auto"/>
          <w:highlight w:val="none"/>
          <w:lang w:eastAsia="zh-CN"/>
        </w:rPr>
        <w:t>报价</w:t>
      </w:r>
      <w:r>
        <w:rPr>
          <w:rFonts w:hint="eastAsia"/>
          <w:color w:val="auto"/>
          <w:highlight w:val="none"/>
        </w:rPr>
        <w:t>过程公平、公正和信息安全的情形。</w:t>
      </w:r>
    </w:p>
    <w:p w14:paraId="7CECF089">
      <w:pPr>
        <w:pStyle w:val="42"/>
        <w:keepNext w:val="0"/>
        <w:keepLines w:val="0"/>
        <w:pageBreakBefore w:val="0"/>
        <w:widowControl w:val="0"/>
        <w:numPr>
          <w:ilvl w:val="0"/>
          <w:numId w:val="16"/>
        </w:numPr>
        <w:kinsoku/>
        <w:wordWrap/>
        <w:overflowPunct/>
        <w:topLinePunct w:val="0"/>
        <w:autoSpaceDE/>
        <w:autoSpaceDN/>
        <w:bidi w:val="0"/>
        <w:spacing w:before="0" w:beforeLines="0"/>
        <w:ind w:left="0" w:leftChars="0" w:firstLine="425"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出现上述情形，系统建设方应及时组织相关方查明原因，排除故障。若能保证在</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前恢复系统运行的，</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程序继续进行；若导致</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程序无法按时开展，但能在原</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时间后1小时内恢复系统运行的，</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程序继续进行；若导致</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程序无法按时开展，在原</w:t>
      </w:r>
      <w:r>
        <w:rPr>
          <w:rFonts w:hint="eastAsia" w:ascii="Times New Roman" w:hAnsi="Times New Roman" w:eastAsia="宋体" w:cs="Times New Roman"/>
          <w:color w:val="auto"/>
          <w:highlight w:val="none"/>
          <w:lang w:val="en-US" w:eastAsia="zh-CN"/>
        </w:rPr>
        <w:t>报价</w:t>
      </w:r>
      <w:r>
        <w:rPr>
          <w:rFonts w:hint="eastAsia" w:ascii="Times New Roman" w:hAnsi="Times New Roman" w:eastAsia="宋体" w:cs="Times New Roman"/>
          <w:color w:val="auto"/>
          <w:highlight w:val="none"/>
        </w:rPr>
        <w:t>时间后1小时内无法恢复系统运行的，按以下程序操作：</w:t>
      </w:r>
    </w:p>
    <w:p w14:paraId="32AAFFAE">
      <w:pPr>
        <w:pStyle w:val="4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480" w:firstLineChars="200"/>
        <w:textAlignment w:val="auto"/>
        <w:rPr>
          <w:rFonts w:hint="eastAsia" w:ascii="Times New Roman" w:hAnsi="Times New Roman" w:eastAsia="宋体" w:cs="Times New Roman"/>
          <w:color w:val="auto"/>
          <w:highlight w:val="none"/>
        </w:rPr>
      </w:pPr>
      <w:r>
        <w:rPr>
          <w:rFonts w:hint="eastAsia" w:cs="Times New Roman"/>
          <w:color w:val="auto"/>
          <w:highlight w:val="none"/>
          <w:lang w:val="en-US" w:eastAsia="zh-CN"/>
        </w:rPr>
        <w:t>1）</w:t>
      </w:r>
      <w:r>
        <w:rPr>
          <w:rFonts w:hint="eastAsia" w:ascii="Times New Roman" w:hAnsi="Times New Roman" w:eastAsia="宋体" w:cs="Times New Roman"/>
          <w:color w:val="auto"/>
          <w:highlight w:val="none"/>
        </w:rPr>
        <w:t>项目中止，中止期限由</w:t>
      </w:r>
      <w:r>
        <w:rPr>
          <w:rFonts w:hint="eastAsia" w:ascii="Times New Roman" w:hAnsi="Times New Roman" w:eastAsia="宋体" w:cs="Times New Roman"/>
          <w:color w:val="auto"/>
          <w:highlight w:val="none"/>
          <w:lang w:val="en-US" w:eastAsia="zh-CN"/>
        </w:rPr>
        <w:t>采购</w:t>
      </w:r>
      <w:r>
        <w:rPr>
          <w:rFonts w:hint="eastAsia" w:ascii="Times New Roman" w:hAnsi="Times New Roman" w:eastAsia="宋体" w:cs="Times New Roman"/>
          <w:color w:val="auto"/>
          <w:highlight w:val="none"/>
        </w:rPr>
        <w:t>人或</w:t>
      </w:r>
      <w:r>
        <w:rPr>
          <w:rFonts w:hint="eastAsia" w:ascii="Times New Roman" w:hAnsi="Times New Roman" w:eastAsia="宋体" w:cs="Times New Roman"/>
          <w:color w:val="auto"/>
          <w:highlight w:val="none"/>
          <w:lang w:val="en-US" w:eastAsia="zh-CN"/>
        </w:rPr>
        <w:t>采购代理</w:t>
      </w:r>
      <w:r>
        <w:rPr>
          <w:rFonts w:hint="eastAsia" w:ascii="Times New Roman" w:hAnsi="Times New Roman" w:eastAsia="宋体" w:cs="Times New Roman"/>
          <w:color w:val="auto"/>
          <w:highlight w:val="none"/>
        </w:rPr>
        <w:t>机构根据项目具体情况确定。中止期限届满后中止情形尚未消除的，</w:t>
      </w:r>
      <w:r>
        <w:rPr>
          <w:rFonts w:hint="eastAsia" w:ascii="Times New Roman" w:hAnsi="Times New Roman" w:eastAsia="宋体" w:cs="Times New Roman"/>
          <w:color w:val="auto"/>
          <w:highlight w:val="none"/>
          <w:lang w:val="en-US" w:eastAsia="zh-CN"/>
        </w:rPr>
        <w:t>采购</w:t>
      </w:r>
      <w:r>
        <w:rPr>
          <w:rFonts w:hint="eastAsia" w:ascii="Times New Roman" w:hAnsi="Times New Roman" w:eastAsia="宋体" w:cs="Times New Roman"/>
          <w:color w:val="auto"/>
          <w:highlight w:val="none"/>
        </w:rPr>
        <w:t>人或</w:t>
      </w:r>
      <w:r>
        <w:rPr>
          <w:rFonts w:hint="eastAsia" w:ascii="Times New Roman" w:hAnsi="Times New Roman" w:eastAsia="宋体" w:cs="Times New Roman"/>
          <w:color w:val="auto"/>
          <w:highlight w:val="none"/>
          <w:lang w:val="en-US" w:eastAsia="zh-CN"/>
        </w:rPr>
        <w:t>采购代理</w:t>
      </w:r>
      <w:r>
        <w:rPr>
          <w:rFonts w:hint="eastAsia" w:ascii="Times New Roman" w:hAnsi="Times New Roman" w:eastAsia="宋体" w:cs="Times New Roman"/>
          <w:color w:val="auto"/>
          <w:highlight w:val="none"/>
        </w:rPr>
        <w:t>机构可以根据实际情况决定延长中止期限。决定延长中止期限的，应向</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发出延长中止期限通知，并在</w:t>
      </w:r>
      <w:r>
        <w:rPr>
          <w:rFonts w:hint="eastAsia" w:ascii="Times New Roman" w:hAnsi="Times New Roman" w:eastAsia="宋体" w:cs="Times New Roman"/>
          <w:color w:val="auto"/>
          <w:highlight w:val="none"/>
          <w:lang w:val="en-US" w:eastAsia="zh-CN"/>
        </w:rPr>
        <w:t>相关</w:t>
      </w:r>
      <w:r>
        <w:rPr>
          <w:rFonts w:hint="eastAsia" w:ascii="Times New Roman" w:hAnsi="Times New Roman" w:eastAsia="宋体" w:cs="Times New Roman"/>
          <w:color w:val="auto"/>
          <w:highlight w:val="none"/>
        </w:rPr>
        <w:t>网站进行公布。</w:t>
      </w:r>
    </w:p>
    <w:p w14:paraId="011857EF">
      <w:pPr>
        <w:pStyle w:val="42"/>
        <w:keepNext w:val="0"/>
        <w:keepLines w:val="0"/>
        <w:pageBreakBefore w:val="0"/>
        <w:widowControl w:val="0"/>
        <w:numPr>
          <w:ilvl w:val="0"/>
          <w:numId w:val="0"/>
        </w:numPr>
        <w:kinsoku/>
        <w:wordWrap/>
        <w:overflowPunct/>
        <w:topLinePunct w:val="0"/>
        <w:autoSpaceDE/>
        <w:autoSpaceDN/>
        <w:bidi w:val="0"/>
        <w:spacing w:before="0" w:beforeLines="0"/>
        <w:ind w:firstLine="480" w:firstLineChars="200"/>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r>
        <w:rPr>
          <w:rFonts w:hint="eastAsia" w:ascii="Times New Roman" w:hAnsi="Times New Roman" w:eastAsia="宋体" w:cs="Times New Roman"/>
          <w:color w:val="auto"/>
          <w:highlight w:val="none"/>
        </w:rPr>
        <w:t>项目恢复，导致项目中止的情形消除后，</w:t>
      </w:r>
      <w:r>
        <w:rPr>
          <w:rFonts w:hint="eastAsia" w:ascii="Times New Roman" w:hAnsi="Times New Roman" w:eastAsia="宋体" w:cs="Times New Roman"/>
          <w:color w:val="auto"/>
          <w:highlight w:val="none"/>
          <w:lang w:val="en-US" w:eastAsia="zh-CN"/>
        </w:rPr>
        <w:t>采购</w:t>
      </w:r>
      <w:r>
        <w:rPr>
          <w:rFonts w:hint="eastAsia" w:ascii="Times New Roman" w:hAnsi="Times New Roman" w:eastAsia="宋体" w:cs="Times New Roman"/>
          <w:color w:val="auto"/>
          <w:highlight w:val="none"/>
        </w:rPr>
        <w:t>人或</w:t>
      </w:r>
      <w:r>
        <w:rPr>
          <w:rFonts w:hint="eastAsia" w:ascii="Times New Roman" w:hAnsi="Times New Roman" w:eastAsia="宋体" w:cs="Times New Roman"/>
          <w:color w:val="auto"/>
          <w:highlight w:val="none"/>
          <w:lang w:val="en-US" w:eastAsia="zh-CN"/>
        </w:rPr>
        <w:t>采购代理</w:t>
      </w:r>
      <w:r>
        <w:rPr>
          <w:rFonts w:hint="eastAsia" w:ascii="Times New Roman" w:hAnsi="Times New Roman" w:eastAsia="宋体" w:cs="Times New Roman"/>
          <w:color w:val="auto"/>
          <w:highlight w:val="none"/>
        </w:rPr>
        <w:t>机构应当尽快恢复</w:t>
      </w:r>
      <w:r>
        <w:rPr>
          <w:rFonts w:hint="eastAsia" w:ascii="Times New Roman" w:hAnsi="Times New Roman" w:eastAsia="宋体" w:cs="Times New Roman"/>
          <w:color w:val="auto"/>
          <w:highlight w:val="none"/>
          <w:lang w:eastAsia="zh-CN"/>
        </w:rPr>
        <w:t>报价</w:t>
      </w:r>
      <w:r>
        <w:rPr>
          <w:rFonts w:hint="eastAsia" w:ascii="Times New Roman" w:hAnsi="Times New Roman" w:eastAsia="宋体" w:cs="Times New Roman"/>
          <w:color w:val="auto"/>
          <w:highlight w:val="none"/>
        </w:rPr>
        <w:t>程序，向</w:t>
      </w:r>
      <w:r>
        <w:rPr>
          <w:rFonts w:hint="eastAsia" w:ascii="Times New Roman" w:hAnsi="Times New Roman" w:eastAsia="宋体" w:cs="Times New Roman"/>
          <w:color w:val="auto"/>
          <w:highlight w:val="none"/>
          <w:lang w:eastAsia="zh-CN"/>
        </w:rPr>
        <w:t>投标人</w:t>
      </w:r>
      <w:r>
        <w:rPr>
          <w:rFonts w:hint="eastAsia" w:ascii="Times New Roman" w:hAnsi="Times New Roman" w:eastAsia="宋体" w:cs="Times New Roman"/>
          <w:color w:val="auto"/>
          <w:highlight w:val="none"/>
        </w:rPr>
        <w:t>发出恢复交易通知，并在</w:t>
      </w:r>
      <w:r>
        <w:rPr>
          <w:rFonts w:hint="eastAsia" w:ascii="Times New Roman" w:hAnsi="Times New Roman" w:eastAsia="宋体" w:cs="Times New Roman"/>
          <w:color w:val="auto"/>
          <w:highlight w:val="none"/>
          <w:lang w:val="en-US" w:eastAsia="zh-CN"/>
        </w:rPr>
        <w:t>相关</w:t>
      </w:r>
      <w:r>
        <w:rPr>
          <w:rFonts w:hint="eastAsia" w:ascii="Times New Roman" w:hAnsi="Times New Roman" w:eastAsia="宋体" w:cs="Times New Roman"/>
          <w:color w:val="auto"/>
          <w:highlight w:val="none"/>
        </w:rPr>
        <w:t>网站进行公布；已发出延长中止期限通知的，按通知执行。</w:t>
      </w:r>
    </w:p>
    <w:p w14:paraId="5BF4AC2E">
      <w:pPr>
        <w:pStyle w:val="42"/>
        <w:keepNext w:val="0"/>
        <w:keepLines w:val="0"/>
        <w:pageBreakBefore w:val="0"/>
        <w:widowControl w:val="0"/>
        <w:numPr>
          <w:ilvl w:val="0"/>
          <w:numId w:val="0"/>
        </w:numPr>
        <w:kinsoku/>
        <w:wordWrap/>
        <w:overflowPunct/>
        <w:topLinePunct w:val="0"/>
        <w:autoSpaceDE/>
        <w:autoSpaceDN/>
        <w:bidi w:val="0"/>
        <w:spacing w:before="156"/>
        <w:ind w:left="425" w:leftChars="0"/>
        <w:textAlignment w:val="auto"/>
        <w:rPr>
          <w:rFonts w:hint="eastAsia" w:ascii="Times New Roman" w:hAnsi="Times New Roman" w:eastAsia="宋体" w:cs="Times New Roman"/>
          <w:color w:val="auto"/>
          <w:highlight w:val="none"/>
        </w:rPr>
      </w:pPr>
    </w:p>
    <w:p w14:paraId="567205EC">
      <w:pPr>
        <w:pStyle w:val="42"/>
        <w:keepNext w:val="0"/>
        <w:keepLines w:val="0"/>
        <w:pageBreakBefore w:val="0"/>
        <w:widowControl w:val="0"/>
        <w:numPr>
          <w:ilvl w:val="0"/>
          <w:numId w:val="18"/>
        </w:numPr>
        <w:kinsoku/>
        <w:wordWrap/>
        <w:overflowPunct/>
        <w:topLinePunct w:val="0"/>
        <w:autoSpaceDE/>
        <w:autoSpaceDN/>
        <w:bidi w:val="0"/>
        <w:adjustRightInd w:val="0"/>
        <w:snapToGrid w:val="0"/>
        <w:spacing w:before="156"/>
        <w:ind w:left="0" w:leftChars="0" w:firstLine="480" w:firstLineChars="200"/>
        <w:textAlignment w:val="auto"/>
        <w:rPr>
          <w:rFonts w:hint="eastAsia"/>
          <w:color w:val="auto"/>
        </w:rPr>
      </w:pPr>
      <w:r>
        <w:rPr>
          <w:rFonts w:hint="eastAsia"/>
          <w:color w:val="auto"/>
        </w:rPr>
        <w:br w:type="page"/>
      </w:r>
    </w:p>
    <w:p w14:paraId="51BDAD7B">
      <w:pPr>
        <w:pStyle w:val="2"/>
        <w:bidi w:val="0"/>
        <w:rPr>
          <w:color w:val="auto"/>
        </w:rPr>
      </w:pPr>
      <w:bookmarkStart w:id="71" w:name="_Toc14923"/>
      <w:r>
        <w:rPr>
          <w:rFonts w:hint="eastAsia"/>
          <w:color w:val="auto"/>
        </w:rPr>
        <w:t>第五章 政府采购合同</w:t>
      </w:r>
      <w:bookmarkEnd w:id="69"/>
      <w:bookmarkEnd w:id="70"/>
      <w:bookmarkEnd w:id="71"/>
    </w:p>
    <w:bookmarkEnd w:id="42"/>
    <w:bookmarkEnd w:id="43"/>
    <w:bookmarkEnd w:id="44"/>
    <w:bookmarkEnd w:id="45"/>
    <w:p w14:paraId="38916735">
      <w:pPr>
        <w:pStyle w:val="19"/>
        <w:rPr>
          <w:rFonts w:hint="default"/>
          <w:color w:val="auto"/>
          <w:lang w:val="en-US" w:eastAsia="zh-CN"/>
        </w:rPr>
      </w:pPr>
    </w:p>
    <w:tbl>
      <w:tblPr>
        <w:tblStyle w:val="32"/>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
        <w:gridCol w:w="2591"/>
        <w:gridCol w:w="6806"/>
        <w:gridCol w:w="240"/>
      </w:tblGrid>
      <w:tr w14:paraId="63E7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880" w:type="dxa"/>
            <w:gridSpan w:val="4"/>
            <w:tcBorders>
              <w:top w:val="nil"/>
              <w:left w:val="nil"/>
              <w:bottom w:val="nil"/>
              <w:right w:val="nil"/>
            </w:tcBorders>
            <w:noWrap w:val="0"/>
            <w:vAlign w:val="top"/>
          </w:tcPr>
          <w:p w14:paraId="27E55D48">
            <w:pPr>
              <w:pStyle w:val="16"/>
              <w:ind w:left="0" w:leftChars="0" w:firstLine="0" w:firstLineChars="0"/>
              <w:rPr>
                <w:color w:val="auto"/>
                <w:highlight w:val="none"/>
              </w:rPr>
            </w:pPr>
          </w:p>
        </w:tc>
      </w:tr>
      <w:tr w14:paraId="7151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9880" w:type="dxa"/>
            <w:gridSpan w:val="4"/>
            <w:tcBorders>
              <w:top w:val="nil"/>
              <w:left w:val="nil"/>
              <w:bottom w:val="nil"/>
              <w:right w:val="nil"/>
            </w:tcBorders>
            <w:noWrap w:val="0"/>
            <w:vAlign w:val="top"/>
          </w:tcPr>
          <w:p w14:paraId="1FA7FA5C">
            <w:pPr>
              <w:jc w:val="center"/>
              <w:rPr>
                <w:rFonts w:ascii="Times New Roman" w:hAnsi="Times New Roman"/>
                <w:b/>
                <w:color w:val="auto"/>
                <w:highlight w:val="none"/>
              </w:rPr>
            </w:pPr>
            <w:r>
              <w:rPr>
                <w:rFonts w:hint="eastAsia" w:ascii="方正小标宋_GBK" w:hAnsi="方正小标宋_GBK" w:eastAsia="方正小标宋_GBK" w:cs="方正小标宋_GBK"/>
                <w:color w:val="auto"/>
                <w:sz w:val="72"/>
                <w:szCs w:val="72"/>
                <w:highlight w:val="none"/>
              </w:rPr>
              <w:t>政府采购合同</w:t>
            </w:r>
          </w:p>
        </w:tc>
      </w:tr>
      <w:tr w14:paraId="3851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9880" w:type="dxa"/>
            <w:gridSpan w:val="4"/>
            <w:tcBorders>
              <w:top w:val="nil"/>
              <w:left w:val="nil"/>
              <w:bottom w:val="nil"/>
              <w:right w:val="nil"/>
            </w:tcBorders>
            <w:noWrap w:val="0"/>
            <w:vAlign w:val="top"/>
          </w:tcPr>
          <w:p w14:paraId="4AD892A4">
            <w:pPr>
              <w:jc w:val="center"/>
              <w:rPr>
                <w:rFonts w:ascii="Times New Roman" w:hAnsi="Times New Roman"/>
                <w:color w:val="auto"/>
                <w:sz w:val="44"/>
                <w:highlight w:val="none"/>
              </w:rPr>
            </w:pPr>
            <w:r>
              <w:rPr>
                <w:rFonts w:hint="eastAsia" w:ascii="方正小标宋_GBK" w:hAnsi="方正小标宋_GBK" w:eastAsia="方正小标宋_GBK" w:cs="方正小标宋_GBK"/>
                <w:color w:val="auto"/>
                <w:sz w:val="56"/>
                <w:szCs w:val="56"/>
                <w:highlight w:val="none"/>
              </w:rPr>
              <w:t>（</w:t>
            </w:r>
            <w:r>
              <w:rPr>
                <w:rFonts w:hint="eastAsia" w:ascii="方正小标宋_GBK" w:hAnsi="方正小标宋_GBK" w:eastAsia="方正小标宋_GBK" w:cs="方正小标宋_GBK"/>
                <w:color w:val="auto"/>
                <w:sz w:val="56"/>
                <w:szCs w:val="56"/>
                <w:highlight w:val="none"/>
                <w:lang w:val="en-US" w:eastAsia="zh-CN"/>
              </w:rPr>
              <w:t>货物</w:t>
            </w:r>
            <w:r>
              <w:rPr>
                <w:rFonts w:hint="eastAsia" w:ascii="方正小标宋_GBK" w:hAnsi="方正小标宋_GBK" w:eastAsia="方正小标宋_GBK" w:cs="方正小标宋_GBK"/>
                <w:color w:val="auto"/>
                <w:sz w:val="56"/>
                <w:szCs w:val="56"/>
                <w:highlight w:val="none"/>
              </w:rPr>
              <w:t>类）</w:t>
            </w:r>
          </w:p>
        </w:tc>
      </w:tr>
      <w:tr w14:paraId="35A4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9880" w:type="dxa"/>
            <w:gridSpan w:val="4"/>
            <w:tcBorders>
              <w:top w:val="nil"/>
              <w:left w:val="nil"/>
              <w:bottom w:val="nil"/>
              <w:right w:val="nil"/>
            </w:tcBorders>
            <w:noWrap w:val="0"/>
            <w:vAlign w:val="top"/>
          </w:tcPr>
          <w:p w14:paraId="78248DF4">
            <w:pPr>
              <w:pStyle w:val="42"/>
              <w:spacing w:before="156"/>
              <w:ind w:left="0" w:leftChars="0" w:firstLine="0" w:firstLineChars="0"/>
              <w:jc w:val="both"/>
              <w:rPr>
                <w:color w:val="auto"/>
                <w:highlight w:val="none"/>
              </w:rPr>
            </w:pPr>
          </w:p>
        </w:tc>
      </w:tr>
      <w:tr w14:paraId="3564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restart"/>
            <w:tcBorders>
              <w:top w:val="nil"/>
              <w:left w:val="nil"/>
              <w:bottom w:val="nil"/>
              <w:right w:val="nil"/>
            </w:tcBorders>
            <w:noWrap w:val="0"/>
            <w:vAlign w:val="center"/>
          </w:tcPr>
          <w:p w14:paraId="04D2EBB0">
            <w:pPr>
              <w:adjustRightInd w:val="0"/>
              <w:snapToGrid w:val="0"/>
              <w:rPr>
                <w:rFonts w:ascii="Times New Roman" w:hAnsi="Times New Roman" w:eastAsia="楷体_GB2312"/>
                <w:color w:val="auto"/>
                <w:sz w:val="52"/>
                <w:highlight w:val="none"/>
              </w:rPr>
            </w:pPr>
          </w:p>
        </w:tc>
        <w:tc>
          <w:tcPr>
            <w:tcW w:w="2591" w:type="dxa"/>
            <w:tcBorders>
              <w:top w:val="nil"/>
              <w:left w:val="nil"/>
              <w:bottom w:val="nil"/>
              <w:right w:val="nil"/>
            </w:tcBorders>
            <w:noWrap w:val="0"/>
            <w:vAlign w:val="center"/>
          </w:tcPr>
          <w:p w14:paraId="75FEC95F">
            <w:pPr>
              <w:adjustRightInd w:val="0"/>
              <w:snapToGrid w:val="0"/>
              <w:spacing w:line="360" w:lineRule="auto"/>
              <w:jc w:val="distribute"/>
              <w:rPr>
                <w:rFonts w:ascii="Times New Roman" w:hAnsi="Times New Roman"/>
                <w:color w:val="auto"/>
                <w:highlight w:val="none"/>
              </w:rPr>
            </w:pPr>
            <w:r>
              <w:rPr>
                <w:rFonts w:hint="eastAsia" w:ascii="黑体" w:hAnsi="黑体" w:eastAsia="黑体" w:cs="黑体"/>
                <w:color w:val="auto"/>
                <w:sz w:val="32"/>
                <w:szCs w:val="32"/>
                <w:highlight w:val="none"/>
              </w:rPr>
              <w:t>项目名称：</w:t>
            </w:r>
          </w:p>
        </w:tc>
        <w:tc>
          <w:tcPr>
            <w:tcW w:w="6806" w:type="dxa"/>
            <w:tcBorders>
              <w:top w:val="nil"/>
              <w:left w:val="nil"/>
              <w:bottom w:val="nil"/>
              <w:right w:val="nil"/>
            </w:tcBorders>
            <w:noWrap w:val="0"/>
            <w:vAlign w:val="center"/>
          </w:tcPr>
          <w:p w14:paraId="4E8F8DAC">
            <w:pPr>
              <w:jc w:val="center"/>
              <w:rPr>
                <w:rFonts w:hint="eastAsia" w:ascii="微软雅黑" w:hAnsi="微软雅黑" w:eastAsia="微软雅黑" w:cs="微软雅黑"/>
                <w:color w:val="auto"/>
                <w:sz w:val="28"/>
                <w:szCs w:val="28"/>
                <w:highlight w:val="none"/>
                <w:lang w:eastAsia="zh-CN"/>
              </w:rPr>
            </w:pPr>
            <w:r>
              <w:rPr>
                <w:rFonts w:hint="eastAsia" w:ascii="微软雅黑" w:hAnsi="微软雅黑" w:eastAsia="微软雅黑" w:cs="微软雅黑"/>
                <w:color w:val="auto"/>
                <w:sz w:val="28"/>
                <w:szCs w:val="28"/>
                <w:highlight w:val="none"/>
                <w:lang w:val="en-US" w:eastAsia="zh-CN"/>
              </w:rPr>
              <w:t>慈利县2026年度菜籽油大县奖励资金项目—油菜种子、硼肥采购子项目</w:t>
            </w:r>
          </w:p>
        </w:tc>
        <w:tc>
          <w:tcPr>
            <w:tcW w:w="240" w:type="dxa"/>
            <w:vMerge w:val="restart"/>
            <w:tcBorders>
              <w:top w:val="nil"/>
              <w:left w:val="nil"/>
              <w:bottom w:val="nil"/>
              <w:right w:val="nil"/>
            </w:tcBorders>
            <w:noWrap w:val="0"/>
            <w:vAlign w:val="center"/>
          </w:tcPr>
          <w:p w14:paraId="1B1264FE">
            <w:pPr>
              <w:adjustRightInd w:val="0"/>
              <w:snapToGrid w:val="0"/>
              <w:rPr>
                <w:rFonts w:ascii="Times New Roman" w:hAnsi="Times New Roman" w:eastAsia="楷体_GB2312"/>
                <w:color w:val="auto"/>
                <w:sz w:val="52"/>
                <w:highlight w:val="none"/>
              </w:rPr>
            </w:pPr>
          </w:p>
        </w:tc>
      </w:tr>
      <w:tr w14:paraId="2B4B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43" w:type="dxa"/>
            <w:vMerge w:val="continue"/>
            <w:tcBorders>
              <w:top w:val="nil"/>
              <w:left w:val="nil"/>
              <w:bottom w:val="nil"/>
              <w:right w:val="nil"/>
            </w:tcBorders>
            <w:noWrap w:val="0"/>
            <w:vAlign w:val="center"/>
          </w:tcPr>
          <w:p w14:paraId="15B031B3">
            <w:pPr>
              <w:widowControl/>
              <w:jc w:val="left"/>
              <w:rPr>
                <w:rFonts w:ascii="Times New Roman" w:hAnsi="Times New Roman" w:eastAsia="楷体_GB2312"/>
                <w:color w:val="auto"/>
                <w:sz w:val="52"/>
                <w:highlight w:val="none"/>
              </w:rPr>
            </w:pPr>
          </w:p>
        </w:tc>
        <w:tc>
          <w:tcPr>
            <w:tcW w:w="2591" w:type="dxa"/>
            <w:tcBorders>
              <w:top w:val="nil"/>
              <w:left w:val="nil"/>
              <w:bottom w:val="nil"/>
              <w:right w:val="nil"/>
            </w:tcBorders>
            <w:noWrap w:val="0"/>
            <w:vAlign w:val="center"/>
          </w:tcPr>
          <w:p w14:paraId="4505C81B">
            <w:pPr>
              <w:adjustRightInd w:val="0"/>
              <w:snapToGrid w:val="0"/>
              <w:spacing w:line="360" w:lineRule="auto"/>
              <w:jc w:val="distribute"/>
              <w:rPr>
                <w:rFonts w:ascii="Times New Roman" w:hAnsi="Times New Roman"/>
                <w:color w:val="auto"/>
                <w:highlight w:val="none"/>
              </w:rPr>
            </w:pPr>
            <w:r>
              <w:rPr>
                <w:rFonts w:hint="eastAsia" w:ascii="黑体" w:hAnsi="黑体" w:eastAsia="黑体" w:cs="黑体"/>
                <w:color w:val="auto"/>
                <w:sz w:val="32"/>
                <w:szCs w:val="32"/>
                <w:highlight w:val="none"/>
              </w:rPr>
              <w:t>采购合同编号：</w:t>
            </w:r>
          </w:p>
        </w:tc>
        <w:tc>
          <w:tcPr>
            <w:tcW w:w="6806" w:type="dxa"/>
            <w:tcBorders>
              <w:top w:val="nil"/>
              <w:left w:val="nil"/>
              <w:bottom w:val="nil"/>
              <w:right w:val="nil"/>
            </w:tcBorders>
            <w:noWrap w:val="0"/>
            <w:vAlign w:val="center"/>
          </w:tcPr>
          <w:p w14:paraId="1A21F937">
            <w:pPr>
              <w:jc w:val="center"/>
              <w:rPr>
                <w:rFonts w:hint="eastAsia" w:ascii="微软雅黑" w:hAnsi="微软雅黑" w:eastAsia="微软雅黑" w:cs="微软雅黑"/>
                <w:color w:val="auto"/>
                <w:sz w:val="28"/>
                <w:szCs w:val="28"/>
                <w:highlight w:val="none"/>
              </w:rPr>
            </w:pPr>
          </w:p>
        </w:tc>
        <w:tc>
          <w:tcPr>
            <w:tcW w:w="240" w:type="dxa"/>
            <w:vMerge w:val="continue"/>
            <w:tcBorders>
              <w:top w:val="nil"/>
              <w:left w:val="nil"/>
              <w:bottom w:val="nil"/>
              <w:right w:val="nil"/>
            </w:tcBorders>
            <w:noWrap w:val="0"/>
            <w:vAlign w:val="center"/>
          </w:tcPr>
          <w:p w14:paraId="02A242C9">
            <w:pPr>
              <w:widowControl/>
              <w:jc w:val="left"/>
              <w:rPr>
                <w:rFonts w:ascii="Times New Roman" w:hAnsi="Times New Roman" w:eastAsia="楷体_GB2312"/>
                <w:color w:val="auto"/>
                <w:sz w:val="52"/>
                <w:highlight w:val="none"/>
              </w:rPr>
            </w:pPr>
          </w:p>
        </w:tc>
      </w:tr>
      <w:tr w14:paraId="08FE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noWrap w:val="0"/>
            <w:vAlign w:val="center"/>
          </w:tcPr>
          <w:p w14:paraId="69E920A8">
            <w:pPr>
              <w:widowControl/>
              <w:jc w:val="left"/>
              <w:rPr>
                <w:rFonts w:ascii="Times New Roman" w:hAnsi="Times New Roman" w:eastAsia="楷体_GB2312"/>
                <w:color w:val="auto"/>
                <w:sz w:val="52"/>
                <w:highlight w:val="none"/>
              </w:rPr>
            </w:pPr>
          </w:p>
        </w:tc>
        <w:tc>
          <w:tcPr>
            <w:tcW w:w="2591" w:type="dxa"/>
            <w:tcBorders>
              <w:top w:val="nil"/>
              <w:left w:val="nil"/>
              <w:bottom w:val="nil"/>
              <w:right w:val="nil"/>
            </w:tcBorders>
            <w:noWrap w:val="0"/>
            <w:vAlign w:val="center"/>
          </w:tcPr>
          <w:p w14:paraId="7F8022CB">
            <w:pPr>
              <w:adjustRightInd w:val="0"/>
              <w:snapToGrid w:val="0"/>
              <w:spacing w:line="360" w:lineRule="auto"/>
              <w:jc w:val="distribute"/>
              <w:rPr>
                <w:rFonts w:ascii="Times New Roman" w:hAnsi="Times New Roman"/>
                <w:color w:val="auto"/>
                <w:highlight w:val="none"/>
              </w:rPr>
            </w:pPr>
            <w:r>
              <w:rPr>
                <w:rFonts w:hint="eastAsia" w:ascii="黑体" w:hAnsi="黑体" w:eastAsia="黑体" w:cs="黑体"/>
                <w:color w:val="auto"/>
                <w:sz w:val="32"/>
                <w:szCs w:val="32"/>
                <w:highlight w:val="none"/>
              </w:rPr>
              <w:t>甲方（采购人）：</w:t>
            </w:r>
          </w:p>
        </w:tc>
        <w:tc>
          <w:tcPr>
            <w:tcW w:w="6806" w:type="dxa"/>
            <w:tcBorders>
              <w:top w:val="nil"/>
              <w:left w:val="nil"/>
              <w:bottom w:val="nil"/>
              <w:right w:val="nil"/>
            </w:tcBorders>
            <w:noWrap w:val="0"/>
            <w:vAlign w:val="center"/>
          </w:tcPr>
          <w:p w14:paraId="05378BB1">
            <w:pPr>
              <w:jc w:val="center"/>
              <w:rPr>
                <w:rFonts w:hint="eastAsia" w:ascii="微软雅黑" w:hAnsi="微软雅黑" w:eastAsia="微软雅黑" w:cs="微软雅黑"/>
                <w:color w:val="auto"/>
                <w:sz w:val="28"/>
                <w:szCs w:val="28"/>
                <w:highlight w:val="none"/>
                <w:lang w:eastAsia="zh-CN"/>
              </w:rPr>
            </w:pPr>
            <w:r>
              <w:rPr>
                <w:rFonts w:hint="eastAsia" w:ascii="微软雅黑" w:hAnsi="微软雅黑" w:eastAsia="微软雅黑" w:cs="微软雅黑"/>
                <w:color w:val="auto"/>
                <w:sz w:val="28"/>
                <w:szCs w:val="28"/>
                <w:highlight w:val="none"/>
                <w:lang w:eastAsia="zh-CN"/>
              </w:rPr>
              <w:t>慈利县农业农村局</w:t>
            </w:r>
          </w:p>
        </w:tc>
        <w:tc>
          <w:tcPr>
            <w:tcW w:w="240" w:type="dxa"/>
            <w:vMerge w:val="continue"/>
            <w:tcBorders>
              <w:top w:val="nil"/>
              <w:left w:val="nil"/>
              <w:bottom w:val="nil"/>
              <w:right w:val="nil"/>
            </w:tcBorders>
            <w:noWrap w:val="0"/>
            <w:vAlign w:val="center"/>
          </w:tcPr>
          <w:p w14:paraId="18618E74">
            <w:pPr>
              <w:widowControl/>
              <w:jc w:val="left"/>
              <w:rPr>
                <w:rFonts w:ascii="Times New Roman" w:hAnsi="Times New Roman" w:eastAsia="楷体_GB2312"/>
                <w:color w:val="auto"/>
                <w:sz w:val="52"/>
                <w:highlight w:val="none"/>
              </w:rPr>
            </w:pPr>
          </w:p>
        </w:tc>
      </w:tr>
      <w:tr w14:paraId="56F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noWrap w:val="0"/>
            <w:vAlign w:val="center"/>
          </w:tcPr>
          <w:p w14:paraId="5880B659">
            <w:pPr>
              <w:widowControl/>
              <w:jc w:val="left"/>
              <w:rPr>
                <w:rFonts w:ascii="Times New Roman" w:hAnsi="Times New Roman" w:eastAsia="楷体_GB2312"/>
                <w:color w:val="auto"/>
                <w:sz w:val="52"/>
                <w:highlight w:val="none"/>
              </w:rPr>
            </w:pPr>
          </w:p>
        </w:tc>
        <w:tc>
          <w:tcPr>
            <w:tcW w:w="2591" w:type="dxa"/>
            <w:tcBorders>
              <w:top w:val="nil"/>
              <w:left w:val="nil"/>
              <w:bottom w:val="nil"/>
              <w:right w:val="nil"/>
            </w:tcBorders>
            <w:noWrap w:val="0"/>
            <w:vAlign w:val="center"/>
          </w:tcPr>
          <w:p w14:paraId="3A2696F1">
            <w:pPr>
              <w:adjustRightInd w:val="0"/>
              <w:snapToGrid w:val="0"/>
              <w:spacing w:line="360" w:lineRule="auto"/>
              <w:jc w:val="distribute"/>
              <w:rPr>
                <w:rFonts w:ascii="Times New Roman" w:hAnsi="Times New Roman"/>
                <w:color w:val="auto"/>
                <w:highlight w:val="none"/>
              </w:rPr>
            </w:pPr>
            <w:r>
              <w:rPr>
                <w:rFonts w:hint="eastAsia" w:ascii="黑体" w:hAnsi="黑体" w:eastAsia="黑体" w:cs="黑体"/>
                <w:color w:val="auto"/>
                <w:sz w:val="32"/>
                <w:szCs w:val="32"/>
                <w:highlight w:val="none"/>
              </w:rPr>
              <w:t>乙方（供应商）：</w:t>
            </w:r>
          </w:p>
        </w:tc>
        <w:tc>
          <w:tcPr>
            <w:tcW w:w="6806" w:type="dxa"/>
            <w:tcBorders>
              <w:top w:val="nil"/>
              <w:left w:val="nil"/>
              <w:bottom w:val="nil"/>
              <w:right w:val="nil"/>
            </w:tcBorders>
            <w:noWrap w:val="0"/>
            <w:vAlign w:val="center"/>
          </w:tcPr>
          <w:p w14:paraId="5035A342">
            <w:pPr>
              <w:jc w:val="center"/>
              <w:rPr>
                <w:rFonts w:ascii="Times New Roman" w:hAnsi="Times New Roman"/>
                <w:color w:val="auto"/>
                <w:sz w:val="28"/>
                <w:szCs w:val="28"/>
                <w:highlight w:val="none"/>
              </w:rPr>
            </w:pPr>
          </w:p>
        </w:tc>
        <w:tc>
          <w:tcPr>
            <w:tcW w:w="240" w:type="dxa"/>
            <w:vMerge w:val="continue"/>
            <w:tcBorders>
              <w:top w:val="nil"/>
              <w:left w:val="nil"/>
              <w:bottom w:val="nil"/>
              <w:right w:val="nil"/>
            </w:tcBorders>
            <w:noWrap w:val="0"/>
            <w:vAlign w:val="center"/>
          </w:tcPr>
          <w:p w14:paraId="498377B5">
            <w:pPr>
              <w:widowControl/>
              <w:jc w:val="left"/>
              <w:rPr>
                <w:rFonts w:ascii="Times New Roman" w:hAnsi="Times New Roman" w:eastAsia="楷体_GB2312"/>
                <w:color w:val="auto"/>
                <w:sz w:val="52"/>
                <w:highlight w:val="none"/>
              </w:rPr>
            </w:pPr>
          </w:p>
        </w:tc>
      </w:tr>
      <w:tr w14:paraId="30FC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noWrap w:val="0"/>
            <w:vAlign w:val="center"/>
          </w:tcPr>
          <w:p w14:paraId="6B2BCC78">
            <w:pPr>
              <w:widowControl/>
              <w:jc w:val="left"/>
              <w:rPr>
                <w:rFonts w:ascii="Times New Roman" w:hAnsi="Times New Roman" w:eastAsia="楷体_GB2312"/>
                <w:color w:val="auto"/>
                <w:sz w:val="52"/>
                <w:highlight w:val="none"/>
              </w:rPr>
            </w:pPr>
          </w:p>
        </w:tc>
        <w:tc>
          <w:tcPr>
            <w:tcW w:w="2591" w:type="dxa"/>
            <w:tcBorders>
              <w:top w:val="nil"/>
              <w:left w:val="nil"/>
              <w:bottom w:val="nil"/>
              <w:right w:val="nil"/>
            </w:tcBorders>
            <w:noWrap w:val="0"/>
            <w:vAlign w:val="center"/>
          </w:tcPr>
          <w:p w14:paraId="50114B1E">
            <w:pPr>
              <w:adjustRightInd w:val="0"/>
              <w:snapToGrid w:val="0"/>
              <w:spacing w:line="360" w:lineRule="auto"/>
              <w:jc w:val="distribute"/>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签订地点：</w:t>
            </w:r>
          </w:p>
        </w:tc>
        <w:tc>
          <w:tcPr>
            <w:tcW w:w="6806" w:type="dxa"/>
            <w:tcBorders>
              <w:top w:val="nil"/>
              <w:left w:val="nil"/>
              <w:bottom w:val="nil"/>
              <w:right w:val="nil"/>
            </w:tcBorders>
            <w:noWrap w:val="0"/>
            <w:vAlign w:val="center"/>
          </w:tcPr>
          <w:p w14:paraId="3E37A2FD">
            <w:pPr>
              <w:jc w:val="center"/>
              <w:rPr>
                <w:rFonts w:ascii="Times New Roman" w:hAnsi="Times New Roman"/>
                <w:color w:val="auto"/>
                <w:sz w:val="28"/>
                <w:szCs w:val="28"/>
                <w:highlight w:val="none"/>
              </w:rPr>
            </w:pPr>
          </w:p>
        </w:tc>
        <w:tc>
          <w:tcPr>
            <w:tcW w:w="240" w:type="dxa"/>
            <w:tcBorders>
              <w:top w:val="nil"/>
              <w:left w:val="nil"/>
              <w:bottom w:val="nil"/>
              <w:right w:val="nil"/>
            </w:tcBorders>
            <w:noWrap w:val="0"/>
            <w:vAlign w:val="center"/>
          </w:tcPr>
          <w:p w14:paraId="3CD5E538">
            <w:pPr>
              <w:widowControl/>
              <w:jc w:val="distribute"/>
              <w:rPr>
                <w:rFonts w:ascii="Times New Roman" w:hAnsi="Times New Roman" w:eastAsia="楷体_GB2312"/>
                <w:color w:val="auto"/>
                <w:sz w:val="52"/>
                <w:highlight w:val="none"/>
              </w:rPr>
            </w:pPr>
          </w:p>
        </w:tc>
      </w:tr>
      <w:tr w14:paraId="0A5A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noWrap w:val="0"/>
            <w:vAlign w:val="center"/>
          </w:tcPr>
          <w:p w14:paraId="258A7A2F">
            <w:pPr>
              <w:widowControl/>
              <w:jc w:val="left"/>
              <w:rPr>
                <w:rFonts w:ascii="Times New Roman" w:hAnsi="Times New Roman" w:eastAsia="楷体_GB2312"/>
                <w:color w:val="auto"/>
                <w:sz w:val="52"/>
                <w:highlight w:val="none"/>
              </w:rPr>
            </w:pPr>
          </w:p>
        </w:tc>
        <w:tc>
          <w:tcPr>
            <w:tcW w:w="2591" w:type="dxa"/>
            <w:tcBorders>
              <w:top w:val="nil"/>
              <w:left w:val="nil"/>
              <w:bottom w:val="nil"/>
              <w:right w:val="nil"/>
            </w:tcBorders>
            <w:noWrap w:val="0"/>
            <w:vAlign w:val="center"/>
          </w:tcPr>
          <w:p w14:paraId="22E0974A">
            <w:pPr>
              <w:adjustRightInd w:val="0"/>
              <w:snapToGrid w:val="0"/>
              <w:spacing w:line="360" w:lineRule="auto"/>
              <w:jc w:val="distribute"/>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签订日期：</w:t>
            </w:r>
          </w:p>
        </w:tc>
        <w:tc>
          <w:tcPr>
            <w:tcW w:w="6806" w:type="dxa"/>
            <w:tcBorders>
              <w:top w:val="nil"/>
              <w:left w:val="nil"/>
              <w:bottom w:val="nil"/>
              <w:right w:val="nil"/>
            </w:tcBorders>
            <w:noWrap w:val="0"/>
            <w:vAlign w:val="center"/>
          </w:tcPr>
          <w:p w14:paraId="493FD11C">
            <w:pPr>
              <w:rPr>
                <w:rFonts w:ascii="Times New Roman" w:hAnsi="Times New Roman"/>
                <w:color w:val="auto"/>
                <w:sz w:val="28"/>
                <w:szCs w:val="28"/>
                <w:highlight w:val="none"/>
              </w:rPr>
            </w:pPr>
          </w:p>
        </w:tc>
        <w:tc>
          <w:tcPr>
            <w:tcW w:w="240" w:type="dxa"/>
            <w:tcBorders>
              <w:top w:val="nil"/>
              <w:left w:val="nil"/>
              <w:bottom w:val="nil"/>
              <w:right w:val="nil"/>
            </w:tcBorders>
            <w:noWrap w:val="0"/>
            <w:vAlign w:val="center"/>
          </w:tcPr>
          <w:p w14:paraId="16C0F384">
            <w:pPr>
              <w:widowControl/>
              <w:jc w:val="distribute"/>
              <w:rPr>
                <w:rFonts w:ascii="Times New Roman" w:hAnsi="Times New Roman" w:eastAsia="楷体_GB2312"/>
                <w:color w:val="auto"/>
                <w:sz w:val="52"/>
                <w:highlight w:val="none"/>
              </w:rPr>
            </w:pPr>
          </w:p>
        </w:tc>
      </w:tr>
    </w:tbl>
    <w:p w14:paraId="44A3C0B4">
      <w:pPr>
        <w:rPr>
          <w:color w:val="auto"/>
          <w:highlight w:val="none"/>
        </w:rPr>
      </w:pPr>
      <w:r>
        <w:rPr>
          <w:rFonts w:hint="eastAsia"/>
          <w:color w:val="auto"/>
          <w:highlight w:val="none"/>
        </w:rPr>
        <w:br w:type="page"/>
      </w:r>
    </w:p>
    <w:p w14:paraId="63375FE5">
      <w:pPr>
        <w:rPr>
          <w:rFonts w:ascii="等线" w:hAnsi="等线" w:eastAsia="等线" w:cs="Times New Roman"/>
          <w:color w:val="auto"/>
        </w:rPr>
      </w:pPr>
      <w:bookmarkStart w:id="72" w:name="_Toc30473"/>
      <w:bookmarkStart w:id="73" w:name="_Toc18759"/>
      <w:bookmarkStart w:id="74" w:name="_Toc19561"/>
      <w:bookmarkStart w:id="75" w:name="_Toc17615"/>
    </w:p>
    <w:p w14:paraId="670EE124">
      <w:pPr>
        <w:keepNext/>
        <w:keepLines/>
        <w:widowControl w:val="0"/>
        <w:adjustRightInd w:val="0"/>
        <w:snapToGrid w:val="0"/>
        <w:spacing w:line="360" w:lineRule="auto"/>
        <w:jc w:val="center"/>
        <w:outlineLvl w:val="1"/>
        <w:rPr>
          <w:rFonts w:ascii="黑体" w:hAnsi="华文中宋" w:eastAsia="黑体" w:cs="Times New Roman"/>
          <w:b/>
          <w:bCs/>
          <w:color w:val="auto"/>
          <w:kern w:val="2"/>
          <w:sz w:val="28"/>
          <w:szCs w:val="28"/>
          <w:lang w:val="en-US" w:eastAsia="zh-CN" w:bidi="ar-SA"/>
        </w:rPr>
      </w:pPr>
      <w:bookmarkStart w:id="76" w:name="_Toc30103"/>
      <w:bookmarkStart w:id="77" w:name="_Toc29913945"/>
      <w:bookmarkStart w:id="78" w:name="_Toc256000048"/>
      <w:r>
        <w:rPr>
          <w:rFonts w:hint="eastAsia" w:ascii="黑体" w:hAnsi="华文中宋" w:eastAsia="黑体" w:cs="Times New Roman"/>
          <w:b/>
          <w:bCs/>
          <w:color w:val="auto"/>
          <w:kern w:val="2"/>
          <w:sz w:val="28"/>
          <w:szCs w:val="28"/>
          <w:lang w:val="en-US" w:eastAsia="zh-CN" w:bidi="ar-SA"/>
        </w:rPr>
        <w:t>第一节 政府采购合同协议书</w:t>
      </w:r>
      <w:bookmarkEnd w:id="76"/>
      <w:bookmarkEnd w:id="77"/>
      <w:bookmarkEnd w:id="78"/>
    </w:p>
    <w:p w14:paraId="56D36FAE">
      <w:pPr>
        <w:widowControl w:val="0"/>
        <w:adjustRightInd w:val="0"/>
        <w:snapToGrid w:val="0"/>
        <w:spacing w:before="156" w:beforeLines="50" w:line="360" w:lineRule="auto"/>
        <w:ind w:firstLine="6240" w:firstLineChars="2600"/>
        <w:jc w:val="both"/>
        <w:rPr>
          <w:rFonts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采购合同编号：</w:t>
      </w:r>
      <w:r>
        <w:rPr>
          <w:rFonts w:hint="eastAsia" w:ascii="宋体" w:hAnsi="宋体" w:eastAsia="宋体" w:cs="宋体"/>
          <w:color w:val="auto"/>
          <w:kern w:val="2"/>
          <w:sz w:val="24"/>
          <w:szCs w:val="24"/>
          <w:u w:val="single"/>
          <w:lang w:val="en-US" w:eastAsia="zh-CN" w:bidi="ar-SA"/>
        </w:rPr>
        <w:t xml:space="preserve">                 </w:t>
      </w:r>
    </w:p>
    <w:p w14:paraId="6432B0BF">
      <w:pPr>
        <w:keepNext w:val="0"/>
        <w:keepLines w:val="0"/>
        <w:pageBreakBefore w:val="0"/>
        <w:widowControl w:val="0"/>
        <w:kinsoku/>
        <w:wordWrap/>
        <w:overflowPunct/>
        <w:topLinePunct w:val="0"/>
        <w:autoSpaceDE/>
        <w:autoSpaceDN/>
        <w:bidi w:val="0"/>
        <w:adjustRightInd w:val="0"/>
        <w:snapToGrid w:val="0"/>
        <w:spacing w:before="156" w:beforeLines="50" w:line="440" w:lineRule="exact"/>
        <w:rPr>
          <w:rFonts w:ascii="宋体" w:hAnsi="宋体" w:eastAsia="宋体" w:cs="Times New Roman"/>
          <w:color w:val="auto"/>
          <w:sz w:val="24"/>
          <w:szCs w:val="24"/>
        </w:rPr>
      </w:pPr>
      <w:r>
        <w:rPr>
          <w:rFonts w:hint="eastAsia" w:ascii="宋体" w:hAnsi="宋体" w:eastAsia="宋体" w:cs="Times New Roman"/>
          <w:color w:val="auto"/>
          <w:sz w:val="24"/>
          <w:szCs w:val="24"/>
        </w:rPr>
        <w:t>采购人（全称）：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（甲方）</w:t>
      </w:r>
    </w:p>
    <w:p w14:paraId="1E04F4FD">
      <w:pPr>
        <w:keepNext w:val="0"/>
        <w:keepLines w:val="0"/>
        <w:pageBreakBefore w:val="0"/>
        <w:widowControl w:val="0"/>
        <w:kinsoku/>
        <w:wordWrap/>
        <w:overflowPunct/>
        <w:topLinePunct w:val="0"/>
        <w:autoSpaceDE/>
        <w:autoSpaceDN/>
        <w:bidi w:val="0"/>
        <w:adjustRightInd w:val="0"/>
        <w:snapToGrid w:val="0"/>
        <w:spacing w:before="156" w:beforeLines="50" w:line="440" w:lineRule="exact"/>
        <w:rPr>
          <w:rFonts w:ascii="宋体" w:hAnsi="宋体" w:eastAsia="宋体" w:cs="Times New Roman"/>
          <w:color w:val="auto"/>
          <w:sz w:val="24"/>
          <w:szCs w:val="24"/>
        </w:rPr>
      </w:pPr>
      <w:r>
        <w:rPr>
          <w:rFonts w:hint="eastAsia" w:ascii="宋体" w:hAnsi="宋体" w:eastAsia="宋体" w:cs="Times New Roman"/>
          <w:color w:val="auto"/>
          <w:sz w:val="24"/>
          <w:szCs w:val="24"/>
        </w:rPr>
        <w:t>供应商（全称）：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（乙方）</w:t>
      </w:r>
    </w:p>
    <w:p w14:paraId="445E9288">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hint="eastAsia" w:ascii="宋体" w:hAnsi="宋体" w:eastAsia="宋体" w:cs="Times New Roman"/>
          <w:color w:val="auto"/>
          <w:sz w:val="24"/>
          <w:szCs w:val="24"/>
        </w:rPr>
      </w:pPr>
    </w:p>
    <w:p w14:paraId="49BFB576">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为了保护甲、乙双方合法权益，根据《中华人民共和国民法典》、《中华人民共和国政府采购法》及其他有关法律、法规、规章，双方签订本合同协议书。</w:t>
      </w:r>
    </w:p>
    <w:p w14:paraId="38616124">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1.项目信息</w:t>
      </w:r>
    </w:p>
    <w:p w14:paraId="360DC956">
      <w:pPr>
        <w:keepNext w:val="0"/>
        <w:keepLines w:val="0"/>
        <w:pageBreakBefore w:val="0"/>
        <w:widowControl w:val="0"/>
        <w:kinsoku/>
        <w:wordWrap/>
        <w:overflowPunct/>
        <w:topLinePunct w:val="0"/>
        <w:autoSpaceDE/>
        <w:autoSpaceDN/>
        <w:bidi w:val="0"/>
        <w:adjustRightInd w:val="0"/>
        <w:snapToGrid w:val="0"/>
        <w:spacing w:before="156" w:beforeLines="50" w:line="440" w:lineRule="exact"/>
        <w:ind w:left="420" w:leftChars="200"/>
        <w:rPr>
          <w:rFonts w:ascii="宋体" w:hAnsi="宋体" w:eastAsia="宋体" w:cs="Times New Roman"/>
          <w:color w:val="auto"/>
          <w:sz w:val="24"/>
          <w:szCs w:val="24"/>
        </w:rPr>
      </w:pPr>
      <w:r>
        <w:rPr>
          <w:rFonts w:hint="eastAsia" w:ascii="宋体" w:hAnsi="宋体" w:eastAsia="宋体" w:cs="Times New Roman"/>
          <w:color w:val="auto"/>
          <w:sz w:val="24"/>
          <w:szCs w:val="24"/>
        </w:rPr>
        <w:t>（1）采购项目名称：</w:t>
      </w:r>
      <w:r>
        <w:rPr>
          <w:rFonts w:ascii="宋体" w:hAnsi="宋体" w:eastAsia="宋体" w:cs="Times New Roman"/>
          <w:color w:val="auto"/>
          <w:sz w:val="24"/>
          <w:szCs w:val="24"/>
          <w:u w:val="single"/>
        </w:rPr>
        <w:t xml:space="preserve">                                          </w:t>
      </w:r>
    </w:p>
    <w:p w14:paraId="0AABA434">
      <w:pPr>
        <w:keepNext w:val="0"/>
        <w:keepLines w:val="0"/>
        <w:pageBreakBefore w:val="0"/>
        <w:widowControl w:val="0"/>
        <w:kinsoku/>
        <w:wordWrap/>
        <w:overflowPunct/>
        <w:topLinePunct w:val="0"/>
        <w:autoSpaceDE/>
        <w:autoSpaceDN/>
        <w:bidi w:val="0"/>
        <w:adjustRightInd w:val="0"/>
        <w:snapToGrid w:val="0"/>
        <w:spacing w:before="156" w:beforeLines="50" w:line="440" w:lineRule="exact"/>
        <w:ind w:left="420" w:leftChars="200"/>
        <w:rPr>
          <w:rFonts w:ascii="宋体" w:hAnsi="宋体" w:eastAsia="宋体" w:cs="Times New Roman"/>
          <w:color w:val="auto"/>
          <w:sz w:val="24"/>
          <w:szCs w:val="24"/>
        </w:rPr>
      </w:pPr>
      <w:r>
        <w:rPr>
          <w:rFonts w:hint="eastAsia" w:ascii="宋体" w:hAnsi="宋体" w:eastAsia="宋体" w:cs="Times New Roman"/>
          <w:color w:val="auto"/>
          <w:sz w:val="24"/>
          <w:szCs w:val="24"/>
        </w:rPr>
        <w:t>（2）采购计划编号：</w:t>
      </w:r>
      <w:r>
        <w:rPr>
          <w:rFonts w:ascii="宋体" w:hAnsi="宋体" w:eastAsia="宋体" w:cs="Times New Roman"/>
          <w:color w:val="auto"/>
          <w:sz w:val="24"/>
          <w:szCs w:val="24"/>
          <w:u w:val="single"/>
        </w:rPr>
        <w:t xml:space="preserve">                          </w:t>
      </w:r>
      <w:r>
        <w:rPr>
          <w:rFonts w:ascii="宋体" w:hAnsi="宋体" w:eastAsia="宋体" w:cs="Times New Roman"/>
          <w:color w:val="auto"/>
          <w:sz w:val="24"/>
          <w:szCs w:val="24"/>
        </w:rPr>
        <w:t xml:space="preserve"> </w:t>
      </w:r>
    </w:p>
    <w:p w14:paraId="3F9A17A0">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（3）项目内容：</w:t>
      </w:r>
      <w:r>
        <w:rPr>
          <w:rFonts w:hint="eastAsia" w:ascii="宋体" w:hAnsi="宋体" w:eastAsia="宋体" w:cs="Times New Roman"/>
          <w:color w:val="auto"/>
          <w:sz w:val="24"/>
          <w:szCs w:val="24"/>
          <w:u w:val="single"/>
        </w:rPr>
        <w:t xml:space="preserve">                             </w:t>
      </w:r>
    </w:p>
    <w:p w14:paraId="3C6C752F">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（4）是否分包：</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w:t>
      </w:r>
    </w:p>
    <w:p w14:paraId="428D8722">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（5）项目负责人：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w:t>
      </w:r>
    </w:p>
    <w:p w14:paraId="36FC8FED">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（6）联系电话：</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w:t>
      </w:r>
    </w:p>
    <w:p w14:paraId="41EAC751">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72" w:firstLineChars="196"/>
        <w:rPr>
          <w:rFonts w:ascii="宋体" w:hAnsi="宋体" w:eastAsia="宋体" w:cs="Times New Roman"/>
          <w:b/>
          <w:color w:val="auto"/>
          <w:sz w:val="24"/>
          <w:szCs w:val="24"/>
        </w:rPr>
      </w:pPr>
      <w:r>
        <w:rPr>
          <w:rFonts w:hint="eastAsia" w:ascii="宋体" w:hAnsi="宋体" w:eastAsia="宋体" w:cs="Times New Roman"/>
          <w:b/>
          <w:color w:val="auto"/>
          <w:sz w:val="24"/>
          <w:szCs w:val="24"/>
        </w:rPr>
        <w:t>2.合同金额</w:t>
      </w:r>
    </w:p>
    <w:p w14:paraId="7035ED85">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（1）合同金额小写：</w:t>
      </w:r>
      <w:r>
        <w:rPr>
          <w:rFonts w:hint="eastAsia" w:ascii="宋体" w:hAnsi="宋体" w:eastAsia="宋体" w:cs="Times New Roman"/>
          <w:color w:val="auto"/>
          <w:sz w:val="24"/>
          <w:szCs w:val="24"/>
          <w:u w:val="single"/>
        </w:rPr>
        <w:t xml:space="preserve">                      </w:t>
      </w:r>
    </w:p>
    <w:p w14:paraId="2078E160">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1440" w:firstLineChars="600"/>
        <w:rPr>
          <w:rFonts w:ascii="宋体" w:hAnsi="宋体" w:eastAsia="宋体" w:cs="Times New Roman"/>
          <w:b/>
          <w:color w:val="auto"/>
          <w:sz w:val="24"/>
          <w:szCs w:val="24"/>
        </w:rPr>
      </w:pPr>
      <w:r>
        <w:rPr>
          <w:rFonts w:hint="eastAsia" w:ascii="宋体" w:hAnsi="宋体" w:eastAsia="宋体" w:cs="Times New Roman"/>
          <w:color w:val="auto"/>
          <w:sz w:val="24"/>
          <w:szCs w:val="24"/>
        </w:rPr>
        <w:t>大写：</w:t>
      </w:r>
      <w:r>
        <w:rPr>
          <w:rFonts w:hint="eastAsia" w:ascii="宋体" w:hAnsi="宋体" w:eastAsia="宋体" w:cs="Times New Roman"/>
          <w:color w:val="auto"/>
          <w:sz w:val="24"/>
          <w:szCs w:val="24"/>
          <w:u w:val="single"/>
        </w:rPr>
        <w:t xml:space="preserve">                      </w:t>
      </w:r>
    </w:p>
    <w:p w14:paraId="4C77FE13">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（2）具体标的见附件。</w:t>
      </w:r>
    </w:p>
    <w:p w14:paraId="3EC29531">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（3）合同定价方式：</w:t>
      </w:r>
      <w:r>
        <w:rPr>
          <w:rFonts w:hint="eastAsia" w:ascii="宋体" w:hAnsi="宋体" w:eastAsia="宋体" w:cs="Times New Roman"/>
          <w:iCs/>
          <w:color w:val="auto"/>
          <w:sz w:val="24"/>
          <w:szCs w:val="24"/>
        </w:rPr>
        <w:sym w:font="Wingdings" w:char="00FE"/>
      </w:r>
      <w:r>
        <w:rPr>
          <w:rFonts w:hint="eastAsia" w:ascii="宋体" w:hAnsi="宋体" w:eastAsia="宋体" w:cs="Times New Roman"/>
          <w:iCs/>
          <w:color w:val="auto"/>
          <w:sz w:val="24"/>
          <w:szCs w:val="24"/>
        </w:rPr>
        <w:t xml:space="preserve">固定总价 </w:t>
      </w: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 xml:space="preserve">固定单价 </w:t>
      </w: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 xml:space="preserve">成本补偿 </w:t>
      </w:r>
      <w:r>
        <w:rPr>
          <w:rFonts w:hint="eastAsia" w:ascii="宋体" w:hAnsi="宋体" w:eastAsia="宋体" w:cs="Times New Roman"/>
          <w:iCs/>
          <w:color w:val="auto"/>
          <w:sz w:val="24"/>
          <w:szCs w:val="24"/>
        </w:rPr>
        <w:sym w:font="Wingdings" w:char="00A8"/>
      </w:r>
      <w:r>
        <w:rPr>
          <w:rFonts w:hint="eastAsia" w:ascii="宋体" w:hAnsi="宋体" w:eastAsia="宋体" w:cs="Times New Roman"/>
          <w:iCs/>
          <w:color w:val="auto"/>
          <w:sz w:val="24"/>
          <w:szCs w:val="24"/>
        </w:rPr>
        <w:t>绩效激励</w:t>
      </w:r>
    </w:p>
    <w:p w14:paraId="68AD802C">
      <w:pPr>
        <w:keepNext w:val="0"/>
        <w:keepLines w:val="0"/>
        <w:pageBreakBefore w:val="0"/>
        <w:widowControl w:val="0"/>
        <w:kinsoku/>
        <w:wordWrap/>
        <w:overflowPunct/>
        <w:topLinePunct w:val="0"/>
        <w:autoSpaceDE/>
        <w:autoSpaceDN/>
        <w:bidi w:val="0"/>
        <w:spacing w:line="440" w:lineRule="exact"/>
        <w:ind w:firstLine="480" w:firstLineChars="200"/>
        <w:rPr>
          <w:rFonts w:ascii="Times New Roman" w:hAnsi="Times New Roman" w:eastAsia="宋体" w:cs="Times New Roman"/>
          <w:color w:val="auto"/>
          <w:sz w:val="24"/>
          <w:szCs w:val="24"/>
        </w:rPr>
      </w:pPr>
      <w:r>
        <w:rPr>
          <w:rFonts w:hint="eastAsia" w:ascii="宋体" w:hAnsi="宋体" w:eastAsia="宋体" w:cs="Times New Roman"/>
          <w:color w:val="auto"/>
          <w:sz w:val="24"/>
          <w:szCs w:val="24"/>
        </w:rPr>
        <w:t>（4）付款方式（按项目实际勾选填写）：</w:t>
      </w:r>
    </w:p>
    <w:p w14:paraId="5E17786A">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720" w:firstLineChars="300"/>
        <w:rPr>
          <w:rFonts w:ascii="宋体" w:hAnsi="宋体" w:eastAsia="宋体" w:cs="Times New Roman"/>
          <w:color w:val="auto"/>
          <w:sz w:val="24"/>
          <w:szCs w:val="24"/>
          <w:u w:val="single"/>
        </w:rPr>
      </w:pPr>
      <w:r>
        <w:rPr>
          <w:rFonts w:hint="eastAsia" w:ascii="宋体" w:hAnsi="宋体" w:eastAsia="宋体" w:cs="Times New Roman"/>
          <w:color w:val="auto"/>
          <w:sz w:val="24"/>
          <w:szCs w:val="24"/>
        </w:rPr>
        <w:sym w:font="Wingdings" w:char="00A8"/>
      </w:r>
      <w:r>
        <w:rPr>
          <w:rFonts w:hint="eastAsia" w:ascii="宋体" w:hAnsi="宋体" w:eastAsia="宋体" w:cs="Times New Roman"/>
          <w:color w:val="auto"/>
          <w:sz w:val="24"/>
          <w:szCs w:val="24"/>
        </w:rPr>
        <w:t>全额付款：</w:t>
      </w:r>
      <w:r>
        <w:rPr>
          <w:rFonts w:hint="eastAsia" w:ascii="宋体" w:hAnsi="宋体" w:eastAsia="宋体" w:cs="Times New Roman"/>
          <w:color w:val="auto"/>
          <w:sz w:val="24"/>
          <w:szCs w:val="24"/>
          <w:u w:val="single"/>
        </w:rPr>
        <w:t xml:space="preserve">     （应一次性支付全部合同款项）                    </w:t>
      </w:r>
    </w:p>
    <w:p w14:paraId="47DC50EB">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720" w:firstLineChars="300"/>
        <w:rPr>
          <w:rFonts w:ascii="宋体" w:hAnsi="宋体" w:eastAsia="宋体" w:cs="Times New Roman"/>
          <w:color w:val="auto"/>
          <w:sz w:val="24"/>
          <w:szCs w:val="24"/>
          <w:u w:val="single"/>
        </w:rPr>
      </w:pPr>
      <w:r>
        <w:rPr>
          <w:rFonts w:hint="eastAsia" w:ascii="宋体" w:hAnsi="宋体" w:eastAsia="宋体" w:cs="Times New Roman"/>
          <w:color w:val="auto"/>
          <w:sz w:val="24"/>
          <w:szCs w:val="24"/>
        </w:rPr>
        <w:sym w:font="Wingdings" w:char="00A8"/>
      </w:r>
      <w:r>
        <w:rPr>
          <w:rFonts w:hint="eastAsia" w:ascii="宋体" w:hAnsi="宋体" w:eastAsia="宋体" w:cs="Times New Roman"/>
          <w:color w:val="auto"/>
          <w:sz w:val="24"/>
          <w:szCs w:val="24"/>
        </w:rPr>
        <w:t>预付款：</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u w:val="single"/>
        </w:rPr>
        <w:t xml:space="preserve">                    </w:t>
      </w:r>
    </w:p>
    <w:p w14:paraId="52E39F3D">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720" w:firstLineChars="300"/>
        <w:rPr>
          <w:rFonts w:ascii="宋体" w:hAnsi="宋体" w:eastAsia="宋体" w:cs="Times New Roman"/>
          <w:color w:val="auto"/>
          <w:sz w:val="24"/>
          <w:szCs w:val="24"/>
        </w:rPr>
      </w:pPr>
      <w:r>
        <w:rPr>
          <w:rFonts w:hint="eastAsia" w:ascii="宋体" w:hAnsi="宋体" w:eastAsia="宋体" w:cs="Times New Roman"/>
          <w:color w:val="auto"/>
          <w:sz w:val="24"/>
          <w:szCs w:val="24"/>
        </w:rPr>
        <w:sym w:font="Wingdings" w:char="00A8"/>
      </w:r>
      <w:r>
        <w:rPr>
          <w:rFonts w:hint="eastAsia" w:ascii="宋体" w:hAnsi="宋体" w:eastAsia="宋体" w:cs="Times New Roman"/>
          <w:color w:val="auto"/>
          <w:sz w:val="24"/>
          <w:szCs w:val="24"/>
        </w:rPr>
        <w:t>分期付款：</w:t>
      </w:r>
      <w:r>
        <w:rPr>
          <w:rFonts w:hint="eastAsia" w:ascii="宋体" w:hAnsi="宋体" w:eastAsia="宋体" w:cs="Times New Roman"/>
          <w:color w:val="auto"/>
          <w:sz w:val="24"/>
          <w:szCs w:val="24"/>
          <w:u w:val="single"/>
        </w:rPr>
        <w:t xml:space="preserve">     （应按照季度分期支付合同款项）                  </w:t>
      </w:r>
    </w:p>
    <w:p w14:paraId="0F2599A1">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720" w:firstLineChars="300"/>
        <w:rPr>
          <w:rFonts w:ascii="宋体" w:hAnsi="宋体" w:eastAsia="宋体" w:cs="Times New Roman"/>
          <w:color w:val="auto"/>
          <w:sz w:val="24"/>
          <w:szCs w:val="24"/>
        </w:rPr>
      </w:pPr>
      <w:r>
        <w:rPr>
          <w:rFonts w:hint="eastAsia" w:ascii="宋体" w:hAnsi="宋体" w:eastAsia="宋体" w:cs="Times New Roman"/>
          <w:color w:val="auto"/>
          <w:sz w:val="24"/>
          <w:szCs w:val="24"/>
        </w:rPr>
        <w:sym w:font="Wingdings" w:char="00A8"/>
      </w:r>
      <w:r>
        <w:rPr>
          <w:rFonts w:hint="eastAsia" w:ascii="宋体" w:hAnsi="宋体" w:eastAsia="宋体" w:cs="Times New Roman"/>
          <w:color w:val="auto"/>
          <w:sz w:val="24"/>
          <w:szCs w:val="24"/>
        </w:rPr>
        <w:t>成本补偿：</w:t>
      </w:r>
      <w:r>
        <w:rPr>
          <w:rFonts w:hint="eastAsia" w:ascii="宋体" w:hAnsi="宋体" w:eastAsia="宋体" w:cs="Times New Roman"/>
          <w:color w:val="auto"/>
          <w:sz w:val="24"/>
          <w:szCs w:val="24"/>
          <w:u w:val="single"/>
        </w:rPr>
        <w:t xml:space="preserve">      （应明确按照成本补偿方式的支付方式和支付条件） </w:t>
      </w:r>
    </w:p>
    <w:p w14:paraId="05E7F0ED">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720" w:firstLineChars="300"/>
        <w:rPr>
          <w:rFonts w:ascii="宋体" w:hAnsi="宋体" w:eastAsia="宋体" w:cs="Times New Roman"/>
          <w:color w:val="auto"/>
          <w:sz w:val="24"/>
          <w:szCs w:val="24"/>
        </w:rPr>
      </w:pPr>
      <w:r>
        <w:rPr>
          <w:rFonts w:hint="eastAsia" w:ascii="宋体" w:hAnsi="宋体" w:eastAsia="宋体" w:cs="Times New Roman"/>
          <w:color w:val="auto"/>
          <w:sz w:val="24"/>
          <w:szCs w:val="24"/>
        </w:rPr>
        <w:sym w:font="Wingdings" w:char="00A8"/>
      </w:r>
      <w:r>
        <w:rPr>
          <w:rFonts w:hint="eastAsia" w:ascii="宋体" w:hAnsi="宋体" w:eastAsia="宋体" w:cs="Times New Roman"/>
          <w:color w:val="auto"/>
          <w:sz w:val="24"/>
          <w:szCs w:val="24"/>
        </w:rPr>
        <w:t>绩效激励：</w:t>
      </w:r>
      <w:r>
        <w:rPr>
          <w:rFonts w:hint="eastAsia" w:ascii="宋体" w:hAnsi="宋体" w:eastAsia="宋体" w:cs="Times New Roman"/>
          <w:color w:val="auto"/>
          <w:sz w:val="24"/>
          <w:szCs w:val="24"/>
          <w:u w:val="single"/>
        </w:rPr>
        <w:t xml:space="preserve">      （应明确按照绩效激励方式的支付方式和支付条件）   </w:t>
      </w:r>
    </w:p>
    <w:p w14:paraId="2D91EC20">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2" w:firstLineChars="200"/>
        <w:rPr>
          <w:rFonts w:ascii="宋体" w:hAnsi="宋体" w:eastAsia="宋体" w:cs="Times New Roman"/>
          <w:color w:val="auto"/>
          <w:sz w:val="24"/>
          <w:szCs w:val="24"/>
          <w:u w:val="single"/>
        </w:rPr>
      </w:pPr>
      <w:r>
        <w:rPr>
          <w:rFonts w:hint="eastAsia" w:ascii="宋体" w:hAnsi="宋体" w:eastAsia="宋体" w:cs="Times New Roman"/>
          <w:b/>
          <w:color w:val="auto"/>
          <w:sz w:val="24"/>
          <w:szCs w:val="24"/>
        </w:rPr>
        <w:t>3.合同履行</w:t>
      </w:r>
    </w:p>
    <w:p w14:paraId="7CDEE75D">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（1）起始日期：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日，完成日期：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日。总日历天数：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天。</w:t>
      </w:r>
    </w:p>
    <w:p w14:paraId="34F5E873">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rPr>
        <w:t>（2）地点</w:t>
      </w:r>
      <w:r>
        <w:rPr>
          <w:rFonts w:hint="eastAsia" w:ascii="宋体" w:hAnsi="宋体" w:eastAsia="宋体" w:cs="Times New Roman"/>
          <w:b/>
          <w:color w:val="auto"/>
          <w:sz w:val="24"/>
          <w:szCs w:val="24"/>
        </w:rPr>
        <w:t>：</w:t>
      </w:r>
      <w:r>
        <w:rPr>
          <w:rFonts w:hint="eastAsia" w:ascii="宋体" w:hAnsi="宋体" w:eastAsia="宋体" w:cs="Times New Roman"/>
          <w:color w:val="auto"/>
          <w:sz w:val="24"/>
          <w:szCs w:val="24"/>
          <w:u w:val="single"/>
          <w:lang w:val="en-US" w:eastAsia="zh-CN"/>
        </w:rPr>
        <w:t>慈利县农业农村局</w:t>
      </w:r>
      <w:r>
        <w:rPr>
          <w:rFonts w:hint="eastAsia" w:ascii="宋体" w:hAnsi="宋体" w:eastAsia="宋体" w:cs="Times New Roman"/>
          <w:color w:val="auto"/>
          <w:sz w:val="24"/>
          <w:szCs w:val="24"/>
          <w:u w:val="single"/>
        </w:rPr>
        <w:t xml:space="preserve"> </w:t>
      </w:r>
    </w:p>
    <w:p w14:paraId="1FCED8E0">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rPr>
        <w:t>（3）方式：</w:t>
      </w:r>
      <w:r>
        <w:rPr>
          <w:rFonts w:hint="eastAsia" w:ascii="宋体" w:hAnsi="宋体" w:eastAsia="宋体" w:cs="Times New Roman"/>
          <w:color w:val="auto"/>
          <w:sz w:val="24"/>
          <w:szCs w:val="24"/>
          <w:u w:val="single"/>
        </w:rPr>
        <w:t xml:space="preserve">  总价包干  </w:t>
      </w:r>
    </w:p>
    <w:p w14:paraId="4726BD74">
      <w:pPr>
        <w:keepNext w:val="0"/>
        <w:keepLines w:val="0"/>
        <w:pageBreakBefore w:val="0"/>
        <w:widowControl w:val="0"/>
        <w:kinsoku/>
        <w:wordWrap/>
        <w:overflowPunct/>
        <w:topLinePunct w:val="0"/>
        <w:autoSpaceDE/>
        <w:autoSpaceDN/>
        <w:bidi w:val="0"/>
        <w:spacing w:line="440" w:lineRule="exact"/>
        <w:ind w:firstLine="480" w:firstLineChars="200"/>
        <w:jc w:val="left"/>
        <w:textAlignment w:val="baseline"/>
        <w:rPr>
          <w:rFonts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（4）履约担保：</w:t>
      </w:r>
    </w:p>
    <w:p w14:paraId="42CAD487">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u w:val="single"/>
        </w:rPr>
        <w:t>1）金额：中标金额降价幅度不超过采购预算10% 的，履约保证金为中标金额的10%;中标金额降价幅度超过采购预算10%以上的，履约保证金为采购预算减去中标金额的差额。</w:t>
      </w:r>
    </w:p>
    <w:p w14:paraId="2721AC64">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u w:val="single"/>
        </w:rPr>
        <w:t>2）支付方式：</w:t>
      </w:r>
      <w:r>
        <w:rPr>
          <w:rFonts w:hint="eastAsia" w:ascii="宋体" w:hAnsi="宋体" w:eastAsia="宋体" w:cs="Times New Roman"/>
          <w:color w:val="auto"/>
          <w:sz w:val="24"/>
          <w:szCs w:val="24"/>
          <w:u w:val="single"/>
        </w:rPr>
        <w:sym w:font="Wingdings" w:char="00FE"/>
      </w:r>
      <w:r>
        <w:rPr>
          <w:rFonts w:hint="eastAsia" w:ascii="宋体" w:hAnsi="宋体" w:eastAsia="宋体" w:cs="Times New Roman"/>
          <w:color w:val="auto"/>
          <w:sz w:val="24"/>
          <w:szCs w:val="24"/>
          <w:u w:val="single"/>
        </w:rPr>
        <w:t xml:space="preserve">银行转账 </w:t>
      </w:r>
      <w:r>
        <w:rPr>
          <w:rFonts w:hint="eastAsia" w:ascii="宋体" w:hAnsi="宋体" w:eastAsia="宋体" w:cs="Times New Roman"/>
          <w:color w:val="auto"/>
          <w:sz w:val="24"/>
          <w:szCs w:val="24"/>
          <w:u w:val="single"/>
        </w:rPr>
        <w:sym w:font="Wingdings" w:char="00FE"/>
      </w:r>
      <w:r>
        <w:rPr>
          <w:rFonts w:hint="eastAsia" w:ascii="宋体" w:hAnsi="宋体" w:eastAsia="宋体" w:cs="Times New Roman"/>
          <w:color w:val="auto"/>
          <w:sz w:val="24"/>
          <w:szCs w:val="24"/>
          <w:u w:val="single"/>
        </w:rPr>
        <w:t xml:space="preserve">支票  </w:t>
      </w:r>
      <w:r>
        <w:rPr>
          <w:rFonts w:hint="eastAsia" w:ascii="宋体" w:hAnsi="宋体" w:eastAsia="宋体" w:cs="Times New Roman"/>
          <w:color w:val="auto"/>
          <w:sz w:val="24"/>
          <w:szCs w:val="24"/>
          <w:u w:val="single"/>
        </w:rPr>
        <w:sym w:font="Wingdings" w:char="00FE"/>
      </w:r>
      <w:r>
        <w:rPr>
          <w:rFonts w:hint="eastAsia" w:ascii="宋体" w:hAnsi="宋体" w:eastAsia="宋体" w:cs="Times New Roman"/>
          <w:color w:val="auto"/>
          <w:sz w:val="24"/>
          <w:szCs w:val="24"/>
          <w:u w:val="single"/>
        </w:rPr>
        <w:t xml:space="preserve">汇票  </w:t>
      </w:r>
      <w:r>
        <w:rPr>
          <w:rFonts w:hint="eastAsia" w:ascii="宋体" w:hAnsi="宋体" w:eastAsia="宋体" w:cs="Times New Roman"/>
          <w:color w:val="auto"/>
          <w:sz w:val="24"/>
          <w:szCs w:val="24"/>
          <w:u w:val="single"/>
        </w:rPr>
        <w:sym w:font="Wingdings" w:char="00FE"/>
      </w:r>
      <w:r>
        <w:rPr>
          <w:rFonts w:hint="eastAsia" w:ascii="宋体" w:hAnsi="宋体" w:eastAsia="宋体" w:cs="Times New Roman"/>
          <w:color w:val="auto"/>
          <w:sz w:val="24"/>
          <w:szCs w:val="24"/>
          <w:u w:val="single"/>
        </w:rPr>
        <w:t xml:space="preserve">本票  </w:t>
      </w:r>
      <w:r>
        <w:rPr>
          <w:rFonts w:hint="eastAsia" w:ascii="宋体" w:hAnsi="宋体" w:eastAsia="宋体" w:cs="Times New Roman"/>
          <w:color w:val="auto"/>
          <w:sz w:val="24"/>
          <w:szCs w:val="24"/>
          <w:u w:val="single"/>
        </w:rPr>
        <w:sym w:font="Wingdings" w:char="00FE"/>
      </w:r>
      <w:r>
        <w:rPr>
          <w:rFonts w:hint="eastAsia" w:ascii="宋体" w:hAnsi="宋体" w:eastAsia="宋体" w:cs="Times New Roman"/>
          <w:color w:val="auto"/>
          <w:sz w:val="24"/>
          <w:szCs w:val="24"/>
          <w:u w:val="single"/>
        </w:rPr>
        <w:t>银行保函</w:t>
      </w:r>
    </w:p>
    <w:p w14:paraId="628C5563">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u w:val="single"/>
        </w:rPr>
        <w:t>供应商提交的支票、汇票、本票、银行保函，在项目交付使用前不可撤销、不可转让、见索即付，履约担保责任至对应项目交付使用之日终止。银行保函应当是投标人注册地或者项目所在地市域内的银行出具的保函。银行保函由采购人负责核验，报市公共资源交易中心登记。</w:t>
      </w:r>
    </w:p>
    <w:p w14:paraId="65D7AD85">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u w:val="single"/>
        </w:rPr>
        <w:t>3）收取单位：</w:t>
      </w:r>
      <w:r>
        <w:rPr>
          <w:rFonts w:hint="eastAsia" w:ascii="宋体" w:hAnsi="宋体" w:eastAsia="宋体" w:cs="Times New Roman"/>
          <w:color w:val="auto"/>
          <w:sz w:val="24"/>
          <w:szCs w:val="24"/>
          <w:u w:val="single"/>
          <w:lang w:val="en-US" w:eastAsia="zh-CN"/>
        </w:rPr>
        <w:t>慈利县农业农村局</w:t>
      </w:r>
      <w:r>
        <w:rPr>
          <w:rFonts w:hint="eastAsia" w:ascii="宋体" w:hAnsi="宋体" w:eastAsia="宋体" w:cs="Times New Roman"/>
          <w:color w:val="auto"/>
          <w:sz w:val="24"/>
          <w:szCs w:val="24"/>
          <w:u w:val="single"/>
        </w:rPr>
        <w:tab/>
      </w:r>
    </w:p>
    <w:p w14:paraId="0AFAD9CF">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u w:val="single"/>
        </w:rPr>
        <w:t>4）缴纳时间：供应商自领取中标通知书后</w:t>
      </w:r>
      <w:r>
        <w:rPr>
          <w:rFonts w:hint="eastAsia" w:ascii="宋体" w:hAnsi="宋体" w:eastAsia="宋体" w:cs="Times New Roman"/>
          <w:color w:val="auto"/>
          <w:sz w:val="24"/>
          <w:szCs w:val="24"/>
          <w:u w:val="single"/>
          <w:lang w:val="en-US" w:eastAsia="zh-CN"/>
        </w:rPr>
        <w:t>7</w:t>
      </w:r>
      <w:r>
        <w:rPr>
          <w:rFonts w:hint="eastAsia" w:ascii="宋体" w:hAnsi="宋体" w:eastAsia="宋体" w:cs="Times New Roman"/>
          <w:color w:val="auto"/>
          <w:sz w:val="24"/>
          <w:szCs w:val="24"/>
          <w:u w:val="single"/>
        </w:rPr>
        <w:t>个工作日内提交履约保证金，最长不超过</w:t>
      </w:r>
      <w:r>
        <w:rPr>
          <w:rFonts w:hint="eastAsia" w:ascii="宋体" w:hAnsi="宋体" w:eastAsia="宋体" w:cs="Times New Roman"/>
          <w:color w:val="auto"/>
          <w:sz w:val="24"/>
          <w:szCs w:val="24"/>
          <w:u w:val="single"/>
          <w:lang w:val="en-US" w:eastAsia="zh-CN"/>
        </w:rPr>
        <w:t>14</w:t>
      </w:r>
      <w:r>
        <w:rPr>
          <w:rFonts w:hint="eastAsia" w:ascii="宋体" w:hAnsi="宋体" w:eastAsia="宋体" w:cs="Times New Roman"/>
          <w:color w:val="auto"/>
          <w:sz w:val="24"/>
          <w:szCs w:val="24"/>
          <w:u w:val="single"/>
        </w:rPr>
        <w:t>个工作日。</w:t>
      </w:r>
    </w:p>
    <w:p w14:paraId="60947E1F">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u w:val="single"/>
        </w:rPr>
        <w:t>5）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p>
    <w:p w14:paraId="21358CD6">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u w:val="single"/>
        </w:rPr>
      </w:pPr>
      <w:r>
        <w:rPr>
          <w:rFonts w:hint="eastAsia" w:ascii="宋体" w:hAnsi="宋体" w:eastAsia="宋体" w:cs="Times New Roman"/>
          <w:color w:val="auto"/>
          <w:sz w:val="24"/>
          <w:szCs w:val="24"/>
          <w:u w:val="single"/>
        </w:rPr>
        <w:t>6）退还时间：履约担保责任至对应项目交付使用之日终止。</w:t>
      </w:r>
    </w:p>
    <w:p w14:paraId="516C0531">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bCs/>
          <w:color w:val="auto"/>
          <w:sz w:val="24"/>
          <w:szCs w:val="24"/>
        </w:rPr>
      </w:pPr>
      <w:r>
        <w:rPr>
          <w:rFonts w:hint="eastAsia" w:ascii="宋体" w:hAnsi="宋体" w:eastAsia="宋体" w:cs="Times New Roman"/>
          <w:bCs/>
          <w:color w:val="auto"/>
          <w:sz w:val="24"/>
          <w:szCs w:val="24"/>
        </w:rPr>
        <w:t>（5）质量保证金：</w:t>
      </w:r>
      <w:r>
        <w:rPr>
          <w:rFonts w:hint="eastAsia" w:ascii="宋体" w:hAnsi="宋体" w:eastAsia="宋体" w:cs="Times New Roman"/>
          <w:color w:val="auto"/>
          <w:sz w:val="24"/>
          <w:szCs w:val="24"/>
          <w:u w:val="single"/>
          <w:lang w:val="en-US" w:eastAsia="zh-CN"/>
        </w:rPr>
        <w:t>/</w:t>
      </w:r>
      <w:r>
        <w:rPr>
          <w:rFonts w:hint="eastAsia" w:ascii="宋体" w:hAnsi="宋体" w:eastAsia="宋体" w:cs="Times New Roman"/>
          <w:bCs/>
          <w:color w:val="auto"/>
          <w:sz w:val="24"/>
          <w:szCs w:val="24"/>
        </w:rPr>
        <w:t>。</w:t>
      </w:r>
    </w:p>
    <w:p w14:paraId="72AEA86C">
      <w:pPr>
        <w:pageBreakBefore w:val="0"/>
        <w:tabs>
          <w:tab w:val="left" w:pos="1120"/>
        </w:tabs>
        <w:kinsoku/>
        <w:wordWrap/>
        <w:overflowPunct/>
        <w:topLinePunct w:val="0"/>
        <w:autoSpaceDE/>
        <w:autoSpaceDN/>
        <w:bidi w:val="0"/>
        <w:spacing w:line="460" w:lineRule="exact"/>
        <w:ind w:firstLine="482" w:firstLineChars="200"/>
        <w:textAlignment w:val="auto"/>
        <w:rPr>
          <w:rFonts w:ascii="宋体" w:hAnsi="宋体" w:eastAsia="宋体" w:cs="Times New Roman"/>
          <w:b/>
          <w:color w:val="auto"/>
          <w:sz w:val="24"/>
          <w:szCs w:val="24"/>
        </w:rPr>
      </w:pPr>
      <w:r>
        <w:rPr>
          <w:rFonts w:hint="eastAsia" w:ascii="宋体" w:hAnsi="宋体" w:eastAsia="宋体" w:cs="Times New Roman"/>
          <w:b/>
          <w:color w:val="auto"/>
          <w:sz w:val="24"/>
          <w:szCs w:val="24"/>
        </w:rPr>
        <w:t>4.组成合同的文件</w:t>
      </w:r>
    </w:p>
    <w:p w14:paraId="2688AA73">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本协议书与下列文件一起构成合同文件，如下述文件之间有任何抵触、矛盾或歧义，应按以下顺序解释：</w:t>
      </w:r>
    </w:p>
    <w:p w14:paraId="510B8CE1">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（1）在采购或合同履行过程中乙方作出的承诺以及双方协商达成的变更或补充协议</w:t>
      </w:r>
    </w:p>
    <w:p w14:paraId="1F24DB2B">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（2）本合同协议书</w:t>
      </w:r>
    </w:p>
    <w:p w14:paraId="7053B04B">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（3）中标通知书</w:t>
      </w:r>
    </w:p>
    <w:p w14:paraId="69516DA6">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（4）投标文件</w:t>
      </w:r>
    </w:p>
    <w:p w14:paraId="71716C36">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（5）政府采购合同专用条款</w:t>
      </w:r>
    </w:p>
    <w:p w14:paraId="3DE02F8E">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（6）政府采购合同通用条款</w:t>
      </w:r>
    </w:p>
    <w:p w14:paraId="03985909">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（7）标准、规范及有关技术文件，图纸。</w:t>
      </w:r>
    </w:p>
    <w:p w14:paraId="6856B280">
      <w:pPr>
        <w:keepNext w:val="0"/>
        <w:keepLines w:val="0"/>
        <w:pageBreakBefore w:val="0"/>
        <w:widowControl w:val="0"/>
        <w:kinsoku/>
        <w:wordWrap/>
        <w:overflowPunct/>
        <w:topLinePunct w:val="0"/>
        <w:autoSpaceDE/>
        <w:autoSpaceDN/>
        <w:bidi w:val="0"/>
        <w:adjustRightInd w:val="0"/>
        <w:snapToGrid w:val="0"/>
        <w:spacing w:before="156" w:beforeLines="50"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（8）其他合同文件。</w:t>
      </w:r>
    </w:p>
    <w:bookmarkEnd w:id="72"/>
    <w:bookmarkEnd w:id="73"/>
    <w:bookmarkEnd w:id="74"/>
    <w:bookmarkEnd w:id="75"/>
    <w:p w14:paraId="07212086">
      <w:pPr>
        <w:pageBreakBefore w:val="0"/>
        <w:kinsoku/>
        <w:wordWrap/>
        <w:overflowPunct/>
        <w:topLinePunct w:val="0"/>
        <w:autoSpaceDE/>
        <w:autoSpaceDN/>
        <w:bidi w:val="0"/>
        <w:spacing w:line="460" w:lineRule="exact"/>
        <w:ind w:firstLine="482" w:firstLineChars="200"/>
        <w:textAlignment w:val="auto"/>
        <w:rPr>
          <w:rFonts w:hint="eastAsia" w:ascii="Times New Roman" w:hAnsi="Times New Roman" w:eastAsia="宋体" w:cs="Times New Roman"/>
          <w:b/>
          <w:bCs/>
          <w:color w:val="auto"/>
          <w:kern w:val="2"/>
          <w:sz w:val="24"/>
          <w:szCs w:val="20"/>
          <w:highlight w:val="none"/>
          <w:lang w:val="en-US" w:eastAsia="zh-CN" w:bidi="ar-SA"/>
        </w:rPr>
      </w:pPr>
      <w:r>
        <w:rPr>
          <w:rFonts w:hint="eastAsia" w:ascii="仿宋_GB2312" w:eastAsia="仿宋_GB2312"/>
          <w:b/>
          <w:color w:val="auto"/>
          <w:sz w:val="24"/>
          <w:lang w:val="en-US" w:eastAsia="zh-CN"/>
        </w:rPr>
        <w:t>6</w:t>
      </w:r>
      <w:r>
        <w:rPr>
          <w:rFonts w:hint="eastAsia" w:ascii="仿宋_GB2312" w:eastAsia="仿宋_GB2312"/>
          <w:b/>
          <w:color w:val="auto"/>
          <w:sz w:val="24"/>
        </w:rPr>
        <w:t>、</w:t>
      </w:r>
      <w:r>
        <w:rPr>
          <w:rFonts w:hint="eastAsia" w:ascii="仿宋_GB2312" w:eastAsia="仿宋_GB2312"/>
          <w:b/>
          <w:bCs/>
          <w:color w:val="auto"/>
          <w:sz w:val="24"/>
        </w:rPr>
        <w:t>包</w:t>
      </w:r>
      <w:r>
        <w:rPr>
          <w:rFonts w:hint="eastAsia" w:ascii="Times New Roman" w:hAnsi="Times New Roman" w:eastAsia="宋体" w:cs="Times New Roman"/>
          <w:b/>
          <w:bCs/>
          <w:color w:val="auto"/>
          <w:kern w:val="2"/>
          <w:sz w:val="24"/>
          <w:szCs w:val="20"/>
          <w:highlight w:val="none"/>
          <w:lang w:val="en-US" w:eastAsia="zh-CN" w:bidi="ar-SA"/>
        </w:rPr>
        <w:t>装及运输要求</w:t>
      </w:r>
    </w:p>
    <w:p w14:paraId="3E7710C6">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6.1除合同专用条款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损坏和损失等一切风险均由乙方承担。</w:t>
      </w:r>
    </w:p>
    <w:p w14:paraId="5B5EBF3F">
      <w:pPr>
        <w:pageBreakBefore w:val="0"/>
        <w:tabs>
          <w:tab w:val="left" w:pos="1120"/>
        </w:tabs>
        <w:kinsoku/>
        <w:wordWrap/>
        <w:overflowPunct/>
        <w:topLinePunct w:val="0"/>
        <w:autoSpaceDE/>
        <w:autoSpaceDN/>
        <w:bidi w:val="0"/>
        <w:spacing w:line="460" w:lineRule="exact"/>
        <w:ind w:left="719" w:leftChars="228" w:hanging="240" w:hangingChars="1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6.2运输：</w:t>
      </w:r>
    </w:p>
    <w:p w14:paraId="69B9925B">
      <w:pPr>
        <w:pageBreakBefore w:val="0"/>
        <w:tabs>
          <w:tab w:val="left" w:pos="1120"/>
        </w:tabs>
        <w:kinsoku/>
        <w:wordWrap/>
        <w:overflowPunct/>
        <w:topLinePunct w:val="0"/>
        <w:autoSpaceDE/>
        <w:autoSpaceDN/>
        <w:bidi w:val="0"/>
        <w:spacing w:line="460" w:lineRule="exact"/>
        <w:ind w:left="719" w:leftChars="228" w:hanging="240" w:hangingChars="1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6.2.1.成交供应商负责种子到采购人指定地点的全部运输，包括装卸及现场搬运等。</w:t>
      </w:r>
    </w:p>
    <w:p w14:paraId="2190112F">
      <w:pPr>
        <w:pageBreakBefore w:val="0"/>
        <w:tabs>
          <w:tab w:val="left" w:pos="1120"/>
        </w:tabs>
        <w:kinsoku/>
        <w:wordWrap/>
        <w:overflowPunct/>
        <w:topLinePunct w:val="0"/>
        <w:autoSpaceDE/>
        <w:autoSpaceDN/>
        <w:bidi w:val="0"/>
        <w:spacing w:line="460" w:lineRule="exact"/>
        <w:ind w:left="719" w:leftChars="228" w:hanging="240" w:hangingChars="1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6.2.2.成交供应商负责种子在指定地点的保管，直至货物验收合格。</w:t>
      </w:r>
    </w:p>
    <w:p w14:paraId="177FB45A">
      <w:pPr>
        <w:pageBreakBefore w:val="0"/>
        <w:tabs>
          <w:tab w:val="left" w:pos="1120"/>
        </w:tabs>
        <w:kinsoku/>
        <w:wordWrap/>
        <w:overflowPunct/>
        <w:topLinePunct w:val="0"/>
        <w:autoSpaceDE/>
        <w:autoSpaceDN/>
        <w:bidi w:val="0"/>
        <w:spacing w:line="460" w:lineRule="exact"/>
        <w:ind w:left="719" w:leftChars="228" w:hanging="240" w:hangingChars="1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6.2.3.成交供应商负责其派出的人员的人身意外保险。</w:t>
      </w:r>
    </w:p>
    <w:p w14:paraId="579C6FF6">
      <w:pPr>
        <w:pageBreakBefore w:val="0"/>
        <w:tabs>
          <w:tab w:val="left" w:pos="1120"/>
        </w:tabs>
        <w:kinsoku/>
        <w:wordWrap/>
        <w:overflowPunct/>
        <w:topLinePunct w:val="0"/>
        <w:autoSpaceDE/>
        <w:autoSpaceDN/>
        <w:bidi w:val="0"/>
        <w:spacing w:line="460" w:lineRule="exact"/>
        <w:ind w:firstLine="482" w:firstLineChars="200"/>
        <w:textAlignment w:val="auto"/>
        <w:rPr>
          <w:rFonts w:hint="eastAsia" w:ascii="仿宋_GB2312" w:eastAsia="仿宋_GB2312"/>
          <w:b/>
          <w:color w:val="auto"/>
          <w:sz w:val="24"/>
        </w:rPr>
      </w:pPr>
      <w:r>
        <w:rPr>
          <w:rFonts w:hint="eastAsia" w:ascii="仿宋_GB2312" w:eastAsia="仿宋_GB2312"/>
          <w:b/>
          <w:bCs/>
          <w:color w:val="auto"/>
          <w:sz w:val="24"/>
          <w:lang w:val="en-US" w:eastAsia="zh-CN"/>
        </w:rPr>
        <w:t>7</w:t>
      </w:r>
      <w:r>
        <w:rPr>
          <w:rFonts w:hint="eastAsia" w:ascii="仿宋_GB2312" w:eastAsia="仿宋_GB2312"/>
          <w:b/>
          <w:bCs/>
          <w:color w:val="auto"/>
          <w:sz w:val="24"/>
        </w:rPr>
        <w:t>、 质量保证及验收：</w:t>
      </w:r>
    </w:p>
    <w:p w14:paraId="4837F4F7">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7.1 验收按相关文件要求进行验收，项目验收国家有强制性规定的，按国家规定执行，验收费用由中标供应商承担。</w:t>
      </w:r>
    </w:p>
    <w:p w14:paraId="5BF788E4">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7.2 验收过程中产生纠纷的，由质量技术监督部门认定的检测机构检测,如为中标供应商原因造成的，由中标供应商承担检测费用；否则，由采购人承担。</w:t>
      </w:r>
    </w:p>
    <w:p w14:paraId="3DCD72C8">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7.3 项目验收不合格，由中标供应商返工直至合格，有关返工、再行验收，以及给采购人造成的损失等费用由中标供应商承担。连续两次项目验收不合格的，采购人可终止合同，另行按规定选择其他供应商采购，由此带来的一切损失由中标供应商承担。</w:t>
      </w:r>
    </w:p>
    <w:p w14:paraId="2EE81E59">
      <w:pPr>
        <w:pageBreakBefore w:val="0"/>
        <w:tabs>
          <w:tab w:val="left" w:pos="1120"/>
        </w:tabs>
        <w:kinsoku/>
        <w:wordWrap/>
        <w:overflowPunct/>
        <w:topLinePunct w:val="0"/>
        <w:autoSpaceDE/>
        <w:autoSpaceDN/>
        <w:bidi w:val="0"/>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7.4 提供1年的质量保证期，质保期内免费质保。</w:t>
      </w:r>
    </w:p>
    <w:p w14:paraId="15459CCE">
      <w:pPr>
        <w:pageBreakBefore w:val="0"/>
        <w:tabs>
          <w:tab w:val="left" w:pos="1120"/>
        </w:tabs>
        <w:kinsoku/>
        <w:wordWrap/>
        <w:overflowPunct/>
        <w:topLinePunct w:val="0"/>
        <w:autoSpaceDE/>
        <w:autoSpaceDN/>
        <w:bidi w:val="0"/>
        <w:spacing w:line="460" w:lineRule="exact"/>
        <w:ind w:left="961" w:leftChars="228" w:hanging="482" w:hangingChars="200"/>
        <w:textAlignment w:val="auto"/>
        <w:rPr>
          <w:rFonts w:hint="eastAsia"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8、售后服务：</w:t>
      </w:r>
    </w:p>
    <w:p w14:paraId="1507D560">
      <w:pPr>
        <w:pageBreakBefore w:val="0"/>
        <w:tabs>
          <w:tab w:val="left" w:pos="1120"/>
        </w:tabs>
        <w:kinsoku/>
        <w:wordWrap/>
        <w:overflowPunct/>
        <w:topLinePunct w:val="0"/>
        <w:autoSpaceDE/>
        <w:autoSpaceDN/>
        <w:bidi w:val="0"/>
        <w:spacing w:line="460" w:lineRule="exact"/>
        <w:ind w:left="959" w:leftChars="228" w:hanging="480" w:hanging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8.1 投标人应对所提供的产品提供相应的售后服务承诺。</w:t>
      </w:r>
    </w:p>
    <w:p w14:paraId="45148F8D">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8.2 成交供应商除提供合格种子外，同时，还必须制定与提交详细的、操作性强的种子发放及技术指导服务方案。即对种子使用提供全方位的售后服务，包括向农户提供与合同一致的种子的简要性状、主要栽培措施、使用条件说明等资料，并在本生产周期内全程免费提供技术咨询和技术指导。</w:t>
      </w:r>
    </w:p>
    <w:p w14:paraId="3C9D4D13">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8.3 提供 7×24 小时的技术咨询服务</w:t>
      </w:r>
    </w:p>
    <w:p w14:paraId="124D9F7F">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b w:val="0"/>
          <w:bCs w:val="0"/>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8.4 敏感时期、重大节假日提供技术人员值守服务。</w:t>
      </w:r>
    </w:p>
    <w:p w14:paraId="53CA1DFC">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b w:val="0"/>
          <w:bCs w:val="0"/>
          <w:color w:val="auto"/>
          <w:kern w:val="2"/>
          <w:sz w:val="24"/>
          <w:szCs w:val="20"/>
          <w:highlight w:val="none"/>
          <w:lang w:val="en-US" w:eastAsia="zh-CN" w:bidi="ar-SA"/>
        </w:rPr>
        <w:t>8.5</w:t>
      </w:r>
      <w:r>
        <w:rPr>
          <w:rFonts w:hint="eastAsia" w:ascii="Times New Roman" w:hAnsi="Times New Roman" w:eastAsia="宋体" w:cs="Times New Roman"/>
          <w:b/>
          <w:bCs/>
          <w:color w:val="auto"/>
          <w:kern w:val="2"/>
          <w:sz w:val="24"/>
          <w:szCs w:val="20"/>
          <w:highlight w:val="none"/>
          <w:lang w:val="en-US" w:eastAsia="zh-CN" w:bidi="ar-SA"/>
        </w:rPr>
        <w:t xml:space="preserve"> </w:t>
      </w:r>
      <w:r>
        <w:rPr>
          <w:rFonts w:hint="eastAsia" w:ascii="Times New Roman" w:hAnsi="Times New Roman" w:eastAsia="宋体" w:cs="Times New Roman"/>
          <w:color w:val="auto"/>
          <w:kern w:val="2"/>
          <w:sz w:val="24"/>
          <w:szCs w:val="20"/>
          <w:highlight w:val="none"/>
          <w:lang w:val="en-US" w:eastAsia="zh-CN" w:bidi="ar-SA"/>
        </w:rPr>
        <w:t>质保期内出现任何质量问题（人为破坏或自然灾害等不可抗力除外），由中标供应商负责全免费更换。</w:t>
      </w:r>
    </w:p>
    <w:p w14:paraId="08B1BAD8">
      <w:pPr>
        <w:pStyle w:val="42"/>
        <w:pageBreakBefore w:val="0"/>
        <w:numPr>
          <w:ilvl w:val="0"/>
          <w:numId w:val="0"/>
        </w:numPr>
        <w:kinsoku/>
        <w:wordWrap/>
        <w:overflowPunct/>
        <w:topLinePunct w:val="0"/>
        <w:autoSpaceDE/>
        <w:autoSpaceDN/>
        <w:bidi w:val="0"/>
        <w:spacing w:before="0" w:beforeLines="0" w:line="460" w:lineRule="exact"/>
        <w:ind w:leftChars="200" w:firstLine="241" w:firstLineChars="100"/>
        <w:textAlignment w:val="auto"/>
        <w:outlineLvl w:val="2"/>
        <w:rPr>
          <w:rFonts w:hint="eastAsia"/>
          <w:b/>
          <w:bCs/>
          <w:color w:val="auto"/>
          <w:sz w:val="24"/>
          <w:szCs w:val="20"/>
          <w:highlight w:val="none"/>
          <w:lang w:val="en-US" w:eastAsia="zh-CN"/>
        </w:rPr>
      </w:pPr>
      <w:r>
        <w:rPr>
          <w:rFonts w:hint="eastAsia"/>
          <w:b/>
          <w:bCs/>
          <w:color w:val="auto"/>
          <w:sz w:val="24"/>
          <w:szCs w:val="20"/>
          <w:highlight w:val="none"/>
          <w:lang w:val="en-US" w:eastAsia="zh-CN"/>
        </w:rPr>
        <w:t>9、其它约定事项：</w:t>
      </w:r>
    </w:p>
    <w:p w14:paraId="330E3B01">
      <w:pPr>
        <w:pageBreakBefore w:val="0"/>
        <w:tabs>
          <w:tab w:val="left" w:pos="1120"/>
        </w:tabs>
        <w:kinsoku/>
        <w:wordWrap/>
        <w:overflowPunct/>
        <w:topLinePunct w:val="0"/>
        <w:autoSpaceDE/>
        <w:autoSpaceDN/>
        <w:bidi w:val="0"/>
        <w:spacing w:line="460" w:lineRule="exac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9.1本合同约定之违约金、赔偿金、罚款，应在明确责任后5日内支付，否则视为逾期付款。</w:t>
      </w:r>
    </w:p>
    <w:p w14:paraId="269E908C">
      <w:pPr>
        <w:pageBreakBefore w:val="0"/>
        <w:tabs>
          <w:tab w:val="left" w:pos="1120"/>
        </w:tabs>
        <w:kinsoku/>
        <w:wordWrap/>
        <w:overflowPunct/>
        <w:topLinePunct w:val="0"/>
        <w:autoSpaceDE/>
        <w:autoSpaceDN/>
        <w:bidi w:val="0"/>
        <w:spacing w:line="460" w:lineRule="exac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9.2本合同有效期内，除非双方授权代表书面确认，任何一方不得擅自变更本合同内容或将本合同项下权利义务全部或部分转让给其他第三方。</w:t>
      </w:r>
    </w:p>
    <w:p w14:paraId="10CEB078">
      <w:pPr>
        <w:pageBreakBefore w:val="0"/>
        <w:tabs>
          <w:tab w:val="left" w:pos="1120"/>
        </w:tabs>
        <w:kinsoku/>
        <w:wordWrap/>
        <w:overflowPunct/>
        <w:topLinePunct w:val="0"/>
        <w:autoSpaceDE/>
        <w:autoSpaceDN/>
        <w:bidi w:val="0"/>
        <w:spacing w:line="460" w:lineRule="exac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9.3乙方开出的发票必须真实合法有效，如开出虚假发票所造成的一切后果由乙方负责。</w:t>
      </w:r>
    </w:p>
    <w:p w14:paraId="537C17E7">
      <w:pPr>
        <w:pStyle w:val="42"/>
        <w:pageBreakBefore w:val="0"/>
        <w:numPr>
          <w:ilvl w:val="0"/>
          <w:numId w:val="19"/>
        </w:numPr>
        <w:kinsoku/>
        <w:wordWrap/>
        <w:overflowPunct/>
        <w:topLinePunct w:val="0"/>
        <w:autoSpaceDE/>
        <w:autoSpaceDN/>
        <w:bidi w:val="0"/>
        <w:spacing w:before="0" w:beforeLines="0" w:line="460" w:lineRule="exact"/>
        <w:ind w:firstLine="723" w:firstLineChars="300"/>
        <w:textAlignment w:val="auto"/>
        <w:outlineLvl w:val="2"/>
        <w:rPr>
          <w:color w:val="auto"/>
          <w:sz w:val="24"/>
          <w:szCs w:val="20"/>
          <w:highlight w:val="none"/>
        </w:rPr>
      </w:pPr>
      <w:bookmarkStart w:id="79" w:name="_Toc29226"/>
      <w:r>
        <w:rPr>
          <w:rFonts w:hint="eastAsia"/>
          <w:b/>
          <w:bCs/>
          <w:color w:val="auto"/>
          <w:sz w:val="24"/>
          <w:szCs w:val="20"/>
          <w:highlight w:val="none"/>
        </w:rPr>
        <w:t>合同争议的解决</w:t>
      </w:r>
      <w:bookmarkEnd w:id="79"/>
    </w:p>
    <w:p w14:paraId="67586F8A">
      <w:pPr>
        <w:pStyle w:val="42"/>
        <w:pageBreakBefore w:val="0"/>
        <w:numPr>
          <w:ilvl w:val="0"/>
          <w:numId w:val="0"/>
        </w:numPr>
        <w:kinsoku/>
        <w:wordWrap/>
        <w:overflowPunct/>
        <w:topLinePunct w:val="0"/>
        <w:autoSpaceDE/>
        <w:autoSpaceDN/>
        <w:bidi w:val="0"/>
        <w:spacing w:before="0" w:beforeLines="0" w:line="460" w:lineRule="exact"/>
        <w:ind w:firstLine="480" w:firstLineChars="200"/>
        <w:textAlignment w:val="auto"/>
        <w:outlineLvl w:val="2"/>
        <w:rPr>
          <w:color w:val="auto"/>
          <w:sz w:val="24"/>
          <w:szCs w:val="20"/>
          <w:highlight w:val="none"/>
        </w:rPr>
      </w:pPr>
      <w:r>
        <w:rPr>
          <w:rFonts w:hint="eastAsia"/>
          <w:color w:val="auto"/>
          <w:sz w:val="24"/>
          <w:szCs w:val="20"/>
          <w:highlight w:val="none"/>
        </w:rPr>
        <w:t>本合同履行过程中发生的任何争议，双方当事人均可通过和解或者调解解决；不愿和解调、解或者和解、调解不成的，可以选择下列第</w:t>
      </w:r>
      <w:r>
        <w:rPr>
          <w:rFonts w:hint="eastAsia"/>
          <w:color w:val="auto"/>
          <w:sz w:val="24"/>
          <w:szCs w:val="20"/>
          <w:highlight w:val="none"/>
          <w:u w:val="single"/>
          <w:lang w:val="en-US" w:eastAsia="zh-CN"/>
        </w:rPr>
        <w:t>10.2</w:t>
      </w:r>
      <w:r>
        <w:rPr>
          <w:rFonts w:hint="eastAsia"/>
          <w:color w:val="auto"/>
          <w:sz w:val="24"/>
          <w:szCs w:val="20"/>
          <w:highlight w:val="none"/>
        </w:rPr>
        <w:t>种方式解决：</w:t>
      </w:r>
    </w:p>
    <w:p w14:paraId="05EB3F06">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10.1将争议提交张家界仲裁委员会仲裁；</w:t>
      </w:r>
    </w:p>
    <w:p w14:paraId="6A34BF80">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10.2向甲方所在地人民法院起诉。</w:t>
      </w:r>
      <w:bookmarkStart w:id="80" w:name="_Toc18056"/>
    </w:p>
    <w:p w14:paraId="640C91EB">
      <w:pPr>
        <w:keepNext w:val="0"/>
        <w:keepLines w:val="0"/>
        <w:pageBreakBefore w:val="0"/>
        <w:widowControl w:val="0"/>
        <w:tabs>
          <w:tab w:val="left" w:pos="1120"/>
        </w:tabs>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10.3本合同如有未尽事宜，双方另行签订补充协议，补充协议与本合同具有同等法律效力。</w:t>
      </w:r>
    </w:p>
    <w:p w14:paraId="0A2B9845">
      <w:pPr>
        <w:pStyle w:val="42"/>
        <w:pageBreakBefore w:val="0"/>
        <w:kinsoku/>
        <w:wordWrap/>
        <w:overflowPunct/>
        <w:topLinePunct w:val="0"/>
        <w:autoSpaceDE/>
        <w:autoSpaceDN/>
        <w:bidi w:val="0"/>
        <w:spacing w:before="0" w:beforeLines="0" w:line="460" w:lineRule="exact"/>
        <w:ind w:firstLine="723" w:firstLineChars="300"/>
        <w:textAlignment w:val="auto"/>
        <w:outlineLvl w:val="2"/>
        <w:rPr>
          <w:b/>
          <w:bCs/>
          <w:color w:val="auto"/>
          <w:sz w:val="24"/>
          <w:szCs w:val="20"/>
          <w:highlight w:val="none"/>
        </w:rPr>
      </w:pPr>
      <w:r>
        <w:rPr>
          <w:rFonts w:hint="eastAsia"/>
          <w:b/>
          <w:bCs/>
          <w:color w:val="auto"/>
          <w:sz w:val="24"/>
          <w:szCs w:val="20"/>
          <w:highlight w:val="none"/>
          <w:lang w:val="en-US" w:eastAsia="zh-CN"/>
        </w:rPr>
        <w:t>11、</w:t>
      </w:r>
      <w:r>
        <w:rPr>
          <w:rFonts w:hint="eastAsia"/>
          <w:b/>
          <w:bCs/>
          <w:color w:val="auto"/>
          <w:sz w:val="24"/>
          <w:szCs w:val="20"/>
          <w:highlight w:val="none"/>
        </w:rPr>
        <w:t>合同生效</w:t>
      </w:r>
      <w:bookmarkEnd w:id="80"/>
    </w:p>
    <w:p w14:paraId="6E20E5CB">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本合同经双方盖章及法定代表人签字后生效，本合同一式</w:t>
      </w:r>
      <w:r>
        <w:rPr>
          <w:rFonts w:hint="eastAsia" w:ascii="Times New Roman" w:hAnsi="Times New Roman" w:eastAsia="宋体" w:cs="Times New Roman"/>
          <w:color w:val="auto"/>
          <w:kern w:val="2"/>
          <w:sz w:val="24"/>
          <w:szCs w:val="20"/>
          <w:highlight w:val="none"/>
          <w:u w:val="single"/>
          <w:lang w:val="en-US" w:eastAsia="zh-CN" w:bidi="ar-SA"/>
        </w:rPr>
        <w:t xml:space="preserve"> 陆 </w:t>
      </w:r>
      <w:r>
        <w:rPr>
          <w:rFonts w:hint="eastAsia" w:ascii="Times New Roman" w:hAnsi="Times New Roman" w:eastAsia="宋体" w:cs="Times New Roman"/>
          <w:color w:val="auto"/>
          <w:kern w:val="2"/>
          <w:sz w:val="24"/>
          <w:szCs w:val="20"/>
          <w:highlight w:val="none"/>
          <w:lang w:val="en-US" w:eastAsia="zh-CN" w:bidi="ar-SA"/>
        </w:rPr>
        <w:t>份，采购人执</w:t>
      </w:r>
      <w:r>
        <w:rPr>
          <w:rFonts w:hint="eastAsia" w:ascii="Times New Roman" w:hAnsi="Times New Roman" w:eastAsia="宋体" w:cs="Times New Roman"/>
          <w:color w:val="auto"/>
          <w:kern w:val="2"/>
          <w:sz w:val="24"/>
          <w:szCs w:val="20"/>
          <w:highlight w:val="none"/>
          <w:u w:val="single"/>
          <w:lang w:val="en-US" w:eastAsia="zh-CN" w:bidi="ar-SA"/>
        </w:rPr>
        <w:t xml:space="preserve"> 叁 </w:t>
      </w:r>
      <w:r>
        <w:rPr>
          <w:rFonts w:hint="eastAsia" w:ascii="Times New Roman" w:hAnsi="Times New Roman" w:eastAsia="宋体" w:cs="Times New Roman"/>
          <w:color w:val="auto"/>
          <w:kern w:val="2"/>
          <w:sz w:val="24"/>
          <w:szCs w:val="20"/>
          <w:highlight w:val="none"/>
          <w:lang w:val="en-US" w:eastAsia="zh-CN" w:bidi="ar-SA"/>
        </w:rPr>
        <w:t>份，供应商执</w:t>
      </w:r>
      <w:r>
        <w:rPr>
          <w:rFonts w:hint="eastAsia" w:ascii="Times New Roman" w:hAnsi="Times New Roman" w:eastAsia="宋体" w:cs="Times New Roman"/>
          <w:color w:val="auto"/>
          <w:kern w:val="2"/>
          <w:sz w:val="24"/>
          <w:szCs w:val="20"/>
          <w:highlight w:val="none"/>
          <w:u w:val="single"/>
          <w:lang w:val="en-US" w:eastAsia="zh-CN" w:bidi="ar-SA"/>
        </w:rPr>
        <w:t xml:space="preserve"> 贰 </w:t>
      </w:r>
      <w:r>
        <w:rPr>
          <w:rFonts w:hint="eastAsia" w:ascii="Times New Roman" w:hAnsi="Times New Roman" w:eastAsia="宋体" w:cs="Times New Roman"/>
          <w:color w:val="auto"/>
          <w:kern w:val="2"/>
          <w:sz w:val="24"/>
          <w:szCs w:val="20"/>
          <w:highlight w:val="none"/>
          <w:lang w:val="en-US" w:eastAsia="zh-CN" w:bidi="ar-SA"/>
        </w:rPr>
        <w:t>份，代理机构</w:t>
      </w:r>
      <w:r>
        <w:rPr>
          <w:rFonts w:hint="eastAsia" w:ascii="Times New Roman" w:hAnsi="Times New Roman" w:eastAsia="宋体" w:cs="Times New Roman"/>
          <w:color w:val="auto"/>
          <w:kern w:val="2"/>
          <w:sz w:val="24"/>
          <w:szCs w:val="20"/>
          <w:highlight w:val="none"/>
          <w:u w:val="single"/>
          <w:lang w:val="en-US" w:eastAsia="zh-CN" w:bidi="ar-SA"/>
        </w:rPr>
        <w:t xml:space="preserve"> 壹 </w:t>
      </w:r>
      <w:r>
        <w:rPr>
          <w:rFonts w:hint="eastAsia" w:ascii="Times New Roman" w:hAnsi="Times New Roman" w:eastAsia="宋体" w:cs="Times New Roman"/>
          <w:color w:val="auto"/>
          <w:kern w:val="2"/>
          <w:sz w:val="24"/>
          <w:szCs w:val="20"/>
          <w:highlight w:val="none"/>
          <w:lang w:val="en-US" w:eastAsia="zh-CN" w:bidi="ar-SA"/>
        </w:rPr>
        <w:t>份，均具有同等法律效力。</w:t>
      </w:r>
    </w:p>
    <w:tbl>
      <w:tblPr>
        <w:tblStyle w:val="33"/>
        <w:tblpPr w:leftFromText="180" w:rightFromText="180" w:vertAnchor="text" w:horzAnchor="page" w:tblpX="1037" w:tblpY="133"/>
        <w:tblOverlap w:val="never"/>
        <w:tblW w:w="10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145"/>
        <w:gridCol w:w="2820"/>
        <w:gridCol w:w="2295"/>
      </w:tblGrid>
      <w:tr w14:paraId="031A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835" w:type="dxa"/>
            <w:tcBorders>
              <w:top w:val="nil"/>
              <w:left w:val="nil"/>
              <w:bottom w:val="nil"/>
              <w:right w:val="nil"/>
            </w:tcBorders>
            <w:vAlign w:val="center"/>
          </w:tcPr>
          <w:p w14:paraId="3B4DB06D">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jc w:val="distribute"/>
              <w:textAlignment w:val="auto"/>
              <w:rPr>
                <w:color w:val="auto"/>
                <w:highlight w:val="none"/>
              </w:rPr>
            </w:pPr>
            <w:r>
              <w:rPr>
                <w:rFonts w:hint="eastAsia"/>
                <w:color w:val="auto"/>
                <w:highlight w:val="none"/>
              </w:rPr>
              <w:t>甲方（</w:t>
            </w:r>
            <w:r>
              <w:rPr>
                <w:rFonts w:hint="eastAsia"/>
                <w:color w:val="auto"/>
                <w:highlight w:val="none"/>
                <w:lang w:eastAsia="zh-CN"/>
              </w:rPr>
              <w:t>加盖公章</w:t>
            </w:r>
            <w:r>
              <w:rPr>
                <w:rFonts w:hint="eastAsia"/>
                <w:color w:val="auto"/>
                <w:highlight w:val="none"/>
              </w:rPr>
              <w:t>）：</w:t>
            </w:r>
          </w:p>
        </w:tc>
        <w:tc>
          <w:tcPr>
            <w:tcW w:w="2145" w:type="dxa"/>
            <w:tcBorders>
              <w:top w:val="nil"/>
              <w:left w:val="nil"/>
              <w:bottom w:val="nil"/>
              <w:right w:val="nil"/>
            </w:tcBorders>
            <w:vAlign w:val="center"/>
          </w:tcPr>
          <w:p w14:paraId="5755871B">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480"/>
              <w:jc w:val="center"/>
              <w:textAlignment w:val="auto"/>
              <w:rPr>
                <w:color w:val="auto"/>
                <w:highlight w:val="none"/>
              </w:rPr>
            </w:pPr>
          </w:p>
        </w:tc>
        <w:tc>
          <w:tcPr>
            <w:tcW w:w="2820" w:type="dxa"/>
            <w:tcBorders>
              <w:top w:val="nil"/>
              <w:left w:val="nil"/>
              <w:bottom w:val="nil"/>
              <w:right w:val="nil"/>
            </w:tcBorders>
            <w:vAlign w:val="center"/>
          </w:tcPr>
          <w:p w14:paraId="7076F1AD">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jc w:val="distribute"/>
              <w:textAlignment w:val="auto"/>
              <w:rPr>
                <w:color w:val="auto"/>
                <w:highlight w:val="none"/>
              </w:rPr>
            </w:pPr>
            <w:r>
              <w:rPr>
                <w:rFonts w:hint="eastAsia"/>
                <w:color w:val="auto"/>
                <w:highlight w:val="none"/>
              </w:rPr>
              <w:t>乙方（</w:t>
            </w:r>
            <w:r>
              <w:rPr>
                <w:rFonts w:hint="eastAsia"/>
                <w:color w:val="auto"/>
                <w:highlight w:val="none"/>
                <w:lang w:eastAsia="zh-CN"/>
              </w:rPr>
              <w:t>加盖公章</w:t>
            </w:r>
            <w:r>
              <w:rPr>
                <w:rFonts w:hint="eastAsia"/>
                <w:color w:val="auto"/>
                <w:highlight w:val="none"/>
              </w:rPr>
              <w:t>）：</w:t>
            </w:r>
          </w:p>
        </w:tc>
        <w:tc>
          <w:tcPr>
            <w:tcW w:w="2295" w:type="dxa"/>
            <w:tcBorders>
              <w:top w:val="nil"/>
              <w:left w:val="nil"/>
              <w:bottom w:val="nil"/>
              <w:right w:val="nil"/>
            </w:tcBorders>
            <w:vAlign w:val="center"/>
          </w:tcPr>
          <w:p w14:paraId="6A71A78F">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480"/>
              <w:jc w:val="center"/>
              <w:textAlignment w:val="auto"/>
              <w:rPr>
                <w:color w:val="auto"/>
                <w:highlight w:val="none"/>
              </w:rPr>
            </w:pPr>
          </w:p>
        </w:tc>
      </w:tr>
      <w:tr w14:paraId="7940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vAlign w:val="center"/>
          </w:tcPr>
          <w:p w14:paraId="4621953A">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textAlignment w:val="auto"/>
              <w:rPr>
                <w:color w:val="auto"/>
                <w:highlight w:val="none"/>
              </w:rPr>
            </w:pPr>
            <w:r>
              <w:rPr>
                <w:rFonts w:hint="eastAsia"/>
                <w:color w:val="auto"/>
                <w:highlight w:val="none"/>
              </w:rPr>
              <w:t>法定代表人（签字、签章或印鉴）：</w:t>
            </w:r>
          </w:p>
        </w:tc>
        <w:tc>
          <w:tcPr>
            <w:tcW w:w="2145" w:type="dxa"/>
            <w:tcBorders>
              <w:top w:val="nil"/>
              <w:left w:val="nil"/>
              <w:bottom w:val="nil"/>
              <w:right w:val="nil"/>
            </w:tcBorders>
            <w:vAlign w:val="center"/>
          </w:tcPr>
          <w:p w14:paraId="6EFEF501">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480"/>
              <w:jc w:val="center"/>
              <w:textAlignment w:val="auto"/>
              <w:rPr>
                <w:color w:val="auto"/>
                <w:highlight w:val="none"/>
              </w:rPr>
            </w:pPr>
          </w:p>
        </w:tc>
        <w:tc>
          <w:tcPr>
            <w:tcW w:w="2820" w:type="dxa"/>
            <w:tcBorders>
              <w:top w:val="nil"/>
              <w:left w:val="nil"/>
              <w:bottom w:val="nil"/>
              <w:right w:val="nil"/>
            </w:tcBorders>
            <w:vAlign w:val="center"/>
          </w:tcPr>
          <w:p w14:paraId="5A38248D">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textAlignment w:val="auto"/>
              <w:rPr>
                <w:color w:val="auto"/>
                <w:highlight w:val="none"/>
              </w:rPr>
            </w:pPr>
            <w:r>
              <w:rPr>
                <w:rFonts w:hint="eastAsia"/>
                <w:color w:val="auto"/>
                <w:highlight w:val="none"/>
              </w:rPr>
              <w:t>法定代表人（签字、签章或印鉴）：</w:t>
            </w:r>
          </w:p>
        </w:tc>
        <w:tc>
          <w:tcPr>
            <w:tcW w:w="2295" w:type="dxa"/>
            <w:tcBorders>
              <w:top w:val="nil"/>
              <w:left w:val="nil"/>
              <w:bottom w:val="nil"/>
              <w:right w:val="nil"/>
            </w:tcBorders>
            <w:vAlign w:val="center"/>
          </w:tcPr>
          <w:p w14:paraId="7CF5623D">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480"/>
              <w:jc w:val="center"/>
              <w:textAlignment w:val="auto"/>
              <w:rPr>
                <w:color w:val="auto"/>
                <w:highlight w:val="none"/>
              </w:rPr>
            </w:pPr>
          </w:p>
        </w:tc>
      </w:tr>
      <w:tr w14:paraId="0B06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vAlign w:val="center"/>
          </w:tcPr>
          <w:p w14:paraId="5106EB97">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jc w:val="distribute"/>
              <w:textAlignment w:val="auto"/>
              <w:rPr>
                <w:color w:val="auto"/>
                <w:highlight w:val="none"/>
              </w:rPr>
            </w:pPr>
            <w:r>
              <w:rPr>
                <w:rFonts w:hint="eastAsia"/>
                <w:color w:val="auto"/>
                <w:highlight w:val="none"/>
              </w:rPr>
              <w:t>或授权代表（签字）：</w:t>
            </w:r>
          </w:p>
        </w:tc>
        <w:tc>
          <w:tcPr>
            <w:tcW w:w="2145" w:type="dxa"/>
            <w:tcBorders>
              <w:top w:val="nil"/>
              <w:left w:val="nil"/>
              <w:bottom w:val="nil"/>
              <w:right w:val="nil"/>
            </w:tcBorders>
            <w:vAlign w:val="center"/>
          </w:tcPr>
          <w:p w14:paraId="5B665618">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480"/>
              <w:jc w:val="center"/>
              <w:textAlignment w:val="auto"/>
              <w:rPr>
                <w:color w:val="auto"/>
                <w:highlight w:val="none"/>
              </w:rPr>
            </w:pPr>
          </w:p>
        </w:tc>
        <w:tc>
          <w:tcPr>
            <w:tcW w:w="2820" w:type="dxa"/>
            <w:tcBorders>
              <w:top w:val="nil"/>
              <w:left w:val="nil"/>
              <w:bottom w:val="nil"/>
              <w:right w:val="nil"/>
            </w:tcBorders>
            <w:vAlign w:val="center"/>
          </w:tcPr>
          <w:p w14:paraId="4BD841C1">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jc w:val="distribute"/>
              <w:textAlignment w:val="auto"/>
              <w:rPr>
                <w:color w:val="auto"/>
                <w:highlight w:val="none"/>
              </w:rPr>
            </w:pPr>
            <w:r>
              <w:rPr>
                <w:rFonts w:hint="eastAsia"/>
                <w:color w:val="auto"/>
                <w:highlight w:val="none"/>
              </w:rPr>
              <w:t>或授权代表（签字）：</w:t>
            </w:r>
          </w:p>
        </w:tc>
        <w:tc>
          <w:tcPr>
            <w:tcW w:w="2295" w:type="dxa"/>
            <w:tcBorders>
              <w:top w:val="nil"/>
              <w:left w:val="nil"/>
              <w:bottom w:val="nil"/>
              <w:right w:val="nil"/>
            </w:tcBorders>
            <w:vAlign w:val="center"/>
          </w:tcPr>
          <w:p w14:paraId="00B6920C">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480"/>
              <w:jc w:val="center"/>
              <w:textAlignment w:val="auto"/>
              <w:rPr>
                <w:color w:val="auto"/>
                <w:highlight w:val="none"/>
              </w:rPr>
            </w:pPr>
          </w:p>
        </w:tc>
      </w:tr>
      <w:tr w14:paraId="5470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vAlign w:val="center"/>
          </w:tcPr>
          <w:p w14:paraId="553A6464">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textAlignment w:val="auto"/>
              <w:rPr>
                <w:color w:val="auto"/>
                <w:highlight w:val="none"/>
              </w:rPr>
            </w:pPr>
            <w:r>
              <w:rPr>
                <w:rFonts w:hint="eastAsia"/>
                <w:color w:val="auto"/>
                <w:highlight w:val="none"/>
              </w:rPr>
              <w:t>时</w:t>
            </w:r>
            <w:r>
              <w:rPr>
                <w:rFonts w:hint="eastAsia"/>
                <w:color w:val="auto"/>
                <w:highlight w:val="none"/>
                <w:lang w:val="en-US" w:eastAsia="zh-CN"/>
              </w:rPr>
              <w:t xml:space="preserve">           </w:t>
            </w:r>
            <w:r>
              <w:rPr>
                <w:rFonts w:hint="eastAsia"/>
                <w:color w:val="auto"/>
                <w:highlight w:val="none"/>
              </w:rPr>
              <w:t>间：</w:t>
            </w:r>
          </w:p>
        </w:tc>
        <w:tc>
          <w:tcPr>
            <w:tcW w:w="2145" w:type="dxa"/>
            <w:tcBorders>
              <w:top w:val="nil"/>
              <w:left w:val="nil"/>
              <w:bottom w:val="nil"/>
              <w:right w:val="nil"/>
            </w:tcBorders>
            <w:vAlign w:val="center"/>
          </w:tcPr>
          <w:p w14:paraId="502635C8">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jc w:val="center"/>
              <w:textAlignment w:val="auto"/>
              <w:rPr>
                <w:color w:val="auto"/>
                <w:highlight w:val="none"/>
              </w:rPr>
            </w:pPr>
            <w:r>
              <w:rPr>
                <w:rFonts w:hint="eastAsia"/>
                <w:color w:val="auto"/>
                <w:highlight w:val="none"/>
              </w:rPr>
              <w:t>年</w:t>
            </w:r>
            <w:r>
              <w:rPr>
                <w:rFonts w:hint="eastAsia"/>
                <w:color w:val="auto"/>
                <w:highlight w:val="none"/>
                <w:lang w:val="en-US" w:eastAsia="zh-CN"/>
              </w:rPr>
              <w:t xml:space="preserve">  </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w:t>
            </w:r>
          </w:p>
        </w:tc>
        <w:tc>
          <w:tcPr>
            <w:tcW w:w="2820" w:type="dxa"/>
            <w:tcBorders>
              <w:top w:val="nil"/>
              <w:left w:val="nil"/>
              <w:bottom w:val="nil"/>
              <w:right w:val="nil"/>
            </w:tcBorders>
            <w:vAlign w:val="center"/>
          </w:tcPr>
          <w:p w14:paraId="4B926AC9">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0" w:firstLineChars="0"/>
              <w:textAlignment w:val="auto"/>
              <w:rPr>
                <w:color w:val="auto"/>
                <w:highlight w:val="none"/>
              </w:rPr>
            </w:pPr>
            <w:r>
              <w:rPr>
                <w:rFonts w:hint="eastAsia"/>
                <w:color w:val="auto"/>
                <w:highlight w:val="none"/>
              </w:rPr>
              <w:t>时</w:t>
            </w:r>
            <w:r>
              <w:rPr>
                <w:rFonts w:hint="eastAsia"/>
                <w:color w:val="auto"/>
                <w:highlight w:val="none"/>
                <w:lang w:val="en-US" w:eastAsia="zh-CN"/>
              </w:rPr>
              <w:t xml:space="preserve">          </w:t>
            </w:r>
            <w:r>
              <w:rPr>
                <w:rFonts w:hint="eastAsia"/>
                <w:color w:val="auto"/>
                <w:highlight w:val="none"/>
              </w:rPr>
              <w:t>间：</w:t>
            </w:r>
          </w:p>
        </w:tc>
        <w:tc>
          <w:tcPr>
            <w:tcW w:w="2295" w:type="dxa"/>
            <w:tcBorders>
              <w:top w:val="nil"/>
              <w:left w:val="nil"/>
              <w:bottom w:val="nil"/>
              <w:right w:val="nil"/>
            </w:tcBorders>
            <w:vAlign w:val="center"/>
          </w:tcPr>
          <w:p w14:paraId="2BAE5591">
            <w:pPr>
              <w:pStyle w:val="42"/>
              <w:keepNext w:val="0"/>
              <w:keepLines w:val="0"/>
              <w:pageBreakBefore w:val="0"/>
              <w:widowControl w:val="0"/>
              <w:kinsoku/>
              <w:wordWrap/>
              <w:overflowPunct/>
              <w:topLinePunct w:val="0"/>
              <w:autoSpaceDE/>
              <w:autoSpaceDN/>
              <w:bidi w:val="0"/>
              <w:adjustRightInd w:val="0"/>
              <w:snapToGrid w:val="0"/>
              <w:spacing w:before="0" w:beforeLines="0" w:line="500" w:lineRule="exact"/>
              <w:ind w:firstLine="480"/>
              <w:jc w:val="center"/>
              <w:textAlignment w:val="auto"/>
              <w:rPr>
                <w:color w:val="auto"/>
                <w:highlight w:val="none"/>
              </w:rPr>
            </w:pPr>
            <w:r>
              <w:rPr>
                <w:rFonts w:hint="eastAsia"/>
                <w:color w:val="auto"/>
                <w:highlight w:val="none"/>
              </w:rPr>
              <w:t>年</w:t>
            </w:r>
            <w:r>
              <w:rPr>
                <w:rFonts w:hint="eastAsia"/>
                <w:color w:val="auto"/>
                <w:highlight w:val="none"/>
                <w:lang w:val="en-US" w:eastAsia="zh-CN"/>
              </w:rPr>
              <w:t xml:space="preserve">  </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w:t>
            </w:r>
          </w:p>
        </w:tc>
      </w:tr>
    </w:tbl>
    <w:p w14:paraId="6EBE4862">
      <w:pPr>
        <w:pageBreakBefore w:val="0"/>
        <w:kinsoku/>
        <w:wordWrap/>
        <w:overflowPunct/>
        <w:topLinePunct w:val="0"/>
        <w:autoSpaceDE/>
        <w:autoSpaceDN/>
        <w:bidi w:val="0"/>
        <w:spacing w:line="540" w:lineRule="exact"/>
        <w:textAlignment w:val="auto"/>
        <w:rPr>
          <w:rFonts w:ascii="黑体" w:hAnsi="黑体" w:eastAsia="黑体" w:cs="黑体"/>
          <w:color w:val="auto"/>
          <w:sz w:val="30"/>
          <w:szCs w:val="30"/>
          <w:highlight w:val="none"/>
        </w:rPr>
      </w:pPr>
    </w:p>
    <w:p w14:paraId="3A366CFF">
      <w:pPr>
        <w:rPr>
          <w:rFonts w:hint="eastAsia"/>
          <w:color w:val="auto"/>
          <w:highlight w:val="none"/>
        </w:rPr>
      </w:pPr>
      <w:bookmarkStart w:id="81" w:name="_Toc7512"/>
      <w:bookmarkStart w:id="82" w:name="_Toc15234"/>
      <w:bookmarkStart w:id="83" w:name="_Toc13840"/>
      <w:bookmarkStart w:id="84" w:name="_Toc5602"/>
      <w:r>
        <w:rPr>
          <w:rFonts w:hint="eastAsia"/>
          <w:color w:val="auto"/>
          <w:highlight w:val="none"/>
        </w:rPr>
        <w:br w:type="page"/>
      </w:r>
    </w:p>
    <w:p w14:paraId="6DD1A7FB">
      <w:pPr>
        <w:pStyle w:val="3"/>
        <w:pageBreakBefore w:val="0"/>
        <w:kinsoku/>
        <w:wordWrap/>
        <w:overflowPunct/>
        <w:topLinePunct w:val="0"/>
        <w:autoSpaceDE/>
        <w:autoSpaceDN/>
        <w:bidi w:val="0"/>
        <w:spacing w:before="0" w:after="0"/>
        <w:jc w:val="center"/>
        <w:textAlignment w:val="auto"/>
        <w:rPr>
          <w:color w:val="auto"/>
          <w:highlight w:val="none"/>
        </w:rPr>
      </w:pPr>
      <w:r>
        <w:rPr>
          <w:rFonts w:hint="eastAsia"/>
          <w:color w:val="auto"/>
          <w:highlight w:val="none"/>
        </w:rPr>
        <w:t>第二部分</w:t>
      </w:r>
      <w:r>
        <w:rPr>
          <w:color w:val="auto"/>
          <w:highlight w:val="none"/>
        </w:rPr>
        <w:t xml:space="preserve"> </w:t>
      </w:r>
      <w:r>
        <w:rPr>
          <w:rFonts w:hint="eastAsia"/>
          <w:color w:val="auto"/>
          <w:highlight w:val="none"/>
        </w:rPr>
        <w:t>政府采购合同通用条款（</w:t>
      </w:r>
      <w:r>
        <w:rPr>
          <w:rFonts w:hint="eastAsia"/>
          <w:color w:val="auto"/>
          <w:highlight w:val="none"/>
          <w:lang w:val="en-US" w:eastAsia="zh-CN"/>
        </w:rPr>
        <w:t>货物</w:t>
      </w:r>
      <w:r>
        <w:rPr>
          <w:rFonts w:hint="eastAsia"/>
          <w:color w:val="auto"/>
          <w:highlight w:val="none"/>
        </w:rPr>
        <w:t>类）</w:t>
      </w:r>
      <w:bookmarkEnd w:id="81"/>
      <w:bookmarkEnd w:id="82"/>
      <w:bookmarkEnd w:id="83"/>
      <w:bookmarkEnd w:id="84"/>
    </w:p>
    <w:p w14:paraId="43F4464F">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85" w:name="_Toc6389"/>
      <w:r>
        <w:rPr>
          <w:b/>
          <w:bCs/>
          <w:color w:val="auto"/>
          <w:sz w:val="24"/>
          <w:szCs w:val="20"/>
          <w:highlight w:val="none"/>
        </w:rPr>
        <w:t>2.1</w:t>
      </w:r>
      <w:r>
        <w:rPr>
          <w:rFonts w:hint="eastAsia"/>
          <w:b/>
          <w:bCs/>
          <w:color w:val="auto"/>
          <w:sz w:val="24"/>
          <w:szCs w:val="20"/>
          <w:highlight w:val="none"/>
        </w:rPr>
        <w:t>定义</w:t>
      </w:r>
      <w:bookmarkEnd w:id="85"/>
    </w:p>
    <w:p w14:paraId="33EBE1C7">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本合同中的下列词语应按以下内容进行解释：</w:t>
      </w:r>
    </w:p>
    <w:p w14:paraId="01C86647">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2.1.1</w:t>
      </w:r>
      <w:r>
        <w:rPr>
          <w:rFonts w:hint="eastAsia"/>
          <w:color w:val="auto"/>
          <w:sz w:val="24"/>
          <w:szCs w:val="20"/>
          <w:highlight w:val="none"/>
        </w:rPr>
        <w:t>“合同”系指采购人和成交供应商签订的载明双方当事人所达成的协议，并包括所有的附件、附录和构成合同的其他文件。</w:t>
      </w:r>
    </w:p>
    <w:p w14:paraId="6F88FB5A">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2.1.2</w:t>
      </w:r>
      <w:r>
        <w:rPr>
          <w:rFonts w:hint="eastAsia"/>
          <w:color w:val="auto"/>
          <w:sz w:val="24"/>
          <w:szCs w:val="20"/>
          <w:highlight w:val="none"/>
        </w:rPr>
        <w:t>“合同价”系指根据合同约定，成交供应商在完全履行合同义务后，采购人应支付给成交供应商的价格。</w:t>
      </w:r>
    </w:p>
    <w:p w14:paraId="38E91DA5">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2.1.3</w:t>
      </w:r>
      <w:r>
        <w:rPr>
          <w:rFonts w:hint="eastAsia"/>
          <w:color w:val="auto"/>
          <w:sz w:val="24"/>
          <w:szCs w:val="20"/>
          <w:highlight w:val="none"/>
        </w:rPr>
        <w:t>“货物”系指中标人根据合同约定应向采购人交付的一切各种形态和种类的物品，包括原材料、燃料、设备、机械、仪表、备件、计算机软件、产品等，并包括工具、手册等其他相关资料。</w:t>
      </w:r>
    </w:p>
    <w:p w14:paraId="47BC8360">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2.1.4</w:t>
      </w:r>
      <w:r>
        <w:rPr>
          <w:rFonts w:hint="eastAsia"/>
          <w:color w:val="auto"/>
          <w:sz w:val="24"/>
          <w:szCs w:val="20"/>
          <w:highlight w:val="none"/>
        </w:rPr>
        <w:t>“甲方”系指与成交供应商签署合同的采购人；采购人委托采购代理机构代表其与乙方签订合同的，采购人的授权委托书作为合同附件。</w:t>
      </w:r>
    </w:p>
    <w:p w14:paraId="1419B9EE">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2.1.5</w:t>
      </w:r>
      <w:r>
        <w:rPr>
          <w:rFonts w:hint="eastAsia"/>
          <w:color w:val="auto"/>
          <w:sz w:val="24"/>
          <w:szCs w:val="20"/>
          <w:highlight w:val="none"/>
        </w:rPr>
        <w:t>“乙方”系指根据合同约定提供服务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15AAF9BC">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2.1.6</w:t>
      </w:r>
      <w:r>
        <w:rPr>
          <w:rFonts w:hint="eastAsia"/>
          <w:color w:val="auto"/>
          <w:sz w:val="24"/>
          <w:szCs w:val="20"/>
          <w:highlight w:val="none"/>
        </w:rPr>
        <w:t>“现场”系指合同约定提供服务的地点。</w:t>
      </w:r>
    </w:p>
    <w:p w14:paraId="218C2B68">
      <w:pPr>
        <w:pStyle w:val="42"/>
        <w:pageBreakBefore w:val="0"/>
        <w:tabs>
          <w:tab w:val="left" w:pos="6384"/>
        </w:tabs>
        <w:kinsoku/>
        <w:wordWrap/>
        <w:overflowPunct/>
        <w:topLinePunct w:val="0"/>
        <w:autoSpaceDE/>
        <w:autoSpaceDN/>
        <w:bidi w:val="0"/>
        <w:spacing w:before="0" w:beforeLines="0"/>
        <w:ind w:firstLine="482"/>
        <w:textAlignment w:val="auto"/>
        <w:outlineLvl w:val="2"/>
        <w:rPr>
          <w:rFonts w:hint="eastAsia" w:eastAsia="宋体"/>
          <w:b/>
          <w:bCs/>
          <w:color w:val="auto"/>
          <w:sz w:val="24"/>
          <w:szCs w:val="20"/>
          <w:highlight w:val="none"/>
          <w:lang w:eastAsia="zh-CN"/>
        </w:rPr>
      </w:pPr>
      <w:bookmarkStart w:id="86" w:name="_Toc24000"/>
      <w:r>
        <w:rPr>
          <w:b/>
          <w:bCs/>
          <w:color w:val="auto"/>
          <w:sz w:val="24"/>
          <w:szCs w:val="20"/>
          <w:highlight w:val="none"/>
        </w:rPr>
        <w:t>2.2</w:t>
      </w:r>
      <w:r>
        <w:rPr>
          <w:rFonts w:hint="eastAsia"/>
          <w:b/>
          <w:bCs/>
          <w:color w:val="auto"/>
          <w:sz w:val="24"/>
          <w:szCs w:val="20"/>
          <w:highlight w:val="none"/>
        </w:rPr>
        <w:t>技术规范</w:t>
      </w:r>
      <w:bookmarkEnd w:id="86"/>
      <w:r>
        <w:rPr>
          <w:rFonts w:hint="eastAsia"/>
          <w:b/>
          <w:bCs/>
          <w:color w:val="auto"/>
          <w:sz w:val="24"/>
          <w:szCs w:val="20"/>
          <w:highlight w:val="none"/>
          <w:lang w:eastAsia="zh-CN"/>
        </w:rPr>
        <w:tab/>
      </w:r>
    </w:p>
    <w:p w14:paraId="13186DBB">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3C294463">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87" w:name="_Toc279"/>
      <w:r>
        <w:rPr>
          <w:b/>
          <w:bCs/>
          <w:color w:val="auto"/>
          <w:sz w:val="24"/>
          <w:szCs w:val="20"/>
          <w:highlight w:val="none"/>
        </w:rPr>
        <w:t>2.3</w:t>
      </w:r>
      <w:r>
        <w:rPr>
          <w:rFonts w:hint="eastAsia"/>
          <w:b/>
          <w:bCs/>
          <w:color w:val="auto"/>
          <w:sz w:val="24"/>
          <w:szCs w:val="20"/>
          <w:highlight w:val="none"/>
        </w:rPr>
        <w:t>知识产权</w:t>
      </w:r>
      <w:bookmarkEnd w:id="87"/>
    </w:p>
    <w:p w14:paraId="074D1EC0">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2.3.1</w:t>
      </w:r>
      <w:r>
        <w:rPr>
          <w:rFonts w:hint="eastAsia"/>
          <w:color w:val="auto"/>
          <w:sz w:val="24"/>
          <w:szCs w:val="20"/>
          <w:highlight w:val="none"/>
        </w:rPr>
        <w:t>乙方应保证其提供的服务不受任何第三方提出的侵犯其著作权、商标权、专利权等知识产权方面的起诉；如果任何第三方提出侵权指控，那么乙方须与该第三方交涉并承担由此发生的一切责任、费用和赔偿；</w:t>
      </w:r>
    </w:p>
    <w:p w14:paraId="0460EAB6">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2.3.2</w:t>
      </w:r>
      <w:r>
        <w:rPr>
          <w:rFonts w:hint="eastAsia"/>
          <w:color w:val="auto"/>
          <w:sz w:val="24"/>
          <w:szCs w:val="20"/>
          <w:highlight w:val="none"/>
        </w:rPr>
        <w:t>具有知识产权的计算机软件等货物的知识产权归属，详见</w:t>
      </w:r>
      <w:r>
        <w:rPr>
          <w:rFonts w:hint="eastAsia"/>
          <w:b/>
          <w:color w:val="auto"/>
          <w:sz w:val="24"/>
          <w:szCs w:val="20"/>
          <w:highlight w:val="none"/>
        </w:rPr>
        <w:t>合同专用条款</w:t>
      </w:r>
      <w:r>
        <w:rPr>
          <w:rFonts w:hint="eastAsia"/>
          <w:color w:val="auto"/>
          <w:sz w:val="24"/>
          <w:szCs w:val="20"/>
          <w:highlight w:val="none"/>
        </w:rPr>
        <w:t>。</w:t>
      </w:r>
    </w:p>
    <w:p w14:paraId="71DE6B4E">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88" w:name="_Toc5981"/>
      <w:r>
        <w:rPr>
          <w:b/>
          <w:bCs/>
          <w:color w:val="auto"/>
          <w:sz w:val="24"/>
          <w:szCs w:val="20"/>
          <w:highlight w:val="none"/>
        </w:rPr>
        <w:t>2.4</w:t>
      </w:r>
      <w:r>
        <w:rPr>
          <w:rFonts w:hint="eastAsia"/>
          <w:b/>
          <w:bCs/>
          <w:color w:val="auto"/>
          <w:sz w:val="24"/>
          <w:szCs w:val="20"/>
          <w:highlight w:val="none"/>
        </w:rPr>
        <w:t>包装和装运</w:t>
      </w:r>
      <w:bookmarkEnd w:id="88"/>
    </w:p>
    <w:p w14:paraId="5161E874">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2.4.1</w:t>
      </w:r>
      <w:r>
        <w:rPr>
          <w:rFonts w:hint="eastAsia"/>
          <w:color w:val="auto"/>
          <w:sz w:val="24"/>
          <w:szCs w:val="20"/>
          <w:highlight w:val="none"/>
        </w:rPr>
        <w:t>除</w:t>
      </w:r>
      <w:r>
        <w:rPr>
          <w:rFonts w:hint="eastAsia"/>
          <w:b/>
          <w:color w:val="auto"/>
          <w:sz w:val="24"/>
          <w:szCs w:val="20"/>
          <w:highlight w:val="none"/>
        </w:rPr>
        <w:t>合同专用条款</w:t>
      </w:r>
      <w:r>
        <w:rPr>
          <w:rFonts w:hint="eastAsia"/>
          <w:color w:val="auto"/>
          <w:sz w:val="24"/>
          <w:szCs w:val="20"/>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4C1A55FB">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2.4.2</w:t>
      </w:r>
      <w:r>
        <w:rPr>
          <w:rFonts w:hint="eastAsia"/>
          <w:color w:val="auto"/>
          <w:sz w:val="24"/>
          <w:szCs w:val="20"/>
          <w:highlight w:val="none"/>
        </w:rPr>
        <w:t>装运货物的要求和通知，详见</w:t>
      </w:r>
      <w:r>
        <w:rPr>
          <w:rFonts w:hint="eastAsia"/>
          <w:b/>
          <w:color w:val="auto"/>
          <w:sz w:val="24"/>
          <w:szCs w:val="20"/>
          <w:highlight w:val="none"/>
        </w:rPr>
        <w:t>合同专用条款</w:t>
      </w:r>
      <w:r>
        <w:rPr>
          <w:rFonts w:hint="eastAsia"/>
          <w:color w:val="auto"/>
          <w:sz w:val="24"/>
          <w:szCs w:val="20"/>
          <w:highlight w:val="none"/>
        </w:rPr>
        <w:t>。</w:t>
      </w:r>
    </w:p>
    <w:p w14:paraId="07D33C40">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89" w:name="_Toc4951"/>
      <w:r>
        <w:rPr>
          <w:b/>
          <w:bCs/>
          <w:color w:val="auto"/>
          <w:sz w:val="24"/>
          <w:szCs w:val="20"/>
          <w:highlight w:val="none"/>
        </w:rPr>
        <w:t>2.5</w:t>
      </w:r>
      <w:r>
        <w:rPr>
          <w:rFonts w:hint="eastAsia"/>
          <w:b/>
          <w:bCs/>
          <w:color w:val="auto"/>
          <w:sz w:val="24"/>
          <w:szCs w:val="20"/>
          <w:highlight w:val="none"/>
        </w:rPr>
        <w:t>履约检查和问题反馈</w:t>
      </w:r>
      <w:bookmarkEnd w:id="89"/>
    </w:p>
    <w:p w14:paraId="780F8E75">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2.5.1</w:t>
      </w:r>
      <w:r>
        <w:rPr>
          <w:rFonts w:hint="eastAsia"/>
          <w:color w:val="auto"/>
          <w:sz w:val="24"/>
          <w:szCs w:val="20"/>
          <w:highlight w:val="none"/>
        </w:rPr>
        <w:t>甲方有权在其认为必要时，对乙方是否能够按照合同约定交付货物进行履约检查，以确保乙方所交付的货物能够依约满足甲方项目需求，但不得因履约检查妨碍乙方的正常工作，乙方应予积极配合；</w:t>
      </w:r>
    </w:p>
    <w:p w14:paraId="34931FE6">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2.5.2</w:t>
      </w:r>
      <w:r>
        <w:rPr>
          <w:rFonts w:hint="eastAsia"/>
          <w:color w:val="auto"/>
          <w:sz w:val="24"/>
          <w:szCs w:val="20"/>
          <w:highlight w:val="none"/>
        </w:rPr>
        <w:t>合同履行期间，甲方有权将履行过程中出现的问题反馈给乙方，双方当事人应以书面形式约定需要完善和改进的内容。</w:t>
      </w:r>
    </w:p>
    <w:p w14:paraId="31095376">
      <w:pPr>
        <w:pStyle w:val="42"/>
        <w:pageBreakBefore w:val="0"/>
        <w:kinsoku/>
        <w:wordWrap/>
        <w:overflowPunct/>
        <w:topLinePunct w:val="0"/>
        <w:autoSpaceDE/>
        <w:autoSpaceDN/>
        <w:bidi w:val="0"/>
        <w:spacing w:before="0" w:beforeLines="0"/>
        <w:ind w:firstLine="482"/>
        <w:textAlignment w:val="auto"/>
        <w:rPr>
          <w:b/>
          <w:bCs/>
          <w:color w:val="auto"/>
          <w:sz w:val="24"/>
          <w:szCs w:val="20"/>
          <w:highlight w:val="none"/>
        </w:rPr>
      </w:pPr>
      <w:r>
        <w:rPr>
          <w:b/>
          <w:bCs/>
          <w:color w:val="auto"/>
          <w:sz w:val="24"/>
          <w:szCs w:val="20"/>
          <w:highlight w:val="none"/>
        </w:rPr>
        <w:t>2.6</w:t>
      </w:r>
      <w:r>
        <w:rPr>
          <w:rFonts w:hint="eastAsia"/>
          <w:b/>
          <w:bCs/>
          <w:color w:val="auto"/>
          <w:sz w:val="24"/>
          <w:szCs w:val="20"/>
          <w:highlight w:val="none"/>
        </w:rPr>
        <w:t>结算方式和付款条件详见合同专用条款。</w:t>
      </w:r>
    </w:p>
    <w:p w14:paraId="23B3CD26">
      <w:pPr>
        <w:pStyle w:val="42"/>
        <w:pageBreakBefore w:val="0"/>
        <w:kinsoku/>
        <w:wordWrap/>
        <w:overflowPunct/>
        <w:topLinePunct w:val="0"/>
        <w:autoSpaceDE/>
        <w:autoSpaceDN/>
        <w:bidi w:val="0"/>
        <w:spacing w:before="0" w:beforeLines="0"/>
        <w:ind w:firstLine="482"/>
        <w:textAlignment w:val="auto"/>
        <w:rPr>
          <w:b/>
          <w:bCs/>
          <w:color w:val="auto"/>
          <w:sz w:val="24"/>
          <w:szCs w:val="20"/>
          <w:highlight w:val="none"/>
        </w:rPr>
      </w:pPr>
      <w:r>
        <w:rPr>
          <w:b/>
          <w:bCs/>
          <w:color w:val="auto"/>
          <w:sz w:val="24"/>
          <w:szCs w:val="20"/>
          <w:highlight w:val="none"/>
        </w:rPr>
        <w:t>2.7</w:t>
      </w:r>
      <w:r>
        <w:rPr>
          <w:rFonts w:hint="eastAsia"/>
          <w:b/>
          <w:bCs/>
          <w:color w:val="auto"/>
          <w:sz w:val="24"/>
          <w:szCs w:val="20"/>
          <w:highlight w:val="none"/>
        </w:rPr>
        <w:t>技术资料和保密义务</w:t>
      </w:r>
    </w:p>
    <w:p w14:paraId="76A7E414">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2.7.1</w:t>
      </w:r>
      <w:r>
        <w:rPr>
          <w:rFonts w:hint="eastAsia"/>
          <w:color w:val="auto"/>
          <w:sz w:val="24"/>
          <w:szCs w:val="20"/>
          <w:highlight w:val="none"/>
        </w:rPr>
        <w:t>乙方有权依据合同约定和项目需要，向甲方了解有关情况，调阅有关资料等，甲方应予积极配合；</w:t>
      </w:r>
    </w:p>
    <w:p w14:paraId="268E2893">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2.7.2</w:t>
      </w:r>
      <w:r>
        <w:rPr>
          <w:rFonts w:hint="eastAsia"/>
          <w:color w:val="auto"/>
          <w:sz w:val="24"/>
          <w:szCs w:val="20"/>
          <w:highlight w:val="none"/>
        </w:rPr>
        <w:t>乙方有义务妥善保管和保护由甲方提供的前款信息和资料等；</w:t>
      </w:r>
    </w:p>
    <w:p w14:paraId="4FD99CDF">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2.7.3</w:t>
      </w:r>
      <w:r>
        <w:rPr>
          <w:rFonts w:hint="eastAsia"/>
          <w:color w:val="auto"/>
          <w:sz w:val="24"/>
          <w:szCs w:val="20"/>
          <w:highlight w:val="none"/>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FE5F818">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0" w:name="_Toc25591"/>
      <w:r>
        <w:rPr>
          <w:b/>
          <w:bCs/>
          <w:color w:val="auto"/>
          <w:sz w:val="24"/>
          <w:szCs w:val="20"/>
          <w:highlight w:val="none"/>
        </w:rPr>
        <w:t>2.8</w:t>
      </w:r>
      <w:r>
        <w:rPr>
          <w:rFonts w:hint="eastAsia"/>
          <w:b/>
          <w:bCs/>
          <w:color w:val="auto"/>
          <w:sz w:val="24"/>
          <w:szCs w:val="20"/>
          <w:highlight w:val="none"/>
        </w:rPr>
        <w:t>质量保证</w:t>
      </w:r>
      <w:bookmarkEnd w:id="90"/>
    </w:p>
    <w:p w14:paraId="0424DF22">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2.8.1</w:t>
      </w:r>
      <w:r>
        <w:rPr>
          <w:rFonts w:hint="eastAsia"/>
          <w:color w:val="auto"/>
          <w:sz w:val="24"/>
          <w:szCs w:val="20"/>
          <w:highlight w:val="none"/>
        </w:rPr>
        <w:t>乙方应建立和完善履行合同的内部质量保证体系，并提供相关内部规章制度给甲方，以便甲方进行监督检查；</w:t>
      </w:r>
    </w:p>
    <w:p w14:paraId="124BDF74">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2.8.2</w:t>
      </w:r>
      <w:r>
        <w:rPr>
          <w:rFonts w:hint="eastAsia"/>
          <w:color w:val="auto"/>
          <w:sz w:val="24"/>
          <w:szCs w:val="20"/>
          <w:highlight w:val="none"/>
        </w:rPr>
        <w:t>乙方应保证履行合同的人员数量和素质、软件和硬件设备的配置、场地、环境和设施等满足全面履行合同的要求，并应接受甲方的监督检查。</w:t>
      </w:r>
    </w:p>
    <w:p w14:paraId="1FDC0F6E">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1" w:name="_Toc24990"/>
      <w:r>
        <w:rPr>
          <w:b/>
          <w:bCs/>
          <w:color w:val="auto"/>
          <w:sz w:val="24"/>
          <w:szCs w:val="20"/>
          <w:highlight w:val="none"/>
        </w:rPr>
        <w:t>2.9</w:t>
      </w:r>
      <w:r>
        <w:rPr>
          <w:rFonts w:hint="eastAsia"/>
          <w:b/>
          <w:bCs/>
          <w:color w:val="auto"/>
          <w:sz w:val="24"/>
          <w:szCs w:val="20"/>
          <w:highlight w:val="none"/>
        </w:rPr>
        <w:t>货物的风险负担</w:t>
      </w:r>
      <w:bookmarkEnd w:id="91"/>
    </w:p>
    <w:p w14:paraId="483D50A2">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货物或者在途货物或者交付给第一承运人后的货物毁损、灭失的风险负担详见</w:t>
      </w:r>
      <w:r>
        <w:rPr>
          <w:rFonts w:hint="eastAsia"/>
          <w:b/>
          <w:color w:val="auto"/>
          <w:sz w:val="24"/>
          <w:szCs w:val="20"/>
          <w:highlight w:val="none"/>
        </w:rPr>
        <w:t>合同专用条款</w:t>
      </w:r>
      <w:r>
        <w:rPr>
          <w:rFonts w:hint="eastAsia"/>
          <w:color w:val="auto"/>
          <w:sz w:val="24"/>
          <w:szCs w:val="20"/>
          <w:highlight w:val="none"/>
        </w:rPr>
        <w:t>。</w:t>
      </w:r>
    </w:p>
    <w:p w14:paraId="6C0C517D">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2" w:name="_Toc8835"/>
      <w:r>
        <w:rPr>
          <w:b/>
          <w:bCs/>
          <w:color w:val="auto"/>
          <w:sz w:val="24"/>
          <w:szCs w:val="20"/>
          <w:highlight w:val="none"/>
        </w:rPr>
        <w:t>2.10</w:t>
      </w:r>
      <w:r>
        <w:rPr>
          <w:rFonts w:hint="eastAsia"/>
          <w:b/>
          <w:bCs/>
          <w:color w:val="auto"/>
          <w:sz w:val="24"/>
          <w:szCs w:val="20"/>
          <w:highlight w:val="none"/>
        </w:rPr>
        <w:t>延迟交货</w:t>
      </w:r>
      <w:bookmarkEnd w:id="92"/>
    </w:p>
    <w:p w14:paraId="692461AB">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14:paraId="67994448">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3" w:name="_Toc22774"/>
      <w:r>
        <w:rPr>
          <w:b/>
          <w:bCs/>
          <w:color w:val="auto"/>
          <w:sz w:val="24"/>
          <w:szCs w:val="20"/>
          <w:highlight w:val="none"/>
        </w:rPr>
        <w:t>2.11</w:t>
      </w:r>
      <w:r>
        <w:rPr>
          <w:rFonts w:hint="eastAsia"/>
          <w:b/>
          <w:bCs/>
          <w:color w:val="auto"/>
          <w:sz w:val="24"/>
          <w:szCs w:val="20"/>
          <w:highlight w:val="none"/>
        </w:rPr>
        <w:t>合同变更</w:t>
      </w:r>
      <w:bookmarkEnd w:id="93"/>
    </w:p>
    <w:p w14:paraId="18457BAB">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2.11.1</w:t>
      </w:r>
      <w:r>
        <w:rPr>
          <w:rFonts w:hint="eastAsia"/>
          <w:color w:val="auto"/>
          <w:sz w:val="24"/>
          <w:szCs w:val="20"/>
          <w:highlight w:val="none"/>
        </w:rPr>
        <w:t>双方当事人协商一致，可以签订书面补充合同的形式变更合同，但不得违背采购文件确定的事项；</w:t>
      </w:r>
    </w:p>
    <w:p w14:paraId="49AC7455">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2.11.2</w:t>
      </w:r>
      <w:r>
        <w:rPr>
          <w:rFonts w:hint="eastAsia"/>
          <w:color w:val="auto"/>
          <w:sz w:val="24"/>
          <w:szCs w:val="20"/>
          <w:highlight w:val="none"/>
        </w:rPr>
        <w:t>合同继续履行将损害国家利益和社会公共利益的，双方当事人应当以书面形式变更合同。有过错的一方应当承担赔偿责任，双方当事人都有过错的，各自承担相应的责任。</w:t>
      </w:r>
    </w:p>
    <w:p w14:paraId="5C71F527">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4" w:name="_Toc5670"/>
      <w:r>
        <w:rPr>
          <w:b/>
          <w:bCs/>
          <w:color w:val="auto"/>
          <w:sz w:val="24"/>
          <w:szCs w:val="20"/>
          <w:highlight w:val="none"/>
        </w:rPr>
        <w:t>2.12</w:t>
      </w:r>
      <w:r>
        <w:rPr>
          <w:rFonts w:hint="eastAsia"/>
          <w:b/>
          <w:bCs/>
          <w:color w:val="auto"/>
          <w:sz w:val="24"/>
          <w:szCs w:val="20"/>
          <w:highlight w:val="none"/>
        </w:rPr>
        <w:t>合同转让和分包</w:t>
      </w:r>
      <w:bookmarkEnd w:id="94"/>
    </w:p>
    <w:p w14:paraId="2C7C124C">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898385B">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5" w:name="_Toc6442"/>
      <w:r>
        <w:rPr>
          <w:b/>
          <w:bCs/>
          <w:color w:val="auto"/>
          <w:sz w:val="24"/>
          <w:szCs w:val="20"/>
          <w:highlight w:val="none"/>
        </w:rPr>
        <w:t>2.13</w:t>
      </w:r>
      <w:r>
        <w:rPr>
          <w:rFonts w:hint="eastAsia"/>
          <w:b/>
          <w:bCs/>
          <w:color w:val="auto"/>
          <w:sz w:val="24"/>
          <w:szCs w:val="20"/>
          <w:highlight w:val="none"/>
        </w:rPr>
        <w:t>不可抗力</w:t>
      </w:r>
      <w:bookmarkEnd w:id="95"/>
    </w:p>
    <w:p w14:paraId="1AFDD2B4">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2.13.1</w:t>
      </w:r>
      <w:r>
        <w:rPr>
          <w:rFonts w:hint="eastAsia"/>
          <w:color w:val="auto"/>
          <w:sz w:val="24"/>
          <w:szCs w:val="20"/>
          <w:highlight w:val="none"/>
        </w:rPr>
        <w:t>如果任何一方遭遇法律规定的不可抗力，致使合同履行受阻时，履行合同的期限应予延长，延长的期限应相当于不可抗力所影响的时间；</w:t>
      </w:r>
    </w:p>
    <w:p w14:paraId="33073B1E">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2.13.2</w:t>
      </w:r>
      <w:r>
        <w:rPr>
          <w:rFonts w:hint="eastAsia"/>
          <w:color w:val="auto"/>
          <w:sz w:val="24"/>
          <w:szCs w:val="20"/>
          <w:highlight w:val="none"/>
        </w:rPr>
        <w:t>因不可抗力致使不能实现合同目的的，当事人可以解除合同；</w:t>
      </w:r>
    </w:p>
    <w:p w14:paraId="27F0C002">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2.13.3</w:t>
      </w:r>
      <w:r>
        <w:rPr>
          <w:rFonts w:hint="eastAsia"/>
          <w:color w:val="auto"/>
          <w:sz w:val="24"/>
          <w:szCs w:val="20"/>
          <w:highlight w:val="none"/>
        </w:rPr>
        <w:t>因不可抗力致使合同有变更必要的，双方当事人应在</w:t>
      </w:r>
      <w:r>
        <w:rPr>
          <w:rFonts w:hint="eastAsia"/>
          <w:b/>
          <w:color w:val="auto"/>
          <w:sz w:val="24"/>
          <w:szCs w:val="20"/>
          <w:highlight w:val="none"/>
        </w:rPr>
        <w:t>合同专用条款</w:t>
      </w:r>
      <w:r>
        <w:rPr>
          <w:rFonts w:hint="eastAsia"/>
          <w:color w:val="auto"/>
          <w:sz w:val="24"/>
          <w:szCs w:val="20"/>
          <w:highlight w:val="none"/>
        </w:rPr>
        <w:t>约定时间内以书面形式变更合同；</w:t>
      </w:r>
    </w:p>
    <w:p w14:paraId="352AE399">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2.13.4</w:t>
      </w:r>
      <w:r>
        <w:rPr>
          <w:rFonts w:hint="eastAsia"/>
          <w:color w:val="auto"/>
          <w:sz w:val="24"/>
          <w:szCs w:val="20"/>
          <w:highlight w:val="none"/>
        </w:rPr>
        <w:t>受不可抗力影响的一方在不可抗力发生后，应在</w:t>
      </w:r>
      <w:r>
        <w:rPr>
          <w:rFonts w:hint="eastAsia"/>
          <w:b/>
          <w:color w:val="auto"/>
          <w:sz w:val="24"/>
          <w:szCs w:val="20"/>
          <w:highlight w:val="none"/>
        </w:rPr>
        <w:t>合同专用条款</w:t>
      </w:r>
      <w:r>
        <w:rPr>
          <w:rFonts w:hint="eastAsia"/>
          <w:color w:val="auto"/>
          <w:sz w:val="24"/>
          <w:szCs w:val="20"/>
          <w:highlight w:val="none"/>
        </w:rPr>
        <w:t>约定时间内以书面形式通知对方当事人，并在</w:t>
      </w:r>
      <w:r>
        <w:rPr>
          <w:rFonts w:hint="eastAsia"/>
          <w:b/>
          <w:color w:val="auto"/>
          <w:sz w:val="24"/>
          <w:szCs w:val="20"/>
          <w:highlight w:val="none"/>
        </w:rPr>
        <w:t>合同专用条款</w:t>
      </w:r>
      <w:r>
        <w:rPr>
          <w:rFonts w:hint="eastAsia"/>
          <w:color w:val="auto"/>
          <w:sz w:val="24"/>
          <w:szCs w:val="20"/>
          <w:highlight w:val="none"/>
        </w:rPr>
        <w:t>约定时间内，将有关部门出具的证明文件送达对方当事人。</w:t>
      </w:r>
    </w:p>
    <w:p w14:paraId="3A1E6887">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6" w:name="_Toc3026"/>
      <w:r>
        <w:rPr>
          <w:b/>
          <w:bCs/>
          <w:color w:val="auto"/>
          <w:sz w:val="24"/>
          <w:szCs w:val="20"/>
          <w:highlight w:val="none"/>
        </w:rPr>
        <w:t>2.14</w:t>
      </w:r>
      <w:r>
        <w:rPr>
          <w:rFonts w:hint="eastAsia"/>
          <w:b/>
          <w:bCs/>
          <w:color w:val="auto"/>
          <w:sz w:val="24"/>
          <w:szCs w:val="20"/>
          <w:highlight w:val="none"/>
        </w:rPr>
        <w:t>税费</w:t>
      </w:r>
      <w:bookmarkEnd w:id="96"/>
    </w:p>
    <w:p w14:paraId="4C90EC5C">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与合同有关的一切税费，均按照中华人民共和国法律的相关规定缴纳。</w:t>
      </w:r>
    </w:p>
    <w:p w14:paraId="29E7E43E">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7" w:name="_Toc32369"/>
      <w:r>
        <w:rPr>
          <w:b/>
          <w:bCs/>
          <w:color w:val="auto"/>
          <w:sz w:val="24"/>
          <w:szCs w:val="20"/>
          <w:highlight w:val="none"/>
        </w:rPr>
        <w:t>2.15</w:t>
      </w:r>
      <w:r>
        <w:rPr>
          <w:rFonts w:hint="eastAsia"/>
          <w:b/>
          <w:bCs/>
          <w:color w:val="auto"/>
          <w:sz w:val="24"/>
          <w:szCs w:val="20"/>
          <w:highlight w:val="none"/>
        </w:rPr>
        <w:t>乙方破产</w:t>
      </w:r>
      <w:bookmarkEnd w:id="97"/>
    </w:p>
    <w:p w14:paraId="5E8F2C35">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2A44402">
      <w:pPr>
        <w:pStyle w:val="42"/>
        <w:pageBreakBefore w:val="0"/>
        <w:kinsoku/>
        <w:wordWrap/>
        <w:overflowPunct/>
        <w:topLinePunct w:val="0"/>
        <w:autoSpaceDE/>
        <w:autoSpaceDN/>
        <w:bidi w:val="0"/>
        <w:spacing w:before="0" w:beforeLines="0"/>
        <w:ind w:firstLine="480"/>
        <w:textAlignment w:val="auto"/>
        <w:outlineLvl w:val="2"/>
        <w:rPr>
          <w:color w:val="auto"/>
          <w:sz w:val="24"/>
          <w:szCs w:val="20"/>
          <w:highlight w:val="none"/>
        </w:rPr>
      </w:pPr>
      <w:bookmarkStart w:id="98" w:name="_Toc19908"/>
      <w:r>
        <w:rPr>
          <w:color w:val="auto"/>
          <w:sz w:val="24"/>
          <w:szCs w:val="20"/>
          <w:highlight w:val="none"/>
        </w:rPr>
        <w:t>2.16</w:t>
      </w:r>
      <w:r>
        <w:rPr>
          <w:rFonts w:hint="eastAsia"/>
          <w:color w:val="auto"/>
          <w:sz w:val="24"/>
          <w:szCs w:val="20"/>
          <w:highlight w:val="none"/>
        </w:rPr>
        <w:t>合同中止、终止</w:t>
      </w:r>
      <w:bookmarkEnd w:id="98"/>
    </w:p>
    <w:p w14:paraId="74127525">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2.16.1</w:t>
      </w:r>
      <w:r>
        <w:rPr>
          <w:rFonts w:hint="eastAsia"/>
          <w:color w:val="auto"/>
          <w:sz w:val="24"/>
          <w:szCs w:val="20"/>
          <w:highlight w:val="none"/>
        </w:rPr>
        <w:t>双方当事人不得擅自中止或者终止合同；</w:t>
      </w:r>
    </w:p>
    <w:p w14:paraId="5F012CAC">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2.16.2</w:t>
      </w:r>
      <w:r>
        <w:rPr>
          <w:rFonts w:hint="eastAsia"/>
          <w:color w:val="auto"/>
          <w:sz w:val="24"/>
          <w:szCs w:val="20"/>
          <w:highlight w:val="none"/>
        </w:rPr>
        <w:t>合同继续履行将损害国家利益和社会公共利益的，双方当事人应当中止或者终止合同。有过错的一方应当承担赔偿责任，双方当事人都有过错的，各自承担相应的责任。</w:t>
      </w:r>
    </w:p>
    <w:p w14:paraId="696C6154">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99" w:name="_Toc5478"/>
      <w:r>
        <w:rPr>
          <w:b/>
          <w:bCs/>
          <w:color w:val="auto"/>
          <w:sz w:val="24"/>
          <w:szCs w:val="20"/>
          <w:highlight w:val="none"/>
        </w:rPr>
        <w:t>2.17</w:t>
      </w:r>
      <w:r>
        <w:rPr>
          <w:rFonts w:hint="eastAsia"/>
          <w:b/>
          <w:bCs/>
          <w:color w:val="auto"/>
          <w:sz w:val="24"/>
          <w:szCs w:val="20"/>
          <w:highlight w:val="none"/>
        </w:rPr>
        <w:t>检验和验收</w:t>
      </w:r>
      <w:bookmarkEnd w:id="99"/>
    </w:p>
    <w:p w14:paraId="2D116C38">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2.17.1</w:t>
      </w:r>
      <w:r>
        <w:rPr>
          <w:rFonts w:hint="eastAsia"/>
          <w:color w:val="auto"/>
          <w:sz w:val="24"/>
          <w:szCs w:val="20"/>
          <w:highlight w:val="none"/>
        </w:rPr>
        <w:t>货物交付前，乙方应对货物的质量、数量等方面进行详细、全面的检验，并向甲方出具证明货物符合合同约定的文件；货物交付时，乙方在</w:t>
      </w:r>
      <w:r>
        <w:rPr>
          <w:rFonts w:hint="eastAsia"/>
          <w:b/>
          <w:color w:val="auto"/>
          <w:sz w:val="24"/>
          <w:szCs w:val="20"/>
          <w:highlight w:val="none"/>
        </w:rPr>
        <w:t>合同专用条款</w:t>
      </w:r>
      <w:r>
        <w:rPr>
          <w:rFonts w:hint="eastAsia"/>
          <w:color w:val="auto"/>
          <w:sz w:val="24"/>
          <w:szCs w:val="20"/>
          <w:highlight w:val="none"/>
        </w:rPr>
        <w:t>约定时间内组织验收，并可依法邀请相关方参加，验收应出具验收书。</w:t>
      </w:r>
    </w:p>
    <w:p w14:paraId="70392CD2">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2.17.2</w:t>
      </w:r>
      <w:r>
        <w:rPr>
          <w:rFonts w:hint="eastAsia"/>
          <w:color w:val="auto"/>
          <w:sz w:val="24"/>
          <w:szCs w:val="20"/>
          <w:highlight w:val="none"/>
        </w:rPr>
        <w:t>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B05135C">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2.17.3</w:t>
      </w:r>
      <w:r>
        <w:rPr>
          <w:rFonts w:hint="eastAsia"/>
          <w:color w:val="auto"/>
          <w:sz w:val="24"/>
          <w:szCs w:val="20"/>
          <w:highlight w:val="none"/>
        </w:rPr>
        <w:t>检验和验收标准、程序等具体内容以及前述验收书的效力详见</w:t>
      </w:r>
      <w:r>
        <w:rPr>
          <w:rFonts w:hint="eastAsia"/>
          <w:b/>
          <w:color w:val="auto"/>
          <w:sz w:val="24"/>
          <w:szCs w:val="20"/>
          <w:highlight w:val="none"/>
        </w:rPr>
        <w:t>合同专用条款</w:t>
      </w:r>
      <w:r>
        <w:rPr>
          <w:rFonts w:hint="eastAsia"/>
          <w:color w:val="auto"/>
          <w:sz w:val="24"/>
          <w:szCs w:val="20"/>
          <w:highlight w:val="none"/>
        </w:rPr>
        <w:t>。</w:t>
      </w:r>
    </w:p>
    <w:p w14:paraId="7D0F4B23">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100" w:name="_Toc23578"/>
      <w:r>
        <w:rPr>
          <w:b/>
          <w:bCs/>
          <w:color w:val="auto"/>
          <w:sz w:val="24"/>
          <w:szCs w:val="20"/>
          <w:highlight w:val="none"/>
        </w:rPr>
        <w:t>2.18</w:t>
      </w:r>
      <w:r>
        <w:rPr>
          <w:rFonts w:hint="eastAsia"/>
          <w:b/>
          <w:bCs/>
          <w:color w:val="auto"/>
          <w:sz w:val="24"/>
          <w:szCs w:val="20"/>
          <w:highlight w:val="none"/>
        </w:rPr>
        <w:t>计量单位</w:t>
      </w:r>
      <w:bookmarkEnd w:id="100"/>
    </w:p>
    <w:p w14:paraId="09CE6993">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rFonts w:hint="eastAsia"/>
          <w:color w:val="auto"/>
          <w:sz w:val="24"/>
          <w:szCs w:val="20"/>
          <w:highlight w:val="none"/>
        </w:rPr>
        <w:t>除技术规范中另有规定外，合同的计量单位均使用国家法定计量单位。</w:t>
      </w:r>
    </w:p>
    <w:p w14:paraId="2984486D">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101" w:name="_Toc13282"/>
      <w:r>
        <w:rPr>
          <w:b/>
          <w:bCs/>
          <w:color w:val="auto"/>
          <w:sz w:val="24"/>
          <w:szCs w:val="20"/>
          <w:highlight w:val="none"/>
        </w:rPr>
        <w:t>2.19</w:t>
      </w:r>
      <w:r>
        <w:rPr>
          <w:rFonts w:hint="eastAsia"/>
          <w:b/>
          <w:bCs/>
          <w:color w:val="auto"/>
          <w:sz w:val="24"/>
          <w:szCs w:val="20"/>
          <w:highlight w:val="none"/>
        </w:rPr>
        <w:t>合同使用的文字和适用的法律</w:t>
      </w:r>
      <w:bookmarkEnd w:id="101"/>
    </w:p>
    <w:p w14:paraId="0FFE30C1">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2.19.1</w:t>
      </w:r>
      <w:r>
        <w:rPr>
          <w:rFonts w:hint="eastAsia"/>
          <w:color w:val="auto"/>
          <w:sz w:val="24"/>
          <w:szCs w:val="20"/>
          <w:highlight w:val="none"/>
        </w:rPr>
        <w:t>合同使用汉语书就、变更和解释；</w:t>
      </w:r>
    </w:p>
    <w:p w14:paraId="38C0E376">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2.19.2</w:t>
      </w:r>
      <w:r>
        <w:rPr>
          <w:rFonts w:hint="eastAsia"/>
          <w:color w:val="auto"/>
          <w:sz w:val="24"/>
          <w:szCs w:val="20"/>
          <w:highlight w:val="none"/>
        </w:rPr>
        <w:t>合同适用中华人民共和国法律。</w:t>
      </w:r>
    </w:p>
    <w:p w14:paraId="6EE41C61">
      <w:pPr>
        <w:pStyle w:val="42"/>
        <w:pageBreakBefore w:val="0"/>
        <w:kinsoku/>
        <w:wordWrap/>
        <w:overflowPunct/>
        <w:topLinePunct w:val="0"/>
        <w:autoSpaceDE/>
        <w:autoSpaceDN/>
        <w:bidi w:val="0"/>
        <w:spacing w:before="0" w:beforeLines="0"/>
        <w:ind w:firstLine="482"/>
        <w:textAlignment w:val="auto"/>
        <w:outlineLvl w:val="2"/>
        <w:rPr>
          <w:b/>
          <w:bCs/>
          <w:color w:val="auto"/>
          <w:sz w:val="24"/>
          <w:szCs w:val="20"/>
          <w:highlight w:val="none"/>
        </w:rPr>
      </w:pPr>
      <w:bookmarkStart w:id="102" w:name="_Toc23246"/>
      <w:r>
        <w:rPr>
          <w:b/>
          <w:bCs/>
          <w:color w:val="auto"/>
          <w:sz w:val="24"/>
          <w:szCs w:val="20"/>
          <w:highlight w:val="none"/>
        </w:rPr>
        <w:t>2.20</w:t>
      </w:r>
      <w:r>
        <w:rPr>
          <w:rFonts w:hint="eastAsia"/>
          <w:b/>
          <w:bCs/>
          <w:color w:val="auto"/>
          <w:sz w:val="24"/>
          <w:szCs w:val="20"/>
          <w:highlight w:val="none"/>
        </w:rPr>
        <w:t>履约保证金</w:t>
      </w:r>
      <w:bookmarkEnd w:id="102"/>
    </w:p>
    <w:p w14:paraId="082B3B07">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2.20.1</w:t>
      </w:r>
      <w:r>
        <w:rPr>
          <w:rFonts w:hint="eastAsia"/>
          <w:color w:val="auto"/>
          <w:sz w:val="24"/>
          <w:szCs w:val="20"/>
          <w:highlight w:val="none"/>
        </w:rPr>
        <w:t>采购文件要求乙方提交履约保证金的，乙方应按</w:t>
      </w:r>
      <w:r>
        <w:rPr>
          <w:rFonts w:hint="eastAsia"/>
          <w:b/>
          <w:color w:val="auto"/>
          <w:sz w:val="24"/>
          <w:szCs w:val="20"/>
          <w:highlight w:val="none"/>
        </w:rPr>
        <w:t>合同专用条款</w:t>
      </w:r>
      <w:r>
        <w:rPr>
          <w:rFonts w:hint="eastAsia"/>
          <w:color w:val="auto"/>
          <w:sz w:val="24"/>
          <w:szCs w:val="20"/>
          <w:highlight w:val="none"/>
        </w:rPr>
        <w:t>约定的方式，以支票、汇票、本票或者金融机构、担保机构出具的保函等非现金形式，提交不超过合同价</w:t>
      </w:r>
      <w:r>
        <w:rPr>
          <w:color w:val="auto"/>
          <w:sz w:val="24"/>
          <w:szCs w:val="20"/>
          <w:highlight w:val="none"/>
        </w:rPr>
        <w:t>10%</w:t>
      </w:r>
      <w:r>
        <w:rPr>
          <w:rFonts w:hint="eastAsia"/>
          <w:color w:val="auto"/>
          <w:sz w:val="24"/>
          <w:szCs w:val="20"/>
          <w:highlight w:val="none"/>
        </w:rPr>
        <w:t>的履约保证金；</w:t>
      </w:r>
    </w:p>
    <w:p w14:paraId="561C1A79">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2.20.2</w:t>
      </w:r>
      <w:r>
        <w:rPr>
          <w:rFonts w:hint="eastAsia"/>
          <w:color w:val="auto"/>
          <w:sz w:val="24"/>
          <w:szCs w:val="20"/>
          <w:highlight w:val="none"/>
        </w:rPr>
        <w:t>履约保证金在</w:t>
      </w:r>
      <w:r>
        <w:rPr>
          <w:rFonts w:hint="eastAsia"/>
          <w:b/>
          <w:color w:val="auto"/>
          <w:sz w:val="24"/>
          <w:szCs w:val="20"/>
          <w:highlight w:val="none"/>
        </w:rPr>
        <w:t>合同专用条款</w:t>
      </w:r>
      <w:r>
        <w:rPr>
          <w:rFonts w:hint="eastAsia"/>
          <w:color w:val="auto"/>
          <w:sz w:val="24"/>
          <w:szCs w:val="20"/>
          <w:highlight w:val="none"/>
        </w:rPr>
        <w:t>约定期间内或者货物质量保证期内不予退还或者应完全有效，前述约定期间届满或者货物质量保证期届满之日起</w:t>
      </w:r>
      <w:r>
        <w:rPr>
          <w:color w:val="auto"/>
          <w:sz w:val="24"/>
          <w:szCs w:val="20"/>
          <w:highlight w:val="none"/>
          <w:u w:val="single"/>
        </w:rPr>
        <w:t>/</w:t>
      </w:r>
      <w:r>
        <w:rPr>
          <w:rFonts w:hint="eastAsia"/>
          <w:color w:val="auto"/>
          <w:sz w:val="24"/>
          <w:szCs w:val="20"/>
          <w:highlight w:val="none"/>
        </w:rPr>
        <w:t>个工作日内，甲方应将履约保证金退还乙方；</w:t>
      </w:r>
    </w:p>
    <w:p w14:paraId="657F2D04">
      <w:pPr>
        <w:pStyle w:val="42"/>
        <w:pageBreakBefore w:val="0"/>
        <w:kinsoku/>
        <w:wordWrap/>
        <w:overflowPunct/>
        <w:topLinePunct w:val="0"/>
        <w:autoSpaceDE/>
        <w:autoSpaceDN/>
        <w:bidi w:val="0"/>
        <w:spacing w:before="0" w:beforeLines="0"/>
        <w:ind w:firstLine="480"/>
        <w:textAlignment w:val="auto"/>
        <w:rPr>
          <w:color w:val="auto"/>
          <w:sz w:val="24"/>
          <w:szCs w:val="20"/>
          <w:highlight w:val="none"/>
        </w:rPr>
      </w:pPr>
      <w:r>
        <w:rPr>
          <w:color w:val="auto"/>
          <w:sz w:val="24"/>
          <w:szCs w:val="20"/>
          <w:highlight w:val="none"/>
        </w:rPr>
        <w:t>2.20.3</w:t>
      </w:r>
      <w:r>
        <w:rPr>
          <w:rFonts w:hint="eastAsia"/>
          <w:color w:val="auto"/>
          <w:sz w:val="24"/>
          <w:szCs w:val="20"/>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B1CADD1">
      <w:pPr>
        <w:pStyle w:val="42"/>
        <w:pageBreakBefore w:val="0"/>
        <w:kinsoku/>
        <w:wordWrap/>
        <w:overflowPunct/>
        <w:topLinePunct w:val="0"/>
        <w:autoSpaceDE/>
        <w:autoSpaceDN/>
        <w:bidi w:val="0"/>
        <w:spacing w:before="0" w:beforeLines="0"/>
        <w:ind w:firstLine="480"/>
        <w:textAlignment w:val="auto"/>
        <w:outlineLvl w:val="2"/>
        <w:rPr>
          <w:color w:val="auto"/>
          <w:sz w:val="24"/>
          <w:szCs w:val="20"/>
          <w:highlight w:val="none"/>
        </w:rPr>
      </w:pPr>
      <w:bookmarkStart w:id="103" w:name="_Toc1388"/>
      <w:r>
        <w:rPr>
          <w:color w:val="auto"/>
          <w:sz w:val="24"/>
          <w:szCs w:val="20"/>
          <w:highlight w:val="none"/>
        </w:rPr>
        <w:t>2.21</w:t>
      </w:r>
      <w:r>
        <w:rPr>
          <w:rFonts w:hint="eastAsia"/>
          <w:color w:val="auto"/>
          <w:sz w:val="24"/>
          <w:szCs w:val="20"/>
          <w:highlight w:val="none"/>
        </w:rPr>
        <w:t>合同份数</w:t>
      </w:r>
      <w:bookmarkEnd w:id="103"/>
    </w:p>
    <w:p w14:paraId="3819926C">
      <w:pPr>
        <w:pStyle w:val="42"/>
        <w:pageBreakBefore w:val="0"/>
        <w:kinsoku/>
        <w:wordWrap/>
        <w:overflowPunct/>
        <w:topLinePunct w:val="0"/>
        <w:autoSpaceDE/>
        <w:autoSpaceDN/>
        <w:bidi w:val="0"/>
        <w:spacing w:before="0" w:beforeLines="0"/>
        <w:ind w:firstLine="480"/>
        <w:textAlignment w:val="auto"/>
        <w:rPr>
          <w:color w:val="auto"/>
          <w:highlight w:val="none"/>
        </w:rPr>
      </w:pPr>
      <w:r>
        <w:rPr>
          <w:rFonts w:hint="eastAsia"/>
          <w:color w:val="auto"/>
          <w:sz w:val="24"/>
          <w:szCs w:val="20"/>
          <w:highlight w:val="none"/>
        </w:rPr>
        <w:t>合同份数按</w:t>
      </w:r>
      <w:r>
        <w:rPr>
          <w:rFonts w:hint="eastAsia"/>
          <w:b/>
          <w:color w:val="auto"/>
          <w:sz w:val="24"/>
          <w:szCs w:val="20"/>
          <w:highlight w:val="none"/>
        </w:rPr>
        <w:t>合同专用条款</w:t>
      </w:r>
      <w:r>
        <w:rPr>
          <w:rFonts w:hint="eastAsia"/>
          <w:color w:val="auto"/>
          <w:sz w:val="24"/>
          <w:szCs w:val="20"/>
          <w:highlight w:val="none"/>
        </w:rPr>
        <w:t>规定，每份均具有同等法律效力</w:t>
      </w:r>
      <w:r>
        <w:rPr>
          <w:rFonts w:hint="eastAsia"/>
          <w:color w:val="auto"/>
          <w:highlight w:val="none"/>
        </w:rPr>
        <w:t>。</w:t>
      </w:r>
    </w:p>
    <w:p w14:paraId="213549C2">
      <w:pPr>
        <w:pageBreakBefore w:val="0"/>
        <w:kinsoku/>
        <w:wordWrap/>
        <w:overflowPunct/>
        <w:topLinePunct w:val="0"/>
        <w:autoSpaceDE/>
        <w:autoSpaceDN/>
        <w:bidi w:val="0"/>
        <w:ind w:firstLine="420" w:firstLineChars="200"/>
        <w:textAlignment w:val="auto"/>
        <w:rPr>
          <w:color w:val="auto"/>
          <w:highlight w:val="none"/>
        </w:rPr>
      </w:pPr>
      <w:r>
        <w:rPr>
          <w:rFonts w:hint="eastAsia"/>
          <w:color w:val="auto"/>
          <w:highlight w:val="none"/>
        </w:rPr>
        <w:br w:type="page"/>
      </w:r>
    </w:p>
    <w:p w14:paraId="4440BB84">
      <w:pPr>
        <w:pStyle w:val="3"/>
        <w:pageBreakBefore w:val="0"/>
        <w:widowControl w:val="0"/>
        <w:kinsoku/>
        <w:wordWrap/>
        <w:overflowPunct/>
        <w:topLinePunct w:val="0"/>
        <w:autoSpaceDE/>
        <w:autoSpaceDN/>
        <w:bidi w:val="0"/>
        <w:spacing w:line="240" w:lineRule="auto"/>
        <w:textAlignment w:val="auto"/>
        <w:rPr>
          <w:color w:val="auto"/>
          <w:highlight w:val="none"/>
        </w:rPr>
      </w:pPr>
      <w:bookmarkStart w:id="104" w:name="_Toc5252"/>
      <w:bookmarkStart w:id="105" w:name="_Toc30937"/>
      <w:bookmarkStart w:id="106" w:name="_Toc23278"/>
      <w:r>
        <w:rPr>
          <w:rFonts w:hint="eastAsia"/>
          <w:color w:val="auto"/>
          <w:highlight w:val="none"/>
        </w:rPr>
        <w:t>第三部分 政府采购合同专用条款</w:t>
      </w:r>
      <w:bookmarkEnd w:id="104"/>
      <w:bookmarkEnd w:id="105"/>
      <w:bookmarkEnd w:id="106"/>
    </w:p>
    <w:p w14:paraId="54C5579A">
      <w:pPr>
        <w:pStyle w:val="42"/>
        <w:pageBreakBefore w:val="0"/>
        <w:widowControl w:val="0"/>
        <w:kinsoku/>
        <w:wordWrap/>
        <w:overflowPunct/>
        <w:topLinePunct w:val="0"/>
        <w:autoSpaceDE/>
        <w:autoSpaceDN/>
        <w:bidi w:val="0"/>
        <w:spacing w:before="156" w:line="240" w:lineRule="auto"/>
        <w:ind w:firstLine="480"/>
        <w:textAlignment w:val="auto"/>
        <w:rPr>
          <w:color w:val="auto"/>
          <w:highlight w:val="none"/>
        </w:rPr>
      </w:pPr>
      <w:r>
        <w:rPr>
          <w:rFonts w:hint="eastAsia"/>
          <w:color w:val="auto"/>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3"/>
        <w:tblpPr w:leftFromText="180" w:rightFromText="180" w:vertAnchor="text" w:horzAnchor="page" w:tblpX="1007"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449"/>
        <w:gridCol w:w="7385"/>
      </w:tblGrid>
      <w:tr w14:paraId="59AC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67" w:type="dxa"/>
            <w:tcBorders>
              <w:top w:val="double" w:color="auto" w:sz="4" w:space="0"/>
              <w:left w:val="double" w:color="auto" w:sz="4" w:space="0"/>
              <w:right w:val="single" w:color="auto" w:sz="4" w:space="0"/>
            </w:tcBorders>
            <w:shd w:val="pct10" w:color="ADB9CA" w:themeColor="text2" w:themeTint="66" w:fill="D6DCE5" w:themeFill="text2" w:themeFillTint="32"/>
            <w:vAlign w:val="center"/>
          </w:tcPr>
          <w:p w14:paraId="69819B9C">
            <w:pPr>
              <w:pStyle w:val="41"/>
              <w:jc w:val="center"/>
              <w:rPr>
                <w:color w:val="auto"/>
                <w:highlight w:val="none"/>
              </w:rPr>
            </w:pPr>
            <w:r>
              <w:rPr>
                <w:rFonts w:hint="eastAsia"/>
                <w:color w:val="auto"/>
                <w:highlight w:val="none"/>
              </w:rPr>
              <w:t>条款号</w:t>
            </w:r>
          </w:p>
        </w:tc>
        <w:tc>
          <w:tcPr>
            <w:tcW w:w="1473" w:type="dxa"/>
            <w:tcBorders>
              <w:top w:val="double" w:color="auto" w:sz="4" w:space="0"/>
              <w:left w:val="single" w:color="auto" w:sz="4" w:space="0"/>
              <w:right w:val="single" w:color="auto" w:sz="4" w:space="0"/>
            </w:tcBorders>
            <w:shd w:val="pct10" w:color="ADB9CA" w:themeColor="text2" w:themeTint="66" w:fill="D6DCE5" w:themeFill="text2" w:themeFillTint="32"/>
            <w:vAlign w:val="center"/>
          </w:tcPr>
          <w:p w14:paraId="60D07183">
            <w:pPr>
              <w:pStyle w:val="41"/>
              <w:jc w:val="center"/>
              <w:rPr>
                <w:color w:val="auto"/>
                <w:highlight w:val="none"/>
              </w:rPr>
            </w:pPr>
            <w:r>
              <w:rPr>
                <w:rFonts w:hint="eastAsia"/>
                <w:color w:val="auto"/>
                <w:highlight w:val="none"/>
              </w:rPr>
              <w:t>条款名称</w:t>
            </w:r>
          </w:p>
        </w:tc>
        <w:tc>
          <w:tcPr>
            <w:tcW w:w="7539" w:type="dxa"/>
            <w:tcBorders>
              <w:top w:val="double" w:color="auto" w:sz="4" w:space="0"/>
              <w:left w:val="single" w:color="auto" w:sz="4" w:space="0"/>
              <w:right w:val="double" w:color="auto" w:sz="4" w:space="0"/>
            </w:tcBorders>
            <w:shd w:val="pct10" w:color="ADB9CA" w:themeColor="text2" w:themeTint="66" w:fill="D6DCE5" w:themeFill="text2" w:themeFillTint="32"/>
            <w:vAlign w:val="center"/>
          </w:tcPr>
          <w:p w14:paraId="1F52C89C">
            <w:pPr>
              <w:pStyle w:val="41"/>
              <w:jc w:val="center"/>
              <w:rPr>
                <w:color w:val="auto"/>
                <w:highlight w:val="none"/>
              </w:rPr>
            </w:pPr>
            <w:r>
              <w:rPr>
                <w:rFonts w:hint="eastAsia"/>
                <w:color w:val="auto"/>
                <w:highlight w:val="none"/>
              </w:rPr>
              <w:t>约定内容</w:t>
            </w:r>
          </w:p>
        </w:tc>
      </w:tr>
      <w:tr w14:paraId="5F38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67" w:type="dxa"/>
            <w:tcBorders>
              <w:left w:val="double" w:color="auto" w:sz="4" w:space="0"/>
              <w:right w:val="single" w:color="auto" w:sz="4" w:space="0"/>
            </w:tcBorders>
            <w:vAlign w:val="center"/>
          </w:tcPr>
          <w:p w14:paraId="0827C29C">
            <w:pPr>
              <w:pStyle w:val="44"/>
              <w:rPr>
                <w:rFonts w:hint="eastAsia"/>
                <w:color w:val="auto"/>
                <w:highlight w:val="none"/>
              </w:rPr>
            </w:pPr>
            <w:r>
              <w:rPr>
                <w:rFonts w:hint="eastAsia"/>
                <w:color w:val="auto"/>
                <w:highlight w:val="none"/>
              </w:rPr>
              <w:t>2.3</w:t>
            </w:r>
          </w:p>
        </w:tc>
        <w:tc>
          <w:tcPr>
            <w:tcW w:w="1473" w:type="dxa"/>
            <w:tcBorders>
              <w:left w:val="single" w:color="auto" w:sz="4" w:space="0"/>
              <w:right w:val="single" w:color="auto" w:sz="4" w:space="0"/>
            </w:tcBorders>
            <w:vAlign w:val="center"/>
          </w:tcPr>
          <w:p w14:paraId="596DEA15">
            <w:pPr>
              <w:pStyle w:val="44"/>
              <w:rPr>
                <w:rFonts w:hint="eastAsia" w:ascii="Times New Roman" w:hAnsi="Times New Roman" w:eastAsia="微软雅黑" w:cs="Times New Roman"/>
                <w:color w:val="auto"/>
                <w:kern w:val="2"/>
                <w:sz w:val="21"/>
                <w:szCs w:val="24"/>
                <w:highlight w:val="none"/>
                <w:lang w:val="en-US" w:eastAsia="zh-CN" w:bidi="ar-SA"/>
              </w:rPr>
            </w:pPr>
            <w:r>
              <w:rPr>
                <w:color w:val="auto"/>
                <w:highlight w:val="none"/>
              </w:rPr>
              <w:t>知识产权</w:t>
            </w:r>
          </w:p>
        </w:tc>
        <w:tc>
          <w:tcPr>
            <w:tcW w:w="7539" w:type="dxa"/>
            <w:tcBorders>
              <w:left w:val="single" w:color="auto" w:sz="4" w:space="0"/>
              <w:right w:val="double" w:color="auto" w:sz="4" w:space="0"/>
            </w:tcBorders>
            <w:vAlign w:val="center"/>
          </w:tcPr>
          <w:p w14:paraId="719C2116">
            <w:pPr>
              <w:pStyle w:val="44"/>
              <w:ind w:firstLine="420" w:firstLineChars="200"/>
              <w:jc w:val="left"/>
              <w:rPr>
                <w:rFonts w:hint="eastAsia" w:ascii="Times New Roman" w:hAnsi="Times New Roman" w:eastAsia="微软雅黑" w:cs="Times New Roman"/>
                <w:color w:val="auto"/>
                <w:kern w:val="2"/>
                <w:sz w:val="21"/>
                <w:szCs w:val="24"/>
                <w:highlight w:val="none"/>
                <w:lang w:val="en-US" w:eastAsia="zh-CN" w:bidi="ar-SA"/>
              </w:rPr>
            </w:pPr>
            <w:r>
              <w:rPr>
                <w:rFonts w:hint="eastAsia"/>
                <w:color w:val="auto"/>
                <w:highlight w:val="none"/>
              </w:rPr>
              <w:t>供应商为采购人提供的所有产品和技术资料需为供应商自主知识产权或其他合法途径获得，具体包括但不限于：应用程序源代码及载体、程序可执行代码及载体、技术文档等，不得侵犯第三方的相关权利，包括所有权、使用权及知识产权等权利，如涉及到侵犯第三方相关权利的，由供应商承担一切法律责任，如因此给采购人造成损失和费用的，由供应商向采购人全额赔付。供应商提供给采购人的所有文档、项目的软件产品，采购人拥有不受限制的使用权利。</w:t>
            </w:r>
          </w:p>
        </w:tc>
      </w:tr>
      <w:tr w14:paraId="1695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vAlign w:val="center"/>
          </w:tcPr>
          <w:p w14:paraId="58B29E1A">
            <w:pPr>
              <w:pStyle w:val="44"/>
              <w:rPr>
                <w:color w:val="auto"/>
                <w:highlight w:val="none"/>
              </w:rPr>
            </w:pPr>
            <w:r>
              <w:rPr>
                <w:color w:val="auto"/>
                <w:highlight w:val="none"/>
                <w:lang w:eastAsia="en-US"/>
              </w:rPr>
              <w:t>2.6</w:t>
            </w:r>
          </w:p>
        </w:tc>
        <w:tc>
          <w:tcPr>
            <w:tcW w:w="1473" w:type="dxa"/>
            <w:tcBorders>
              <w:left w:val="single" w:color="auto" w:sz="4" w:space="0"/>
              <w:right w:val="single" w:color="auto" w:sz="4" w:space="0"/>
            </w:tcBorders>
            <w:vAlign w:val="center"/>
          </w:tcPr>
          <w:p w14:paraId="1A2B9CB1">
            <w:pPr>
              <w:pStyle w:val="44"/>
              <w:rPr>
                <w:color w:val="auto"/>
                <w:highlight w:val="none"/>
              </w:rPr>
            </w:pPr>
            <w:r>
              <w:rPr>
                <w:color w:val="auto"/>
                <w:highlight w:val="none"/>
              </w:rPr>
              <w:t>结算方式和付款条件</w:t>
            </w:r>
          </w:p>
        </w:tc>
        <w:tc>
          <w:tcPr>
            <w:tcW w:w="7539" w:type="dxa"/>
            <w:tcBorders>
              <w:left w:val="single" w:color="auto" w:sz="4" w:space="0"/>
              <w:right w:val="double" w:color="auto" w:sz="4" w:space="0"/>
            </w:tcBorders>
            <w:vAlign w:val="center"/>
          </w:tcPr>
          <w:p w14:paraId="6134A50E">
            <w:pPr>
              <w:pStyle w:val="44"/>
              <w:numPr>
                <w:ilvl w:val="0"/>
                <w:numId w:val="0"/>
              </w:numPr>
              <w:ind w:firstLine="420" w:firstLineChars="200"/>
              <w:jc w:val="left"/>
              <w:rPr>
                <w:color w:val="auto"/>
                <w:highlight w:val="none"/>
              </w:rPr>
            </w:pPr>
            <w:r>
              <w:rPr>
                <w:rFonts w:hint="eastAsia"/>
                <w:color w:val="auto"/>
                <w:highlight w:val="none"/>
                <w:lang w:val="en-US" w:eastAsia="zh-CN"/>
              </w:rPr>
              <w:t>1.</w:t>
            </w:r>
            <w:r>
              <w:rPr>
                <w:rFonts w:hint="eastAsia"/>
                <w:color w:val="auto"/>
                <w:highlight w:val="none"/>
              </w:rPr>
              <w:t>付款方式：</w:t>
            </w:r>
            <w:r>
              <w:rPr>
                <w:rFonts w:hint="eastAsia"/>
                <w:color w:val="auto"/>
                <w:highlight w:val="none"/>
                <w:lang w:val="en-US" w:eastAsia="zh-CN"/>
              </w:rPr>
              <w:t>签订合同后。</w:t>
            </w:r>
          </w:p>
          <w:p w14:paraId="45CEB082">
            <w:pPr>
              <w:pStyle w:val="44"/>
              <w:numPr>
                <w:ilvl w:val="0"/>
                <w:numId w:val="0"/>
              </w:numPr>
              <w:ind w:firstLine="420" w:firstLineChars="200"/>
              <w:jc w:val="left"/>
              <w:rPr>
                <w:color w:val="auto"/>
                <w:highlight w:val="none"/>
              </w:rPr>
            </w:pPr>
            <w:r>
              <w:rPr>
                <w:rFonts w:hint="eastAsia"/>
                <w:color w:val="auto"/>
                <w:highlight w:val="none"/>
                <w:lang w:val="en-US" w:eastAsia="zh-CN"/>
              </w:rPr>
              <w:t>2.</w:t>
            </w:r>
            <w:r>
              <w:rPr>
                <w:rFonts w:hint="eastAsia"/>
                <w:color w:val="auto"/>
                <w:highlight w:val="none"/>
              </w:rPr>
              <w:t>发票开具方式：中标人必须按国家有关财税规定开具发票。</w:t>
            </w:r>
          </w:p>
        </w:tc>
      </w:tr>
      <w:tr w14:paraId="3444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vAlign w:val="center"/>
          </w:tcPr>
          <w:p w14:paraId="29458304">
            <w:pPr>
              <w:pStyle w:val="44"/>
              <w:rPr>
                <w:color w:val="auto"/>
                <w:highlight w:val="none"/>
                <w:lang w:eastAsia="en-US"/>
              </w:rPr>
            </w:pPr>
            <w:r>
              <w:rPr>
                <w:color w:val="auto"/>
                <w:highlight w:val="none"/>
                <w:lang w:eastAsia="en-US"/>
              </w:rPr>
              <w:t>2.</w:t>
            </w:r>
            <w:r>
              <w:rPr>
                <w:color w:val="auto"/>
                <w:highlight w:val="none"/>
              </w:rPr>
              <w:t>13</w:t>
            </w:r>
          </w:p>
        </w:tc>
        <w:tc>
          <w:tcPr>
            <w:tcW w:w="1473" w:type="dxa"/>
            <w:tcBorders>
              <w:left w:val="single" w:color="auto" w:sz="4" w:space="0"/>
              <w:right w:val="single" w:color="auto" w:sz="4" w:space="0"/>
            </w:tcBorders>
            <w:vAlign w:val="center"/>
          </w:tcPr>
          <w:p w14:paraId="31EF57CE">
            <w:pPr>
              <w:pStyle w:val="44"/>
              <w:rPr>
                <w:color w:val="auto"/>
                <w:highlight w:val="none"/>
              </w:rPr>
            </w:pPr>
            <w:r>
              <w:rPr>
                <w:color w:val="auto"/>
                <w:highlight w:val="none"/>
              </w:rPr>
              <w:t>不可抗力</w:t>
            </w:r>
          </w:p>
        </w:tc>
        <w:tc>
          <w:tcPr>
            <w:tcW w:w="7539" w:type="dxa"/>
            <w:tcBorders>
              <w:left w:val="single" w:color="auto" w:sz="4" w:space="0"/>
              <w:right w:val="double" w:color="auto" w:sz="4" w:space="0"/>
            </w:tcBorders>
            <w:vAlign w:val="center"/>
          </w:tcPr>
          <w:p w14:paraId="37548752">
            <w:pPr>
              <w:pStyle w:val="44"/>
              <w:ind w:firstLine="420" w:firstLineChars="200"/>
              <w:jc w:val="left"/>
              <w:rPr>
                <w:color w:val="auto"/>
                <w:highlight w:val="none"/>
              </w:rPr>
            </w:pPr>
            <w:r>
              <w:rPr>
                <w:color w:val="auto"/>
                <w:highlight w:val="none"/>
              </w:rPr>
              <w:t>甲乙双方协商解决</w:t>
            </w:r>
            <w:r>
              <w:rPr>
                <w:rFonts w:hint="eastAsia"/>
                <w:color w:val="auto"/>
                <w:highlight w:val="none"/>
              </w:rPr>
              <w:t>。</w:t>
            </w:r>
          </w:p>
        </w:tc>
      </w:tr>
      <w:tr w14:paraId="0C78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vAlign w:val="center"/>
          </w:tcPr>
          <w:p w14:paraId="3DC9D9A4">
            <w:pPr>
              <w:pStyle w:val="44"/>
              <w:rPr>
                <w:color w:val="auto"/>
                <w:highlight w:val="none"/>
                <w:lang w:eastAsia="en-US"/>
              </w:rPr>
            </w:pPr>
            <w:r>
              <w:rPr>
                <w:rFonts w:hint="eastAsia"/>
                <w:color w:val="auto"/>
                <w:highlight w:val="none"/>
              </w:rPr>
              <w:t>2.17</w:t>
            </w:r>
          </w:p>
        </w:tc>
        <w:tc>
          <w:tcPr>
            <w:tcW w:w="1473" w:type="dxa"/>
            <w:tcBorders>
              <w:left w:val="single" w:color="auto" w:sz="4" w:space="0"/>
              <w:right w:val="single" w:color="auto" w:sz="4" w:space="0"/>
            </w:tcBorders>
            <w:vAlign w:val="center"/>
          </w:tcPr>
          <w:p w14:paraId="0C2F8971">
            <w:pPr>
              <w:pStyle w:val="44"/>
              <w:jc w:val="left"/>
              <w:rPr>
                <w:rFonts w:hint="eastAsia"/>
                <w:color w:val="auto"/>
                <w:highlight w:val="none"/>
              </w:rPr>
            </w:pPr>
            <w:r>
              <w:rPr>
                <w:rFonts w:hint="eastAsia"/>
                <w:color w:val="auto"/>
                <w:highlight w:val="none"/>
              </w:rPr>
              <w:t>检验和验收</w:t>
            </w:r>
          </w:p>
        </w:tc>
        <w:tc>
          <w:tcPr>
            <w:tcW w:w="7539" w:type="dxa"/>
            <w:tcBorders>
              <w:left w:val="single" w:color="auto" w:sz="4" w:space="0"/>
              <w:right w:val="double" w:color="auto" w:sz="4" w:space="0"/>
            </w:tcBorders>
            <w:vAlign w:val="center"/>
          </w:tcPr>
          <w:p w14:paraId="50242C45">
            <w:pPr>
              <w:pStyle w:val="44"/>
              <w:ind w:firstLine="420" w:firstLineChars="200"/>
              <w:jc w:val="left"/>
              <w:rPr>
                <w:rFonts w:hint="eastAsia"/>
                <w:color w:val="auto"/>
                <w:highlight w:val="none"/>
                <w:lang w:val="en-US" w:eastAsia="zh-CN"/>
              </w:rPr>
            </w:pPr>
            <w:r>
              <w:rPr>
                <w:rFonts w:hint="eastAsia"/>
                <w:color w:val="auto"/>
                <w:highlight w:val="none"/>
                <w:lang w:val="en-US" w:eastAsia="zh-CN"/>
              </w:rPr>
              <w:t>1.质量技术标准：验收按相关文件要求进行验收，项目验收国家有强制性规定的，按国家规定执行，验收费用由中标供应商承担。</w:t>
            </w:r>
          </w:p>
          <w:p w14:paraId="13193B31">
            <w:pPr>
              <w:pStyle w:val="44"/>
              <w:ind w:firstLine="420" w:firstLineChars="200"/>
              <w:jc w:val="left"/>
              <w:rPr>
                <w:rFonts w:hint="eastAsia"/>
                <w:color w:val="auto"/>
                <w:highlight w:val="none"/>
                <w:lang w:val="en-US" w:eastAsia="zh-CN"/>
              </w:rPr>
            </w:pPr>
            <w:r>
              <w:rPr>
                <w:rFonts w:hint="eastAsia"/>
                <w:color w:val="auto"/>
                <w:highlight w:val="none"/>
                <w:lang w:val="en-US" w:eastAsia="zh-CN"/>
              </w:rPr>
              <w:t>2 验收过程中产生纠纷的，由质量技术监督部门认定的检测机构检测,如为中标供应商原因造成的，由中标供应商承担检测费用；否则，由采购人承担。</w:t>
            </w:r>
          </w:p>
          <w:p w14:paraId="51634EA9">
            <w:pPr>
              <w:pStyle w:val="44"/>
              <w:ind w:firstLine="420" w:firstLineChars="200"/>
              <w:jc w:val="left"/>
              <w:rPr>
                <w:rFonts w:hint="eastAsia"/>
                <w:color w:val="auto"/>
                <w:highlight w:val="none"/>
                <w:lang w:val="en-US" w:eastAsia="zh-CN"/>
              </w:rPr>
            </w:pPr>
            <w:r>
              <w:rPr>
                <w:rFonts w:hint="eastAsia"/>
                <w:color w:val="auto"/>
                <w:highlight w:val="none"/>
                <w:lang w:val="en-US" w:eastAsia="zh-CN"/>
              </w:rPr>
              <w:t>3 项目验收不合格，由中标供应商返工直至合格，有关返工、再行验收，以及给采购人造成的损失等费用由中标供应商承担。连续两次项目验收不合格的，采购人可终止合同，另行按规定选择其他供应商采购，由此带来的一切损失由中标供应商承担。</w:t>
            </w:r>
          </w:p>
          <w:p w14:paraId="4228E0C0">
            <w:pPr>
              <w:pStyle w:val="44"/>
              <w:ind w:firstLine="420" w:firstLineChars="200"/>
              <w:jc w:val="left"/>
              <w:rPr>
                <w:rFonts w:hint="eastAsia"/>
                <w:color w:val="auto"/>
                <w:highlight w:val="none"/>
                <w:lang w:val="en-US" w:eastAsia="zh-CN"/>
              </w:rPr>
            </w:pPr>
            <w:r>
              <w:rPr>
                <w:rFonts w:hint="eastAsia"/>
                <w:color w:val="auto"/>
                <w:highlight w:val="none"/>
                <w:lang w:val="en-US" w:eastAsia="zh-CN"/>
              </w:rPr>
              <w:t>4提供1年的质量保证期，质保期内免费质保。</w:t>
            </w:r>
          </w:p>
          <w:p w14:paraId="6F024DBF">
            <w:pPr>
              <w:pStyle w:val="44"/>
              <w:ind w:firstLine="420" w:firstLineChars="200"/>
              <w:jc w:val="left"/>
              <w:rPr>
                <w:rFonts w:hint="eastAsia"/>
                <w:color w:val="auto"/>
                <w:highlight w:val="none"/>
                <w:lang w:val="en-US" w:eastAsia="zh-CN"/>
              </w:rPr>
            </w:pPr>
            <w:r>
              <w:rPr>
                <w:rFonts w:hint="eastAsia"/>
                <w:color w:val="auto"/>
                <w:highlight w:val="none"/>
                <w:lang w:val="en-US" w:eastAsia="zh-CN"/>
              </w:rPr>
              <w:t>5.货物的验收按招标文件要求及国家的有关标准进行验收。货物运抵甲方指定地点后，由甲方、乙方共同对到货的数量、重量、外观质量、备件、技术资料等进行检查，确认后开始验收。对未达到技术要求的不合格产品，一律拒收，终止合同执行，且乙方必须向买方赔偿工作延误费。</w:t>
            </w:r>
          </w:p>
        </w:tc>
      </w:tr>
      <w:tr w14:paraId="4D1C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vAlign w:val="center"/>
          </w:tcPr>
          <w:p w14:paraId="3C7971B7">
            <w:pPr>
              <w:pStyle w:val="44"/>
              <w:rPr>
                <w:rFonts w:hint="default" w:eastAsia="微软雅黑"/>
                <w:color w:val="auto"/>
                <w:highlight w:val="none"/>
                <w:lang w:val="en-US" w:eastAsia="zh-CN"/>
              </w:rPr>
            </w:pPr>
            <w:r>
              <w:rPr>
                <w:rFonts w:hint="eastAsia"/>
                <w:color w:val="auto"/>
                <w:highlight w:val="none"/>
                <w:lang w:val="en-US" w:eastAsia="zh-CN"/>
              </w:rPr>
              <w:t>2.20</w:t>
            </w:r>
          </w:p>
        </w:tc>
        <w:tc>
          <w:tcPr>
            <w:tcW w:w="1473" w:type="dxa"/>
            <w:tcBorders>
              <w:left w:val="single" w:color="auto" w:sz="4" w:space="0"/>
              <w:right w:val="single" w:color="auto" w:sz="4" w:space="0"/>
            </w:tcBorders>
            <w:vAlign w:val="center"/>
          </w:tcPr>
          <w:p w14:paraId="445DF04F">
            <w:pPr>
              <w:pStyle w:val="44"/>
              <w:rPr>
                <w:rFonts w:hint="default" w:eastAsia="微软雅黑"/>
                <w:color w:val="auto"/>
                <w:highlight w:val="none"/>
                <w:lang w:val="en-US" w:eastAsia="zh-CN"/>
              </w:rPr>
            </w:pPr>
            <w:r>
              <w:rPr>
                <w:rFonts w:hint="eastAsia"/>
                <w:color w:val="auto"/>
                <w:highlight w:val="none"/>
                <w:lang w:val="en-US" w:eastAsia="zh-CN"/>
              </w:rPr>
              <w:t>履约保证金</w:t>
            </w:r>
          </w:p>
        </w:tc>
        <w:tc>
          <w:tcPr>
            <w:tcW w:w="7539" w:type="dxa"/>
            <w:tcBorders>
              <w:left w:val="single" w:color="auto" w:sz="4" w:space="0"/>
              <w:right w:val="double" w:color="auto" w:sz="4" w:space="0"/>
            </w:tcBorders>
            <w:vAlign w:val="center"/>
          </w:tcPr>
          <w:p w14:paraId="113AE6E8">
            <w:pPr>
              <w:pStyle w:val="44"/>
              <w:numPr>
                <w:ilvl w:val="0"/>
                <w:numId w:val="0"/>
              </w:numPr>
              <w:ind w:firstLine="420" w:firstLineChars="200"/>
              <w:jc w:val="left"/>
              <w:rPr>
                <w:rFonts w:hint="eastAsia" w:eastAsia="宋体" w:cs="Times New Roman"/>
                <w:color w:val="auto"/>
                <w:kern w:val="2"/>
                <w:sz w:val="24"/>
                <w:szCs w:val="20"/>
                <w:highlight w:val="none"/>
                <w:lang w:val="en-US" w:eastAsia="zh-CN" w:bidi="ar-SA"/>
              </w:rPr>
            </w:pPr>
            <w:r>
              <w:rPr>
                <w:rFonts w:hint="eastAsia"/>
                <w:color w:val="auto"/>
                <w:highlight w:val="none"/>
              </w:rPr>
              <w:t>中标金额降价幅度不超过采购预算10% 的，履约保证金为中标金额的10%;中标金额降价幅度超过采购预算10%以上的，履约保证金为采购预算减去中标金额的差额。</w:t>
            </w:r>
          </w:p>
        </w:tc>
      </w:tr>
      <w:tr w14:paraId="18E8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67" w:type="dxa"/>
            <w:tcBorders>
              <w:left w:val="double" w:color="auto" w:sz="4" w:space="0"/>
              <w:bottom w:val="double" w:color="auto" w:sz="4" w:space="0"/>
              <w:right w:val="single" w:color="auto" w:sz="4" w:space="0"/>
            </w:tcBorders>
            <w:vAlign w:val="center"/>
          </w:tcPr>
          <w:p w14:paraId="7C01BA6A">
            <w:pPr>
              <w:pStyle w:val="44"/>
              <w:rPr>
                <w:color w:val="auto"/>
                <w:highlight w:val="none"/>
                <w:lang w:eastAsia="en-US"/>
              </w:rPr>
            </w:pPr>
            <w:r>
              <w:rPr>
                <w:color w:val="auto"/>
                <w:highlight w:val="none"/>
                <w:lang w:eastAsia="en-US"/>
              </w:rPr>
              <w:t>2.21</w:t>
            </w:r>
          </w:p>
        </w:tc>
        <w:tc>
          <w:tcPr>
            <w:tcW w:w="1473" w:type="dxa"/>
            <w:tcBorders>
              <w:left w:val="single" w:color="auto" w:sz="4" w:space="0"/>
              <w:bottom w:val="double" w:color="auto" w:sz="4" w:space="0"/>
              <w:right w:val="single" w:color="auto" w:sz="4" w:space="0"/>
            </w:tcBorders>
            <w:vAlign w:val="center"/>
          </w:tcPr>
          <w:p w14:paraId="1738ADC6">
            <w:pPr>
              <w:pStyle w:val="44"/>
              <w:rPr>
                <w:color w:val="auto"/>
                <w:highlight w:val="none"/>
              </w:rPr>
            </w:pPr>
            <w:r>
              <w:rPr>
                <w:color w:val="auto"/>
                <w:highlight w:val="none"/>
              </w:rPr>
              <w:t>合同份数</w:t>
            </w:r>
          </w:p>
        </w:tc>
        <w:tc>
          <w:tcPr>
            <w:tcW w:w="7539" w:type="dxa"/>
            <w:tcBorders>
              <w:left w:val="single" w:color="auto" w:sz="4" w:space="0"/>
              <w:bottom w:val="double" w:color="auto" w:sz="4" w:space="0"/>
              <w:right w:val="double" w:color="auto" w:sz="4" w:space="0"/>
            </w:tcBorders>
            <w:vAlign w:val="center"/>
          </w:tcPr>
          <w:p w14:paraId="6E13AD21">
            <w:pPr>
              <w:pStyle w:val="44"/>
              <w:ind w:firstLine="420" w:firstLineChars="200"/>
              <w:jc w:val="both"/>
              <w:rPr>
                <w:color w:val="auto"/>
                <w:highlight w:val="none"/>
              </w:rPr>
            </w:pPr>
            <w:r>
              <w:rPr>
                <w:rFonts w:hint="eastAsia"/>
                <w:color w:val="auto"/>
                <w:highlight w:val="none"/>
              </w:rPr>
              <w:t>本合同一式肆份，甲方贰份，乙方执壹份，采购代理机构执一份。</w:t>
            </w:r>
          </w:p>
        </w:tc>
      </w:tr>
    </w:tbl>
    <w:tbl>
      <w:tblPr>
        <w:tblStyle w:val="33"/>
        <w:tblpPr w:leftFromText="180" w:rightFromText="180" w:vertAnchor="text" w:horzAnchor="page" w:tblpX="920" w:tblpY="1336"/>
        <w:tblOverlap w:val="never"/>
        <w:tblW w:w="10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145"/>
        <w:gridCol w:w="2820"/>
        <w:gridCol w:w="2295"/>
      </w:tblGrid>
      <w:tr w14:paraId="0739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trPr>
        <w:tc>
          <w:tcPr>
            <w:tcW w:w="2835" w:type="dxa"/>
            <w:tcBorders>
              <w:top w:val="nil"/>
              <w:left w:val="nil"/>
              <w:bottom w:val="nil"/>
              <w:right w:val="nil"/>
            </w:tcBorders>
            <w:vAlign w:val="center"/>
          </w:tcPr>
          <w:p w14:paraId="46CDED83">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distribute"/>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甲方（加盖公章）：</w:t>
            </w:r>
          </w:p>
        </w:tc>
        <w:tc>
          <w:tcPr>
            <w:tcW w:w="2145" w:type="dxa"/>
            <w:tcBorders>
              <w:top w:val="nil"/>
              <w:left w:val="nil"/>
              <w:bottom w:val="nil"/>
              <w:right w:val="nil"/>
            </w:tcBorders>
            <w:vAlign w:val="center"/>
          </w:tcPr>
          <w:p w14:paraId="7E8EE7CC">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480" w:firstLineChars="200"/>
              <w:jc w:val="center"/>
              <w:textAlignment w:val="auto"/>
              <w:rPr>
                <w:rFonts w:ascii="Times New Roman" w:hAnsi="Times New Roman" w:eastAsia="宋体" w:cs="Times New Roman"/>
                <w:color w:val="auto"/>
                <w:kern w:val="2"/>
                <w:sz w:val="24"/>
                <w:szCs w:val="22"/>
                <w:lang w:val="en-US" w:eastAsia="zh-CN" w:bidi="ar-SA"/>
              </w:rPr>
            </w:pPr>
          </w:p>
        </w:tc>
        <w:tc>
          <w:tcPr>
            <w:tcW w:w="2820" w:type="dxa"/>
            <w:tcBorders>
              <w:top w:val="nil"/>
              <w:left w:val="nil"/>
              <w:bottom w:val="nil"/>
              <w:right w:val="nil"/>
            </w:tcBorders>
            <w:vAlign w:val="center"/>
          </w:tcPr>
          <w:p w14:paraId="6AE42641">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distribute"/>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乙方（加盖公章）：</w:t>
            </w:r>
          </w:p>
        </w:tc>
        <w:tc>
          <w:tcPr>
            <w:tcW w:w="2295" w:type="dxa"/>
            <w:tcBorders>
              <w:top w:val="nil"/>
              <w:left w:val="nil"/>
              <w:bottom w:val="nil"/>
              <w:right w:val="nil"/>
            </w:tcBorders>
            <w:vAlign w:val="center"/>
          </w:tcPr>
          <w:p w14:paraId="0FBEF3AA">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480" w:firstLineChars="200"/>
              <w:jc w:val="center"/>
              <w:textAlignment w:val="auto"/>
              <w:rPr>
                <w:rFonts w:ascii="Times New Roman" w:hAnsi="Times New Roman" w:eastAsia="宋体" w:cs="Times New Roman"/>
                <w:color w:val="auto"/>
                <w:kern w:val="2"/>
                <w:sz w:val="24"/>
                <w:szCs w:val="22"/>
                <w:lang w:val="en-US" w:eastAsia="zh-CN" w:bidi="ar-SA"/>
              </w:rPr>
            </w:pPr>
          </w:p>
        </w:tc>
      </w:tr>
      <w:tr w14:paraId="698E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vAlign w:val="center"/>
          </w:tcPr>
          <w:p w14:paraId="1EDA20E7">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法定代表人（单位负责人）（签字、签章或印鉴）：</w:t>
            </w:r>
          </w:p>
        </w:tc>
        <w:tc>
          <w:tcPr>
            <w:tcW w:w="2145" w:type="dxa"/>
            <w:tcBorders>
              <w:top w:val="nil"/>
              <w:left w:val="nil"/>
              <w:bottom w:val="nil"/>
              <w:right w:val="nil"/>
            </w:tcBorders>
            <w:vAlign w:val="center"/>
          </w:tcPr>
          <w:p w14:paraId="04D9E945">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480" w:firstLineChars="200"/>
              <w:jc w:val="center"/>
              <w:textAlignment w:val="auto"/>
              <w:rPr>
                <w:rFonts w:ascii="Times New Roman" w:hAnsi="Times New Roman" w:eastAsia="宋体" w:cs="Times New Roman"/>
                <w:color w:val="auto"/>
                <w:kern w:val="2"/>
                <w:sz w:val="24"/>
                <w:szCs w:val="22"/>
                <w:lang w:val="en-US" w:eastAsia="zh-CN" w:bidi="ar-SA"/>
              </w:rPr>
            </w:pPr>
          </w:p>
        </w:tc>
        <w:tc>
          <w:tcPr>
            <w:tcW w:w="2820" w:type="dxa"/>
            <w:tcBorders>
              <w:top w:val="nil"/>
              <w:left w:val="nil"/>
              <w:bottom w:val="nil"/>
              <w:right w:val="nil"/>
            </w:tcBorders>
            <w:vAlign w:val="center"/>
          </w:tcPr>
          <w:p w14:paraId="018A8F69">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法定代表人（单位负责人）（签字、签章或印鉴）：</w:t>
            </w:r>
          </w:p>
        </w:tc>
        <w:tc>
          <w:tcPr>
            <w:tcW w:w="2295" w:type="dxa"/>
            <w:tcBorders>
              <w:top w:val="nil"/>
              <w:left w:val="nil"/>
              <w:bottom w:val="nil"/>
              <w:right w:val="nil"/>
            </w:tcBorders>
            <w:vAlign w:val="center"/>
          </w:tcPr>
          <w:p w14:paraId="3231DB4A">
            <w:pPr>
              <w:keepNext w:val="0"/>
              <w:keepLines w:val="0"/>
              <w:pageBreakBefore w:val="0"/>
              <w:widowControl w:val="0"/>
              <w:kinsoku/>
              <w:wordWrap/>
              <w:overflowPunct/>
              <w:topLinePunct w:val="0"/>
              <w:autoSpaceDE/>
              <w:autoSpaceDN/>
              <w:bidi w:val="0"/>
              <w:adjustRightInd w:val="0"/>
              <w:snapToGrid w:val="0"/>
              <w:spacing w:before="0" w:beforeLines="0" w:line="240" w:lineRule="auto"/>
              <w:ind w:firstLine="480" w:firstLineChars="200"/>
              <w:jc w:val="center"/>
              <w:textAlignment w:val="auto"/>
              <w:rPr>
                <w:rFonts w:ascii="Times New Roman" w:hAnsi="Times New Roman" w:eastAsia="宋体" w:cs="Times New Roman"/>
                <w:color w:val="auto"/>
                <w:kern w:val="2"/>
                <w:sz w:val="24"/>
                <w:szCs w:val="22"/>
                <w:lang w:val="en-US" w:eastAsia="zh-CN" w:bidi="ar-SA"/>
              </w:rPr>
            </w:pPr>
          </w:p>
        </w:tc>
      </w:tr>
      <w:tr w14:paraId="581E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vAlign w:val="center"/>
          </w:tcPr>
          <w:p w14:paraId="0C53D001">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0" w:firstLineChars="0"/>
              <w:jc w:val="distribute"/>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或授权代表（签字）：</w:t>
            </w:r>
          </w:p>
        </w:tc>
        <w:tc>
          <w:tcPr>
            <w:tcW w:w="2145" w:type="dxa"/>
            <w:tcBorders>
              <w:top w:val="nil"/>
              <w:left w:val="nil"/>
              <w:bottom w:val="nil"/>
              <w:right w:val="nil"/>
            </w:tcBorders>
            <w:vAlign w:val="center"/>
          </w:tcPr>
          <w:p w14:paraId="3B951EBD">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480" w:firstLineChars="200"/>
              <w:jc w:val="center"/>
              <w:textAlignment w:val="auto"/>
              <w:rPr>
                <w:rFonts w:ascii="Times New Roman" w:hAnsi="Times New Roman" w:eastAsia="宋体" w:cs="Times New Roman"/>
                <w:color w:val="auto"/>
                <w:kern w:val="2"/>
                <w:sz w:val="24"/>
                <w:szCs w:val="22"/>
                <w:lang w:val="en-US" w:eastAsia="zh-CN" w:bidi="ar-SA"/>
              </w:rPr>
            </w:pPr>
          </w:p>
        </w:tc>
        <w:tc>
          <w:tcPr>
            <w:tcW w:w="2820" w:type="dxa"/>
            <w:tcBorders>
              <w:top w:val="nil"/>
              <w:left w:val="nil"/>
              <w:bottom w:val="nil"/>
              <w:right w:val="nil"/>
            </w:tcBorders>
            <w:vAlign w:val="center"/>
          </w:tcPr>
          <w:p w14:paraId="250A4E6F">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0" w:firstLineChars="0"/>
              <w:jc w:val="distribute"/>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或授权代表（签字）：</w:t>
            </w:r>
          </w:p>
        </w:tc>
        <w:tc>
          <w:tcPr>
            <w:tcW w:w="2295" w:type="dxa"/>
            <w:tcBorders>
              <w:top w:val="nil"/>
              <w:left w:val="nil"/>
              <w:bottom w:val="nil"/>
              <w:right w:val="nil"/>
            </w:tcBorders>
            <w:vAlign w:val="center"/>
          </w:tcPr>
          <w:p w14:paraId="0E04ED9B">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480" w:firstLineChars="200"/>
              <w:jc w:val="center"/>
              <w:textAlignment w:val="auto"/>
              <w:rPr>
                <w:rFonts w:ascii="Times New Roman" w:hAnsi="Times New Roman" w:eastAsia="宋体" w:cs="Times New Roman"/>
                <w:color w:val="auto"/>
                <w:kern w:val="2"/>
                <w:sz w:val="24"/>
                <w:szCs w:val="22"/>
                <w:lang w:val="en-US" w:eastAsia="zh-CN" w:bidi="ar-SA"/>
              </w:rPr>
            </w:pPr>
          </w:p>
        </w:tc>
      </w:tr>
      <w:tr w14:paraId="1552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Borders>
              <w:top w:val="nil"/>
              <w:left w:val="nil"/>
              <w:bottom w:val="nil"/>
              <w:right w:val="nil"/>
            </w:tcBorders>
            <w:vAlign w:val="center"/>
          </w:tcPr>
          <w:p w14:paraId="204F4B51">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0" w:firstLineChars="0"/>
              <w:jc w:val="both"/>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时           间：</w:t>
            </w:r>
          </w:p>
        </w:tc>
        <w:tc>
          <w:tcPr>
            <w:tcW w:w="2145" w:type="dxa"/>
            <w:tcBorders>
              <w:top w:val="nil"/>
              <w:left w:val="nil"/>
              <w:bottom w:val="nil"/>
              <w:right w:val="nil"/>
            </w:tcBorders>
            <w:vAlign w:val="center"/>
          </w:tcPr>
          <w:p w14:paraId="6971A563">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0" w:firstLineChars="0"/>
              <w:jc w:val="center"/>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年  月  日</w:t>
            </w:r>
          </w:p>
        </w:tc>
        <w:tc>
          <w:tcPr>
            <w:tcW w:w="2820" w:type="dxa"/>
            <w:tcBorders>
              <w:top w:val="nil"/>
              <w:left w:val="nil"/>
              <w:bottom w:val="nil"/>
              <w:right w:val="nil"/>
            </w:tcBorders>
            <w:vAlign w:val="center"/>
          </w:tcPr>
          <w:p w14:paraId="670570F1">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0" w:firstLineChars="0"/>
              <w:jc w:val="both"/>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时          间：</w:t>
            </w:r>
          </w:p>
        </w:tc>
        <w:tc>
          <w:tcPr>
            <w:tcW w:w="2295" w:type="dxa"/>
            <w:tcBorders>
              <w:top w:val="nil"/>
              <w:left w:val="nil"/>
              <w:bottom w:val="nil"/>
              <w:right w:val="nil"/>
            </w:tcBorders>
            <w:vAlign w:val="center"/>
          </w:tcPr>
          <w:p w14:paraId="67F91732">
            <w:pPr>
              <w:keepNext w:val="0"/>
              <w:keepLines w:val="0"/>
              <w:pageBreakBefore w:val="0"/>
              <w:widowControl w:val="0"/>
              <w:kinsoku/>
              <w:wordWrap/>
              <w:overflowPunct/>
              <w:topLinePunct w:val="0"/>
              <w:autoSpaceDE/>
              <w:autoSpaceDN/>
              <w:bidi w:val="0"/>
              <w:adjustRightInd w:val="0"/>
              <w:snapToGrid w:val="0"/>
              <w:spacing w:before="312" w:beforeLines="100" w:line="240" w:lineRule="auto"/>
              <w:ind w:firstLine="480" w:firstLineChars="200"/>
              <w:jc w:val="center"/>
              <w:textAlignment w:val="auto"/>
              <w:rPr>
                <w:rFonts w:ascii="Times New Roman" w:hAnsi="Times New Roman" w:eastAsia="宋体" w:cs="Times New Roman"/>
                <w:color w:val="auto"/>
                <w:kern w:val="2"/>
                <w:sz w:val="24"/>
                <w:szCs w:val="22"/>
                <w:lang w:val="en-US" w:eastAsia="zh-CN" w:bidi="ar-SA"/>
              </w:rPr>
            </w:pPr>
            <w:r>
              <w:rPr>
                <w:rFonts w:hint="eastAsia" w:ascii="Times New Roman" w:hAnsi="Times New Roman" w:eastAsia="宋体" w:cs="Times New Roman"/>
                <w:color w:val="auto"/>
                <w:kern w:val="2"/>
                <w:sz w:val="24"/>
                <w:szCs w:val="22"/>
                <w:lang w:val="en-US" w:eastAsia="zh-CN" w:bidi="ar-SA"/>
              </w:rPr>
              <w:t>年  月  日</w:t>
            </w:r>
          </w:p>
        </w:tc>
      </w:tr>
    </w:tbl>
    <w:p w14:paraId="7FC23CD5">
      <w:pPr>
        <w:pStyle w:val="19"/>
        <w:rPr>
          <w:rFonts w:hint="default"/>
          <w:color w:val="auto"/>
          <w:lang w:val="en-US" w:eastAsia="zh-CN"/>
        </w:rPr>
        <w:sectPr>
          <w:footerReference r:id="rId6" w:type="default"/>
          <w:pgSz w:w="11906" w:h="16838"/>
          <w:pgMar w:top="1417" w:right="1003" w:bottom="1701" w:left="1003" w:header="851" w:footer="992" w:gutter="0"/>
          <w:pgNumType w:fmt="decimal"/>
          <w:cols w:space="425" w:num="1"/>
          <w:rtlGutter w:val="0"/>
          <w:docGrid w:type="lines" w:linePitch="312" w:charSpace="0"/>
        </w:sectPr>
      </w:pPr>
    </w:p>
    <w:p w14:paraId="2E6E8574">
      <w:pPr>
        <w:pStyle w:val="2"/>
        <w:numPr>
          <w:ilvl w:val="0"/>
          <w:numId w:val="20"/>
        </w:numPr>
        <w:rPr>
          <w:color w:val="auto"/>
        </w:rPr>
      </w:pPr>
      <w:bookmarkStart w:id="107" w:name="_Toc13508"/>
      <w:bookmarkStart w:id="108" w:name="_Toc24400"/>
      <w:r>
        <w:rPr>
          <w:rFonts w:hint="eastAsia"/>
          <w:color w:val="auto"/>
        </w:rPr>
        <w:t>投标文件的组成</w:t>
      </w:r>
      <w:bookmarkEnd w:id="107"/>
      <w:bookmarkEnd w:id="108"/>
      <w:bookmarkStart w:id="109" w:name="_Toc11034"/>
    </w:p>
    <w:tbl>
      <w:tblPr>
        <w:tblStyle w:val="33"/>
        <w:tblW w:w="1012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6401"/>
        <w:gridCol w:w="2492"/>
      </w:tblGrid>
      <w:tr w14:paraId="41B8C6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27" w:type="dxa"/>
            <w:tcBorders>
              <w:tl2br w:val="nil"/>
              <w:tr2bl w:val="nil"/>
            </w:tcBorders>
            <w:shd w:val="pct10" w:color="ADB9CA" w:themeColor="text2" w:themeTint="66" w:fill="D6DCE5" w:themeFill="text2" w:themeFillTint="32"/>
            <w:vAlign w:val="center"/>
          </w:tcPr>
          <w:p w14:paraId="12440559">
            <w:pPr>
              <w:pStyle w:val="58"/>
              <w:rPr>
                <w:color w:val="auto"/>
              </w:rPr>
            </w:pPr>
            <w:r>
              <w:rPr>
                <w:rFonts w:hint="eastAsia"/>
                <w:color w:val="auto"/>
              </w:rPr>
              <w:t>序 号</w:t>
            </w:r>
          </w:p>
        </w:tc>
        <w:tc>
          <w:tcPr>
            <w:tcW w:w="6401" w:type="dxa"/>
            <w:tcBorders>
              <w:tl2br w:val="nil"/>
              <w:tr2bl w:val="nil"/>
            </w:tcBorders>
            <w:shd w:val="pct10" w:color="ADB9CA" w:themeColor="text2" w:themeTint="66" w:fill="D6DCE5" w:themeFill="text2" w:themeFillTint="32"/>
            <w:vAlign w:val="center"/>
          </w:tcPr>
          <w:p w14:paraId="46331153">
            <w:pPr>
              <w:pStyle w:val="58"/>
              <w:rPr>
                <w:color w:val="auto"/>
              </w:rPr>
            </w:pPr>
            <w:r>
              <w:rPr>
                <w:rFonts w:hint="eastAsia"/>
                <w:color w:val="auto"/>
              </w:rPr>
              <w:t>内    容</w:t>
            </w:r>
          </w:p>
        </w:tc>
        <w:tc>
          <w:tcPr>
            <w:tcW w:w="2492" w:type="dxa"/>
            <w:tcBorders>
              <w:tl2br w:val="nil"/>
              <w:tr2bl w:val="nil"/>
            </w:tcBorders>
            <w:shd w:val="pct10" w:color="ADB9CA" w:themeColor="text2" w:themeTint="66" w:fill="D6DCE5" w:themeFill="text2" w:themeFillTint="32"/>
            <w:vAlign w:val="center"/>
          </w:tcPr>
          <w:p w14:paraId="7FB9D070">
            <w:pPr>
              <w:pStyle w:val="58"/>
              <w:rPr>
                <w:color w:val="auto"/>
              </w:rPr>
            </w:pPr>
            <w:r>
              <w:rPr>
                <w:rFonts w:hint="eastAsia"/>
                <w:color w:val="auto"/>
              </w:rPr>
              <w:t>备注</w:t>
            </w:r>
          </w:p>
        </w:tc>
      </w:tr>
      <w:tr w14:paraId="056FBE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036E0CED">
            <w:pPr>
              <w:pStyle w:val="44"/>
              <w:numPr>
                <w:ilvl w:val="0"/>
                <w:numId w:val="21"/>
              </w:numPr>
              <w:rPr>
                <w:color w:val="auto"/>
                <w:sz w:val="24"/>
                <w:szCs w:val="32"/>
              </w:rPr>
            </w:pPr>
          </w:p>
        </w:tc>
        <w:tc>
          <w:tcPr>
            <w:tcW w:w="6401" w:type="dxa"/>
            <w:tcBorders>
              <w:tl2br w:val="nil"/>
              <w:tr2bl w:val="nil"/>
            </w:tcBorders>
            <w:vAlign w:val="center"/>
          </w:tcPr>
          <w:p w14:paraId="69822DEE">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default"/>
                <w:color w:val="auto"/>
                <w:sz w:val="22"/>
                <w:szCs w:val="28"/>
              </w:rPr>
            </w:pPr>
            <w:r>
              <w:rPr>
                <w:color w:val="auto"/>
              </w:rPr>
              <w:t>投标函</w:t>
            </w:r>
          </w:p>
        </w:tc>
        <w:tc>
          <w:tcPr>
            <w:tcW w:w="2492" w:type="dxa"/>
            <w:tcBorders>
              <w:tl2br w:val="nil"/>
              <w:tr2bl w:val="nil"/>
            </w:tcBorders>
            <w:vAlign w:val="center"/>
          </w:tcPr>
          <w:p w14:paraId="59065C71">
            <w:pPr>
              <w:pStyle w:val="44"/>
              <w:rPr>
                <w:color w:val="auto"/>
                <w:sz w:val="24"/>
                <w:szCs w:val="32"/>
              </w:rPr>
            </w:pPr>
          </w:p>
        </w:tc>
      </w:tr>
      <w:tr w14:paraId="6BA2DE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23BF3FC">
            <w:pPr>
              <w:pStyle w:val="44"/>
              <w:numPr>
                <w:ilvl w:val="0"/>
                <w:numId w:val="21"/>
              </w:numPr>
              <w:rPr>
                <w:color w:val="auto"/>
                <w:sz w:val="24"/>
                <w:szCs w:val="32"/>
              </w:rPr>
            </w:pPr>
          </w:p>
        </w:tc>
        <w:tc>
          <w:tcPr>
            <w:tcW w:w="6401" w:type="dxa"/>
            <w:tcBorders>
              <w:tl2br w:val="nil"/>
              <w:tr2bl w:val="nil"/>
            </w:tcBorders>
            <w:vAlign w:val="center"/>
          </w:tcPr>
          <w:p w14:paraId="751A8C74">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default"/>
                <w:color w:val="auto"/>
                <w:sz w:val="22"/>
                <w:szCs w:val="28"/>
              </w:rPr>
            </w:pPr>
            <w:r>
              <w:rPr>
                <w:color w:val="auto"/>
              </w:rPr>
              <w:t>开标一览表</w:t>
            </w:r>
          </w:p>
        </w:tc>
        <w:tc>
          <w:tcPr>
            <w:tcW w:w="2492" w:type="dxa"/>
            <w:tcBorders>
              <w:tl2br w:val="nil"/>
              <w:tr2bl w:val="nil"/>
            </w:tcBorders>
            <w:vAlign w:val="center"/>
          </w:tcPr>
          <w:p w14:paraId="1D4C628B">
            <w:pPr>
              <w:pStyle w:val="44"/>
              <w:rPr>
                <w:color w:val="auto"/>
                <w:sz w:val="24"/>
                <w:szCs w:val="32"/>
              </w:rPr>
            </w:pPr>
          </w:p>
        </w:tc>
      </w:tr>
      <w:tr w14:paraId="3FAE19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7307C41F">
            <w:pPr>
              <w:pStyle w:val="44"/>
              <w:numPr>
                <w:ilvl w:val="0"/>
                <w:numId w:val="21"/>
              </w:numPr>
              <w:rPr>
                <w:color w:val="auto"/>
                <w:sz w:val="24"/>
                <w:szCs w:val="32"/>
              </w:rPr>
            </w:pPr>
          </w:p>
        </w:tc>
        <w:tc>
          <w:tcPr>
            <w:tcW w:w="6401" w:type="dxa"/>
            <w:tcBorders>
              <w:tl2br w:val="nil"/>
              <w:tr2bl w:val="nil"/>
            </w:tcBorders>
            <w:vAlign w:val="center"/>
          </w:tcPr>
          <w:p w14:paraId="1A87D5D7">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eastAsia" w:eastAsia="微软雅黑"/>
                <w:color w:val="auto"/>
                <w:lang w:eastAsia="zh-CN"/>
              </w:rPr>
            </w:pPr>
            <w:r>
              <w:rPr>
                <w:rFonts w:hint="eastAsia"/>
                <w:color w:val="auto"/>
                <w:lang w:eastAsia="zh-CN"/>
              </w:rPr>
              <w:t>授权委托书</w:t>
            </w:r>
          </w:p>
        </w:tc>
        <w:tc>
          <w:tcPr>
            <w:tcW w:w="2492" w:type="dxa"/>
            <w:tcBorders>
              <w:tl2br w:val="nil"/>
              <w:tr2bl w:val="nil"/>
            </w:tcBorders>
            <w:vAlign w:val="center"/>
          </w:tcPr>
          <w:p w14:paraId="7188808F">
            <w:pPr>
              <w:pStyle w:val="44"/>
              <w:rPr>
                <w:color w:val="auto"/>
                <w:sz w:val="24"/>
                <w:szCs w:val="32"/>
              </w:rPr>
            </w:pPr>
          </w:p>
        </w:tc>
      </w:tr>
      <w:tr w14:paraId="735B2B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444C99A1">
            <w:pPr>
              <w:pStyle w:val="44"/>
              <w:numPr>
                <w:ilvl w:val="0"/>
                <w:numId w:val="21"/>
              </w:numPr>
              <w:rPr>
                <w:color w:val="auto"/>
                <w:sz w:val="24"/>
                <w:szCs w:val="32"/>
              </w:rPr>
            </w:pPr>
          </w:p>
        </w:tc>
        <w:tc>
          <w:tcPr>
            <w:tcW w:w="6401" w:type="dxa"/>
            <w:tcBorders>
              <w:tl2br w:val="nil"/>
              <w:tr2bl w:val="nil"/>
            </w:tcBorders>
            <w:vAlign w:val="center"/>
          </w:tcPr>
          <w:p w14:paraId="1251A3EF">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eastAsia" w:eastAsia="微软雅黑"/>
                <w:color w:val="auto"/>
                <w:lang w:eastAsia="zh-CN"/>
              </w:rPr>
            </w:pPr>
            <w:r>
              <w:rPr>
                <w:rFonts w:hint="eastAsia"/>
                <w:color w:val="auto"/>
                <w:lang w:eastAsia="zh-CN"/>
              </w:rPr>
              <w:t>投标人提供的资格证明文件</w:t>
            </w:r>
          </w:p>
        </w:tc>
        <w:tc>
          <w:tcPr>
            <w:tcW w:w="2492" w:type="dxa"/>
            <w:tcBorders>
              <w:tl2br w:val="nil"/>
              <w:tr2bl w:val="nil"/>
            </w:tcBorders>
            <w:vAlign w:val="center"/>
          </w:tcPr>
          <w:p w14:paraId="33BDF2A2">
            <w:pPr>
              <w:pStyle w:val="44"/>
              <w:rPr>
                <w:color w:val="auto"/>
                <w:sz w:val="24"/>
                <w:szCs w:val="32"/>
              </w:rPr>
            </w:pPr>
          </w:p>
        </w:tc>
      </w:tr>
      <w:tr w14:paraId="1614DF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7197C0AD">
            <w:pPr>
              <w:pStyle w:val="44"/>
              <w:numPr>
                <w:ilvl w:val="0"/>
                <w:numId w:val="21"/>
              </w:numPr>
              <w:rPr>
                <w:color w:val="auto"/>
                <w:sz w:val="24"/>
                <w:szCs w:val="32"/>
              </w:rPr>
            </w:pPr>
          </w:p>
        </w:tc>
        <w:tc>
          <w:tcPr>
            <w:tcW w:w="6401" w:type="dxa"/>
            <w:tcBorders>
              <w:tl2br w:val="nil"/>
              <w:tr2bl w:val="nil"/>
            </w:tcBorders>
            <w:vAlign w:val="center"/>
          </w:tcPr>
          <w:p w14:paraId="57ADAA31">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default"/>
                <w:color w:val="auto"/>
                <w:sz w:val="22"/>
                <w:szCs w:val="28"/>
              </w:rPr>
            </w:pPr>
            <w:r>
              <w:rPr>
                <w:rFonts w:hint="eastAsia"/>
                <w:color w:val="auto"/>
              </w:rPr>
              <w:t>投标</w:t>
            </w:r>
            <w:r>
              <w:rPr>
                <w:rFonts w:hint="eastAsia"/>
                <w:color w:val="auto"/>
                <w:lang w:eastAsia="zh-CN"/>
              </w:rPr>
              <w:t>（</w:t>
            </w:r>
            <w:r>
              <w:rPr>
                <w:rFonts w:hint="eastAsia"/>
                <w:color w:val="auto"/>
                <w:lang w:val="en-US" w:eastAsia="zh-CN"/>
              </w:rPr>
              <w:t>竞价）</w:t>
            </w:r>
            <w:r>
              <w:rPr>
                <w:color w:val="auto"/>
              </w:rPr>
              <w:t>响应情况</w:t>
            </w:r>
          </w:p>
        </w:tc>
        <w:tc>
          <w:tcPr>
            <w:tcW w:w="2492" w:type="dxa"/>
            <w:tcBorders>
              <w:tl2br w:val="nil"/>
              <w:tr2bl w:val="nil"/>
            </w:tcBorders>
            <w:vAlign w:val="center"/>
          </w:tcPr>
          <w:p w14:paraId="79960FE0">
            <w:pPr>
              <w:pStyle w:val="44"/>
              <w:rPr>
                <w:color w:val="auto"/>
                <w:sz w:val="24"/>
                <w:szCs w:val="32"/>
              </w:rPr>
            </w:pPr>
          </w:p>
        </w:tc>
      </w:tr>
      <w:tr w14:paraId="26F469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66370092">
            <w:pPr>
              <w:pStyle w:val="44"/>
              <w:numPr>
                <w:ilvl w:val="0"/>
                <w:numId w:val="21"/>
              </w:numPr>
              <w:rPr>
                <w:color w:val="auto"/>
                <w:sz w:val="24"/>
                <w:szCs w:val="32"/>
                <w:highlight w:val="none"/>
              </w:rPr>
            </w:pPr>
          </w:p>
        </w:tc>
        <w:tc>
          <w:tcPr>
            <w:tcW w:w="6401" w:type="dxa"/>
            <w:tcBorders>
              <w:tl2br w:val="nil"/>
              <w:tr2bl w:val="nil"/>
            </w:tcBorders>
            <w:vAlign w:val="center"/>
          </w:tcPr>
          <w:p w14:paraId="4D7AD96B">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default" w:eastAsia="微软雅黑"/>
                <w:color w:val="auto"/>
                <w:highlight w:val="none"/>
                <w:lang w:val="en-US" w:eastAsia="zh-CN"/>
              </w:rPr>
            </w:pPr>
            <w:r>
              <w:rPr>
                <w:rFonts w:hint="eastAsia"/>
                <w:color w:val="auto"/>
                <w:highlight w:val="none"/>
                <w:lang w:val="en-US" w:eastAsia="zh-CN"/>
              </w:rPr>
              <w:t>总体供货方案（技术方案）</w:t>
            </w:r>
          </w:p>
        </w:tc>
        <w:tc>
          <w:tcPr>
            <w:tcW w:w="2492" w:type="dxa"/>
            <w:tcBorders>
              <w:tl2br w:val="nil"/>
              <w:tr2bl w:val="nil"/>
            </w:tcBorders>
            <w:vAlign w:val="center"/>
          </w:tcPr>
          <w:p w14:paraId="5C8EA09F">
            <w:pPr>
              <w:pStyle w:val="44"/>
              <w:rPr>
                <w:color w:val="auto"/>
                <w:sz w:val="24"/>
                <w:szCs w:val="32"/>
                <w:highlight w:val="yellow"/>
              </w:rPr>
            </w:pPr>
          </w:p>
        </w:tc>
      </w:tr>
      <w:tr w14:paraId="1E6736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0C61884">
            <w:pPr>
              <w:pStyle w:val="44"/>
              <w:numPr>
                <w:ilvl w:val="0"/>
                <w:numId w:val="21"/>
              </w:numPr>
              <w:rPr>
                <w:color w:val="auto"/>
                <w:sz w:val="24"/>
                <w:szCs w:val="32"/>
                <w:highlight w:val="none"/>
              </w:rPr>
            </w:pPr>
          </w:p>
        </w:tc>
        <w:tc>
          <w:tcPr>
            <w:tcW w:w="6401" w:type="dxa"/>
            <w:tcBorders>
              <w:tl2br w:val="nil"/>
              <w:tr2bl w:val="nil"/>
            </w:tcBorders>
            <w:vAlign w:val="center"/>
          </w:tcPr>
          <w:p w14:paraId="7B1D3E46">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eastAsia" w:eastAsia="微软雅黑"/>
                <w:color w:val="auto"/>
                <w:highlight w:val="none"/>
                <w:lang w:eastAsia="zh-CN"/>
              </w:rPr>
            </w:pPr>
            <w:r>
              <w:rPr>
                <w:rFonts w:hint="eastAsia"/>
                <w:color w:val="auto"/>
                <w:highlight w:val="none"/>
                <w:lang w:eastAsia="zh-CN"/>
              </w:rPr>
              <w:t>投标业绩承诺函</w:t>
            </w:r>
          </w:p>
        </w:tc>
        <w:tc>
          <w:tcPr>
            <w:tcW w:w="2492" w:type="dxa"/>
            <w:tcBorders>
              <w:tl2br w:val="nil"/>
              <w:tr2bl w:val="nil"/>
            </w:tcBorders>
            <w:vAlign w:val="center"/>
          </w:tcPr>
          <w:p w14:paraId="4B00A1F4">
            <w:pPr>
              <w:pStyle w:val="44"/>
              <w:rPr>
                <w:color w:val="auto"/>
                <w:sz w:val="24"/>
                <w:szCs w:val="32"/>
                <w:highlight w:val="yellow"/>
              </w:rPr>
            </w:pPr>
          </w:p>
        </w:tc>
      </w:tr>
      <w:tr w14:paraId="4F68BB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2FFB567">
            <w:pPr>
              <w:pStyle w:val="44"/>
              <w:numPr>
                <w:ilvl w:val="0"/>
                <w:numId w:val="21"/>
              </w:numPr>
              <w:rPr>
                <w:color w:val="auto"/>
                <w:sz w:val="24"/>
                <w:szCs w:val="32"/>
                <w:highlight w:val="none"/>
              </w:rPr>
            </w:pPr>
          </w:p>
        </w:tc>
        <w:tc>
          <w:tcPr>
            <w:tcW w:w="6401" w:type="dxa"/>
            <w:tcBorders>
              <w:tl2br w:val="nil"/>
              <w:tr2bl w:val="nil"/>
            </w:tcBorders>
            <w:vAlign w:val="center"/>
          </w:tcPr>
          <w:p w14:paraId="6E3973F1">
            <w:pPr>
              <w:pStyle w:val="44"/>
              <w:keepNext w:val="0"/>
              <w:keepLines w:val="0"/>
              <w:pageBreakBefore w:val="0"/>
              <w:widowControl w:val="0"/>
              <w:kinsoku/>
              <w:wordWrap/>
              <w:overflowPunct/>
              <w:topLinePunct w:val="0"/>
              <w:autoSpaceDE/>
              <w:autoSpaceDN/>
              <w:bidi w:val="0"/>
              <w:adjustRightInd/>
              <w:snapToGrid/>
              <w:ind w:firstLine="420" w:firstLineChars="200"/>
              <w:jc w:val="left"/>
              <w:textAlignment w:val="baseline"/>
              <w:rPr>
                <w:rFonts w:hint="eastAsia"/>
                <w:color w:val="auto"/>
                <w:highlight w:val="none"/>
                <w:lang w:eastAsia="zh-CN"/>
              </w:rPr>
            </w:pPr>
            <w:r>
              <w:rPr>
                <w:rFonts w:hint="eastAsia"/>
                <w:color w:val="auto"/>
                <w:highlight w:val="none"/>
                <w:lang w:eastAsia="zh-CN"/>
              </w:rPr>
              <w:t>公开竞价承诺函</w:t>
            </w:r>
          </w:p>
        </w:tc>
        <w:tc>
          <w:tcPr>
            <w:tcW w:w="2492" w:type="dxa"/>
            <w:tcBorders>
              <w:tl2br w:val="nil"/>
              <w:tr2bl w:val="nil"/>
            </w:tcBorders>
            <w:vAlign w:val="center"/>
          </w:tcPr>
          <w:p w14:paraId="7913B4BB">
            <w:pPr>
              <w:pStyle w:val="44"/>
              <w:rPr>
                <w:color w:val="auto"/>
                <w:sz w:val="24"/>
                <w:szCs w:val="32"/>
                <w:highlight w:val="yellow"/>
              </w:rPr>
            </w:pPr>
          </w:p>
        </w:tc>
      </w:tr>
      <w:tr w14:paraId="1881A4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227" w:type="dxa"/>
            <w:tcBorders>
              <w:tl2br w:val="nil"/>
              <w:tr2bl w:val="nil"/>
            </w:tcBorders>
            <w:vAlign w:val="center"/>
          </w:tcPr>
          <w:p w14:paraId="78F20F0B">
            <w:pPr>
              <w:pStyle w:val="44"/>
              <w:numPr>
                <w:ilvl w:val="0"/>
                <w:numId w:val="21"/>
              </w:numPr>
              <w:rPr>
                <w:color w:val="auto"/>
                <w:sz w:val="24"/>
                <w:szCs w:val="32"/>
                <w:highlight w:val="none"/>
              </w:rPr>
            </w:pPr>
          </w:p>
        </w:tc>
        <w:tc>
          <w:tcPr>
            <w:tcW w:w="6401" w:type="dxa"/>
            <w:tcBorders>
              <w:tl2br w:val="nil"/>
              <w:tr2bl w:val="nil"/>
            </w:tcBorders>
            <w:vAlign w:val="center"/>
          </w:tcPr>
          <w:p w14:paraId="621270F4">
            <w:pPr>
              <w:pStyle w:val="61"/>
              <w:spacing w:before="24"/>
              <w:ind w:firstLine="400" w:firstLineChars="200"/>
              <w:rPr>
                <w:color w:val="auto"/>
                <w:sz w:val="22"/>
                <w:szCs w:val="28"/>
                <w:highlight w:val="none"/>
              </w:rPr>
            </w:pPr>
            <w:r>
              <w:rPr>
                <w:rFonts w:hint="eastAsia"/>
                <w:color w:val="auto"/>
              </w:rPr>
              <w:t>供应商认为需提供的其他资料</w:t>
            </w:r>
          </w:p>
        </w:tc>
        <w:tc>
          <w:tcPr>
            <w:tcW w:w="2492" w:type="dxa"/>
            <w:tcBorders>
              <w:tl2br w:val="nil"/>
              <w:tr2bl w:val="nil"/>
            </w:tcBorders>
            <w:vAlign w:val="center"/>
          </w:tcPr>
          <w:p w14:paraId="3188330A">
            <w:pPr>
              <w:pStyle w:val="44"/>
              <w:rPr>
                <w:color w:val="auto"/>
                <w:sz w:val="24"/>
                <w:szCs w:val="32"/>
                <w:highlight w:val="yellow"/>
              </w:rPr>
            </w:pPr>
          </w:p>
        </w:tc>
      </w:tr>
      <w:tr w14:paraId="439064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227" w:type="dxa"/>
            <w:tcBorders>
              <w:tl2br w:val="nil"/>
              <w:tr2bl w:val="nil"/>
            </w:tcBorders>
            <w:vAlign w:val="center"/>
          </w:tcPr>
          <w:p w14:paraId="0B663CB5">
            <w:pPr>
              <w:pStyle w:val="44"/>
              <w:numPr>
                <w:ilvl w:val="0"/>
                <w:numId w:val="21"/>
              </w:numPr>
              <w:rPr>
                <w:color w:val="auto"/>
                <w:sz w:val="24"/>
                <w:szCs w:val="32"/>
                <w:highlight w:val="none"/>
              </w:rPr>
            </w:pPr>
          </w:p>
        </w:tc>
        <w:tc>
          <w:tcPr>
            <w:tcW w:w="6401" w:type="dxa"/>
            <w:tcBorders>
              <w:tl2br w:val="nil"/>
              <w:tr2bl w:val="nil"/>
            </w:tcBorders>
            <w:vAlign w:val="center"/>
          </w:tcPr>
          <w:p w14:paraId="72CA86C5">
            <w:pPr>
              <w:pStyle w:val="61"/>
              <w:spacing w:before="24"/>
              <w:ind w:firstLine="400" w:firstLineChars="200"/>
              <w:rPr>
                <w:rFonts w:hint="default" w:eastAsia="微软雅黑"/>
                <w:color w:val="auto"/>
                <w:lang w:val="en-US" w:eastAsia="zh-CN"/>
              </w:rPr>
            </w:pPr>
            <w:r>
              <w:rPr>
                <w:rFonts w:hint="eastAsia"/>
                <w:color w:val="auto"/>
                <w:lang w:val="en-US" w:eastAsia="zh-CN"/>
              </w:rPr>
              <w:t>主要中标标的承诺函</w:t>
            </w:r>
          </w:p>
        </w:tc>
        <w:tc>
          <w:tcPr>
            <w:tcW w:w="2492" w:type="dxa"/>
            <w:tcBorders>
              <w:tl2br w:val="nil"/>
              <w:tr2bl w:val="nil"/>
            </w:tcBorders>
            <w:vAlign w:val="center"/>
          </w:tcPr>
          <w:p w14:paraId="19DACF46">
            <w:pPr>
              <w:pStyle w:val="44"/>
              <w:rPr>
                <w:color w:val="auto"/>
                <w:sz w:val="24"/>
                <w:szCs w:val="32"/>
                <w:highlight w:val="yellow"/>
              </w:rPr>
            </w:pPr>
          </w:p>
        </w:tc>
      </w:tr>
    </w:tbl>
    <w:p w14:paraId="6E4D0F09">
      <w:pPr>
        <w:rPr>
          <w:color w:val="auto"/>
        </w:rPr>
      </w:pPr>
      <w:r>
        <w:rPr>
          <w:color w:val="auto"/>
          <w:highlight w:val="yellow"/>
        </w:rPr>
        <w:br w:type="page"/>
      </w:r>
    </w:p>
    <w:p w14:paraId="0F54D9DD">
      <w:pPr>
        <w:pStyle w:val="42"/>
        <w:spacing w:before="120"/>
        <w:ind w:firstLine="480"/>
        <w:rPr>
          <w:color w:val="auto"/>
        </w:rPr>
      </w:pPr>
    </w:p>
    <w:tbl>
      <w:tblPr>
        <w:tblStyle w:val="32"/>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
        <w:gridCol w:w="2299"/>
        <w:gridCol w:w="240"/>
        <w:gridCol w:w="6271"/>
        <w:gridCol w:w="580"/>
      </w:tblGrid>
      <w:tr w14:paraId="0516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28" w:type="dxa"/>
            <w:gridSpan w:val="5"/>
            <w:tcBorders>
              <w:top w:val="nil"/>
              <w:left w:val="nil"/>
              <w:bottom w:val="nil"/>
              <w:right w:val="nil"/>
            </w:tcBorders>
          </w:tcPr>
          <w:p w14:paraId="29E60D7C">
            <w:pPr>
              <w:pStyle w:val="16"/>
              <w:ind w:firstLine="0" w:firstLineChars="0"/>
              <w:rPr>
                <w:rFonts w:ascii="仿宋_GB2312" w:eastAsia="仿宋_GB2312" w:cs="Times New Roman"/>
                <w:color w:val="auto"/>
                <w:sz w:val="44"/>
                <w:szCs w:val="28"/>
              </w:rPr>
            </w:pPr>
          </w:p>
        </w:tc>
      </w:tr>
      <w:tr w14:paraId="3BEB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8" w:type="dxa"/>
            <w:gridSpan w:val="5"/>
            <w:tcBorders>
              <w:top w:val="nil"/>
              <w:left w:val="nil"/>
              <w:bottom w:val="nil"/>
              <w:right w:val="nil"/>
            </w:tcBorders>
          </w:tcPr>
          <w:p w14:paraId="71525051">
            <w:pPr>
              <w:jc w:val="center"/>
              <w:rPr>
                <w:rFonts w:ascii="Times New Roman" w:hAnsi="Times New Roman" w:eastAsia="宋体" w:cs="Times New Roman"/>
                <w:b/>
                <w:color w:val="auto"/>
                <w:sz w:val="20"/>
                <w:szCs w:val="21"/>
              </w:rPr>
            </w:pPr>
            <w:r>
              <w:rPr>
                <w:rFonts w:hint="eastAsia" w:ascii="方正小标宋_GBK" w:hAnsi="方正小标宋_GBK" w:eastAsia="方正小标宋_GBK" w:cs="方正小标宋_GBK"/>
                <w:color w:val="auto"/>
                <w:sz w:val="72"/>
                <w:szCs w:val="72"/>
              </w:rPr>
              <w:t>政府采购</w:t>
            </w:r>
          </w:p>
        </w:tc>
      </w:tr>
      <w:tr w14:paraId="35C8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9728" w:type="dxa"/>
            <w:gridSpan w:val="5"/>
            <w:tcBorders>
              <w:top w:val="nil"/>
              <w:left w:val="nil"/>
              <w:bottom w:val="nil"/>
              <w:right w:val="nil"/>
            </w:tcBorders>
          </w:tcPr>
          <w:p w14:paraId="47324F8C">
            <w:pPr>
              <w:jc w:val="center"/>
              <w:rPr>
                <w:rFonts w:ascii="Times New Roman" w:hAnsi="Times New Roman" w:eastAsia="宋体" w:cs="Times New Roman"/>
                <w:color w:val="auto"/>
                <w:sz w:val="40"/>
                <w:szCs w:val="21"/>
              </w:rPr>
            </w:pPr>
            <w:r>
              <w:rPr>
                <w:rFonts w:hint="eastAsia" w:ascii="方正小标宋_GBK" w:hAnsi="方正小标宋_GBK" w:eastAsia="方正小标宋_GBK" w:cs="方正小标宋_GBK"/>
                <w:color w:val="auto"/>
                <w:sz w:val="72"/>
                <w:szCs w:val="72"/>
              </w:rPr>
              <w:t>投 标 文 件</w:t>
            </w:r>
          </w:p>
        </w:tc>
      </w:tr>
      <w:tr w14:paraId="045D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28" w:type="dxa"/>
            <w:gridSpan w:val="5"/>
            <w:tcBorders>
              <w:top w:val="nil"/>
              <w:left w:val="nil"/>
              <w:bottom w:val="nil"/>
              <w:right w:val="nil"/>
            </w:tcBorders>
          </w:tcPr>
          <w:p w14:paraId="5405B376">
            <w:pPr>
              <w:pStyle w:val="3"/>
              <w:jc w:val="both"/>
              <w:rPr>
                <w:rFonts w:ascii="Times New Roman" w:hAnsi="Times New Roman" w:eastAsia="楷体_GB2312"/>
                <w:b/>
                <w:color w:val="auto"/>
                <w:kern w:val="36"/>
                <w:szCs w:val="52"/>
              </w:rPr>
            </w:pPr>
          </w:p>
        </w:tc>
      </w:tr>
      <w:tr w14:paraId="5632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restart"/>
            <w:tcBorders>
              <w:top w:val="nil"/>
              <w:left w:val="nil"/>
              <w:bottom w:val="nil"/>
              <w:right w:val="nil"/>
            </w:tcBorders>
            <w:vAlign w:val="center"/>
          </w:tcPr>
          <w:p w14:paraId="08F1493A">
            <w:pPr>
              <w:adjustRightInd w:val="0"/>
              <w:snapToGrid w:val="0"/>
              <w:rPr>
                <w:rFonts w:ascii="Times New Roman" w:hAnsi="Times New Roman" w:eastAsia="楷体_GB2312" w:cs="Times New Roman"/>
                <w:color w:val="auto"/>
                <w:sz w:val="52"/>
              </w:rPr>
            </w:pPr>
          </w:p>
        </w:tc>
        <w:tc>
          <w:tcPr>
            <w:tcW w:w="2299" w:type="dxa"/>
            <w:tcBorders>
              <w:top w:val="nil"/>
              <w:left w:val="nil"/>
              <w:bottom w:val="nil"/>
              <w:right w:val="nil"/>
            </w:tcBorders>
            <w:vAlign w:val="center"/>
          </w:tcPr>
          <w:p w14:paraId="11A00D09">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采购项目名称：</w:t>
            </w:r>
          </w:p>
        </w:tc>
        <w:tc>
          <w:tcPr>
            <w:tcW w:w="240" w:type="dxa"/>
            <w:tcBorders>
              <w:top w:val="nil"/>
              <w:left w:val="nil"/>
              <w:bottom w:val="nil"/>
              <w:right w:val="nil"/>
            </w:tcBorders>
            <w:vAlign w:val="center"/>
          </w:tcPr>
          <w:p w14:paraId="596A42B8">
            <w:pPr>
              <w:ind w:firstLine="1960" w:firstLineChars="700"/>
              <w:rPr>
                <w:rFonts w:ascii="Times New Roman" w:hAnsi="Times New Roman" w:eastAsia="宋体" w:cs="Times New Roman"/>
                <w:color w:val="auto"/>
                <w:sz w:val="28"/>
                <w:szCs w:val="28"/>
              </w:rPr>
            </w:pPr>
          </w:p>
        </w:tc>
        <w:tc>
          <w:tcPr>
            <w:tcW w:w="6271" w:type="dxa"/>
            <w:tcBorders>
              <w:top w:val="nil"/>
              <w:left w:val="nil"/>
              <w:bottom w:val="nil"/>
              <w:right w:val="nil"/>
            </w:tcBorders>
            <w:vAlign w:val="center"/>
          </w:tcPr>
          <w:p w14:paraId="50F6DBEC">
            <w:pPr>
              <w:rPr>
                <w:rFonts w:ascii="Times New Roman" w:hAnsi="Times New Roman" w:eastAsia="宋体" w:cs="Times New Roman"/>
                <w:color w:val="auto"/>
                <w:spacing w:val="20"/>
                <w:sz w:val="28"/>
                <w:szCs w:val="28"/>
              </w:rPr>
            </w:pPr>
            <w:r>
              <w:rPr>
                <w:rFonts w:ascii="Times New Roman" w:hAnsi="Times New Roman" w:eastAsia="宋体" w:cs="Times New Roman"/>
                <w:color w:val="auto"/>
                <w:spacing w:val="20"/>
                <w:sz w:val="28"/>
                <w:szCs w:val="28"/>
              </w:rPr>
              <w:t xml:space="preserve">     </w:t>
            </w:r>
          </w:p>
        </w:tc>
        <w:tc>
          <w:tcPr>
            <w:tcW w:w="580" w:type="dxa"/>
            <w:vMerge w:val="restart"/>
            <w:tcBorders>
              <w:top w:val="nil"/>
              <w:left w:val="nil"/>
              <w:bottom w:val="nil"/>
              <w:right w:val="nil"/>
            </w:tcBorders>
            <w:vAlign w:val="center"/>
          </w:tcPr>
          <w:p w14:paraId="4F38C907">
            <w:pPr>
              <w:adjustRightInd w:val="0"/>
              <w:snapToGrid w:val="0"/>
              <w:rPr>
                <w:rFonts w:ascii="Times New Roman" w:hAnsi="Times New Roman" w:eastAsia="楷体_GB2312" w:cs="Times New Roman"/>
                <w:color w:val="auto"/>
                <w:sz w:val="52"/>
              </w:rPr>
            </w:pPr>
          </w:p>
        </w:tc>
      </w:tr>
      <w:tr w14:paraId="6AB0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3635DF27">
            <w:pPr>
              <w:widowControl/>
              <w:jc w:val="left"/>
              <w:rPr>
                <w:rFonts w:ascii="Times New Roman" w:hAnsi="Times New Roman" w:eastAsia="楷体_GB2312" w:cs="Times New Roman"/>
                <w:color w:val="auto"/>
                <w:sz w:val="52"/>
              </w:rPr>
            </w:pPr>
          </w:p>
        </w:tc>
        <w:tc>
          <w:tcPr>
            <w:tcW w:w="2299" w:type="dxa"/>
            <w:tcBorders>
              <w:top w:val="nil"/>
              <w:left w:val="nil"/>
              <w:bottom w:val="nil"/>
              <w:right w:val="nil"/>
            </w:tcBorders>
            <w:vAlign w:val="center"/>
          </w:tcPr>
          <w:p w14:paraId="6139A6F3">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采   购   人：</w:t>
            </w:r>
          </w:p>
        </w:tc>
        <w:tc>
          <w:tcPr>
            <w:tcW w:w="240" w:type="dxa"/>
            <w:tcBorders>
              <w:top w:val="nil"/>
              <w:left w:val="nil"/>
              <w:bottom w:val="nil"/>
              <w:right w:val="nil"/>
            </w:tcBorders>
            <w:vAlign w:val="center"/>
          </w:tcPr>
          <w:p w14:paraId="2B849354">
            <w:pPr>
              <w:ind w:firstLine="1960" w:firstLineChars="700"/>
              <w:rPr>
                <w:rFonts w:ascii="Times New Roman" w:hAnsi="Times New Roman" w:eastAsia="宋体" w:cs="Times New Roman"/>
                <w:color w:val="auto"/>
                <w:sz w:val="28"/>
                <w:szCs w:val="28"/>
              </w:rPr>
            </w:pPr>
          </w:p>
        </w:tc>
        <w:tc>
          <w:tcPr>
            <w:tcW w:w="6271" w:type="dxa"/>
            <w:tcBorders>
              <w:top w:val="nil"/>
              <w:left w:val="nil"/>
              <w:bottom w:val="nil"/>
              <w:right w:val="nil"/>
            </w:tcBorders>
            <w:vAlign w:val="center"/>
          </w:tcPr>
          <w:p w14:paraId="1277F82D">
            <w:pPr>
              <w:rPr>
                <w:rFonts w:ascii="Times New Roman" w:hAnsi="Times New Roman" w:eastAsia="宋体" w:cs="Times New Roman"/>
                <w:color w:val="auto"/>
                <w:sz w:val="28"/>
                <w:szCs w:val="28"/>
              </w:rPr>
            </w:pPr>
          </w:p>
        </w:tc>
        <w:tc>
          <w:tcPr>
            <w:tcW w:w="580" w:type="dxa"/>
            <w:vMerge w:val="continue"/>
            <w:tcBorders>
              <w:top w:val="nil"/>
              <w:left w:val="nil"/>
              <w:bottom w:val="nil"/>
              <w:right w:val="nil"/>
            </w:tcBorders>
            <w:vAlign w:val="center"/>
          </w:tcPr>
          <w:p w14:paraId="65244CCC">
            <w:pPr>
              <w:widowControl/>
              <w:jc w:val="distribute"/>
              <w:rPr>
                <w:rFonts w:ascii="Times New Roman" w:hAnsi="Times New Roman" w:eastAsia="楷体_GB2312" w:cs="Times New Roman"/>
                <w:color w:val="auto"/>
                <w:sz w:val="52"/>
              </w:rPr>
            </w:pPr>
          </w:p>
        </w:tc>
      </w:tr>
      <w:tr w14:paraId="4C29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4C5A37D2">
            <w:pPr>
              <w:widowControl/>
              <w:jc w:val="left"/>
              <w:rPr>
                <w:rFonts w:ascii="Times New Roman" w:hAnsi="Times New Roman" w:eastAsia="楷体_GB2312" w:cs="Times New Roman"/>
                <w:color w:val="auto"/>
                <w:sz w:val="52"/>
              </w:rPr>
            </w:pPr>
          </w:p>
        </w:tc>
        <w:tc>
          <w:tcPr>
            <w:tcW w:w="2299" w:type="dxa"/>
            <w:tcBorders>
              <w:top w:val="nil"/>
              <w:left w:val="nil"/>
              <w:bottom w:val="nil"/>
              <w:right w:val="nil"/>
            </w:tcBorders>
            <w:vAlign w:val="center"/>
          </w:tcPr>
          <w:p w14:paraId="2AD9DA2F">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采购代理编号：</w:t>
            </w:r>
          </w:p>
        </w:tc>
        <w:tc>
          <w:tcPr>
            <w:tcW w:w="240" w:type="dxa"/>
            <w:tcBorders>
              <w:top w:val="nil"/>
              <w:left w:val="nil"/>
              <w:bottom w:val="nil"/>
              <w:right w:val="nil"/>
            </w:tcBorders>
            <w:vAlign w:val="center"/>
          </w:tcPr>
          <w:p w14:paraId="04C2EBBE">
            <w:pPr>
              <w:ind w:firstLine="1960" w:firstLineChars="700"/>
              <w:rPr>
                <w:rFonts w:ascii="Times New Roman" w:hAnsi="Times New Roman" w:eastAsia="宋体" w:cs="Times New Roman"/>
                <w:color w:val="auto"/>
                <w:sz w:val="28"/>
                <w:szCs w:val="28"/>
              </w:rPr>
            </w:pPr>
          </w:p>
        </w:tc>
        <w:tc>
          <w:tcPr>
            <w:tcW w:w="6271" w:type="dxa"/>
            <w:tcBorders>
              <w:top w:val="nil"/>
              <w:left w:val="nil"/>
              <w:bottom w:val="nil"/>
              <w:right w:val="nil"/>
            </w:tcBorders>
            <w:vAlign w:val="center"/>
          </w:tcPr>
          <w:p w14:paraId="5B299FC9">
            <w:pPr>
              <w:rPr>
                <w:rFonts w:ascii="Times New Roman" w:hAnsi="Times New Roman" w:eastAsia="宋体" w:cs="Times New Roman"/>
                <w:color w:val="auto"/>
                <w:sz w:val="28"/>
                <w:szCs w:val="28"/>
              </w:rPr>
            </w:pPr>
          </w:p>
        </w:tc>
        <w:tc>
          <w:tcPr>
            <w:tcW w:w="580" w:type="dxa"/>
            <w:vMerge w:val="continue"/>
            <w:tcBorders>
              <w:top w:val="nil"/>
              <w:left w:val="nil"/>
              <w:bottom w:val="nil"/>
              <w:right w:val="nil"/>
            </w:tcBorders>
            <w:vAlign w:val="center"/>
          </w:tcPr>
          <w:p w14:paraId="052BF81E">
            <w:pPr>
              <w:widowControl/>
              <w:jc w:val="distribute"/>
              <w:rPr>
                <w:rFonts w:ascii="Times New Roman" w:hAnsi="Times New Roman" w:eastAsia="楷体_GB2312" w:cs="Times New Roman"/>
                <w:color w:val="auto"/>
                <w:sz w:val="52"/>
              </w:rPr>
            </w:pPr>
          </w:p>
        </w:tc>
      </w:tr>
      <w:tr w14:paraId="7C7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38" w:type="dxa"/>
            <w:vMerge w:val="continue"/>
            <w:tcBorders>
              <w:top w:val="nil"/>
              <w:left w:val="nil"/>
              <w:bottom w:val="nil"/>
              <w:right w:val="nil"/>
            </w:tcBorders>
            <w:vAlign w:val="center"/>
          </w:tcPr>
          <w:p w14:paraId="713E0D61">
            <w:pPr>
              <w:widowControl/>
              <w:jc w:val="left"/>
              <w:rPr>
                <w:rFonts w:ascii="Times New Roman" w:hAnsi="Times New Roman" w:eastAsia="楷体_GB2312" w:cs="Times New Roman"/>
                <w:color w:val="auto"/>
                <w:sz w:val="52"/>
              </w:rPr>
            </w:pPr>
          </w:p>
        </w:tc>
        <w:tc>
          <w:tcPr>
            <w:tcW w:w="2299" w:type="dxa"/>
            <w:tcBorders>
              <w:top w:val="nil"/>
              <w:left w:val="nil"/>
              <w:bottom w:val="nil"/>
              <w:right w:val="nil"/>
            </w:tcBorders>
            <w:vAlign w:val="center"/>
          </w:tcPr>
          <w:p w14:paraId="7ACFA9F6">
            <w:pPr>
              <w:adjustRightInd w:val="0"/>
              <w:snapToGrid w:val="0"/>
              <w:spacing w:line="360" w:lineRule="auto"/>
              <w:jc w:val="distribute"/>
              <w:rPr>
                <w:rFonts w:ascii="Times New Roman" w:hAnsi="Times New Roman" w:eastAsia="宋体" w:cs="Times New Roman"/>
                <w:color w:val="auto"/>
              </w:rPr>
            </w:pPr>
            <w:r>
              <w:rPr>
                <w:rFonts w:hint="eastAsia" w:ascii="黑体" w:hAnsi="黑体" w:eastAsia="黑体" w:cs="黑体"/>
                <w:color w:val="auto"/>
                <w:sz w:val="32"/>
                <w:szCs w:val="32"/>
                <w:highlight w:val="white"/>
              </w:rPr>
              <w:t>采购代理机构：</w:t>
            </w:r>
          </w:p>
        </w:tc>
        <w:tc>
          <w:tcPr>
            <w:tcW w:w="240" w:type="dxa"/>
            <w:tcBorders>
              <w:top w:val="nil"/>
              <w:left w:val="nil"/>
              <w:bottom w:val="nil"/>
              <w:right w:val="nil"/>
            </w:tcBorders>
            <w:vAlign w:val="center"/>
          </w:tcPr>
          <w:p w14:paraId="6A6C1611">
            <w:pPr>
              <w:ind w:firstLine="1960" w:firstLineChars="700"/>
              <w:rPr>
                <w:rFonts w:ascii="Times New Roman" w:hAnsi="Times New Roman" w:eastAsia="宋体" w:cs="Times New Roman"/>
                <w:color w:val="auto"/>
                <w:sz w:val="28"/>
                <w:szCs w:val="28"/>
              </w:rPr>
            </w:pPr>
          </w:p>
        </w:tc>
        <w:tc>
          <w:tcPr>
            <w:tcW w:w="6271" w:type="dxa"/>
            <w:tcBorders>
              <w:top w:val="nil"/>
              <w:left w:val="nil"/>
              <w:bottom w:val="nil"/>
              <w:right w:val="nil"/>
            </w:tcBorders>
            <w:vAlign w:val="center"/>
          </w:tcPr>
          <w:p w14:paraId="069E03EE">
            <w:pPr>
              <w:rPr>
                <w:rFonts w:ascii="Times New Roman" w:hAnsi="Times New Roman" w:eastAsia="宋体" w:cs="Times New Roman"/>
                <w:color w:val="auto"/>
                <w:sz w:val="28"/>
                <w:szCs w:val="28"/>
              </w:rPr>
            </w:pPr>
          </w:p>
        </w:tc>
        <w:tc>
          <w:tcPr>
            <w:tcW w:w="580" w:type="dxa"/>
            <w:vMerge w:val="continue"/>
            <w:tcBorders>
              <w:top w:val="nil"/>
              <w:left w:val="nil"/>
              <w:bottom w:val="nil"/>
              <w:right w:val="nil"/>
            </w:tcBorders>
            <w:vAlign w:val="center"/>
          </w:tcPr>
          <w:p w14:paraId="624EB937">
            <w:pPr>
              <w:widowControl/>
              <w:jc w:val="distribute"/>
              <w:rPr>
                <w:rFonts w:ascii="Times New Roman" w:hAnsi="Times New Roman" w:eastAsia="楷体_GB2312" w:cs="Times New Roman"/>
                <w:color w:val="auto"/>
                <w:sz w:val="52"/>
              </w:rPr>
            </w:pPr>
          </w:p>
        </w:tc>
      </w:tr>
      <w:tr w14:paraId="56E0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338" w:type="dxa"/>
            <w:tcBorders>
              <w:top w:val="nil"/>
              <w:left w:val="nil"/>
              <w:bottom w:val="nil"/>
              <w:right w:val="nil"/>
            </w:tcBorders>
            <w:vAlign w:val="bottom"/>
          </w:tcPr>
          <w:p w14:paraId="07F08006">
            <w:pPr>
              <w:rPr>
                <w:rFonts w:ascii="黑体" w:hAnsi="Times New Roman" w:eastAsia="黑体" w:cs="Times New Roman"/>
                <w:color w:val="auto"/>
                <w:sz w:val="32"/>
                <w:szCs w:val="32"/>
              </w:rPr>
            </w:pPr>
          </w:p>
          <w:p w14:paraId="7C7F2579">
            <w:pPr>
              <w:rPr>
                <w:rFonts w:ascii="黑体" w:hAnsi="Times New Roman" w:eastAsia="黑体" w:cs="Times New Roman"/>
                <w:color w:val="auto"/>
                <w:sz w:val="32"/>
                <w:szCs w:val="32"/>
              </w:rPr>
            </w:pPr>
          </w:p>
          <w:p w14:paraId="46E5651C">
            <w:pPr>
              <w:pStyle w:val="42"/>
              <w:spacing w:before="120"/>
              <w:ind w:firstLine="1600" w:firstLineChars="500"/>
              <w:rPr>
                <w:rFonts w:ascii="黑体" w:eastAsia="黑体"/>
                <w:color w:val="auto"/>
                <w:sz w:val="32"/>
                <w:szCs w:val="32"/>
              </w:rPr>
            </w:pPr>
          </w:p>
        </w:tc>
        <w:tc>
          <w:tcPr>
            <w:tcW w:w="2299" w:type="dxa"/>
            <w:tcBorders>
              <w:top w:val="nil"/>
              <w:left w:val="nil"/>
              <w:bottom w:val="nil"/>
              <w:right w:val="nil"/>
            </w:tcBorders>
            <w:vAlign w:val="bottom"/>
          </w:tcPr>
          <w:p w14:paraId="2345BE4A">
            <w:pPr>
              <w:pStyle w:val="42"/>
              <w:spacing w:before="120"/>
              <w:ind w:firstLine="0" w:firstLineChars="0"/>
              <w:jc w:val="distribute"/>
              <w:rPr>
                <w:rFonts w:ascii="黑体" w:eastAsia="黑体"/>
                <w:color w:val="auto"/>
                <w:sz w:val="32"/>
                <w:szCs w:val="32"/>
              </w:rPr>
            </w:pPr>
            <w:r>
              <w:rPr>
                <w:rFonts w:hint="eastAsia" w:ascii="黑体" w:eastAsia="黑体"/>
                <w:color w:val="auto"/>
                <w:sz w:val="32"/>
                <w:szCs w:val="32"/>
              </w:rPr>
              <w:t>投标人：</w:t>
            </w:r>
          </w:p>
        </w:tc>
        <w:tc>
          <w:tcPr>
            <w:tcW w:w="240" w:type="dxa"/>
            <w:tcBorders>
              <w:top w:val="nil"/>
              <w:left w:val="nil"/>
              <w:bottom w:val="nil"/>
              <w:right w:val="nil"/>
            </w:tcBorders>
            <w:vAlign w:val="bottom"/>
          </w:tcPr>
          <w:p w14:paraId="0BEDE692">
            <w:pPr>
              <w:pStyle w:val="42"/>
              <w:spacing w:before="120"/>
              <w:ind w:firstLine="1600" w:firstLineChars="500"/>
              <w:rPr>
                <w:rFonts w:ascii="黑体" w:hAnsi="黑体" w:eastAsia="黑体" w:cs="黑体"/>
                <w:color w:val="auto"/>
                <w:sz w:val="32"/>
                <w:szCs w:val="28"/>
              </w:rPr>
            </w:pPr>
          </w:p>
        </w:tc>
        <w:tc>
          <w:tcPr>
            <w:tcW w:w="6271" w:type="dxa"/>
            <w:tcBorders>
              <w:top w:val="nil"/>
              <w:left w:val="nil"/>
              <w:bottom w:val="nil"/>
              <w:right w:val="nil"/>
            </w:tcBorders>
            <w:vAlign w:val="bottom"/>
          </w:tcPr>
          <w:p w14:paraId="48D42204">
            <w:pPr>
              <w:pStyle w:val="42"/>
              <w:spacing w:before="120"/>
              <w:ind w:firstLine="1600" w:firstLineChars="500"/>
              <w:rPr>
                <w:rFonts w:ascii="黑体" w:hAnsi="黑体" w:eastAsia="黑体" w:cs="黑体"/>
                <w:color w:val="auto"/>
                <w:sz w:val="32"/>
                <w:szCs w:val="28"/>
              </w:rPr>
            </w:pPr>
          </w:p>
        </w:tc>
        <w:tc>
          <w:tcPr>
            <w:tcW w:w="580" w:type="dxa"/>
            <w:tcBorders>
              <w:top w:val="nil"/>
              <w:left w:val="nil"/>
              <w:bottom w:val="nil"/>
              <w:right w:val="nil"/>
            </w:tcBorders>
            <w:vAlign w:val="bottom"/>
          </w:tcPr>
          <w:p w14:paraId="4C099533">
            <w:pPr>
              <w:pStyle w:val="42"/>
              <w:spacing w:before="120"/>
              <w:ind w:firstLine="1600" w:firstLineChars="500"/>
              <w:rPr>
                <w:rFonts w:ascii="黑体" w:hAnsi="黑体" w:eastAsia="黑体" w:cs="黑体"/>
                <w:color w:val="auto"/>
                <w:sz w:val="32"/>
                <w:szCs w:val="28"/>
              </w:rPr>
            </w:pPr>
          </w:p>
        </w:tc>
      </w:tr>
      <w:tr w14:paraId="51E1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9728" w:type="dxa"/>
            <w:gridSpan w:val="5"/>
            <w:tcBorders>
              <w:top w:val="nil"/>
              <w:left w:val="nil"/>
              <w:bottom w:val="nil"/>
              <w:right w:val="nil"/>
            </w:tcBorders>
            <w:vAlign w:val="bottom"/>
          </w:tcPr>
          <w:p w14:paraId="198EB832">
            <w:pPr>
              <w:jc w:val="center"/>
              <w:rPr>
                <w:rFonts w:ascii="黑体" w:hAnsi="Times New Roman" w:eastAsia="黑体" w:cs="Times New Roman"/>
                <w:color w:val="auto"/>
                <w:sz w:val="32"/>
                <w:szCs w:val="32"/>
              </w:rPr>
            </w:pPr>
            <w:r>
              <w:rPr>
                <w:rFonts w:hint="eastAsia" w:ascii="黑体" w:hAnsi="Times New Roman" w:eastAsia="黑体" w:cs="Times New Roman"/>
                <w:color w:val="auto"/>
                <w:sz w:val="32"/>
                <w:szCs w:val="32"/>
              </w:rPr>
              <w:t xml:space="preserve">二〇XX年 </w:t>
            </w:r>
            <w:r>
              <w:rPr>
                <w:rFonts w:ascii="黑体" w:hAnsi="Times New Roman" w:eastAsia="黑体" w:cs="Times New Roman"/>
                <w:color w:val="auto"/>
                <w:sz w:val="32"/>
                <w:szCs w:val="32"/>
              </w:rPr>
              <w:t xml:space="preserve"> </w:t>
            </w:r>
            <w:r>
              <w:rPr>
                <w:rFonts w:hint="eastAsia" w:ascii="黑体" w:hAnsi="Times New Roman" w:eastAsia="黑体" w:cs="Times New Roman"/>
                <w:color w:val="auto"/>
                <w:sz w:val="32"/>
                <w:szCs w:val="32"/>
              </w:rPr>
              <w:t>月</w:t>
            </w:r>
          </w:p>
        </w:tc>
      </w:tr>
    </w:tbl>
    <w:p w14:paraId="5620D461">
      <w:pPr>
        <w:pStyle w:val="42"/>
        <w:spacing w:before="120"/>
        <w:ind w:firstLine="480"/>
        <w:rPr>
          <w:color w:val="auto"/>
        </w:rPr>
      </w:pPr>
    </w:p>
    <w:p w14:paraId="2FB27BB3">
      <w:pPr>
        <w:rPr>
          <w:rFonts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br w:type="page"/>
      </w:r>
    </w:p>
    <w:p w14:paraId="5C124F81">
      <w:pPr>
        <w:pStyle w:val="4"/>
        <w:rPr>
          <w:color w:val="auto"/>
        </w:rPr>
      </w:pPr>
      <w:bookmarkStart w:id="110" w:name="_Toc12734"/>
      <w:bookmarkStart w:id="111" w:name="_Toc26957"/>
      <w:r>
        <w:rPr>
          <w:rFonts w:hint="eastAsia"/>
          <w:color w:val="auto"/>
        </w:rPr>
        <w:t>一、投 标 函</w:t>
      </w:r>
      <w:bookmarkEnd w:id="110"/>
      <w:bookmarkEnd w:id="111"/>
    </w:p>
    <w:p w14:paraId="364389EB">
      <w:pPr>
        <w:pStyle w:val="42"/>
        <w:spacing w:before="120"/>
        <w:ind w:firstLine="0" w:firstLineChars="0"/>
        <w:rPr>
          <w:color w:val="auto"/>
        </w:rPr>
      </w:pPr>
    </w:p>
    <w:p w14:paraId="009B35A1">
      <w:pPr>
        <w:pStyle w:val="42"/>
        <w:spacing w:before="120"/>
        <w:ind w:firstLine="0" w:firstLineChars="0"/>
        <w:rPr>
          <w:color w:val="auto"/>
        </w:rPr>
      </w:pPr>
      <w:r>
        <w:rPr>
          <w:rFonts w:hint="eastAsia"/>
          <w:color w:val="auto"/>
        </w:rPr>
        <w:t>致：</w:t>
      </w:r>
      <w:r>
        <w:rPr>
          <w:rFonts w:hint="eastAsia"/>
          <w:color w:val="auto"/>
          <w:u w:val="single"/>
        </w:rPr>
        <w:t xml:space="preserve">                 </w:t>
      </w:r>
      <w:r>
        <w:rPr>
          <w:rFonts w:hint="eastAsia"/>
          <w:color w:val="auto"/>
        </w:rPr>
        <w:t>（采购人、采购代理机构）：</w:t>
      </w:r>
    </w:p>
    <w:p w14:paraId="687DF622">
      <w:pPr>
        <w:pStyle w:val="42"/>
        <w:spacing w:before="120"/>
        <w:ind w:firstLine="480"/>
        <w:rPr>
          <w:color w:val="auto"/>
        </w:rPr>
      </w:pPr>
      <w:r>
        <w:rPr>
          <w:rFonts w:hint="eastAsia"/>
          <w:color w:val="auto"/>
        </w:rPr>
        <w:t>根据贵方为</w:t>
      </w:r>
      <w:r>
        <w:rPr>
          <w:rFonts w:hint="eastAsia"/>
          <w:color w:val="auto"/>
          <w:u w:val="single"/>
        </w:rPr>
        <w:t xml:space="preserve">           </w:t>
      </w:r>
      <w:r>
        <w:rPr>
          <w:rFonts w:hint="eastAsia"/>
          <w:color w:val="auto"/>
        </w:rPr>
        <w:t>（项目名称）的投标邀请（政府采购编号：</w:t>
      </w:r>
      <w:r>
        <w:rPr>
          <w:rFonts w:hint="eastAsia"/>
          <w:color w:val="auto"/>
          <w:u w:val="single"/>
        </w:rPr>
        <w:t xml:space="preserve">       </w:t>
      </w:r>
      <w:r>
        <w:rPr>
          <w:rFonts w:hint="eastAsia"/>
          <w:color w:val="auto"/>
        </w:rPr>
        <w:t>，采购代理编号：</w:t>
      </w:r>
      <w:r>
        <w:rPr>
          <w:rFonts w:hint="eastAsia"/>
          <w:color w:val="auto"/>
          <w:u w:val="single"/>
        </w:rPr>
        <w:t xml:space="preserve">         </w:t>
      </w:r>
      <w:r>
        <w:rPr>
          <w:rFonts w:hint="eastAsia"/>
          <w:color w:val="auto"/>
        </w:rPr>
        <w:t>），签字代表</w:t>
      </w:r>
      <w:r>
        <w:rPr>
          <w:rFonts w:hint="eastAsia"/>
          <w:color w:val="auto"/>
          <w:u w:val="single"/>
        </w:rPr>
        <w:t xml:space="preserve">       </w:t>
      </w:r>
      <w:r>
        <w:rPr>
          <w:rFonts w:hint="eastAsia"/>
          <w:color w:val="auto"/>
        </w:rPr>
        <w:t>（姓名、职务）经正式授权并代表投标人</w:t>
      </w:r>
      <w:r>
        <w:rPr>
          <w:rFonts w:hint="eastAsia"/>
          <w:color w:val="auto"/>
          <w:u w:val="single"/>
        </w:rPr>
        <w:t xml:space="preserve">        </w:t>
      </w:r>
      <w:r>
        <w:rPr>
          <w:rFonts w:hint="eastAsia"/>
          <w:color w:val="auto"/>
        </w:rPr>
        <w:t>（投标人名称）提交投标文件电子文档：一份，参加采购项目第</w:t>
      </w:r>
      <w:r>
        <w:rPr>
          <w:rFonts w:hint="eastAsia"/>
          <w:color w:val="auto"/>
          <w:u w:val="single"/>
        </w:rPr>
        <w:t xml:space="preserve">   </w:t>
      </w:r>
      <w:r>
        <w:rPr>
          <w:rFonts w:hint="eastAsia"/>
          <w:color w:val="auto"/>
        </w:rPr>
        <w:t>包投标，并在此声明，所递交的投标文件内容完整、真实。</w:t>
      </w:r>
    </w:p>
    <w:p w14:paraId="069DCCF6">
      <w:pPr>
        <w:pStyle w:val="42"/>
        <w:spacing w:before="120"/>
        <w:ind w:firstLine="480"/>
        <w:rPr>
          <w:color w:val="auto"/>
        </w:rPr>
      </w:pPr>
      <w:r>
        <w:rPr>
          <w:rFonts w:hint="eastAsia"/>
          <w:color w:val="auto"/>
        </w:rPr>
        <w:t>根据贵方的招标邀请书或招标公告，我方兹宣布同意如下：</w:t>
      </w:r>
    </w:p>
    <w:p w14:paraId="111CDA07">
      <w:pPr>
        <w:pStyle w:val="42"/>
        <w:spacing w:before="120"/>
        <w:ind w:firstLine="480"/>
        <w:rPr>
          <w:color w:val="auto"/>
        </w:rPr>
      </w:pPr>
      <w:r>
        <w:rPr>
          <w:rFonts w:hint="eastAsia"/>
          <w:color w:val="auto"/>
        </w:rPr>
        <w:t>1.按招标文件规定提供交付的服务的最终投标报价见</w:t>
      </w:r>
      <w:r>
        <w:rPr>
          <w:rFonts w:hint="eastAsia"/>
          <w:color w:val="auto"/>
          <w:lang w:val="en-US" w:eastAsia="zh-CN"/>
        </w:rPr>
        <w:t>多轮报价（减价）最低报价</w:t>
      </w:r>
      <w:r>
        <w:rPr>
          <w:rFonts w:hint="eastAsia"/>
          <w:color w:val="auto"/>
        </w:rPr>
        <w:t>，如我方中标，我方承诺愿意按招标文件规定缴纳履约保证金。</w:t>
      </w:r>
    </w:p>
    <w:p w14:paraId="7A8116AA">
      <w:pPr>
        <w:pStyle w:val="42"/>
        <w:spacing w:before="120"/>
        <w:ind w:firstLine="480"/>
        <w:rPr>
          <w:color w:val="auto"/>
        </w:rPr>
      </w:pPr>
      <w:r>
        <w:rPr>
          <w:rFonts w:hint="eastAsia"/>
          <w:color w:val="auto"/>
        </w:rPr>
        <w:t>2.我方根据招标文件的规定，严格履行合同的责任和义务，并保证于买方要求的日期内完成相关服务，并通过买方验收。</w:t>
      </w:r>
    </w:p>
    <w:p w14:paraId="16D4FC5F">
      <w:pPr>
        <w:pStyle w:val="42"/>
        <w:spacing w:before="120"/>
        <w:ind w:firstLine="480"/>
        <w:rPr>
          <w:color w:val="auto"/>
        </w:rPr>
      </w:pPr>
      <w:r>
        <w:rPr>
          <w:rFonts w:hint="eastAsia"/>
          <w:color w:val="auto"/>
        </w:rPr>
        <w:t>3.我方承诺报价低于同类</w:t>
      </w:r>
      <w:r>
        <w:rPr>
          <w:rFonts w:hint="eastAsia"/>
          <w:color w:val="auto"/>
          <w:lang w:val="en-US" w:eastAsia="zh-CN"/>
        </w:rPr>
        <w:t>货物</w:t>
      </w:r>
      <w:r>
        <w:rPr>
          <w:rFonts w:hint="eastAsia"/>
          <w:color w:val="auto"/>
        </w:rPr>
        <w:t>的市场平均价格</w:t>
      </w:r>
      <w:r>
        <w:rPr>
          <w:rFonts w:hint="eastAsia"/>
          <w:color w:val="auto"/>
          <w:lang w:eastAsia="zh-CN"/>
        </w:rPr>
        <w:t>，</w:t>
      </w:r>
      <w:r>
        <w:rPr>
          <w:rFonts w:hint="eastAsia"/>
          <w:color w:val="auto"/>
          <w:lang w:val="en-US" w:eastAsia="zh-CN"/>
        </w:rPr>
        <w:t>保证本公司投标报价不低于成本价</w:t>
      </w:r>
      <w:r>
        <w:rPr>
          <w:rFonts w:hint="eastAsia"/>
          <w:color w:val="auto"/>
        </w:rPr>
        <w:t>。</w:t>
      </w:r>
    </w:p>
    <w:p w14:paraId="7A175AFB">
      <w:pPr>
        <w:pStyle w:val="42"/>
        <w:spacing w:before="120"/>
        <w:ind w:firstLine="480"/>
        <w:rPr>
          <w:color w:val="auto"/>
        </w:rPr>
      </w:pPr>
      <w:r>
        <w:rPr>
          <w:rFonts w:hint="eastAsia"/>
          <w:color w:val="auto"/>
        </w:rPr>
        <w:t>4.我方已详细审核全部招标文件，包括招标文件的澄清或修改（如有），参考资料及有关附件，我方正式认可并遵守本次招标文件，并对招标文件各项条款、规定及要求均无异议。我方知道必须放弃提出含糊不清或误解问题的权利。</w:t>
      </w:r>
    </w:p>
    <w:p w14:paraId="559C1A3A">
      <w:pPr>
        <w:pStyle w:val="42"/>
        <w:spacing w:before="120"/>
        <w:ind w:firstLine="480"/>
        <w:rPr>
          <w:color w:val="auto"/>
        </w:rPr>
      </w:pPr>
      <w:r>
        <w:rPr>
          <w:rFonts w:hint="eastAsia"/>
          <w:color w:val="auto"/>
        </w:rPr>
        <w:t>5.我方同意从招标文件规定的开标日期起遵循本招标文件，并在招标文件规定的投标有效期之前均具有约束力。</w:t>
      </w:r>
    </w:p>
    <w:p w14:paraId="7DAC9C2F">
      <w:pPr>
        <w:pStyle w:val="42"/>
        <w:spacing w:before="120"/>
        <w:ind w:firstLine="480"/>
        <w:rPr>
          <w:color w:val="auto"/>
        </w:rPr>
      </w:pPr>
      <w:r>
        <w:rPr>
          <w:rFonts w:hint="eastAsia"/>
          <w:color w:val="auto"/>
        </w:rPr>
        <w:t>6.我方承诺如投标保证金未在招标文件规定时间前到达贵方指定的账户，我方投标无效，由此产生的一切后果由我方承担，且承诺投标保证金转出账户真实有效。</w:t>
      </w:r>
    </w:p>
    <w:p w14:paraId="0CE18E0A">
      <w:pPr>
        <w:pStyle w:val="42"/>
        <w:spacing w:before="120"/>
        <w:ind w:firstLine="480"/>
        <w:rPr>
          <w:rFonts w:hint="eastAsia"/>
          <w:color w:val="auto"/>
        </w:rPr>
      </w:pPr>
      <w:r>
        <w:rPr>
          <w:rFonts w:hint="eastAsia"/>
          <w:color w:val="auto"/>
        </w:rPr>
        <w:t>7.我方声明投标文件所提供的一切资料均真实无误、及时、有效，企业运营正常。由于我方提供资料不实而造成的责任和后果由我方承担。我方同意按照贵方提出的要求，提供与投标有关的任何证据、数据或资料。</w:t>
      </w:r>
    </w:p>
    <w:p w14:paraId="48BDEE4F">
      <w:pPr>
        <w:pStyle w:val="42"/>
        <w:spacing w:before="120"/>
        <w:ind w:firstLine="480"/>
        <w:rPr>
          <w:rFonts w:hint="eastAsia"/>
          <w:color w:val="auto"/>
          <w:lang w:val="en-US" w:eastAsia="zh-CN"/>
        </w:rPr>
      </w:pPr>
      <w:r>
        <w:rPr>
          <w:rFonts w:hint="eastAsia"/>
          <w:color w:val="auto"/>
          <w:lang w:val="en-US" w:eastAsia="zh-CN"/>
        </w:rPr>
        <w:t>8.</w:t>
      </w:r>
      <w:r>
        <w:rPr>
          <w:rFonts w:hint="eastAsia"/>
          <w:color w:val="auto"/>
        </w:rPr>
        <w:t>我方承诺</w:t>
      </w:r>
      <w:r>
        <w:rPr>
          <w:rFonts w:hint="eastAsia"/>
          <w:color w:val="auto"/>
          <w:lang w:val="en-US" w:eastAsia="zh-CN"/>
        </w:rPr>
        <w:t>认可中标通知书送达方式为电话通知、现场领取、短信或微信、邮寄、电子邮箱</w:t>
      </w:r>
    </w:p>
    <w:p w14:paraId="31C3BBE0">
      <w:pPr>
        <w:pStyle w:val="42"/>
        <w:spacing w:before="120"/>
        <w:ind w:left="0" w:leftChars="0" w:firstLine="0" w:firstLineChars="0"/>
        <w:rPr>
          <w:rFonts w:hint="default"/>
          <w:color w:val="auto"/>
          <w:lang w:val="en-US" w:eastAsia="zh-CN"/>
        </w:rPr>
      </w:pPr>
      <w:r>
        <w:rPr>
          <w:rFonts w:hint="eastAsia"/>
          <w:color w:val="auto"/>
          <w:lang w:val="en-US" w:eastAsia="zh-CN"/>
        </w:rPr>
        <w:t>等其中一种方式送达。</w:t>
      </w:r>
    </w:p>
    <w:tbl>
      <w:tblPr>
        <w:tblStyle w:val="33"/>
        <w:tblpPr w:leftFromText="180" w:rightFromText="180" w:vertAnchor="text" w:horzAnchor="page" w:tblpX="1352" w:tblpY="646"/>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3"/>
        <w:gridCol w:w="2654"/>
        <w:gridCol w:w="1185"/>
        <w:gridCol w:w="2602"/>
      </w:tblGrid>
      <w:tr w14:paraId="4B4B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3083" w:type="dxa"/>
            <w:tcBorders>
              <w:top w:val="nil"/>
              <w:left w:val="nil"/>
              <w:bottom w:val="nil"/>
              <w:right w:val="nil"/>
            </w:tcBorders>
            <w:vAlign w:val="center"/>
          </w:tcPr>
          <w:p w14:paraId="186CA411">
            <w:pPr>
              <w:pStyle w:val="42"/>
              <w:spacing w:beforeLines="0" w:line="240" w:lineRule="auto"/>
              <w:ind w:firstLine="0" w:firstLineChars="0"/>
              <w:jc w:val="distribute"/>
              <w:rPr>
                <w:color w:val="auto"/>
              </w:rPr>
            </w:pPr>
            <w:r>
              <w:rPr>
                <w:rFonts w:hint="eastAsia"/>
                <w:color w:val="auto"/>
              </w:rPr>
              <w:t>投标人名称（单位盖章）：</w:t>
            </w:r>
          </w:p>
        </w:tc>
        <w:tc>
          <w:tcPr>
            <w:tcW w:w="6441" w:type="dxa"/>
            <w:gridSpan w:val="3"/>
            <w:tcBorders>
              <w:top w:val="nil"/>
              <w:left w:val="nil"/>
              <w:bottom w:val="nil"/>
              <w:right w:val="nil"/>
            </w:tcBorders>
            <w:vAlign w:val="center"/>
          </w:tcPr>
          <w:p w14:paraId="49D85905">
            <w:pPr>
              <w:pStyle w:val="42"/>
              <w:spacing w:before="120" w:line="540" w:lineRule="exact"/>
              <w:ind w:firstLine="480"/>
              <w:jc w:val="center"/>
              <w:rPr>
                <w:color w:val="auto"/>
              </w:rPr>
            </w:pPr>
          </w:p>
        </w:tc>
      </w:tr>
      <w:tr w14:paraId="5EC8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3083" w:type="dxa"/>
            <w:tcBorders>
              <w:top w:val="nil"/>
              <w:left w:val="nil"/>
              <w:bottom w:val="nil"/>
              <w:right w:val="nil"/>
            </w:tcBorders>
            <w:vAlign w:val="center"/>
          </w:tcPr>
          <w:p w14:paraId="06E5575F">
            <w:pPr>
              <w:pStyle w:val="42"/>
              <w:spacing w:beforeLines="0" w:line="240" w:lineRule="auto"/>
              <w:ind w:firstLine="0" w:firstLineChars="0"/>
              <w:jc w:val="distribute"/>
              <w:rPr>
                <w:color w:val="auto"/>
              </w:rPr>
            </w:pPr>
            <w:r>
              <w:rPr>
                <w:rFonts w:hint="eastAsia"/>
                <w:color w:val="auto"/>
              </w:rPr>
              <w:t>法定代表人（单位负责人）或其授权的代理人</w:t>
            </w:r>
          </w:p>
          <w:p w14:paraId="4D840C69">
            <w:pPr>
              <w:pStyle w:val="42"/>
              <w:spacing w:beforeLines="0" w:line="240" w:lineRule="auto"/>
              <w:ind w:firstLine="0" w:firstLineChars="0"/>
              <w:jc w:val="distribute"/>
              <w:rPr>
                <w:color w:val="auto"/>
              </w:rPr>
            </w:pPr>
            <w:r>
              <w:rPr>
                <w:rFonts w:hint="eastAsia"/>
                <w:color w:val="auto"/>
              </w:rPr>
              <w:t>（</w:t>
            </w:r>
            <w:r>
              <w:rPr>
                <w:rFonts w:hint="eastAsia"/>
                <w:color w:val="auto"/>
                <w:lang w:eastAsia="zh-CN"/>
              </w:rPr>
              <w:t>签字或盖章</w:t>
            </w:r>
            <w:r>
              <w:rPr>
                <w:rFonts w:hint="eastAsia"/>
                <w:color w:val="auto"/>
              </w:rPr>
              <w:t>）：</w:t>
            </w:r>
          </w:p>
        </w:tc>
        <w:tc>
          <w:tcPr>
            <w:tcW w:w="6441" w:type="dxa"/>
            <w:gridSpan w:val="3"/>
            <w:tcBorders>
              <w:top w:val="nil"/>
              <w:left w:val="nil"/>
              <w:bottom w:val="nil"/>
              <w:right w:val="nil"/>
            </w:tcBorders>
            <w:vAlign w:val="center"/>
          </w:tcPr>
          <w:p w14:paraId="32183152">
            <w:pPr>
              <w:pStyle w:val="42"/>
              <w:spacing w:before="120" w:line="540" w:lineRule="exact"/>
              <w:ind w:firstLine="480"/>
              <w:jc w:val="center"/>
              <w:rPr>
                <w:color w:val="auto"/>
              </w:rPr>
            </w:pPr>
          </w:p>
        </w:tc>
      </w:tr>
      <w:tr w14:paraId="56DC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0E891F8">
            <w:pPr>
              <w:pStyle w:val="42"/>
              <w:spacing w:beforeLines="0" w:line="240" w:lineRule="auto"/>
              <w:ind w:firstLine="0" w:firstLineChars="0"/>
              <w:jc w:val="distribute"/>
              <w:rPr>
                <w:color w:val="auto"/>
              </w:rPr>
            </w:pPr>
            <w:r>
              <w:rPr>
                <w:rFonts w:hint="eastAsia"/>
                <w:color w:val="auto"/>
              </w:rPr>
              <w:t>地        址：</w:t>
            </w:r>
          </w:p>
        </w:tc>
        <w:tc>
          <w:tcPr>
            <w:tcW w:w="6441" w:type="dxa"/>
            <w:gridSpan w:val="3"/>
            <w:tcBorders>
              <w:top w:val="nil"/>
              <w:left w:val="nil"/>
              <w:bottom w:val="nil"/>
              <w:right w:val="nil"/>
            </w:tcBorders>
            <w:vAlign w:val="center"/>
          </w:tcPr>
          <w:p w14:paraId="1B4ED94D">
            <w:pPr>
              <w:pStyle w:val="42"/>
              <w:spacing w:before="120" w:line="540" w:lineRule="exact"/>
              <w:ind w:firstLine="480"/>
              <w:jc w:val="center"/>
              <w:rPr>
                <w:color w:val="auto"/>
              </w:rPr>
            </w:pPr>
          </w:p>
        </w:tc>
      </w:tr>
      <w:tr w14:paraId="5706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C7F952A">
            <w:pPr>
              <w:pStyle w:val="42"/>
              <w:spacing w:beforeLines="0" w:line="240" w:lineRule="auto"/>
              <w:ind w:firstLine="0" w:firstLineChars="0"/>
              <w:jc w:val="distribute"/>
              <w:rPr>
                <w:color w:val="auto"/>
              </w:rPr>
            </w:pPr>
            <w:r>
              <w:rPr>
                <w:rFonts w:hint="eastAsia"/>
                <w:color w:val="auto"/>
              </w:rPr>
              <w:t>邮         编：</w:t>
            </w:r>
          </w:p>
        </w:tc>
        <w:tc>
          <w:tcPr>
            <w:tcW w:w="6441" w:type="dxa"/>
            <w:gridSpan w:val="3"/>
            <w:tcBorders>
              <w:top w:val="nil"/>
              <w:left w:val="nil"/>
              <w:bottom w:val="nil"/>
              <w:right w:val="nil"/>
            </w:tcBorders>
            <w:vAlign w:val="center"/>
          </w:tcPr>
          <w:p w14:paraId="3A15E7A2">
            <w:pPr>
              <w:pStyle w:val="42"/>
              <w:spacing w:before="120" w:line="540" w:lineRule="exact"/>
              <w:ind w:firstLine="480"/>
              <w:jc w:val="center"/>
              <w:rPr>
                <w:color w:val="auto"/>
              </w:rPr>
            </w:pPr>
          </w:p>
        </w:tc>
      </w:tr>
      <w:tr w14:paraId="0DCD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542CF2F8">
            <w:pPr>
              <w:pStyle w:val="42"/>
              <w:spacing w:beforeLines="0" w:line="240" w:lineRule="auto"/>
              <w:ind w:firstLine="0" w:firstLineChars="0"/>
              <w:jc w:val="distribute"/>
              <w:rPr>
                <w:color w:val="auto"/>
              </w:rPr>
            </w:pPr>
            <w:r>
              <w:rPr>
                <w:rFonts w:hint="eastAsia"/>
                <w:color w:val="auto"/>
              </w:rPr>
              <w:t>电        话：</w:t>
            </w:r>
          </w:p>
        </w:tc>
        <w:tc>
          <w:tcPr>
            <w:tcW w:w="6441" w:type="dxa"/>
            <w:gridSpan w:val="3"/>
            <w:tcBorders>
              <w:top w:val="nil"/>
              <w:left w:val="nil"/>
              <w:bottom w:val="nil"/>
              <w:right w:val="nil"/>
            </w:tcBorders>
            <w:vAlign w:val="center"/>
          </w:tcPr>
          <w:p w14:paraId="058F6D40">
            <w:pPr>
              <w:pStyle w:val="42"/>
              <w:spacing w:before="120" w:line="540" w:lineRule="exact"/>
              <w:ind w:firstLine="480"/>
              <w:jc w:val="center"/>
              <w:rPr>
                <w:color w:val="auto"/>
              </w:rPr>
            </w:pPr>
          </w:p>
        </w:tc>
      </w:tr>
      <w:tr w14:paraId="2CB7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69407ABF">
            <w:pPr>
              <w:pStyle w:val="42"/>
              <w:spacing w:beforeLines="0" w:line="240" w:lineRule="auto"/>
              <w:ind w:firstLine="0" w:firstLineChars="0"/>
              <w:jc w:val="distribute"/>
              <w:rPr>
                <w:color w:val="auto"/>
              </w:rPr>
            </w:pPr>
            <w:r>
              <w:rPr>
                <w:rFonts w:hint="eastAsia"/>
                <w:color w:val="auto"/>
              </w:rPr>
              <w:t>电 子 邮 箱：</w:t>
            </w:r>
          </w:p>
        </w:tc>
        <w:tc>
          <w:tcPr>
            <w:tcW w:w="6441" w:type="dxa"/>
            <w:gridSpan w:val="3"/>
            <w:tcBorders>
              <w:top w:val="nil"/>
              <w:left w:val="nil"/>
              <w:bottom w:val="nil"/>
              <w:right w:val="nil"/>
            </w:tcBorders>
            <w:vAlign w:val="center"/>
          </w:tcPr>
          <w:p w14:paraId="3B26FE23">
            <w:pPr>
              <w:pStyle w:val="42"/>
              <w:spacing w:before="120" w:line="540" w:lineRule="exact"/>
              <w:ind w:firstLine="480"/>
              <w:jc w:val="center"/>
              <w:rPr>
                <w:color w:val="auto"/>
              </w:rPr>
            </w:pPr>
          </w:p>
        </w:tc>
      </w:tr>
      <w:tr w14:paraId="451A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29289D6B">
            <w:pPr>
              <w:pStyle w:val="42"/>
              <w:spacing w:before="120" w:line="540" w:lineRule="exact"/>
              <w:ind w:firstLine="0" w:firstLineChars="0"/>
              <w:rPr>
                <w:color w:val="auto"/>
              </w:rPr>
            </w:pPr>
          </w:p>
        </w:tc>
        <w:tc>
          <w:tcPr>
            <w:tcW w:w="2654" w:type="dxa"/>
            <w:tcBorders>
              <w:top w:val="nil"/>
              <w:left w:val="nil"/>
              <w:bottom w:val="nil"/>
              <w:right w:val="nil"/>
            </w:tcBorders>
            <w:vAlign w:val="center"/>
          </w:tcPr>
          <w:p w14:paraId="17631AF5">
            <w:pPr>
              <w:pStyle w:val="42"/>
              <w:spacing w:before="120" w:line="540" w:lineRule="exact"/>
              <w:ind w:firstLine="0" w:firstLineChars="0"/>
              <w:jc w:val="center"/>
              <w:rPr>
                <w:color w:val="auto"/>
              </w:rPr>
            </w:pPr>
          </w:p>
        </w:tc>
        <w:tc>
          <w:tcPr>
            <w:tcW w:w="1185" w:type="dxa"/>
            <w:tcBorders>
              <w:top w:val="nil"/>
              <w:left w:val="nil"/>
              <w:bottom w:val="nil"/>
              <w:right w:val="nil"/>
            </w:tcBorders>
            <w:vAlign w:val="center"/>
          </w:tcPr>
          <w:p w14:paraId="0225644A">
            <w:pPr>
              <w:pStyle w:val="42"/>
              <w:spacing w:beforeLines="0" w:line="240" w:lineRule="auto"/>
              <w:ind w:firstLine="0" w:firstLineChars="0"/>
              <w:jc w:val="distribute"/>
              <w:rPr>
                <w:color w:val="auto"/>
              </w:rPr>
            </w:pPr>
            <w:r>
              <w:rPr>
                <w:rFonts w:hint="eastAsia"/>
                <w:color w:val="auto"/>
              </w:rPr>
              <w:t>日   期：</w:t>
            </w:r>
          </w:p>
        </w:tc>
        <w:tc>
          <w:tcPr>
            <w:tcW w:w="2602" w:type="dxa"/>
            <w:tcBorders>
              <w:top w:val="nil"/>
              <w:left w:val="nil"/>
              <w:bottom w:val="nil"/>
              <w:right w:val="nil"/>
            </w:tcBorders>
            <w:vAlign w:val="center"/>
          </w:tcPr>
          <w:p w14:paraId="04A0E31C">
            <w:pPr>
              <w:pStyle w:val="42"/>
              <w:spacing w:beforeLines="0" w:line="240" w:lineRule="auto"/>
              <w:ind w:firstLine="0" w:firstLineChars="0"/>
              <w:jc w:val="right"/>
              <w:rPr>
                <w:color w:val="auto"/>
              </w:rPr>
            </w:pPr>
            <w:r>
              <w:rPr>
                <w:rFonts w:hint="eastAsia"/>
                <w:color w:val="auto"/>
              </w:rPr>
              <w:t>年   月   日</w:t>
            </w:r>
          </w:p>
        </w:tc>
      </w:tr>
    </w:tbl>
    <w:p w14:paraId="39D9136A">
      <w:pPr>
        <w:pStyle w:val="42"/>
        <w:spacing w:before="120"/>
        <w:ind w:firstLine="480"/>
        <w:rPr>
          <w:color w:val="auto"/>
        </w:rPr>
      </w:pPr>
      <w:r>
        <w:rPr>
          <w:rFonts w:hint="eastAsia"/>
          <w:color w:val="auto"/>
        </w:rPr>
        <w:br w:type="page"/>
      </w:r>
    </w:p>
    <w:p w14:paraId="6E185B01">
      <w:pPr>
        <w:pStyle w:val="4"/>
        <w:rPr>
          <w:color w:val="auto"/>
        </w:rPr>
      </w:pPr>
      <w:bookmarkStart w:id="112" w:name="_Toc18576"/>
      <w:bookmarkStart w:id="113" w:name="_Toc22794"/>
      <w:r>
        <w:rPr>
          <w:rFonts w:hint="eastAsia"/>
          <w:color w:val="auto"/>
        </w:rPr>
        <w:t>二、开标一览表</w:t>
      </w:r>
      <w:bookmarkEnd w:id="112"/>
      <w:bookmarkEnd w:id="113"/>
    </w:p>
    <w:tbl>
      <w:tblPr>
        <w:tblStyle w:val="33"/>
        <w:tblpPr w:leftFromText="180" w:rightFromText="180" w:vertAnchor="text" w:horzAnchor="page" w:tblpX="1421" w:tblpY="284"/>
        <w:tblOverlap w:val="never"/>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2853"/>
        <w:gridCol w:w="1662"/>
        <w:gridCol w:w="3060"/>
      </w:tblGrid>
      <w:tr w14:paraId="7F85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3412D56A">
            <w:pPr>
              <w:pStyle w:val="16"/>
              <w:spacing w:after="0" w:line="240" w:lineRule="auto"/>
              <w:ind w:firstLine="0" w:firstLineChars="0"/>
              <w:jc w:val="distribute"/>
              <w:rPr>
                <w:rFonts w:ascii="宋体" w:hAnsi="宋体" w:cs="Times New Roman"/>
                <w:color w:val="auto"/>
                <w:sz w:val="24"/>
                <w:szCs w:val="21"/>
              </w:rPr>
            </w:pPr>
            <w:bookmarkStart w:id="114" w:name="_Toc2667"/>
            <w:bookmarkStart w:id="115" w:name="_Toc24040"/>
            <w:r>
              <w:rPr>
                <w:rFonts w:hint="eastAsia" w:ascii="宋体" w:hAnsi="宋体" w:cs="Times New Roman"/>
                <w:color w:val="auto"/>
                <w:sz w:val="24"/>
                <w:szCs w:val="21"/>
              </w:rPr>
              <w:t>采购代理编号：</w:t>
            </w:r>
          </w:p>
        </w:tc>
        <w:tc>
          <w:tcPr>
            <w:tcW w:w="2853" w:type="dxa"/>
            <w:tcBorders>
              <w:top w:val="nil"/>
              <w:left w:val="nil"/>
              <w:bottom w:val="nil"/>
              <w:right w:val="nil"/>
            </w:tcBorders>
            <w:vAlign w:val="center"/>
          </w:tcPr>
          <w:p w14:paraId="143A8DAC">
            <w:pPr>
              <w:pStyle w:val="16"/>
              <w:ind w:firstLine="480"/>
              <w:jc w:val="center"/>
              <w:rPr>
                <w:rFonts w:ascii="宋体" w:hAnsi="宋体" w:cs="Times New Roman"/>
                <w:color w:val="auto"/>
                <w:sz w:val="24"/>
                <w:szCs w:val="21"/>
              </w:rPr>
            </w:pPr>
          </w:p>
        </w:tc>
        <w:tc>
          <w:tcPr>
            <w:tcW w:w="1662" w:type="dxa"/>
            <w:tcBorders>
              <w:top w:val="nil"/>
              <w:left w:val="nil"/>
              <w:bottom w:val="nil"/>
              <w:right w:val="nil"/>
            </w:tcBorders>
            <w:vAlign w:val="center"/>
          </w:tcPr>
          <w:p w14:paraId="7F129AF1">
            <w:pPr>
              <w:pStyle w:val="16"/>
              <w:spacing w:after="0" w:line="240" w:lineRule="auto"/>
              <w:ind w:firstLine="0" w:firstLineChars="0"/>
              <w:jc w:val="distribute"/>
              <w:rPr>
                <w:rFonts w:ascii="宋体" w:hAnsi="宋体" w:cs="Times New Roman"/>
                <w:color w:val="auto"/>
                <w:sz w:val="24"/>
                <w:szCs w:val="21"/>
              </w:rPr>
            </w:pPr>
            <w:r>
              <w:rPr>
                <w:rFonts w:hint="eastAsia" w:ascii="宋体" w:hAnsi="宋体" w:cs="Times New Roman"/>
                <w:color w:val="auto"/>
                <w:sz w:val="24"/>
                <w:szCs w:val="21"/>
              </w:rPr>
              <w:t>项目名称：</w:t>
            </w:r>
          </w:p>
        </w:tc>
        <w:tc>
          <w:tcPr>
            <w:tcW w:w="3060" w:type="dxa"/>
            <w:tcBorders>
              <w:top w:val="nil"/>
              <w:left w:val="nil"/>
              <w:bottom w:val="nil"/>
              <w:right w:val="nil"/>
            </w:tcBorders>
            <w:vAlign w:val="center"/>
          </w:tcPr>
          <w:p w14:paraId="01717858">
            <w:pPr>
              <w:pStyle w:val="16"/>
              <w:ind w:firstLine="480"/>
              <w:jc w:val="center"/>
              <w:rPr>
                <w:rFonts w:ascii="宋体" w:hAnsi="宋体" w:cs="Times New Roman"/>
                <w:color w:val="auto"/>
                <w:sz w:val="24"/>
                <w:szCs w:val="21"/>
              </w:rPr>
            </w:pPr>
          </w:p>
        </w:tc>
      </w:tr>
      <w:tr w14:paraId="7BFF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21DE8098">
            <w:pPr>
              <w:pStyle w:val="16"/>
              <w:spacing w:after="0" w:line="240" w:lineRule="auto"/>
              <w:ind w:firstLine="0" w:firstLineChars="0"/>
              <w:jc w:val="distribute"/>
              <w:rPr>
                <w:rFonts w:ascii="宋体" w:hAnsi="宋体" w:cs="Times New Roman"/>
                <w:color w:val="auto"/>
                <w:sz w:val="24"/>
                <w:szCs w:val="21"/>
              </w:rPr>
            </w:pPr>
            <w:r>
              <w:rPr>
                <w:rFonts w:hint="eastAsia" w:ascii="宋体" w:hAnsi="宋体" w:cs="Times New Roman"/>
                <w:color w:val="auto"/>
                <w:sz w:val="24"/>
                <w:szCs w:val="21"/>
              </w:rPr>
              <w:t>包        号：</w:t>
            </w:r>
          </w:p>
        </w:tc>
        <w:tc>
          <w:tcPr>
            <w:tcW w:w="2853" w:type="dxa"/>
            <w:tcBorders>
              <w:top w:val="nil"/>
              <w:left w:val="nil"/>
              <w:bottom w:val="nil"/>
              <w:right w:val="nil"/>
            </w:tcBorders>
            <w:vAlign w:val="center"/>
          </w:tcPr>
          <w:p w14:paraId="49575BC6">
            <w:pPr>
              <w:pStyle w:val="16"/>
              <w:ind w:firstLine="480"/>
              <w:jc w:val="center"/>
              <w:rPr>
                <w:rFonts w:ascii="宋体" w:hAnsi="宋体" w:cs="Times New Roman"/>
                <w:color w:val="auto"/>
                <w:sz w:val="24"/>
                <w:szCs w:val="21"/>
              </w:rPr>
            </w:pPr>
          </w:p>
        </w:tc>
        <w:tc>
          <w:tcPr>
            <w:tcW w:w="1662" w:type="dxa"/>
            <w:tcBorders>
              <w:top w:val="nil"/>
              <w:left w:val="nil"/>
              <w:bottom w:val="nil"/>
              <w:right w:val="nil"/>
            </w:tcBorders>
            <w:vAlign w:val="center"/>
          </w:tcPr>
          <w:p w14:paraId="28D16FD5">
            <w:pPr>
              <w:pStyle w:val="16"/>
              <w:spacing w:after="0" w:line="240" w:lineRule="auto"/>
              <w:ind w:firstLine="0" w:firstLineChars="0"/>
              <w:jc w:val="distribute"/>
              <w:rPr>
                <w:rFonts w:ascii="宋体" w:hAnsi="宋体" w:cs="Times New Roman"/>
                <w:color w:val="auto"/>
                <w:sz w:val="24"/>
                <w:szCs w:val="21"/>
              </w:rPr>
            </w:pPr>
            <w:r>
              <w:rPr>
                <w:rFonts w:hint="eastAsia" w:ascii="宋体" w:hAnsi="宋体" w:cs="Times New Roman"/>
                <w:color w:val="auto"/>
                <w:sz w:val="24"/>
                <w:szCs w:val="21"/>
              </w:rPr>
              <w:t>包名称：</w:t>
            </w:r>
          </w:p>
        </w:tc>
        <w:tc>
          <w:tcPr>
            <w:tcW w:w="3060" w:type="dxa"/>
            <w:tcBorders>
              <w:top w:val="nil"/>
              <w:left w:val="nil"/>
              <w:bottom w:val="nil"/>
              <w:right w:val="nil"/>
            </w:tcBorders>
            <w:vAlign w:val="center"/>
          </w:tcPr>
          <w:p w14:paraId="36519F28">
            <w:pPr>
              <w:pStyle w:val="16"/>
              <w:ind w:firstLine="480"/>
              <w:jc w:val="center"/>
              <w:rPr>
                <w:rFonts w:ascii="宋体" w:hAnsi="宋体" w:cs="Times New Roman"/>
                <w:color w:val="auto"/>
                <w:sz w:val="24"/>
                <w:szCs w:val="21"/>
              </w:rPr>
            </w:pPr>
          </w:p>
        </w:tc>
      </w:tr>
    </w:tbl>
    <w:p w14:paraId="56A993C8">
      <w:pPr>
        <w:rPr>
          <w:color w:val="auto"/>
        </w:rPr>
      </w:pPr>
    </w:p>
    <w:tbl>
      <w:tblPr>
        <w:tblStyle w:val="33"/>
        <w:tblpPr w:leftFromText="180" w:rightFromText="180" w:vertAnchor="text" w:horzAnchor="page" w:tblpX="1216" w:tblpY="56"/>
        <w:tblOverlap w:val="never"/>
        <w:tblW w:w="485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439"/>
        <w:gridCol w:w="2815"/>
        <w:gridCol w:w="2324"/>
      </w:tblGrid>
      <w:tr w14:paraId="361B8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2317" w:type="pct"/>
            <w:vAlign w:val="center"/>
          </w:tcPr>
          <w:p w14:paraId="47756A67">
            <w:pPr>
              <w:widowControl w:val="0"/>
              <w:spacing w:line="240" w:lineRule="exact"/>
              <w:jc w:val="center"/>
              <w:rPr>
                <w:rFonts w:ascii="Times New Roman" w:hAnsi="Times New Roman" w:eastAsia="微软雅黑" w:cs="Times New Roman"/>
                <w:b/>
                <w:color w:val="auto"/>
                <w:kern w:val="2"/>
                <w:sz w:val="20"/>
                <w:szCs w:val="20"/>
                <w:lang w:val="en-US" w:eastAsia="zh-CN" w:bidi="ar-SA"/>
              </w:rPr>
            </w:pPr>
            <w:r>
              <w:rPr>
                <w:rFonts w:hint="eastAsia" w:ascii="Times New Roman" w:hAnsi="Times New Roman" w:eastAsia="微软雅黑" w:cs="Times New Roman"/>
                <w:b/>
                <w:color w:val="auto"/>
                <w:kern w:val="2"/>
                <w:sz w:val="20"/>
                <w:szCs w:val="20"/>
                <w:lang w:val="en-US" w:eastAsia="zh-CN" w:bidi="ar-SA"/>
              </w:rPr>
              <w:t>投标报价</w:t>
            </w:r>
          </w:p>
        </w:tc>
        <w:tc>
          <w:tcPr>
            <w:tcW w:w="1469" w:type="pct"/>
            <w:vAlign w:val="center"/>
          </w:tcPr>
          <w:p w14:paraId="3CF67AF7">
            <w:pPr>
              <w:widowControl w:val="0"/>
              <w:spacing w:line="240" w:lineRule="exact"/>
              <w:jc w:val="center"/>
              <w:rPr>
                <w:rFonts w:ascii="Times New Roman" w:hAnsi="Times New Roman" w:eastAsia="微软雅黑" w:cs="Times New Roman"/>
                <w:b/>
                <w:color w:val="auto"/>
                <w:kern w:val="2"/>
                <w:sz w:val="20"/>
                <w:szCs w:val="20"/>
                <w:lang w:val="en-US" w:eastAsia="zh-CN" w:bidi="ar-SA"/>
              </w:rPr>
            </w:pPr>
            <w:r>
              <w:rPr>
                <w:rFonts w:hint="eastAsia" w:ascii="Times New Roman" w:hAnsi="Times New Roman" w:eastAsia="微软雅黑" w:cs="Times New Roman"/>
                <w:b/>
                <w:bCs/>
                <w:color w:val="auto"/>
                <w:kern w:val="2"/>
                <w:sz w:val="20"/>
                <w:szCs w:val="20"/>
                <w:lang w:val="en-US" w:eastAsia="zh-CN" w:bidi="ar-SA"/>
              </w:rPr>
              <w:t>交货期限</w:t>
            </w:r>
          </w:p>
        </w:tc>
        <w:tc>
          <w:tcPr>
            <w:tcW w:w="1213" w:type="pct"/>
            <w:vAlign w:val="center"/>
          </w:tcPr>
          <w:p w14:paraId="7D885429">
            <w:pPr>
              <w:widowControl w:val="0"/>
              <w:spacing w:line="240" w:lineRule="exact"/>
              <w:jc w:val="center"/>
              <w:rPr>
                <w:rFonts w:ascii="Times New Roman" w:hAnsi="Times New Roman" w:eastAsia="微软雅黑" w:cs="Times New Roman"/>
                <w:b/>
                <w:color w:val="auto"/>
                <w:kern w:val="2"/>
                <w:sz w:val="20"/>
                <w:szCs w:val="20"/>
                <w:lang w:val="en-US" w:eastAsia="zh-CN" w:bidi="ar-SA"/>
              </w:rPr>
            </w:pPr>
            <w:r>
              <w:rPr>
                <w:rFonts w:hint="eastAsia" w:ascii="Times New Roman" w:hAnsi="Times New Roman" w:eastAsia="微软雅黑" w:cs="Times New Roman"/>
                <w:b/>
                <w:color w:val="auto"/>
                <w:kern w:val="2"/>
                <w:sz w:val="20"/>
                <w:szCs w:val="20"/>
                <w:lang w:val="en-US" w:eastAsia="zh-CN" w:bidi="ar-SA"/>
              </w:rPr>
              <w:t>项目负责人及联系电话</w:t>
            </w:r>
          </w:p>
        </w:tc>
      </w:tr>
      <w:tr w14:paraId="412229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25" w:hRule="atLeast"/>
        </w:trPr>
        <w:tc>
          <w:tcPr>
            <w:tcW w:w="2317" w:type="pct"/>
            <w:vAlign w:val="center"/>
          </w:tcPr>
          <w:p w14:paraId="247D528E">
            <w:pPr>
              <w:adjustRightInd w:val="0"/>
              <w:snapToGrid w:val="0"/>
              <w:spacing w:line="360" w:lineRule="auto"/>
              <w:jc w:val="center"/>
              <w:rPr>
                <w:rFonts w:ascii="宋体" w:hAnsi="宋体" w:eastAsia="宋体" w:cs="宋体"/>
                <w:color w:val="auto"/>
                <w:kern w:val="0"/>
                <w:sz w:val="22"/>
              </w:rPr>
            </w:pPr>
            <w:r>
              <w:rPr>
                <w:rFonts w:hint="eastAsia" w:ascii="宋体" w:hAnsi="宋体" w:eastAsia="宋体" w:cs="宋体"/>
                <w:color w:val="auto"/>
                <w:kern w:val="0"/>
                <w:sz w:val="22"/>
              </w:rPr>
              <w:t>小写金额：</w:t>
            </w:r>
            <w:r>
              <w:rPr>
                <w:rFonts w:hint="eastAsia" w:ascii="宋体" w:hAnsi="宋体" w:eastAsia="宋体" w:cs="宋体"/>
                <w:color w:val="auto"/>
                <w:kern w:val="0"/>
                <w:sz w:val="22"/>
                <w:u w:val="single"/>
              </w:rPr>
              <w:t xml:space="preserve">               </w:t>
            </w:r>
            <w:r>
              <w:rPr>
                <w:rFonts w:hint="eastAsia" w:ascii="宋体" w:hAnsi="宋体" w:eastAsia="宋体" w:cs="宋体"/>
                <w:color w:val="auto"/>
                <w:kern w:val="0"/>
                <w:sz w:val="22"/>
              </w:rPr>
              <w:t>（人民币元）</w:t>
            </w:r>
          </w:p>
          <w:p w14:paraId="74AD4B78">
            <w:pPr>
              <w:adjustRightInd w:val="0"/>
              <w:snapToGrid w:val="0"/>
              <w:spacing w:line="360" w:lineRule="auto"/>
              <w:jc w:val="center"/>
              <w:rPr>
                <w:rFonts w:ascii="宋体" w:hAnsi="宋体" w:eastAsia="宋体" w:cs="宋体"/>
                <w:color w:val="auto"/>
                <w:kern w:val="0"/>
                <w:sz w:val="22"/>
                <w:u w:val="single"/>
              </w:rPr>
            </w:pPr>
            <w:r>
              <w:rPr>
                <w:rFonts w:hint="eastAsia" w:ascii="宋体" w:hAnsi="宋体" w:eastAsia="宋体" w:cs="宋体"/>
                <w:color w:val="auto"/>
                <w:kern w:val="0"/>
                <w:sz w:val="22"/>
              </w:rPr>
              <w:t>大写金额：</w:t>
            </w:r>
            <w:r>
              <w:rPr>
                <w:rFonts w:hint="eastAsia" w:ascii="宋体" w:hAnsi="宋体" w:eastAsia="宋体" w:cs="宋体"/>
                <w:color w:val="auto"/>
                <w:kern w:val="0"/>
                <w:sz w:val="22"/>
                <w:u w:val="single"/>
              </w:rPr>
              <w:t xml:space="preserve">                </w:t>
            </w:r>
            <w:r>
              <w:rPr>
                <w:rFonts w:hint="eastAsia" w:ascii="宋体" w:hAnsi="宋体" w:eastAsia="宋体" w:cs="宋体"/>
                <w:color w:val="auto"/>
                <w:kern w:val="0"/>
                <w:sz w:val="22"/>
              </w:rPr>
              <w:t>（人民币元）</w:t>
            </w:r>
          </w:p>
          <w:p w14:paraId="6956242E">
            <w:pPr>
              <w:widowControl w:val="0"/>
              <w:spacing w:line="300" w:lineRule="exact"/>
              <w:jc w:val="center"/>
              <w:rPr>
                <w:rFonts w:ascii="Times New Roman" w:hAnsi="Times New Roman" w:eastAsia="微软雅黑" w:cs="Times New Roman"/>
                <w:color w:val="auto"/>
                <w:kern w:val="2"/>
                <w:sz w:val="21"/>
                <w:szCs w:val="24"/>
                <w:lang w:val="en-US" w:eastAsia="zh-CN" w:bidi="ar-SA"/>
              </w:rPr>
            </w:pPr>
            <w:r>
              <w:rPr>
                <w:rFonts w:hint="eastAsia" w:ascii="宋体" w:hAnsi="宋体" w:eastAsia="宋体" w:cs="宋体"/>
                <w:color w:val="auto"/>
                <w:kern w:val="0"/>
                <w:sz w:val="22"/>
                <w:szCs w:val="22"/>
                <w:lang w:val="en-US" w:eastAsia="zh-CN" w:bidi="ar-SA"/>
              </w:rPr>
              <w:t>（大写金额与小写金额不一致时，以大写金额为准）</w:t>
            </w:r>
          </w:p>
        </w:tc>
        <w:tc>
          <w:tcPr>
            <w:tcW w:w="1469" w:type="pct"/>
            <w:vAlign w:val="center"/>
          </w:tcPr>
          <w:p w14:paraId="09AD8B95">
            <w:pPr>
              <w:widowControl w:val="0"/>
              <w:spacing w:line="300" w:lineRule="exact"/>
              <w:jc w:val="center"/>
              <w:rPr>
                <w:rFonts w:ascii="Times New Roman" w:hAnsi="Times New Roman" w:eastAsia="微软雅黑" w:cs="Times New Roman"/>
                <w:color w:val="auto"/>
                <w:kern w:val="2"/>
                <w:sz w:val="21"/>
                <w:szCs w:val="24"/>
                <w:lang w:val="en-US" w:eastAsia="zh-CN" w:bidi="ar-SA"/>
              </w:rPr>
            </w:pPr>
          </w:p>
        </w:tc>
        <w:tc>
          <w:tcPr>
            <w:tcW w:w="1213" w:type="pct"/>
            <w:vAlign w:val="center"/>
          </w:tcPr>
          <w:p w14:paraId="57814C61">
            <w:pPr>
              <w:widowControl w:val="0"/>
              <w:spacing w:line="300" w:lineRule="exact"/>
              <w:jc w:val="center"/>
              <w:rPr>
                <w:rFonts w:ascii="Times New Roman" w:hAnsi="Times New Roman" w:eastAsia="微软雅黑" w:cs="Times New Roman"/>
                <w:color w:val="auto"/>
                <w:kern w:val="2"/>
                <w:sz w:val="21"/>
                <w:szCs w:val="24"/>
                <w:lang w:val="en-US" w:eastAsia="zh-CN" w:bidi="ar-SA"/>
              </w:rPr>
            </w:pPr>
          </w:p>
        </w:tc>
      </w:tr>
    </w:tbl>
    <w:p w14:paraId="36EE609E">
      <w:pPr>
        <w:pStyle w:val="42"/>
        <w:spacing w:before="120"/>
        <w:ind w:firstLine="0" w:firstLineChars="0"/>
        <w:rPr>
          <w:color w:val="auto"/>
        </w:rPr>
      </w:pP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0AE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0D378E4E">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278FA9A3">
            <w:pPr>
              <w:pStyle w:val="42"/>
              <w:spacing w:before="120" w:line="540" w:lineRule="exact"/>
              <w:ind w:firstLine="480"/>
              <w:jc w:val="center"/>
              <w:rPr>
                <w:color w:val="auto"/>
              </w:rPr>
            </w:pPr>
          </w:p>
        </w:tc>
      </w:tr>
      <w:tr w14:paraId="6B72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9026F5A">
            <w:pPr>
              <w:pStyle w:val="42"/>
              <w:spacing w:beforeLines="0" w:line="240" w:lineRule="auto"/>
              <w:ind w:firstLine="0" w:firstLineChars="0"/>
              <w:jc w:val="distribute"/>
              <w:rPr>
                <w:color w:val="auto"/>
              </w:rPr>
            </w:pPr>
            <w:r>
              <w:rPr>
                <w:rFonts w:hint="eastAsia"/>
                <w:color w:val="auto"/>
              </w:rPr>
              <w:t>法定代表人（单位负责人）</w:t>
            </w:r>
          </w:p>
        </w:tc>
        <w:tc>
          <w:tcPr>
            <w:tcW w:w="5913" w:type="dxa"/>
            <w:gridSpan w:val="3"/>
            <w:tcBorders>
              <w:top w:val="nil"/>
              <w:left w:val="nil"/>
              <w:bottom w:val="nil"/>
              <w:right w:val="nil"/>
            </w:tcBorders>
            <w:vAlign w:val="center"/>
          </w:tcPr>
          <w:p w14:paraId="57FC8D45">
            <w:pPr>
              <w:pStyle w:val="42"/>
              <w:spacing w:before="120" w:line="540" w:lineRule="exact"/>
              <w:ind w:firstLine="480"/>
              <w:jc w:val="center"/>
              <w:rPr>
                <w:color w:val="auto"/>
              </w:rPr>
            </w:pPr>
          </w:p>
        </w:tc>
      </w:tr>
      <w:tr w14:paraId="32AE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2C7205CA">
            <w:pPr>
              <w:pStyle w:val="42"/>
              <w:spacing w:beforeLines="0" w:line="240" w:lineRule="auto"/>
              <w:ind w:firstLine="0" w:firstLineChars="0"/>
              <w:jc w:val="distribute"/>
              <w:rPr>
                <w:color w:val="auto"/>
              </w:rPr>
            </w:pPr>
            <w:r>
              <w:rPr>
                <w:rFonts w:hint="eastAsia"/>
                <w:color w:val="auto"/>
              </w:rPr>
              <w:t>或其授权的代理人（</w:t>
            </w:r>
            <w:r>
              <w:rPr>
                <w:rFonts w:hint="eastAsia"/>
                <w:color w:val="auto"/>
                <w:lang w:eastAsia="zh-CN"/>
              </w:rPr>
              <w:t>签字或盖章</w:t>
            </w:r>
            <w:r>
              <w:rPr>
                <w:rFonts w:hint="eastAsia"/>
                <w:color w:val="auto"/>
              </w:rPr>
              <w:t>）：</w:t>
            </w:r>
          </w:p>
        </w:tc>
        <w:tc>
          <w:tcPr>
            <w:tcW w:w="5913" w:type="dxa"/>
            <w:gridSpan w:val="3"/>
            <w:tcBorders>
              <w:top w:val="nil"/>
              <w:left w:val="nil"/>
              <w:bottom w:val="nil"/>
              <w:right w:val="nil"/>
            </w:tcBorders>
            <w:vAlign w:val="center"/>
          </w:tcPr>
          <w:p w14:paraId="05209EE1">
            <w:pPr>
              <w:pStyle w:val="42"/>
              <w:spacing w:before="120" w:line="540" w:lineRule="exact"/>
              <w:ind w:firstLine="480"/>
              <w:jc w:val="center"/>
              <w:rPr>
                <w:color w:val="auto"/>
              </w:rPr>
            </w:pPr>
          </w:p>
        </w:tc>
      </w:tr>
      <w:tr w14:paraId="3D35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4C0CE264">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5CB7F37E">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76AAAD9C">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613C8590">
            <w:pPr>
              <w:pStyle w:val="42"/>
              <w:spacing w:beforeLines="0" w:line="240" w:lineRule="auto"/>
              <w:ind w:firstLine="0" w:firstLineChars="0"/>
              <w:jc w:val="right"/>
              <w:rPr>
                <w:color w:val="auto"/>
              </w:rPr>
            </w:pPr>
            <w:r>
              <w:rPr>
                <w:rFonts w:hint="eastAsia"/>
                <w:color w:val="auto"/>
              </w:rPr>
              <w:t>年   月   日</w:t>
            </w:r>
          </w:p>
        </w:tc>
      </w:tr>
    </w:tbl>
    <w:p w14:paraId="02CC7DFD">
      <w:pPr>
        <w:rPr>
          <w:color w:val="auto"/>
        </w:rPr>
      </w:pPr>
      <w:r>
        <w:rPr>
          <w:rFonts w:hint="eastAsia"/>
          <w:color w:val="auto"/>
        </w:rPr>
        <w:br w:type="page"/>
      </w:r>
    </w:p>
    <w:p w14:paraId="20133F01">
      <w:pPr>
        <w:pStyle w:val="4"/>
        <w:rPr>
          <w:color w:val="auto"/>
        </w:rPr>
      </w:pPr>
      <w:r>
        <w:rPr>
          <w:rFonts w:hint="eastAsia"/>
          <w:color w:val="auto"/>
        </w:rPr>
        <w:t>三、授权委托书（格式）</w:t>
      </w:r>
      <w:bookmarkEnd w:id="114"/>
      <w:bookmarkEnd w:id="115"/>
    </w:p>
    <w:p w14:paraId="0E7B6AEA">
      <w:pPr>
        <w:pStyle w:val="42"/>
        <w:spacing w:before="120"/>
        <w:ind w:firstLine="720" w:firstLineChars="300"/>
        <w:rPr>
          <w:color w:val="auto"/>
        </w:rPr>
      </w:pPr>
      <w:r>
        <w:rPr>
          <w:rFonts w:hint="eastAsia"/>
          <w:bCs/>
          <w:color w:val="auto"/>
        </w:rPr>
        <w:t xml:space="preserve">本人 </w:t>
      </w:r>
      <w:r>
        <w:rPr>
          <w:rFonts w:hint="eastAsia"/>
          <w:bCs/>
          <w:color w:val="auto"/>
          <w:u w:val="single"/>
        </w:rPr>
        <w:t xml:space="preserve">         </w:t>
      </w:r>
      <w:r>
        <w:rPr>
          <w:rFonts w:hint="eastAsia"/>
          <w:bCs/>
          <w:color w:val="auto"/>
        </w:rPr>
        <w:t xml:space="preserve">（姓名、职务）系 </w:t>
      </w:r>
      <w:r>
        <w:rPr>
          <w:rFonts w:hint="eastAsia"/>
          <w:bCs/>
          <w:color w:val="auto"/>
          <w:u w:val="single"/>
        </w:rPr>
        <w:t xml:space="preserve">                        </w:t>
      </w:r>
      <w:r>
        <w:rPr>
          <w:rFonts w:hint="eastAsia"/>
          <w:bCs/>
          <w:color w:val="auto"/>
        </w:rPr>
        <w:t>（</w:t>
      </w:r>
      <w:r>
        <w:rPr>
          <w:rFonts w:hint="eastAsia"/>
          <w:color w:val="auto"/>
        </w:rPr>
        <w:t>供应商名称）的法定代表人（单位负责人），现授权</w:t>
      </w:r>
      <w:r>
        <w:rPr>
          <w:rFonts w:hint="eastAsia"/>
          <w:color w:val="auto"/>
          <w:u w:val="single"/>
        </w:rPr>
        <w:t xml:space="preserve">          </w:t>
      </w:r>
      <w:r>
        <w:rPr>
          <w:rFonts w:hint="eastAsia"/>
          <w:color w:val="auto"/>
        </w:rPr>
        <w:t>（姓名、职务）为我方代理人。代理人根据授权，以我方名义：（1）签署、澄清、补正、修改、撤回、提交</w:t>
      </w:r>
      <w:r>
        <w:rPr>
          <w:rFonts w:hint="eastAsia"/>
          <w:color w:val="auto"/>
          <w:u w:val="single"/>
        </w:rPr>
        <w:t xml:space="preserve">                     </w:t>
      </w:r>
      <w:r>
        <w:rPr>
          <w:rFonts w:hint="eastAsia"/>
          <w:color w:val="auto"/>
        </w:rPr>
        <w:t>（项目名称、采购代理编号）投标文件；（2）签署并重新提交投标文件；（3）退出投标（如可能）；（4）签订合同和处理有关事宜，其法律后果由我方承担。</w:t>
      </w:r>
    </w:p>
    <w:p w14:paraId="47D78937">
      <w:pPr>
        <w:pStyle w:val="42"/>
        <w:spacing w:before="120"/>
        <w:ind w:firstLine="720" w:firstLineChars="300"/>
        <w:rPr>
          <w:color w:val="auto"/>
        </w:rPr>
      </w:pPr>
      <w:r>
        <w:rPr>
          <w:rFonts w:hint="eastAsia"/>
          <w:color w:val="auto"/>
        </w:rPr>
        <w:t>委托期限：</w:t>
      </w:r>
      <w:r>
        <w:rPr>
          <w:rFonts w:hint="eastAsia"/>
          <w:color w:val="auto"/>
          <w:u w:val="single"/>
        </w:rPr>
        <w:t xml:space="preserve">                                      </w:t>
      </w:r>
      <w:r>
        <w:rPr>
          <w:rFonts w:hint="eastAsia"/>
          <w:color w:val="auto"/>
        </w:rPr>
        <w:t>。</w:t>
      </w:r>
    </w:p>
    <w:p w14:paraId="458657EA">
      <w:pPr>
        <w:pStyle w:val="42"/>
        <w:spacing w:before="120"/>
        <w:ind w:firstLine="720" w:firstLineChars="300"/>
        <w:rPr>
          <w:color w:val="auto"/>
        </w:rPr>
      </w:pPr>
      <w:r>
        <w:rPr>
          <w:rFonts w:hint="eastAsia"/>
          <w:color w:val="auto"/>
        </w:rPr>
        <w:t>代理人无转委托权。</w:t>
      </w:r>
    </w:p>
    <w:p w14:paraId="0089F56B">
      <w:pPr>
        <w:pStyle w:val="42"/>
        <w:spacing w:before="120"/>
        <w:ind w:firstLine="720" w:firstLineChars="300"/>
        <w:rPr>
          <w:color w:val="auto"/>
        </w:rPr>
      </w:pPr>
      <w:r>
        <w:rPr>
          <w:rFonts w:hint="eastAsia"/>
          <w:color w:val="auto"/>
        </w:rPr>
        <w:t>本授权书于</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r>
        <w:rPr>
          <w:rFonts w:hint="eastAsia"/>
          <w:color w:val="auto"/>
          <w:lang w:val="en-US" w:eastAsia="zh-CN"/>
        </w:rPr>
        <w:t>盖章</w:t>
      </w:r>
      <w:r>
        <w:rPr>
          <w:rFonts w:hint="eastAsia"/>
          <w:color w:val="auto"/>
        </w:rPr>
        <w:t>生效，特此声明。</w:t>
      </w:r>
    </w:p>
    <w:p w14:paraId="19DC3B6E">
      <w:pPr>
        <w:pStyle w:val="42"/>
        <w:spacing w:before="120"/>
        <w:ind w:firstLine="720" w:firstLineChars="300"/>
        <w:rPr>
          <w:color w:val="auto"/>
          <w:u w:val="single"/>
        </w:rPr>
      </w:pPr>
      <w:r>
        <w:rPr>
          <w:rFonts w:hint="eastAsia"/>
          <w:color w:val="auto"/>
        </w:rPr>
        <w:t>授权代表联系方式：</w:t>
      </w:r>
      <w:r>
        <w:rPr>
          <w:rFonts w:hint="eastAsia"/>
          <w:color w:val="auto"/>
          <w:u w:val="single"/>
        </w:rPr>
        <w:t xml:space="preserve">               （请填写手机号码）</w:t>
      </w:r>
    </w:p>
    <w:tbl>
      <w:tblPr>
        <w:tblStyle w:val="32"/>
        <w:tblpPr w:leftFromText="180" w:rightFromText="180" w:vertAnchor="text" w:horzAnchor="page" w:tblpX="1522" w:tblpY="368"/>
        <w:tblOverlap w:val="never"/>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8"/>
        <w:gridCol w:w="4580"/>
      </w:tblGrid>
      <w:tr w14:paraId="4E8E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4768" w:type="dxa"/>
            <w:shd w:val="clear" w:color="auto" w:fill="auto"/>
            <w:vAlign w:val="center"/>
          </w:tcPr>
          <w:p w14:paraId="4665D6AE">
            <w:pPr>
              <w:adjustRightInd w:val="0"/>
              <w:snapToGrid w:val="0"/>
              <w:spacing w:before="120" w:beforeLines="50" w:line="360" w:lineRule="auto"/>
              <w:jc w:val="center"/>
              <w:rPr>
                <w:rFonts w:ascii="宋体" w:hAnsi="宋体" w:eastAsia="宋体" w:cs="Times New Roman"/>
                <w:color w:val="auto"/>
                <w:sz w:val="24"/>
                <w:szCs w:val="21"/>
              </w:rPr>
            </w:pPr>
            <w:r>
              <w:rPr>
                <w:rFonts w:hint="eastAsia" w:ascii="宋体" w:hAnsi="宋体" w:eastAsia="宋体" w:cs="Times New Roman"/>
                <w:color w:val="auto"/>
                <w:sz w:val="24"/>
                <w:szCs w:val="21"/>
              </w:rPr>
              <w:t>身份证（正面）</w:t>
            </w:r>
            <w:r>
              <w:rPr>
                <w:rFonts w:hint="eastAsia" w:ascii="宋体" w:hAnsi="宋体" w:eastAsia="宋体" w:cs="微软雅黑"/>
                <w:color w:val="auto"/>
                <w:spacing w:val="-2"/>
                <w:kern w:val="0"/>
                <w:sz w:val="24"/>
                <w:szCs w:val="21"/>
              </w:rPr>
              <w:t>复</w:t>
            </w:r>
            <w:r>
              <w:rPr>
                <w:rFonts w:hint="eastAsia" w:ascii="宋体" w:hAnsi="宋体" w:eastAsia="宋体" w:cs="微软雅黑"/>
                <w:color w:val="auto"/>
                <w:kern w:val="0"/>
                <w:sz w:val="24"/>
                <w:szCs w:val="21"/>
              </w:rPr>
              <w:t>印</w:t>
            </w:r>
            <w:r>
              <w:rPr>
                <w:rFonts w:hint="eastAsia" w:ascii="宋体" w:hAnsi="宋体" w:eastAsia="宋体" w:cs="微软雅黑"/>
                <w:color w:val="auto"/>
                <w:spacing w:val="-2"/>
                <w:kern w:val="0"/>
                <w:sz w:val="24"/>
                <w:szCs w:val="21"/>
              </w:rPr>
              <w:t>件</w:t>
            </w:r>
          </w:p>
        </w:tc>
        <w:tc>
          <w:tcPr>
            <w:tcW w:w="4580" w:type="dxa"/>
            <w:shd w:val="clear" w:color="auto" w:fill="auto"/>
            <w:vAlign w:val="center"/>
          </w:tcPr>
          <w:p w14:paraId="023E362F">
            <w:pPr>
              <w:adjustRightInd w:val="0"/>
              <w:snapToGrid w:val="0"/>
              <w:spacing w:before="120" w:beforeLines="50" w:line="360" w:lineRule="auto"/>
              <w:jc w:val="center"/>
              <w:rPr>
                <w:rFonts w:ascii="宋体" w:hAnsi="宋体" w:eastAsia="宋体" w:cs="Times New Roman"/>
                <w:color w:val="auto"/>
                <w:sz w:val="24"/>
                <w:szCs w:val="21"/>
              </w:rPr>
            </w:pPr>
            <w:r>
              <w:rPr>
                <w:rFonts w:hint="eastAsia" w:ascii="宋体" w:hAnsi="宋体" w:eastAsia="宋体" w:cs="Times New Roman"/>
                <w:color w:val="auto"/>
                <w:sz w:val="24"/>
                <w:szCs w:val="21"/>
              </w:rPr>
              <w:t>身份证（反面）</w:t>
            </w:r>
            <w:r>
              <w:rPr>
                <w:rFonts w:hint="eastAsia" w:ascii="宋体" w:hAnsi="宋体" w:eastAsia="宋体" w:cs="微软雅黑"/>
                <w:color w:val="auto"/>
                <w:spacing w:val="-2"/>
                <w:kern w:val="0"/>
                <w:sz w:val="24"/>
                <w:szCs w:val="21"/>
              </w:rPr>
              <w:t>复</w:t>
            </w:r>
            <w:r>
              <w:rPr>
                <w:rFonts w:hint="eastAsia" w:ascii="宋体" w:hAnsi="宋体" w:eastAsia="宋体" w:cs="微软雅黑"/>
                <w:color w:val="auto"/>
                <w:kern w:val="0"/>
                <w:sz w:val="24"/>
                <w:szCs w:val="21"/>
              </w:rPr>
              <w:t>印</w:t>
            </w:r>
            <w:r>
              <w:rPr>
                <w:rFonts w:hint="eastAsia" w:ascii="宋体" w:hAnsi="宋体" w:eastAsia="宋体" w:cs="微软雅黑"/>
                <w:color w:val="auto"/>
                <w:spacing w:val="-2"/>
                <w:kern w:val="0"/>
                <w:sz w:val="24"/>
                <w:szCs w:val="21"/>
              </w:rPr>
              <w:t>件</w:t>
            </w:r>
          </w:p>
        </w:tc>
      </w:tr>
    </w:tbl>
    <w:p w14:paraId="697CC95C">
      <w:pPr>
        <w:pStyle w:val="42"/>
        <w:spacing w:before="120"/>
        <w:ind w:firstLine="540" w:firstLineChars="300"/>
        <w:rPr>
          <w:color w:val="auto"/>
          <w:sz w:val="18"/>
          <w:szCs w:val="16"/>
        </w:rPr>
      </w:pPr>
      <w:r>
        <w:rPr>
          <w:rFonts w:hint="eastAsia"/>
          <w:color w:val="auto"/>
          <w:sz w:val="18"/>
          <w:szCs w:val="16"/>
        </w:rPr>
        <w:t>注：供应商代表不是供应商的法定代表人（单位负责人）地提供。供应商为自然人的无需提供。</w:t>
      </w: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17CB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9190644">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27FCC6FC">
            <w:pPr>
              <w:pStyle w:val="42"/>
              <w:spacing w:before="120" w:line="540" w:lineRule="exact"/>
              <w:ind w:firstLine="480"/>
              <w:jc w:val="center"/>
              <w:rPr>
                <w:color w:val="auto"/>
              </w:rPr>
            </w:pPr>
          </w:p>
        </w:tc>
      </w:tr>
      <w:tr w14:paraId="7968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70871230">
            <w:pPr>
              <w:pStyle w:val="42"/>
              <w:spacing w:beforeLines="0" w:line="240" w:lineRule="auto"/>
              <w:ind w:firstLine="0" w:firstLineChars="0"/>
              <w:jc w:val="distribute"/>
              <w:rPr>
                <w:rFonts w:hint="eastAsia" w:eastAsia="宋体"/>
                <w:color w:val="auto"/>
                <w:lang w:eastAsia="zh-CN"/>
              </w:rPr>
            </w:pPr>
            <w:r>
              <w:rPr>
                <w:rFonts w:hint="eastAsia"/>
                <w:color w:val="auto"/>
              </w:rPr>
              <w:t>法定代表人（单位负责人）（</w:t>
            </w:r>
            <w:r>
              <w:rPr>
                <w:rFonts w:hint="eastAsia"/>
                <w:color w:val="auto"/>
                <w:lang w:eastAsia="zh-CN"/>
              </w:rPr>
              <w:t>签字</w:t>
            </w:r>
            <w:r>
              <w:rPr>
                <w:rFonts w:hint="eastAsia"/>
                <w:color w:val="auto"/>
              </w:rPr>
              <w:t>）</w:t>
            </w:r>
            <w:r>
              <w:rPr>
                <w:rFonts w:hint="eastAsia"/>
                <w:color w:val="auto"/>
                <w:lang w:eastAsia="zh-CN"/>
              </w:rPr>
              <w:t>：</w:t>
            </w:r>
          </w:p>
        </w:tc>
        <w:tc>
          <w:tcPr>
            <w:tcW w:w="5913" w:type="dxa"/>
            <w:gridSpan w:val="3"/>
            <w:tcBorders>
              <w:top w:val="nil"/>
              <w:left w:val="nil"/>
              <w:bottom w:val="nil"/>
              <w:right w:val="nil"/>
            </w:tcBorders>
            <w:vAlign w:val="center"/>
          </w:tcPr>
          <w:p w14:paraId="4CAF9AB3">
            <w:pPr>
              <w:pStyle w:val="42"/>
              <w:spacing w:before="120" w:line="540" w:lineRule="exact"/>
              <w:ind w:firstLine="480"/>
              <w:jc w:val="center"/>
              <w:rPr>
                <w:color w:val="auto"/>
              </w:rPr>
            </w:pPr>
          </w:p>
        </w:tc>
      </w:tr>
      <w:tr w14:paraId="6A37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2B88129">
            <w:pPr>
              <w:pStyle w:val="42"/>
              <w:spacing w:beforeLines="0" w:line="240" w:lineRule="auto"/>
              <w:ind w:firstLine="0" w:firstLineChars="0"/>
              <w:jc w:val="distribute"/>
              <w:rPr>
                <w:color w:val="auto"/>
              </w:rPr>
            </w:pPr>
            <w:r>
              <w:rPr>
                <w:rFonts w:hint="eastAsia"/>
                <w:color w:val="auto"/>
              </w:rPr>
              <w:t>授权的代理人（</w:t>
            </w:r>
            <w:r>
              <w:rPr>
                <w:rFonts w:hint="eastAsia"/>
                <w:color w:val="auto"/>
                <w:lang w:eastAsia="zh-CN"/>
              </w:rPr>
              <w:t>签字</w:t>
            </w:r>
            <w:r>
              <w:rPr>
                <w:rFonts w:hint="eastAsia"/>
                <w:color w:val="auto"/>
              </w:rPr>
              <w:t>）：</w:t>
            </w:r>
          </w:p>
        </w:tc>
        <w:tc>
          <w:tcPr>
            <w:tcW w:w="5913" w:type="dxa"/>
            <w:gridSpan w:val="3"/>
            <w:tcBorders>
              <w:top w:val="nil"/>
              <w:left w:val="nil"/>
              <w:bottom w:val="nil"/>
              <w:right w:val="nil"/>
            </w:tcBorders>
            <w:vAlign w:val="center"/>
          </w:tcPr>
          <w:p w14:paraId="0C207F18">
            <w:pPr>
              <w:pStyle w:val="42"/>
              <w:spacing w:before="120" w:line="540" w:lineRule="exact"/>
              <w:ind w:firstLine="480"/>
              <w:jc w:val="center"/>
              <w:rPr>
                <w:color w:val="auto"/>
              </w:rPr>
            </w:pPr>
          </w:p>
        </w:tc>
      </w:tr>
      <w:tr w14:paraId="1AAD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4CD19878">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73625F39">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7EA3275E">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147CBDDC">
            <w:pPr>
              <w:pStyle w:val="42"/>
              <w:spacing w:beforeLines="0" w:line="240" w:lineRule="auto"/>
              <w:ind w:firstLine="0" w:firstLineChars="0"/>
              <w:jc w:val="right"/>
              <w:rPr>
                <w:color w:val="auto"/>
              </w:rPr>
            </w:pPr>
            <w:r>
              <w:rPr>
                <w:rFonts w:hint="eastAsia"/>
                <w:color w:val="auto"/>
              </w:rPr>
              <w:t>年   月   日</w:t>
            </w:r>
          </w:p>
        </w:tc>
      </w:tr>
    </w:tbl>
    <w:p w14:paraId="1DAA159D">
      <w:pPr>
        <w:rPr>
          <w:color w:val="auto"/>
        </w:rPr>
      </w:pPr>
      <w:r>
        <w:rPr>
          <w:rFonts w:hint="eastAsia"/>
          <w:color w:val="auto"/>
        </w:rPr>
        <w:br w:type="page"/>
      </w:r>
    </w:p>
    <w:p w14:paraId="44B7D69F">
      <w:pPr>
        <w:pStyle w:val="6"/>
        <w:rPr>
          <w:color w:val="auto"/>
        </w:rPr>
      </w:pPr>
      <w:r>
        <w:rPr>
          <w:rFonts w:hint="eastAsia"/>
          <w:color w:val="auto"/>
        </w:rPr>
        <w:t>附件3-1法定代表人（单位负责人）身份证明（格式）</w:t>
      </w:r>
    </w:p>
    <w:p w14:paraId="2CEE5413">
      <w:pPr>
        <w:pStyle w:val="42"/>
        <w:spacing w:before="120"/>
        <w:ind w:firstLine="640"/>
        <w:jc w:val="center"/>
        <w:rPr>
          <w:rFonts w:ascii="方正小标宋_GBK" w:hAnsi="方正小标宋_GBK" w:eastAsia="方正小标宋_GBK" w:cs="方正小标宋_GBK"/>
          <w:color w:val="auto"/>
          <w:szCs w:val="28"/>
        </w:rPr>
      </w:pPr>
      <w:r>
        <w:rPr>
          <w:rFonts w:hint="eastAsia" w:ascii="方正小标宋_GBK" w:hAnsi="方正小标宋_GBK" w:eastAsia="方正小标宋_GBK" w:cs="方正小标宋_GBK"/>
          <w:color w:val="auto"/>
          <w:sz w:val="32"/>
          <w:szCs w:val="28"/>
        </w:rPr>
        <w:t>法定代表人（单位负责人）身份证明（格式）</w:t>
      </w:r>
    </w:p>
    <w:p w14:paraId="73665380">
      <w:pPr>
        <w:pStyle w:val="42"/>
        <w:spacing w:before="120"/>
        <w:ind w:firstLine="480"/>
        <w:rPr>
          <w:color w:val="auto"/>
        </w:rPr>
      </w:pPr>
    </w:p>
    <w:p w14:paraId="0B0DCD9E">
      <w:pPr>
        <w:pStyle w:val="42"/>
        <w:spacing w:before="120"/>
        <w:ind w:firstLine="480"/>
        <w:rPr>
          <w:color w:val="auto"/>
          <w:u w:val="single"/>
        </w:rPr>
      </w:pPr>
      <w:r>
        <w:rPr>
          <w:rFonts w:hint="eastAsia"/>
          <w:color w:val="auto"/>
        </w:rPr>
        <w:t>投标人名称：</w:t>
      </w:r>
      <w:r>
        <w:rPr>
          <w:rFonts w:hint="eastAsia"/>
          <w:color w:val="auto"/>
          <w:u w:val="single"/>
        </w:rPr>
        <w:t xml:space="preserve">                   </w:t>
      </w:r>
    </w:p>
    <w:p w14:paraId="47C2F4A5">
      <w:pPr>
        <w:pStyle w:val="42"/>
        <w:spacing w:before="120"/>
        <w:ind w:firstLine="480"/>
        <w:rPr>
          <w:color w:val="auto"/>
          <w:u w:val="single"/>
        </w:rPr>
      </w:pPr>
      <w:r>
        <w:rPr>
          <w:rFonts w:hint="eastAsia"/>
          <w:color w:val="auto"/>
        </w:rPr>
        <w:t>统一社会信用代码：</w:t>
      </w:r>
      <w:r>
        <w:rPr>
          <w:rFonts w:hint="eastAsia"/>
          <w:color w:val="auto"/>
          <w:u w:val="single"/>
        </w:rPr>
        <w:t xml:space="preserve">                 </w:t>
      </w:r>
    </w:p>
    <w:p w14:paraId="0F254122">
      <w:pPr>
        <w:pStyle w:val="42"/>
        <w:spacing w:before="120"/>
        <w:ind w:firstLine="480"/>
        <w:rPr>
          <w:color w:val="auto"/>
          <w:u w:val="single"/>
        </w:rPr>
      </w:pPr>
      <w:r>
        <w:rPr>
          <w:rFonts w:hint="eastAsia"/>
          <w:color w:val="auto"/>
        </w:rPr>
        <w:t>注册地址：</w:t>
      </w:r>
      <w:r>
        <w:rPr>
          <w:rFonts w:hint="eastAsia"/>
          <w:color w:val="auto"/>
          <w:u w:val="single"/>
        </w:rPr>
        <w:t xml:space="preserve">                 </w:t>
      </w:r>
    </w:p>
    <w:p w14:paraId="4EFD00FD">
      <w:pPr>
        <w:pStyle w:val="42"/>
        <w:spacing w:before="120"/>
        <w:ind w:firstLine="480"/>
        <w:rPr>
          <w:color w:val="auto"/>
        </w:rPr>
      </w:pPr>
      <w:r>
        <w:rPr>
          <w:rFonts w:hint="eastAsia"/>
          <w:color w:val="auto"/>
        </w:rPr>
        <w:t>姓名：</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r>
        <w:rPr>
          <w:rFonts w:hint="eastAsia"/>
          <w:color w:val="auto"/>
          <w:u w:val="single"/>
        </w:rPr>
        <w:t xml:space="preserve">：         </w:t>
      </w:r>
      <w:r>
        <w:rPr>
          <w:rFonts w:hint="eastAsia"/>
          <w:color w:val="auto"/>
        </w:rPr>
        <w:t>职务：</w:t>
      </w:r>
      <w:r>
        <w:rPr>
          <w:rFonts w:hint="eastAsia"/>
          <w:color w:val="auto"/>
          <w:u w:val="single"/>
        </w:rPr>
        <w:t xml:space="preserve">        </w:t>
      </w:r>
      <w:r>
        <w:rPr>
          <w:rFonts w:hint="eastAsia"/>
          <w:color w:val="auto"/>
        </w:rPr>
        <w:t xml:space="preserve"> 系</w:t>
      </w:r>
      <w:r>
        <w:rPr>
          <w:rFonts w:hint="eastAsia"/>
          <w:color w:val="auto"/>
          <w:u w:val="single"/>
        </w:rPr>
        <w:t xml:space="preserve">         </w:t>
      </w:r>
      <w:r>
        <w:rPr>
          <w:rFonts w:hint="eastAsia"/>
          <w:color w:val="auto"/>
        </w:rPr>
        <w:t>（供应商名称）的法定代表人（单位负责人）。</w:t>
      </w:r>
    </w:p>
    <w:p w14:paraId="7310F598">
      <w:pPr>
        <w:pStyle w:val="42"/>
        <w:spacing w:before="120"/>
        <w:ind w:firstLine="480"/>
        <w:rPr>
          <w:color w:val="auto"/>
        </w:rPr>
      </w:pPr>
      <w:r>
        <w:rPr>
          <w:rFonts w:hint="eastAsia"/>
          <w:color w:val="auto"/>
        </w:rPr>
        <w:t>特此证明。</w:t>
      </w:r>
    </w:p>
    <w:p w14:paraId="13C69DE3">
      <w:pPr>
        <w:pStyle w:val="42"/>
        <w:spacing w:before="120"/>
        <w:ind w:firstLine="480"/>
        <w:rPr>
          <w:color w:val="auto"/>
        </w:rPr>
      </w:pPr>
      <w:r>
        <w:rPr>
          <w:rFonts w:hint="eastAsia"/>
          <w:color w:val="auto"/>
        </w:rPr>
        <w:t>附：法定代表人（单位负责人）身份证复印件。</w:t>
      </w:r>
    </w:p>
    <w:tbl>
      <w:tblPr>
        <w:tblStyle w:val="32"/>
        <w:tblpPr w:leftFromText="180" w:rightFromText="180" w:vertAnchor="text" w:horzAnchor="page" w:tblpX="1327" w:tblpY="746"/>
        <w:tblOverlap w:val="never"/>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0"/>
        <w:gridCol w:w="4736"/>
      </w:tblGrid>
      <w:tr w14:paraId="408B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rPr>
        <w:tc>
          <w:tcPr>
            <w:tcW w:w="4960" w:type="dxa"/>
            <w:shd w:val="clear" w:color="auto" w:fill="auto"/>
            <w:vAlign w:val="center"/>
          </w:tcPr>
          <w:p w14:paraId="54A3AAAF">
            <w:pPr>
              <w:adjustRightInd w:val="0"/>
              <w:snapToGrid w:val="0"/>
              <w:spacing w:before="120" w:beforeLines="50" w:line="360" w:lineRule="auto"/>
              <w:jc w:val="center"/>
              <w:rPr>
                <w:rFonts w:ascii="宋体" w:hAnsi="宋体" w:eastAsia="宋体" w:cs="Times New Roman"/>
                <w:color w:val="auto"/>
                <w:sz w:val="24"/>
                <w:szCs w:val="21"/>
              </w:rPr>
            </w:pPr>
            <w:r>
              <w:rPr>
                <w:rFonts w:hint="eastAsia" w:ascii="宋体" w:hAnsi="宋体" w:eastAsia="宋体" w:cs="Times New Roman"/>
                <w:color w:val="auto"/>
                <w:sz w:val="24"/>
                <w:szCs w:val="21"/>
              </w:rPr>
              <w:t>身份证（正面）</w:t>
            </w:r>
            <w:r>
              <w:rPr>
                <w:rFonts w:hint="eastAsia" w:ascii="宋体" w:hAnsi="宋体" w:eastAsia="宋体" w:cs="微软雅黑"/>
                <w:color w:val="auto"/>
                <w:spacing w:val="-2"/>
                <w:kern w:val="0"/>
                <w:sz w:val="24"/>
                <w:szCs w:val="21"/>
              </w:rPr>
              <w:t>复</w:t>
            </w:r>
            <w:r>
              <w:rPr>
                <w:rFonts w:hint="eastAsia" w:ascii="宋体" w:hAnsi="宋体" w:eastAsia="宋体" w:cs="微软雅黑"/>
                <w:color w:val="auto"/>
                <w:kern w:val="0"/>
                <w:sz w:val="24"/>
                <w:szCs w:val="21"/>
              </w:rPr>
              <w:t>印</w:t>
            </w:r>
            <w:r>
              <w:rPr>
                <w:rFonts w:hint="eastAsia" w:ascii="宋体" w:hAnsi="宋体" w:eastAsia="宋体" w:cs="微软雅黑"/>
                <w:color w:val="auto"/>
                <w:spacing w:val="-2"/>
                <w:kern w:val="0"/>
                <w:sz w:val="24"/>
                <w:szCs w:val="21"/>
              </w:rPr>
              <w:t>件</w:t>
            </w:r>
          </w:p>
        </w:tc>
        <w:tc>
          <w:tcPr>
            <w:tcW w:w="4736" w:type="dxa"/>
            <w:shd w:val="clear" w:color="auto" w:fill="auto"/>
            <w:vAlign w:val="center"/>
          </w:tcPr>
          <w:p w14:paraId="6D9B9BA7">
            <w:pPr>
              <w:adjustRightInd w:val="0"/>
              <w:snapToGrid w:val="0"/>
              <w:spacing w:before="120" w:beforeLines="50" w:line="360" w:lineRule="auto"/>
              <w:jc w:val="center"/>
              <w:rPr>
                <w:rFonts w:ascii="宋体" w:hAnsi="宋体" w:eastAsia="宋体" w:cs="Times New Roman"/>
                <w:color w:val="auto"/>
                <w:sz w:val="24"/>
                <w:szCs w:val="21"/>
              </w:rPr>
            </w:pPr>
            <w:r>
              <w:rPr>
                <w:rFonts w:hint="eastAsia" w:ascii="宋体" w:hAnsi="宋体" w:eastAsia="宋体" w:cs="Times New Roman"/>
                <w:color w:val="auto"/>
                <w:sz w:val="24"/>
                <w:szCs w:val="21"/>
              </w:rPr>
              <w:t>身份证（反面）</w:t>
            </w:r>
            <w:r>
              <w:rPr>
                <w:rFonts w:hint="eastAsia" w:ascii="宋体" w:hAnsi="宋体" w:eastAsia="宋体" w:cs="微软雅黑"/>
                <w:color w:val="auto"/>
                <w:spacing w:val="-2"/>
                <w:kern w:val="0"/>
                <w:sz w:val="24"/>
                <w:szCs w:val="21"/>
              </w:rPr>
              <w:t>复</w:t>
            </w:r>
            <w:r>
              <w:rPr>
                <w:rFonts w:hint="eastAsia" w:ascii="宋体" w:hAnsi="宋体" w:eastAsia="宋体" w:cs="微软雅黑"/>
                <w:color w:val="auto"/>
                <w:kern w:val="0"/>
                <w:sz w:val="24"/>
                <w:szCs w:val="21"/>
              </w:rPr>
              <w:t>印</w:t>
            </w:r>
            <w:r>
              <w:rPr>
                <w:rFonts w:hint="eastAsia" w:ascii="宋体" w:hAnsi="宋体" w:eastAsia="宋体" w:cs="微软雅黑"/>
                <w:color w:val="auto"/>
                <w:spacing w:val="-2"/>
                <w:kern w:val="0"/>
                <w:sz w:val="24"/>
                <w:szCs w:val="21"/>
              </w:rPr>
              <w:t>件</w:t>
            </w:r>
          </w:p>
        </w:tc>
      </w:tr>
    </w:tbl>
    <w:p w14:paraId="712CA571">
      <w:pPr>
        <w:adjustRightInd w:val="0"/>
        <w:snapToGrid w:val="0"/>
        <w:spacing w:before="120" w:beforeLines="50" w:line="360" w:lineRule="auto"/>
        <w:rPr>
          <w:rFonts w:ascii="宋体" w:hAnsi="宋体" w:eastAsia="宋体" w:cs="Times New Roman"/>
          <w:color w:val="auto"/>
          <w:sz w:val="24"/>
          <w:szCs w:val="21"/>
        </w:rPr>
      </w:pPr>
    </w:p>
    <w:p w14:paraId="25A0E6F5">
      <w:pPr>
        <w:pStyle w:val="42"/>
        <w:spacing w:before="120"/>
        <w:ind w:firstLine="480"/>
        <w:rPr>
          <w:color w:val="auto"/>
        </w:rPr>
      </w:pPr>
      <w:r>
        <w:rPr>
          <w:rFonts w:hint="eastAsia"/>
          <w:color w:val="auto"/>
        </w:rPr>
        <w:t>注：供应商代表为法定代表人（单位负责人）地提供。供应商为自然人的无需提供。</w:t>
      </w: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386D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3781" w:type="dxa"/>
            <w:tcBorders>
              <w:top w:val="nil"/>
              <w:left w:val="nil"/>
              <w:bottom w:val="nil"/>
              <w:right w:val="nil"/>
            </w:tcBorders>
            <w:vAlign w:val="center"/>
          </w:tcPr>
          <w:p w14:paraId="7409CBBA">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525176F4">
            <w:pPr>
              <w:pStyle w:val="42"/>
              <w:spacing w:before="120" w:line="540" w:lineRule="exact"/>
              <w:ind w:firstLine="480"/>
              <w:jc w:val="center"/>
              <w:rPr>
                <w:color w:val="auto"/>
              </w:rPr>
            </w:pPr>
          </w:p>
        </w:tc>
      </w:tr>
      <w:tr w14:paraId="49E2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55A3D987">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5DA727B0">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32922271">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71AD37B0">
            <w:pPr>
              <w:pStyle w:val="42"/>
              <w:spacing w:beforeLines="0" w:line="240" w:lineRule="auto"/>
              <w:ind w:firstLine="0" w:firstLineChars="0"/>
              <w:jc w:val="right"/>
              <w:rPr>
                <w:color w:val="auto"/>
              </w:rPr>
            </w:pPr>
            <w:r>
              <w:rPr>
                <w:rFonts w:hint="eastAsia"/>
                <w:color w:val="auto"/>
              </w:rPr>
              <w:t>年   月   日</w:t>
            </w:r>
          </w:p>
        </w:tc>
      </w:tr>
    </w:tbl>
    <w:p w14:paraId="5A754F13">
      <w:pPr>
        <w:rPr>
          <w:color w:val="auto"/>
        </w:rPr>
      </w:pPr>
      <w:r>
        <w:rPr>
          <w:rFonts w:hint="eastAsia"/>
          <w:color w:val="auto"/>
        </w:rPr>
        <w:br w:type="page"/>
      </w:r>
    </w:p>
    <w:p w14:paraId="71A93547">
      <w:pPr>
        <w:pStyle w:val="4"/>
        <w:rPr>
          <w:color w:val="auto"/>
        </w:rPr>
      </w:pPr>
      <w:bookmarkStart w:id="116" w:name="_Toc6199"/>
      <w:bookmarkStart w:id="117" w:name="_Toc2420"/>
      <w:r>
        <w:rPr>
          <w:rFonts w:hint="eastAsia"/>
          <w:color w:val="auto"/>
          <w:lang w:val="en-US" w:eastAsia="zh-CN"/>
        </w:rPr>
        <w:t>四</w:t>
      </w:r>
      <w:r>
        <w:rPr>
          <w:rFonts w:hint="eastAsia"/>
          <w:color w:val="auto"/>
        </w:rPr>
        <w:t>、投标人提供的资格证明文件</w:t>
      </w:r>
      <w:bookmarkEnd w:id="116"/>
      <w:bookmarkEnd w:id="117"/>
    </w:p>
    <w:p w14:paraId="7CA1B80A">
      <w:pPr>
        <w:pStyle w:val="42"/>
        <w:spacing w:before="120"/>
        <w:ind w:firstLine="480"/>
        <w:rPr>
          <w:color w:val="auto"/>
        </w:rPr>
      </w:pPr>
      <w:r>
        <w:rPr>
          <w:rFonts w:hint="eastAsia"/>
          <w:color w:val="auto"/>
        </w:rPr>
        <w:t>一、投标人应按本招标文件第二章第13.1款要求提供下列的证明材料（包括但不限于）：</w:t>
      </w:r>
    </w:p>
    <w:p w14:paraId="221F30E2">
      <w:pPr>
        <w:pStyle w:val="42"/>
        <w:spacing w:before="120"/>
        <w:ind w:firstLine="480"/>
        <w:rPr>
          <w:color w:val="auto"/>
        </w:rPr>
      </w:pPr>
      <w:r>
        <w:rPr>
          <w:rFonts w:hint="eastAsia"/>
          <w:color w:val="auto"/>
        </w:rPr>
        <w:t>1、投标人资格声明</w:t>
      </w:r>
    </w:p>
    <w:p w14:paraId="25E022C4">
      <w:pPr>
        <w:pStyle w:val="42"/>
        <w:spacing w:before="120"/>
        <w:ind w:firstLine="480"/>
        <w:rPr>
          <w:rFonts w:hint="eastAsia"/>
          <w:color w:val="auto"/>
        </w:rPr>
      </w:pPr>
      <w:r>
        <w:rPr>
          <w:rFonts w:hint="eastAsia"/>
          <w:color w:val="auto"/>
        </w:rPr>
        <w:t>2、</w:t>
      </w:r>
      <w:r>
        <w:rPr>
          <w:rFonts w:hint="eastAsia"/>
          <w:color w:val="auto"/>
          <w:lang w:val="en-US" w:eastAsia="zh-CN"/>
        </w:rPr>
        <w:t>湖南省政府采购供应商资格承诺函</w:t>
      </w:r>
    </w:p>
    <w:p w14:paraId="7365C6CB">
      <w:pPr>
        <w:pStyle w:val="42"/>
        <w:spacing w:before="120"/>
        <w:ind w:firstLine="480"/>
        <w:rPr>
          <w:color w:val="auto"/>
        </w:rPr>
      </w:pPr>
      <w:r>
        <w:rPr>
          <w:rFonts w:hint="eastAsia"/>
          <w:color w:val="auto"/>
          <w:lang w:val="en-US" w:eastAsia="zh-CN"/>
        </w:rPr>
        <w:t>3、</w:t>
      </w:r>
      <w:r>
        <w:rPr>
          <w:rFonts w:hint="eastAsia"/>
          <w:color w:val="auto"/>
        </w:rPr>
        <w:t>法人或者其他组织的营业执照等主体资格证明文件，自然人的身份证明：（1）投标人为法人的，应提交有效营业执照或法人登记证书或批准文件的复印件；（2）投标人为非法人组织的，应提交依法登记证书复印件；（3）投标人为个体工商户的，应提交有效个体工商户营业执照复印件；（4）投标人为自然人的，应提交自然人的有效身份证明复印件。</w:t>
      </w:r>
    </w:p>
    <w:p w14:paraId="371D4C38">
      <w:pPr>
        <w:pStyle w:val="42"/>
        <w:spacing w:before="120"/>
        <w:ind w:firstLine="480"/>
        <w:rPr>
          <w:color w:val="auto"/>
        </w:rPr>
      </w:pPr>
      <w:r>
        <w:rPr>
          <w:rFonts w:hint="eastAsia"/>
          <w:color w:val="auto"/>
          <w:lang w:val="en-US" w:eastAsia="zh-CN"/>
        </w:rPr>
        <w:t>4、</w:t>
      </w:r>
      <w:r>
        <w:rPr>
          <w:rFonts w:hint="eastAsia"/>
          <w:color w:val="auto"/>
        </w:rPr>
        <w:t>存在关联关系的供应商不参与政府采购项目竞争的承诺书。</w:t>
      </w:r>
    </w:p>
    <w:p w14:paraId="3459AD8C">
      <w:pPr>
        <w:pStyle w:val="42"/>
        <w:spacing w:before="120"/>
        <w:ind w:firstLine="480"/>
        <w:rPr>
          <w:color w:val="auto"/>
        </w:rPr>
      </w:pPr>
      <w:r>
        <w:rPr>
          <w:rFonts w:hint="eastAsia"/>
          <w:color w:val="auto"/>
          <w:lang w:val="en-US" w:eastAsia="zh-CN"/>
        </w:rPr>
        <w:t>5</w:t>
      </w:r>
      <w:r>
        <w:rPr>
          <w:rFonts w:hint="eastAsia"/>
          <w:color w:val="auto"/>
        </w:rPr>
        <w:t>、无重大违法记录声明函、无不良信用记录声明函。</w:t>
      </w:r>
    </w:p>
    <w:p w14:paraId="667A8B1F">
      <w:pPr>
        <w:pStyle w:val="42"/>
        <w:spacing w:before="120"/>
        <w:ind w:firstLine="480"/>
        <w:rPr>
          <w:color w:val="auto"/>
        </w:rPr>
      </w:pPr>
      <w:r>
        <w:rPr>
          <w:rFonts w:hint="eastAsia"/>
          <w:color w:val="auto"/>
          <w:lang w:val="en-US" w:eastAsia="zh-CN"/>
        </w:rPr>
        <w:t>6</w:t>
      </w:r>
      <w:r>
        <w:rPr>
          <w:rFonts w:hint="eastAsia"/>
          <w:color w:val="auto"/>
        </w:rPr>
        <w:t>、符合特定资格条件证明材料复印件或者情况说明原件。具体要求见</w:t>
      </w:r>
      <w:r>
        <w:rPr>
          <w:rFonts w:hint="eastAsia"/>
          <w:color w:val="auto"/>
          <w:lang w:val="en-US" w:eastAsia="zh-CN"/>
        </w:rPr>
        <w:t>招标公告</w:t>
      </w:r>
      <w:r>
        <w:rPr>
          <w:rFonts w:hint="eastAsia"/>
          <w:color w:val="auto"/>
        </w:rPr>
        <w:t>。</w:t>
      </w:r>
    </w:p>
    <w:p w14:paraId="51169B2D">
      <w:pPr>
        <w:pStyle w:val="42"/>
        <w:spacing w:before="120"/>
        <w:ind w:firstLine="480"/>
        <w:rPr>
          <w:color w:val="auto"/>
        </w:rPr>
      </w:pPr>
      <w:r>
        <w:rPr>
          <w:rFonts w:hint="eastAsia"/>
          <w:color w:val="auto"/>
        </w:rPr>
        <w:t>二、投标人以联合体形式投标的，除应提交联合协议外，参加联合体的各方均应提交上款资格证明材料。</w:t>
      </w:r>
    </w:p>
    <w:p w14:paraId="0E932F7E">
      <w:pPr>
        <w:pStyle w:val="42"/>
        <w:spacing w:before="120"/>
        <w:ind w:firstLine="480"/>
        <w:rPr>
          <w:color w:val="auto"/>
        </w:rPr>
      </w:pPr>
      <w:r>
        <w:rPr>
          <w:rFonts w:hint="eastAsia"/>
          <w:color w:val="auto"/>
        </w:rPr>
        <w:t>附件</w:t>
      </w:r>
      <w:r>
        <w:rPr>
          <w:rFonts w:hint="eastAsia"/>
          <w:color w:val="auto"/>
          <w:lang w:val="en-US" w:eastAsia="zh-CN"/>
        </w:rPr>
        <w:t>4</w:t>
      </w:r>
      <w:r>
        <w:rPr>
          <w:rFonts w:hint="eastAsia"/>
          <w:color w:val="auto"/>
        </w:rPr>
        <w:t>-</w:t>
      </w:r>
      <w:r>
        <w:rPr>
          <w:rFonts w:hint="eastAsia"/>
          <w:color w:val="auto"/>
          <w:lang w:val="en-US" w:eastAsia="zh-CN"/>
        </w:rPr>
        <w:t>7</w:t>
      </w:r>
      <w:r>
        <w:rPr>
          <w:rFonts w:hint="eastAsia"/>
          <w:color w:val="auto"/>
        </w:rPr>
        <w:t xml:space="preserve"> 联合体协议书（格式）（联合体形式投标的提供）</w:t>
      </w:r>
    </w:p>
    <w:p w14:paraId="79D650F4">
      <w:pPr>
        <w:rPr>
          <w:color w:val="auto"/>
        </w:rPr>
      </w:pPr>
      <w:r>
        <w:rPr>
          <w:rFonts w:hint="eastAsia"/>
          <w:color w:val="auto"/>
        </w:rPr>
        <w:br w:type="page"/>
      </w:r>
    </w:p>
    <w:p w14:paraId="5471CA4D">
      <w:pPr>
        <w:pStyle w:val="6"/>
        <w:rPr>
          <w:color w:val="auto"/>
        </w:rPr>
      </w:pPr>
      <w:r>
        <w:rPr>
          <w:rFonts w:hint="eastAsia"/>
          <w:color w:val="auto"/>
        </w:rPr>
        <w:t>附件</w:t>
      </w:r>
      <w:r>
        <w:rPr>
          <w:rFonts w:hint="eastAsia"/>
          <w:color w:val="auto"/>
          <w:lang w:val="en-US" w:eastAsia="zh-CN"/>
        </w:rPr>
        <w:t>4</w:t>
      </w:r>
      <w:r>
        <w:rPr>
          <w:rFonts w:hint="eastAsia"/>
          <w:color w:val="auto"/>
        </w:rPr>
        <w:t>-1 投标人资格声明（格式）</w:t>
      </w:r>
    </w:p>
    <w:p w14:paraId="5AE5AC15">
      <w:pPr>
        <w:pStyle w:val="42"/>
        <w:spacing w:before="120"/>
        <w:ind w:firstLine="640"/>
        <w:jc w:val="center"/>
        <w:rPr>
          <w:rFonts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t>投标人资格声明（格式）</w:t>
      </w:r>
    </w:p>
    <w:p w14:paraId="1CB4211C">
      <w:pPr>
        <w:pStyle w:val="42"/>
        <w:spacing w:before="120"/>
        <w:ind w:firstLine="0" w:firstLineChars="0"/>
        <w:rPr>
          <w:color w:val="auto"/>
        </w:rPr>
      </w:pPr>
      <w:r>
        <w:rPr>
          <w:rFonts w:hint="eastAsia"/>
          <w:color w:val="auto"/>
        </w:rPr>
        <w:t>致</w:t>
      </w:r>
      <w:r>
        <w:rPr>
          <w:rFonts w:hint="eastAsia"/>
          <w:color w:val="auto"/>
          <w:u w:val="single"/>
        </w:rPr>
        <w:t xml:space="preserve">               </w:t>
      </w:r>
      <w:r>
        <w:rPr>
          <w:rFonts w:hint="eastAsia"/>
          <w:color w:val="auto"/>
        </w:rPr>
        <w:t xml:space="preserve"> （采购人、采购代理机构）：</w:t>
      </w:r>
    </w:p>
    <w:p w14:paraId="0899A7E5">
      <w:pPr>
        <w:pStyle w:val="42"/>
        <w:spacing w:before="120"/>
        <w:ind w:firstLine="480"/>
        <w:rPr>
          <w:color w:val="auto"/>
        </w:rPr>
      </w:pPr>
      <w:r>
        <w:rPr>
          <w:rFonts w:hint="eastAsia"/>
          <w:color w:val="auto"/>
        </w:rPr>
        <w:t>按照《中华人民共和国政府采购法》第二十二条和招标文件的规定，我单位郑重声明如下：</w:t>
      </w:r>
    </w:p>
    <w:p w14:paraId="23E1654D">
      <w:pPr>
        <w:pStyle w:val="42"/>
        <w:spacing w:before="120"/>
        <w:ind w:firstLine="480"/>
        <w:rPr>
          <w:color w:val="auto"/>
        </w:rPr>
      </w:pPr>
      <w:r>
        <w:rPr>
          <w:rFonts w:hint="eastAsia"/>
          <w:color w:val="auto"/>
        </w:rPr>
        <w:t>一、我单位是按照中华人民共和国法律规定登记注册的，注册地点为</w:t>
      </w:r>
      <w:r>
        <w:rPr>
          <w:rFonts w:hint="eastAsia"/>
          <w:color w:val="auto"/>
          <w:u w:val="single"/>
        </w:rPr>
        <w:t xml:space="preserve">         </w:t>
      </w:r>
      <w:r>
        <w:rPr>
          <w:rFonts w:hint="eastAsia"/>
          <w:color w:val="auto"/>
        </w:rPr>
        <w:t>，全称为</w:t>
      </w:r>
      <w:r>
        <w:rPr>
          <w:rFonts w:hint="eastAsia"/>
          <w:color w:val="auto"/>
          <w:u w:val="single"/>
        </w:rPr>
        <w:t xml:space="preserve">       </w:t>
      </w:r>
      <w:r>
        <w:rPr>
          <w:rFonts w:hint="eastAsia"/>
          <w:color w:val="auto"/>
        </w:rPr>
        <w:t xml:space="preserve"> ，统一社会信用代码为</w:t>
      </w:r>
      <w:r>
        <w:rPr>
          <w:rFonts w:hint="eastAsia"/>
          <w:color w:val="auto"/>
          <w:u w:val="single"/>
        </w:rPr>
        <w:t xml:space="preserve">          </w:t>
      </w:r>
      <w:r>
        <w:rPr>
          <w:rFonts w:hint="eastAsia"/>
          <w:color w:val="auto"/>
        </w:rPr>
        <w:t xml:space="preserve">  ，法定代表人（单位负责人）为</w:t>
      </w:r>
      <w:r>
        <w:rPr>
          <w:rFonts w:hint="eastAsia"/>
          <w:color w:val="auto"/>
          <w:u w:val="single"/>
        </w:rPr>
        <w:t xml:space="preserve">         </w:t>
      </w:r>
      <w:r>
        <w:rPr>
          <w:rFonts w:hint="eastAsia"/>
          <w:color w:val="auto"/>
        </w:rPr>
        <w:t>，具有独立承担民事责任的能力。</w:t>
      </w:r>
    </w:p>
    <w:p w14:paraId="2C5946B0">
      <w:pPr>
        <w:pStyle w:val="42"/>
        <w:spacing w:before="120"/>
        <w:ind w:firstLine="480"/>
        <w:rPr>
          <w:color w:val="auto"/>
        </w:rPr>
      </w:pPr>
      <w:r>
        <w:rPr>
          <w:rFonts w:hint="eastAsia"/>
          <w:color w:val="auto"/>
        </w:rPr>
        <w:t>二、我单位未被“国家企业信用信息系统”列入经营异常名录或者严重违法企业名单。</w:t>
      </w:r>
    </w:p>
    <w:p w14:paraId="47672D08">
      <w:pPr>
        <w:pStyle w:val="42"/>
        <w:spacing w:before="120"/>
        <w:ind w:firstLine="480"/>
        <w:rPr>
          <w:color w:val="auto"/>
        </w:rPr>
      </w:pPr>
      <w:r>
        <w:rPr>
          <w:rFonts w:hint="eastAsia"/>
          <w:color w:val="auto"/>
        </w:rPr>
        <w:t>三、我单位具有良好的商业信誉和健全的财务会计制度。</w:t>
      </w:r>
    </w:p>
    <w:p w14:paraId="519E8330">
      <w:pPr>
        <w:pStyle w:val="42"/>
        <w:spacing w:before="120"/>
        <w:ind w:firstLine="480"/>
        <w:rPr>
          <w:color w:val="auto"/>
        </w:rPr>
      </w:pPr>
      <w:r>
        <w:rPr>
          <w:rFonts w:hint="eastAsia"/>
          <w:color w:val="auto"/>
        </w:rPr>
        <w:t>四、我单位依法进行纳税和社会保险申报并实际履行了义务。</w:t>
      </w:r>
    </w:p>
    <w:p w14:paraId="257D8CA2">
      <w:pPr>
        <w:pStyle w:val="42"/>
        <w:spacing w:before="120"/>
        <w:ind w:firstLine="480"/>
        <w:rPr>
          <w:color w:val="auto"/>
        </w:rPr>
      </w:pPr>
      <w:r>
        <w:rPr>
          <w:rFonts w:hint="eastAsia"/>
          <w:color w:val="auto"/>
        </w:rPr>
        <w:t>五、我单位具有履行本项目采购合同所必需的设备和专业技术能力，并具有履行合同的良好记录。</w:t>
      </w:r>
    </w:p>
    <w:p w14:paraId="76BC5C3B">
      <w:pPr>
        <w:pStyle w:val="42"/>
        <w:spacing w:before="120"/>
        <w:ind w:firstLine="480"/>
        <w:rPr>
          <w:color w:val="auto"/>
        </w:rPr>
      </w:pPr>
      <w:r>
        <w:rPr>
          <w:rFonts w:hint="eastAsia"/>
          <w:color w:val="auto"/>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2408176E">
      <w:pPr>
        <w:pStyle w:val="42"/>
        <w:spacing w:before="120"/>
        <w:ind w:firstLine="480"/>
        <w:rPr>
          <w:color w:val="auto"/>
        </w:rPr>
      </w:pPr>
      <w:r>
        <w:rPr>
          <w:rFonts w:hint="eastAsia"/>
          <w:color w:val="auto"/>
        </w:rPr>
        <w:t>七、我单位具备法律、行政法规规定的其他条件。</w:t>
      </w:r>
    </w:p>
    <w:p w14:paraId="7497219F">
      <w:pPr>
        <w:pStyle w:val="42"/>
        <w:spacing w:before="120"/>
        <w:ind w:firstLine="480"/>
        <w:rPr>
          <w:color w:val="auto"/>
        </w:rPr>
      </w:pPr>
      <w:r>
        <w:rPr>
          <w:rFonts w:hint="eastAsia"/>
          <w:color w:val="auto"/>
        </w:rPr>
        <w:t>八、与我单位存在“单位负责人为同一人或者存在直接控股、管理关系”的其他单位信息如下（如无，填写“无”）：</w:t>
      </w:r>
    </w:p>
    <w:p w14:paraId="55FB65A9">
      <w:pPr>
        <w:pStyle w:val="42"/>
        <w:spacing w:before="120"/>
        <w:ind w:firstLine="480"/>
        <w:rPr>
          <w:color w:val="auto"/>
        </w:rPr>
      </w:pPr>
      <w:r>
        <w:rPr>
          <w:rFonts w:hint="eastAsia"/>
          <w:color w:val="auto"/>
        </w:rPr>
        <w:t xml:space="preserve">1、与我单位的法定代表人（单位负责人）为同一人的其他单位如下：               </w:t>
      </w:r>
    </w:p>
    <w:p w14:paraId="745A59B5">
      <w:pPr>
        <w:pStyle w:val="42"/>
        <w:spacing w:before="120"/>
        <w:ind w:firstLine="480"/>
        <w:rPr>
          <w:color w:val="auto"/>
        </w:rPr>
      </w:pPr>
      <w:r>
        <w:rPr>
          <w:rFonts w:hint="eastAsia"/>
          <w:color w:val="auto"/>
        </w:rPr>
        <w:t xml:space="preserve">2、我单位直接控股的其他单位如下：               </w:t>
      </w:r>
    </w:p>
    <w:p w14:paraId="388BAD0F">
      <w:pPr>
        <w:pStyle w:val="42"/>
        <w:spacing w:before="120"/>
        <w:ind w:firstLine="480"/>
        <w:rPr>
          <w:color w:val="auto"/>
        </w:rPr>
      </w:pPr>
      <w:r>
        <w:rPr>
          <w:rFonts w:hint="eastAsia"/>
          <w:color w:val="auto"/>
        </w:rPr>
        <w:t xml:space="preserve">3、与我单位存在管理关系的其他单位如下：               </w:t>
      </w:r>
    </w:p>
    <w:p w14:paraId="6D206FC3">
      <w:pPr>
        <w:pStyle w:val="42"/>
        <w:spacing w:before="120"/>
        <w:ind w:firstLine="480"/>
        <w:rPr>
          <w:color w:val="auto"/>
        </w:rPr>
      </w:pPr>
      <w:r>
        <w:rPr>
          <w:rFonts w:hint="eastAsia"/>
          <w:color w:val="auto"/>
        </w:rPr>
        <w:t>九、我单位不属于为本项目提供整体设计、规范编制或者项目管理、监理、检测等服务的投标人。</w:t>
      </w:r>
    </w:p>
    <w:p w14:paraId="5AF24471">
      <w:pPr>
        <w:pStyle w:val="42"/>
        <w:spacing w:before="120"/>
        <w:ind w:firstLine="480"/>
        <w:rPr>
          <w:color w:val="auto"/>
        </w:rPr>
      </w:pPr>
      <w:r>
        <w:rPr>
          <w:rFonts w:hint="eastAsia"/>
          <w:color w:val="auto"/>
        </w:rPr>
        <w:t>十、我单位无以下不良信用记录情形：</w:t>
      </w:r>
    </w:p>
    <w:p w14:paraId="3065A122">
      <w:pPr>
        <w:pStyle w:val="42"/>
        <w:spacing w:before="120"/>
        <w:ind w:firstLine="480"/>
        <w:rPr>
          <w:color w:val="auto"/>
        </w:rPr>
      </w:pPr>
      <w:r>
        <w:rPr>
          <w:rFonts w:hint="eastAsia"/>
          <w:color w:val="auto"/>
        </w:rPr>
        <w:t>（1）被人民法院列入失信被执行人；</w:t>
      </w:r>
    </w:p>
    <w:p w14:paraId="0DB4181F">
      <w:pPr>
        <w:pStyle w:val="42"/>
        <w:spacing w:before="120"/>
        <w:ind w:firstLine="480"/>
        <w:rPr>
          <w:color w:val="auto"/>
        </w:rPr>
      </w:pPr>
      <w:r>
        <w:rPr>
          <w:rFonts w:hint="eastAsia"/>
          <w:color w:val="auto"/>
        </w:rPr>
        <w:t>（2）单位、法定代表人或拟派项目经理（项目负责人）被人民检察院列入行贿犯罪档案；</w:t>
      </w:r>
    </w:p>
    <w:p w14:paraId="388C303A">
      <w:pPr>
        <w:pStyle w:val="42"/>
        <w:spacing w:before="120"/>
        <w:ind w:firstLine="480"/>
        <w:rPr>
          <w:color w:val="auto"/>
        </w:rPr>
      </w:pPr>
      <w:r>
        <w:rPr>
          <w:rFonts w:hint="eastAsia"/>
          <w:color w:val="auto"/>
        </w:rPr>
        <w:t>（3）被工商行政管理部门列入企业经营异常名录；</w:t>
      </w:r>
    </w:p>
    <w:p w14:paraId="341CD8C9">
      <w:pPr>
        <w:pStyle w:val="42"/>
        <w:spacing w:before="120"/>
        <w:ind w:firstLine="480"/>
        <w:rPr>
          <w:color w:val="auto"/>
        </w:rPr>
      </w:pPr>
      <w:r>
        <w:rPr>
          <w:rFonts w:hint="eastAsia"/>
          <w:color w:val="auto"/>
        </w:rPr>
        <w:t>（4）被税务部门列入重大税收违法案件当事人名单；</w:t>
      </w:r>
    </w:p>
    <w:p w14:paraId="7DD1C468">
      <w:pPr>
        <w:pStyle w:val="42"/>
        <w:spacing w:before="120"/>
        <w:ind w:firstLine="480"/>
        <w:rPr>
          <w:color w:val="auto"/>
        </w:rPr>
      </w:pPr>
      <w:r>
        <w:rPr>
          <w:rFonts w:hint="eastAsia"/>
          <w:color w:val="auto"/>
        </w:rPr>
        <w:t>（5）被政府采购监管部门列入政府采购严重违法失信行为记录名单。</w:t>
      </w:r>
    </w:p>
    <w:p w14:paraId="44778C51">
      <w:pPr>
        <w:pStyle w:val="42"/>
        <w:spacing w:before="120"/>
        <w:ind w:firstLine="480"/>
        <w:rPr>
          <w:color w:val="auto"/>
        </w:rPr>
      </w:pPr>
      <w:r>
        <w:rPr>
          <w:rFonts w:hint="eastAsia"/>
          <w:color w:val="auto"/>
        </w:rPr>
        <w:t>十一、</w:t>
      </w:r>
      <w:r>
        <w:rPr>
          <w:rFonts w:hint="eastAsia"/>
          <w:color w:val="auto"/>
          <w:u w:val="single"/>
        </w:rPr>
        <w:t xml:space="preserve">                                                        </w:t>
      </w:r>
      <w:r>
        <w:rPr>
          <w:rFonts w:hint="eastAsia"/>
          <w:color w:val="auto"/>
        </w:rPr>
        <w:t>。</w:t>
      </w:r>
    </w:p>
    <w:p w14:paraId="4B450647">
      <w:pPr>
        <w:pStyle w:val="42"/>
        <w:spacing w:before="120"/>
        <w:ind w:firstLine="480"/>
        <w:rPr>
          <w:color w:val="auto"/>
        </w:rPr>
      </w:pPr>
      <w:r>
        <w:rPr>
          <w:rFonts w:hint="eastAsia"/>
          <w:color w:val="auto"/>
        </w:rPr>
        <w:t>我单位保证上述声明的事项都是真实的，如有虚假，我单位愿意承担相应的法律责任，并承担因此所造成的一切损失。</w:t>
      </w:r>
    </w:p>
    <w:p w14:paraId="7D9DB4F3">
      <w:pPr>
        <w:pStyle w:val="42"/>
        <w:spacing w:before="120"/>
        <w:ind w:firstLine="480"/>
        <w:rPr>
          <w:color w:val="auto"/>
        </w:rPr>
      </w:pP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BF5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26E007AE">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6F0D0728">
            <w:pPr>
              <w:pStyle w:val="42"/>
              <w:spacing w:before="120" w:line="540" w:lineRule="exact"/>
              <w:ind w:firstLine="480"/>
              <w:jc w:val="center"/>
              <w:rPr>
                <w:color w:val="auto"/>
              </w:rPr>
            </w:pPr>
          </w:p>
        </w:tc>
      </w:tr>
      <w:tr w14:paraId="4FB2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3ED557CE">
            <w:pPr>
              <w:pStyle w:val="42"/>
              <w:spacing w:beforeLines="0" w:line="240" w:lineRule="auto"/>
              <w:ind w:firstLine="0" w:firstLineChars="0"/>
              <w:jc w:val="distribute"/>
              <w:rPr>
                <w:color w:val="auto"/>
              </w:rPr>
            </w:pPr>
            <w:r>
              <w:rPr>
                <w:rFonts w:hint="eastAsia"/>
                <w:color w:val="auto"/>
              </w:rPr>
              <w:t>法定代表人（单位负责人）</w:t>
            </w:r>
          </w:p>
        </w:tc>
        <w:tc>
          <w:tcPr>
            <w:tcW w:w="5913" w:type="dxa"/>
            <w:gridSpan w:val="3"/>
            <w:tcBorders>
              <w:top w:val="nil"/>
              <w:left w:val="nil"/>
              <w:bottom w:val="nil"/>
              <w:right w:val="nil"/>
            </w:tcBorders>
            <w:vAlign w:val="center"/>
          </w:tcPr>
          <w:p w14:paraId="0C22C7A4">
            <w:pPr>
              <w:pStyle w:val="42"/>
              <w:spacing w:before="120" w:line="540" w:lineRule="exact"/>
              <w:ind w:firstLine="480"/>
              <w:jc w:val="center"/>
              <w:rPr>
                <w:color w:val="auto"/>
              </w:rPr>
            </w:pPr>
          </w:p>
        </w:tc>
      </w:tr>
      <w:tr w14:paraId="4C28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7D4C93CE">
            <w:pPr>
              <w:pStyle w:val="42"/>
              <w:spacing w:beforeLines="0" w:line="240" w:lineRule="auto"/>
              <w:ind w:firstLine="0" w:firstLineChars="0"/>
              <w:jc w:val="distribute"/>
              <w:rPr>
                <w:color w:val="auto"/>
              </w:rPr>
            </w:pPr>
            <w:r>
              <w:rPr>
                <w:rFonts w:hint="eastAsia"/>
                <w:color w:val="auto"/>
              </w:rPr>
              <w:t>或其授权的代理人（</w:t>
            </w:r>
            <w:r>
              <w:rPr>
                <w:rFonts w:hint="eastAsia"/>
                <w:color w:val="auto"/>
                <w:lang w:eastAsia="zh-CN"/>
              </w:rPr>
              <w:t>签字或盖章</w:t>
            </w:r>
            <w:r>
              <w:rPr>
                <w:rFonts w:hint="eastAsia"/>
                <w:color w:val="auto"/>
              </w:rPr>
              <w:t>）：</w:t>
            </w:r>
          </w:p>
        </w:tc>
        <w:tc>
          <w:tcPr>
            <w:tcW w:w="5913" w:type="dxa"/>
            <w:gridSpan w:val="3"/>
            <w:tcBorders>
              <w:top w:val="nil"/>
              <w:left w:val="nil"/>
              <w:bottom w:val="nil"/>
              <w:right w:val="nil"/>
            </w:tcBorders>
            <w:vAlign w:val="center"/>
          </w:tcPr>
          <w:p w14:paraId="36E2D19E">
            <w:pPr>
              <w:pStyle w:val="42"/>
              <w:spacing w:before="120" w:line="540" w:lineRule="exact"/>
              <w:ind w:firstLine="480"/>
              <w:jc w:val="center"/>
              <w:rPr>
                <w:color w:val="auto"/>
              </w:rPr>
            </w:pPr>
          </w:p>
        </w:tc>
      </w:tr>
      <w:tr w14:paraId="746C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1CA1836">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3EEBC50D">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044D7969">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0A003575">
            <w:pPr>
              <w:pStyle w:val="42"/>
              <w:spacing w:beforeLines="0" w:line="240" w:lineRule="auto"/>
              <w:ind w:firstLine="0" w:firstLineChars="0"/>
              <w:jc w:val="right"/>
              <w:rPr>
                <w:color w:val="auto"/>
              </w:rPr>
            </w:pPr>
            <w:r>
              <w:rPr>
                <w:rFonts w:hint="eastAsia"/>
                <w:color w:val="auto"/>
              </w:rPr>
              <w:t>年   月   日</w:t>
            </w:r>
          </w:p>
        </w:tc>
      </w:tr>
    </w:tbl>
    <w:p w14:paraId="1A28189C">
      <w:pPr>
        <w:rPr>
          <w:color w:val="auto"/>
        </w:rPr>
      </w:pPr>
      <w:r>
        <w:rPr>
          <w:rFonts w:hint="eastAsia"/>
          <w:color w:val="auto"/>
        </w:rPr>
        <w:br w:type="page"/>
      </w:r>
    </w:p>
    <w:p w14:paraId="4873D11E">
      <w:pPr>
        <w:pStyle w:val="6"/>
        <w:rPr>
          <w:color w:val="auto"/>
        </w:rPr>
      </w:pPr>
      <w:r>
        <w:rPr>
          <w:rFonts w:hint="eastAsia"/>
          <w:color w:val="auto"/>
        </w:rPr>
        <w:t>附件</w:t>
      </w:r>
      <w:r>
        <w:rPr>
          <w:rFonts w:hint="eastAsia"/>
          <w:color w:val="auto"/>
          <w:lang w:val="en-US" w:eastAsia="zh-CN"/>
        </w:rPr>
        <w:t>4</w:t>
      </w:r>
      <w:r>
        <w:rPr>
          <w:rFonts w:hint="eastAsia"/>
          <w:color w:val="auto"/>
        </w:rPr>
        <w:t>-</w:t>
      </w:r>
      <w:r>
        <w:rPr>
          <w:rFonts w:hint="eastAsia"/>
          <w:color w:val="auto"/>
          <w:lang w:val="en-US" w:eastAsia="zh-CN"/>
        </w:rPr>
        <w:t>2</w:t>
      </w:r>
      <w:r>
        <w:rPr>
          <w:rFonts w:hint="eastAsia"/>
          <w:color w:val="auto"/>
        </w:rPr>
        <w:t xml:space="preserve"> </w:t>
      </w:r>
      <w:r>
        <w:rPr>
          <w:rFonts w:hint="eastAsia"/>
          <w:color w:val="auto"/>
          <w:lang w:val="en-US" w:eastAsia="zh-CN"/>
        </w:rPr>
        <w:t>湖南省政府采购供应商资格承诺函</w:t>
      </w:r>
      <w:r>
        <w:rPr>
          <w:rFonts w:hint="eastAsia"/>
          <w:color w:val="auto"/>
        </w:rPr>
        <w:t>（格式）</w:t>
      </w:r>
    </w:p>
    <w:p w14:paraId="0DF91AB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auto"/>
        <w:rPr>
          <w:rFonts w:ascii="方正小标宋_GBK" w:hAnsi="方正小标宋_GBK" w:eastAsia="方正小标宋_GBK" w:cs="方正小标宋_GBK"/>
          <w:b/>
          <w:bCs/>
          <w:color w:val="auto"/>
          <w:kern w:val="0"/>
          <w:sz w:val="32"/>
          <w:szCs w:val="32"/>
          <w:lang w:val="en-US" w:eastAsia="zh-CN" w:bidi="ar"/>
        </w:rPr>
      </w:pPr>
      <w:r>
        <w:rPr>
          <w:rFonts w:ascii="方正小标宋_GBK" w:hAnsi="方正小标宋_GBK" w:eastAsia="方正小标宋_GBK" w:cs="方正小标宋_GBK"/>
          <w:b/>
          <w:bCs/>
          <w:color w:val="auto"/>
          <w:kern w:val="0"/>
          <w:sz w:val="32"/>
          <w:szCs w:val="32"/>
          <w:lang w:val="en-US" w:eastAsia="zh-CN" w:bidi="ar"/>
        </w:rPr>
        <w:t>湖南省政府采购供应商资格承诺函</w:t>
      </w:r>
      <w:r>
        <w:rPr>
          <w:rFonts w:hint="eastAsia" w:ascii="方正小标宋_GBK" w:hAnsi="方正小标宋_GBK" w:eastAsia="方正小标宋_GBK" w:cs="方正小标宋_GBK"/>
          <w:b/>
          <w:bCs/>
          <w:color w:val="auto"/>
          <w:kern w:val="0"/>
          <w:sz w:val="32"/>
          <w:szCs w:val="32"/>
          <w:lang w:val="en-US" w:eastAsia="zh-CN" w:bidi="ar"/>
        </w:rPr>
        <w:t>（格式）</w:t>
      </w:r>
    </w:p>
    <w:p w14:paraId="7CEA0F5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auto"/>
        <w:rPr>
          <w:rFonts w:ascii="方正小标宋_GBK" w:hAnsi="方正小标宋_GBK" w:eastAsia="方正小标宋_GBK" w:cs="方正小标宋_GBK"/>
          <w:b/>
          <w:bCs/>
          <w:color w:val="auto"/>
          <w:kern w:val="0"/>
          <w:sz w:val="32"/>
          <w:szCs w:val="32"/>
          <w:lang w:val="en-US" w:eastAsia="zh-CN" w:bidi="ar"/>
        </w:rPr>
      </w:pPr>
    </w:p>
    <w:p w14:paraId="229307D5">
      <w:pPr>
        <w:widowControl/>
        <w:spacing w:line="460" w:lineRule="exact"/>
        <w:ind w:firstLine="560" w:firstLineChars="200"/>
        <w:jc w:val="left"/>
        <w:rPr>
          <w:color w:val="auto"/>
          <w:sz w:val="20"/>
          <w:szCs w:val="22"/>
        </w:rPr>
      </w:pPr>
      <w:r>
        <w:rPr>
          <w:rFonts w:ascii="仿宋_GB2312" w:hAnsi="仿宋_GB2312" w:eastAsia="仿宋_GB2312" w:cs="仿宋_GB2312"/>
          <w:color w:val="auto"/>
          <w:kern w:val="0"/>
          <w:sz w:val="28"/>
          <w:szCs w:val="28"/>
          <w:lang w:bidi="ar"/>
        </w:rPr>
        <w:t>本公司独立承担民事责任、具有良好的商业信誉和健全的财 务会计制度、依法缴纳税收和社会保障资金，在前三年的经营活 动中无重大违法记录，未列入严重失信行为名单，符合政府采购 供应商的基本资格要求。 按 照 《 政 府 采 购 促 进 中 小 企 业 发 展 管 理 办 法 》（ 财 库 〔</w:t>
      </w:r>
      <w:r>
        <w:rPr>
          <w:color w:val="auto"/>
          <w:kern w:val="0"/>
          <w:sz w:val="28"/>
          <w:szCs w:val="28"/>
          <w:lang w:bidi="ar"/>
        </w:rPr>
        <w:t>2020</w:t>
      </w:r>
      <w:r>
        <w:rPr>
          <w:rFonts w:ascii="仿宋_GB2312" w:hAnsi="仿宋_GB2312" w:eastAsia="仿宋_GB2312" w:cs="仿宋_GB2312"/>
          <w:color w:val="auto"/>
          <w:kern w:val="0"/>
          <w:sz w:val="28"/>
          <w:szCs w:val="28"/>
          <w:lang w:bidi="ar"/>
        </w:rPr>
        <w:t>〕</w:t>
      </w:r>
      <w:r>
        <w:rPr>
          <w:color w:val="auto"/>
          <w:kern w:val="0"/>
          <w:sz w:val="28"/>
          <w:szCs w:val="28"/>
          <w:lang w:bidi="ar"/>
        </w:rPr>
        <w:t xml:space="preserve">46 </w:t>
      </w:r>
      <w:r>
        <w:rPr>
          <w:rFonts w:ascii="仿宋_GB2312" w:hAnsi="仿宋_GB2312" w:eastAsia="仿宋_GB2312" w:cs="仿宋_GB2312"/>
          <w:color w:val="auto"/>
          <w:kern w:val="0"/>
          <w:sz w:val="28"/>
          <w:szCs w:val="28"/>
          <w:lang w:bidi="ar"/>
        </w:rPr>
        <w:t>号），本公司企业规模为：大型</w:t>
      </w:r>
      <w:r>
        <w:rPr>
          <w:rFonts w:hint="eastAsia" w:ascii="宋体" w:hAnsi="宋体" w:eastAsia="仿宋_GB2312" w:cs="宋体"/>
          <w:color w:val="auto"/>
          <w:kern w:val="0"/>
          <w:sz w:val="30"/>
          <w:szCs w:val="30"/>
          <w:lang w:bidi="ar"/>
        </w:rPr>
        <w:sym w:font="Wingdings" w:char="00A8"/>
      </w:r>
      <w:r>
        <w:rPr>
          <w:rFonts w:hint="eastAsia" w:ascii="宋体" w:hAnsi="宋体" w:cs="宋体"/>
          <w:color w:val="auto"/>
          <w:sz w:val="20"/>
          <w:szCs w:val="20"/>
        </w:rPr>
        <w:t xml:space="preserve"> </w:t>
      </w:r>
      <w:r>
        <w:rPr>
          <w:rFonts w:ascii="Wingdings 2" w:hAnsi="Wingdings 2" w:eastAsia="Wingdings 2" w:cs="Wingdings 2"/>
          <w:color w:val="auto"/>
          <w:kern w:val="0"/>
          <w:sz w:val="28"/>
          <w:szCs w:val="28"/>
          <w:lang w:bidi="ar"/>
        </w:rPr>
        <w:t></w:t>
      </w:r>
      <w:r>
        <w:rPr>
          <w:rFonts w:ascii="仿宋_GB2312" w:hAnsi="仿宋_GB2312" w:eastAsia="仿宋_GB2312" w:cs="仿宋_GB2312"/>
          <w:color w:val="auto"/>
          <w:kern w:val="0"/>
          <w:sz w:val="28"/>
          <w:szCs w:val="28"/>
          <w:lang w:bidi="ar"/>
        </w:rPr>
        <w:t>中型</w:t>
      </w:r>
      <w:r>
        <w:rPr>
          <w:rFonts w:hint="eastAsia" w:ascii="宋体" w:hAnsi="宋体" w:eastAsia="仿宋_GB2312" w:cs="宋体"/>
          <w:color w:val="auto"/>
          <w:kern w:val="0"/>
          <w:sz w:val="30"/>
          <w:szCs w:val="30"/>
          <w:lang w:bidi="ar"/>
        </w:rPr>
        <w:sym w:font="Wingdings" w:char="00A8"/>
      </w:r>
      <w:r>
        <w:rPr>
          <w:rFonts w:hint="eastAsia" w:ascii="宋体" w:hAnsi="宋体" w:cs="宋体"/>
          <w:color w:val="auto"/>
          <w:sz w:val="20"/>
          <w:szCs w:val="20"/>
        </w:rPr>
        <w:t xml:space="preserve">   </w:t>
      </w:r>
      <w:r>
        <w:rPr>
          <w:rFonts w:ascii="仿宋_GB2312" w:hAnsi="仿宋_GB2312" w:eastAsia="仿宋_GB2312" w:cs="仿宋_GB2312"/>
          <w:color w:val="auto"/>
          <w:kern w:val="0"/>
          <w:sz w:val="28"/>
          <w:szCs w:val="28"/>
          <w:lang w:bidi="ar"/>
        </w:rPr>
        <w:t>小型</w:t>
      </w:r>
      <w:r>
        <w:rPr>
          <w:rFonts w:hint="eastAsia" w:ascii="宋体" w:hAnsi="宋体" w:eastAsia="仿宋_GB2312" w:cs="宋体"/>
          <w:color w:val="auto"/>
          <w:kern w:val="0"/>
          <w:sz w:val="30"/>
          <w:szCs w:val="30"/>
          <w:lang w:bidi="ar"/>
        </w:rPr>
        <w:sym w:font="Wingdings" w:char="00A8"/>
      </w:r>
      <w:r>
        <w:rPr>
          <w:rFonts w:hint="eastAsia" w:ascii="宋体" w:hAnsi="宋体" w:cs="宋体"/>
          <w:color w:val="auto"/>
          <w:sz w:val="20"/>
          <w:szCs w:val="20"/>
        </w:rPr>
        <w:t xml:space="preserve">  </w:t>
      </w:r>
      <w:r>
        <w:rPr>
          <w:rFonts w:ascii="仿宋_GB2312" w:hAnsi="仿宋_GB2312" w:eastAsia="仿宋_GB2312" w:cs="仿宋_GB2312"/>
          <w:color w:val="auto"/>
          <w:kern w:val="0"/>
          <w:sz w:val="28"/>
          <w:szCs w:val="28"/>
          <w:lang w:bidi="ar"/>
        </w:rPr>
        <w:t>微型</w:t>
      </w:r>
      <w:r>
        <w:rPr>
          <w:rFonts w:hint="eastAsia" w:ascii="宋体" w:hAnsi="宋体" w:eastAsia="仿宋_GB2312" w:cs="宋体"/>
          <w:color w:val="auto"/>
          <w:kern w:val="0"/>
          <w:sz w:val="30"/>
          <w:szCs w:val="30"/>
          <w:lang w:bidi="ar"/>
        </w:rPr>
        <w:sym w:font="Wingdings" w:char="00A8"/>
      </w:r>
      <w:r>
        <w:rPr>
          <w:rFonts w:hint="eastAsia" w:ascii="宋体" w:hAnsi="宋体" w:cs="宋体"/>
          <w:color w:val="auto"/>
          <w:sz w:val="20"/>
          <w:szCs w:val="20"/>
        </w:rPr>
        <w:t xml:space="preserve"> </w:t>
      </w:r>
    </w:p>
    <w:p w14:paraId="05A6140F">
      <w:pPr>
        <w:widowControl/>
        <w:spacing w:line="460" w:lineRule="exact"/>
        <w:jc w:val="left"/>
        <w:rPr>
          <w:rFonts w:hint="eastAsia" w:ascii="宋体" w:hAnsi="宋体" w:cs="宋体"/>
          <w:color w:val="auto"/>
          <w:kern w:val="0"/>
          <w:sz w:val="20"/>
          <w:szCs w:val="20"/>
        </w:rPr>
      </w:pPr>
    </w:p>
    <w:p w14:paraId="603E257E">
      <w:pPr>
        <w:widowControl/>
        <w:spacing w:line="460" w:lineRule="exact"/>
        <w:jc w:val="left"/>
        <w:rPr>
          <w:color w:val="auto"/>
          <w:sz w:val="20"/>
          <w:szCs w:val="22"/>
        </w:rPr>
      </w:pPr>
      <w:r>
        <w:rPr>
          <w:rFonts w:hint="eastAsia" w:ascii="宋体" w:hAnsi="宋体" w:eastAsia="仿宋_GB2312" w:cs="宋体"/>
          <w:color w:val="auto"/>
          <w:kern w:val="0"/>
          <w:sz w:val="30"/>
          <w:szCs w:val="30"/>
          <w:lang w:bidi="ar"/>
        </w:rPr>
        <w:sym w:font="Wingdings" w:char="00A8"/>
      </w:r>
      <w:r>
        <w:rPr>
          <w:rFonts w:hint="eastAsia" w:ascii="宋体" w:hAnsi="宋体" w:cs="宋体"/>
          <w:color w:val="auto"/>
          <w:sz w:val="20"/>
          <w:szCs w:val="20"/>
        </w:rPr>
        <w:t xml:space="preserve"> </w:t>
      </w:r>
      <w:r>
        <w:rPr>
          <w:rFonts w:ascii="仿宋_GB2312" w:hAnsi="仿宋_GB2312" w:eastAsia="仿宋_GB2312" w:cs="仿宋_GB2312"/>
          <w:color w:val="auto"/>
          <w:kern w:val="0"/>
          <w:sz w:val="28"/>
          <w:szCs w:val="28"/>
          <w:lang w:bidi="ar"/>
        </w:rPr>
        <w:t>本公司自愿入驻湖南省政府采购电子卖场，遵守《湖南省政府采购电子卖场管理办法》（湘财购〔</w:t>
      </w:r>
      <w:r>
        <w:rPr>
          <w:color w:val="auto"/>
          <w:kern w:val="0"/>
          <w:sz w:val="28"/>
          <w:szCs w:val="28"/>
          <w:lang w:bidi="ar"/>
        </w:rPr>
        <w:t>2019</w:t>
      </w:r>
      <w:r>
        <w:rPr>
          <w:rFonts w:ascii="仿宋_GB2312" w:hAnsi="仿宋_GB2312" w:eastAsia="仿宋_GB2312" w:cs="仿宋_GB2312"/>
          <w:color w:val="auto"/>
          <w:kern w:val="0"/>
          <w:sz w:val="28"/>
          <w:szCs w:val="28"/>
          <w:lang w:bidi="ar"/>
        </w:rPr>
        <w:t>〕</w:t>
      </w:r>
      <w:r>
        <w:rPr>
          <w:color w:val="auto"/>
          <w:kern w:val="0"/>
          <w:sz w:val="28"/>
          <w:szCs w:val="28"/>
          <w:lang w:bidi="ar"/>
        </w:rPr>
        <w:t xml:space="preserve">27 </w:t>
      </w:r>
      <w:r>
        <w:rPr>
          <w:rFonts w:ascii="仿宋_GB2312" w:hAnsi="仿宋_GB2312" w:eastAsia="仿宋_GB2312" w:cs="仿宋_GB2312"/>
          <w:color w:val="auto"/>
          <w:kern w:val="0"/>
          <w:sz w:val="28"/>
          <w:szCs w:val="28"/>
          <w:lang w:bidi="ar"/>
        </w:rPr>
        <w:t xml:space="preserve">号），如违反承 诺，同意金融机构将增信保证划缴国库（非电子卖场采购活动项目不需勾选）。 </w:t>
      </w:r>
    </w:p>
    <w:p w14:paraId="01526A8B">
      <w:pPr>
        <w:widowControl/>
        <w:spacing w:line="460" w:lineRule="exact"/>
        <w:jc w:val="left"/>
        <w:rPr>
          <w:color w:val="auto"/>
          <w:sz w:val="20"/>
          <w:szCs w:val="22"/>
        </w:rPr>
      </w:pPr>
      <w:r>
        <w:rPr>
          <w:rFonts w:ascii="仿宋_GB2312" w:hAnsi="仿宋_GB2312" w:eastAsia="仿宋_GB2312" w:cs="仿宋_GB2312"/>
          <w:color w:val="auto"/>
          <w:kern w:val="0"/>
          <w:sz w:val="28"/>
          <w:szCs w:val="28"/>
          <w:lang w:bidi="ar"/>
        </w:rPr>
        <w:t xml:space="preserve">公司（单位）名称（盖章） </w:t>
      </w:r>
    </w:p>
    <w:p w14:paraId="12292FE0">
      <w:pPr>
        <w:widowControl/>
        <w:spacing w:line="460" w:lineRule="exact"/>
        <w:ind w:firstLine="5040" w:firstLineChars="1800"/>
        <w:jc w:val="left"/>
        <w:rPr>
          <w:color w:val="auto"/>
          <w:sz w:val="20"/>
          <w:szCs w:val="22"/>
        </w:rPr>
      </w:pPr>
      <w:r>
        <w:rPr>
          <w:rFonts w:hint="eastAsia" w:ascii="仿宋_GB2312" w:hAnsi="仿宋_GB2312" w:eastAsia="仿宋_GB2312" w:cs="仿宋_GB2312"/>
          <w:color w:val="auto"/>
          <w:kern w:val="0"/>
          <w:sz w:val="28"/>
          <w:szCs w:val="28"/>
          <w:u w:val="single"/>
          <w:lang w:bidi="ar"/>
        </w:rPr>
        <w:t xml:space="preserve">    </w:t>
      </w:r>
      <w:r>
        <w:rPr>
          <w:rFonts w:ascii="仿宋_GB2312" w:hAnsi="仿宋_GB2312" w:eastAsia="仿宋_GB2312" w:cs="仿宋_GB2312"/>
          <w:color w:val="auto"/>
          <w:kern w:val="0"/>
          <w:sz w:val="28"/>
          <w:szCs w:val="28"/>
          <w:lang w:bidi="ar"/>
        </w:rPr>
        <w:t>年</w:t>
      </w:r>
      <w:r>
        <w:rPr>
          <w:rFonts w:ascii="仿宋_GB2312" w:hAnsi="仿宋_GB2312" w:eastAsia="仿宋_GB2312" w:cs="仿宋_GB2312"/>
          <w:color w:val="auto"/>
          <w:kern w:val="0"/>
          <w:sz w:val="28"/>
          <w:szCs w:val="28"/>
          <w:u w:val="single"/>
          <w:lang w:bidi="ar"/>
        </w:rPr>
        <w:t xml:space="preserve"> </w:t>
      </w:r>
      <w:r>
        <w:rPr>
          <w:rFonts w:hint="eastAsia" w:ascii="仿宋_GB2312" w:hAnsi="仿宋_GB2312" w:eastAsia="仿宋_GB2312" w:cs="仿宋_GB2312"/>
          <w:color w:val="auto"/>
          <w:kern w:val="0"/>
          <w:sz w:val="28"/>
          <w:szCs w:val="28"/>
          <w:u w:val="single"/>
          <w:lang w:bidi="ar"/>
        </w:rPr>
        <w:t xml:space="preserve">  </w:t>
      </w:r>
      <w:r>
        <w:rPr>
          <w:rFonts w:ascii="仿宋_GB2312" w:hAnsi="仿宋_GB2312" w:eastAsia="仿宋_GB2312" w:cs="仿宋_GB2312"/>
          <w:color w:val="auto"/>
          <w:kern w:val="0"/>
          <w:sz w:val="28"/>
          <w:szCs w:val="28"/>
          <w:lang w:bidi="ar"/>
        </w:rPr>
        <w:t>月</w:t>
      </w:r>
      <w:r>
        <w:rPr>
          <w:rFonts w:hint="eastAsia" w:ascii="仿宋_GB2312" w:hAnsi="仿宋_GB2312" w:eastAsia="仿宋_GB2312" w:cs="仿宋_GB2312"/>
          <w:color w:val="auto"/>
          <w:kern w:val="0"/>
          <w:sz w:val="28"/>
          <w:szCs w:val="28"/>
          <w:lang w:bidi="ar"/>
        </w:rPr>
        <w:t xml:space="preserve"> </w:t>
      </w:r>
      <w:r>
        <w:rPr>
          <w:rFonts w:hint="eastAsia" w:ascii="仿宋_GB2312" w:hAnsi="仿宋_GB2312" w:eastAsia="仿宋_GB2312" w:cs="仿宋_GB2312"/>
          <w:color w:val="auto"/>
          <w:kern w:val="0"/>
          <w:sz w:val="28"/>
          <w:szCs w:val="28"/>
          <w:u w:val="single"/>
          <w:lang w:bidi="ar"/>
        </w:rPr>
        <w:t xml:space="preserve">  </w:t>
      </w:r>
      <w:r>
        <w:rPr>
          <w:rFonts w:ascii="仿宋_GB2312" w:hAnsi="仿宋_GB2312" w:eastAsia="仿宋_GB2312" w:cs="仿宋_GB2312"/>
          <w:color w:val="auto"/>
          <w:kern w:val="0"/>
          <w:sz w:val="28"/>
          <w:szCs w:val="28"/>
          <w:u w:val="single"/>
          <w:lang w:bidi="ar"/>
        </w:rPr>
        <w:t xml:space="preserve"> </w:t>
      </w:r>
      <w:r>
        <w:rPr>
          <w:rFonts w:ascii="仿宋_GB2312" w:hAnsi="仿宋_GB2312" w:eastAsia="仿宋_GB2312" w:cs="仿宋_GB2312"/>
          <w:color w:val="auto"/>
          <w:kern w:val="0"/>
          <w:sz w:val="28"/>
          <w:szCs w:val="28"/>
          <w:lang w:bidi="ar"/>
        </w:rPr>
        <w:t xml:space="preserve">日 </w:t>
      </w:r>
    </w:p>
    <w:p w14:paraId="56006399">
      <w:pPr>
        <w:widowControl/>
        <w:spacing w:line="460" w:lineRule="exact"/>
        <w:jc w:val="left"/>
        <w:rPr>
          <w:rFonts w:hint="eastAsia" w:ascii="仿宋_GB2312" w:hAnsi="仿宋_GB2312" w:eastAsia="仿宋_GB2312" w:cs="仿宋_GB2312"/>
          <w:color w:val="auto"/>
          <w:kern w:val="0"/>
          <w:sz w:val="28"/>
          <w:szCs w:val="28"/>
          <w:u w:val="single"/>
          <w:lang w:bidi="ar"/>
        </w:rPr>
      </w:pPr>
      <w:r>
        <w:rPr>
          <w:rFonts w:ascii="仿宋_GB2312" w:hAnsi="仿宋_GB2312" w:eastAsia="仿宋_GB2312" w:cs="仿宋_GB2312"/>
          <w:color w:val="auto"/>
          <w:kern w:val="0"/>
          <w:sz w:val="28"/>
          <w:szCs w:val="28"/>
          <w:lang w:bidi="ar"/>
        </w:rPr>
        <w:t>机构代码</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314CCD24">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注册登记机构</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66A478BA">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日期</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6AD7A20D">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有效期</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7CE9C8F8">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注册资本</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1365D346">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地址</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0CB1FCD3">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经济行业</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3A2587B2">
      <w:pPr>
        <w:widowControl/>
        <w:spacing w:line="460" w:lineRule="exact"/>
        <w:jc w:val="left"/>
        <w:rPr>
          <w:color w:val="auto"/>
          <w:sz w:val="20"/>
          <w:szCs w:val="22"/>
        </w:rPr>
      </w:pPr>
      <w:r>
        <w:rPr>
          <w:rFonts w:ascii="仿宋_GB2312" w:hAnsi="仿宋_GB2312" w:eastAsia="仿宋_GB2312" w:cs="仿宋_GB2312"/>
          <w:color w:val="auto"/>
          <w:kern w:val="0"/>
          <w:sz w:val="28"/>
          <w:szCs w:val="28"/>
          <w:lang w:bidi="ar"/>
        </w:rPr>
        <w:t xml:space="preserve">经济性质 </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438CA033">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法定代表人（负责人）姓名（签字）</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268E3566">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身份证号</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428288BB">
      <w:pPr>
        <w:widowControl/>
        <w:spacing w:line="460" w:lineRule="exact"/>
        <w:jc w:val="left"/>
        <w:rPr>
          <w:color w:val="auto"/>
          <w:sz w:val="20"/>
          <w:szCs w:val="22"/>
        </w:rPr>
      </w:pPr>
      <w:r>
        <w:rPr>
          <w:rFonts w:ascii="仿宋_GB2312" w:hAnsi="仿宋_GB2312" w:eastAsia="仿宋_GB2312" w:cs="仿宋_GB2312"/>
          <w:color w:val="auto"/>
          <w:kern w:val="0"/>
          <w:sz w:val="28"/>
          <w:szCs w:val="28"/>
          <w:lang w:bidi="ar"/>
        </w:rPr>
        <w:t>手机号</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19DE04E3">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授权代表人姓名（签字）</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669CA7D6">
      <w:pPr>
        <w:widowControl/>
        <w:spacing w:line="460" w:lineRule="exact"/>
        <w:jc w:val="left"/>
        <w:rPr>
          <w:rFonts w:ascii="仿宋_GB2312" w:hAnsi="仿宋_GB2312" w:eastAsia="仿宋_GB2312" w:cs="仿宋_GB2312"/>
          <w:color w:val="auto"/>
          <w:kern w:val="0"/>
          <w:sz w:val="28"/>
          <w:szCs w:val="28"/>
          <w:lang w:bidi="ar"/>
        </w:rPr>
      </w:pPr>
      <w:r>
        <w:rPr>
          <w:rFonts w:ascii="仿宋_GB2312" w:hAnsi="仿宋_GB2312" w:eastAsia="仿宋_GB2312" w:cs="仿宋_GB2312"/>
          <w:color w:val="auto"/>
          <w:kern w:val="0"/>
          <w:sz w:val="28"/>
          <w:szCs w:val="28"/>
          <w:lang w:bidi="ar"/>
        </w:rPr>
        <w:t>身份证号</w:t>
      </w:r>
      <w:r>
        <w:rPr>
          <w:rFonts w:hint="eastAsia" w:ascii="仿宋_GB2312" w:hAnsi="仿宋_GB2312" w:eastAsia="仿宋_GB2312" w:cs="仿宋_GB2312"/>
          <w:color w:val="auto"/>
          <w:kern w:val="0"/>
          <w:sz w:val="28"/>
          <w:szCs w:val="28"/>
          <w:lang w:bidi="ar"/>
        </w:rPr>
        <w:t>：</w:t>
      </w:r>
      <w:r>
        <w:rPr>
          <w:rFonts w:hint="eastAsia" w:ascii="仿宋_GB2312" w:hAnsi="仿宋_GB2312" w:eastAsia="仿宋_GB2312" w:cs="仿宋_GB2312"/>
          <w:color w:val="auto"/>
          <w:kern w:val="0"/>
          <w:sz w:val="28"/>
          <w:szCs w:val="28"/>
          <w:u w:val="single"/>
          <w:lang w:bidi="ar"/>
        </w:rPr>
        <w:t xml:space="preserve">               </w:t>
      </w:r>
    </w:p>
    <w:p w14:paraId="65A3266A">
      <w:pPr>
        <w:spacing w:line="480" w:lineRule="exact"/>
        <w:rPr>
          <w:rFonts w:hint="default" w:ascii="仿宋_GB2312" w:hAnsi="仿宋_GB2312" w:eastAsia="仿宋_GB2312" w:cs="仿宋_GB2312"/>
          <w:color w:val="auto"/>
          <w:kern w:val="0"/>
          <w:sz w:val="28"/>
          <w:szCs w:val="28"/>
          <w:u w:val="single"/>
          <w:lang w:val="en-US" w:eastAsia="zh-CN" w:bidi="ar"/>
        </w:rPr>
      </w:pPr>
      <w:r>
        <w:rPr>
          <w:rFonts w:ascii="仿宋_GB2312" w:hAnsi="仿宋_GB2312" w:eastAsia="仿宋_GB2312" w:cs="仿宋_GB2312"/>
          <w:color w:val="auto"/>
          <w:kern w:val="0"/>
          <w:sz w:val="28"/>
          <w:szCs w:val="28"/>
          <w:lang w:bidi="ar"/>
        </w:rPr>
        <w:t>手机号：</w:t>
      </w:r>
      <w:r>
        <w:rPr>
          <w:rFonts w:hint="eastAsia" w:ascii="仿宋_GB2312" w:hAnsi="仿宋_GB2312" w:eastAsia="仿宋_GB2312" w:cs="仿宋_GB2312"/>
          <w:color w:val="auto"/>
          <w:kern w:val="0"/>
          <w:sz w:val="28"/>
          <w:szCs w:val="28"/>
          <w:u w:val="single"/>
          <w:lang w:val="en-US" w:eastAsia="zh-CN" w:bidi="ar"/>
        </w:rPr>
        <w:t xml:space="preserve">          </w:t>
      </w:r>
    </w:p>
    <w:p w14:paraId="22B776AD">
      <w:pPr>
        <w:pStyle w:val="6"/>
        <w:rPr>
          <w:color w:val="auto"/>
        </w:rPr>
      </w:pPr>
      <w:r>
        <w:rPr>
          <w:rFonts w:hint="eastAsia"/>
          <w:color w:val="auto"/>
        </w:rPr>
        <w:t>附件</w:t>
      </w:r>
      <w:r>
        <w:rPr>
          <w:rFonts w:hint="eastAsia"/>
          <w:color w:val="auto"/>
          <w:lang w:val="en-US" w:eastAsia="zh-CN"/>
        </w:rPr>
        <w:t>4</w:t>
      </w:r>
      <w:r>
        <w:rPr>
          <w:rFonts w:hint="eastAsia"/>
          <w:color w:val="auto"/>
        </w:rPr>
        <w:t>-</w:t>
      </w:r>
      <w:r>
        <w:rPr>
          <w:rFonts w:hint="eastAsia"/>
          <w:color w:val="auto"/>
          <w:lang w:val="en-US" w:eastAsia="zh-CN"/>
        </w:rPr>
        <w:t>3</w:t>
      </w:r>
      <w:r>
        <w:rPr>
          <w:rFonts w:hint="eastAsia"/>
          <w:color w:val="auto"/>
        </w:rPr>
        <w:t xml:space="preserve"> 法人或者其他组</w:t>
      </w:r>
      <w:r>
        <w:rPr>
          <w:rStyle w:val="81"/>
          <w:rFonts w:hint="eastAsia"/>
          <w:color w:val="auto"/>
        </w:rPr>
        <w:t>织</w:t>
      </w:r>
      <w:r>
        <w:rPr>
          <w:rFonts w:hint="eastAsia"/>
          <w:color w:val="auto"/>
        </w:rPr>
        <w:t>的营业执照等主体资格证明文件，自然人的身份证明</w:t>
      </w:r>
    </w:p>
    <w:p w14:paraId="4CDB07EC">
      <w:pPr>
        <w:pStyle w:val="42"/>
        <w:spacing w:before="120"/>
        <w:ind w:firstLine="0" w:firstLineChars="0"/>
        <w:jc w:val="center"/>
        <w:rPr>
          <w:rFonts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t>法人或者其他组织的营业执照等主体资格证明文件，自然人的身份证明</w:t>
      </w:r>
    </w:p>
    <w:p w14:paraId="37CF47A5">
      <w:pPr>
        <w:pStyle w:val="42"/>
        <w:spacing w:before="120"/>
        <w:ind w:firstLine="640"/>
        <w:jc w:val="center"/>
        <w:rPr>
          <w:rFonts w:ascii="方正小标宋_GBK" w:hAnsi="方正小标宋_GBK" w:eastAsia="方正小标宋_GBK" w:cs="方正小标宋_GBK"/>
          <w:color w:val="auto"/>
          <w:sz w:val="32"/>
          <w:szCs w:val="28"/>
        </w:rPr>
      </w:pPr>
    </w:p>
    <w:p w14:paraId="51893799">
      <w:pPr>
        <w:pStyle w:val="42"/>
        <w:spacing w:before="120"/>
        <w:ind w:firstLine="480"/>
        <w:rPr>
          <w:color w:val="auto"/>
        </w:rPr>
      </w:pPr>
      <w:r>
        <w:rPr>
          <w:rFonts w:hint="eastAsia"/>
          <w:color w:val="auto"/>
        </w:rPr>
        <w:t>注：按本招标文件第二章第13.1款要求提供。</w:t>
      </w:r>
    </w:p>
    <w:p w14:paraId="3FDFEC0E">
      <w:pPr>
        <w:pStyle w:val="42"/>
        <w:spacing w:before="120"/>
        <w:ind w:firstLine="480"/>
        <w:rPr>
          <w:color w:val="auto"/>
        </w:rPr>
      </w:pPr>
      <w:r>
        <w:rPr>
          <w:rFonts w:hint="eastAsia"/>
          <w:color w:val="auto"/>
        </w:rPr>
        <w:t>（1）投标人为法人的，应提交有效营业执照或法人登记证书或批准文件的复印件；</w:t>
      </w:r>
    </w:p>
    <w:p w14:paraId="70C0649E">
      <w:pPr>
        <w:pStyle w:val="42"/>
        <w:spacing w:before="120"/>
        <w:ind w:firstLine="480"/>
        <w:rPr>
          <w:color w:val="auto"/>
        </w:rPr>
      </w:pPr>
      <w:r>
        <w:rPr>
          <w:rFonts w:hint="eastAsia"/>
          <w:color w:val="auto"/>
        </w:rPr>
        <w:t>（2）投标人为非法人组织的，应提交依法登记证书复印件；</w:t>
      </w:r>
    </w:p>
    <w:p w14:paraId="45E4AA42">
      <w:pPr>
        <w:pStyle w:val="42"/>
        <w:spacing w:before="120"/>
        <w:ind w:firstLine="480"/>
        <w:rPr>
          <w:color w:val="auto"/>
        </w:rPr>
      </w:pPr>
      <w:r>
        <w:rPr>
          <w:rFonts w:hint="eastAsia"/>
          <w:color w:val="auto"/>
        </w:rPr>
        <w:t>（3）投标人为个体工商户的，应提交有效个体工商户营业执照复印件；</w:t>
      </w:r>
    </w:p>
    <w:p w14:paraId="43C3758A">
      <w:pPr>
        <w:pStyle w:val="42"/>
        <w:spacing w:before="120"/>
        <w:ind w:firstLine="480"/>
        <w:rPr>
          <w:color w:val="auto"/>
        </w:rPr>
      </w:pPr>
      <w:r>
        <w:rPr>
          <w:rFonts w:hint="eastAsia"/>
          <w:color w:val="auto"/>
        </w:rPr>
        <w:t>（4）投标人为自然人的，应提交自然人的有效身份证明复印件。</w:t>
      </w:r>
    </w:p>
    <w:p w14:paraId="298EB3F9">
      <w:pPr>
        <w:rPr>
          <w:color w:val="auto"/>
        </w:rPr>
      </w:pPr>
      <w:r>
        <w:rPr>
          <w:rFonts w:hint="eastAsia"/>
          <w:color w:val="auto"/>
        </w:rPr>
        <w:br w:type="page"/>
      </w:r>
    </w:p>
    <w:p w14:paraId="28575C3C">
      <w:pPr>
        <w:pStyle w:val="6"/>
        <w:rPr>
          <w:color w:val="auto"/>
        </w:rPr>
      </w:pPr>
      <w:r>
        <w:rPr>
          <w:rFonts w:hint="eastAsia"/>
          <w:color w:val="auto"/>
        </w:rPr>
        <w:t>附件</w:t>
      </w:r>
      <w:r>
        <w:rPr>
          <w:rFonts w:hint="eastAsia"/>
          <w:color w:val="auto"/>
          <w:lang w:val="en-US" w:eastAsia="zh-CN"/>
        </w:rPr>
        <w:t>4</w:t>
      </w:r>
      <w:r>
        <w:rPr>
          <w:rFonts w:hint="eastAsia"/>
          <w:color w:val="auto"/>
        </w:rPr>
        <w:t>-</w:t>
      </w:r>
      <w:r>
        <w:rPr>
          <w:rFonts w:hint="eastAsia"/>
          <w:color w:val="auto"/>
          <w:lang w:val="en-US" w:eastAsia="zh-CN"/>
        </w:rPr>
        <w:t>4</w:t>
      </w:r>
      <w:r>
        <w:rPr>
          <w:rFonts w:hint="eastAsia"/>
          <w:color w:val="auto"/>
        </w:rPr>
        <w:t xml:space="preserve"> 存在关联关系的供应商不参与政府采购项目竞争的承诺书</w:t>
      </w:r>
    </w:p>
    <w:p w14:paraId="7A4F02F8">
      <w:pPr>
        <w:pStyle w:val="42"/>
        <w:spacing w:before="120"/>
        <w:ind w:firstLine="0" w:firstLineChars="0"/>
        <w:jc w:val="center"/>
        <w:rPr>
          <w:color w:val="auto"/>
        </w:rPr>
      </w:pPr>
      <w:r>
        <w:rPr>
          <w:rFonts w:hint="eastAsia" w:ascii="方正小标宋_GBK" w:hAnsi="方正小标宋_GBK" w:eastAsia="方正小标宋_GBK" w:cs="方正小标宋_GBK"/>
          <w:color w:val="auto"/>
          <w:sz w:val="32"/>
          <w:szCs w:val="28"/>
        </w:rPr>
        <w:t>存在关联关系的供应商不参与政府采购项目竞争的承诺书</w:t>
      </w:r>
    </w:p>
    <w:p w14:paraId="0F9A1F23">
      <w:pPr>
        <w:pStyle w:val="42"/>
        <w:spacing w:before="120"/>
        <w:ind w:firstLine="480"/>
        <w:rPr>
          <w:color w:val="auto"/>
        </w:rPr>
      </w:pPr>
    </w:p>
    <w:p w14:paraId="64C29B2D">
      <w:pPr>
        <w:pStyle w:val="42"/>
        <w:spacing w:before="120"/>
        <w:ind w:firstLine="480"/>
        <w:rPr>
          <w:color w:val="auto"/>
        </w:rPr>
      </w:pPr>
      <w:r>
        <w:rPr>
          <w:rFonts w:hint="eastAsia"/>
          <w:color w:val="auto"/>
        </w:rPr>
        <w:t>根据《政府采购法实施条例》第十八条的规定，本公司郑重承诺：</w:t>
      </w:r>
    </w:p>
    <w:p w14:paraId="5B774CFF">
      <w:pPr>
        <w:pStyle w:val="42"/>
        <w:spacing w:before="120"/>
        <w:ind w:firstLine="480"/>
        <w:rPr>
          <w:color w:val="auto"/>
        </w:rPr>
      </w:pPr>
      <w:r>
        <w:rPr>
          <w:rFonts w:hint="eastAsia"/>
          <w:color w:val="auto"/>
        </w:rPr>
        <w:t>1、本公司与参与该项目的其他供应商不存在单位负责人为同一人或者存在直接控股、管理关系。</w:t>
      </w:r>
    </w:p>
    <w:p w14:paraId="0D018FE0">
      <w:pPr>
        <w:pStyle w:val="42"/>
        <w:spacing w:before="120"/>
        <w:ind w:firstLine="480"/>
        <w:rPr>
          <w:color w:val="auto"/>
        </w:rPr>
      </w:pPr>
      <w:r>
        <w:rPr>
          <w:rFonts w:hint="eastAsia"/>
          <w:color w:val="auto"/>
        </w:rPr>
        <w:t>2、为本项目提供整体设计、规范编制或者项目管理、监理、检测等服务的供应商，不参加该采购项目的其他采购活动。</w:t>
      </w:r>
    </w:p>
    <w:p w14:paraId="6979EABA">
      <w:pPr>
        <w:pStyle w:val="42"/>
        <w:spacing w:before="120"/>
        <w:ind w:firstLine="480"/>
        <w:rPr>
          <w:color w:val="auto"/>
        </w:rPr>
      </w:pPr>
      <w:r>
        <w:rPr>
          <w:rFonts w:hint="eastAsia"/>
          <w:color w:val="auto"/>
        </w:rPr>
        <w:t>本公司对上述承诺的真实性负责。如有虚假，依法承担相应的法律责任。</w:t>
      </w: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1ED5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9CBDC80">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18C85A99">
            <w:pPr>
              <w:pStyle w:val="42"/>
              <w:spacing w:before="120" w:line="540" w:lineRule="exact"/>
              <w:ind w:firstLine="480"/>
              <w:jc w:val="center"/>
              <w:rPr>
                <w:color w:val="auto"/>
              </w:rPr>
            </w:pPr>
          </w:p>
        </w:tc>
      </w:tr>
      <w:tr w14:paraId="4213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8B13B02">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2C152AE2">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40FC2C10">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5D04B38E">
            <w:pPr>
              <w:pStyle w:val="42"/>
              <w:spacing w:beforeLines="0" w:line="240" w:lineRule="auto"/>
              <w:ind w:firstLine="0" w:firstLineChars="0"/>
              <w:jc w:val="right"/>
              <w:rPr>
                <w:color w:val="auto"/>
              </w:rPr>
            </w:pPr>
            <w:r>
              <w:rPr>
                <w:rFonts w:hint="eastAsia"/>
                <w:color w:val="auto"/>
              </w:rPr>
              <w:t>年   月   日</w:t>
            </w:r>
          </w:p>
        </w:tc>
      </w:tr>
    </w:tbl>
    <w:p w14:paraId="2BF284C1">
      <w:pPr>
        <w:pStyle w:val="42"/>
        <w:spacing w:before="120"/>
        <w:ind w:firstLine="480"/>
        <w:rPr>
          <w:color w:val="auto"/>
        </w:rPr>
      </w:pPr>
    </w:p>
    <w:p w14:paraId="2E01F3BE">
      <w:pPr>
        <w:pStyle w:val="42"/>
        <w:spacing w:before="120"/>
        <w:ind w:firstLine="480"/>
        <w:rPr>
          <w:color w:val="auto"/>
        </w:rPr>
      </w:pPr>
    </w:p>
    <w:p w14:paraId="5B13876E">
      <w:pPr>
        <w:rPr>
          <w:color w:val="auto"/>
        </w:rPr>
      </w:pPr>
      <w:r>
        <w:rPr>
          <w:rFonts w:hint="eastAsia"/>
          <w:color w:val="auto"/>
        </w:rPr>
        <w:br w:type="page"/>
      </w:r>
    </w:p>
    <w:p w14:paraId="3E1603C1">
      <w:pPr>
        <w:pStyle w:val="6"/>
        <w:rPr>
          <w:color w:val="auto"/>
        </w:rPr>
      </w:pPr>
      <w:r>
        <w:rPr>
          <w:rFonts w:hint="eastAsia"/>
          <w:color w:val="auto"/>
        </w:rPr>
        <w:t>附件</w:t>
      </w:r>
      <w:r>
        <w:rPr>
          <w:rFonts w:hint="eastAsia"/>
          <w:color w:val="auto"/>
          <w:lang w:val="en-US" w:eastAsia="zh-CN"/>
        </w:rPr>
        <w:t>4</w:t>
      </w:r>
      <w:r>
        <w:rPr>
          <w:rFonts w:hint="eastAsia"/>
          <w:color w:val="auto"/>
        </w:rPr>
        <w:t>-</w:t>
      </w:r>
      <w:r>
        <w:rPr>
          <w:rFonts w:hint="eastAsia"/>
          <w:color w:val="auto"/>
          <w:lang w:val="en-US" w:eastAsia="zh-CN"/>
        </w:rPr>
        <w:t>5</w:t>
      </w:r>
      <w:r>
        <w:rPr>
          <w:rFonts w:hint="eastAsia"/>
          <w:color w:val="auto"/>
        </w:rPr>
        <w:t xml:space="preserve"> 无重大违法记录声明函、无不良信用记录声明函</w:t>
      </w:r>
    </w:p>
    <w:p w14:paraId="33147298">
      <w:pPr>
        <w:pStyle w:val="42"/>
        <w:spacing w:before="120"/>
        <w:ind w:firstLine="0" w:firstLineChars="0"/>
        <w:jc w:val="center"/>
        <w:rPr>
          <w:rFonts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t>无重大违法记录声明函、无不良信用记录声明函</w:t>
      </w:r>
    </w:p>
    <w:p w14:paraId="24C69432">
      <w:pPr>
        <w:pStyle w:val="42"/>
        <w:spacing w:before="120"/>
        <w:ind w:firstLine="480"/>
        <w:jc w:val="center"/>
        <w:rPr>
          <w:color w:val="auto"/>
        </w:rPr>
      </w:pPr>
      <w:r>
        <w:rPr>
          <w:rFonts w:hint="eastAsia"/>
          <w:color w:val="auto"/>
        </w:rPr>
        <w:t>（</w:t>
      </w:r>
      <w:r>
        <w:rPr>
          <w:color w:val="auto"/>
        </w:rPr>
        <w:t>联合体参加投标的，联合体各方均须提供）</w:t>
      </w:r>
    </w:p>
    <w:p w14:paraId="2672A99A">
      <w:pPr>
        <w:pStyle w:val="42"/>
        <w:spacing w:before="120"/>
        <w:ind w:left="420" w:leftChars="200" w:firstLine="480"/>
        <w:rPr>
          <w:color w:val="auto"/>
        </w:rPr>
      </w:pPr>
      <w:r>
        <w:rPr>
          <w:rFonts w:hint="eastAsia"/>
          <w:color w:val="auto"/>
        </w:rPr>
        <w:t>1.</w:t>
      </w:r>
      <w:r>
        <w:rPr>
          <w:color w:val="auto"/>
        </w:rPr>
        <w:t>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60381CDE">
      <w:pPr>
        <w:pStyle w:val="42"/>
        <w:spacing w:before="120"/>
        <w:ind w:left="420" w:leftChars="200" w:firstLine="480"/>
        <w:rPr>
          <w:color w:val="auto"/>
        </w:rPr>
      </w:pPr>
      <w:r>
        <w:rPr>
          <w:rFonts w:hint="eastAsia"/>
          <w:color w:val="auto"/>
        </w:rPr>
        <w:t>2.</w:t>
      </w:r>
      <w:r>
        <w:rPr>
          <w:color w:val="auto"/>
        </w:rPr>
        <w:t>本单位郑重声明，我单位无以下不良信用记录情形：</w:t>
      </w:r>
    </w:p>
    <w:p w14:paraId="110272A7">
      <w:pPr>
        <w:pStyle w:val="42"/>
        <w:spacing w:before="120"/>
        <w:ind w:left="420" w:leftChars="200" w:firstLine="480"/>
        <w:rPr>
          <w:color w:val="auto"/>
        </w:rPr>
      </w:pPr>
      <w:r>
        <w:rPr>
          <w:rFonts w:hint="eastAsia"/>
          <w:color w:val="auto"/>
        </w:rPr>
        <w:t>（1）</w:t>
      </w:r>
      <w:r>
        <w:rPr>
          <w:color w:val="auto"/>
        </w:rPr>
        <w:t>被人民法院列入失信被执行人；</w:t>
      </w:r>
    </w:p>
    <w:p w14:paraId="5660970B">
      <w:pPr>
        <w:pStyle w:val="42"/>
        <w:spacing w:before="120"/>
        <w:ind w:left="420" w:leftChars="200" w:firstLine="480"/>
        <w:rPr>
          <w:color w:val="auto"/>
        </w:rPr>
      </w:pPr>
      <w:r>
        <w:rPr>
          <w:rFonts w:hint="eastAsia"/>
          <w:color w:val="auto"/>
        </w:rPr>
        <w:t>（2）</w:t>
      </w:r>
      <w:r>
        <w:rPr>
          <w:color w:val="auto"/>
        </w:rPr>
        <w:t>单位、法定代表人或拟派项目经理（项目负责人）被人民检察院列入行贿犯罪档案；</w:t>
      </w:r>
    </w:p>
    <w:p w14:paraId="3571D9B4">
      <w:pPr>
        <w:pStyle w:val="42"/>
        <w:spacing w:before="120"/>
        <w:ind w:left="420" w:leftChars="200" w:firstLine="480"/>
        <w:rPr>
          <w:color w:val="auto"/>
        </w:rPr>
      </w:pPr>
      <w:r>
        <w:rPr>
          <w:rFonts w:hint="eastAsia"/>
          <w:color w:val="auto"/>
        </w:rPr>
        <w:t>（3）</w:t>
      </w:r>
      <w:r>
        <w:rPr>
          <w:color w:val="auto"/>
        </w:rPr>
        <w:t>被工商行政管理部门列入企业经营异常名录；</w:t>
      </w:r>
    </w:p>
    <w:p w14:paraId="08D3BF48">
      <w:pPr>
        <w:pStyle w:val="42"/>
        <w:spacing w:before="120"/>
        <w:ind w:left="420" w:leftChars="200" w:firstLine="480"/>
        <w:rPr>
          <w:color w:val="auto"/>
        </w:rPr>
      </w:pPr>
      <w:r>
        <w:rPr>
          <w:rFonts w:hint="eastAsia"/>
          <w:color w:val="auto"/>
        </w:rPr>
        <w:t>（4）</w:t>
      </w:r>
      <w:r>
        <w:rPr>
          <w:color w:val="auto"/>
        </w:rPr>
        <w:t>被税务部门列入重大税收违法案件当事人名单；</w:t>
      </w:r>
    </w:p>
    <w:p w14:paraId="3B3C6602">
      <w:pPr>
        <w:pStyle w:val="42"/>
        <w:spacing w:before="120"/>
        <w:ind w:left="420" w:leftChars="200" w:firstLine="480"/>
        <w:rPr>
          <w:color w:val="auto"/>
        </w:rPr>
      </w:pPr>
      <w:r>
        <w:rPr>
          <w:rFonts w:hint="eastAsia"/>
          <w:color w:val="auto"/>
        </w:rPr>
        <w:t>（5）</w:t>
      </w:r>
      <w:r>
        <w:rPr>
          <w:color w:val="auto"/>
        </w:rPr>
        <w:t>被政府采购监管部门列入政府采购严重违法失信行为记录名单。</w:t>
      </w:r>
    </w:p>
    <w:p w14:paraId="3CA44CC1">
      <w:pPr>
        <w:pStyle w:val="42"/>
        <w:spacing w:before="120"/>
        <w:ind w:left="420" w:leftChars="200" w:firstLine="480"/>
        <w:rPr>
          <w:color w:val="auto"/>
        </w:rPr>
      </w:pPr>
      <w:r>
        <w:rPr>
          <w:rFonts w:hint="eastAsia"/>
          <w:color w:val="auto"/>
        </w:rPr>
        <w:t>3.</w:t>
      </w:r>
      <w:r>
        <w:rPr>
          <w:rFonts w:hint="eastAsia"/>
          <w:color w:val="auto"/>
          <w:u w:val="single"/>
        </w:rPr>
        <w:t xml:space="preserve">                               </w:t>
      </w:r>
      <w:r>
        <w:rPr>
          <w:rFonts w:hint="eastAsia"/>
          <w:color w:val="auto"/>
        </w:rPr>
        <w:t>。</w:t>
      </w:r>
    </w:p>
    <w:p w14:paraId="155BCC6B">
      <w:pPr>
        <w:pStyle w:val="42"/>
        <w:spacing w:before="120"/>
        <w:ind w:left="420" w:leftChars="200" w:firstLine="480"/>
        <w:rPr>
          <w:color w:val="auto"/>
        </w:rPr>
      </w:pPr>
      <w:r>
        <w:rPr>
          <w:color w:val="auto"/>
        </w:rPr>
        <w:t>本单位对上述声明的真实性负责。如有虚假，将依法承担相应责任。</w:t>
      </w: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3998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2C9022E7">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2A083B00">
            <w:pPr>
              <w:pStyle w:val="42"/>
              <w:spacing w:before="120" w:line="540" w:lineRule="exact"/>
              <w:ind w:firstLine="480"/>
              <w:jc w:val="center"/>
              <w:rPr>
                <w:color w:val="auto"/>
              </w:rPr>
            </w:pPr>
          </w:p>
        </w:tc>
      </w:tr>
      <w:tr w14:paraId="6B4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3048DCCE">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30BA5A7A">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607CD967">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6B6BDF33">
            <w:pPr>
              <w:pStyle w:val="42"/>
              <w:spacing w:beforeLines="0" w:line="240" w:lineRule="auto"/>
              <w:ind w:firstLine="0" w:firstLineChars="0"/>
              <w:jc w:val="right"/>
              <w:rPr>
                <w:color w:val="auto"/>
              </w:rPr>
            </w:pPr>
            <w:r>
              <w:rPr>
                <w:rFonts w:hint="eastAsia"/>
                <w:color w:val="auto"/>
              </w:rPr>
              <w:t>年   月   日</w:t>
            </w:r>
          </w:p>
        </w:tc>
      </w:tr>
    </w:tbl>
    <w:p w14:paraId="5CA194AF">
      <w:pPr>
        <w:pStyle w:val="42"/>
        <w:spacing w:before="120"/>
        <w:ind w:left="420" w:leftChars="200" w:firstLine="480"/>
        <w:rPr>
          <w:color w:val="auto"/>
        </w:rPr>
      </w:pPr>
    </w:p>
    <w:p w14:paraId="58F105A0">
      <w:pPr>
        <w:rPr>
          <w:color w:val="auto"/>
        </w:rPr>
      </w:pPr>
      <w:r>
        <w:rPr>
          <w:rFonts w:hint="eastAsia"/>
          <w:color w:val="auto"/>
        </w:rPr>
        <w:br w:type="page"/>
      </w:r>
    </w:p>
    <w:p w14:paraId="1A04D01F">
      <w:pPr>
        <w:pStyle w:val="6"/>
        <w:rPr>
          <w:rFonts w:hint="eastAsia" w:ascii="Times New Roman" w:hAnsi="Times New Roman" w:cs="Times New Roman"/>
          <w:color w:val="auto"/>
        </w:rPr>
      </w:pPr>
      <w:r>
        <w:rPr>
          <w:rFonts w:hint="eastAsia" w:ascii="Times New Roman" w:hAnsi="Times New Roman" w:cs="Times New Roman"/>
          <w:color w:val="auto"/>
        </w:rPr>
        <w:t>附件</w:t>
      </w:r>
      <w:r>
        <w:rPr>
          <w:rFonts w:hint="eastAsia" w:ascii="Times New Roman" w:hAnsi="Times New Roman" w:cs="Times New Roman"/>
          <w:color w:val="auto"/>
          <w:lang w:val="en-US" w:eastAsia="zh-CN"/>
        </w:rPr>
        <w:t>4</w:t>
      </w:r>
      <w:r>
        <w:rPr>
          <w:rFonts w:hint="eastAsia" w:ascii="Times New Roman" w:hAnsi="Times New Roman" w:cs="Times New Roman"/>
          <w:color w:val="auto"/>
        </w:rPr>
        <w:t>-</w:t>
      </w:r>
      <w:r>
        <w:rPr>
          <w:rFonts w:hint="eastAsia" w:ascii="Times New Roman" w:hAnsi="Times New Roman" w:cs="Times New Roman"/>
          <w:color w:val="auto"/>
          <w:lang w:val="en-US" w:eastAsia="zh-CN"/>
        </w:rPr>
        <w:t>6</w:t>
      </w:r>
      <w:r>
        <w:rPr>
          <w:rFonts w:hint="eastAsia" w:ascii="Times New Roman" w:hAnsi="Times New Roman" w:cs="Times New Roman"/>
          <w:color w:val="auto"/>
        </w:rPr>
        <w:t xml:space="preserve"> 符合特定资格条件证明材料复印件或者情况说明</w:t>
      </w:r>
    </w:p>
    <w:p w14:paraId="7125F7C5">
      <w:pPr>
        <w:pStyle w:val="42"/>
        <w:spacing w:before="120"/>
        <w:ind w:firstLine="640"/>
        <w:jc w:val="center"/>
        <w:rPr>
          <w:rFonts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t>符合特定资格条件证明材料复印件或者情况说明</w:t>
      </w:r>
    </w:p>
    <w:p w14:paraId="50F2109D">
      <w:pPr>
        <w:pStyle w:val="42"/>
        <w:spacing w:before="120"/>
        <w:ind w:firstLine="480"/>
        <w:rPr>
          <w:color w:val="auto"/>
        </w:rPr>
      </w:pPr>
    </w:p>
    <w:p w14:paraId="6D0C87DB">
      <w:pPr>
        <w:pStyle w:val="42"/>
        <w:spacing w:before="120"/>
        <w:ind w:firstLine="480"/>
        <w:rPr>
          <w:color w:val="auto"/>
        </w:rPr>
      </w:pPr>
      <w:r>
        <w:rPr>
          <w:rFonts w:hint="eastAsia"/>
          <w:color w:val="auto"/>
        </w:rPr>
        <w:t>注：按本招标文件第二章第13.1款要求提供。</w:t>
      </w:r>
    </w:p>
    <w:p w14:paraId="1FC84D3C">
      <w:pPr>
        <w:rPr>
          <w:color w:val="auto"/>
        </w:rPr>
      </w:pPr>
    </w:p>
    <w:p w14:paraId="79C94D54">
      <w:pPr>
        <w:rPr>
          <w:color w:val="auto"/>
        </w:rPr>
      </w:pPr>
    </w:p>
    <w:p w14:paraId="6D9875F8">
      <w:pPr>
        <w:rPr>
          <w:color w:val="auto"/>
        </w:rPr>
      </w:pPr>
      <w:r>
        <w:rPr>
          <w:rFonts w:hint="default" w:ascii="Times New Roman" w:hAnsi="Times New Roman" w:cs="Times New Roman"/>
          <w:b/>
          <w:bCs/>
          <w:color w:val="auto"/>
          <w:sz w:val="44"/>
          <w:szCs w:val="44"/>
          <w:highlight w:val="none"/>
          <w:u w:val="none"/>
          <w:lang w:val="en-US" w:eastAsia="zh-CN"/>
        </w:rPr>
        <w:br w:type="page"/>
      </w:r>
      <w:r>
        <w:rPr>
          <w:rFonts w:hint="eastAsia" w:ascii="Times New Roman" w:hAnsi="Times New Roman" w:eastAsia="黑体" w:cs="Times New Roman"/>
          <w:color w:val="auto"/>
          <w:kern w:val="2"/>
          <w:sz w:val="24"/>
          <w:szCs w:val="24"/>
          <w:lang w:val="en-US" w:eastAsia="zh-CN" w:bidi="ar-SA"/>
        </w:rPr>
        <w:t>附件4-7 联合体协议书（格式）</w:t>
      </w:r>
    </w:p>
    <w:p w14:paraId="23B8F712">
      <w:pPr>
        <w:pStyle w:val="42"/>
        <w:spacing w:before="120"/>
        <w:ind w:firstLine="640"/>
        <w:jc w:val="center"/>
        <w:rPr>
          <w:rFonts w:ascii="方正小标宋_GBK" w:hAnsi="方正小标宋_GBK" w:eastAsia="方正小标宋_GBK" w:cs="方正小标宋_GBK"/>
          <w:color w:val="auto"/>
          <w:sz w:val="32"/>
          <w:szCs w:val="28"/>
        </w:rPr>
      </w:pPr>
      <w:r>
        <w:rPr>
          <w:rFonts w:hint="eastAsia" w:ascii="方正小标宋_GBK" w:hAnsi="方正小标宋_GBK" w:eastAsia="方正小标宋_GBK" w:cs="方正小标宋_GBK"/>
          <w:color w:val="auto"/>
          <w:sz w:val="32"/>
          <w:szCs w:val="28"/>
        </w:rPr>
        <w:t>联合体协议书（格式）</w:t>
      </w:r>
    </w:p>
    <w:p w14:paraId="2BE2B04C">
      <w:pPr>
        <w:pStyle w:val="42"/>
        <w:spacing w:before="120"/>
        <w:ind w:firstLine="0" w:firstLineChars="0"/>
        <w:jc w:val="center"/>
        <w:rPr>
          <w:color w:val="auto"/>
        </w:rPr>
      </w:pPr>
      <w:r>
        <w:rPr>
          <w:rFonts w:hint="eastAsia"/>
          <w:color w:val="auto"/>
        </w:rPr>
        <w:t>（不允许联合体投标或未组成联合体投标，不需此件）</w:t>
      </w:r>
    </w:p>
    <w:p w14:paraId="681A0A81">
      <w:pPr>
        <w:pStyle w:val="42"/>
        <w:spacing w:before="120"/>
        <w:ind w:firstLine="0" w:firstLineChars="0"/>
        <w:rPr>
          <w:color w:val="auto"/>
        </w:rPr>
      </w:pPr>
      <w:r>
        <w:rPr>
          <w:rFonts w:hint="eastAsia"/>
          <w:color w:val="auto"/>
        </w:rPr>
        <w:t>致</w:t>
      </w:r>
      <w:r>
        <w:rPr>
          <w:rFonts w:hint="eastAsia"/>
          <w:color w:val="auto"/>
          <w:u w:val="single"/>
        </w:rPr>
        <w:t xml:space="preserve">                   </w:t>
      </w:r>
      <w:r>
        <w:rPr>
          <w:rFonts w:hint="eastAsia"/>
          <w:color w:val="auto"/>
        </w:rPr>
        <w:t>（采购人、采购代理机构）：</w:t>
      </w:r>
    </w:p>
    <w:p w14:paraId="37EB4363">
      <w:pPr>
        <w:pStyle w:val="42"/>
        <w:spacing w:before="120"/>
        <w:ind w:firstLine="480"/>
        <w:rPr>
          <w:color w:val="auto"/>
        </w:rPr>
      </w:pPr>
      <w:r>
        <w:rPr>
          <w:rFonts w:hint="eastAsia"/>
          <w:color w:val="auto"/>
        </w:rPr>
        <w:t xml:space="preserve">经研究，我们决定自愿组成联合体共同参加 </w:t>
      </w:r>
      <w:r>
        <w:rPr>
          <w:rFonts w:hint="eastAsia"/>
          <w:color w:val="auto"/>
          <w:u w:val="single"/>
        </w:rPr>
        <w:t xml:space="preserve">                   </w:t>
      </w:r>
      <w:r>
        <w:rPr>
          <w:rFonts w:hint="eastAsia"/>
          <w:color w:val="auto"/>
        </w:rPr>
        <w:t>（项目名称）（采购代理编号：</w:t>
      </w:r>
      <w:r>
        <w:rPr>
          <w:rFonts w:hint="eastAsia"/>
          <w:color w:val="auto"/>
          <w:u w:val="single"/>
        </w:rPr>
        <w:t xml:space="preserve">              </w:t>
      </w:r>
      <w:r>
        <w:rPr>
          <w:rFonts w:hint="eastAsia"/>
          <w:color w:val="auto"/>
        </w:rPr>
        <w:t xml:space="preserve">  ）项目的投标。现就联合体投标事宜订立如下协议：</w:t>
      </w:r>
    </w:p>
    <w:p w14:paraId="004D8F48">
      <w:pPr>
        <w:pStyle w:val="42"/>
        <w:spacing w:before="120"/>
        <w:ind w:firstLine="480"/>
        <w:rPr>
          <w:color w:val="auto"/>
        </w:rPr>
      </w:pPr>
      <w:r>
        <w:rPr>
          <w:rFonts w:hint="eastAsia"/>
          <w:color w:val="auto"/>
        </w:rPr>
        <w:t>一、联合体基本信息：</w:t>
      </w:r>
      <w:r>
        <w:rPr>
          <w:rFonts w:hint="eastAsia"/>
          <w:color w:val="auto"/>
          <w:u w:val="single"/>
        </w:rPr>
        <w:t xml:space="preserve">                </w:t>
      </w:r>
      <w:r>
        <w:rPr>
          <w:rFonts w:hint="eastAsia"/>
          <w:color w:val="auto"/>
        </w:rPr>
        <w:t>（各方公司名称、地址、注册资金、营业执照、法定代表人（单位负责人）姓名）</w:t>
      </w:r>
    </w:p>
    <w:p w14:paraId="2F84B5D0">
      <w:pPr>
        <w:pStyle w:val="42"/>
        <w:spacing w:before="120"/>
        <w:ind w:firstLine="480"/>
        <w:rPr>
          <w:color w:val="auto"/>
        </w:rPr>
      </w:pPr>
      <w:r>
        <w:rPr>
          <w:rFonts w:hint="eastAsia"/>
          <w:color w:val="auto"/>
        </w:rPr>
        <w:t>二、</w:t>
      </w:r>
      <w:r>
        <w:rPr>
          <w:rFonts w:hint="eastAsia"/>
          <w:color w:val="auto"/>
          <w:u w:val="single"/>
        </w:rPr>
        <w:t xml:space="preserve">       </w:t>
      </w:r>
      <w:r>
        <w:rPr>
          <w:rFonts w:hint="eastAsia"/>
          <w:color w:val="auto"/>
        </w:rPr>
        <w:t>（某成员单位名称）为</w:t>
      </w:r>
      <w:r>
        <w:rPr>
          <w:rFonts w:hint="eastAsia"/>
          <w:color w:val="auto"/>
          <w:u w:val="single"/>
        </w:rPr>
        <w:t xml:space="preserve">        </w:t>
      </w:r>
      <w:r>
        <w:rPr>
          <w:rFonts w:hint="eastAsia"/>
          <w:color w:val="auto"/>
        </w:rPr>
        <w:t>（联合体名称）牵头人。</w:t>
      </w:r>
    </w:p>
    <w:p w14:paraId="0D1F8F5F">
      <w:pPr>
        <w:pStyle w:val="42"/>
        <w:spacing w:before="120"/>
        <w:ind w:firstLine="480"/>
        <w:rPr>
          <w:color w:val="auto"/>
        </w:rPr>
      </w:pPr>
      <w:r>
        <w:rPr>
          <w:rFonts w:hint="eastAsia"/>
          <w:color w:val="auto"/>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6BF5BE0B">
      <w:pPr>
        <w:pStyle w:val="42"/>
        <w:spacing w:before="120"/>
        <w:ind w:firstLine="480"/>
        <w:rPr>
          <w:color w:val="auto"/>
        </w:rPr>
      </w:pPr>
      <w:r>
        <w:rPr>
          <w:rFonts w:hint="eastAsia"/>
          <w:color w:val="auto"/>
        </w:rPr>
        <w:t>四．联合体将严格按照招标文件的各项要求，递交投标文件，参加投标，履行中标义务和中标后的合同，并向采购人承担连带责任。</w:t>
      </w:r>
    </w:p>
    <w:p w14:paraId="178186F2">
      <w:pPr>
        <w:pStyle w:val="42"/>
        <w:spacing w:before="120"/>
        <w:ind w:firstLine="480"/>
        <w:rPr>
          <w:color w:val="auto"/>
        </w:rPr>
      </w:pPr>
      <w:r>
        <w:rPr>
          <w:rFonts w:hint="eastAsia"/>
          <w:color w:val="auto"/>
        </w:rPr>
        <w:t>五、联合体各成员单位内部的职责分工如下：</w:t>
      </w:r>
      <w:r>
        <w:rPr>
          <w:rFonts w:hint="eastAsia"/>
          <w:color w:val="auto"/>
          <w:u w:val="single"/>
        </w:rPr>
        <w:t xml:space="preserve">                     </w:t>
      </w:r>
      <w:r>
        <w:rPr>
          <w:rFonts w:hint="eastAsia"/>
          <w:color w:val="auto"/>
        </w:rPr>
        <w:t xml:space="preserve"> 。按照本条上述分工，联合体各成员的协议合同金额占联合体协议合同总金额比例如下：</w:t>
      </w:r>
      <w:r>
        <w:rPr>
          <w:rFonts w:hint="eastAsia"/>
          <w:color w:val="auto"/>
          <w:u w:val="single"/>
        </w:rPr>
        <w:t xml:space="preserve">              </w:t>
      </w:r>
      <w:r>
        <w:rPr>
          <w:rFonts w:hint="eastAsia"/>
          <w:color w:val="auto"/>
        </w:rPr>
        <w:t xml:space="preserve"> 。</w:t>
      </w:r>
    </w:p>
    <w:p w14:paraId="3EC5E082">
      <w:pPr>
        <w:pStyle w:val="42"/>
        <w:spacing w:before="120"/>
        <w:ind w:firstLine="480"/>
        <w:rPr>
          <w:color w:val="auto"/>
        </w:rPr>
      </w:pPr>
      <w:r>
        <w:rPr>
          <w:rFonts w:hint="eastAsia"/>
          <w:color w:val="auto"/>
        </w:rPr>
        <w:t>六、本协议书自签署之日起生效，合同履行完毕后自动失效。</w:t>
      </w:r>
    </w:p>
    <w:p w14:paraId="35A25BD2">
      <w:pPr>
        <w:pStyle w:val="42"/>
        <w:spacing w:before="120"/>
        <w:ind w:firstLine="480"/>
        <w:rPr>
          <w:color w:val="auto"/>
        </w:rPr>
      </w:pPr>
      <w:r>
        <w:rPr>
          <w:rFonts w:hint="eastAsia"/>
          <w:color w:val="auto"/>
        </w:rPr>
        <w:t>七、本协议书一式</w:t>
      </w:r>
      <w:r>
        <w:rPr>
          <w:rFonts w:hint="eastAsia"/>
          <w:color w:val="auto"/>
          <w:u w:val="single"/>
        </w:rPr>
        <w:t xml:space="preserve">    </w:t>
      </w:r>
      <w:r>
        <w:rPr>
          <w:rFonts w:hint="eastAsia"/>
          <w:color w:val="auto"/>
        </w:rPr>
        <w:t>份，联合体成员和采购人各执一份。</w:t>
      </w:r>
    </w:p>
    <w:p w14:paraId="039041B6">
      <w:pPr>
        <w:pStyle w:val="42"/>
        <w:spacing w:before="120"/>
        <w:ind w:firstLine="480"/>
        <w:rPr>
          <w:color w:val="auto"/>
        </w:rPr>
      </w:pPr>
      <w:r>
        <w:rPr>
          <w:rFonts w:hint="eastAsia"/>
          <w:color w:val="auto"/>
        </w:rPr>
        <w:t>牵头人名称（盖单位章）：</w:t>
      </w:r>
    </w:p>
    <w:p w14:paraId="4562D424">
      <w:pPr>
        <w:pStyle w:val="42"/>
        <w:spacing w:before="120"/>
        <w:ind w:firstLine="480"/>
        <w:rPr>
          <w:color w:val="auto"/>
        </w:rPr>
      </w:pPr>
      <w:r>
        <w:rPr>
          <w:rFonts w:hint="eastAsia"/>
          <w:color w:val="auto"/>
        </w:rPr>
        <w:t xml:space="preserve">法定代表人（单位负责人）（签字或印章）：                          </w:t>
      </w:r>
    </w:p>
    <w:p w14:paraId="13545939">
      <w:pPr>
        <w:pStyle w:val="42"/>
        <w:spacing w:before="120"/>
        <w:ind w:firstLine="480"/>
        <w:rPr>
          <w:color w:val="auto"/>
        </w:rPr>
      </w:pPr>
      <w:r>
        <w:rPr>
          <w:rFonts w:hint="eastAsia"/>
          <w:color w:val="auto"/>
        </w:rPr>
        <w:t>成员1名称（盖单位章）：</w:t>
      </w:r>
    </w:p>
    <w:p w14:paraId="7AC69AB0">
      <w:pPr>
        <w:pStyle w:val="42"/>
        <w:spacing w:before="120"/>
        <w:ind w:firstLine="480"/>
        <w:rPr>
          <w:color w:val="auto"/>
        </w:rPr>
      </w:pPr>
      <w:r>
        <w:rPr>
          <w:rFonts w:hint="eastAsia"/>
          <w:color w:val="auto"/>
        </w:rPr>
        <w:t xml:space="preserve">法定代表人（单位负责人）（签字或印章）：                          </w:t>
      </w:r>
    </w:p>
    <w:p w14:paraId="772573E9">
      <w:pPr>
        <w:pStyle w:val="42"/>
        <w:spacing w:before="120"/>
        <w:ind w:firstLine="480"/>
        <w:rPr>
          <w:color w:val="auto"/>
        </w:rPr>
      </w:pPr>
      <w:r>
        <w:rPr>
          <w:rFonts w:hint="eastAsia"/>
          <w:color w:val="auto"/>
        </w:rPr>
        <w:t>成员2名称（盖单位章）：</w:t>
      </w:r>
    </w:p>
    <w:p w14:paraId="33280337">
      <w:pPr>
        <w:pStyle w:val="42"/>
        <w:spacing w:before="120"/>
        <w:ind w:firstLine="480"/>
        <w:rPr>
          <w:color w:val="auto"/>
        </w:rPr>
      </w:pPr>
      <w:r>
        <w:rPr>
          <w:rFonts w:hint="eastAsia"/>
          <w:color w:val="auto"/>
        </w:rPr>
        <w:t xml:space="preserve">法定代表人（单位负责人）或其委托代理人（签字或印章）：                          </w:t>
      </w:r>
    </w:p>
    <w:p w14:paraId="0B746AAD">
      <w:pPr>
        <w:pStyle w:val="42"/>
        <w:spacing w:before="120"/>
        <w:ind w:firstLine="480"/>
        <w:rPr>
          <w:color w:val="auto"/>
        </w:rPr>
      </w:pPr>
      <w:r>
        <w:rPr>
          <w:rFonts w:hint="eastAsia"/>
          <w:color w:val="auto"/>
        </w:rPr>
        <w:t>…</w:t>
      </w:r>
    </w:p>
    <w:p w14:paraId="2A5F9269">
      <w:pPr>
        <w:pStyle w:val="42"/>
        <w:spacing w:before="120"/>
        <w:ind w:firstLine="480"/>
        <w:rPr>
          <w:color w:val="auto"/>
        </w:rPr>
      </w:pPr>
      <w:r>
        <w:rPr>
          <w:rFonts w:hint="eastAsia"/>
          <w:color w:val="auto"/>
        </w:rPr>
        <w:t xml:space="preserve">日   期：        年        月        日  </w:t>
      </w:r>
    </w:p>
    <w:p w14:paraId="11D98BFE">
      <w:pPr>
        <w:pStyle w:val="42"/>
        <w:spacing w:before="120"/>
        <w:ind w:firstLine="480"/>
        <w:rPr>
          <w:color w:val="auto"/>
        </w:rPr>
      </w:pPr>
      <w:r>
        <w:rPr>
          <w:rFonts w:hint="eastAsia"/>
          <w:color w:val="auto"/>
        </w:rPr>
        <w:t>注：1、本协议书由委托代理人签字的，应附法定代表人（单位负责人）授权委托书。</w:t>
      </w:r>
    </w:p>
    <w:p w14:paraId="01D5AC72">
      <w:pPr>
        <w:pStyle w:val="42"/>
        <w:spacing w:before="120"/>
        <w:ind w:left="420" w:leftChars="200" w:firstLine="480"/>
        <w:rPr>
          <w:rFonts w:hint="eastAsia"/>
          <w:color w:val="auto"/>
        </w:rPr>
      </w:pPr>
      <w:r>
        <w:rPr>
          <w:rFonts w:hint="eastAsia"/>
          <w:color w:val="auto"/>
        </w:rPr>
        <w:t>2、投标人在提交投标文件的截止时间前修改“开标一览表”中的投标报价，影响本协议书第五条的，应同时修改本协议书第五条。否则，评审时价格评审优惠不予以考虑。</w:t>
      </w:r>
    </w:p>
    <w:p w14:paraId="2D4FF6CE">
      <w:pPr>
        <w:rPr>
          <w:rFonts w:hint="eastAsia"/>
          <w:color w:val="auto"/>
        </w:rPr>
      </w:pPr>
      <w:r>
        <w:rPr>
          <w:rFonts w:hint="eastAsia"/>
          <w:color w:val="auto"/>
        </w:rPr>
        <w:br w:type="page"/>
      </w:r>
    </w:p>
    <w:p w14:paraId="4B812849">
      <w:pPr>
        <w:pStyle w:val="6"/>
        <w:rPr>
          <w:rFonts w:hint="eastAsia" w:ascii="Times New Roman" w:hAnsi="Times New Roman" w:cs="Times New Roman"/>
          <w:color w:val="auto"/>
          <w:lang w:val="en-US" w:eastAsia="zh-CN"/>
        </w:rPr>
      </w:pPr>
      <w:r>
        <w:rPr>
          <w:rFonts w:hint="eastAsia" w:ascii="Times New Roman" w:hAnsi="Times New Roman" w:cs="Times New Roman"/>
          <w:color w:val="auto"/>
          <w:lang w:eastAsia="zh-CN"/>
        </w:rPr>
        <w:t>附件</w:t>
      </w:r>
      <w:r>
        <w:rPr>
          <w:rFonts w:hint="eastAsia" w:ascii="Times New Roman" w:hAnsi="Times New Roman" w:cs="Times New Roman"/>
          <w:color w:val="auto"/>
          <w:lang w:val="en-US" w:eastAsia="zh-CN"/>
        </w:rPr>
        <w:t>4-8 投标承诺函</w:t>
      </w:r>
    </w:p>
    <w:p w14:paraId="1606B38C">
      <w:pPr>
        <w:bidi w:val="0"/>
        <w:jc w:val="center"/>
        <w:rPr>
          <w:rFonts w:hint="default" w:ascii="Times New Roman" w:hAnsi="Times New Roman" w:cs="Times New Roman"/>
          <w:color w:val="auto"/>
          <w:sz w:val="44"/>
          <w:szCs w:val="48"/>
          <w:highlight w:val="none"/>
        </w:rPr>
      </w:pPr>
      <w:bookmarkStart w:id="118" w:name="_Toc15443"/>
      <w:bookmarkStart w:id="119" w:name="_Toc11497"/>
      <w:r>
        <w:rPr>
          <w:rFonts w:hint="eastAsia" w:ascii="Times New Roman" w:hAnsi="Times New Roman" w:cs="Times New Roman"/>
          <w:b/>
          <w:bCs/>
          <w:color w:val="auto"/>
          <w:sz w:val="44"/>
          <w:szCs w:val="48"/>
          <w:lang w:eastAsia="zh-CN"/>
        </w:rPr>
        <w:t>投标</w:t>
      </w:r>
      <w:r>
        <w:rPr>
          <w:rFonts w:hint="default" w:ascii="Times New Roman" w:hAnsi="Times New Roman" w:cs="Times New Roman"/>
          <w:b/>
          <w:bCs/>
          <w:color w:val="auto"/>
          <w:sz w:val="44"/>
          <w:szCs w:val="48"/>
        </w:rPr>
        <w:t>承诺函</w:t>
      </w:r>
      <w:bookmarkEnd w:id="118"/>
      <w:bookmarkEnd w:id="119"/>
    </w:p>
    <w:p w14:paraId="4EA5B95B">
      <w:pPr>
        <w:pStyle w:val="42"/>
        <w:spacing w:before="120"/>
        <w:ind w:firstLine="0" w:firstLineChars="0"/>
        <w:rPr>
          <w:color w:val="auto"/>
          <w:highlight w:val="none"/>
        </w:rPr>
      </w:pPr>
      <w:r>
        <w:rPr>
          <w:rFonts w:hint="eastAsia"/>
          <w:color w:val="auto"/>
          <w:highlight w:val="none"/>
        </w:rPr>
        <w:t>致</w:t>
      </w:r>
      <w:r>
        <w:rPr>
          <w:rFonts w:hint="eastAsia"/>
          <w:color w:val="auto"/>
          <w:highlight w:val="none"/>
          <w:u w:val="single"/>
        </w:rPr>
        <w:t xml:space="preserve">               </w:t>
      </w:r>
      <w:r>
        <w:rPr>
          <w:rFonts w:hint="eastAsia"/>
          <w:color w:val="auto"/>
          <w:highlight w:val="none"/>
        </w:rPr>
        <w:t xml:space="preserve"> （采购人、采购代理机构）：</w:t>
      </w:r>
    </w:p>
    <w:p w14:paraId="683430D6">
      <w:pPr>
        <w:pStyle w:val="42"/>
        <w:spacing w:before="120"/>
        <w:ind w:firstLine="480"/>
        <w:rPr>
          <w:color w:val="auto"/>
          <w:highlight w:val="none"/>
        </w:rPr>
      </w:pPr>
      <w:r>
        <w:rPr>
          <w:rFonts w:hint="eastAsia"/>
          <w:color w:val="auto"/>
          <w:highlight w:val="none"/>
        </w:rPr>
        <w:t>按照《中华人民共和国政府采购法》第二十二条和招标文件的规定，我单位郑重声明如下：</w:t>
      </w:r>
    </w:p>
    <w:p w14:paraId="724F2A72">
      <w:pPr>
        <w:pStyle w:val="42"/>
        <w:spacing w:before="120"/>
        <w:ind w:firstLine="480"/>
        <w:rPr>
          <w:color w:val="auto"/>
          <w:highlight w:val="none"/>
        </w:rPr>
      </w:pPr>
      <w:r>
        <w:rPr>
          <w:rFonts w:hint="eastAsia"/>
          <w:color w:val="auto"/>
          <w:highlight w:val="none"/>
        </w:rPr>
        <w:t>一、我单位是按照中华人民共和国法律规定登记注册的，注册地点为</w:t>
      </w:r>
      <w:r>
        <w:rPr>
          <w:rFonts w:hint="eastAsia"/>
          <w:color w:val="auto"/>
          <w:highlight w:val="none"/>
          <w:u w:val="single"/>
        </w:rPr>
        <w:t xml:space="preserve">         </w:t>
      </w:r>
      <w:r>
        <w:rPr>
          <w:rFonts w:hint="eastAsia"/>
          <w:color w:val="auto"/>
          <w:highlight w:val="none"/>
        </w:rPr>
        <w:t>，全称为</w:t>
      </w:r>
      <w:r>
        <w:rPr>
          <w:rFonts w:hint="eastAsia"/>
          <w:color w:val="auto"/>
          <w:highlight w:val="none"/>
          <w:u w:val="single"/>
        </w:rPr>
        <w:t xml:space="preserve">       </w:t>
      </w:r>
      <w:r>
        <w:rPr>
          <w:rFonts w:hint="eastAsia"/>
          <w:color w:val="auto"/>
          <w:highlight w:val="none"/>
        </w:rPr>
        <w:t xml:space="preserve"> ，统一社会信用代码为</w:t>
      </w:r>
      <w:r>
        <w:rPr>
          <w:rFonts w:hint="eastAsia"/>
          <w:color w:val="auto"/>
          <w:highlight w:val="none"/>
          <w:u w:val="single"/>
        </w:rPr>
        <w:t xml:space="preserve">          </w:t>
      </w:r>
      <w:r>
        <w:rPr>
          <w:rFonts w:hint="eastAsia"/>
          <w:color w:val="auto"/>
          <w:highlight w:val="none"/>
        </w:rPr>
        <w:t xml:space="preserve">  ，法定代表人（单位负责人）为</w:t>
      </w:r>
      <w:r>
        <w:rPr>
          <w:rFonts w:hint="eastAsia"/>
          <w:color w:val="auto"/>
          <w:highlight w:val="none"/>
          <w:u w:val="single"/>
        </w:rPr>
        <w:t xml:space="preserve">         </w:t>
      </w:r>
      <w:r>
        <w:rPr>
          <w:rFonts w:hint="eastAsia"/>
          <w:color w:val="auto"/>
          <w:highlight w:val="none"/>
        </w:rPr>
        <w:t>，具有独立承担民事责任的能力。</w:t>
      </w:r>
    </w:p>
    <w:p w14:paraId="4614FD44">
      <w:pPr>
        <w:pStyle w:val="42"/>
        <w:spacing w:before="120"/>
        <w:ind w:firstLine="480"/>
        <w:rPr>
          <w:color w:val="auto"/>
          <w:highlight w:val="none"/>
        </w:rPr>
      </w:pPr>
      <w:r>
        <w:rPr>
          <w:rFonts w:hint="eastAsia"/>
          <w:color w:val="auto"/>
          <w:highlight w:val="none"/>
        </w:rPr>
        <w:t>二、我单位未被“国家企业信用信息系统”列入经营异常名录或者严重违法企业名单。</w:t>
      </w:r>
    </w:p>
    <w:p w14:paraId="3206A009">
      <w:pPr>
        <w:pStyle w:val="42"/>
        <w:spacing w:before="120"/>
        <w:ind w:firstLine="480"/>
        <w:rPr>
          <w:color w:val="auto"/>
          <w:highlight w:val="none"/>
        </w:rPr>
      </w:pPr>
      <w:r>
        <w:rPr>
          <w:rFonts w:hint="eastAsia"/>
          <w:color w:val="auto"/>
          <w:highlight w:val="none"/>
        </w:rPr>
        <w:t>三、我单位具有良好的商业信誉和健全的财务会计制度。</w:t>
      </w:r>
    </w:p>
    <w:p w14:paraId="01433242">
      <w:pPr>
        <w:pStyle w:val="42"/>
        <w:spacing w:before="120"/>
        <w:ind w:firstLine="480"/>
        <w:rPr>
          <w:color w:val="auto"/>
          <w:highlight w:val="none"/>
        </w:rPr>
      </w:pPr>
      <w:r>
        <w:rPr>
          <w:rFonts w:hint="eastAsia"/>
          <w:color w:val="auto"/>
          <w:highlight w:val="none"/>
        </w:rPr>
        <w:t>四、我单位依法进行纳税和社会保险申报并实际履行了义务。</w:t>
      </w:r>
    </w:p>
    <w:p w14:paraId="3665C5FD">
      <w:pPr>
        <w:pStyle w:val="42"/>
        <w:spacing w:before="120"/>
        <w:ind w:firstLine="480"/>
        <w:rPr>
          <w:color w:val="auto"/>
          <w:highlight w:val="none"/>
        </w:rPr>
      </w:pPr>
      <w:r>
        <w:rPr>
          <w:rFonts w:hint="eastAsia"/>
          <w:color w:val="auto"/>
          <w:highlight w:val="none"/>
        </w:rPr>
        <w:t>五、我单位具有履行本项目采购合同所必需的设备和专业技术能力，并具有履行合同的良好记录。</w:t>
      </w:r>
    </w:p>
    <w:p w14:paraId="7D62A11C">
      <w:pPr>
        <w:pStyle w:val="42"/>
        <w:spacing w:before="120"/>
        <w:ind w:firstLine="480"/>
        <w:rPr>
          <w:color w:val="auto"/>
          <w:highlight w:val="none"/>
        </w:rPr>
      </w:pPr>
      <w:r>
        <w:rPr>
          <w:rFonts w:hint="eastAsia"/>
          <w:color w:val="auto"/>
          <w:highlight w:val="none"/>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0E3D8C69">
      <w:pPr>
        <w:pStyle w:val="42"/>
        <w:spacing w:before="120"/>
        <w:ind w:firstLine="480"/>
        <w:rPr>
          <w:color w:val="auto"/>
          <w:highlight w:val="none"/>
        </w:rPr>
      </w:pPr>
      <w:r>
        <w:rPr>
          <w:rFonts w:hint="eastAsia"/>
          <w:color w:val="auto"/>
          <w:highlight w:val="none"/>
        </w:rPr>
        <w:t>七、我单位具备法律、行政法规规定的其他条件。</w:t>
      </w:r>
    </w:p>
    <w:p w14:paraId="0CD0202D">
      <w:pPr>
        <w:pStyle w:val="42"/>
        <w:spacing w:before="120"/>
        <w:ind w:firstLine="480"/>
        <w:rPr>
          <w:color w:val="auto"/>
          <w:highlight w:val="none"/>
        </w:rPr>
      </w:pPr>
      <w:r>
        <w:rPr>
          <w:rFonts w:hint="eastAsia"/>
          <w:color w:val="auto"/>
          <w:highlight w:val="none"/>
        </w:rPr>
        <w:t>八、与我单位存在“单位负责人为同一人或者存在直接控股、管理关系”的其他单位信息如下（如无，填写“无”）：</w:t>
      </w:r>
    </w:p>
    <w:p w14:paraId="3757C6D4">
      <w:pPr>
        <w:pStyle w:val="42"/>
        <w:spacing w:before="120"/>
        <w:ind w:firstLine="480"/>
        <w:rPr>
          <w:color w:val="auto"/>
          <w:highlight w:val="none"/>
        </w:rPr>
      </w:pPr>
      <w:r>
        <w:rPr>
          <w:rFonts w:hint="eastAsia"/>
          <w:color w:val="auto"/>
          <w:highlight w:val="none"/>
        </w:rPr>
        <w:t xml:space="preserve">1、与我单位的法定代表人（单位负责人）为同一人的其他单位如下：               </w:t>
      </w:r>
    </w:p>
    <w:p w14:paraId="4093D436">
      <w:pPr>
        <w:pStyle w:val="42"/>
        <w:spacing w:before="120"/>
        <w:ind w:firstLine="480"/>
        <w:rPr>
          <w:color w:val="auto"/>
          <w:highlight w:val="none"/>
        </w:rPr>
      </w:pPr>
      <w:r>
        <w:rPr>
          <w:rFonts w:hint="eastAsia"/>
          <w:color w:val="auto"/>
          <w:highlight w:val="none"/>
        </w:rPr>
        <w:t xml:space="preserve">2、我单位直接控股的其他单位如下：               </w:t>
      </w:r>
    </w:p>
    <w:p w14:paraId="0BB6356A">
      <w:pPr>
        <w:pStyle w:val="42"/>
        <w:spacing w:before="120"/>
        <w:ind w:firstLine="480"/>
        <w:rPr>
          <w:color w:val="auto"/>
          <w:highlight w:val="none"/>
        </w:rPr>
      </w:pPr>
      <w:r>
        <w:rPr>
          <w:rFonts w:hint="eastAsia"/>
          <w:color w:val="auto"/>
          <w:highlight w:val="none"/>
        </w:rPr>
        <w:t xml:space="preserve">3、与我单位存在管理关系的其他单位如下：               </w:t>
      </w:r>
    </w:p>
    <w:p w14:paraId="72ED516C">
      <w:pPr>
        <w:pStyle w:val="42"/>
        <w:spacing w:before="120"/>
        <w:ind w:firstLine="480"/>
        <w:rPr>
          <w:color w:val="auto"/>
          <w:highlight w:val="none"/>
        </w:rPr>
      </w:pPr>
      <w:r>
        <w:rPr>
          <w:rFonts w:hint="eastAsia"/>
          <w:color w:val="auto"/>
          <w:highlight w:val="none"/>
        </w:rPr>
        <w:t>九、我单位不属于为本项目提供整体设计、规范编制或者项目管理、监理、检测等服务的投标人。</w:t>
      </w:r>
    </w:p>
    <w:p w14:paraId="5F719983">
      <w:pPr>
        <w:pStyle w:val="42"/>
        <w:spacing w:before="120"/>
        <w:ind w:firstLine="480"/>
        <w:rPr>
          <w:color w:val="auto"/>
          <w:highlight w:val="none"/>
        </w:rPr>
      </w:pPr>
      <w:r>
        <w:rPr>
          <w:rFonts w:hint="eastAsia"/>
          <w:color w:val="auto"/>
          <w:highlight w:val="none"/>
        </w:rPr>
        <w:t>十、我单位无以下不良信用记录情形：</w:t>
      </w:r>
    </w:p>
    <w:p w14:paraId="216A19DA">
      <w:pPr>
        <w:pStyle w:val="42"/>
        <w:spacing w:before="120"/>
        <w:ind w:firstLine="480"/>
        <w:rPr>
          <w:color w:val="auto"/>
          <w:highlight w:val="none"/>
        </w:rPr>
      </w:pPr>
      <w:r>
        <w:rPr>
          <w:rFonts w:hint="eastAsia"/>
          <w:color w:val="auto"/>
          <w:highlight w:val="none"/>
        </w:rPr>
        <w:t>（1）被人民法院列入失信被执行人；</w:t>
      </w:r>
    </w:p>
    <w:p w14:paraId="3B4BCDD6">
      <w:pPr>
        <w:pStyle w:val="42"/>
        <w:spacing w:before="120"/>
        <w:ind w:firstLine="480"/>
        <w:rPr>
          <w:color w:val="auto"/>
          <w:highlight w:val="none"/>
        </w:rPr>
      </w:pPr>
      <w:r>
        <w:rPr>
          <w:rFonts w:hint="eastAsia"/>
          <w:color w:val="auto"/>
          <w:highlight w:val="none"/>
        </w:rPr>
        <w:t>（2）单位、法定代表人或拟派项目经理（项目负责人）被人民检察院列入行贿犯罪档案；</w:t>
      </w:r>
    </w:p>
    <w:p w14:paraId="57AAEDC6">
      <w:pPr>
        <w:pStyle w:val="42"/>
        <w:spacing w:before="120"/>
        <w:ind w:firstLine="480"/>
        <w:rPr>
          <w:color w:val="auto"/>
          <w:highlight w:val="none"/>
        </w:rPr>
      </w:pPr>
      <w:r>
        <w:rPr>
          <w:rFonts w:hint="eastAsia"/>
          <w:color w:val="auto"/>
          <w:highlight w:val="none"/>
        </w:rPr>
        <w:t>（3）被工商行政管理部门列入企业经营异常名录；</w:t>
      </w:r>
    </w:p>
    <w:p w14:paraId="07C0580A">
      <w:pPr>
        <w:pStyle w:val="42"/>
        <w:spacing w:before="120"/>
        <w:ind w:firstLine="480"/>
        <w:rPr>
          <w:color w:val="auto"/>
          <w:highlight w:val="none"/>
        </w:rPr>
      </w:pPr>
      <w:r>
        <w:rPr>
          <w:rFonts w:hint="eastAsia"/>
          <w:color w:val="auto"/>
          <w:highlight w:val="none"/>
        </w:rPr>
        <w:t>（4）被税务部门列入重大税收违法案件当事人名单；</w:t>
      </w:r>
    </w:p>
    <w:p w14:paraId="77CF5335">
      <w:pPr>
        <w:pStyle w:val="42"/>
        <w:spacing w:before="120"/>
        <w:ind w:firstLine="480"/>
        <w:rPr>
          <w:color w:val="auto"/>
          <w:highlight w:val="none"/>
        </w:rPr>
      </w:pPr>
      <w:r>
        <w:rPr>
          <w:rFonts w:hint="eastAsia"/>
          <w:color w:val="auto"/>
          <w:highlight w:val="none"/>
        </w:rPr>
        <w:t>（5）被政府采购监管部门列入政府采购严重违法失信行为记录名单。</w:t>
      </w:r>
    </w:p>
    <w:p w14:paraId="6952BBF5">
      <w:pPr>
        <w:pStyle w:val="42"/>
        <w:spacing w:before="120"/>
        <w:ind w:firstLine="480"/>
        <w:rPr>
          <w:color w:val="auto"/>
          <w:highlight w:val="none"/>
        </w:rPr>
      </w:pPr>
      <w:r>
        <w:rPr>
          <w:rFonts w:hint="eastAsia"/>
          <w:color w:val="auto"/>
          <w:highlight w:val="none"/>
        </w:rPr>
        <w:t>十一、</w:t>
      </w:r>
      <w:r>
        <w:rPr>
          <w:rFonts w:hint="eastAsia"/>
          <w:color w:val="auto"/>
          <w:highlight w:val="none"/>
          <w:u w:val="single"/>
        </w:rPr>
        <w:t xml:space="preserve">                                                        </w:t>
      </w:r>
      <w:r>
        <w:rPr>
          <w:rFonts w:hint="eastAsia"/>
          <w:color w:val="auto"/>
          <w:highlight w:val="none"/>
        </w:rPr>
        <w:t>。</w:t>
      </w:r>
    </w:p>
    <w:p w14:paraId="26CD14FB">
      <w:pPr>
        <w:pStyle w:val="42"/>
        <w:spacing w:before="120"/>
        <w:ind w:firstLine="480"/>
        <w:rPr>
          <w:color w:val="auto"/>
          <w:highlight w:val="none"/>
        </w:rPr>
      </w:pPr>
      <w:r>
        <w:rPr>
          <w:rFonts w:hint="eastAsia"/>
          <w:color w:val="auto"/>
          <w:highlight w:val="none"/>
        </w:rPr>
        <w:t>我单位保证上述声明的事项都是真实的，如有虚假，我单位愿意承担相应的法律责任，并承担因此所造成的一切损失。</w:t>
      </w:r>
    </w:p>
    <w:p w14:paraId="58566A06">
      <w:pPr>
        <w:pStyle w:val="42"/>
        <w:spacing w:before="120"/>
        <w:ind w:firstLine="480"/>
        <w:rPr>
          <w:rFonts w:hint="eastAsia"/>
          <w:color w:val="auto"/>
          <w:lang w:eastAsia="zh-CN"/>
        </w:rPr>
      </w:pPr>
    </w:p>
    <w:p w14:paraId="63B6096E">
      <w:pPr>
        <w:pStyle w:val="42"/>
        <w:spacing w:before="120"/>
        <w:ind w:firstLine="480"/>
        <w:rPr>
          <w:rFonts w:hint="eastAsia"/>
          <w:color w:val="auto"/>
          <w:lang w:eastAsia="zh-CN"/>
        </w:rPr>
      </w:pPr>
    </w:p>
    <w:p w14:paraId="68CA9685">
      <w:pPr>
        <w:pStyle w:val="42"/>
        <w:spacing w:before="120"/>
        <w:ind w:firstLine="480"/>
        <w:rPr>
          <w:rFonts w:hint="eastAsia"/>
          <w:color w:val="auto"/>
        </w:rPr>
      </w:pPr>
      <w:r>
        <w:rPr>
          <w:rFonts w:hint="eastAsia"/>
          <w:color w:val="auto"/>
          <w:lang w:eastAsia="zh-CN"/>
        </w:rPr>
        <w:t>投标</w:t>
      </w:r>
      <w:r>
        <w:rPr>
          <w:rFonts w:hint="eastAsia"/>
          <w:color w:val="auto"/>
        </w:rPr>
        <w:t xml:space="preserve">人名称：（公章）               </w:t>
      </w:r>
    </w:p>
    <w:p w14:paraId="13776453">
      <w:pPr>
        <w:pStyle w:val="42"/>
        <w:spacing w:before="120"/>
        <w:ind w:firstLine="480"/>
        <w:rPr>
          <w:rFonts w:hint="eastAsia"/>
          <w:color w:val="auto"/>
        </w:rPr>
      </w:pPr>
      <w:r>
        <w:rPr>
          <w:rFonts w:hint="eastAsia"/>
          <w:color w:val="auto"/>
        </w:rPr>
        <w:t>法定代表人或其委托代理人：（签字必须为亲笔签名或盖印鉴）</w:t>
      </w:r>
    </w:p>
    <w:p w14:paraId="6EAC8E00">
      <w:pPr>
        <w:pStyle w:val="42"/>
        <w:spacing w:before="120"/>
        <w:ind w:firstLine="480"/>
        <w:rPr>
          <w:rFonts w:hint="eastAsia"/>
          <w:color w:val="auto"/>
        </w:rPr>
      </w:pPr>
      <w:r>
        <w:rPr>
          <w:rFonts w:hint="eastAsia"/>
          <w:color w:val="auto"/>
        </w:rPr>
        <w:t>联系地址：　　　　　　　　　　　</w:t>
      </w:r>
    </w:p>
    <w:p w14:paraId="0E658345">
      <w:pPr>
        <w:pStyle w:val="42"/>
        <w:spacing w:before="120"/>
        <w:ind w:firstLine="480"/>
        <w:rPr>
          <w:rFonts w:hint="eastAsia"/>
          <w:color w:val="auto"/>
        </w:rPr>
      </w:pPr>
      <w:r>
        <w:rPr>
          <w:rFonts w:hint="eastAsia"/>
          <w:color w:val="auto"/>
        </w:rPr>
        <w:t>联系人：　　　　　　　　　　　　电话：</w:t>
      </w:r>
    </w:p>
    <w:p w14:paraId="570FE3B6">
      <w:pPr>
        <w:pStyle w:val="42"/>
        <w:spacing w:before="120"/>
        <w:ind w:firstLine="480"/>
        <w:rPr>
          <w:rFonts w:hint="eastAsia"/>
          <w:color w:val="auto"/>
        </w:rPr>
      </w:pPr>
      <w:r>
        <w:rPr>
          <w:rFonts w:hint="eastAsia"/>
          <w:color w:val="auto"/>
        </w:rPr>
        <w:t>　　　　　　　　　　　　　　　                                年　  月　 日</w:t>
      </w:r>
    </w:p>
    <w:p w14:paraId="6D2840DC">
      <w:pPr>
        <w:pStyle w:val="42"/>
        <w:spacing w:before="120"/>
        <w:ind w:firstLine="480"/>
        <w:rPr>
          <w:rFonts w:hint="default"/>
          <w:color w:val="auto"/>
          <w:lang w:val="en-US" w:eastAsia="zh-CN"/>
        </w:rPr>
      </w:pPr>
      <w:r>
        <w:rPr>
          <w:rFonts w:hint="eastAsia"/>
          <w:color w:val="auto"/>
        </w:rPr>
        <w:t>注：此《</w:t>
      </w:r>
      <w:r>
        <w:rPr>
          <w:rFonts w:hint="eastAsia"/>
          <w:color w:val="auto"/>
          <w:lang w:eastAsia="zh-CN"/>
        </w:rPr>
        <w:t>投标</w:t>
      </w:r>
      <w:r>
        <w:rPr>
          <w:rFonts w:hint="eastAsia"/>
          <w:color w:val="auto"/>
        </w:rPr>
        <w:t>承诺函》由</w:t>
      </w:r>
      <w:r>
        <w:rPr>
          <w:rFonts w:hint="eastAsia"/>
          <w:color w:val="auto"/>
          <w:lang w:eastAsia="zh-CN"/>
        </w:rPr>
        <w:t>投标</w:t>
      </w:r>
      <w:r>
        <w:rPr>
          <w:rFonts w:hint="eastAsia"/>
          <w:color w:val="auto"/>
        </w:rPr>
        <w:t>人的法定代表人亲笔签署或盖印鉴，并加盖单位公章，编入</w:t>
      </w:r>
      <w:r>
        <w:rPr>
          <w:rFonts w:hint="eastAsia"/>
          <w:color w:val="auto"/>
          <w:lang w:eastAsia="zh-CN"/>
        </w:rPr>
        <w:t>投标</w:t>
      </w:r>
      <w:r>
        <w:rPr>
          <w:rFonts w:hint="eastAsia"/>
          <w:color w:val="auto"/>
        </w:rPr>
        <w:t>文件中，否则，视为无效响应。</w:t>
      </w:r>
    </w:p>
    <w:p w14:paraId="48E1E068">
      <w:pPr>
        <w:rPr>
          <w:color w:val="auto"/>
        </w:rPr>
      </w:pPr>
    </w:p>
    <w:p w14:paraId="3B67996E">
      <w:pPr>
        <w:rPr>
          <w:color w:val="auto"/>
        </w:rPr>
      </w:pPr>
    </w:p>
    <w:p w14:paraId="0A54E0C5">
      <w:pPr>
        <w:rPr>
          <w:color w:val="auto"/>
        </w:rPr>
      </w:pPr>
    </w:p>
    <w:p w14:paraId="74DF9164">
      <w:pPr>
        <w:rPr>
          <w:color w:val="auto"/>
        </w:rPr>
      </w:pPr>
      <w:r>
        <w:rPr>
          <w:rFonts w:hint="eastAsia"/>
          <w:color w:val="auto"/>
        </w:rPr>
        <w:br w:type="page"/>
      </w:r>
    </w:p>
    <w:p w14:paraId="0F022625">
      <w:pPr>
        <w:pStyle w:val="4"/>
        <w:rPr>
          <w:rFonts w:hint="eastAsia"/>
          <w:color w:val="auto"/>
        </w:rPr>
      </w:pPr>
      <w:bookmarkStart w:id="120" w:name="_Toc32532"/>
      <w:bookmarkStart w:id="121" w:name="_Toc16613"/>
      <w:r>
        <w:rPr>
          <w:rFonts w:hint="eastAsia"/>
          <w:color w:val="auto"/>
          <w:lang w:val="en-US" w:eastAsia="zh-CN"/>
        </w:rPr>
        <w:t>五</w:t>
      </w:r>
      <w:r>
        <w:rPr>
          <w:rFonts w:hint="eastAsia"/>
          <w:color w:val="auto"/>
        </w:rPr>
        <w:t>、</w:t>
      </w:r>
      <w:bookmarkEnd w:id="120"/>
      <w:bookmarkEnd w:id="121"/>
      <w:r>
        <w:rPr>
          <w:rFonts w:hint="eastAsia"/>
          <w:color w:val="auto"/>
        </w:rPr>
        <w:t>投标</w:t>
      </w:r>
      <w:r>
        <w:rPr>
          <w:rFonts w:hint="eastAsia"/>
          <w:color w:val="auto"/>
          <w:lang w:eastAsia="zh-CN"/>
        </w:rPr>
        <w:t>（</w:t>
      </w:r>
      <w:r>
        <w:rPr>
          <w:rFonts w:hint="eastAsia"/>
          <w:color w:val="auto"/>
          <w:lang w:val="en-US" w:eastAsia="zh-CN"/>
        </w:rPr>
        <w:t>竞价）</w:t>
      </w:r>
      <w:r>
        <w:rPr>
          <w:color w:val="auto"/>
        </w:rPr>
        <w:t>响应情况</w:t>
      </w:r>
    </w:p>
    <w:p w14:paraId="59F190DB">
      <w:pPr>
        <w:pStyle w:val="6"/>
        <w:rPr>
          <w:rFonts w:hint="eastAsia"/>
          <w:color w:val="auto"/>
          <w:lang w:val="en-US" w:eastAsia="zh-CN"/>
        </w:rPr>
      </w:pPr>
      <w:r>
        <w:rPr>
          <w:rFonts w:hint="eastAsia"/>
          <w:color w:val="auto"/>
          <w:lang w:val="en-US" w:eastAsia="zh-CN"/>
        </w:rPr>
        <w:t>附件5-1 采购需求响应表</w:t>
      </w:r>
    </w:p>
    <w:p w14:paraId="32B93665">
      <w:pPr>
        <w:pStyle w:val="42"/>
        <w:spacing w:before="120"/>
        <w:ind w:firstLine="0" w:firstLineChars="0"/>
        <w:jc w:val="center"/>
        <w:rPr>
          <w:rFonts w:hint="default" w:ascii="方正小标宋_GBK" w:hAnsi="方正小标宋_GBK" w:eastAsia="方正小标宋_GBK" w:cs="方正小标宋_GBK"/>
          <w:color w:val="auto"/>
          <w:sz w:val="32"/>
          <w:szCs w:val="32"/>
          <w:lang w:val="en-US" w:eastAsia="zh-CN"/>
        </w:rPr>
      </w:pPr>
      <w:bookmarkStart w:id="122" w:name="_Toc22684"/>
      <w:r>
        <w:rPr>
          <w:rFonts w:hint="eastAsia" w:ascii="方正小标宋_GBK" w:hAnsi="方正小标宋_GBK" w:eastAsia="方正小标宋_GBK" w:cs="方正小标宋_GBK"/>
          <w:color w:val="auto"/>
          <w:sz w:val="32"/>
          <w:szCs w:val="32"/>
        </w:rPr>
        <w:t>采购需求响应表</w:t>
      </w:r>
      <w:bookmarkEnd w:id="122"/>
      <w:r>
        <w:rPr>
          <w:rFonts w:hint="eastAsia" w:ascii="方正小标宋_GBK" w:hAnsi="方正小标宋_GBK" w:eastAsia="方正小标宋_GBK" w:cs="方正小标宋_GBK"/>
          <w:color w:val="auto"/>
          <w:sz w:val="32"/>
          <w:szCs w:val="32"/>
          <w:lang w:eastAsia="zh-CN"/>
        </w:rPr>
        <w:t>（</w:t>
      </w:r>
      <w:r>
        <w:rPr>
          <w:rFonts w:hint="eastAsia" w:ascii="方正小标宋_GBK" w:hAnsi="方正小标宋_GBK" w:eastAsia="方正小标宋_GBK" w:cs="方正小标宋_GBK"/>
          <w:color w:val="auto"/>
          <w:sz w:val="32"/>
          <w:szCs w:val="32"/>
          <w:lang w:val="en-US" w:eastAsia="zh-CN"/>
        </w:rPr>
        <w:t>含技术商务响应</w:t>
      </w:r>
      <w:r>
        <w:rPr>
          <w:rFonts w:hint="eastAsia" w:ascii="方正小标宋_GBK" w:hAnsi="方正小标宋_GBK" w:eastAsia="方正小标宋_GBK" w:cs="方正小标宋_GBK"/>
          <w:color w:val="auto"/>
          <w:sz w:val="32"/>
          <w:szCs w:val="32"/>
          <w:lang w:eastAsia="zh-CN"/>
        </w:rPr>
        <w:t>）</w:t>
      </w:r>
    </w:p>
    <w:p w14:paraId="50AEFD24">
      <w:pPr>
        <w:pStyle w:val="42"/>
        <w:spacing w:before="120"/>
        <w:ind w:firstLine="480"/>
        <w:rPr>
          <w:color w:val="auto"/>
        </w:rPr>
      </w:pPr>
    </w:p>
    <w:tbl>
      <w:tblPr>
        <w:tblStyle w:val="32"/>
        <w:tblpPr w:leftFromText="180" w:rightFromText="180" w:vertAnchor="text" w:horzAnchor="page" w:tblpX="1013" w:tblpY="179"/>
        <w:tblOverlap w:val="never"/>
        <w:tblW w:w="984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76"/>
        <w:gridCol w:w="2504"/>
        <w:gridCol w:w="2063"/>
        <w:gridCol w:w="2209"/>
        <w:gridCol w:w="1896"/>
      </w:tblGrid>
      <w:tr w14:paraId="3A490E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9" w:hRule="atLeast"/>
        </w:trPr>
        <w:tc>
          <w:tcPr>
            <w:tcW w:w="1176" w:type="dxa"/>
            <w:vAlign w:val="center"/>
          </w:tcPr>
          <w:p w14:paraId="47514FA8">
            <w:pPr>
              <w:pStyle w:val="41"/>
              <w:rPr>
                <w:color w:val="auto"/>
              </w:rPr>
            </w:pPr>
            <w:r>
              <w:rPr>
                <w:rFonts w:hint="eastAsia"/>
                <w:color w:val="auto"/>
              </w:rPr>
              <w:t>序号</w:t>
            </w:r>
          </w:p>
        </w:tc>
        <w:tc>
          <w:tcPr>
            <w:tcW w:w="2504" w:type="dxa"/>
            <w:vAlign w:val="center"/>
          </w:tcPr>
          <w:p w14:paraId="2626E50D">
            <w:pPr>
              <w:pStyle w:val="41"/>
              <w:rPr>
                <w:color w:val="auto"/>
              </w:rPr>
            </w:pPr>
            <w:r>
              <w:rPr>
                <w:rFonts w:hint="eastAsia"/>
                <w:color w:val="auto"/>
              </w:rPr>
              <w:t>招标文件章节条款号</w:t>
            </w:r>
          </w:p>
        </w:tc>
        <w:tc>
          <w:tcPr>
            <w:tcW w:w="2063" w:type="dxa"/>
            <w:tcBorders>
              <w:right w:val="single" w:color="auto" w:sz="4" w:space="0"/>
            </w:tcBorders>
            <w:vAlign w:val="center"/>
          </w:tcPr>
          <w:p w14:paraId="77900ABA">
            <w:pPr>
              <w:pStyle w:val="41"/>
              <w:rPr>
                <w:color w:val="auto"/>
              </w:rPr>
            </w:pPr>
            <w:r>
              <w:rPr>
                <w:rFonts w:hint="eastAsia"/>
                <w:color w:val="auto"/>
              </w:rPr>
              <w:t>招标文件要求</w:t>
            </w:r>
          </w:p>
        </w:tc>
        <w:tc>
          <w:tcPr>
            <w:tcW w:w="2209" w:type="dxa"/>
            <w:tcBorders>
              <w:left w:val="single" w:color="auto" w:sz="4" w:space="0"/>
            </w:tcBorders>
            <w:vAlign w:val="center"/>
          </w:tcPr>
          <w:p w14:paraId="317416DA">
            <w:pPr>
              <w:pStyle w:val="41"/>
              <w:rPr>
                <w:color w:val="auto"/>
              </w:rPr>
            </w:pPr>
            <w:r>
              <w:rPr>
                <w:rFonts w:hint="eastAsia"/>
                <w:color w:val="auto"/>
              </w:rPr>
              <w:t>投标文件应答</w:t>
            </w:r>
          </w:p>
        </w:tc>
        <w:tc>
          <w:tcPr>
            <w:tcW w:w="1896" w:type="dxa"/>
            <w:vAlign w:val="center"/>
          </w:tcPr>
          <w:p w14:paraId="58A86097">
            <w:pPr>
              <w:pStyle w:val="41"/>
              <w:rPr>
                <w:color w:val="auto"/>
              </w:rPr>
            </w:pPr>
            <w:r>
              <w:rPr>
                <w:rFonts w:hint="eastAsia"/>
                <w:color w:val="auto"/>
              </w:rPr>
              <w:t>响应/偏离说明</w:t>
            </w:r>
          </w:p>
        </w:tc>
      </w:tr>
      <w:tr w14:paraId="181959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1176" w:type="dxa"/>
            <w:vAlign w:val="center"/>
          </w:tcPr>
          <w:p w14:paraId="64E3A0F9">
            <w:pPr>
              <w:adjustRightInd w:val="0"/>
              <w:snapToGrid w:val="0"/>
              <w:spacing w:before="50" w:line="360" w:lineRule="auto"/>
              <w:ind w:left="-88" w:leftChars="-42"/>
              <w:jc w:val="center"/>
              <w:rPr>
                <w:rFonts w:ascii="宋体" w:hAnsi="宋体" w:eastAsia="宋体" w:cs="Times New Roman"/>
                <w:color w:val="auto"/>
                <w:sz w:val="24"/>
                <w:szCs w:val="21"/>
              </w:rPr>
            </w:pPr>
          </w:p>
        </w:tc>
        <w:tc>
          <w:tcPr>
            <w:tcW w:w="2504" w:type="dxa"/>
            <w:vAlign w:val="center"/>
          </w:tcPr>
          <w:p w14:paraId="13415604">
            <w:pPr>
              <w:adjustRightInd w:val="0"/>
              <w:snapToGrid w:val="0"/>
              <w:spacing w:before="50" w:line="360" w:lineRule="auto"/>
              <w:ind w:left="-88" w:leftChars="-42"/>
              <w:jc w:val="center"/>
              <w:rPr>
                <w:rFonts w:ascii="宋体" w:hAnsi="宋体" w:eastAsia="宋体" w:cs="Times New Roman"/>
                <w:color w:val="auto"/>
                <w:sz w:val="24"/>
                <w:szCs w:val="21"/>
              </w:rPr>
            </w:pPr>
          </w:p>
        </w:tc>
        <w:tc>
          <w:tcPr>
            <w:tcW w:w="2063" w:type="dxa"/>
            <w:tcBorders>
              <w:right w:val="single" w:color="auto" w:sz="4" w:space="0"/>
            </w:tcBorders>
            <w:vAlign w:val="center"/>
          </w:tcPr>
          <w:p w14:paraId="08D6A1D0">
            <w:pPr>
              <w:adjustRightInd w:val="0"/>
              <w:snapToGrid w:val="0"/>
              <w:spacing w:before="50" w:line="360" w:lineRule="auto"/>
              <w:ind w:left="-88" w:leftChars="-42"/>
              <w:jc w:val="center"/>
              <w:rPr>
                <w:rFonts w:ascii="宋体" w:hAnsi="宋体" w:eastAsia="宋体" w:cs="Times New Roman"/>
                <w:color w:val="auto"/>
                <w:sz w:val="24"/>
                <w:szCs w:val="21"/>
              </w:rPr>
            </w:pPr>
          </w:p>
        </w:tc>
        <w:tc>
          <w:tcPr>
            <w:tcW w:w="2209" w:type="dxa"/>
            <w:tcBorders>
              <w:left w:val="single" w:color="auto" w:sz="4" w:space="0"/>
            </w:tcBorders>
            <w:vAlign w:val="center"/>
          </w:tcPr>
          <w:p w14:paraId="1BE135F7">
            <w:pPr>
              <w:adjustRightInd w:val="0"/>
              <w:snapToGrid w:val="0"/>
              <w:spacing w:before="50" w:line="360" w:lineRule="auto"/>
              <w:ind w:left="-88" w:leftChars="-42"/>
              <w:jc w:val="center"/>
              <w:rPr>
                <w:rFonts w:ascii="宋体" w:hAnsi="宋体" w:eastAsia="宋体" w:cs="Times New Roman"/>
                <w:color w:val="auto"/>
                <w:sz w:val="24"/>
                <w:szCs w:val="21"/>
              </w:rPr>
            </w:pPr>
          </w:p>
        </w:tc>
        <w:tc>
          <w:tcPr>
            <w:tcW w:w="1896" w:type="dxa"/>
            <w:vAlign w:val="center"/>
          </w:tcPr>
          <w:p w14:paraId="441E3BF2">
            <w:pPr>
              <w:adjustRightInd w:val="0"/>
              <w:snapToGrid w:val="0"/>
              <w:spacing w:before="50" w:line="360" w:lineRule="auto"/>
              <w:ind w:left="-88" w:leftChars="-42"/>
              <w:jc w:val="center"/>
              <w:rPr>
                <w:rFonts w:ascii="宋体" w:hAnsi="宋体" w:eastAsia="宋体" w:cs="Times New Roman"/>
                <w:color w:val="auto"/>
                <w:sz w:val="24"/>
                <w:szCs w:val="21"/>
              </w:rPr>
            </w:pPr>
          </w:p>
        </w:tc>
      </w:tr>
      <w:tr w14:paraId="3A0AF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1176" w:type="dxa"/>
            <w:vAlign w:val="center"/>
          </w:tcPr>
          <w:p w14:paraId="4CCBF0BE">
            <w:pPr>
              <w:adjustRightInd w:val="0"/>
              <w:snapToGrid w:val="0"/>
              <w:spacing w:before="50" w:line="360" w:lineRule="auto"/>
              <w:ind w:left="-88" w:leftChars="-42"/>
              <w:jc w:val="center"/>
              <w:rPr>
                <w:rFonts w:ascii="宋体" w:hAnsi="宋体" w:eastAsia="宋体" w:cs="Times New Roman"/>
                <w:color w:val="auto"/>
                <w:sz w:val="24"/>
                <w:szCs w:val="21"/>
              </w:rPr>
            </w:pPr>
          </w:p>
        </w:tc>
        <w:tc>
          <w:tcPr>
            <w:tcW w:w="2504" w:type="dxa"/>
            <w:vAlign w:val="center"/>
          </w:tcPr>
          <w:p w14:paraId="0C6EEBC9">
            <w:pPr>
              <w:adjustRightInd w:val="0"/>
              <w:snapToGrid w:val="0"/>
              <w:spacing w:before="50" w:line="360" w:lineRule="auto"/>
              <w:ind w:left="-88" w:leftChars="-42"/>
              <w:jc w:val="center"/>
              <w:rPr>
                <w:rFonts w:ascii="宋体" w:hAnsi="宋体" w:eastAsia="宋体" w:cs="Times New Roman"/>
                <w:color w:val="auto"/>
                <w:sz w:val="24"/>
                <w:szCs w:val="21"/>
              </w:rPr>
            </w:pPr>
          </w:p>
        </w:tc>
        <w:tc>
          <w:tcPr>
            <w:tcW w:w="2063" w:type="dxa"/>
            <w:tcBorders>
              <w:right w:val="single" w:color="auto" w:sz="4" w:space="0"/>
            </w:tcBorders>
            <w:vAlign w:val="center"/>
          </w:tcPr>
          <w:p w14:paraId="520789FB">
            <w:pPr>
              <w:adjustRightInd w:val="0"/>
              <w:snapToGrid w:val="0"/>
              <w:spacing w:before="50" w:line="360" w:lineRule="auto"/>
              <w:ind w:left="-88" w:leftChars="-42"/>
              <w:jc w:val="center"/>
              <w:rPr>
                <w:rFonts w:ascii="宋体" w:hAnsi="宋体" w:eastAsia="宋体" w:cs="Times New Roman"/>
                <w:color w:val="auto"/>
                <w:sz w:val="24"/>
                <w:szCs w:val="21"/>
              </w:rPr>
            </w:pPr>
          </w:p>
        </w:tc>
        <w:tc>
          <w:tcPr>
            <w:tcW w:w="2209" w:type="dxa"/>
            <w:tcBorders>
              <w:left w:val="single" w:color="auto" w:sz="4" w:space="0"/>
            </w:tcBorders>
            <w:vAlign w:val="center"/>
          </w:tcPr>
          <w:p w14:paraId="5144ACF7">
            <w:pPr>
              <w:adjustRightInd w:val="0"/>
              <w:snapToGrid w:val="0"/>
              <w:spacing w:before="50" w:line="360" w:lineRule="auto"/>
              <w:ind w:left="-88" w:leftChars="-42"/>
              <w:jc w:val="center"/>
              <w:rPr>
                <w:rFonts w:ascii="宋体" w:hAnsi="宋体" w:eastAsia="宋体" w:cs="Times New Roman"/>
                <w:color w:val="auto"/>
                <w:sz w:val="24"/>
                <w:szCs w:val="21"/>
              </w:rPr>
            </w:pPr>
          </w:p>
        </w:tc>
        <w:tc>
          <w:tcPr>
            <w:tcW w:w="1896" w:type="dxa"/>
            <w:vAlign w:val="center"/>
          </w:tcPr>
          <w:p w14:paraId="4E2C6192">
            <w:pPr>
              <w:adjustRightInd w:val="0"/>
              <w:snapToGrid w:val="0"/>
              <w:spacing w:before="50" w:line="360" w:lineRule="auto"/>
              <w:ind w:left="-88" w:leftChars="-42"/>
              <w:jc w:val="center"/>
              <w:rPr>
                <w:rFonts w:ascii="宋体" w:hAnsi="宋体" w:eastAsia="宋体" w:cs="Times New Roman"/>
                <w:color w:val="auto"/>
                <w:sz w:val="24"/>
                <w:szCs w:val="21"/>
              </w:rPr>
            </w:pPr>
          </w:p>
        </w:tc>
      </w:tr>
      <w:tr w14:paraId="195C55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1176" w:type="dxa"/>
            <w:vAlign w:val="center"/>
          </w:tcPr>
          <w:p w14:paraId="78F0FBB4">
            <w:pPr>
              <w:adjustRightInd w:val="0"/>
              <w:snapToGrid w:val="0"/>
              <w:spacing w:before="50" w:line="360" w:lineRule="auto"/>
              <w:ind w:left="-88" w:leftChars="-42"/>
              <w:jc w:val="center"/>
              <w:rPr>
                <w:rFonts w:ascii="宋体" w:hAnsi="宋体" w:eastAsia="宋体" w:cs="Times New Roman"/>
                <w:color w:val="auto"/>
                <w:sz w:val="24"/>
                <w:szCs w:val="21"/>
              </w:rPr>
            </w:pPr>
          </w:p>
        </w:tc>
        <w:tc>
          <w:tcPr>
            <w:tcW w:w="2504" w:type="dxa"/>
            <w:vAlign w:val="center"/>
          </w:tcPr>
          <w:p w14:paraId="5BB4524F">
            <w:pPr>
              <w:adjustRightInd w:val="0"/>
              <w:snapToGrid w:val="0"/>
              <w:spacing w:before="50" w:line="360" w:lineRule="auto"/>
              <w:ind w:left="-88" w:leftChars="-42"/>
              <w:jc w:val="center"/>
              <w:rPr>
                <w:rFonts w:ascii="宋体" w:hAnsi="宋体" w:eastAsia="宋体" w:cs="Times New Roman"/>
                <w:color w:val="auto"/>
                <w:sz w:val="24"/>
                <w:szCs w:val="21"/>
              </w:rPr>
            </w:pPr>
          </w:p>
        </w:tc>
        <w:tc>
          <w:tcPr>
            <w:tcW w:w="2063" w:type="dxa"/>
            <w:tcBorders>
              <w:right w:val="single" w:color="auto" w:sz="4" w:space="0"/>
            </w:tcBorders>
            <w:vAlign w:val="center"/>
          </w:tcPr>
          <w:p w14:paraId="5A74E7A1">
            <w:pPr>
              <w:adjustRightInd w:val="0"/>
              <w:snapToGrid w:val="0"/>
              <w:spacing w:before="50" w:line="360" w:lineRule="auto"/>
              <w:ind w:left="-88" w:leftChars="-42"/>
              <w:jc w:val="center"/>
              <w:rPr>
                <w:rFonts w:ascii="宋体" w:hAnsi="宋体" w:eastAsia="宋体" w:cs="Times New Roman"/>
                <w:color w:val="auto"/>
                <w:sz w:val="24"/>
                <w:szCs w:val="21"/>
              </w:rPr>
            </w:pPr>
          </w:p>
        </w:tc>
        <w:tc>
          <w:tcPr>
            <w:tcW w:w="2209" w:type="dxa"/>
            <w:tcBorders>
              <w:left w:val="single" w:color="auto" w:sz="4" w:space="0"/>
            </w:tcBorders>
            <w:vAlign w:val="center"/>
          </w:tcPr>
          <w:p w14:paraId="5B47CC35">
            <w:pPr>
              <w:adjustRightInd w:val="0"/>
              <w:snapToGrid w:val="0"/>
              <w:spacing w:before="50" w:line="360" w:lineRule="auto"/>
              <w:ind w:left="-88" w:leftChars="-42"/>
              <w:jc w:val="center"/>
              <w:rPr>
                <w:rFonts w:ascii="宋体" w:hAnsi="宋体" w:eastAsia="宋体" w:cs="Times New Roman"/>
                <w:color w:val="auto"/>
                <w:sz w:val="24"/>
                <w:szCs w:val="21"/>
              </w:rPr>
            </w:pPr>
          </w:p>
        </w:tc>
        <w:tc>
          <w:tcPr>
            <w:tcW w:w="1896" w:type="dxa"/>
            <w:vAlign w:val="center"/>
          </w:tcPr>
          <w:p w14:paraId="4D13DA79">
            <w:pPr>
              <w:adjustRightInd w:val="0"/>
              <w:snapToGrid w:val="0"/>
              <w:spacing w:before="50" w:line="360" w:lineRule="auto"/>
              <w:ind w:left="-88" w:leftChars="-42"/>
              <w:jc w:val="center"/>
              <w:rPr>
                <w:rFonts w:ascii="宋体" w:hAnsi="宋体" w:eastAsia="宋体" w:cs="Times New Roman"/>
                <w:color w:val="auto"/>
                <w:sz w:val="24"/>
                <w:szCs w:val="21"/>
              </w:rPr>
            </w:pPr>
          </w:p>
        </w:tc>
      </w:tr>
      <w:tr w14:paraId="32F124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1176" w:type="dxa"/>
            <w:vAlign w:val="center"/>
          </w:tcPr>
          <w:p w14:paraId="124184B8">
            <w:pPr>
              <w:adjustRightInd w:val="0"/>
              <w:snapToGrid w:val="0"/>
              <w:spacing w:before="50" w:line="360" w:lineRule="auto"/>
              <w:ind w:left="-88" w:leftChars="-42"/>
              <w:jc w:val="center"/>
              <w:rPr>
                <w:rFonts w:ascii="宋体" w:hAnsi="宋体" w:eastAsia="宋体" w:cs="Times New Roman"/>
                <w:color w:val="auto"/>
                <w:sz w:val="24"/>
                <w:szCs w:val="21"/>
              </w:rPr>
            </w:pPr>
          </w:p>
        </w:tc>
        <w:tc>
          <w:tcPr>
            <w:tcW w:w="2504" w:type="dxa"/>
            <w:vAlign w:val="center"/>
          </w:tcPr>
          <w:p w14:paraId="2F221678">
            <w:pPr>
              <w:adjustRightInd w:val="0"/>
              <w:snapToGrid w:val="0"/>
              <w:spacing w:before="50" w:line="360" w:lineRule="auto"/>
              <w:ind w:left="-88" w:leftChars="-42"/>
              <w:jc w:val="center"/>
              <w:rPr>
                <w:rFonts w:ascii="宋体" w:hAnsi="宋体" w:eastAsia="宋体" w:cs="Times New Roman"/>
                <w:color w:val="auto"/>
                <w:sz w:val="24"/>
                <w:szCs w:val="21"/>
              </w:rPr>
            </w:pPr>
          </w:p>
        </w:tc>
        <w:tc>
          <w:tcPr>
            <w:tcW w:w="2063" w:type="dxa"/>
            <w:tcBorders>
              <w:right w:val="single" w:color="auto" w:sz="4" w:space="0"/>
            </w:tcBorders>
            <w:vAlign w:val="center"/>
          </w:tcPr>
          <w:p w14:paraId="7FE1345B">
            <w:pPr>
              <w:adjustRightInd w:val="0"/>
              <w:snapToGrid w:val="0"/>
              <w:spacing w:before="50" w:line="360" w:lineRule="auto"/>
              <w:ind w:left="-88" w:leftChars="-42"/>
              <w:jc w:val="center"/>
              <w:rPr>
                <w:rFonts w:ascii="宋体" w:hAnsi="宋体" w:eastAsia="宋体" w:cs="Times New Roman"/>
                <w:color w:val="auto"/>
                <w:sz w:val="24"/>
                <w:szCs w:val="21"/>
              </w:rPr>
            </w:pPr>
          </w:p>
        </w:tc>
        <w:tc>
          <w:tcPr>
            <w:tcW w:w="2209" w:type="dxa"/>
            <w:tcBorders>
              <w:left w:val="single" w:color="auto" w:sz="4" w:space="0"/>
            </w:tcBorders>
            <w:vAlign w:val="center"/>
          </w:tcPr>
          <w:p w14:paraId="1E10A62D">
            <w:pPr>
              <w:adjustRightInd w:val="0"/>
              <w:snapToGrid w:val="0"/>
              <w:spacing w:before="50" w:line="360" w:lineRule="auto"/>
              <w:ind w:left="-88" w:leftChars="-42"/>
              <w:jc w:val="center"/>
              <w:rPr>
                <w:rFonts w:ascii="宋体" w:hAnsi="宋体" w:eastAsia="宋体" w:cs="Times New Roman"/>
                <w:color w:val="auto"/>
                <w:sz w:val="24"/>
                <w:szCs w:val="21"/>
              </w:rPr>
            </w:pPr>
          </w:p>
        </w:tc>
        <w:tc>
          <w:tcPr>
            <w:tcW w:w="1896" w:type="dxa"/>
            <w:vAlign w:val="center"/>
          </w:tcPr>
          <w:p w14:paraId="41FAA044">
            <w:pPr>
              <w:adjustRightInd w:val="0"/>
              <w:snapToGrid w:val="0"/>
              <w:spacing w:before="50" w:line="360" w:lineRule="auto"/>
              <w:ind w:left="-88" w:leftChars="-42"/>
              <w:jc w:val="center"/>
              <w:rPr>
                <w:rFonts w:ascii="宋体" w:hAnsi="宋体" w:eastAsia="宋体" w:cs="Times New Roman"/>
                <w:color w:val="auto"/>
                <w:sz w:val="24"/>
                <w:szCs w:val="21"/>
              </w:rPr>
            </w:pPr>
          </w:p>
        </w:tc>
      </w:tr>
      <w:tr w14:paraId="16E526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1176" w:type="dxa"/>
            <w:vAlign w:val="center"/>
          </w:tcPr>
          <w:p w14:paraId="44655002">
            <w:pPr>
              <w:adjustRightInd w:val="0"/>
              <w:snapToGrid w:val="0"/>
              <w:spacing w:before="50" w:line="360" w:lineRule="auto"/>
              <w:ind w:left="-88" w:leftChars="-42"/>
              <w:jc w:val="center"/>
              <w:rPr>
                <w:rFonts w:ascii="宋体" w:hAnsi="宋体" w:eastAsia="宋体" w:cs="Times New Roman"/>
                <w:color w:val="auto"/>
                <w:sz w:val="24"/>
                <w:szCs w:val="21"/>
              </w:rPr>
            </w:pPr>
          </w:p>
        </w:tc>
        <w:tc>
          <w:tcPr>
            <w:tcW w:w="2504" w:type="dxa"/>
            <w:vAlign w:val="center"/>
          </w:tcPr>
          <w:p w14:paraId="2C7AB2C6">
            <w:pPr>
              <w:adjustRightInd w:val="0"/>
              <w:snapToGrid w:val="0"/>
              <w:spacing w:before="50" w:line="360" w:lineRule="auto"/>
              <w:ind w:left="-88" w:leftChars="-42"/>
              <w:jc w:val="center"/>
              <w:rPr>
                <w:rFonts w:ascii="宋体" w:hAnsi="宋体" w:eastAsia="宋体" w:cs="Times New Roman"/>
                <w:color w:val="auto"/>
                <w:sz w:val="24"/>
                <w:szCs w:val="21"/>
              </w:rPr>
            </w:pPr>
          </w:p>
        </w:tc>
        <w:tc>
          <w:tcPr>
            <w:tcW w:w="2063" w:type="dxa"/>
            <w:tcBorders>
              <w:right w:val="single" w:color="auto" w:sz="4" w:space="0"/>
            </w:tcBorders>
            <w:vAlign w:val="center"/>
          </w:tcPr>
          <w:p w14:paraId="2E5B961B">
            <w:pPr>
              <w:adjustRightInd w:val="0"/>
              <w:snapToGrid w:val="0"/>
              <w:spacing w:before="50" w:line="360" w:lineRule="auto"/>
              <w:ind w:left="-88" w:leftChars="-42"/>
              <w:jc w:val="center"/>
              <w:rPr>
                <w:rFonts w:ascii="宋体" w:hAnsi="宋体" w:eastAsia="宋体" w:cs="Times New Roman"/>
                <w:color w:val="auto"/>
                <w:sz w:val="24"/>
                <w:szCs w:val="21"/>
              </w:rPr>
            </w:pPr>
          </w:p>
        </w:tc>
        <w:tc>
          <w:tcPr>
            <w:tcW w:w="2209" w:type="dxa"/>
            <w:tcBorders>
              <w:left w:val="single" w:color="auto" w:sz="4" w:space="0"/>
            </w:tcBorders>
            <w:vAlign w:val="center"/>
          </w:tcPr>
          <w:p w14:paraId="1DCBCACA">
            <w:pPr>
              <w:adjustRightInd w:val="0"/>
              <w:snapToGrid w:val="0"/>
              <w:spacing w:before="50" w:line="360" w:lineRule="auto"/>
              <w:ind w:left="-88" w:leftChars="-42"/>
              <w:jc w:val="center"/>
              <w:rPr>
                <w:rFonts w:ascii="宋体" w:hAnsi="宋体" w:eastAsia="宋体" w:cs="Times New Roman"/>
                <w:color w:val="auto"/>
                <w:sz w:val="24"/>
                <w:szCs w:val="21"/>
              </w:rPr>
            </w:pPr>
          </w:p>
        </w:tc>
        <w:tc>
          <w:tcPr>
            <w:tcW w:w="1896" w:type="dxa"/>
            <w:vAlign w:val="center"/>
          </w:tcPr>
          <w:p w14:paraId="48A288DF">
            <w:pPr>
              <w:adjustRightInd w:val="0"/>
              <w:snapToGrid w:val="0"/>
              <w:spacing w:before="50" w:line="360" w:lineRule="auto"/>
              <w:ind w:left="-88" w:leftChars="-42"/>
              <w:jc w:val="center"/>
              <w:rPr>
                <w:rFonts w:ascii="宋体" w:hAnsi="宋体" w:eastAsia="宋体" w:cs="Times New Roman"/>
                <w:color w:val="auto"/>
                <w:sz w:val="24"/>
                <w:szCs w:val="21"/>
              </w:rPr>
            </w:pPr>
          </w:p>
        </w:tc>
      </w:tr>
    </w:tbl>
    <w:p w14:paraId="28C1F6EB">
      <w:pPr>
        <w:pStyle w:val="42"/>
        <w:spacing w:before="120"/>
        <w:ind w:firstLine="480"/>
        <w:rPr>
          <w:color w:val="auto"/>
        </w:rPr>
      </w:pPr>
      <w:r>
        <w:rPr>
          <w:rFonts w:hint="eastAsia"/>
          <w:color w:val="auto"/>
        </w:rPr>
        <w:t>备注：1、投标人应根据招标文件第三章“采购需求”按顺序逐项对照填写本表（“响应/偏离说明”中注明正、负偏离或响应，正偏离为优于采购需求的技术参数）。</w:t>
      </w:r>
    </w:p>
    <w:p w14:paraId="3677B8C9">
      <w:pPr>
        <w:pStyle w:val="42"/>
        <w:numPr>
          <w:ilvl w:val="0"/>
          <w:numId w:val="22"/>
        </w:numPr>
        <w:spacing w:before="120"/>
        <w:ind w:firstLine="480"/>
        <w:rPr>
          <w:color w:val="auto"/>
        </w:rPr>
      </w:pPr>
      <w:r>
        <w:rPr>
          <w:rFonts w:hint="eastAsia"/>
          <w:color w:val="auto"/>
        </w:rPr>
        <w:t>投标人必须据实填写，不得虚假填写，否则将取消其报价或成交资格。</w:t>
      </w: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6EA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4257C3F">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694F437E">
            <w:pPr>
              <w:pStyle w:val="42"/>
              <w:spacing w:before="120" w:line="540" w:lineRule="exact"/>
              <w:ind w:firstLine="480"/>
              <w:jc w:val="center"/>
              <w:rPr>
                <w:color w:val="auto"/>
              </w:rPr>
            </w:pPr>
          </w:p>
        </w:tc>
      </w:tr>
      <w:tr w14:paraId="4730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35999AA8">
            <w:pPr>
              <w:pStyle w:val="42"/>
              <w:spacing w:beforeLines="0" w:line="240" w:lineRule="auto"/>
              <w:ind w:firstLine="0" w:firstLineChars="0"/>
              <w:jc w:val="distribute"/>
              <w:rPr>
                <w:color w:val="auto"/>
              </w:rPr>
            </w:pPr>
            <w:r>
              <w:rPr>
                <w:rFonts w:hint="eastAsia"/>
                <w:color w:val="auto"/>
              </w:rPr>
              <w:t>法定代表人（单位负责人）</w:t>
            </w:r>
          </w:p>
        </w:tc>
        <w:tc>
          <w:tcPr>
            <w:tcW w:w="5913" w:type="dxa"/>
            <w:gridSpan w:val="3"/>
            <w:tcBorders>
              <w:top w:val="nil"/>
              <w:left w:val="nil"/>
              <w:bottom w:val="nil"/>
              <w:right w:val="nil"/>
            </w:tcBorders>
            <w:vAlign w:val="center"/>
          </w:tcPr>
          <w:p w14:paraId="1ABA024D">
            <w:pPr>
              <w:pStyle w:val="42"/>
              <w:spacing w:before="120" w:line="540" w:lineRule="exact"/>
              <w:ind w:firstLine="480"/>
              <w:jc w:val="center"/>
              <w:rPr>
                <w:color w:val="auto"/>
              </w:rPr>
            </w:pPr>
          </w:p>
        </w:tc>
      </w:tr>
      <w:tr w14:paraId="7027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3E136E50">
            <w:pPr>
              <w:pStyle w:val="42"/>
              <w:spacing w:beforeLines="0" w:line="240" w:lineRule="auto"/>
              <w:ind w:firstLine="0" w:firstLineChars="0"/>
              <w:jc w:val="distribute"/>
              <w:rPr>
                <w:color w:val="auto"/>
              </w:rPr>
            </w:pPr>
            <w:r>
              <w:rPr>
                <w:rFonts w:hint="eastAsia"/>
                <w:color w:val="auto"/>
              </w:rPr>
              <w:t>或其授权的代理人（</w:t>
            </w:r>
            <w:r>
              <w:rPr>
                <w:rFonts w:hint="eastAsia"/>
                <w:color w:val="auto"/>
                <w:lang w:eastAsia="zh-CN"/>
              </w:rPr>
              <w:t>签字或盖章</w:t>
            </w:r>
            <w:r>
              <w:rPr>
                <w:rFonts w:hint="eastAsia"/>
                <w:color w:val="auto"/>
              </w:rPr>
              <w:t>）：</w:t>
            </w:r>
          </w:p>
        </w:tc>
        <w:tc>
          <w:tcPr>
            <w:tcW w:w="5913" w:type="dxa"/>
            <w:gridSpan w:val="3"/>
            <w:tcBorders>
              <w:top w:val="nil"/>
              <w:left w:val="nil"/>
              <w:bottom w:val="nil"/>
              <w:right w:val="nil"/>
            </w:tcBorders>
            <w:vAlign w:val="center"/>
          </w:tcPr>
          <w:p w14:paraId="0763BB37">
            <w:pPr>
              <w:pStyle w:val="42"/>
              <w:spacing w:before="120" w:line="540" w:lineRule="exact"/>
              <w:ind w:firstLine="480"/>
              <w:jc w:val="center"/>
              <w:rPr>
                <w:color w:val="auto"/>
              </w:rPr>
            </w:pPr>
          </w:p>
        </w:tc>
      </w:tr>
      <w:tr w14:paraId="4A29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8EC3F6E">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6363D6B9">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21BEE1F2">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0DE81A1D">
            <w:pPr>
              <w:pStyle w:val="42"/>
              <w:spacing w:beforeLines="0" w:line="240" w:lineRule="auto"/>
              <w:ind w:firstLine="0" w:firstLineChars="0"/>
              <w:jc w:val="right"/>
              <w:rPr>
                <w:color w:val="auto"/>
              </w:rPr>
            </w:pPr>
            <w:r>
              <w:rPr>
                <w:rFonts w:hint="eastAsia"/>
                <w:color w:val="auto"/>
              </w:rPr>
              <w:t>年   月   日</w:t>
            </w:r>
          </w:p>
        </w:tc>
      </w:tr>
    </w:tbl>
    <w:p w14:paraId="17B04F0B">
      <w:pPr>
        <w:pStyle w:val="42"/>
        <w:spacing w:before="120"/>
        <w:ind w:firstLine="0" w:firstLineChars="0"/>
        <w:rPr>
          <w:color w:val="auto"/>
        </w:rPr>
      </w:pPr>
    </w:p>
    <w:p w14:paraId="56B40E72">
      <w:pPr>
        <w:outlineLvl w:val="9"/>
        <w:rPr>
          <w:rFonts w:hint="eastAsia"/>
          <w:color w:val="auto"/>
        </w:rPr>
      </w:pPr>
      <w:r>
        <w:rPr>
          <w:rFonts w:hint="eastAsia"/>
          <w:color w:val="auto"/>
        </w:rPr>
        <w:br w:type="page"/>
      </w:r>
    </w:p>
    <w:p w14:paraId="6420CFF5">
      <w:pPr>
        <w:pStyle w:val="6"/>
        <w:rPr>
          <w:rFonts w:hint="default"/>
          <w:color w:val="auto"/>
          <w:lang w:val="en-US" w:eastAsia="zh-CN"/>
        </w:rPr>
      </w:pPr>
      <w:r>
        <w:rPr>
          <w:rFonts w:hint="eastAsia"/>
          <w:color w:val="auto"/>
          <w:lang w:val="en-US" w:eastAsia="zh-CN"/>
        </w:rPr>
        <w:t>附件5-2货物说明一览表</w:t>
      </w:r>
    </w:p>
    <w:p w14:paraId="6306B8B2">
      <w:pPr>
        <w:pStyle w:val="42"/>
        <w:spacing w:before="120"/>
        <w:ind w:firstLine="0" w:firstLineChars="0"/>
        <w:jc w:val="center"/>
        <w:rPr>
          <w:rFonts w:ascii="宋体" w:hAnsi="宋体" w:cs="宋体"/>
          <w:color w:val="auto"/>
          <w:sz w:val="32"/>
          <w:szCs w:val="28"/>
          <w:highlight w:val="none"/>
        </w:rPr>
      </w:pPr>
      <w:r>
        <w:rPr>
          <w:rFonts w:hint="eastAsia" w:ascii="宋体" w:hAnsi="宋体" w:cs="宋体"/>
          <w:color w:val="auto"/>
          <w:sz w:val="32"/>
          <w:szCs w:val="28"/>
          <w:highlight w:val="none"/>
        </w:rPr>
        <w:t>货物说明一览表</w:t>
      </w:r>
    </w:p>
    <w:p w14:paraId="0E0F6963">
      <w:pPr>
        <w:pStyle w:val="42"/>
        <w:spacing w:before="120"/>
        <w:ind w:firstLine="0" w:firstLineChars="0"/>
        <w:jc w:val="center"/>
        <w:rPr>
          <w:rFonts w:ascii="方正小标宋_GBK" w:hAnsi="方正小标宋_GBK" w:eastAsia="方正小标宋_GBK" w:cs="方正小标宋_GBK"/>
          <w:color w:val="auto"/>
          <w:sz w:val="32"/>
          <w:szCs w:val="28"/>
          <w:highlight w:val="none"/>
        </w:rPr>
      </w:pPr>
    </w:p>
    <w:tbl>
      <w:tblPr>
        <w:tblStyle w:val="32"/>
        <w:tblW w:w="9859" w:type="dxa"/>
        <w:tblInd w:w="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4"/>
        <w:gridCol w:w="2604"/>
        <w:gridCol w:w="1380"/>
        <w:gridCol w:w="1650"/>
        <w:gridCol w:w="1545"/>
        <w:gridCol w:w="1166"/>
      </w:tblGrid>
      <w:tr w14:paraId="3AC8D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514" w:type="dxa"/>
            <w:tcBorders>
              <w:top w:val="double" w:color="000000" w:sz="4" w:space="0"/>
              <w:left w:val="double" w:color="000000" w:sz="4" w:space="0"/>
              <w:bottom w:val="single" w:color="000000" w:sz="4" w:space="0"/>
              <w:right w:val="single" w:color="000000" w:sz="4" w:space="0"/>
            </w:tcBorders>
            <w:vAlign w:val="center"/>
          </w:tcPr>
          <w:p w14:paraId="12DF3772">
            <w:pPr>
              <w:pStyle w:val="41"/>
              <w:rPr>
                <w:color w:val="auto"/>
                <w:highlight w:val="none"/>
              </w:rPr>
            </w:pPr>
            <w:r>
              <w:rPr>
                <w:rFonts w:hint="eastAsia"/>
                <w:color w:val="auto"/>
                <w:highlight w:val="none"/>
              </w:rPr>
              <w:t>货物名称</w:t>
            </w:r>
          </w:p>
        </w:tc>
        <w:tc>
          <w:tcPr>
            <w:tcW w:w="2604" w:type="dxa"/>
            <w:tcBorders>
              <w:top w:val="double" w:color="000000" w:sz="4" w:space="0"/>
              <w:left w:val="single" w:color="000000" w:sz="4" w:space="0"/>
              <w:bottom w:val="single" w:color="000000" w:sz="4" w:space="0"/>
              <w:right w:val="single" w:color="000000" w:sz="4" w:space="0"/>
            </w:tcBorders>
            <w:vAlign w:val="center"/>
          </w:tcPr>
          <w:p w14:paraId="5E7813A7">
            <w:pPr>
              <w:pStyle w:val="41"/>
              <w:rPr>
                <w:color w:val="auto"/>
                <w:highlight w:val="none"/>
              </w:rPr>
            </w:pPr>
          </w:p>
        </w:tc>
        <w:tc>
          <w:tcPr>
            <w:tcW w:w="1380" w:type="dxa"/>
            <w:tcBorders>
              <w:top w:val="double" w:color="000000" w:sz="4" w:space="0"/>
              <w:left w:val="single" w:color="000000" w:sz="4" w:space="0"/>
              <w:bottom w:val="single" w:color="000000" w:sz="4" w:space="0"/>
              <w:right w:val="single" w:color="000000" w:sz="4" w:space="0"/>
            </w:tcBorders>
            <w:vAlign w:val="center"/>
          </w:tcPr>
          <w:p w14:paraId="32695A1F">
            <w:pPr>
              <w:pStyle w:val="41"/>
              <w:rPr>
                <w:color w:val="auto"/>
                <w:highlight w:val="none"/>
              </w:rPr>
            </w:pPr>
            <w:r>
              <w:rPr>
                <w:rFonts w:hint="eastAsia"/>
                <w:color w:val="auto"/>
                <w:highlight w:val="none"/>
              </w:rPr>
              <w:t>品牌型号</w:t>
            </w:r>
          </w:p>
        </w:tc>
        <w:tc>
          <w:tcPr>
            <w:tcW w:w="1650" w:type="dxa"/>
            <w:tcBorders>
              <w:top w:val="double" w:color="000000" w:sz="4" w:space="0"/>
              <w:left w:val="single" w:color="000000" w:sz="4" w:space="0"/>
              <w:bottom w:val="single" w:color="000000" w:sz="4" w:space="0"/>
              <w:right w:val="single" w:color="000000" w:sz="4" w:space="0"/>
            </w:tcBorders>
            <w:vAlign w:val="center"/>
          </w:tcPr>
          <w:p w14:paraId="31C75ED6">
            <w:pPr>
              <w:pStyle w:val="41"/>
              <w:rPr>
                <w:color w:val="auto"/>
                <w:highlight w:val="none"/>
              </w:rPr>
            </w:pPr>
          </w:p>
        </w:tc>
        <w:tc>
          <w:tcPr>
            <w:tcW w:w="1545" w:type="dxa"/>
            <w:tcBorders>
              <w:top w:val="double" w:color="000000" w:sz="4" w:space="0"/>
              <w:left w:val="single" w:color="000000" w:sz="4" w:space="0"/>
              <w:bottom w:val="single" w:color="000000" w:sz="4" w:space="0"/>
              <w:right w:val="single" w:color="000000" w:sz="4" w:space="0"/>
            </w:tcBorders>
            <w:vAlign w:val="center"/>
          </w:tcPr>
          <w:p w14:paraId="676B2C10">
            <w:pPr>
              <w:pStyle w:val="41"/>
              <w:rPr>
                <w:color w:val="auto"/>
                <w:highlight w:val="none"/>
              </w:rPr>
            </w:pPr>
            <w:r>
              <w:rPr>
                <w:rFonts w:hint="eastAsia"/>
                <w:color w:val="auto"/>
                <w:highlight w:val="none"/>
              </w:rPr>
              <w:t>数量</w:t>
            </w:r>
          </w:p>
        </w:tc>
        <w:tc>
          <w:tcPr>
            <w:tcW w:w="1166" w:type="dxa"/>
            <w:tcBorders>
              <w:top w:val="double" w:color="000000" w:sz="4" w:space="0"/>
              <w:left w:val="single" w:color="000000" w:sz="4" w:space="0"/>
              <w:bottom w:val="single" w:color="000000" w:sz="4" w:space="0"/>
              <w:right w:val="double" w:color="000000" w:sz="4" w:space="0"/>
            </w:tcBorders>
            <w:vAlign w:val="top"/>
          </w:tcPr>
          <w:p w14:paraId="31F1CFFC">
            <w:pPr>
              <w:pStyle w:val="55"/>
              <w:rPr>
                <w:rFonts w:ascii="Times New Roman"/>
                <w:color w:val="auto"/>
                <w:sz w:val="22"/>
                <w:highlight w:val="none"/>
              </w:rPr>
            </w:pPr>
          </w:p>
        </w:tc>
      </w:tr>
      <w:tr w14:paraId="5D758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3" w:hRule="atLeast"/>
        </w:trPr>
        <w:tc>
          <w:tcPr>
            <w:tcW w:w="9859" w:type="dxa"/>
            <w:gridSpan w:val="6"/>
            <w:tcBorders>
              <w:top w:val="single" w:color="000000" w:sz="4" w:space="0"/>
              <w:left w:val="double" w:color="000000" w:sz="4" w:space="0"/>
              <w:bottom w:val="double" w:color="000000" w:sz="4" w:space="0"/>
              <w:right w:val="double" w:color="000000" w:sz="4" w:space="0"/>
            </w:tcBorders>
            <w:vAlign w:val="top"/>
          </w:tcPr>
          <w:p w14:paraId="50988BF8">
            <w:pPr>
              <w:pStyle w:val="42"/>
              <w:spacing w:before="120"/>
              <w:ind w:firstLine="0" w:firstLineChars="0"/>
              <w:rPr>
                <w:color w:val="auto"/>
                <w:highlight w:val="none"/>
              </w:rPr>
            </w:pPr>
            <w:r>
              <w:rPr>
                <w:rFonts w:hint="eastAsia"/>
                <w:color w:val="auto"/>
                <w:highlight w:val="none"/>
              </w:rPr>
              <w:t>所投产品的技术参数及性能说明：</w:t>
            </w:r>
          </w:p>
        </w:tc>
      </w:tr>
    </w:tbl>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5231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728BA462">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40C9DFF2">
            <w:pPr>
              <w:pStyle w:val="42"/>
              <w:spacing w:before="120" w:line="540" w:lineRule="exact"/>
              <w:ind w:firstLine="480"/>
              <w:jc w:val="center"/>
              <w:rPr>
                <w:color w:val="auto"/>
              </w:rPr>
            </w:pPr>
          </w:p>
        </w:tc>
      </w:tr>
      <w:tr w14:paraId="4FC3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70D84A26">
            <w:pPr>
              <w:pStyle w:val="42"/>
              <w:spacing w:beforeLines="0" w:line="240" w:lineRule="auto"/>
              <w:ind w:firstLine="0" w:firstLineChars="0"/>
              <w:jc w:val="distribute"/>
              <w:rPr>
                <w:color w:val="auto"/>
              </w:rPr>
            </w:pPr>
            <w:r>
              <w:rPr>
                <w:rFonts w:hint="eastAsia"/>
                <w:color w:val="auto"/>
              </w:rPr>
              <w:t>法定代表人（单位负责人）</w:t>
            </w:r>
          </w:p>
        </w:tc>
        <w:tc>
          <w:tcPr>
            <w:tcW w:w="5913" w:type="dxa"/>
            <w:gridSpan w:val="3"/>
            <w:tcBorders>
              <w:top w:val="nil"/>
              <w:left w:val="nil"/>
              <w:bottom w:val="nil"/>
              <w:right w:val="nil"/>
            </w:tcBorders>
            <w:vAlign w:val="center"/>
          </w:tcPr>
          <w:p w14:paraId="655F31C3">
            <w:pPr>
              <w:pStyle w:val="42"/>
              <w:spacing w:before="120" w:line="540" w:lineRule="exact"/>
              <w:ind w:firstLine="480"/>
              <w:jc w:val="center"/>
              <w:rPr>
                <w:color w:val="auto"/>
              </w:rPr>
            </w:pPr>
          </w:p>
        </w:tc>
      </w:tr>
      <w:tr w14:paraId="6A00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0F4C0B40">
            <w:pPr>
              <w:pStyle w:val="42"/>
              <w:spacing w:beforeLines="0" w:line="240" w:lineRule="auto"/>
              <w:ind w:firstLine="0" w:firstLineChars="0"/>
              <w:jc w:val="distribute"/>
              <w:rPr>
                <w:color w:val="auto"/>
              </w:rPr>
            </w:pPr>
            <w:r>
              <w:rPr>
                <w:rFonts w:hint="eastAsia"/>
                <w:color w:val="auto"/>
              </w:rPr>
              <w:t>或其授权的代理人（</w:t>
            </w:r>
            <w:r>
              <w:rPr>
                <w:rFonts w:hint="eastAsia"/>
                <w:color w:val="auto"/>
                <w:lang w:eastAsia="zh-CN"/>
              </w:rPr>
              <w:t>签字或盖章</w:t>
            </w:r>
            <w:r>
              <w:rPr>
                <w:rFonts w:hint="eastAsia"/>
                <w:color w:val="auto"/>
              </w:rPr>
              <w:t>）：</w:t>
            </w:r>
          </w:p>
        </w:tc>
        <w:tc>
          <w:tcPr>
            <w:tcW w:w="5913" w:type="dxa"/>
            <w:gridSpan w:val="3"/>
            <w:tcBorders>
              <w:top w:val="nil"/>
              <w:left w:val="nil"/>
              <w:bottom w:val="nil"/>
              <w:right w:val="nil"/>
            </w:tcBorders>
            <w:vAlign w:val="center"/>
          </w:tcPr>
          <w:p w14:paraId="06609733">
            <w:pPr>
              <w:pStyle w:val="42"/>
              <w:spacing w:before="120" w:line="540" w:lineRule="exact"/>
              <w:ind w:firstLine="480"/>
              <w:jc w:val="center"/>
              <w:rPr>
                <w:color w:val="auto"/>
              </w:rPr>
            </w:pPr>
          </w:p>
        </w:tc>
      </w:tr>
      <w:tr w14:paraId="4F09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A7F2EA1">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67F9AB4A">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12DF3010">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7B401F3F">
            <w:pPr>
              <w:pStyle w:val="42"/>
              <w:spacing w:beforeLines="0" w:line="240" w:lineRule="auto"/>
              <w:ind w:firstLine="0" w:firstLineChars="0"/>
              <w:jc w:val="right"/>
              <w:rPr>
                <w:color w:val="auto"/>
              </w:rPr>
            </w:pPr>
            <w:r>
              <w:rPr>
                <w:rFonts w:hint="eastAsia"/>
                <w:color w:val="auto"/>
              </w:rPr>
              <w:t>年   月   日</w:t>
            </w:r>
          </w:p>
        </w:tc>
      </w:tr>
    </w:tbl>
    <w:p w14:paraId="0E22575C">
      <w:pPr>
        <w:outlineLvl w:val="9"/>
        <w:rPr>
          <w:rFonts w:hint="eastAsia"/>
          <w:color w:val="auto"/>
        </w:rPr>
      </w:pPr>
    </w:p>
    <w:p w14:paraId="0679F718">
      <w:pPr>
        <w:rPr>
          <w:rFonts w:hint="eastAsia"/>
          <w:color w:val="auto"/>
        </w:rPr>
      </w:pPr>
    </w:p>
    <w:p w14:paraId="7E624648">
      <w:pPr>
        <w:pStyle w:val="40"/>
        <w:rPr>
          <w:rFonts w:hint="eastAsia"/>
          <w:color w:val="auto"/>
        </w:rPr>
      </w:pPr>
    </w:p>
    <w:p w14:paraId="5ED86009">
      <w:pPr>
        <w:pStyle w:val="40"/>
        <w:rPr>
          <w:rFonts w:hint="eastAsia"/>
          <w:color w:val="auto"/>
        </w:rPr>
      </w:pPr>
    </w:p>
    <w:p w14:paraId="4A6DDB20">
      <w:pPr>
        <w:pStyle w:val="6"/>
        <w:rPr>
          <w:rFonts w:ascii="黑体" w:hAnsi="宋体" w:cs="微软雅黑"/>
          <w:b w:val="0"/>
          <w:color w:val="auto"/>
          <w:kern w:val="0"/>
          <w:sz w:val="21"/>
          <w:szCs w:val="21"/>
        </w:rPr>
      </w:pPr>
      <w:r>
        <w:rPr>
          <w:rFonts w:hint="eastAsia"/>
          <w:color w:val="auto"/>
          <w:lang w:val="en-US" w:eastAsia="zh-CN"/>
        </w:rPr>
        <w:br w:type="page"/>
      </w:r>
      <w:bookmarkStart w:id="123" w:name="_Toc29913964"/>
      <w:bookmarkStart w:id="124" w:name="_Toc1686"/>
      <w:r>
        <w:rPr>
          <w:rFonts w:hint="eastAsia"/>
          <w:color w:val="auto"/>
          <w:lang w:val="en-US" w:eastAsia="zh-CN"/>
        </w:rPr>
        <w:t>附件5-3 分项报价明细表</w:t>
      </w:r>
      <w:bookmarkEnd w:id="123"/>
      <w:bookmarkEnd w:id="124"/>
    </w:p>
    <w:p w14:paraId="2B6A9684">
      <w:pPr>
        <w:adjustRightInd w:val="0"/>
        <w:snapToGrid w:val="0"/>
        <w:spacing w:line="360" w:lineRule="auto"/>
        <w:jc w:val="center"/>
        <w:rPr>
          <w:rFonts w:ascii="黑体" w:hAnsi="宋体" w:eastAsia="黑体" w:cs="微软雅黑"/>
          <w:b/>
          <w:color w:val="auto"/>
          <w:kern w:val="0"/>
          <w:position w:val="-3"/>
          <w:sz w:val="44"/>
          <w:szCs w:val="44"/>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w:t>
      </w:r>
    </w:p>
    <w:p w14:paraId="79C0D54E">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采购代理编号：</w:t>
      </w:r>
      <w:r>
        <w:rPr>
          <w:rFonts w:hint="eastAsia" w:ascii="宋体" w:hAnsi="宋体" w:eastAsia="宋体" w:cs="Times New Roman"/>
          <w:color w:val="auto"/>
          <w:szCs w:val="21"/>
          <w:u w:val="single"/>
        </w:rPr>
        <w:t>__    ________</w:t>
      </w:r>
      <w:r>
        <w:rPr>
          <w:rFonts w:hint="eastAsia" w:ascii="宋体" w:hAnsi="宋体" w:eastAsia="宋体" w:cs="Times New Roman"/>
          <w:color w:val="auto"/>
          <w:szCs w:val="21"/>
        </w:rPr>
        <w:t xml:space="preserve">                       项目名称：</w:t>
      </w:r>
      <w:r>
        <w:rPr>
          <w:rFonts w:hint="eastAsia" w:ascii="宋体" w:hAnsi="宋体" w:eastAsia="宋体" w:cs="Times New Roman"/>
          <w:color w:val="auto"/>
          <w:szCs w:val="21"/>
          <w:u w:val="single"/>
        </w:rPr>
        <w:t>____            ______</w:t>
      </w:r>
      <w:r>
        <w:rPr>
          <w:rFonts w:hint="eastAsia" w:ascii="宋体" w:hAnsi="宋体" w:eastAsia="宋体" w:cs="Times New Roman"/>
          <w:color w:val="auto"/>
          <w:szCs w:val="21"/>
        </w:rPr>
        <w:t xml:space="preserve"> </w:t>
      </w:r>
    </w:p>
    <w:p w14:paraId="441D4446">
      <w:pPr>
        <w:adjustRightInd w:val="0"/>
        <w:snapToGrid w:val="0"/>
        <w:spacing w:line="360" w:lineRule="auto"/>
        <w:rPr>
          <w:rFonts w:ascii="宋体" w:hAnsi="宋体" w:eastAsia="宋体" w:cs="Times New Roman"/>
          <w:color w:val="auto"/>
          <w:szCs w:val="21"/>
        </w:rPr>
      </w:pPr>
      <w:r>
        <w:rPr>
          <w:rFonts w:hint="eastAsia" w:ascii="宋体" w:hAnsi="宋体" w:eastAsia="宋体" w:cs="Times New Roman"/>
          <w:color w:val="auto"/>
          <w:szCs w:val="21"/>
        </w:rPr>
        <w:t>包号：</w:t>
      </w:r>
      <w:r>
        <w:rPr>
          <w:rFonts w:hint="eastAsia" w:ascii="宋体" w:hAnsi="宋体" w:eastAsia="宋体" w:cs="Times New Roman"/>
          <w:color w:val="auto"/>
          <w:szCs w:val="21"/>
          <w:u w:val="single"/>
        </w:rPr>
        <w:t xml:space="preserve">__    ________         </w:t>
      </w:r>
      <w:r>
        <w:rPr>
          <w:rFonts w:hint="eastAsia" w:ascii="宋体" w:hAnsi="宋体" w:eastAsia="宋体" w:cs="Times New Roman"/>
          <w:color w:val="auto"/>
          <w:szCs w:val="21"/>
        </w:rPr>
        <w:t xml:space="preserve">                      包名称：</w:t>
      </w:r>
      <w:r>
        <w:rPr>
          <w:rFonts w:hint="eastAsia" w:ascii="宋体" w:hAnsi="宋体" w:eastAsia="宋体" w:cs="Times New Roman"/>
          <w:color w:val="auto"/>
          <w:szCs w:val="21"/>
          <w:u w:val="single"/>
        </w:rPr>
        <w:t xml:space="preserve">__    ________  </w:t>
      </w:r>
      <w:r>
        <w:rPr>
          <w:rFonts w:hint="eastAsia" w:ascii="宋体" w:hAnsi="宋体" w:eastAsia="宋体" w:cs="Times New Roman"/>
          <w:color w:val="auto"/>
          <w:szCs w:val="21"/>
        </w:rPr>
        <w:t xml:space="preserve"> </w:t>
      </w:r>
    </w:p>
    <w:tbl>
      <w:tblPr>
        <w:tblStyle w:val="32"/>
        <w:tblW w:w="9963" w:type="dxa"/>
        <w:tblInd w:w="0" w:type="dxa"/>
        <w:tblLayout w:type="fixed"/>
        <w:tblCellMar>
          <w:top w:w="0" w:type="dxa"/>
          <w:left w:w="0" w:type="dxa"/>
          <w:bottom w:w="0" w:type="dxa"/>
          <w:right w:w="0" w:type="dxa"/>
        </w:tblCellMar>
      </w:tblPr>
      <w:tblGrid>
        <w:gridCol w:w="333"/>
        <w:gridCol w:w="1383"/>
        <w:gridCol w:w="2126"/>
        <w:gridCol w:w="1200"/>
        <w:gridCol w:w="1092"/>
        <w:gridCol w:w="910"/>
        <w:gridCol w:w="1065"/>
        <w:gridCol w:w="1854"/>
      </w:tblGrid>
      <w:tr w14:paraId="5A742797">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486325AD">
            <w:pPr>
              <w:autoSpaceDE w:val="0"/>
              <w:autoSpaceDN w:val="0"/>
              <w:adjustRightInd w:val="0"/>
              <w:snapToGrid w:val="0"/>
              <w:spacing w:line="360" w:lineRule="auto"/>
              <w:ind w:right="-20"/>
              <w:jc w:val="center"/>
              <w:rPr>
                <w:rFonts w:ascii="宋体" w:hAnsi="宋体" w:eastAsia="宋体" w:cs="微软雅黑"/>
                <w:color w:val="auto"/>
                <w:kern w:val="0"/>
                <w:position w:val="-1"/>
                <w:szCs w:val="21"/>
              </w:rPr>
            </w:pPr>
            <w:r>
              <w:rPr>
                <w:rFonts w:hint="eastAsia" w:ascii="宋体" w:hAnsi="宋体" w:eastAsia="宋体" w:cs="微软雅黑"/>
                <w:color w:val="auto"/>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52325855">
            <w:pPr>
              <w:autoSpaceDE w:val="0"/>
              <w:autoSpaceDN w:val="0"/>
              <w:adjustRightInd w:val="0"/>
              <w:snapToGrid w:val="0"/>
              <w:spacing w:line="360" w:lineRule="auto"/>
              <w:ind w:right="-20"/>
              <w:jc w:val="center"/>
              <w:rPr>
                <w:rFonts w:ascii="宋体" w:hAnsi="宋体" w:eastAsia="宋体" w:cs="Times New Roman"/>
                <w:color w:val="auto"/>
                <w:szCs w:val="21"/>
              </w:rPr>
            </w:pPr>
            <w:r>
              <w:rPr>
                <w:rFonts w:hint="eastAsia" w:ascii="宋体" w:hAnsi="宋体" w:eastAsia="宋体" w:cs="Times New Roman"/>
                <w:color w:val="auto"/>
                <w:szCs w:val="21"/>
              </w:rPr>
              <w:t>规格型号</w:t>
            </w:r>
          </w:p>
          <w:p w14:paraId="4142C997">
            <w:pPr>
              <w:autoSpaceDE w:val="0"/>
              <w:autoSpaceDN w:val="0"/>
              <w:adjustRightInd w:val="0"/>
              <w:snapToGrid w:val="0"/>
              <w:spacing w:line="360" w:lineRule="auto"/>
              <w:ind w:right="-20"/>
              <w:jc w:val="center"/>
              <w:rPr>
                <w:rFonts w:ascii="宋体" w:hAnsi="宋体" w:eastAsia="宋体" w:cs="Times New Roman"/>
                <w:color w:val="auto"/>
                <w:szCs w:val="21"/>
              </w:rPr>
            </w:pPr>
            <w:r>
              <w:rPr>
                <w:rFonts w:hint="eastAsia" w:ascii="宋体" w:hAnsi="宋体" w:eastAsia="宋体" w:cs="Times New Roman"/>
                <w:color w:val="auto"/>
                <w:szCs w:val="21"/>
              </w:rPr>
              <w:t>（或项目特征描述</w:t>
            </w:r>
            <w:r>
              <w:rPr>
                <w:rFonts w:ascii="宋体" w:hAnsi="宋体" w:eastAsia="宋体" w:cs="Times New Roman"/>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845B915">
            <w:pPr>
              <w:autoSpaceDE w:val="0"/>
              <w:autoSpaceDN w:val="0"/>
              <w:adjustRightInd w:val="0"/>
              <w:snapToGrid w:val="0"/>
              <w:spacing w:line="360" w:lineRule="auto"/>
              <w:ind w:right="-20"/>
              <w:jc w:val="center"/>
              <w:rPr>
                <w:rFonts w:ascii="宋体" w:hAnsi="宋体" w:eastAsia="宋体" w:cs="Times New Roman"/>
                <w:color w:val="auto"/>
                <w:szCs w:val="21"/>
              </w:rPr>
            </w:pPr>
            <w:r>
              <w:rPr>
                <w:rFonts w:hint="eastAsia" w:ascii="宋体" w:hAnsi="宋体" w:eastAsia="宋体" w:cs="Times New Roman"/>
                <w:color w:val="auto"/>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7D47882">
            <w:pPr>
              <w:autoSpaceDE w:val="0"/>
              <w:autoSpaceDN w:val="0"/>
              <w:adjustRightInd w:val="0"/>
              <w:snapToGrid w:val="0"/>
              <w:spacing w:line="360" w:lineRule="auto"/>
              <w:ind w:right="-20"/>
              <w:jc w:val="center"/>
              <w:rPr>
                <w:rFonts w:ascii="宋体" w:hAnsi="宋体" w:eastAsia="宋体" w:cs="微软雅黑"/>
                <w:color w:val="auto"/>
                <w:kern w:val="0"/>
                <w:position w:val="-1"/>
                <w:szCs w:val="21"/>
              </w:rPr>
            </w:pPr>
            <w:r>
              <w:rPr>
                <w:rFonts w:hint="eastAsia" w:ascii="宋体" w:hAnsi="宋体" w:eastAsia="宋体" w:cs="Times New Roman"/>
                <w:color w:val="auto"/>
                <w:kern w:val="0"/>
                <w:szCs w:val="21"/>
              </w:rPr>
              <w:t>数量/单位</w:t>
            </w:r>
          </w:p>
        </w:tc>
        <w:tc>
          <w:tcPr>
            <w:tcW w:w="1975" w:type="dxa"/>
            <w:gridSpan w:val="2"/>
            <w:tcBorders>
              <w:top w:val="double" w:color="auto" w:sz="4" w:space="0"/>
              <w:left w:val="single" w:color="auto" w:sz="4" w:space="0"/>
              <w:bottom w:val="single" w:color="auto" w:sz="6" w:space="0"/>
              <w:right w:val="single" w:color="auto" w:sz="6" w:space="0"/>
            </w:tcBorders>
            <w:vAlign w:val="center"/>
          </w:tcPr>
          <w:p w14:paraId="1065A0AB">
            <w:pPr>
              <w:autoSpaceDE w:val="0"/>
              <w:autoSpaceDN w:val="0"/>
              <w:adjustRightInd w:val="0"/>
              <w:snapToGrid w:val="0"/>
              <w:spacing w:line="360" w:lineRule="auto"/>
              <w:ind w:right="-20"/>
              <w:jc w:val="center"/>
              <w:rPr>
                <w:rFonts w:ascii="宋体" w:hAnsi="宋体" w:eastAsia="宋体" w:cs="微软雅黑"/>
                <w:color w:val="auto"/>
                <w:kern w:val="0"/>
                <w:position w:val="-1"/>
                <w:szCs w:val="21"/>
              </w:rPr>
            </w:pPr>
            <w:r>
              <w:rPr>
                <w:rFonts w:hint="eastAsia" w:ascii="宋体" w:hAnsi="宋体" w:eastAsia="宋体" w:cs="微软雅黑"/>
                <w:color w:val="auto"/>
                <w:kern w:val="0"/>
                <w:position w:val="-1"/>
                <w:szCs w:val="21"/>
              </w:rPr>
              <w:t>金额（元）</w:t>
            </w:r>
          </w:p>
        </w:tc>
        <w:tc>
          <w:tcPr>
            <w:tcW w:w="1854" w:type="dxa"/>
            <w:vMerge w:val="restart"/>
            <w:tcBorders>
              <w:top w:val="double" w:color="auto" w:sz="4" w:space="0"/>
              <w:left w:val="single" w:color="auto" w:sz="6" w:space="0"/>
              <w:bottom w:val="single" w:color="auto" w:sz="6" w:space="0"/>
              <w:right w:val="double" w:color="auto" w:sz="4" w:space="0"/>
            </w:tcBorders>
            <w:vAlign w:val="center"/>
          </w:tcPr>
          <w:p w14:paraId="738F0688">
            <w:pPr>
              <w:autoSpaceDE w:val="0"/>
              <w:autoSpaceDN w:val="0"/>
              <w:adjustRightInd w:val="0"/>
              <w:snapToGrid w:val="0"/>
              <w:spacing w:line="360" w:lineRule="auto"/>
              <w:ind w:right="-20"/>
              <w:jc w:val="center"/>
              <w:rPr>
                <w:rFonts w:ascii="宋体" w:hAnsi="宋体" w:eastAsia="宋体" w:cs="微软雅黑"/>
                <w:color w:val="auto"/>
                <w:kern w:val="0"/>
                <w:position w:val="-1"/>
                <w:szCs w:val="21"/>
              </w:rPr>
            </w:pPr>
            <w:r>
              <w:rPr>
                <w:rFonts w:hint="eastAsia" w:ascii="宋体" w:hAnsi="宋体" w:eastAsia="宋体" w:cs="微软雅黑"/>
                <w:color w:val="auto"/>
                <w:kern w:val="0"/>
                <w:position w:val="-1"/>
                <w:szCs w:val="21"/>
              </w:rPr>
              <w:t>备注</w:t>
            </w:r>
          </w:p>
        </w:tc>
      </w:tr>
      <w:tr w14:paraId="0CC99E54">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027BB982">
            <w:pPr>
              <w:autoSpaceDE w:val="0"/>
              <w:autoSpaceDN w:val="0"/>
              <w:adjustRightInd w:val="0"/>
              <w:snapToGrid w:val="0"/>
              <w:spacing w:line="360" w:lineRule="auto"/>
              <w:ind w:left="352" w:right="-20"/>
              <w:jc w:val="left"/>
              <w:rPr>
                <w:rFonts w:ascii="宋体" w:hAnsi="宋体" w:eastAsia="宋体" w:cs="Times New Roman"/>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BE0EDD4">
            <w:pPr>
              <w:autoSpaceDE w:val="0"/>
              <w:autoSpaceDN w:val="0"/>
              <w:adjustRightInd w:val="0"/>
              <w:snapToGrid w:val="0"/>
              <w:spacing w:line="360" w:lineRule="auto"/>
              <w:ind w:right="-20"/>
              <w:jc w:val="center"/>
              <w:rPr>
                <w:rFonts w:ascii="宋体" w:hAnsi="宋体" w:eastAsia="宋体" w:cs="Times New Roman"/>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4502B770">
            <w:pPr>
              <w:autoSpaceDE w:val="0"/>
              <w:autoSpaceDN w:val="0"/>
              <w:adjustRightInd w:val="0"/>
              <w:snapToGrid w:val="0"/>
              <w:spacing w:line="360" w:lineRule="auto"/>
              <w:ind w:right="-20"/>
              <w:jc w:val="center"/>
              <w:rPr>
                <w:rFonts w:ascii="宋体" w:hAnsi="宋体" w:eastAsia="宋体" w:cs="Times New Roman"/>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6E17FBD9">
            <w:pPr>
              <w:autoSpaceDE w:val="0"/>
              <w:autoSpaceDN w:val="0"/>
              <w:adjustRightInd w:val="0"/>
              <w:snapToGrid w:val="0"/>
              <w:spacing w:line="360" w:lineRule="auto"/>
              <w:ind w:right="-20"/>
              <w:jc w:val="center"/>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C55C826">
            <w:pPr>
              <w:autoSpaceDE w:val="0"/>
              <w:autoSpaceDN w:val="0"/>
              <w:adjustRightInd w:val="0"/>
              <w:snapToGrid w:val="0"/>
              <w:spacing w:line="360" w:lineRule="auto"/>
              <w:ind w:right="-20"/>
              <w:jc w:val="center"/>
              <w:rPr>
                <w:rFonts w:ascii="宋体" w:hAnsi="宋体" w:eastAsia="宋体" w:cs="Times New Roman"/>
                <w:color w:val="auto"/>
                <w:kern w:val="0"/>
                <w:szCs w:val="21"/>
              </w:rPr>
            </w:pPr>
            <w:r>
              <w:rPr>
                <w:rFonts w:hint="eastAsia" w:ascii="宋体" w:hAnsi="宋体" w:eastAsia="宋体" w:cs="微软雅黑"/>
                <w:color w:val="auto"/>
                <w:kern w:val="0"/>
                <w:position w:val="-1"/>
                <w:szCs w:val="21"/>
              </w:rPr>
              <w:t>单价</w:t>
            </w:r>
          </w:p>
        </w:tc>
        <w:tc>
          <w:tcPr>
            <w:tcW w:w="1065" w:type="dxa"/>
            <w:tcBorders>
              <w:top w:val="single" w:color="auto" w:sz="6" w:space="0"/>
              <w:left w:val="single" w:color="auto" w:sz="4" w:space="0"/>
              <w:bottom w:val="single" w:color="auto" w:sz="6" w:space="0"/>
              <w:right w:val="single" w:color="auto" w:sz="6" w:space="0"/>
            </w:tcBorders>
            <w:vAlign w:val="center"/>
          </w:tcPr>
          <w:p w14:paraId="38F3D70F">
            <w:pPr>
              <w:autoSpaceDE w:val="0"/>
              <w:autoSpaceDN w:val="0"/>
              <w:adjustRightInd w:val="0"/>
              <w:snapToGrid w:val="0"/>
              <w:spacing w:line="360" w:lineRule="auto"/>
              <w:ind w:left="70" w:right="-20"/>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小计</w:t>
            </w:r>
          </w:p>
        </w:tc>
        <w:tc>
          <w:tcPr>
            <w:tcW w:w="1854" w:type="dxa"/>
            <w:vMerge w:val="continue"/>
            <w:tcBorders>
              <w:top w:val="single" w:color="auto" w:sz="6" w:space="0"/>
              <w:left w:val="single" w:color="auto" w:sz="6" w:space="0"/>
              <w:bottom w:val="single" w:color="auto" w:sz="6" w:space="0"/>
              <w:right w:val="double" w:color="auto" w:sz="4" w:space="0"/>
            </w:tcBorders>
          </w:tcPr>
          <w:p w14:paraId="5E279A6E">
            <w:pPr>
              <w:autoSpaceDE w:val="0"/>
              <w:autoSpaceDN w:val="0"/>
              <w:adjustRightInd w:val="0"/>
              <w:snapToGrid w:val="0"/>
              <w:spacing w:line="360" w:lineRule="auto"/>
              <w:ind w:left="422" w:right="-20"/>
              <w:jc w:val="left"/>
              <w:rPr>
                <w:rFonts w:ascii="宋体" w:hAnsi="宋体" w:eastAsia="宋体" w:cs="Times New Roman"/>
                <w:color w:val="auto"/>
                <w:kern w:val="0"/>
                <w:szCs w:val="21"/>
              </w:rPr>
            </w:pPr>
          </w:p>
        </w:tc>
      </w:tr>
      <w:tr w14:paraId="77FB3897">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5A5527B5">
            <w:pPr>
              <w:jc w:val="center"/>
              <w:rPr>
                <w:rFonts w:ascii="宋体" w:hAnsi="宋体" w:eastAsia="宋体" w:cs="宋体"/>
                <w:color w:val="auto"/>
                <w:szCs w:val="24"/>
              </w:rPr>
            </w:pPr>
            <w:r>
              <w:rPr>
                <w:rFonts w:hint="eastAsia" w:ascii="宋体" w:hAnsi="宋体" w:eastAsia="宋体" w:cs="宋体"/>
                <w:color w:val="auto"/>
                <w:szCs w:val="24"/>
              </w:rPr>
              <w:t>1</w:t>
            </w:r>
          </w:p>
        </w:tc>
        <w:tc>
          <w:tcPr>
            <w:tcW w:w="1383" w:type="dxa"/>
            <w:tcBorders>
              <w:top w:val="single" w:color="auto" w:sz="6" w:space="0"/>
              <w:left w:val="single" w:color="auto" w:sz="6" w:space="0"/>
              <w:bottom w:val="single" w:color="auto" w:sz="6" w:space="0"/>
              <w:right w:val="single" w:color="auto" w:sz="6" w:space="0"/>
            </w:tcBorders>
            <w:vAlign w:val="center"/>
          </w:tcPr>
          <w:p w14:paraId="351203E0">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5ADB7B5">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2E2E9FF">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419DB68">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75AC156">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65" w:type="dxa"/>
            <w:tcBorders>
              <w:top w:val="single" w:color="auto" w:sz="6" w:space="0"/>
              <w:left w:val="single" w:color="auto" w:sz="6" w:space="0"/>
              <w:bottom w:val="single" w:color="auto" w:sz="6" w:space="0"/>
              <w:right w:val="single" w:color="auto" w:sz="6" w:space="0"/>
            </w:tcBorders>
          </w:tcPr>
          <w:p w14:paraId="6D6348AA">
            <w:pPr>
              <w:autoSpaceDE w:val="0"/>
              <w:autoSpaceDN w:val="0"/>
              <w:adjustRightInd w:val="0"/>
              <w:snapToGrid w:val="0"/>
              <w:spacing w:line="360" w:lineRule="auto"/>
              <w:jc w:val="left"/>
              <w:rPr>
                <w:rFonts w:ascii="宋体" w:hAnsi="宋体" w:eastAsia="宋体" w:cs="Times New Roman"/>
                <w:color w:val="auto"/>
                <w:kern w:val="0"/>
                <w:szCs w:val="21"/>
              </w:rPr>
            </w:pPr>
          </w:p>
        </w:tc>
        <w:tc>
          <w:tcPr>
            <w:tcW w:w="1854" w:type="dxa"/>
            <w:tcBorders>
              <w:top w:val="single" w:color="auto" w:sz="6" w:space="0"/>
              <w:left w:val="single" w:color="auto" w:sz="6" w:space="0"/>
              <w:bottom w:val="single" w:color="auto" w:sz="6" w:space="0"/>
              <w:right w:val="double" w:color="auto" w:sz="4" w:space="0"/>
            </w:tcBorders>
          </w:tcPr>
          <w:p w14:paraId="2D791AE2">
            <w:pPr>
              <w:autoSpaceDE w:val="0"/>
              <w:autoSpaceDN w:val="0"/>
              <w:adjustRightInd w:val="0"/>
              <w:snapToGrid w:val="0"/>
              <w:spacing w:line="360" w:lineRule="auto"/>
              <w:jc w:val="left"/>
              <w:rPr>
                <w:rFonts w:ascii="宋体" w:hAnsi="宋体" w:eastAsia="宋体" w:cs="Times New Roman"/>
                <w:color w:val="auto"/>
                <w:kern w:val="0"/>
                <w:szCs w:val="21"/>
              </w:rPr>
            </w:pPr>
          </w:p>
        </w:tc>
      </w:tr>
      <w:tr w14:paraId="19DA61D5">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FE09F63">
            <w:pPr>
              <w:jc w:val="center"/>
              <w:rPr>
                <w:rFonts w:ascii="宋体" w:hAnsi="宋体" w:eastAsia="宋体" w:cs="宋体"/>
                <w:color w:val="auto"/>
                <w:szCs w:val="24"/>
              </w:rPr>
            </w:pPr>
            <w:r>
              <w:rPr>
                <w:rFonts w:hint="eastAsia" w:ascii="宋体" w:hAnsi="宋体" w:eastAsia="宋体" w:cs="宋体"/>
                <w:color w:val="auto"/>
                <w:szCs w:val="24"/>
              </w:rPr>
              <w:t>2</w:t>
            </w:r>
          </w:p>
        </w:tc>
        <w:tc>
          <w:tcPr>
            <w:tcW w:w="1383" w:type="dxa"/>
            <w:tcBorders>
              <w:top w:val="single" w:color="auto" w:sz="6" w:space="0"/>
              <w:left w:val="single" w:color="auto" w:sz="6" w:space="0"/>
              <w:bottom w:val="single" w:color="auto" w:sz="6" w:space="0"/>
              <w:right w:val="single" w:color="auto" w:sz="6" w:space="0"/>
            </w:tcBorders>
            <w:vAlign w:val="center"/>
          </w:tcPr>
          <w:p w14:paraId="4D972BE4">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9F0E0B4">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90F9493">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F321369">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73AE70B2">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65" w:type="dxa"/>
            <w:tcBorders>
              <w:top w:val="single" w:color="auto" w:sz="6" w:space="0"/>
              <w:left w:val="single" w:color="auto" w:sz="6" w:space="0"/>
              <w:bottom w:val="single" w:color="auto" w:sz="6" w:space="0"/>
              <w:right w:val="single" w:color="auto" w:sz="6" w:space="0"/>
            </w:tcBorders>
          </w:tcPr>
          <w:p w14:paraId="00869B8C">
            <w:pPr>
              <w:autoSpaceDE w:val="0"/>
              <w:autoSpaceDN w:val="0"/>
              <w:adjustRightInd w:val="0"/>
              <w:snapToGrid w:val="0"/>
              <w:spacing w:line="360" w:lineRule="auto"/>
              <w:jc w:val="left"/>
              <w:rPr>
                <w:rFonts w:ascii="宋体" w:hAnsi="宋体" w:eastAsia="宋体" w:cs="Times New Roman"/>
                <w:color w:val="auto"/>
                <w:kern w:val="0"/>
                <w:szCs w:val="21"/>
              </w:rPr>
            </w:pPr>
          </w:p>
        </w:tc>
        <w:tc>
          <w:tcPr>
            <w:tcW w:w="1854" w:type="dxa"/>
            <w:tcBorders>
              <w:top w:val="single" w:color="auto" w:sz="6" w:space="0"/>
              <w:left w:val="single" w:color="auto" w:sz="6" w:space="0"/>
              <w:bottom w:val="single" w:color="auto" w:sz="6" w:space="0"/>
              <w:right w:val="double" w:color="auto" w:sz="4" w:space="0"/>
            </w:tcBorders>
          </w:tcPr>
          <w:p w14:paraId="27A0E6DC">
            <w:pPr>
              <w:autoSpaceDE w:val="0"/>
              <w:autoSpaceDN w:val="0"/>
              <w:adjustRightInd w:val="0"/>
              <w:snapToGrid w:val="0"/>
              <w:spacing w:line="360" w:lineRule="auto"/>
              <w:jc w:val="left"/>
              <w:rPr>
                <w:rFonts w:ascii="宋体" w:hAnsi="宋体" w:eastAsia="宋体" w:cs="Times New Roman"/>
                <w:color w:val="auto"/>
                <w:kern w:val="0"/>
                <w:szCs w:val="21"/>
              </w:rPr>
            </w:pPr>
          </w:p>
        </w:tc>
      </w:tr>
      <w:tr w14:paraId="6A1B13B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454A9F">
            <w:pPr>
              <w:jc w:val="center"/>
              <w:rPr>
                <w:rFonts w:ascii="宋体" w:hAnsi="宋体" w:eastAsia="宋体" w:cs="宋体"/>
                <w:color w:val="auto"/>
                <w:szCs w:val="24"/>
              </w:rPr>
            </w:pPr>
            <w:r>
              <w:rPr>
                <w:rFonts w:hint="eastAsia" w:ascii="宋体" w:hAnsi="宋体" w:eastAsia="宋体" w:cs="宋体"/>
                <w:color w:val="auto"/>
                <w:szCs w:val="24"/>
              </w:rPr>
              <w:t>3</w:t>
            </w:r>
          </w:p>
        </w:tc>
        <w:tc>
          <w:tcPr>
            <w:tcW w:w="1383" w:type="dxa"/>
            <w:tcBorders>
              <w:top w:val="single" w:color="auto" w:sz="6" w:space="0"/>
              <w:left w:val="single" w:color="auto" w:sz="6" w:space="0"/>
              <w:bottom w:val="single" w:color="auto" w:sz="6" w:space="0"/>
              <w:right w:val="single" w:color="auto" w:sz="6" w:space="0"/>
            </w:tcBorders>
            <w:vAlign w:val="center"/>
          </w:tcPr>
          <w:p w14:paraId="7AC839BB">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2E4CE20">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320348E">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3894500">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2C784BD1">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65" w:type="dxa"/>
            <w:tcBorders>
              <w:top w:val="single" w:color="auto" w:sz="6" w:space="0"/>
              <w:left w:val="single" w:color="auto" w:sz="6" w:space="0"/>
              <w:bottom w:val="single" w:color="auto" w:sz="6" w:space="0"/>
              <w:right w:val="single" w:color="auto" w:sz="6" w:space="0"/>
            </w:tcBorders>
          </w:tcPr>
          <w:p w14:paraId="6C2BBFF6">
            <w:pPr>
              <w:autoSpaceDE w:val="0"/>
              <w:autoSpaceDN w:val="0"/>
              <w:adjustRightInd w:val="0"/>
              <w:snapToGrid w:val="0"/>
              <w:spacing w:line="360" w:lineRule="auto"/>
              <w:jc w:val="left"/>
              <w:rPr>
                <w:rFonts w:ascii="宋体" w:hAnsi="宋体" w:eastAsia="宋体" w:cs="Times New Roman"/>
                <w:color w:val="auto"/>
                <w:kern w:val="0"/>
                <w:szCs w:val="21"/>
              </w:rPr>
            </w:pPr>
          </w:p>
        </w:tc>
        <w:tc>
          <w:tcPr>
            <w:tcW w:w="1854" w:type="dxa"/>
            <w:tcBorders>
              <w:top w:val="single" w:color="auto" w:sz="6" w:space="0"/>
              <w:left w:val="single" w:color="auto" w:sz="6" w:space="0"/>
              <w:bottom w:val="single" w:color="auto" w:sz="6" w:space="0"/>
              <w:right w:val="double" w:color="auto" w:sz="4" w:space="0"/>
            </w:tcBorders>
          </w:tcPr>
          <w:p w14:paraId="40650079">
            <w:pPr>
              <w:autoSpaceDE w:val="0"/>
              <w:autoSpaceDN w:val="0"/>
              <w:adjustRightInd w:val="0"/>
              <w:snapToGrid w:val="0"/>
              <w:spacing w:line="360" w:lineRule="auto"/>
              <w:jc w:val="left"/>
              <w:rPr>
                <w:rFonts w:ascii="宋体" w:hAnsi="宋体" w:eastAsia="宋体" w:cs="Times New Roman"/>
                <w:color w:val="auto"/>
                <w:kern w:val="0"/>
                <w:szCs w:val="21"/>
              </w:rPr>
            </w:pPr>
          </w:p>
        </w:tc>
      </w:tr>
      <w:tr w14:paraId="7E0B191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D4595DD">
            <w:pPr>
              <w:jc w:val="center"/>
              <w:rPr>
                <w:rFonts w:ascii="宋体" w:hAnsi="宋体" w:eastAsia="宋体" w:cs="宋体"/>
                <w:color w:val="auto"/>
                <w:szCs w:val="24"/>
              </w:rPr>
            </w:pPr>
            <w:r>
              <w:rPr>
                <w:rFonts w:hint="eastAsia" w:ascii="宋体" w:hAnsi="宋体" w:eastAsia="宋体" w:cs="宋体"/>
                <w:color w:val="auto"/>
                <w:szCs w:val="24"/>
              </w:rPr>
              <w:t>4</w:t>
            </w:r>
          </w:p>
        </w:tc>
        <w:tc>
          <w:tcPr>
            <w:tcW w:w="1383" w:type="dxa"/>
            <w:tcBorders>
              <w:top w:val="single" w:color="auto" w:sz="6" w:space="0"/>
              <w:left w:val="single" w:color="auto" w:sz="6" w:space="0"/>
              <w:bottom w:val="single" w:color="auto" w:sz="6" w:space="0"/>
              <w:right w:val="single" w:color="auto" w:sz="6" w:space="0"/>
            </w:tcBorders>
            <w:vAlign w:val="center"/>
          </w:tcPr>
          <w:p w14:paraId="114E96F0">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0A6E2DE">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45F31BC">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EE9A465">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22040DE">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65" w:type="dxa"/>
            <w:tcBorders>
              <w:top w:val="single" w:color="auto" w:sz="6" w:space="0"/>
              <w:left w:val="single" w:color="auto" w:sz="6" w:space="0"/>
              <w:bottom w:val="single" w:color="auto" w:sz="6" w:space="0"/>
              <w:right w:val="single" w:color="auto" w:sz="6" w:space="0"/>
            </w:tcBorders>
          </w:tcPr>
          <w:p w14:paraId="37F708C0">
            <w:pPr>
              <w:autoSpaceDE w:val="0"/>
              <w:autoSpaceDN w:val="0"/>
              <w:adjustRightInd w:val="0"/>
              <w:snapToGrid w:val="0"/>
              <w:spacing w:line="360" w:lineRule="auto"/>
              <w:jc w:val="left"/>
              <w:rPr>
                <w:rFonts w:ascii="宋体" w:hAnsi="宋体" w:eastAsia="宋体" w:cs="Times New Roman"/>
                <w:color w:val="auto"/>
                <w:kern w:val="0"/>
                <w:szCs w:val="21"/>
              </w:rPr>
            </w:pPr>
          </w:p>
        </w:tc>
        <w:tc>
          <w:tcPr>
            <w:tcW w:w="1854" w:type="dxa"/>
            <w:tcBorders>
              <w:top w:val="single" w:color="auto" w:sz="6" w:space="0"/>
              <w:left w:val="single" w:color="auto" w:sz="6" w:space="0"/>
              <w:bottom w:val="single" w:color="auto" w:sz="6" w:space="0"/>
              <w:right w:val="double" w:color="auto" w:sz="4" w:space="0"/>
            </w:tcBorders>
          </w:tcPr>
          <w:p w14:paraId="5B78782F">
            <w:pPr>
              <w:autoSpaceDE w:val="0"/>
              <w:autoSpaceDN w:val="0"/>
              <w:adjustRightInd w:val="0"/>
              <w:snapToGrid w:val="0"/>
              <w:spacing w:line="360" w:lineRule="auto"/>
              <w:jc w:val="left"/>
              <w:rPr>
                <w:rFonts w:ascii="宋体" w:hAnsi="宋体" w:eastAsia="宋体" w:cs="Times New Roman"/>
                <w:color w:val="auto"/>
                <w:kern w:val="0"/>
                <w:szCs w:val="21"/>
              </w:rPr>
            </w:pPr>
          </w:p>
        </w:tc>
      </w:tr>
      <w:tr w14:paraId="4F5BF69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D0EAAE2">
            <w:pPr>
              <w:jc w:val="center"/>
              <w:rPr>
                <w:rFonts w:ascii="宋体" w:hAnsi="宋体" w:eastAsia="宋体" w:cs="宋体"/>
                <w:color w:val="auto"/>
                <w:szCs w:val="24"/>
              </w:rPr>
            </w:pPr>
            <w:r>
              <w:rPr>
                <w:rFonts w:hint="eastAsia" w:ascii="宋体" w:hAnsi="宋体" w:eastAsia="宋体" w:cs="宋体"/>
                <w:color w:val="auto"/>
                <w:szCs w:val="24"/>
              </w:rPr>
              <w:t>5</w:t>
            </w:r>
          </w:p>
        </w:tc>
        <w:tc>
          <w:tcPr>
            <w:tcW w:w="1383" w:type="dxa"/>
            <w:tcBorders>
              <w:top w:val="single" w:color="auto" w:sz="6" w:space="0"/>
              <w:left w:val="single" w:color="auto" w:sz="6" w:space="0"/>
              <w:bottom w:val="single" w:color="auto" w:sz="6" w:space="0"/>
              <w:right w:val="single" w:color="auto" w:sz="6" w:space="0"/>
            </w:tcBorders>
            <w:vAlign w:val="center"/>
          </w:tcPr>
          <w:p w14:paraId="3D447BE7">
            <w:pPr>
              <w:autoSpaceDE w:val="0"/>
              <w:autoSpaceDN w:val="0"/>
              <w:adjustRightInd w:val="0"/>
              <w:snapToGrid w:val="0"/>
              <w:spacing w:line="360" w:lineRule="auto"/>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78B5644">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4C1BB8C">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9A8AA5E">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00758D4">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65" w:type="dxa"/>
            <w:tcBorders>
              <w:top w:val="single" w:color="auto" w:sz="6" w:space="0"/>
              <w:left w:val="single" w:color="auto" w:sz="6" w:space="0"/>
              <w:bottom w:val="single" w:color="auto" w:sz="6" w:space="0"/>
              <w:right w:val="single" w:color="auto" w:sz="6" w:space="0"/>
            </w:tcBorders>
          </w:tcPr>
          <w:p w14:paraId="03C9CC55">
            <w:pPr>
              <w:autoSpaceDE w:val="0"/>
              <w:autoSpaceDN w:val="0"/>
              <w:adjustRightInd w:val="0"/>
              <w:snapToGrid w:val="0"/>
              <w:spacing w:line="360" w:lineRule="auto"/>
              <w:jc w:val="left"/>
              <w:rPr>
                <w:rFonts w:ascii="宋体" w:hAnsi="宋体" w:eastAsia="宋体" w:cs="Times New Roman"/>
                <w:color w:val="auto"/>
                <w:kern w:val="0"/>
                <w:szCs w:val="21"/>
              </w:rPr>
            </w:pPr>
          </w:p>
        </w:tc>
        <w:tc>
          <w:tcPr>
            <w:tcW w:w="1854" w:type="dxa"/>
            <w:tcBorders>
              <w:top w:val="single" w:color="auto" w:sz="6" w:space="0"/>
              <w:left w:val="single" w:color="auto" w:sz="6" w:space="0"/>
              <w:bottom w:val="single" w:color="auto" w:sz="6" w:space="0"/>
              <w:right w:val="double" w:color="auto" w:sz="4" w:space="0"/>
            </w:tcBorders>
          </w:tcPr>
          <w:p w14:paraId="6DF4D516">
            <w:pPr>
              <w:autoSpaceDE w:val="0"/>
              <w:autoSpaceDN w:val="0"/>
              <w:adjustRightInd w:val="0"/>
              <w:snapToGrid w:val="0"/>
              <w:spacing w:line="360" w:lineRule="auto"/>
              <w:jc w:val="left"/>
              <w:rPr>
                <w:rFonts w:ascii="宋体" w:hAnsi="宋体" w:eastAsia="宋体" w:cs="Times New Roman"/>
                <w:color w:val="auto"/>
                <w:kern w:val="0"/>
                <w:szCs w:val="21"/>
              </w:rPr>
            </w:pPr>
          </w:p>
        </w:tc>
      </w:tr>
      <w:tr w14:paraId="4540431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759A8B0">
            <w:pPr>
              <w:jc w:val="center"/>
              <w:rPr>
                <w:rFonts w:ascii="Times New Roman" w:hAnsi="Times New Roman" w:eastAsia="宋体" w:cs="Times New Roman"/>
                <w:color w:val="auto"/>
                <w:szCs w:val="24"/>
              </w:rPr>
            </w:pPr>
            <w:r>
              <w:rPr>
                <w:rFonts w:ascii="Times New Roman" w:hAnsi="Times New Roman" w:eastAsia="宋体" w:cs="Times New Roman"/>
                <w:color w:val="auto"/>
                <w:szCs w:val="24"/>
              </w:rPr>
              <w:t>…</w:t>
            </w:r>
          </w:p>
        </w:tc>
        <w:tc>
          <w:tcPr>
            <w:tcW w:w="1383" w:type="dxa"/>
            <w:tcBorders>
              <w:top w:val="single" w:color="auto" w:sz="6" w:space="0"/>
              <w:left w:val="single" w:color="auto" w:sz="6" w:space="0"/>
              <w:bottom w:val="single" w:color="auto" w:sz="6" w:space="0"/>
              <w:right w:val="single" w:color="auto" w:sz="6" w:space="0"/>
            </w:tcBorders>
          </w:tcPr>
          <w:p w14:paraId="425928BA">
            <w:pPr>
              <w:autoSpaceDE w:val="0"/>
              <w:autoSpaceDN w:val="0"/>
              <w:adjustRightInd w:val="0"/>
              <w:snapToGrid w:val="0"/>
              <w:spacing w:line="360" w:lineRule="auto"/>
              <w:ind w:left="527" w:right="507"/>
              <w:jc w:val="center"/>
              <w:rPr>
                <w:rFonts w:ascii="宋体" w:hAnsi="宋体"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4E9C5E9">
            <w:pPr>
              <w:autoSpaceDE w:val="0"/>
              <w:autoSpaceDN w:val="0"/>
              <w:adjustRightInd w:val="0"/>
              <w:snapToGrid w:val="0"/>
              <w:spacing w:line="360" w:lineRule="auto"/>
              <w:jc w:val="left"/>
              <w:rPr>
                <w:rFonts w:ascii="宋体" w:hAnsi="宋体"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B5B89F2">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547AB3D">
            <w:pPr>
              <w:autoSpaceDE w:val="0"/>
              <w:autoSpaceDN w:val="0"/>
              <w:adjustRightInd w:val="0"/>
              <w:snapToGrid w:val="0"/>
              <w:spacing w:line="360" w:lineRule="auto"/>
              <w:jc w:val="left"/>
              <w:rPr>
                <w:rFonts w:ascii="宋体" w:hAnsi="宋体"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292032D">
            <w:pPr>
              <w:autoSpaceDE w:val="0"/>
              <w:autoSpaceDN w:val="0"/>
              <w:adjustRightInd w:val="0"/>
              <w:snapToGrid w:val="0"/>
              <w:spacing w:line="360" w:lineRule="auto"/>
              <w:jc w:val="left"/>
              <w:rPr>
                <w:rFonts w:ascii="宋体" w:hAnsi="宋体" w:eastAsia="宋体" w:cs="Times New Roman"/>
                <w:color w:val="auto"/>
                <w:kern w:val="0"/>
                <w:szCs w:val="21"/>
              </w:rPr>
            </w:pPr>
          </w:p>
        </w:tc>
        <w:tc>
          <w:tcPr>
            <w:tcW w:w="1065" w:type="dxa"/>
            <w:tcBorders>
              <w:top w:val="single" w:color="auto" w:sz="6" w:space="0"/>
              <w:left w:val="single" w:color="auto" w:sz="6" w:space="0"/>
              <w:bottom w:val="single" w:color="auto" w:sz="6" w:space="0"/>
              <w:right w:val="single" w:color="auto" w:sz="6" w:space="0"/>
            </w:tcBorders>
          </w:tcPr>
          <w:p w14:paraId="12492C7F">
            <w:pPr>
              <w:autoSpaceDE w:val="0"/>
              <w:autoSpaceDN w:val="0"/>
              <w:adjustRightInd w:val="0"/>
              <w:snapToGrid w:val="0"/>
              <w:spacing w:line="360" w:lineRule="auto"/>
              <w:jc w:val="left"/>
              <w:rPr>
                <w:rFonts w:ascii="宋体" w:hAnsi="宋体" w:eastAsia="宋体" w:cs="Times New Roman"/>
                <w:color w:val="auto"/>
                <w:kern w:val="0"/>
                <w:szCs w:val="21"/>
              </w:rPr>
            </w:pPr>
          </w:p>
        </w:tc>
        <w:tc>
          <w:tcPr>
            <w:tcW w:w="1854" w:type="dxa"/>
            <w:tcBorders>
              <w:top w:val="single" w:color="auto" w:sz="6" w:space="0"/>
              <w:left w:val="single" w:color="auto" w:sz="6" w:space="0"/>
              <w:bottom w:val="single" w:color="auto" w:sz="6" w:space="0"/>
              <w:right w:val="double" w:color="auto" w:sz="4" w:space="0"/>
            </w:tcBorders>
          </w:tcPr>
          <w:p w14:paraId="261150D9">
            <w:pPr>
              <w:autoSpaceDE w:val="0"/>
              <w:autoSpaceDN w:val="0"/>
              <w:adjustRightInd w:val="0"/>
              <w:snapToGrid w:val="0"/>
              <w:spacing w:line="360" w:lineRule="auto"/>
              <w:jc w:val="left"/>
              <w:rPr>
                <w:rFonts w:ascii="宋体" w:hAnsi="宋体" w:eastAsia="宋体" w:cs="Times New Roman"/>
                <w:color w:val="auto"/>
                <w:kern w:val="0"/>
                <w:szCs w:val="21"/>
              </w:rPr>
            </w:pPr>
          </w:p>
        </w:tc>
      </w:tr>
      <w:tr w14:paraId="7AEA0D59">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E791CBE">
            <w:pPr>
              <w:autoSpaceDE w:val="0"/>
              <w:autoSpaceDN w:val="0"/>
              <w:adjustRightInd w:val="0"/>
              <w:snapToGrid w:val="0"/>
              <w:spacing w:line="360" w:lineRule="auto"/>
              <w:jc w:val="center"/>
              <w:rPr>
                <w:rFonts w:ascii="宋体" w:hAnsi="宋体" w:eastAsia="宋体" w:cs="Times New Roman"/>
                <w:color w:val="auto"/>
                <w:kern w:val="0"/>
                <w:szCs w:val="21"/>
              </w:rPr>
            </w:pPr>
            <w:r>
              <w:rPr>
                <w:rFonts w:hint="eastAsia" w:ascii="宋体" w:hAnsi="宋体" w:eastAsia="宋体" w:cs="微软雅黑"/>
                <w:color w:val="auto"/>
                <w:kern w:val="0"/>
                <w:position w:val="-1"/>
                <w:szCs w:val="21"/>
              </w:rPr>
              <w:t>投标报价（元）：</w:t>
            </w:r>
          </w:p>
        </w:tc>
        <w:tc>
          <w:tcPr>
            <w:tcW w:w="1065" w:type="dxa"/>
            <w:tcBorders>
              <w:top w:val="single" w:color="auto" w:sz="6" w:space="0"/>
              <w:left w:val="single" w:color="auto" w:sz="6" w:space="0"/>
              <w:bottom w:val="double" w:color="auto" w:sz="4" w:space="0"/>
              <w:right w:val="single" w:color="auto" w:sz="6" w:space="0"/>
            </w:tcBorders>
          </w:tcPr>
          <w:p w14:paraId="63E2ABDE">
            <w:pPr>
              <w:autoSpaceDE w:val="0"/>
              <w:autoSpaceDN w:val="0"/>
              <w:adjustRightInd w:val="0"/>
              <w:snapToGrid w:val="0"/>
              <w:spacing w:line="360" w:lineRule="auto"/>
              <w:jc w:val="left"/>
              <w:rPr>
                <w:rFonts w:ascii="宋体" w:hAnsi="宋体" w:eastAsia="宋体" w:cs="Times New Roman"/>
                <w:color w:val="auto"/>
                <w:kern w:val="0"/>
                <w:szCs w:val="21"/>
              </w:rPr>
            </w:pPr>
          </w:p>
        </w:tc>
        <w:tc>
          <w:tcPr>
            <w:tcW w:w="1854" w:type="dxa"/>
            <w:tcBorders>
              <w:top w:val="single" w:color="auto" w:sz="6" w:space="0"/>
              <w:left w:val="single" w:color="auto" w:sz="6" w:space="0"/>
              <w:bottom w:val="double" w:color="auto" w:sz="4" w:space="0"/>
              <w:right w:val="double" w:color="auto" w:sz="4" w:space="0"/>
            </w:tcBorders>
          </w:tcPr>
          <w:p w14:paraId="74A8BA52">
            <w:pPr>
              <w:autoSpaceDE w:val="0"/>
              <w:autoSpaceDN w:val="0"/>
              <w:adjustRightInd w:val="0"/>
              <w:snapToGrid w:val="0"/>
              <w:spacing w:line="360" w:lineRule="auto"/>
              <w:jc w:val="left"/>
              <w:rPr>
                <w:rFonts w:ascii="宋体" w:hAnsi="宋体" w:eastAsia="宋体" w:cs="Times New Roman"/>
                <w:color w:val="auto"/>
                <w:kern w:val="0"/>
                <w:szCs w:val="21"/>
              </w:rPr>
            </w:pPr>
          </w:p>
        </w:tc>
      </w:tr>
    </w:tbl>
    <w:p w14:paraId="32FF8D1C">
      <w:pPr>
        <w:rPr>
          <w:rFonts w:hint="eastAsia"/>
          <w:color w:val="auto"/>
          <w:lang w:val="en-US" w:eastAsia="zh-CN"/>
        </w:rPr>
      </w:pPr>
    </w:p>
    <w:p w14:paraId="4D9D3BF8">
      <w:pPr>
        <w:rPr>
          <w:rFonts w:hint="eastAsia"/>
          <w:color w:val="auto"/>
          <w:lang w:val="en-US" w:eastAsia="zh-CN"/>
        </w:rPr>
      </w:pPr>
      <w:r>
        <w:rPr>
          <w:rFonts w:hint="eastAsia"/>
          <w:color w:val="auto"/>
          <w:lang w:val="en-US" w:eastAsia="zh-CN"/>
        </w:rPr>
        <w:br w:type="page"/>
      </w:r>
    </w:p>
    <w:p w14:paraId="769814EE">
      <w:pPr>
        <w:pStyle w:val="6"/>
        <w:rPr>
          <w:rFonts w:hint="eastAsia"/>
          <w:color w:val="auto"/>
          <w:lang w:val="en-US" w:eastAsia="zh-CN"/>
        </w:rPr>
      </w:pPr>
      <w:r>
        <w:rPr>
          <w:rFonts w:hint="eastAsia"/>
          <w:color w:val="auto"/>
          <w:lang w:val="en-US" w:eastAsia="zh-CN"/>
        </w:rPr>
        <w:t>附件5-4合同条款偏离表</w:t>
      </w:r>
    </w:p>
    <w:p w14:paraId="5F2E7023">
      <w:pPr>
        <w:pStyle w:val="42"/>
        <w:spacing w:before="120"/>
        <w:ind w:firstLine="0" w:firstLineChars="0"/>
        <w:jc w:val="center"/>
        <w:rPr>
          <w:rFonts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color w:val="auto"/>
          <w:sz w:val="32"/>
          <w:szCs w:val="32"/>
          <w:lang w:val="en-US" w:eastAsia="zh-CN"/>
        </w:rPr>
        <w:t>合同条款偏离</w:t>
      </w:r>
      <w:r>
        <w:rPr>
          <w:rFonts w:hint="eastAsia" w:ascii="方正小标宋_GBK" w:hAnsi="方正小标宋_GBK" w:eastAsia="方正小标宋_GBK" w:cs="方正小标宋_GBK"/>
          <w:color w:val="auto"/>
          <w:sz w:val="32"/>
          <w:szCs w:val="32"/>
        </w:rPr>
        <w:t>表</w:t>
      </w:r>
    </w:p>
    <w:p w14:paraId="21550F6D">
      <w:pPr>
        <w:rPr>
          <w:rFonts w:hint="eastAsia"/>
          <w:color w:val="auto"/>
        </w:rPr>
      </w:pPr>
    </w:p>
    <w:tbl>
      <w:tblPr>
        <w:tblStyle w:val="32"/>
        <w:tblW w:w="92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2410"/>
        <w:gridCol w:w="1985"/>
        <w:gridCol w:w="2082"/>
        <w:gridCol w:w="1942"/>
      </w:tblGrid>
      <w:tr w14:paraId="39FAAD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872" w:type="dxa"/>
            <w:noWrap w:val="0"/>
            <w:vAlign w:val="center"/>
          </w:tcPr>
          <w:p w14:paraId="17E3C47F">
            <w:pPr>
              <w:pStyle w:val="41"/>
              <w:rPr>
                <w:rFonts w:hint="eastAsia" w:ascii="Times New Roman" w:hAnsi="Times New Roman" w:cs="Times New Roman"/>
                <w:color w:val="auto"/>
              </w:rPr>
            </w:pPr>
            <w:bookmarkStart w:id="125" w:name="_Toc7750"/>
            <w:bookmarkStart w:id="126" w:name="_Toc1193"/>
            <w:r>
              <w:rPr>
                <w:rFonts w:hint="eastAsia" w:ascii="Times New Roman" w:hAnsi="Times New Roman" w:cs="Times New Roman"/>
                <w:color w:val="auto"/>
              </w:rPr>
              <w:t>序号</w:t>
            </w:r>
          </w:p>
        </w:tc>
        <w:tc>
          <w:tcPr>
            <w:tcW w:w="2410" w:type="dxa"/>
            <w:noWrap w:val="0"/>
            <w:vAlign w:val="center"/>
          </w:tcPr>
          <w:p w14:paraId="7F840EFE">
            <w:pPr>
              <w:pStyle w:val="41"/>
              <w:rPr>
                <w:rFonts w:hint="eastAsia" w:ascii="Times New Roman" w:hAnsi="Times New Roman" w:cs="Times New Roman"/>
                <w:color w:val="auto"/>
              </w:rPr>
            </w:pPr>
            <w:r>
              <w:rPr>
                <w:rFonts w:hint="eastAsia" w:ascii="Times New Roman" w:hAnsi="Times New Roman" w:cs="Times New Roman"/>
                <w:color w:val="auto"/>
              </w:rPr>
              <w:t>招标文件章节条款号</w:t>
            </w:r>
          </w:p>
        </w:tc>
        <w:tc>
          <w:tcPr>
            <w:tcW w:w="1985" w:type="dxa"/>
            <w:noWrap w:val="0"/>
            <w:vAlign w:val="center"/>
          </w:tcPr>
          <w:p w14:paraId="6A92277D">
            <w:pPr>
              <w:pStyle w:val="41"/>
              <w:rPr>
                <w:rFonts w:hint="eastAsia" w:ascii="Times New Roman" w:hAnsi="Times New Roman" w:cs="Times New Roman"/>
                <w:color w:val="auto"/>
              </w:rPr>
            </w:pPr>
            <w:r>
              <w:rPr>
                <w:rFonts w:hint="eastAsia" w:ascii="Times New Roman" w:hAnsi="Times New Roman" w:cs="Times New Roman"/>
                <w:color w:val="auto"/>
              </w:rPr>
              <w:t>招标文件要求</w:t>
            </w:r>
          </w:p>
        </w:tc>
        <w:tc>
          <w:tcPr>
            <w:tcW w:w="2082" w:type="dxa"/>
            <w:tcBorders>
              <w:right w:val="single" w:color="auto" w:sz="4" w:space="0"/>
            </w:tcBorders>
            <w:noWrap w:val="0"/>
            <w:vAlign w:val="center"/>
          </w:tcPr>
          <w:p w14:paraId="357EE7CC">
            <w:pPr>
              <w:pStyle w:val="41"/>
              <w:rPr>
                <w:rFonts w:hint="eastAsia" w:ascii="Times New Roman" w:hAnsi="Times New Roman" w:cs="Times New Roman"/>
                <w:color w:val="auto"/>
              </w:rPr>
            </w:pPr>
            <w:r>
              <w:rPr>
                <w:rFonts w:hint="eastAsia" w:ascii="Times New Roman" w:hAnsi="Times New Roman" w:cs="Times New Roman"/>
                <w:color w:val="auto"/>
              </w:rPr>
              <w:t>投标文件的应答</w:t>
            </w:r>
          </w:p>
        </w:tc>
        <w:tc>
          <w:tcPr>
            <w:tcW w:w="1942" w:type="dxa"/>
            <w:tcBorders>
              <w:left w:val="single" w:color="auto" w:sz="4" w:space="0"/>
            </w:tcBorders>
            <w:noWrap w:val="0"/>
            <w:vAlign w:val="center"/>
          </w:tcPr>
          <w:p w14:paraId="1CE4660B">
            <w:pPr>
              <w:pStyle w:val="41"/>
              <w:rPr>
                <w:rFonts w:hint="eastAsia" w:ascii="Times New Roman" w:hAnsi="Times New Roman" w:cs="Times New Roman"/>
                <w:color w:val="auto"/>
              </w:rPr>
            </w:pPr>
            <w:r>
              <w:rPr>
                <w:rFonts w:hint="eastAsia" w:ascii="Times New Roman" w:hAnsi="Times New Roman" w:cs="Times New Roman"/>
                <w:color w:val="auto"/>
              </w:rPr>
              <w:t>偏离说明</w:t>
            </w:r>
          </w:p>
        </w:tc>
      </w:tr>
      <w:tr w14:paraId="7EB56C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noWrap w:val="0"/>
            <w:vAlign w:val="center"/>
          </w:tcPr>
          <w:p w14:paraId="2983638E">
            <w:pPr>
              <w:adjustRightInd w:val="0"/>
              <w:snapToGrid w:val="0"/>
              <w:spacing w:before="50" w:line="360" w:lineRule="auto"/>
              <w:ind w:left="-88" w:leftChars="-42"/>
              <w:jc w:val="center"/>
              <w:rPr>
                <w:rFonts w:ascii="宋体" w:hAnsi="宋体" w:eastAsia="宋体"/>
                <w:color w:val="auto"/>
                <w:szCs w:val="21"/>
              </w:rPr>
            </w:pPr>
          </w:p>
        </w:tc>
        <w:tc>
          <w:tcPr>
            <w:tcW w:w="2410" w:type="dxa"/>
            <w:noWrap w:val="0"/>
            <w:vAlign w:val="center"/>
          </w:tcPr>
          <w:p w14:paraId="2F46929A">
            <w:pPr>
              <w:adjustRightInd w:val="0"/>
              <w:snapToGrid w:val="0"/>
              <w:spacing w:before="50" w:line="360" w:lineRule="auto"/>
              <w:ind w:left="-88" w:leftChars="-42"/>
              <w:jc w:val="center"/>
              <w:rPr>
                <w:rFonts w:ascii="宋体" w:hAnsi="宋体" w:eastAsia="宋体"/>
                <w:color w:val="auto"/>
                <w:szCs w:val="21"/>
              </w:rPr>
            </w:pPr>
          </w:p>
        </w:tc>
        <w:tc>
          <w:tcPr>
            <w:tcW w:w="1985" w:type="dxa"/>
            <w:noWrap w:val="0"/>
            <w:vAlign w:val="top"/>
          </w:tcPr>
          <w:p w14:paraId="091EC804">
            <w:pPr>
              <w:adjustRightInd w:val="0"/>
              <w:snapToGrid w:val="0"/>
              <w:spacing w:before="50" w:line="360" w:lineRule="auto"/>
              <w:rPr>
                <w:color w:val="auto"/>
              </w:rPr>
            </w:pPr>
          </w:p>
        </w:tc>
        <w:tc>
          <w:tcPr>
            <w:tcW w:w="2082" w:type="dxa"/>
            <w:tcBorders>
              <w:right w:val="single" w:color="auto" w:sz="4" w:space="0"/>
            </w:tcBorders>
            <w:noWrap w:val="0"/>
            <w:vAlign w:val="top"/>
          </w:tcPr>
          <w:p w14:paraId="0FD2541B">
            <w:pPr>
              <w:adjustRightInd w:val="0"/>
              <w:snapToGrid w:val="0"/>
              <w:spacing w:before="50" w:line="360" w:lineRule="auto"/>
              <w:rPr>
                <w:color w:val="auto"/>
              </w:rPr>
            </w:pPr>
          </w:p>
        </w:tc>
        <w:tc>
          <w:tcPr>
            <w:tcW w:w="1942" w:type="dxa"/>
            <w:tcBorders>
              <w:left w:val="single" w:color="auto" w:sz="4" w:space="0"/>
            </w:tcBorders>
            <w:noWrap w:val="0"/>
            <w:vAlign w:val="top"/>
          </w:tcPr>
          <w:p w14:paraId="23E678AF">
            <w:pPr>
              <w:adjustRightInd w:val="0"/>
              <w:snapToGrid w:val="0"/>
              <w:spacing w:before="50" w:line="360" w:lineRule="auto"/>
              <w:ind w:left="-88" w:leftChars="-42"/>
              <w:jc w:val="center"/>
              <w:rPr>
                <w:rFonts w:ascii="宋体" w:hAnsi="宋体" w:eastAsia="宋体"/>
                <w:color w:val="auto"/>
                <w:szCs w:val="21"/>
              </w:rPr>
            </w:pPr>
          </w:p>
        </w:tc>
      </w:tr>
      <w:tr w14:paraId="6F395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noWrap w:val="0"/>
            <w:vAlign w:val="center"/>
          </w:tcPr>
          <w:p w14:paraId="4A94EBE8">
            <w:pPr>
              <w:adjustRightInd w:val="0"/>
              <w:snapToGrid w:val="0"/>
              <w:spacing w:before="50" w:line="360" w:lineRule="auto"/>
              <w:ind w:left="-88" w:leftChars="-42"/>
              <w:jc w:val="center"/>
              <w:rPr>
                <w:rFonts w:ascii="宋体" w:hAnsi="宋体" w:eastAsia="宋体"/>
                <w:color w:val="auto"/>
                <w:szCs w:val="21"/>
              </w:rPr>
            </w:pPr>
          </w:p>
        </w:tc>
        <w:tc>
          <w:tcPr>
            <w:tcW w:w="2410" w:type="dxa"/>
            <w:noWrap w:val="0"/>
            <w:vAlign w:val="center"/>
          </w:tcPr>
          <w:p w14:paraId="502B08ED">
            <w:pPr>
              <w:adjustRightInd w:val="0"/>
              <w:snapToGrid w:val="0"/>
              <w:spacing w:before="50" w:line="360" w:lineRule="auto"/>
              <w:ind w:left="-88" w:leftChars="-42"/>
              <w:jc w:val="center"/>
              <w:rPr>
                <w:rFonts w:ascii="宋体" w:hAnsi="宋体" w:eastAsia="宋体"/>
                <w:color w:val="auto"/>
                <w:szCs w:val="21"/>
              </w:rPr>
            </w:pPr>
          </w:p>
        </w:tc>
        <w:tc>
          <w:tcPr>
            <w:tcW w:w="1985" w:type="dxa"/>
            <w:noWrap w:val="0"/>
            <w:vAlign w:val="center"/>
          </w:tcPr>
          <w:p w14:paraId="7B73EE14">
            <w:pPr>
              <w:adjustRightInd w:val="0"/>
              <w:snapToGrid w:val="0"/>
              <w:spacing w:before="50" w:line="360" w:lineRule="auto"/>
              <w:ind w:left="-88" w:leftChars="-42"/>
              <w:jc w:val="center"/>
              <w:rPr>
                <w:rFonts w:ascii="宋体" w:hAnsi="宋体" w:eastAsia="宋体"/>
                <w:color w:val="auto"/>
                <w:szCs w:val="21"/>
              </w:rPr>
            </w:pPr>
          </w:p>
        </w:tc>
        <w:tc>
          <w:tcPr>
            <w:tcW w:w="2082" w:type="dxa"/>
            <w:tcBorders>
              <w:right w:val="single" w:color="auto" w:sz="4" w:space="0"/>
            </w:tcBorders>
            <w:noWrap w:val="0"/>
            <w:vAlign w:val="center"/>
          </w:tcPr>
          <w:p w14:paraId="5E0079E6">
            <w:pPr>
              <w:adjustRightInd w:val="0"/>
              <w:snapToGrid w:val="0"/>
              <w:spacing w:before="50" w:line="360" w:lineRule="auto"/>
              <w:ind w:left="-88" w:leftChars="-42"/>
              <w:jc w:val="center"/>
              <w:rPr>
                <w:rFonts w:ascii="宋体" w:hAnsi="宋体" w:eastAsia="宋体"/>
                <w:color w:val="auto"/>
                <w:szCs w:val="21"/>
              </w:rPr>
            </w:pPr>
          </w:p>
        </w:tc>
        <w:tc>
          <w:tcPr>
            <w:tcW w:w="1942" w:type="dxa"/>
            <w:tcBorders>
              <w:left w:val="single" w:color="auto" w:sz="4" w:space="0"/>
            </w:tcBorders>
            <w:noWrap w:val="0"/>
            <w:vAlign w:val="center"/>
          </w:tcPr>
          <w:p w14:paraId="1F7AD232">
            <w:pPr>
              <w:adjustRightInd w:val="0"/>
              <w:snapToGrid w:val="0"/>
              <w:spacing w:before="50" w:line="360" w:lineRule="auto"/>
              <w:ind w:left="-88" w:leftChars="-42"/>
              <w:jc w:val="center"/>
              <w:rPr>
                <w:rFonts w:ascii="宋体" w:hAnsi="宋体" w:eastAsia="宋体"/>
                <w:color w:val="auto"/>
                <w:szCs w:val="21"/>
              </w:rPr>
            </w:pPr>
          </w:p>
        </w:tc>
      </w:tr>
      <w:tr w14:paraId="1CD8F0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noWrap w:val="0"/>
            <w:vAlign w:val="center"/>
          </w:tcPr>
          <w:p w14:paraId="6225A101">
            <w:pPr>
              <w:adjustRightInd w:val="0"/>
              <w:snapToGrid w:val="0"/>
              <w:spacing w:before="50" w:line="360" w:lineRule="auto"/>
              <w:ind w:left="-88" w:leftChars="-42"/>
              <w:jc w:val="center"/>
              <w:rPr>
                <w:rFonts w:ascii="宋体" w:hAnsi="宋体" w:eastAsia="宋体"/>
                <w:color w:val="auto"/>
                <w:szCs w:val="21"/>
              </w:rPr>
            </w:pPr>
          </w:p>
        </w:tc>
        <w:tc>
          <w:tcPr>
            <w:tcW w:w="2410" w:type="dxa"/>
            <w:noWrap w:val="0"/>
            <w:vAlign w:val="center"/>
          </w:tcPr>
          <w:p w14:paraId="3F721372">
            <w:pPr>
              <w:adjustRightInd w:val="0"/>
              <w:snapToGrid w:val="0"/>
              <w:spacing w:before="50" w:line="360" w:lineRule="auto"/>
              <w:ind w:left="-88" w:leftChars="-42"/>
              <w:jc w:val="center"/>
              <w:rPr>
                <w:rFonts w:ascii="宋体" w:hAnsi="宋体" w:eastAsia="宋体"/>
                <w:color w:val="auto"/>
                <w:szCs w:val="21"/>
              </w:rPr>
            </w:pPr>
          </w:p>
        </w:tc>
        <w:tc>
          <w:tcPr>
            <w:tcW w:w="1985" w:type="dxa"/>
            <w:noWrap w:val="0"/>
            <w:vAlign w:val="center"/>
          </w:tcPr>
          <w:p w14:paraId="35A0CE1B">
            <w:pPr>
              <w:adjustRightInd w:val="0"/>
              <w:snapToGrid w:val="0"/>
              <w:spacing w:before="50" w:line="360" w:lineRule="auto"/>
              <w:ind w:left="-88" w:leftChars="-42"/>
              <w:jc w:val="center"/>
              <w:rPr>
                <w:rFonts w:ascii="宋体" w:hAnsi="宋体" w:eastAsia="宋体"/>
                <w:color w:val="auto"/>
                <w:szCs w:val="21"/>
              </w:rPr>
            </w:pPr>
          </w:p>
        </w:tc>
        <w:tc>
          <w:tcPr>
            <w:tcW w:w="2082" w:type="dxa"/>
            <w:tcBorders>
              <w:right w:val="single" w:color="auto" w:sz="4" w:space="0"/>
            </w:tcBorders>
            <w:noWrap w:val="0"/>
            <w:vAlign w:val="center"/>
          </w:tcPr>
          <w:p w14:paraId="55F23504">
            <w:pPr>
              <w:adjustRightInd w:val="0"/>
              <w:snapToGrid w:val="0"/>
              <w:spacing w:before="50" w:line="360" w:lineRule="auto"/>
              <w:ind w:left="-88" w:leftChars="-42"/>
              <w:jc w:val="center"/>
              <w:rPr>
                <w:rFonts w:ascii="宋体" w:hAnsi="宋体" w:eastAsia="宋体"/>
                <w:color w:val="auto"/>
                <w:szCs w:val="21"/>
              </w:rPr>
            </w:pPr>
          </w:p>
        </w:tc>
        <w:tc>
          <w:tcPr>
            <w:tcW w:w="1942" w:type="dxa"/>
            <w:tcBorders>
              <w:left w:val="single" w:color="auto" w:sz="4" w:space="0"/>
            </w:tcBorders>
            <w:noWrap w:val="0"/>
            <w:vAlign w:val="center"/>
          </w:tcPr>
          <w:p w14:paraId="1A1339D0">
            <w:pPr>
              <w:adjustRightInd w:val="0"/>
              <w:snapToGrid w:val="0"/>
              <w:spacing w:before="50" w:line="360" w:lineRule="auto"/>
              <w:ind w:left="-88" w:leftChars="-42"/>
              <w:jc w:val="center"/>
              <w:rPr>
                <w:rFonts w:ascii="宋体" w:hAnsi="宋体" w:eastAsia="宋体"/>
                <w:color w:val="auto"/>
                <w:szCs w:val="21"/>
              </w:rPr>
            </w:pPr>
          </w:p>
        </w:tc>
      </w:tr>
      <w:tr w14:paraId="4FA37A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noWrap w:val="0"/>
            <w:vAlign w:val="center"/>
          </w:tcPr>
          <w:p w14:paraId="2BD3396E">
            <w:pPr>
              <w:adjustRightInd w:val="0"/>
              <w:snapToGrid w:val="0"/>
              <w:spacing w:before="50" w:line="360" w:lineRule="auto"/>
              <w:ind w:left="-88" w:leftChars="-42"/>
              <w:jc w:val="center"/>
              <w:rPr>
                <w:rFonts w:ascii="宋体" w:hAnsi="宋体" w:eastAsia="宋体"/>
                <w:color w:val="auto"/>
                <w:szCs w:val="21"/>
              </w:rPr>
            </w:pPr>
          </w:p>
        </w:tc>
        <w:tc>
          <w:tcPr>
            <w:tcW w:w="2410" w:type="dxa"/>
            <w:noWrap w:val="0"/>
            <w:vAlign w:val="center"/>
          </w:tcPr>
          <w:p w14:paraId="01FEF419">
            <w:pPr>
              <w:adjustRightInd w:val="0"/>
              <w:snapToGrid w:val="0"/>
              <w:spacing w:before="50" w:line="360" w:lineRule="auto"/>
              <w:ind w:left="-88" w:leftChars="-42"/>
              <w:jc w:val="center"/>
              <w:rPr>
                <w:rFonts w:ascii="宋体" w:hAnsi="宋体" w:eastAsia="宋体"/>
                <w:color w:val="auto"/>
                <w:szCs w:val="21"/>
              </w:rPr>
            </w:pPr>
          </w:p>
        </w:tc>
        <w:tc>
          <w:tcPr>
            <w:tcW w:w="1985" w:type="dxa"/>
            <w:noWrap w:val="0"/>
            <w:vAlign w:val="center"/>
          </w:tcPr>
          <w:p w14:paraId="0BFAA5A3">
            <w:pPr>
              <w:adjustRightInd w:val="0"/>
              <w:snapToGrid w:val="0"/>
              <w:spacing w:before="50" w:line="360" w:lineRule="auto"/>
              <w:ind w:left="-88" w:leftChars="-42"/>
              <w:jc w:val="center"/>
              <w:rPr>
                <w:rFonts w:ascii="宋体" w:hAnsi="宋体" w:eastAsia="宋体"/>
                <w:color w:val="auto"/>
                <w:szCs w:val="21"/>
              </w:rPr>
            </w:pPr>
          </w:p>
        </w:tc>
        <w:tc>
          <w:tcPr>
            <w:tcW w:w="2082" w:type="dxa"/>
            <w:tcBorders>
              <w:right w:val="single" w:color="auto" w:sz="4" w:space="0"/>
            </w:tcBorders>
            <w:noWrap w:val="0"/>
            <w:vAlign w:val="center"/>
          </w:tcPr>
          <w:p w14:paraId="3BB20270">
            <w:pPr>
              <w:adjustRightInd w:val="0"/>
              <w:snapToGrid w:val="0"/>
              <w:spacing w:before="50" w:line="360" w:lineRule="auto"/>
              <w:ind w:left="-88" w:leftChars="-42"/>
              <w:jc w:val="center"/>
              <w:rPr>
                <w:rFonts w:ascii="宋体" w:hAnsi="宋体" w:eastAsia="宋体"/>
                <w:color w:val="auto"/>
                <w:szCs w:val="21"/>
              </w:rPr>
            </w:pPr>
          </w:p>
        </w:tc>
        <w:tc>
          <w:tcPr>
            <w:tcW w:w="1942" w:type="dxa"/>
            <w:tcBorders>
              <w:left w:val="single" w:color="auto" w:sz="4" w:space="0"/>
            </w:tcBorders>
            <w:noWrap w:val="0"/>
            <w:vAlign w:val="center"/>
          </w:tcPr>
          <w:p w14:paraId="7D782E96">
            <w:pPr>
              <w:adjustRightInd w:val="0"/>
              <w:snapToGrid w:val="0"/>
              <w:spacing w:before="50" w:line="360" w:lineRule="auto"/>
              <w:ind w:left="-88" w:leftChars="-42"/>
              <w:jc w:val="center"/>
              <w:rPr>
                <w:rFonts w:ascii="宋体" w:hAnsi="宋体" w:eastAsia="宋体"/>
                <w:color w:val="auto"/>
                <w:szCs w:val="21"/>
              </w:rPr>
            </w:pPr>
          </w:p>
        </w:tc>
      </w:tr>
      <w:tr w14:paraId="77B72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noWrap w:val="0"/>
            <w:vAlign w:val="center"/>
          </w:tcPr>
          <w:p w14:paraId="1C4D30E7">
            <w:pPr>
              <w:adjustRightInd w:val="0"/>
              <w:snapToGrid w:val="0"/>
              <w:spacing w:before="50" w:line="360" w:lineRule="auto"/>
              <w:ind w:left="-88" w:leftChars="-42"/>
              <w:jc w:val="center"/>
              <w:rPr>
                <w:rFonts w:ascii="宋体" w:hAnsi="宋体" w:eastAsia="宋体"/>
                <w:color w:val="auto"/>
                <w:szCs w:val="21"/>
              </w:rPr>
            </w:pPr>
          </w:p>
        </w:tc>
        <w:tc>
          <w:tcPr>
            <w:tcW w:w="2410" w:type="dxa"/>
            <w:noWrap w:val="0"/>
            <w:vAlign w:val="center"/>
          </w:tcPr>
          <w:p w14:paraId="663761DF">
            <w:pPr>
              <w:adjustRightInd w:val="0"/>
              <w:snapToGrid w:val="0"/>
              <w:spacing w:before="50" w:line="360" w:lineRule="auto"/>
              <w:ind w:left="-88" w:leftChars="-42"/>
              <w:jc w:val="center"/>
              <w:rPr>
                <w:rFonts w:ascii="宋体" w:hAnsi="宋体" w:eastAsia="宋体"/>
                <w:color w:val="auto"/>
                <w:szCs w:val="21"/>
              </w:rPr>
            </w:pPr>
          </w:p>
        </w:tc>
        <w:tc>
          <w:tcPr>
            <w:tcW w:w="1985" w:type="dxa"/>
            <w:noWrap w:val="0"/>
            <w:vAlign w:val="center"/>
          </w:tcPr>
          <w:p w14:paraId="0E744F39">
            <w:pPr>
              <w:adjustRightInd w:val="0"/>
              <w:snapToGrid w:val="0"/>
              <w:spacing w:before="50" w:line="360" w:lineRule="auto"/>
              <w:ind w:left="-88" w:leftChars="-42"/>
              <w:jc w:val="center"/>
              <w:rPr>
                <w:rFonts w:ascii="宋体" w:hAnsi="宋体" w:eastAsia="宋体"/>
                <w:color w:val="auto"/>
                <w:szCs w:val="21"/>
              </w:rPr>
            </w:pPr>
          </w:p>
        </w:tc>
        <w:tc>
          <w:tcPr>
            <w:tcW w:w="4024" w:type="dxa"/>
            <w:gridSpan w:val="2"/>
            <w:noWrap w:val="0"/>
            <w:vAlign w:val="center"/>
          </w:tcPr>
          <w:p w14:paraId="6626D5F8">
            <w:pPr>
              <w:adjustRightInd w:val="0"/>
              <w:snapToGrid w:val="0"/>
              <w:spacing w:before="50" w:line="360" w:lineRule="auto"/>
              <w:ind w:firstLine="422" w:firstLineChars="200"/>
              <w:jc w:val="left"/>
              <w:rPr>
                <w:rFonts w:ascii="宋体" w:hAnsi="宋体" w:eastAsia="宋体"/>
                <w:b/>
                <w:color w:val="auto"/>
                <w:szCs w:val="21"/>
              </w:rPr>
            </w:pPr>
            <w:r>
              <w:rPr>
                <w:rFonts w:hint="eastAsia" w:ascii="宋体" w:hAnsi="宋体" w:eastAsia="宋体"/>
                <w:b/>
                <w:color w:val="auto"/>
                <w:szCs w:val="21"/>
              </w:rPr>
              <w:t>投标人保证：除本合同条款偏离表列出的偏离外，我单位对招标文件的其他商务、合同条款完全响应，无偏离。</w:t>
            </w:r>
          </w:p>
        </w:tc>
      </w:tr>
    </w:tbl>
    <w:p w14:paraId="09245B0B">
      <w:pPr>
        <w:pStyle w:val="42"/>
        <w:spacing w:before="120"/>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注：</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投标人应根据招标文件第</w:t>
      </w:r>
      <w:r>
        <w:rPr>
          <w:rFonts w:hint="eastAsia" w:ascii="Times New Roman" w:hAnsi="Times New Roman" w:eastAsia="宋体" w:cs="Times New Roman"/>
          <w:color w:val="auto"/>
          <w:lang w:val="en-US" w:eastAsia="zh-CN"/>
        </w:rPr>
        <w:t>五</w:t>
      </w:r>
      <w:r>
        <w:rPr>
          <w:rFonts w:hint="eastAsia" w:ascii="Times New Roman" w:hAnsi="Times New Roman" w:eastAsia="宋体" w:cs="Times New Roman"/>
          <w:color w:val="auto"/>
        </w:rPr>
        <w:t>章“政府采购合同”填写本表；</w:t>
      </w:r>
    </w:p>
    <w:p w14:paraId="7E15B3DC">
      <w:pPr>
        <w:pStyle w:val="42"/>
        <w:spacing w:before="120"/>
        <w:ind w:firstLine="48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投标人如果对招标文件第</w:t>
      </w:r>
      <w:r>
        <w:rPr>
          <w:rFonts w:hint="eastAsia" w:ascii="Times New Roman" w:hAnsi="Times New Roman" w:eastAsia="宋体" w:cs="Times New Roman"/>
          <w:color w:val="auto"/>
          <w:lang w:val="en-US" w:eastAsia="zh-CN"/>
        </w:rPr>
        <w:t>五</w:t>
      </w:r>
      <w:r>
        <w:rPr>
          <w:rFonts w:hint="eastAsia" w:ascii="Times New Roman" w:hAnsi="Times New Roman" w:eastAsia="宋体" w:cs="Times New Roman"/>
          <w:color w:val="auto"/>
        </w:rPr>
        <w:t>章“政府采购合同”的响应有偏离，应将偏离条款逐条如实应答，并作出说明；</w:t>
      </w:r>
    </w:p>
    <w:p w14:paraId="4281EDFE">
      <w:pPr>
        <w:pStyle w:val="42"/>
        <w:spacing w:before="120"/>
        <w:ind w:firstLine="48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如不提供此表，则视为投标人不满足招标文件第</w:t>
      </w:r>
      <w:r>
        <w:rPr>
          <w:rFonts w:hint="eastAsia" w:ascii="Times New Roman" w:hAnsi="Times New Roman" w:eastAsia="宋体" w:cs="Times New Roman"/>
          <w:color w:val="auto"/>
          <w:lang w:val="en-US" w:eastAsia="zh-CN"/>
        </w:rPr>
        <w:t>五</w:t>
      </w:r>
      <w:r>
        <w:rPr>
          <w:rFonts w:hint="eastAsia" w:ascii="Times New Roman" w:hAnsi="Times New Roman" w:eastAsia="宋体" w:cs="Times New Roman"/>
          <w:color w:val="auto"/>
        </w:rPr>
        <w:t>章的所有条款要求，</w:t>
      </w:r>
      <w:r>
        <w:rPr>
          <w:rFonts w:hint="eastAsia" w:ascii="Times New Roman" w:hAnsi="Times New Roman" w:eastAsia="宋体" w:cs="Times New Roman"/>
          <w:b/>
          <w:bCs/>
          <w:color w:val="auto"/>
        </w:rPr>
        <w:t>其投标无效。</w:t>
      </w:r>
    </w:p>
    <w:p w14:paraId="7B7D6D67">
      <w:pPr>
        <w:pStyle w:val="42"/>
        <w:spacing w:before="120"/>
        <w:ind w:firstLine="48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9E3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2432B8CC">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5E542336">
            <w:pPr>
              <w:pStyle w:val="42"/>
              <w:spacing w:before="120" w:line="540" w:lineRule="exact"/>
              <w:ind w:firstLine="480"/>
              <w:jc w:val="center"/>
              <w:rPr>
                <w:color w:val="auto"/>
              </w:rPr>
            </w:pPr>
          </w:p>
        </w:tc>
      </w:tr>
      <w:tr w14:paraId="1DA4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5348754">
            <w:pPr>
              <w:pStyle w:val="42"/>
              <w:spacing w:beforeLines="0" w:line="240" w:lineRule="auto"/>
              <w:ind w:firstLine="0" w:firstLineChars="0"/>
              <w:jc w:val="distribute"/>
              <w:rPr>
                <w:color w:val="auto"/>
              </w:rPr>
            </w:pPr>
            <w:r>
              <w:rPr>
                <w:rFonts w:hint="eastAsia"/>
                <w:color w:val="auto"/>
              </w:rPr>
              <w:t>法定代表人（单位负责人）</w:t>
            </w:r>
          </w:p>
        </w:tc>
        <w:tc>
          <w:tcPr>
            <w:tcW w:w="5913" w:type="dxa"/>
            <w:gridSpan w:val="3"/>
            <w:tcBorders>
              <w:top w:val="nil"/>
              <w:left w:val="nil"/>
              <w:bottom w:val="nil"/>
              <w:right w:val="nil"/>
            </w:tcBorders>
            <w:vAlign w:val="center"/>
          </w:tcPr>
          <w:p w14:paraId="13AA8C1C">
            <w:pPr>
              <w:pStyle w:val="42"/>
              <w:spacing w:before="120" w:line="540" w:lineRule="exact"/>
              <w:ind w:firstLine="480"/>
              <w:jc w:val="center"/>
              <w:rPr>
                <w:color w:val="auto"/>
              </w:rPr>
            </w:pPr>
          </w:p>
        </w:tc>
      </w:tr>
      <w:tr w14:paraId="2973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82C0367">
            <w:pPr>
              <w:pStyle w:val="42"/>
              <w:spacing w:beforeLines="0" w:line="240" w:lineRule="auto"/>
              <w:ind w:firstLine="0" w:firstLineChars="0"/>
              <w:jc w:val="distribute"/>
              <w:rPr>
                <w:color w:val="auto"/>
              </w:rPr>
            </w:pPr>
            <w:r>
              <w:rPr>
                <w:rFonts w:hint="eastAsia"/>
                <w:color w:val="auto"/>
              </w:rPr>
              <w:t>或其授权的代理人（</w:t>
            </w:r>
            <w:r>
              <w:rPr>
                <w:rFonts w:hint="eastAsia"/>
                <w:color w:val="auto"/>
                <w:lang w:eastAsia="zh-CN"/>
              </w:rPr>
              <w:t>签字或盖章</w:t>
            </w:r>
            <w:r>
              <w:rPr>
                <w:rFonts w:hint="eastAsia"/>
                <w:color w:val="auto"/>
              </w:rPr>
              <w:t>）：</w:t>
            </w:r>
          </w:p>
        </w:tc>
        <w:tc>
          <w:tcPr>
            <w:tcW w:w="5913" w:type="dxa"/>
            <w:gridSpan w:val="3"/>
            <w:tcBorders>
              <w:top w:val="nil"/>
              <w:left w:val="nil"/>
              <w:bottom w:val="nil"/>
              <w:right w:val="nil"/>
            </w:tcBorders>
            <w:vAlign w:val="center"/>
          </w:tcPr>
          <w:p w14:paraId="3CC37201">
            <w:pPr>
              <w:pStyle w:val="42"/>
              <w:spacing w:before="120" w:line="540" w:lineRule="exact"/>
              <w:ind w:firstLine="480"/>
              <w:jc w:val="center"/>
              <w:rPr>
                <w:color w:val="auto"/>
              </w:rPr>
            </w:pPr>
          </w:p>
        </w:tc>
      </w:tr>
      <w:tr w14:paraId="4161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4219D171">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7EA56D9D">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521A0602">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10D267AE">
            <w:pPr>
              <w:pStyle w:val="42"/>
              <w:spacing w:beforeLines="0" w:line="240" w:lineRule="auto"/>
              <w:ind w:firstLine="0" w:firstLineChars="0"/>
              <w:jc w:val="right"/>
              <w:rPr>
                <w:color w:val="auto"/>
              </w:rPr>
            </w:pPr>
            <w:r>
              <w:rPr>
                <w:rFonts w:hint="eastAsia"/>
                <w:color w:val="auto"/>
              </w:rPr>
              <w:t>年   月   日</w:t>
            </w:r>
          </w:p>
        </w:tc>
      </w:tr>
    </w:tbl>
    <w:p w14:paraId="400B58F3">
      <w:pPr>
        <w:rPr>
          <w:rFonts w:hint="eastAsia"/>
          <w:color w:val="auto"/>
          <w:lang w:val="en-US" w:eastAsia="zh-CN"/>
        </w:rPr>
      </w:pPr>
      <w:r>
        <w:rPr>
          <w:rFonts w:hint="eastAsia"/>
          <w:color w:val="auto"/>
          <w:lang w:val="en-US" w:eastAsia="zh-CN"/>
        </w:rPr>
        <w:br w:type="page"/>
      </w:r>
    </w:p>
    <w:p w14:paraId="414685AB">
      <w:pPr>
        <w:pStyle w:val="4"/>
        <w:rPr>
          <w:rFonts w:hint="default" w:eastAsia="宋体"/>
          <w:color w:val="auto"/>
          <w:lang w:val="en-US" w:eastAsia="zh-CN"/>
        </w:rPr>
      </w:pPr>
      <w:r>
        <w:rPr>
          <w:rFonts w:hint="eastAsia"/>
          <w:color w:val="auto"/>
          <w:lang w:val="en-US" w:eastAsia="zh-CN"/>
        </w:rPr>
        <w:t>六</w:t>
      </w:r>
      <w:r>
        <w:rPr>
          <w:rFonts w:hint="eastAsia"/>
          <w:color w:val="auto"/>
        </w:rPr>
        <w:t>、</w:t>
      </w:r>
      <w:bookmarkEnd w:id="125"/>
      <w:bookmarkEnd w:id="126"/>
      <w:r>
        <w:rPr>
          <w:rFonts w:hint="eastAsia"/>
          <w:color w:val="auto"/>
        </w:rPr>
        <w:t>总体供货方案</w:t>
      </w:r>
      <w:r>
        <w:rPr>
          <w:rFonts w:hint="eastAsia"/>
          <w:color w:val="auto"/>
          <w:lang w:val="en-US" w:eastAsia="zh-CN"/>
        </w:rPr>
        <w:t>(技术方案）</w:t>
      </w:r>
    </w:p>
    <w:p w14:paraId="7EB473C2">
      <w:pPr>
        <w:pStyle w:val="42"/>
        <w:spacing w:before="120"/>
        <w:ind w:firstLine="0" w:firstLineChars="0"/>
        <w:jc w:val="center"/>
        <w:rPr>
          <w:color w:val="auto"/>
        </w:rPr>
      </w:pPr>
      <w:r>
        <w:rPr>
          <w:rFonts w:hint="eastAsia"/>
          <w:color w:val="auto"/>
        </w:rPr>
        <w:t>（</w:t>
      </w:r>
      <w:r>
        <w:rPr>
          <w:color w:val="auto"/>
        </w:rPr>
        <w:t>投标人可自行制作格式</w:t>
      </w:r>
      <w:r>
        <w:rPr>
          <w:rFonts w:hint="eastAsia"/>
          <w:color w:val="auto"/>
        </w:rPr>
        <w:t>）</w:t>
      </w:r>
    </w:p>
    <w:p w14:paraId="527D8974">
      <w:pPr>
        <w:rPr>
          <w:color w:val="auto"/>
        </w:rPr>
      </w:pPr>
      <w:r>
        <w:rPr>
          <w:rFonts w:hint="eastAsia"/>
          <w:color w:val="auto"/>
        </w:rPr>
        <w:br w:type="page"/>
      </w:r>
    </w:p>
    <w:p w14:paraId="79BB2F18">
      <w:pPr>
        <w:pStyle w:val="42"/>
        <w:spacing w:before="120"/>
        <w:ind w:firstLine="480"/>
        <w:jc w:val="center"/>
        <w:rPr>
          <w:color w:val="auto"/>
        </w:rPr>
        <w:sectPr>
          <w:headerReference r:id="rId7" w:type="default"/>
          <w:footerReference r:id="rId8" w:type="default"/>
          <w:pgSz w:w="11910" w:h="16840"/>
          <w:pgMar w:top="1417" w:right="1003" w:bottom="1701" w:left="1003" w:header="1134" w:footer="680" w:gutter="0"/>
          <w:pgBorders>
            <w:top w:val="none" w:sz="0" w:space="0"/>
            <w:left w:val="none" w:sz="0" w:space="0"/>
            <w:bottom w:val="none" w:sz="0" w:space="0"/>
            <w:right w:val="none" w:sz="0" w:space="0"/>
          </w:pgBorders>
          <w:pgNumType w:fmt="decimal"/>
          <w:cols w:space="720" w:num="1"/>
          <w:rtlGutter w:val="0"/>
        </w:sectPr>
      </w:pPr>
    </w:p>
    <w:p w14:paraId="731616ED">
      <w:pPr>
        <w:pStyle w:val="4"/>
        <w:jc w:val="center"/>
        <w:rPr>
          <w:color w:val="auto"/>
        </w:rPr>
      </w:pPr>
      <w:bookmarkStart w:id="127" w:name="_Toc16781"/>
      <w:bookmarkStart w:id="128" w:name="_Toc15258"/>
      <w:r>
        <w:rPr>
          <w:rFonts w:hint="eastAsia"/>
          <w:color w:val="auto"/>
          <w:lang w:val="en-US" w:eastAsia="zh-CN"/>
        </w:rPr>
        <w:t>七、</w:t>
      </w:r>
      <w:r>
        <w:rPr>
          <w:color w:val="auto"/>
        </w:rPr>
        <w:t>投标业绩承诺函</w:t>
      </w:r>
      <w:bookmarkEnd w:id="127"/>
      <w:bookmarkEnd w:id="128"/>
    </w:p>
    <w:p w14:paraId="548F3713">
      <w:pPr>
        <w:pStyle w:val="42"/>
        <w:spacing w:before="120"/>
        <w:ind w:firstLine="480"/>
        <w:rPr>
          <w:color w:val="auto"/>
        </w:rPr>
      </w:pPr>
      <w:r>
        <w:rPr>
          <w:color w:val="auto"/>
        </w:rPr>
        <w:t>我单位同意中标公告中公示以下业绩并承诺：投标文件中所提供的业绩均真实有效，若被发现存在任何虚假、隐瞒情况，我单位承担由此产生的一切后果。</w:t>
      </w:r>
    </w:p>
    <w:p w14:paraId="5112D005">
      <w:pPr>
        <w:rPr>
          <w:color w:val="auto"/>
        </w:rPr>
      </w:pPr>
    </w:p>
    <w:tbl>
      <w:tblPr>
        <w:tblStyle w:val="32"/>
        <w:tblpPr w:leftFromText="180" w:rightFromText="180" w:vertAnchor="text" w:horzAnchor="page" w:tblpX="1246" w:tblpY="199"/>
        <w:tblOverlap w:val="never"/>
        <w:tblW w:w="98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1"/>
        <w:gridCol w:w="4108"/>
        <w:gridCol w:w="2528"/>
        <w:gridCol w:w="2358"/>
      </w:tblGrid>
      <w:tr w14:paraId="11DD9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831" w:type="dxa"/>
            <w:tcBorders>
              <w:top w:val="double" w:color="000000" w:sz="4" w:space="0"/>
              <w:left w:val="double" w:color="000000" w:sz="4" w:space="0"/>
            </w:tcBorders>
            <w:vAlign w:val="center"/>
          </w:tcPr>
          <w:p w14:paraId="351DB021">
            <w:pPr>
              <w:pStyle w:val="55"/>
              <w:spacing w:before="108"/>
              <w:ind w:left="210" w:right="201"/>
              <w:jc w:val="center"/>
              <w:rPr>
                <w:color w:val="auto"/>
                <w:sz w:val="24"/>
              </w:rPr>
            </w:pPr>
            <w:r>
              <w:rPr>
                <w:color w:val="auto"/>
                <w:sz w:val="24"/>
              </w:rPr>
              <w:t>序号</w:t>
            </w:r>
          </w:p>
        </w:tc>
        <w:tc>
          <w:tcPr>
            <w:tcW w:w="4108" w:type="dxa"/>
            <w:tcBorders>
              <w:top w:val="double" w:color="000000" w:sz="4" w:space="0"/>
            </w:tcBorders>
            <w:vAlign w:val="center"/>
          </w:tcPr>
          <w:p w14:paraId="18F67528">
            <w:pPr>
              <w:pStyle w:val="55"/>
              <w:spacing w:before="108"/>
              <w:ind w:left="1552" w:right="1546"/>
              <w:jc w:val="center"/>
              <w:rPr>
                <w:color w:val="auto"/>
                <w:sz w:val="24"/>
              </w:rPr>
            </w:pPr>
            <w:r>
              <w:rPr>
                <w:color w:val="auto"/>
                <w:sz w:val="24"/>
              </w:rPr>
              <w:t>项目名称</w:t>
            </w:r>
          </w:p>
        </w:tc>
        <w:tc>
          <w:tcPr>
            <w:tcW w:w="2528" w:type="dxa"/>
            <w:tcBorders>
              <w:top w:val="double" w:color="000000" w:sz="4" w:space="0"/>
            </w:tcBorders>
            <w:vAlign w:val="center"/>
          </w:tcPr>
          <w:p w14:paraId="67E2A6DC">
            <w:pPr>
              <w:pStyle w:val="55"/>
              <w:spacing w:before="108"/>
              <w:ind w:left="778"/>
              <w:jc w:val="both"/>
              <w:rPr>
                <w:color w:val="auto"/>
                <w:sz w:val="24"/>
              </w:rPr>
            </w:pPr>
            <w:r>
              <w:rPr>
                <w:rFonts w:hint="eastAsia"/>
                <w:color w:val="auto"/>
                <w:sz w:val="24"/>
                <w:lang w:val="en-US" w:eastAsia="zh-CN"/>
              </w:rPr>
              <w:t>供货</w:t>
            </w:r>
            <w:r>
              <w:rPr>
                <w:color w:val="auto"/>
                <w:sz w:val="24"/>
              </w:rPr>
              <w:t>范围</w:t>
            </w:r>
          </w:p>
        </w:tc>
        <w:tc>
          <w:tcPr>
            <w:tcW w:w="2358" w:type="dxa"/>
            <w:tcBorders>
              <w:top w:val="double" w:color="000000" w:sz="4" w:space="0"/>
              <w:right w:val="double" w:color="000000" w:sz="4" w:space="0"/>
            </w:tcBorders>
            <w:vAlign w:val="center"/>
          </w:tcPr>
          <w:p w14:paraId="67870416">
            <w:pPr>
              <w:pStyle w:val="55"/>
              <w:spacing w:before="108"/>
              <w:ind w:left="231"/>
              <w:jc w:val="center"/>
              <w:rPr>
                <w:color w:val="auto"/>
                <w:sz w:val="24"/>
              </w:rPr>
            </w:pPr>
            <w:r>
              <w:rPr>
                <w:color w:val="auto"/>
                <w:sz w:val="24"/>
              </w:rPr>
              <w:t>备注</w:t>
            </w:r>
          </w:p>
        </w:tc>
      </w:tr>
      <w:tr w14:paraId="69757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0726EA9D">
            <w:pPr>
              <w:pStyle w:val="55"/>
              <w:spacing w:before="79"/>
              <w:ind w:left="9"/>
              <w:jc w:val="center"/>
              <w:rPr>
                <w:color w:val="auto"/>
                <w:sz w:val="24"/>
              </w:rPr>
            </w:pPr>
            <w:r>
              <w:rPr>
                <w:color w:val="auto"/>
                <w:sz w:val="24"/>
              </w:rPr>
              <w:t>1</w:t>
            </w:r>
          </w:p>
        </w:tc>
        <w:tc>
          <w:tcPr>
            <w:tcW w:w="4108" w:type="dxa"/>
            <w:vAlign w:val="center"/>
          </w:tcPr>
          <w:p w14:paraId="03D0FDB3">
            <w:pPr>
              <w:pStyle w:val="55"/>
              <w:jc w:val="center"/>
              <w:rPr>
                <w:rFonts w:ascii="Times New Roman"/>
                <w:color w:val="auto"/>
                <w:sz w:val="22"/>
              </w:rPr>
            </w:pPr>
          </w:p>
        </w:tc>
        <w:tc>
          <w:tcPr>
            <w:tcW w:w="2528" w:type="dxa"/>
            <w:vAlign w:val="center"/>
          </w:tcPr>
          <w:p w14:paraId="661EB9C4">
            <w:pPr>
              <w:pStyle w:val="55"/>
              <w:jc w:val="center"/>
              <w:rPr>
                <w:rFonts w:ascii="Times New Roman"/>
                <w:color w:val="auto"/>
                <w:sz w:val="22"/>
              </w:rPr>
            </w:pPr>
          </w:p>
        </w:tc>
        <w:tc>
          <w:tcPr>
            <w:tcW w:w="2358" w:type="dxa"/>
            <w:tcBorders>
              <w:right w:val="double" w:color="000000" w:sz="4" w:space="0"/>
            </w:tcBorders>
            <w:vAlign w:val="center"/>
          </w:tcPr>
          <w:p w14:paraId="64DEC15B">
            <w:pPr>
              <w:pStyle w:val="55"/>
              <w:jc w:val="center"/>
              <w:rPr>
                <w:rFonts w:ascii="Times New Roman"/>
                <w:color w:val="auto"/>
                <w:sz w:val="22"/>
              </w:rPr>
            </w:pPr>
          </w:p>
        </w:tc>
      </w:tr>
      <w:tr w14:paraId="15DFD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1A922DD4">
            <w:pPr>
              <w:pStyle w:val="55"/>
              <w:spacing w:before="79"/>
              <w:ind w:left="9"/>
              <w:jc w:val="center"/>
              <w:rPr>
                <w:color w:val="auto"/>
                <w:sz w:val="24"/>
              </w:rPr>
            </w:pPr>
            <w:r>
              <w:rPr>
                <w:color w:val="auto"/>
                <w:sz w:val="24"/>
              </w:rPr>
              <w:t>2</w:t>
            </w:r>
          </w:p>
        </w:tc>
        <w:tc>
          <w:tcPr>
            <w:tcW w:w="4108" w:type="dxa"/>
            <w:vAlign w:val="center"/>
          </w:tcPr>
          <w:p w14:paraId="27DC0566">
            <w:pPr>
              <w:pStyle w:val="55"/>
              <w:jc w:val="center"/>
              <w:rPr>
                <w:rFonts w:ascii="Times New Roman"/>
                <w:color w:val="auto"/>
                <w:sz w:val="22"/>
              </w:rPr>
            </w:pPr>
          </w:p>
        </w:tc>
        <w:tc>
          <w:tcPr>
            <w:tcW w:w="2528" w:type="dxa"/>
            <w:vAlign w:val="center"/>
          </w:tcPr>
          <w:p w14:paraId="3170C9AC">
            <w:pPr>
              <w:pStyle w:val="55"/>
              <w:jc w:val="center"/>
              <w:rPr>
                <w:rFonts w:ascii="Times New Roman"/>
                <w:color w:val="auto"/>
                <w:sz w:val="22"/>
              </w:rPr>
            </w:pPr>
          </w:p>
        </w:tc>
        <w:tc>
          <w:tcPr>
            <w:tcW w:w="2358" w:type="dxa"/>
            <w:tcBorders>
              <w:right w:val="double" w:color="000000" w:sz="4" w:space="0"/>
            </w:tcBorders>
            <w:vAlign w:val="center"/>
          </w:tcPr>
          <w:p w14:paraId="131BBF08">
            <w:pPr>
              <w:pStyle w:val="55"/>
              <w:jc w:val="center"/>
              <w:rPr>
                <w:rFonts w:ascii="Times New Roman"/>
                <w:color w:val="auto"/>
                <w:sz w:val="22"/>
              </w:rPr>
            </w:pPr>
          </w:p>
        </w:tc>
      </w:tr>
      <w:tr w14:paraId="2E21D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4FAEAF3A">
            <w:pPr>
              <w:pStyle w:val="55"/>
              <w:spacing w:before="79"/>
              <w:ind w:left="9"/>
              <w:jc w:val="center"/>
              <w:rPr>
                <w:color w:val="auto"/>
                <w:sz w:val="24"/>
              </w:rPr>
            </w:pPr>
            <w:r>
              <w:rPr>
                <w:color w:val="auto"/>
                <w:sz w:val="24"/>
              </w:rPr>
              <w:t>3</w:t>
            </w:r>
          </w:p>
        </w:tc>
        <w:tc>
          <w:tcPr>
            <w:tcW w:w="4108" w:type="dxa"/>
            <w:vAlign w:val="center"/>
          </w:tcPr>
          <w:p w14:paraId="76F8730A">
            <w:pPr>
              <w:pStyle w:val="55"/>
              <w:jc w:val="center"/>
              <w:rPr>
                <w:rFonts w:ascii="Times New Roman"/>
                <w:color w:val="auto"/>
                <w:sz w:val="22"/>
              </w:rPr>
            </w:pPr>
          </w:p>
        </w:tc>
        <w:tc>
          <w:tcPr>
            <w:tcW w:w="2528" w:type="dxa"/>
            <w:vAlign w:val="center"/>
          </w:tcPr>
          <w:p w14:paraId="6B926211">
            <w:pPr>
              <w:pStyle w:val="55"/>
              <w:jc w:val="center"/>
              <w:rPr>
                <w:rFonts w:ascii="Times New Roman"/>
                <w:color w:val="auto"/>
                <w:sz w:val="22"/>
              </w:rPr>
            </w:pPr>
          </w:p>
        </w:tc>
        <w:tc>
          <w:tcPr>
            <w:tcW w:w="2358" w:type="dxa"/>
            <w:tcBorders>
              <w:right w:val="double" w:color="000000" w:sz="4" w:space="0"/>
            </w:tcBorders>
            <w:vAlign w:val="center"/>
          </w:tcPr>
          <w:p w14:paraId="2F8B9E36">
            <w:pPr>
              <w:pStyle w:val="55"/>
              <w:jc w:val="center"/>
              <w:rPr>
                <w:rFonts w:ascii="Times New Roman"/>
                <w:color w:val="auto"/>
                <w:sz w:val="22"/>
              </w:rPr>
            </w:pPr>
          </w:p>
        </w:tc>
      </w:tr>
      <w:tr w14:paraId="3B216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365C8335">
            <w:pPr>
              <w:pStyle w:val="55"/>
              <w:spacing w:before="79"/>
              <w:ind w:left="9"/>
              <w:jc w:val="center"/>
              <w:rPr>
                <w:color w:val="auto"/>
                <w:sz w:val="24"/>
              </w:rPr>
            </w:pPr>
            <w:r>
              <w:rPr>
                <w:color w:val="auto"/>
                <w:sz w:val="24"/>
              </w:rPr>
              <w:t>4</w:t>
            </w:r>
          </w:p>
        </w:tc>
        <w:tc>
          <w:tcPr>
            <w:tcW w:w="4108" w:type="dxa"/>
            <w:vAlign w:val="center"/>
          </w:tcPr>
          <w:p w14:paraId="1561CD44">
            <w:pPr>
              <w:pStyle w:val="55"/>
              <w:jc w:val="center"/>
              <w:rPr>
                <w:rFonts w:ascii="Times New Roman"/>
                <w:color w:val="auto"/>
                <w:sz w:val="22"/>
              </w:rPr>
            </w:pPr>
          </w:p>
        </w:tc>
        <w:tc>
          <w:tcPr>
            <w:tcW w:w="2528" w:type="dxa"/>
            <w:vAlign w:val="center"/>
          </w:tcPr>
          <w:p w14:paraId="28516FFA">
            <w:pPr>
              <w:pStyle w:val="55"/>
              <w:jc w:val="center"/>
              <w:rPr>
                <w:rFonts w:ascii="Times New Roman"/>
                <w:color w:val="auto"/>
                <w:sz w:val="22"/>
              </w:rPr>
            </w:pPr>
          </w:p>
        </w:tc>
        <w:tc>
          <w:tcPr>
            <w:tcW w:w="2358" w:type="dxa"/>
            <w:tcBorders>
              <w:right w:val="double" w:color="000000" w:sz="4" w:space="0"/>
            </w:tcBorders>
            <w:vAlign w:val="center"/>
          </w:tcPr>
          <w:p w14:paraId="0C286BEF">
            <w:pPr>
              <w:pStyle w:val="55"/>
              <w:jc w:val="center"/>
              <w:rPr>
                <w:rFonts w:ascii="Times New Roman"/>
                <w:color w:val="auto"/>
                <w:sz w:val="22"/>
              </w:rPr>
            </w:pPr>
          </w:p>
        </w:tc>
      </w:tr>
      <w:tr w14:paraId="18179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31" w:type="dxa"/>
            <w:tcBorders>
              <w:left w:val="double" w:color="000000" w:sz="4" w:space="0"/>
            </w:tcBorders>
            <w:vAlign w:val="center"/>
          </w:tcPr>
          <w:p w14:paraId="5941B121">
            <w:pPr>
              <w:pStyle w:val="55"/>
              <w:spacing w:before="81"/>
              <w:ind w:left="9"/>
              <w:jc w:val="center"/>
              <w:rPr>
                <w:color w:val="auto"/>
                <w:sz w:val="24"/>
              </w:rPr>
            </w:pPr>
            <w:r>
              <w:rPr>
                <w:color w:val="auto"/>
                <w:sz w:val="24"/>
              </w:rPr>
              <w:t>5</w:t>
            </w:r>
          </w:p>
        </w:tc>
        <w:tc>
          <w:tcPr>
            <w:tcW w:w="4108" w:type="dxa"/>
            <w:vAlign w:val="center"/>
          </w:tcPr>
          <w:p w14:paraId="1F2ED122">
            <w:pPr>
              <w:pStyle w:val="55"/>
              <w:jc w:val="center"/>
              <w:rPr>
                <w:rFonts w:ascii="Times New Roman"/>
                <w:color w:val="auto"/>
                <w:sz w:val="22"/>
              </w:rPr>
            </w:pPr>
          </w:p>
        </w:tc>
        <w:tc>
          <w:tcPr>
            <w:tcW w:w="2528" w:type="dxa"/>
            <w:vAlign w:val="center"/>
          </w:tcPr>
          <w:p w14:paraId="70B726C2">
            <w:pPr>
              <w:pStyle w:val="55"/>
              <w:jc w:val="center"/>
              <w:rPr>
                <w:rFonts w:ascii="Times New Roman"/>
                <w:color w:val="auto"/>
                <w:sz w:val="22"/>
              </w:rPr>
            </w:pPr>
          </w:p>
        </w:tc>
        <w:tc>
          <w:tcPr>
            <w:tcW w:w="2358" w:type="dxa"/>
            <w:tcBorders>
              <w:right w:val="double" w:color="000000" w:sz="4" w:space="0"/>
            </w:tcBorders>
            <w:vAlign w:val="center"/>
          </w:tcPr>
          <w:p w14:paraId="3240688E">
            <w:pPr>
              <w:pStyle w:val="55"/>
              <w:jc w:val="center"/>
              <w:rPr>
                <w:rFonts w:ascii="Times New Roman"/>
                <w:color w:val="auto"/>
                <w:sz w:val="22"/>
              </w:rPr>
            </w:pPr>
          </w:p>
        </w:tc>
      </w:tr>
      <w:tr w14:paraId="73A11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bottom w:val="double" w:color="000000" w:sz="4" w:space="0"/>
            </w:tcBorders>
            <w:vAlign w:val="center"/>
          </w:tcPr>
          <w:p w14:paraId="3620AB23">
            <w:pPr>
              <w:pStyle w:val="55"/>
              <w:spacing w:before="79"/>
              <w:ind w:left="210" w:right="201"/>
              <w:jc w:val="center"/>
              <w:rPr>
                <w:color w:val="auto"/>
                <w:sz w:val="24"/>
              </w:rPr>
            </w:pPr>
            <w:r>
              <w:rPr>
                <w:rFonts w:ascii="Arial" w:hAnsi="Arial" w:cs="Arial"/>
                <w:color w:val="auto"/>
                <w:sz w:val="24"/>
              </w:rPr>
              <w:t>…</w:t>
            </w:r>
          </w:p>
        </w:tc>
        <w:tc>
          <w:tcPr>
            <w:tcW w:w="4108" w:type="dxa"/>
            <w:tcBorders>
              <w:bottom w:val="double" w:color="000000" w:sz="4" w:space="0"/>
            </w:tcBorders>
            <w:vAlign w:val="center"/>
          </w:tcPr>
          <w:p w14:paraId="61EBC23A">
            <w:pPr>
              <w:pStyle w:val="55"/>
              <w:jc w:val="center"/>
              <w:rPr>
                <w:rFonts w:ascii="Times New Roman"/>
                <w:color w:val="auto"/>
                <w:sz w:val="22"/>
              </w:rPr>
            </w:pPr>
          </w:p>
        </w:tc>
        <w:tc>
          <w:tcPr>
            <w:tcW w:w="2528" w:type="dxa"/>
            <w:tcBorders>
              <w:bottom w:val="double" w:color="000000" w:sz="4" w:space="0"/>
            </w:tcBorders>
            <w:vAlign w:val="center"/>
          </w:tcPr>
          <w:p w14:paraId="752E804E">
            <w:pPr>
              <w:pStyle w:val="55"/>
              <w:jc w:val="center"/>
              <w:rPr>
                <w:rFonts w:ascii="Times New Roman"/>
                <w:color w:val="auto"/>
                <w:sz w:val="22"/>
              </w:rPr>
            </w:pPr>
          </w:p>
        </w:tc>
        <w:tc>
          <w:tcPr>
            <w:tcW w:w="2358" w:type="dxa"/>
            <w:tcBorders>
              <w:bottom w:val="double" w:color="000000" w:sz="4" w:space="0"/>
              <w:right w:val="double" w:color="000000" w:sz="4" w:space="0"/>
            </w:tcBorders>
            <w:vAlign w:val="center"/>
          </w:tcPr>
          <w:p w14:paraId="2B871FA0">
            <w:pPr>
              <w:pStyle w:val="55"/>
              <w:jc w:val="center"/>
              <w:rPr>
                <w:rFonts w:ascii="Times New Roman"/>
                <w:color w:val="auto"/>
                <w:sz w:val="22"/>
              </w:rPr>
            </w:pPr>
          </w:p>
        </w:tc>
      </w:tr>
    </w:tbl>
    <w:tbl>
      <w:tblPr>
        <w:tblStyle w:val="33"/>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17DA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7FA37AB4">
            <w:pPr>
              <w:pStyle w:val="42"/>
              <w:spacing w:beforeLines="0" w:line="240" w:lineRule="auto"/>
              <w:ind w:firstLine="0" w:firstLineChars="0"/>
              <w:jc w:val="distribute"/>
              <w:rPr>
                <w:color w:val="auto"/>
              </w:rPr>
            </w:pPr>
            <w:r>
              <w:rPr>
                <w:rFonts w:hint="eastAsia"/>
                <w:bCs/>
                <w:color w:val="auto"/>
              </w:rPr>
              <w:t>投标人名称（单位盖章）：</w:t>
            </w:r>
          </w:p>
        </w:tc>
        <w:tc>
          <w:tcPr>
            <w:tcW w:w="5913" w:type="dxa"/>
            <w:gridSpan w:val="3"/>
            <w:tcBorders>
              <w:top w:val="nil"/>
              <w:left w:val="nil"/>
              <w:bottom w:val="nil"/>
              <w:right w:val="nil"/>
            </w:tcBorders>
            <w:vAlign w:val="center"/>
          </w:tcPr>
          <w:p w14:paraId="25439870">
            <w:pPr>
              <w:pStyle w:val="42"/>
              <w:spacing w:before="120" w:line="540" w:lineRule="exact"/>
              <w:ind w:firstLine="480"/>
              <w:jc w:val="center"/>
              <w:rPr>
                <w:color w:val="auto"/>
              </w:rPr>
            </w:pPr>
          </w:p>
        </w:tc>
      </w:tr>
      <w:tr w14:paraId="5E08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52294679">
            <w:pPr>
              <w:pStyle w:val="42"/>
              <w:spacing w:before="120" w:line="540" w:lineRule="exact"/>
              <w:ind w:firstLine="0" w:firstLineChars="0"/>
              <w:rPr>
                <w:color w:val="auto"/>
              </w:rPr>
            </w:pPr>
          </w:p>
        </w:tc>
        <w:tc>
          <w:tcPr>
            <w:tcW w:w="2151" w:type="dxa"/>
            <w:tcBorders>
              <w:top w:val="nil"/>
              <w:left w:val="nil"/>
              <w:bottom w:val="nil"/>
              <w:right w:val="nil"/>
            </w:tcBorders>
            <w:vAlign w:val="center"/>
          </w:tcPr>
          <w:p w14:paraId="055070CF">
            <w:pPr>
              <w:pStyle w:val="42"/>
              <w:spacing w:before="120" w:line="540" w:lineRule="exact"/>
              <w:ind w:firstLine="0" w:firstLineChars="0"/>
              <w:jc w:val="center"/>
              <w:rPr>
                <w:color w:val="auto"/>
              </w:rPr>
            </w:pPr>
          </w:p>
        </w:tc>
        <w:tc>
          <w:tcPr>
            <w:tcW w:w="1180" w:type="dxa"/>
            <w:tcBorders>
              <w:top w:val="nil"/>
              <w:left w:val="nil"/>
              <w:bottom w:val="nil"/>
              <w:right w:val="nil"/>
            </w:tcBorders>
            <w:vAlign w:val="center"/>
          </w:tcPr>
          <w:p w14:paraId="39562DDD">
            <w:pPr>
              <w:pStyle w:val="42"/>
              <w:spacing w:beforeLines="0" w:line="240" w:lineRule="auto"/>
              <w:ind w:firstLine="0" w:firstLineChars="0"/>
              <w:jc w:val="distribute"/>
              <w:rPr>
                <w:color w:val="auto"/>
              </w:rPr>
            </w:pPr>
            <w:r>
              <w:rPr>
                <w:rFonts w:hint="eastAsia"/>
                <w:color w:val="auto"/>
              </w:rPr>
              <w:t>日   期：</w:t>
            </w:r>
          </w:p>
        </w:tc>
        <w:tc>
          <w:tcPr>
            <w:tcW w:w="2582" w:type="dxa"/>
            <w:tcBorders>
              <w:top w:val="nil"/>
              <w:left w:val="nil"/>
              <w:bottom w:val="nil"/>
              <w:right w:val="nil"/>
            </w:tcBorders>
            <w:vAlign w:val="center"/>
          </w:tcPr>
          <w:p w14:paraId="723F6DFF">
            <w:pPr>
              <w:pStyle w:val="42"/>
              <w:spacing w:beforeLines="0" w:line="240" w:lineRule="auto"/>
              <w:ind w:firstLine="0" w:firstLineChars="0"/>
              <w:jc w:val="right"/>
              <w:rPr>
                <w:color w:val="auto"/>
              </w:rPr>
            </w:pPr>
            <w:r>
              <w:rPr>
                <w:rFonts w:hint="eastAsia"/>
                <w:color w:val="auto"/>
              </w:rPr>
              <w:t>年   月   日</w:t>
            </w:r>
          </w:p>
        </w:tc>
      </w:tr>
    </w:tbl>
    <w:p w14:paraId="054D8476">
      <w:pPr>
        <w:pStyle w:val="42"/>
        <w:spacing w:before="120"/>
        <w:ind w:firstLine="480"/>
        <w:rPr>
          <w:color w:val="auto"/>
        </w:rPr>
      </w:pPr>
    </w:p>
    <w:p w14:paraId="6211C2C6">
      <w:pPr>
        <w:pStyle w:val="42"/>
        <w:spacing w:before="120"/>
        <w:ind w:left="0" w:leftChars="0" w:firstLine="0" w:firstLineChars="0"/>
        <w:rPr>
          <w:color w:val="auto"/>
        </w:rPr>
      </w:pPr>
    </w:p>
    <w:p w14:paraId="54BBAC55">
      <w:pPr>
        <w:pStyle w:val="42"/>
        <w:spacing w:before="120"/>
        <w:ind w:firstLine="480"/>
        <w:rPr>
          <w:color w:val="auto"/>
        </w:rPr>
      </w:pPr>
      <w:r>
        <w:rPr>
          <w:color w:val="auto"/>
        </w:rPr>
        <w:t>备注：</w:t>
      </w:r>
      <w:r>
        <w:rPr>
          <w:rFonts w:hint="eastAsia"/>
          <w:color w:val="auto"/>
        </w:rPr>
        <w:t>1.</w:t>
      </w:r>
      <w:r>
        <w:rPr>
          <w:color w:val="auto"/>
        </w:rPr>
        <w:t>表中所列业绩应为投标人满足招标文件要求的业绩；</w:t>
      </w:r>
      <w:r>
        <w:rPr>
          <w:rFonts w:hint="eastAsia"/>
          <w:color w:val="auto"/>
        </w:rPr>
        <w:t>2.</w:t>
      </w:r>
      <w:r>
        <w:rPr>
          <w:color w:val="auto"/>
        </w:rPr>
        <w:t>中标人提供的以上业绩情况，如招标文件《投标人须知前附表》有约定的，将按约定随评审结果公告</w:t>
      </w:r>
      <w:r>
        <w:rPr>
          <w:rFonts w:hint="eastAsia"/>
          <w:color w:val="auto"/>
        </w:rPr>
        <w:t>。</w:t>
      </w:r>
    </w:p>
    <w:p w14:paraId="05141927">
      <w:pPr>
        <w:pStyle w:val="42"/>
        <w:spacing w:before="120"/>
        <w:ind w:firstLine="480"/>
        <w:rPr>
          <w:color w:val="auto"/>
        </w:rPr>
      </w:pPr>
    </w:p>
    <w:p w14:paraId="5CE5D040">
      <w:pPr>
        <w:rPr>
          <w:rStyle w:val="43"/>
          <w:bCs/>
          <w:color w:val="auto"/>
        </w:rPr>
      </w:pPr>
      <w:r>
        <w:rPr>
          <w:rStyle w:val="43"/>
          <w:rFonts w:hint="eastAsia"/>
          <w:bCs/>
          <w:color w:val="auto"/>
        </w:rPr>
        <w:br w:type="page"/>
      </w:r>
    </w:p>
    <w:p w14:paraId="6C7DDE01">
      <w:pPr>
        <w:pStyle w:val="4"/>
        <w:pageBreakBefore w:val="0"/>
        <w:widowControl w:val="0"/>
        <w:kinsoku/>
        <w:wordWrap/>
        <w:overflowPunct/>
        <w:topLinePunct w:val="0"/>
        <w:autoSpaceDE/>
        <w:autoSpaceDN/>
        <w:bidi w:val="0"/>
        <w:spacing w:line="400" w:lineRule="exact"/>
        <w:jc w:val="center"/>
        <w:textAlignment w:val="auto"/>
        <w:rPr>
          <w:rFonts w:hint="eastAsia" w:ascii="Times New Roman" w:hAnsi="Times New Roman" w:eastAsia="宋体" w:cs="Times New Roman"/>
          <w:color w:val="auto"/>
          <w:lang w:val="en-US" w:eastAsia="zh-CN"/>
        </w:rPr>
      </w:pPr>
      <w:bookmarkStart w:id="129" w:name="_Toc4255"/>
      <w:bookmarkStart w:id="130" w:name="_Toc11861"/>
      <w:bookmarkStart w:id="131" w:name="_Toc5398"/>
      <w:r>
        <w:rPr>
          <w:rFonts w:hint="eastAsia" w:ascii="Times New Roman" w:hAnsi="Times New Roman" w:eastAsia="宋体" w:cs="Times New Roman"/>
          <w:color w:val="auto"/>
          <w:lang w:val="en-US" w:eastAsia="zh-CN"/>
        </w:rPr>
        <w:t>八、公开竞价承诺函</w:t>
      </w:r>
      <w:bookmarkEnd w:id="129"/>
    </w:p>
    <w:p w14:paraId="0A08BF9A">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left="0" w:leftChars="0" w:firstLine="0" w:firstLineChars="0"/>
        <w:textAlignment w:val="auto"/>
        <w:rPr>
          <w:rFonts w:ascii="Times New Roman" w:hAnsi="Times New Roman" w:eastAsia="宋体" w:cs="Times New Roman"/>
          <w:color w:val="auto"/>
        </w:rPr>
      </w:pPr>
      <w:r>
        <w:rPr>
          <w:rFonts w:hint="eastAsia" w:ascii="Times New Roman" w:hAnsi="Times New Roman" w:eastAsia="宋体" w:cs="Times New Roman"/>
          <w:color w:val="auto"/>
        </w:rPr>
        <w:t>张家界市公共资源交易中心：</w:t>
      </w:r>
    </w:p>
    <w:p w14:paraId="00CB3678">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 xml:space="preserve">本单位已详细阅读贵单位 </w:t>
      </w:r>
      <w:r>
        <w:rPr>
          <w:rFonts w:hint="eastAsia" w:ascii="Times New Roman" w:hAnsi="Times New Roman" w:eastAsia="宋体" w:cs="Times New Roman"/>
          <w:color w:val="auto"/>
          <w:u w:val="single"/>
        </w:rPr>
        <w:t xml:space="preserve">                 </w:t>
      </w:r>
      <w:r>
        <w:rPr>
          <w:rFonts w:hint="eastAsia" w:ascii="Times New Roman" w:hAnsi="Times New Roman" w:eastAsia="宋体" w:cs="Times New Roman"/>
          <w:color w:val="auto"/>
        </w:rPr>
        <w:t>的竞价文件，现就参加本项目公开竞价有关事项郑重承诺如下：</w:t>
      </w:r>
    </w:p>
    <w:p w14:paraId="01D1A0C4">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一、参与本项目公开竞价活动系本公司自愿行为。</w:t>
      </w:r>
    </w:p>
    <w:p w14:paraId="16E406B3">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二、遵守国家、省、市有关公共资源交易的法律、规章及规范性文件。</w:t>
      </w:r>
    </w:p>
    <w:p w14:paraId="0C88FC7A">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三、遵守张家界市公共资源交易中心各项交易管理制度和交易现场纪律，服从现场工作人员管理，自觉维护张家界市公共资源交易平台秩序。</w:t>
      </w:r>
    </w:p>
    <w:p w14:paraId="684FB05C">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四、竞价响应文件内容及资料无弄虚作假。</w:t>
      </w:r>
    </w:p>
    <w:p w14:paraId="0A494EB5">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五、保证没有组织、参与围标、串标行为。</w:t>
      </w:r>
    </w:p>
    <w:p w14:paraId="717E965B">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六、不与委托人或者评标委员会成员私下联络和串通以牟取竞价成交；不以他人名义竞价或者以其他方式弄虚作假骗取成交；不在竞价后进行虚假、恶意质疑和投诉。</w:t>
      </w:r>
    </w:p>
    <w:p w14:paraId="5463A54C">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七、自觉接受监督，承诺所投软硬件产品是真实响应，满足竞价文件中对产品技术参数功能要求，不存在“以次充好、虚假应标”等违规竞价行为，如有不诚信的竞价行为，做无效响应处理。委托人会将竞价人的虚假响应行为报相关职能部门依法依规处理。</w:t>
      </w:r>
    </w:p>
    <w:p w14:paraId="6EA89F51">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八、理性竞价，保证最终报价不低于成本价。若成交，将按照竞价文件规定及时向委托人提交履约担保金并与委托人签订合同；若在规定的时间内不提交履约担保金或不签订合同的，委托人可没收我方的竞价保证金和履约担保金，并可重新确定其他符合规定的竞价人或重新组织竞价活动；双方签订合同后，我方严格履行合同条款内容，按时保质保量完成项目建设，不向委托人提出加价或降低建设标准、减少建设项目数量等无理和违约要求。</w:t>
      </w:r>
    </w:p>
    <w:p w14:paraId="05AC2913">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rFonts w:ascii="Times New Roman" w:hAnsi="Times New Roman" w:eastAsia="宋体" w:cs="Times New Roman"/>
          <w:color w:val="auto"/>
        </w:rPr>
      </w:pPr>
      <w:r>
        <w:rPr>
          <w:rFonts w:hint="eastAsia" w:ascii="Times New Roman" w:hAnsi="Times New Roman" w:eastAsia="宋体" w:cs="Times New Roman"/>
          <w:color w:val="auto"/>
        </w:rPr>
        <w:t>九、如有违反本承诺书内容的行为，愿意承担由此产生的法律责任及后果。</w:t>
      </w:r>
    </w:p>
    <w:p w14:paraId="4359B366">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color w:val="auto"/>
          <w:spacing w:val="-17"/>
          <w:sz w:val="24"/>
          <w:szCs w:val="21"/>
        </w:rPr>
      </w:pPr>
      <w:r>
        <w:rPr>
          <w:rFonts w:hint="eastAsia"/>
          <w:color w:val="auto"/>
          <w:spacing w:val="-17"/>
          <w:sz w:val="24"/>
          <w:szCs w:val="21"/>
        </w:rPr>
        <w:t xml:space="preserve">竞价人名称：（公章）               </w:t>
      </w:r>
    </w:p>
    <w:p w14:paraId="0C9ED565">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color w:val="auto"/>
          <w:spacing w:val="-17"/>
          <w:sz w:val="24"/>
          <w:szCs w:val="21"/>
        </w:rPr>
      </w:pPr>
      <w:r>
        <w:rPr>
          <w:rFonts w:hint="eastAsia"/>
          <w:color w:val="auto"/>
          <w:spacing w:val="-17"/>
          <w:sz w:val="24"/>
          <w:szCs w:val="21"/>
        </w:rPr>
        <w:t>法定代表人或其委托代理人：（签字必须为亲笔签名或盖印鉴）</w:t>
      </w:r>
    </w:p>
    <w:p w14:paraId="09B86BD5">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color w:val="auto"/>
          <w:spacing w:val="-17"/>
          <w:sz w:val="24"/>
          <w:szCs w:val="21"/>
        </w:rPr>
      </w:pPr>
      <w:r>
        <w:rPr>
          <w:rFonts w:hint="eastAsia"/>
          <w:color w:val="auto"/>
          <w:spacing w:val="-17"/>
          <w:sz w:val="24"/>
          <w:szCs w:val="21"/>
        </w:rPr>
        <w:t>联系地址：　　　　　　　　　　　</w:t>
      </w:r>
    </w:p>
    <w:p w14:paraId="6725992A">
      <w:pPr>
        <w:pStyle w:val="42"/>
        <w:keepNext w:val="0"/>
        <w:keepLines w:val="0"/>
        <w:pageBreakBefore w:val="0"/>
        <w:widowControl w:val="0"/>
        <w:kinsoku/>
        <w:wordWrap/>
        <w:overflowPunct/>
        <w:topLinePunct w:val="0"/>
        <w:autoSpaceDE/>
        <w:autoSpaceDN/>
        <w:bidi w:val="0"/>
        <w:adjustRightInd w:val="0"/>
        <w:snapToGrid w:val="0"/>
        <w:spacing w:before="0" w:beforeLines="0" w:line="480" w:lineRule="exact"/>
        <w:ind w:firstLine="480"/>
        <w:textAlignment w:val="auto"/>
        <w:rPr>
          <w:color w:val="auto"/>
          <w:spacing w:val="-17"/>
          <w:sz w:val="24"/>
          <w:szCs w:val="21"/>
        </w:rPr>
      </w:pPr>
      <w:r>
        <w:rPr>
          <w:rFonts w:hint="eastAsia"/>
          <w:color w:val="auto"/>
          <w:spacing w:val="-17"/>
          <w:sz w:val="24"/>
          <w:szCs w:val="21"/>
        </w:rPr>
        <w:t>联系人：　　　　　　　　　　　　电话：</w:t>
      </w:r>
    </w:p>
    <w:p w14:paraId="69F8786D">
      <w:pPr>
        <w:pStyle w:val="42"/>
        <w:keepNext w:val="0"/>
        <w:keepLines w:val="0"/>
        <w:pageBreakBefore w:val="0"/>
        <w:widowControl w:val="0"/>
        <w:kinsoku/>
        <w:wordWrap/>
        <w:overflowPunct/>
        <w:topLinePunct w:val="0"/>
        <w:autoSpaceDE/>
        <w:autoSpaceDN/>
        <w:bidi w:val="0"/>
        <w:adjustRightInd w:val="0"/>
        <w:snapToGrid w:val="0"/>
        <w:spacing w:before="156" w:line="480" w:lineRule="exact"/>
        <w:ind w:firstLine="480"/>
        <w:textAlignment w:val="auto"/>
        <w:rPr>
          <w:color w:val="auto"/>
        </w:rPr>
      </w:pPr>
      <w:r>
        <w:rPr>
          <w:rFonts w:hint="eastAsia"/>
          <w:color w:val="auto"/>
        </w:rPr>
        <w:t>　　　　　　　　　　　　　　　                                年　  月　 日</w:t>
      </w:r>
    </w:p>
    <w:p w14:paraId="2037D4F8">
      <w:pPr>
        <w:pStyle w:val="12"/>
        <w:tabs>
          <w:tab w:val="left" w:pos="0"/>
        </w:tabs>
        <w:rPr>
          <w:color w:val="auto"/>
        </w:rPr>
        <w:sectPr>
          <w:pgSz w:w="11906" w:h="16838"/>
          <w:pgMar w:top="1230" w:right="1003" w:bottom="1174" w:left="1003" w:header="850" w:footer="992" w:gutter="0"/>
          <w:cols w:space="0" w:num="1"/>
          <w:docGrid w:type="lines" w:linePitch="312" w:charSpace="0"/>
        </w:sectPr>
      </w:pPr>
      <w:r>
        <w:rPr>
          <w:rFonts w:hint="eastAsia"/>
          <w:color w:val="auto"/>
        </w:rPr>
        <w:t>注：此《公开竞价承诺书》由竞价人的法定代表人亲笔签署或盖印鉴，并加盖单位公章，编入响应文件中，否则，视为无效响应。</w:t>
      </w:r>
    </w:p>
    <w:p w14:paraId="66FC2C08">
      <w:pPr>
        <w:pStyle w:val="4"/>
        <w:rPr>
          <w:color w:val="auto"/>
        </w:rPr>
      </w:pPr>
      <w:r>
        <w:rPr>
          <w:rFonts w:hint="eastAsia"/>
          <w:color w:val="auto"/>
          <w:lang w:eastAsia="zh-CN"/>
        </w:rPr>
        <w:t>九、</w:t>
      </w:r>
      <w:r>
        <w:rPr>
          <w:rFonts w:hint="eastAsia"/>
          <w:color w:val="auto"/>
        </w:rPr>
        <w:t>其他相关证明材料</w:t>
      </w:r>
      <w:bookmarkEnd w:id="130"/>
      <w:bookmarkEnd w:id="131"/>
    </w:p>
    <w:p w14:paraId="79A4A65A">
      <w:pPr>
        <w:pStyle w:val="42"/>
        <w:spacing w:before="156"/>
        <w:ind w:firstLine="480"/>
        <w:rPr>
          <w:color w:val="auto"/>
          <w:highlight w:val="none"/>
        </w:rPr>
      </w:pPr>
      <w:r>
        <w:rPr>
          <w:rFonts w:hint="eastAsia"/>
          <w:color w:val="auto"/>
        </w:rPr>
        <w:t>提供符合招标公告、采购需求及评标方法和标准规定的相关证明文件。</w:t>
      </w:r>
      <w:r>
        <w:rPr>
          <w:rFonts w:hint="eastAsia"/>
          <w:color w:val="auto"/>
          <w:highlight w:val="none"/>
        </w:rPr>
        <w:t>（如产品彩页、证书、检测报告、产品图片等）</w:t>
      </w:r>
    </w:p>
    <w:p w14:paraId="60D1C7CD">
      <w:pPr>
        <w:pStyle w:val="42"/>
        <w:spacing w:before="156"/>
        <w:ind w:firstLine="0" w:firstLineChars="0"/>
        <w:jc w:val="center"/>
        <w:rPr>
          <w:color w:val="auto"/>
          <w:highlight w:val="none"/>
        </w:rPr>
      </w:pPr>
      <w:r>
        <w:rPr>
          <w:rFonts w:hint="eastAsia"/>
          <w:color w:val="auto"/>
          <w:highlight w:val="none"/>
        </w:rPr>
        <w:t>（投标人可自行制作格式）</w:t>
      </w:r>
    </w:p>
    <w:p w14:paraId="7C3E3CBD">
      <w:pPr>
        <w:pStyle w:val="42"/>
        <w:spacing w:before="120"/>
        <w:ind w:firstLine="480"/>
        <w:rPr>
          <w:color w:val="auto"/>
        </w:rPr>
      </w:pPr>
    </w:p>
    <w:p w14:paraId="5A7612C7">
      <w:pPr>
        <w:pStyle w:val="42"/>
        <w:spacing w:before="120"/>
        <w:ind w:firstLine="480"/>
        <w:rPr>
          <w:color w:val="auto"/>
        </w:rPr>
      </w:pPr>
    </w:p>
    <w:p w14:paraId="616BDA67">
      <w:pPr>
        <w:pStyle w:val="6"/>
        <w:ind w:firstLine="480"/>
        <w:rPr>
          <w:color w:val="auto"/>
          <w:highlight w:val="none"/>
        </w:rPr>
      </w:pPr>
      <w:r>
        <w:rPr>
          <w:color w:val="auto"/>
        </w:rPr>
        <w:br w:type="page"/>
      </w:r>
      <w:r>
        <w:rPr>
          <w:rFonts w:hint="eastAsia"/>
          <w:color w:val="auto"/>
          <w:highlight w:val="none"/>
        </w:rPr>
        <w:t>附件</w:t>
      </w:r>
      <w:r>
        <w:rPr>
          <w:rFonts w:hint="eastAsia"/>
          <w:color w:val="auto"/>
          <w:highlight w:val="none"/>
          <w:lang w:val="en-US" w:eastAsia="zh-CN"/>
        </w:rPr>
        <w:t>9</w:t>
      </w:r>
      <w:r>
        <w:rPr>
          <w:color w:val="auto"/>
          <w:highlight w:val="none"/>
        </w:rPr>
        <w:t>-1</w:t>
      </w:r>
      <w:r>
        <w:rPr>
          <w:rFonts w:hint="eastAsia"/>
          <w:color w:val="auto"/>
          <w:highlight w:val="none"/>
        </w:rPr>
        <w:t>所投货物的技术资料或样本等</w:t>
      </w:r>
    </w:p>
    <w:p w14:paraId="0183CAF2">
      <w:pPr>
        <w:pStyle w:val="42"/>
        <w:spacing w:before="156"/>
        <w:ind w:firstLine="0" w:firstLineChars="0"/>
        <w:jc w:val="center"/>
        <w:rPr>
          <w:rFonts w:ascii="宋体" w:hAnsi="宋体" w:cs="宋体"/>
          <w:color w:val="auto"/>
          <w:sz w:val="32"/>
          <w:szCs w:val="28"/>
          <w:highlight w:val="none"/>
        </w:rPr>
      </w:pPr>
      <w:r>
        <w:rPr>
          <w:rFonts w:hint="eastAsia" w:ascii="宋体" w:hAnsi="宋体" w:cs="宋体"/>
          <w:color w:val="auto"/>
          <w:sz w:val="32"/>
          <w:szCs w:val="28"/>
          <w:highlight w:val="none"/>
        </w:rPr>
        <w:t>所投货物的技术资料或样本等</w:t>
      </w:r>
    </w:p>
    <w:p w14:paraId="142A6CD4">
      <w:pPr>
        <w:pStyle w:val="42"/>
        <w:spacing w:before="156"/>
        <w:ind w:firstLine="480"/>
        <w:rPr>
          <w:color w:val="auto"/>
          <w:highlight w:val="none"/>
        </w:rPr>
      </w:pPr>
    </w:p>
    <w:p w14:paraId="580F5878">
      <w:pPr>
        <w:pStyle w:val="42"/>
        <w:spacing w:before="156"/>
        <w:ind w:firstLine="0" w:firstLineChars="0"/>
        <w:jc w:val="center"/>
        <w:rPr>
          <w:color w:val="auto"/>
          <w:highlight w:val="none"/>
        </w:rPr>
      </w:pPr>
      <w:r>
        <w:rPr>
          <w:rFonts w:hint="eastAsia"/>
          <w:color w:val="auto"/>
          <w:highlight w:val="none"/>
        </w:rPr>
        <w:t>（投标供应商可自行制作格式，可附产品技术彩页）</w:t>
      </w:r>
    </w:p>
    <w:p w14:paraId="69A3EDCF">
      <w:pPr>
        <w:pStyle w:val="42"/>
        <w:spacing w:before="156"/>
        <w:ind w:firstLine="640"/>
        <w:jc w:val="center"/>
        <w:rPr>
          <w:rFonts w:ascii="方正小标宋_GBK" w:hAnsi="方正小标宋_GBK" w:eastAsia="方正小标宋_GBK" w:cs="方正小标宋_GBK"/>
          <w:color w:val="auto"/>
          <w:sz w:val="32"/>
          <w:szCs w:val="28"/>
          <w:highlight w:val="none"/>
        </w:rPr>
      </w:pPr>
    </w:p>
    <w:p w14:paraId="42D1BA5A">
      <w:pPr>
        <w:pStyle w:val="42"/>
        <w:spacing w:before="156"/>
        <w:ind w:firstLine="640"/>
        <w:jc w:val="center"/>
        <w:rPr>
          <w:rFonts w:ascii="方正小标宋_GBK" w:hAnsi="方正小标宋_GBK" w:eastAsia="方正小标宋_GBK" w:cs="方正小标宋_GBK"/>
          <w:color w:val="auto"/>
          <w:sz w:val="32"/>
          <w:szCs w:val="28"/>
          <w:highlight w:val="none"/>
        </w:rPr>
      </w:pPr>
    </w:p>
    <w:p w14:paraId="6C01A6A6">
      <w:pPr>
        <w:pStyle w:val="42"/>
        <w:spacing w:before="156"/>
        <w:ind w:firstLine="640"/>
        <w:jc w:val="center"/>
        <w:rPr>
          <w:rFonts w:ascii="方正小标宋_GBK" w:hAnsi="方正小标宋_GBK" w:eastAsia="方正小标宋_GBK" w:cs="方正小标宋_GBK"/>
          <w:color w:val="auto"/>
          <w:sz w:val="32"/>
          <w:szCs w:val="28"/>
          <w:highlight w:val="none"/>
        </w:rPr>
      </w:pPr>
    </w:p>
    <w:p w14:paraId="758E4C4D">
      <w:pPr>
        <w:pStyle w:val="42"/>
        <w:spacing w:before="156"/>
        <w:ind w:firstLine="640"/>
        <w:jc w:val="center"/>
        <w:rPr>
          <w:rFonts w:ascii="方正小标宋_GBK" w:hAnsi="方正小标宋_GBK" w:eastAsia="方正小标宋_GBK" w:cs="方正小标宋_GBK"/>
          <w:color w:val="auto"/>
          <w:sz w:val="32"/>
          <w:szCs w:val="28"/>
          <w:highlight w:val="none"/>
        </w:rPr>
      </w:pPr>
    </w:p>
    <w:p w14:paraId="533FE943">
      <w:pPr>
        <w:pStyle w:val="42"/>
        <w:spacing w:before="156"/>
        <w:ind w:firstLine="640"/>
        <w:jc w:val="center"/>
        <w:rPr>
          <w:rFonts w:ascii="方正小标宋_GBK" w:hAnsi="方正小标宋_GBK" w:eastAsia="方正小标宋_GBK" w:cs="方正小标宋_GBK"/>
          <w:color w:val="auto"/>
          <w:sz w:val="32"/>
          <w:szCs w:val="28"/>
          <w:highlight w:val="none"/>
        </w:rPr>
      </w:pPr>
    </w:p>
    <w:p w14:paraId="3898628C">
      <w:pPr>
        <w:pStyle w:val="42"/>
        <w:spacing w:before="156"/>
        <w:ind w:firstLine="640"/>
        <w:jc w:val="center"/>
        <w:rPr>
          <w:rFonts w:ascii="方正小标宋_GBK" w:hAnsi="方正小标宋_GBK" w:eastAsia="方正小标宋_GBK" w:cs="方正小标宋_GBK"/>
          <w:color w:val="auto"/>
          <w:sz w:val="32"/>
          <w:szCs w:val="28"/>
          <w:highlight w:val="none"/>
        </w:rPr>
      </w:pPr>
    </w:p>
    <w:p w14:paraId="3C6C8F35">
      <w:pPr>
        <w:pStyle w:val="42"/>
        <w:spacing w:before="156"/>
        <w:ind w:firstLine="640"/>
        <w:jc w:val="center"/>
        <w:rPr>
          <w:rFonts w:ascii="方正小标宋_GBK" w:hAnsi="方正小标宋_GBK" w:eastAsia="方正小标宋_GBK" w:cs="方正小标宋_GBK"/>
          <w:color w:val="auto"/>
          <w:sz w:val="32"/>
          <w:szCs w:val="28"/>
          <w:highlight w:val="none"/>
        </w:rPr>
      </w:pPr>
    </w:p>
    <w:p w14:paraId="08F08331">
      <w:pPr>
        <w:pStyle w:val="42"/>
        <w:spacing w:before="156"/>
        <w:ind w:firstLine="640"/>
        <w:jc w:val="center"/>
        <w:rPr>
          <w:rFonts w:ascii="方正小标宋_GBK" w:hAnsi="方正小标宋_GBK" w:eastAsia="方正小标宋_GBK" w:cs="方正小标宋_GBK"/>
          <w:color w:val="auto"/>
          <w:sz w:val="32"/>
          <w:szCs w:val="28"/>
          <w:highlight w:val="none"/>
        </w:rPr>
      </w:pPr>
    </w:p>
    <w:p w14:paraId="7DB00259">
      <w:pPr>
        <w:pStyle w:val="42"/>
        <w:spacing w:before="156"/>
        <w:ind w:firstLine="640"/>
        <w:jc w:val="center"/>
        <w:rPr>
          <w:rFonts w:ascii="方正小标宋_GBK" w:hAnsi="方正小标宋_GBK" w:eastAsia="方正小标宋_GBK" w:cs="方正小标宋_GBK"/>
          <w:color w:val="auto"/>
          <w:sz w:val="32"/>
          <w:szCs w:val="28"/>
          <w:highlight w:val="none"/>
        </w:rPr>
      </w:pPr>
    </w:p>
    <w:p w14:paraId="4812FC32">
      <w:pPr>
        <w:pStyle w:val="42"/>
        <w:spacing w:before="156"/>
        <w:ind w:firstLine="640"/>
        <w:jc w:val="center"/>
        <w:rPr>
          <w:rFonts w:ascii="方正小标宋_GBK" w:hAnsi="方正小标宋_GBK" w:eastAsia="方正小标宋_GBK" w:cs="方正小标宋_GBK"/>
          <w:color w:val="auto"/>
          <w:sz w:val="32"/>
          <w:szCs w:val="28"/>
          <w:highlight w:val="none"/>
        </w:rPr>
      </w:pPr>
    </w:p>
    <w:p w14:paraId="6B380052">
      <w:pPr>
        <w:pStyle w:val="42"/>
        <w:spacing w:before="156"/>
        <w:ind w:firstLine="640"/>
        <w:jc w:val="center"/>
        <w:rPr>
          <w:rFonts w:ascii="方正小标宋_GBK" w:hAnsi="方正小标宋_GBK" w:eastAsia="方正小标宋_GBK" w:cs="方正小标宋_GBK"/>
          <w:color w:val="auto"/>
          <w:sz w:val="32"/>
          <w:szCs w:val="28"/>
          <w:highlight w:val="none"/>
        </w:rPr>
      </w:pPr>
    </w:p>
    <w:p w14:paraId="0E2042D6">
      <w:pPr>
        <w:pStyle w:val="42"/>
        <w:spacing w:before="156"/>
        <w:ind w:firstLine="640"/>
        <w:jc w:val="center"/>
        <w:rPr>
          <w:rFonts w:ascii="方正小标宋_GBK" w:hAnsi="方正小标宋_GBK" w:eastAsia="方正小标宋_GBK" w:cs="方正小标宋_GBK"/>
          <w:color w:val="auto"/>
          <w:sz w:val="32"/>
          <w:szCs w:val="28"/>
          <w:highlight w:val="none"/>
        </w:rPr>
      </w:pPr>
    </w:p>
    <w:p w14:paraId="36389CE0">
      <w:pPr>
        <w:pStyle w:val="42"/>
        <w:spacing w:before="156"/>
        <w:ind w:firstLine="640"/>
        <w:jc w:val="center"/>
        <w:rPr>
          <w:rFonts w:ascii="方正小标宋_GBK" w:hAnsi="方正小标宋_GBK" w:eastAsia="方正小标宋_GBK" w:cs="方正小标宋_GBK"/>
          <w:color w:val="auto"/>
          <w:sz w:val="32"/>
          <w:szCs w:val="28"/>
          <w:highlight w:val="none"/>
        </w:rPr>
      </w:pPr>
    </w:p>
    <w:p w14:paraId="646B5542">
      <w:pPr>
        <w:pStyle w:val="42"/>
        <w:spacing w:before="156"/>
        <w:ind w:firstLine="640"/>
        <w:jc w:val="center"/>
        <w:rPr>
          <w:rFonts w:ascii="方正小标宋_GBK" w:hAnsi="方正小标宋_GBK" w:eastAsia="方正小标宋_GBK" w:cs="方正小标宋_GBK"/>
          <w:color w:val="auto"/>
          <w:sz w:val="32"/>
          <w:szCs w:val="28"/>
          <w:highlight w:val="none"/>
        </w:rPr>
      </w:pPr>
    </w:p>
    <w:p w14:paraId="29E2335C">
      <w:pPr>
        <w:pStyle w:val="42"/>
        <w:spacing w:before="156"/>
        <w:ind w:firstLine="640"/>
        <w:jc w:val="center"/>
        <w:rPr>
          <w:rFonts w:ascii="方正小标宋_GBK" w:hAnsi="方正小标宋_GBK" w:eastAsia="方正小标宋_GBK" w:cs="方正小标宋_GBK"/>
          <w:color w:val="auto"/>
          <w:sz w:val="32"/>
          <w:szCs w:val="28"/>
          <w:highlight w:val="none"/>
        </w:rPr>
      </w:pPr>
    </w:p>
    <w:p w14:paraId="2B18A912">
      <w:pPr>
        <w:rPr>
          <w:color w:val="auto"/>
        </w:rPr>
      </w:pPr>
    </w:p>
    <w:p w14:paraId="291B45E0">
      <w:pPr>
        <w:outlineLvl w:val="9"/>
        <w:rPr>
          <w:rFonts w:hint="eastAsia"/>
          <w:color w:val="auto"/>
          <w:highlight w:val="none"/>
        </w:rPr>
      </w:pPr>
    </w:p>
    <w:p w14:paraId="49A2B26E">
      <w:pPr>
        <w:rPr>
          <w:rFonts w:hint="eastAsia"/>
          <w:color w:val="auto"/>
          <w:highlight w:val="none"/>
          <w:lang w:val="en-US" w:eastAsia="zh-CN"/>
        </w:rPr>
      </w:pPr>
      <w:r>
        <w:rPr>
          <w:rFonts w:hint="eastAsia"/>
          <w:color w:val="auto"/>
          <w:highlight w:val="none"/>
          <w:lang w:val="en-US" w:eastAsia="zh-CN"/>
        </w:rPr>
        <w:br w:type="page"/>
      </w:r>
    </w:p>
    <w:p w14:paraId="26DF10D4">
      <w:pPr>
        <w:pStyle w:val="4"/>
        <w:rPr>
          <w:color w:val="auto"/>
          <w:highlight w:val="none"/>
        </w:rPr>
      </w:pPr>
      <w:r>
        <w:rPr>
          <w:rFonts w:hint="eastAsia"/>
          <w:color w:val="auto"/>
          <w:highlight w:val="none"/>
          <w:lang w:val="en-US" w:eastAsia="zh-CN"/>
        </w:rPr>
        <w:t>十、</w:t>
      </w:r>
      <w:r>
        <w:rPr>
          <w:rFonts w:hint="eastAsia"/>
          <w:color w:val="auto"/>
          <w:highlight w:val="none"/>
        </w:rPr>
        <w:t>主要中标标的承诺函</w:t>
      </w:r>
    </w:p>
    <w:p w14:paraId="099C5F65">
      <w:pPr>
        <w:pStyle w:val="42"/>
        <w:spacing w:before="156"/>
        <w:ind w:firstLine="480"/>
        <w:rPr>
          <w:color w:val="auto"/>
          <w:highlight w:val="none"/>
        </w:rPr>
      </w:pPr>
      <w:r>
        <w:rPr>
          <w:rFonts w:hint="eastAsia"/>
          <w:color w:val="auto"/>
          <w:highlight w:val="none"/>
        </w:rPr>
        <w:t>我单位同意中标公告中公示以下主要中标标的并承诺：投标文件中所提供的主要中标标的均真实有效。若被发现存在任何虚假、隐瞒情况，我单位承担由此产生的一切后果。</w:t>
      </w:r>
    </w:p>
    <w:tbl>
      <w:tblPr>
        <w:tblStyle w:val="32"/>
        <w:tblW w:w="101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304"/>
        <w:gridCol w:w="2634"/>
        <w:gridCol w:w="1561"/>
        <w:gridCol w:w="2537"/>
        <w:gridCol w:w="1441"/>
      </w:tblGrid>
      <w:tr w14:paraId="6D6FE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08" w:type="dxa"/>
            <w:tcBorders>
              <w:top w:val="single" w:color="000000" w:sz="4" w:space="0"/>
              <w:left w:val="single" w:color="000000" w:sz="4" w:space="0"/>
              <w:bottom w:val="single" w:color="000000" w:sz="4" w:space="0"/>
              <w:right w:val="single" w:color="000000" w:sz="4" w:space="0"/>
            </w:tcBorders>
            <w:vAlign w:val="center"/>
          </w:tcPr>
          <w:p w14:paraId="7F90686E">
            <w:pPr>
              <w:pStyle w:val="41"/>
              <w:rPr>
                <w:color w:val="auto"/>
                <w:highlight w:val="none"/>
              </w:rPr>
            </w:pPr>
            <w:r>
              <w:rPr>
                <w:rFonts w:hint="eastAsia"/>
                <w:color w:val="auto"/>
                <w:highlight w:val="none"/>
              </w:rPr>
              <w:t>序号</w:t>
            </w:r>
          </w:p>
        </w:tc>
        <w:tc>
          <w:tcPr>
            <w:tcW w:w="1304" w:type="dxa"/>
            <w:tcBorders>
              <w:top w:val="single" w:color="000000" w:sz="4" w:space="0"/>
              <w:left w:val="single" w:color="000000" w:sz="4" w:space="0"/>
              <w:bottom w:val="single" w:color="000000" w:sz="4" w:space="0"/>
              <w:right w:val="single" w:color="000000" w:sz="4" w:space="0"/>
            </w:tcBorders>
            <w:vAlign w:val="center"/>
          </w:tcPr>
          <w:p w14:paraId="689AE9FF">
            <w:pPr>
              <w:pStyle w:val="41"/>
              <w:rPr>
                <w:color w:val="auto"/>
                <w:highlight w:val="none"/>
              </w:rPr>
            </w:pPr>
            <w:r>
              <w:rPr>
                <w:rFonts w:hint="eastAsia"/>
                <w:color w:val="auto"/>
                <w:highlight w:val="none"/>
              </w:rPr>
              <w:t>货物名称</w:t>
            </w:r>
          </w:p>
        </w:tc>
        <w:tc>
          <w:tcPr>
            <w:tcW w:w="2634" w:type="dxa"/>
            <w:tcBorders>
              <w:top w:val="single" w:color="000000" w:sz="4" w:space="0"/>
              <w:left w:val="single" w:color="000000" w:sz="4" w:space="0"/>
              <w:bottom w:val="single" w:color="000000" w:sz="4" w:space="0"/>
              <w:right w:val="single" w:color="000000" w:sz="6" w:space="0"/>
            </w:tcBorders>
            <w:vAlign w:val="center"/>
          </w:tcPr>
          <w:p w14:paraId="6D040BF0">
            <w:pPr>
              <w:pStyle w:val="41"/>
              <w:rPr>
                <w:color w:val="auto"/>
                <w:highlight w:val="none"/>
              </w:rPr>
            </w:pPr>
            <w:r>
              <w:rPr>
                <w:rFonts w:hint="eastAsia"/>
                <w:color w:val="auto"/>
                <w:highlight w:val="none"/>
              </w:rPr>
              <w:t>品牌及规格型号</w:t>
            </w:r>
          </w:p>
        </w:tc>
        <w:tc>
          <w:tcPr>
            <w:tcW w:w="1561" w:type="dxa"/>
            <w:tcBorders>
              <w:top w:val="single" w:color="000000" w:sz="4" w:space="0"/>
              <w:left w:val="single" w:color="000000" w:sz="6" w:space="0"/>
              <w:bottom w:val="single" w:color="000000" w:sz="4" w:space="0"/>
              <w:right w:val="single" w:color="000000" w:sz="4" w:space="0"/>
            </w:tcBorders>
            <w:vAlign w:val="center"/>
          </w:tcPr>
          <w:p w14:paraId="0072ACFA">
            <w:pPr>
              <w:pStyle w:val="41"/>
              <w:rPr>
                <w:color w:val="auto"/>
                <w:highlight w:val="none"/>
              </w:rPr>
            </w:pPr>
            <w:r>
              <w:rPr>
                <w:rFonts w:hint="eastAsia"/>
                <w:color w:val="auto"/>
                <w:highlight w:val="none"/>
              </w:rPr>
              <w:t>数量</w:t>
            </w:r>
          </w:p>
        </w:tc>
        <w:tc>
          <w:tcPr>
            <w:tcW w:w="2537" w:type="dxa"/>
            <w:tcBorders>
              <w:top w:val="single" w:color="000000" w:sz="4" w:space="0"/>
              <w:left w:val="single" w:color="000000" w:sz="4" w:space="0"/>
              <w:bottom w:val="single" w:color="000000" w:sz="4" w:space="0"/>
              <w:right w:val="single" w:color="000000" w:sz="4" w:space="0"/>
            </w:tcBorders>
            <w:vAlign w:val="center"/>
          </w:tcPr>
          <w:p w14:paraId="68567890">
            <w:pPr>
              <w:pStyle w:val="41"/>
              <w:rPr>
                <w:color w:val="auto"/>
                <w:highlight w:val="none"/>
              </w:rPr>
            </w:pPr>
            <w:r>
              <w:rPr>
                <w:rFonts w:hint="eastAsia"/>
                <w:color w:val="auto"/>
                <w:highlight w:val="none"/>
              </w:rPr>
              <w:t>单价</w:t>
            </w:r>
          </w:p>
        </w:tc>
        <w:tc>
          <w:tcPr>
            <w:tcW w:w="1441" w:type="dxa"/>
            <w:tcBorders>
              <w:top w:val="single" w:color="000000" w:sz="4" w:space="0"/>
              <w:left w:val="single" w:color="000000" w:sz="4" w:space="0"/>
              <w:bottom w:val="single" w:color="000000" w:sz="4" w:space="0"/>
              <w:right w:val="single" w:color="000000" w:sz="4" w:space="0"/>
            </w:tcBorders>
            <w:vAlign w:val="center"/>
          </w:tcPr>
          <w:p w14:paraId="06FB1D08">
            <w:pPr>
              <w:pStyle w:val="41"/>
              <w:rPr>
                <w:color w:val="auto"/>
                <w:highlight w:val="none"/>
              </w:rPr>
            </w:pPr>
            <w:r>
              <w:rPr>
                <w:rFonts w:hint="eastAsia"/>
                <w:color w:val="auto"/>
                <w:highlight w:val="none"/>
              </w:rPr>
              <w:t>备注</w:t>
            </w:r>
          </w:p>
        </w:tc>
      </w:tr>
      <w:tr w14:paraId="7387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vAlign w:val="top"/>
          </w:tcPr>
          <w:p w14:paraId="7D745181">
            <w:pPr>
              <w:pStyle w:val="44"/>
              <w:rPr>
                <w:color w:val="auto"/>
                <w:highlight w:val="none"/>
              </w:rPr>
            </w:pPr>
            <w:r>
              <w:rPr>
                <w:color w:val="auto"/>
                <w:highlight w:val="none"/>
              </w:rPr>
              <w:t>1</w:t>
            </w:r>
          </w:p>
        </w:tc>
        <w:tc>
          <w:tcPr>
            <w:tcW w:w="1304" w:type="dxa"/>
            <w:tcBorders>
              <w:top w:val="single" w:color="000000" w:sz="4" w:space="0"/>
              <w:left w:val="single" w:color="000000" w:sz="4" w:space="0"/>
              <w:bottom w:val="single" w:color="000000" w:sz="4" w:space="0"/>
              <w:right w:val="single" w:color="000000" w:sz="4" w:space="0"/>
            </w:tcBorders>
            <w:vAlign w:val="top"/>
          </w:tcPr>
          <w:p w14:paraId="3660684B">
            <w:pPr>
              <w:pStyle w:val="44"/>
              <w:rPr>
                <w:color w:val="auto"/>
                <w:highlight w:val="none"/>
              </w:rPr>
            </w:pPr>
          </w:p>
        </w:tc>
        <w:tc>
          <w:tcPr>
            <w:tcW w:w="2634" w:type="dxa"/>
            <w:tcBorders>
              <w:top w:val="single" w:color="000000" w:sz="4" w:space="0"/>
              <w:left w:val="single" w:color="000000" w:sz="4" w:space="0"/>
              <w:bottom w:val="single" w:color="000000" w:sz="4" w:space="0"/>
              <w:right w:val="single" w:color="000000" w:sz="6" w:space="0"/>
            </w:tcBorders>
            <w:vAlign w:val="top"/>
          </w:tcPr>
          <w:p w14:paraId="7E80E708">
            <w:pPr>
              <w:pStyle w:val="44"/>
              <w:rPr>
                <w:color w:val="auto"/>
                <w:highlight w:val="none"/>
              </w:rPr>
            </w:pPr>
          </w:p>
        </w:tc>
        <w:tc>
          <w:tcPr>
            <w:tcW w:w="1561" w:type="dxa"/>
            <w:tcBorders>
              <w:top w:val="single" w:color="000000" w:sz="4" w:space="0"/>
              <w:left w:val="single" w:color="000000" w:sz="6" w:space="0"/>
              <w:bottom w:val="single" w:color="000000" w:sz="4" w:space="0"/>
              <w:right w:val="single" w:color="000000" w:sz="4" w:space="0"/>
            </w:tcBorders>
            <w:vAlign w:val="top"/>
          </w:tcPr>
          <w:p w14:paraId="7BCDEDBD">
            <w:pPr>
              <w:pStyle w:val="44"/>
              <w:rPr>
                <w:color w:val="auto"/>
                <w:highlight w:val="none"/>
              </w:rPr>
            </w:pPr>
          </w:p>
        </w:tc>
        <w:tc>
          <w:tcPr>
            <w:tcW w:w="2537" w:type="dxa"/>
            <w:tcBorders>
              <w:top w:val="single" w:color="000000" w:sz="4" w:space="0"/>
              <w:left w:val="single" w:color="000000" w:sz="4" w:space="0"/>
              <w:bottom w:val="single" w:color="000000" w:sz="4" w:space="0"/>
              <w:right w:val="single" w:color="000000" w:sz="4" w:space="0"/>
            </w:tcBorders>
            <w:vAlign w:val="top"/>
          </w:tcPr>
          <w:p w14:paraId="04A49B32">
            <w:pPr>
              <w:pStyle w:val="44"/>
              <w:rPr>
                <w:color w:val="auto"/>
                <w:highlight w:val="none"/>
              </w:rPr>
            </w:pPr>
          </w:p>
        </w:tc>
        <w:tc>
          <w:tcPr>
            <w:tcW w:w="1441" w:type="dxa"/>
            <w:tcBorders>
              <w:top w:val="single" w:color="000000" w:sz="4" w:space="0"/>
              <w:left w:val="single" w:color="000000" w:sz="4" w:space="0"/>
              <w:bottom w:val="single" w:color="000000" w:sz="4" w:space="0"/>
              <w:right w:val="single" w:color="000000" w:sz="4" w:space="0"/>
            </w:tcBorders>
            <w:vAlign w:val="top"/>
          </w:tcPr>
          <w:p w14:paraId="423A432A">
            <w:pPr>
              <w:pStyle w:val="44"/>
              <w:rPr>
                <w:color w:val="auto"/>
                <w:highlight w:val="none"/>
              </w:rPr>
            </w:pPr>
          </w:p>
        </w:tc>
      </w:tr>
      <w:tr w14:paraId="16EDF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708" w:type="dxa"/>
            <w:tcBorders>
              <w:top w:val="single" w:color="000000" w:sz="4" w:space="0"/>
              <w:left w:val="single" w:color="000000" w:sz="4" w:space="0"/>
              <w:bottom w:val="single" w:color="000000" w:sz="4" w:space="0"/>
              <w:right w:val="single" w:color="000000" w:sz="4" w:space="0"/>
            </w:tcBorders>
            <w:vAlign w:val="top"/>
          </w:tcPr>
          <w:p w14:paraId="18C57027">
            <w:pPr>
              <w:pStyle w:val="44"/>
              <w:rPr>
                <w:color w:val="auto"/>
                <w:highlight w:val="none"/>
              </w:rPr>
            </w:pPr>
            <w:r>
              <w:rPr>
                <w:color w:val="auto"/>
                <w:highlight w:val="none"/>
              </w:rPr>
              <w:t>2</w:t>
            </w:r>
          </w:p>
        </w:tc>
        <w:tc>
          <w:tcPr>
            <w:tcW w:w="1304" w:type="dxa"/>
            <w:tcBorders>
              <w:top w:val="single" w:color="000000" w:sz="4" w:space="0"/>
              <w:left w:val="single" w:color="000000" w:sz="4" w:space="0"/>
              <w:bottom w:val="single" w:color="000000" w:sz="4" w:space="0"/>
              <w:right w:val="single" w:color="000000" w:sz="4" w:space="0"/>
            </w:tcBorders>
            <w:vAlign w:val="top"/>
          </w:tcPr>
          <w:p w14:paraId="57B9E192">
            <w:pPr>
              <w:pStyle w:val="44"/>
              <w:rPr>
                <w:color w:val="auto"/>
                <w:highlight w:val="none"/>
              </w:rPr>
            </w:pPr>
          </w:p>
        </w:tc>
        <w:tc>
          <w:tcPr>
            <w:tcW w:w="2634" w:type="dxa"/>
            <w:tcBorders>
              <w:top w:val="single" w:color="000000" w:sz="4" w:space="0"/>
              <w:left w:val="single" w:color="000000" w:sz="4" w:space="0"/>
              <w:bottom w:val="single" w:color="000000" w:sz="4" w:space="0"/>
              <w:right w:val="single" w:color="000000" w:sz="6" w:space="0"/>
            </w:tcBorders>
            <w:vAlign w:val="top"/>
          </w:tcPr>
          <w:p w14:paraId="0D2F4F06">
            <w:pPr>
              <w:pStyle w:val="44"/>
              <w:rPr>
                <w:color w:val="auto"/>
                <w:highlight w:val="none"/>
              </w:rPr>
            </w:pPr>
          </w:p>
        </w:tc>
        <w:tc>
          <w:tcPr>
            <w:tcW w:w="1561" w:type="dxa"/>
            <w:tcBorders>
              <w:top w:val="single" w:color="000000" w:sz="4" w:space="0"/>
              <w:left w:val="single" w:color="000000" w:sz="6" w:space="0"/>
              <w:bottom w:val="single" w:color="000000" w:sz="4" w:space="0"/>
              <w:right w:val="single" w:color="000000" w:sz="4" w:space="0"/>
            </w:tcBorders>
            <w:vAlign w:val="top"/>
          </w:tcPr>
          <w:p w14:paraId="7809D00D">
            <w:pPr>
              <w:pStyle w:val="44"/>
              <w:rPr>
                <w:color w:val="auto"/>
                <w:highlight w:val="none"/>
              </w:rPr>
            </w:pPr>
          </w:p>
        </w:tc>
        <w:tc>
          <w:tcPr>
            <w:tcW w:w="2537" w:type="dxa"/>
            <w:tcBorders>
              <w:top w:val="single" w:color="000000" w:sz="4" w:space="0"/>
              <w:left w:val="single" w:color="000000" w:sz="4" w:space="0"/>
              <w:bottom w:val="single" w:color="000000" w:sz="4" w:space="0"/>
              <w:right w:val="single" w:color="000000" w:sz="4" w:space="0"/>
            </w:tcBorders>
            <w:vAlign w:val="top"/>
          </w:tcPr>
          <w:p w14:paraId="409BF289">
            <w:pPr>
              <w:pStyle w:val="44"/>
              <w:rPr>
                <w:color w:val="auto"/>
                <w:highlight w:val="none"/>
              </w:rPr>
            </w:pPr>
          </w:p>
        </w:tc>
        <w:tc>
          <w:tcPr>
            <w:tcW w:w="1441" w:type="dxa"/>
            <w:tcBorders>
              <w:top w:val="single" w:color="000000" w:sz="4" w:space="0"/>
              <w:left w:val="single" w:color="000000" w:sz="4" w:space="0"/>
              <w:bottom w:val="single" w:color="000000" w:sz="4" w:space="0"/>
              <w:right w:val="single" w:color="000000" w:sz="4" w:space="0"/>
            </w:tcBorders>
            <w:vAlign w:val="top"/>
          </w:tcPr>
          <w:p w14:paraId="2B00457D">
            <w:pPr>
              <w:pStyle w:val="44"/>
              <w:rPr>
                <w:color w:val="auto"/>
                <w:highlight w:val="none"/>
              </w:rPr>
            </w:pPr>
          </w:p>
        </w:tc>
      </w:tr>
      <w:tr w14:paraId="1F655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vAlign w:val="top"/>
          </w:tcPr>
          <w:p w14:paraId="60030791">
            <w:pPr>
              <w:pStyle w:val="44"/>
              <w:rPr>
                <w:color w:val="auto"/>
                <w:highlight w:val="none"/>
              </w:rPr>
            </w:pPr>
            <w:r>
              <w:rPr>
                <w:color w:val="auto"/>
                <w:highlight w:val="none"/>
              </w:rPr>
              <w:t>3</w:t>
            </w:r>
          </w:p>
        </w:tc>
        <w:tc>
          <w:tcPr>
            <w:tcW w:w="1304" w:type="dxa"/>
            <w:tcBorders>
              <w:top w:val="single" w:color="000000" w:sz="4" w:space="0"/>
              <w:left w:val="single" w:color="000000" w:sz="4" w:space="0"/>
              <w:bottom w:val="single" w:color="000000" w:sz="4" w:space="0"/>
              <w:right w:val="single" w:color="000000" w:sz="4" w:space="0"/>
            </w:tcBorders>
            <w:vAlign w:val="top"/>
          </w:tcPr>
          <w:p w14:paraId="24F9CCEE">
            <w:pPr>
              <w:pStyle w:val="44"/>
              <w:rPr>
                <w:color w:val="auto"/>
                <w:highlight w:val="none"/>
              </w:rPr>
            </w:pPr>
          </w:p>
        </w:tc>
        <w:tc>
          <w:tcPr>
            <w:tcW w:w="2634" w:type="dxa"/>
            <w:tcBorders>
              <w:top w:val="single" w:color="000000" w:sz="4" w:space="0"/>
              <w:left w:val="single" w:color="000000" w:sz="4" w:space="0"/>
              <w:bottom w:val="single" w:color="000000" w:sz="4" w:space="0"/>
              <w:right w:val="single" w:color="000000" w:sz="6" w:space="0"/>
            </w:tcBorders>
            <w:vAlign w:val="top"/>
          </w:tcPr>
          <w:p w14:paraId="378A5AAE">
            <w:pPr>
              <w:pStyle w:val="44"/>
              <w:rPr>
                <w:color w:val="auto"/>
                <w:highlight w:val="none"/>
              </w:rPr>
            </w:pPr>
          </w:p>
        </w:tc>
        <w:tc>
          <w:tcPr>
            <w:tcW w:w="1561" w:type="dxa"/>
            <w:tcBorders>
              <w:top w:val="single" w:color="000000" w:sz="4" w:space="0"/>
              <w:left w:val="single" w:color="000000" w:sz="6" w:space="0"/>
              <w:bottom w:val="single" w:color="000000" w:sz="4" w:space="0"/>
              <w:right w:val="single" w:color="000000" w:sz="4" w:space="0"/>
            </w:tcBorders>
            <w:vAlign w:val="top"/>
          </w:tcPr>
          <w:p w14:paraId="607AFCDC">
            <w:pPr>
              <w:pStyle w:val="44"/>
              <w:rPr>
                <w:color w:val="auto"/>
                <w:highlight w:val="none"/>
              </w:rPr>
            </w:pPr>
          </w:p>
        </w:tc>
        <w:tc>
          <w:tcPr>
            <w:tcW w:w="2537" w:type="dxa"/>
            <w:tcBorders>
              <w:top w:val="single" w:color="000000" w:sz="4" w:space="0"/>
              <w:left w:val="single" w:color="000000" w:sz="4" w:space="0"/>
              <w:bottom w:val="single" w:color="000000" w:sz="4" w:space="0"/>
              <w:right w:val="single" w:color="000000" w:sz="4" w:space="0"/>
            </w:tcBorders>
            <w:vAlign w:val="top"/>
          </w:tcPr>
          <w:p w14:paraId="208B124A">
            <w:pPr>
              <w:pStyle w:val="44"/>
              <w:rPr>
                <w:color w:val="auto"/>
                <w:highlight w:val="none"/>
              </w:rPr>
            </w:pPr>
          </w:p>
        </w:tc>
        <w:tc>
          <w:tcPr>
            <w:tcW w:w="1441" w:type="dxa"/>
            <w:tcBorders>
              <w:top w:val="single" w:color="000000" w:sz="4" w:space="0"/>
              <w:left w:val="single" w:color="000000" w:sz="4" w:space="0"/>
              <w:bottom w:val="single" w:color="000000" w:sz="4" w:space="0"/>
              <w:right w:val="single" w:color="000000" w:sz="4" w:space="0"/>
            </w:tcBorders>
            <w:vAlign w:val="top"/>
          </w:tcPr>
          <w:p w14:paraId="27C61FFF">
            <w:pPr>
              <w:pStyle w:val="44"/>
              <w:rPr>
                <w:color w:val="auto"/>
                <w:highlight w:val="none"/>
              </w:rPr>
            </w:pPr>
          </w:p>
        </w:tc>
      </w:tr>
      <w:tr w14:paraId="219F3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vAlign w:val="top"/>
          </w:tcPr>
          <w:p w14:paraId="45324FA4">
            <w:pPr>
              <w:pStyle w:val="44"/>
              <w:rPr>
                <w:color w:val="auto"/>
                <w:highlight w:val="none"/>
              </w:rPr>
            </w:pPr>
            <w:r>
              <w:rPr>
                <w:color w:val="auto"/>
                <w:highlight w:val="none"/>
              </w:rPr>
              <w:t>4</w:t>
            </w:r>
          </w:p>
        </w:tc>
        <w:tc>
          <w:tcPr>
            <w:tcW w:w="1304" w:type="dxa"/>
            <w:tcBorders>
              <w:top w:val="single" w:color="000000" w:sz="4" w:space="0"/>
              <w:left w:val="single" w:color="000000" w:sz="4" w:space="0"/>
              <w:bottom w:val="single" w:color="000000" w:sz="4" w:space="0"/>
              <w:right w:val="single" w:color="000000" w:sz="4" w:space="0"/>
            </w:tcBorders>
            <w:vAlign w:val="top"/>
          </w:tcPr>
          <w:p w14:paraId="34598F18">
            <w:pPr>
              <w:pStyle w:val="44"/>
              <w:rPr>
                <w:color w:val="auto"/>
                <w:highlight w:val="none"/>
              </w:rPr>
            </w:pPr>
          </w:p>
        </w:tc>
        <w:tc>
          <w:tcPr>
            <w:tcW w:w="2634" w:type="dxa"/>
            <w:tcBorders>
              <w:top w:val="single" w:color="000000" w:sz="4" w:space="0"/>
              <w:left w:val="single" w:color="000000" w:sz="4" w:space="0"/>
              <w:bottom w:val="single" w:color="000000" w:sz="4" w:space="0"/>
              <w:right w:val="single" w:color="000000" w:sz="6" w:space="0"/>
            </w:tcBorders>
            <w:vAlign w:val="top"/>
          </w:tcPr>
          <w:p w14:paraId="358E2064">
            <w:pPr>
              <w:pStyle w:val="44"/>
              <w:rPr>
                <w:color w:val="auto"/>
                <w:highlight w:val="none"/>
              </w:rPr>
            </w:pPr>
          </w:p>
        </w:tc>
        <w:tc>
          <w:tcPr>
            <w:tcW w:w="1561" w:type="dxa"/>
            <w:tcBorders>
              <w:top w:val="single" w:color="000000" w:sz="4" w:space="0"/>
              <w:left w:val="single" w:color="000000" w:sz="6" w:space="0"/>
              <w:bottom w:val="single" w:color="000000" w:sz="4" w:space="0"/>
              <w:right w:val="single" w:color="000000" w:sz="4" w:space="0"/>
            </w:tcBorders>
            <w:vAlign w:val="top"/>
          </w:tcPr>
          <w:p w14:paraId="4E928F8E">
            <w:pPr>
              <w:pStyle w:val="44"/>
              <w:rPr>
                <w:color w:val="auto"/>
                <w:highlight w:val="none"/>
              </w:rPr>
            </w:pPr>
          </w:p>
        </w:tc>
        <w:tc>
          <w:tcPr>
            <w:tcW w:w="2537" w:type="dxa"/>
            <w:tcBorders>
              <w:top w:val="single" w:color="000000" w:sz="4" w:space="0"/>
              <w:left w:val="single" w:color="000000" w:sz="4" w:space="0"/>
              <w:bottom w:val="single" w:color="000000" w:sz="4" w:space="0"/>
              <w:right w:val="single" w:color="000000" w:sz="4" w:space="0"/>
            </w:tcBorders>
            <w:vAlign w:val="top"/>
          </w:tcPr>
          <w:p w14:paraId="640F03A7">
            <w:pPr>
              <w:pStyle w:val="44"/>
              <w:rPr>
                <w:color w:val="auto"/>
                <w:highlight w:val="none"/>
              </w:rPr>
            </w:pPr>
          </w:p>
        </w:tc>
        <w:tc>
          <w:tcPr>
            <w:tcW w:w="1441" w:type="dxa"/>
            <w:tcBorders>
              <w:top w:val="single" w:color="000000" w:sz="4" w:space="0"/>
              <w:left w:val="single" w:color="000000" w:sz="4" w:space="0"/>
              <w:bottom w:val="single" w:color="000000" w:sz="4" w:space="0"/>
              <w:right w:val="single" w:color="000000" w:sz="4" w:space="0"/>
            </w:tcBorders>
            <w:vAlign w:val="top"/>
          </w:tcPr>
          <w:p w14:paraId="31FDE9FC">
            <w:pPr>
              <w:pStyle w:val="44"/>
              <w:rPr>
                <w:color w:val="auto"/>
                <w:highlight w:val="none"/>
              </w:rPr>
            </w:pPr>
          </w:p>
        </w:tc>
      </w:tr>
      <w:tr w14:paraId="00184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8" w:type="dxa"/>
            <w:tcBorders>
              <w:top w:val="single" w:color="000000" w:sz="4" w:space="0"/>
              <w:left w:val="single" w:color="000000" w:sz="4" w:space="0"/>
              <w:bottom w:val="single" w:color="000000" w:sz="4" w:space="0"/>
              <w:right w:val="single" w:color="000000" w:sz="4" w:space="0"/>
            </w:tcBorders>
            <w:vAlign w:val="top"/>
          </w:tcPr>
          <w:p w14:paraId="41840431">
            <w:pPr>
              <w:pStyle w:val="44"/>
              <w:rPr>
                <w:color w:val="auto"/>
                <w:highlight w:val="none"/>
              </w:rPr>
            </w:pPr>
            <w:r>
              <w:rPr>
                <w:color w:val="auto"/>
                <w:highlight w:val="none"/>
              </w:rPr>
              <w:t>5</w:t>
            </w:r>
          </w:p>
        </w:tc>
        <w:tc>
          <w:tcPr>
            <w:tcW w:w="1304" w:type="dxa"/>
            <w:tcBorders>
              <w:top w:val="single" w:color="000000" w:sz="4" w:space="0"/>
              <w:left w:val="single" w:color="000000" w:sz="4" w:space="0"/>
              <w:bottom w:val="single" w:color="000000" w:sz="4" w:space="0"/>
              <w:right w:val="single" w:color="000000" w:sz="4" w:space="0"/>
            </w:tcBorders>
            <w:vAlign w:val="top"/>
          </w:tcPr>
          <w:p w14:paraId="5DA3FF4A">
            <w:pPr>
              <w:pStyle w:val="44"/>
              <w:rPr>
                <w:color w:val="auto"/>
                <w:highlight w:val="none"/>
              </w:rPr>
            </w:pPr>
          </w:p>
        </w:tc>
        <w:tc>
          <w:tcPr>
            <w:tcW w:w="2634" w:type="dxa"/>
            <w:tcBorders>
              <w:top w:val="single" w:color="000000" w:sz="4" w:space="0"/>
              <w:left w:val="single" w:color="000000" w:sz="4" w:space="0"/>
              <w:bottom w:val="single" w:color="000000" w:sz="4" w:space="0"/>
              <w:right w:val="single" w:color="000000" w:sz="6" w:space="0"/>
            </w:tcBorders>
            <w:vAlign w:val="top"/>
          </w:tcPr>
          <w:p w14:paraId="7B472D01">
            <w:pPr>
              <w:pStyle w:val="44"/>
              <w:rPr>
                <w:color w:val="auto"/>
                <w:highlight w:val="none"/>
              </w:rPr>
            </w:pPr>
          </w:p>
        </w:tc>
        <w:tc>
          <w:tcPr>
            <w:tcW w:w="1561" w:type="dxa"/>
            <w:tcBorders>
              <w:top w:val="single" w:color="000000" w:sz="4" w:space="0"/>
              <w:left w:val="single" w:color="000000" w:sz="6" w:space="0"/>
              <w:bottom w:val="single" w:color="000000" w:sz="4" w:space="0"/>
              <w:right w:val="single" w:color="000000" w:sz="4" w:space="0"/>
            </w:tcBorders>
            <w:vAlign w:val="top"/>
          </w:tcPr>
          <w:p w14:paraId="7DF8A61B">
            <w:pPr>
              <w:pStyle w:val="44"/>
              <w:rPr>
                <w:color w:val="auto"/>
                <w:highlight w:val="none"/>
              </w:rPr>
            </w:pPr>
          </w:p>
        </w:tc>
        <w:tc>
          <w:tcPr>
            <w:tcW w:w="2537" w:type="dxa"/>
            <w:tcBorders>
              <w:top w:val="single" w:color="000000" w:sz="4" w:space="0"/>
              <w:left w:val="single" w:color="000000" w:sz="4" w:space="0"/>
              <w:bottom w:val="single" w:color="000000" w:sz="4" w:space="0"/>
              <w:right w:val="single" w:color="000000" w:sz="4" w:space="0"/>
            </w:tcBorders>
            <w:vAlign w:val="top"/>
          </w:tcPr>
          <w:p w14:paraId="473BD578">
            <w:pPr>
              <w:pStyle w:val="44"/>
              <w:rPr>
                <w:color w:val="auto"/>
                <w:highlight w:val="none"/>
              </w:rPr>
            </w:pPr>
          </w:p>
        </w:tc>
        <w:tc>
          <w:tcPr>
            <w:tcW w:w="1441" w:type="dxa"/>
            <w:tcBorders>
              <w:top w:val="single" w:color="000000" w:sz="4" w:space="0"/>
              <w:left w:val="single" w:color="000000" w:sz="4" w:space="0"/>
              <w:bottom w:val="single" w:color="000000" w:sz="4" w:space="0"/>
              <w:right w:val="single" w:color="000000" w:sz="4" w:space="0"/>
            </w:tcBorders>
            <w:vAlign w:val="top"/>
          </w:tcPr>
          <w:p w14:paraId="6A14FFC9">
            <w:pPr>
              <w:pStyle w:val="44"/>
              <w:rPr>
                <w:color w:val="auto"/>
                <w:highlight w:val="none"/>
              </w:rPr>
            </w:pPr>
          </w:p>
        </w:tc>
      </w:tr>
      <w:tr w14:paraId="04A4D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vAlign w:val="top"/>
          </w:tcPr>
          <w:p w14:paraId="1F39202F">
            <w:pPr>
              <w:pStyle w:val="44"/>
              <w:jc w:val="both"/>
              <w:rPr>
                <w:color w:val="auto"/>
                <w:highlight w:val="none"/>
              </w:rPr>
            </w:pPr>
          </w:p>
        </w:tc>
        <w:tc>
          <w:tcPr>
            <w:tcW w:w="1304" w:type="dxa"/>
            <w:tcBorders>
              <w:top w:val="single" w:color="000000" w:sz="4" w:space="0"/>
              <w:left w:val="single" w:color="000000" w:sz="4" w:space="0"/>
              <w:bottom w:val="single" w:color="000000" w:sz="4" w:space="0"/>
              <w:right w:val="single" w:color="000000" w:sz="4" w:space="0"/>
            </w:tcBorders>
            <w:vAlign w:val="top"/>
          </w:tcPr>
          <w:p w14:paraId="7D52D928">
            <w:pPr>
              <w:pStyle w:val="44"/>
              <w:rPr>
                <w:color w:val="auto"/>
                <w:highlight w:val="none"/>
              </w:rPr>
            </w:pPr>
          </w:p>
        </w:tc>
        <w:tc>
          <w:tcPr>
            <w:tcW w:w="2634" w:type="dxa"/>
            <w:tcBorders>
              <w:top w:val="single" w:color="000000" w:sz="4" w:space="0"/>
              <w:left w:val="single" w:color="000000" w:sz="4" w:space="0"/>
              <w:bottom w:val="single" w:color="000000" w:sz="4" w:space="0"/>
              <w:right w:val="single" w:color="000000" w:sz="6" w:space="0"/>
            </w:tcBorders>
            <w:vAlign w:val="top"/>
          </w:tcPr>
          <w:p w14:paraId="0A94DEC8">
            <w:pPr>
              <w:pStyle w:val="44"/>
              <w:rPr>
                <w:color w:val="auto"/>
                <w:highlight w:val="none"/>
              </w:rPr>
            </w:pPr>
          </w:p>
        </w:tc>
        <w:tc>
          <w:tcPr>
            <w:tcW w:w="1561" w:type="dxa"/>
            <w:tcBorders>
              <w:top w:val="single" w:color="000000" w:sz="4" w:space="0"/>
              <w:left w:val="single" w:color="000000" w:sz="6" w:space="0"/>
              <w:bottom w:val="single" w:color="000000" w:sz="4" w:space="0"/>
              <w:right w:val="single" w:color="000000" w:sz="4" w:space="0"/>
            </w:tcBorders>
            <w:vAlign w:val="top"/>
          </w:tcPr>
          <w:p w14:paraId="359AFFE0">
            <w:pPr>
              <w:pStyle w:val="44"/>
              <w:rPr>
                <w:color w:val="auto"/>
                <w:highlight w:val="none"/>
              </w:rPr>
            </w:pPr>
          </w:p>
        </w:tc>
        <w:tc>
          <w:tcPr>
            <w:tcW w:w="2537" w:type="dxa"/>
            <w:tcBorders>
              <w:top w:val="single" w:color="000000" w:sz="4" w:space="0"/>
              <w:left w:val="single" w:color="000000" w:sz="4" w:space="0"/>
              <w:bottom w:val="single" w:color="000000" w:sz="4" w:space="0"/>
              <w:right w:val="single" w:color="000000" w:sz="4" w:space="0"/>
            </w:tcBorders>
            <w:vAlign w:val="top"/>
          </w:tcPr>
          <w:p w14:paraId="21815485">
            <w:pPr>
              <w:pStyle w:val="44"/>
              <w:rPr>
                <w:color w:val="auto"/>
                <w:highlight w:val="none"/>
              </w:rPr>
            </w:pPr>
          </w:p>
        </w:tc>
        <w:tc>
          <w:tcPr>
            <w:tcW w:w="1441" w:type="dxa"/>
            <w:tcBorders>
              <w:top w:val="single" w:color="000000" w:sz="4" w:space="0"/>
              <w:left w:val="single" w:color="000000" w:sz="4" w:space="0"/>
              <w:bottom w:val="single" w:color="000000" w:sz="4" w:space="0"/>
              <w:right w:val="single" w:color="000000" w:sz="4" w:space="0"/>
            </w:tcBorders>
            <w:vAlign w:val="top"/>
          </w:tcPr>
          <w:p w14:paraId="581C3753">
            <w:pPr>
              <w:pStyle w:val="44"/>
              <w:rPr>
                <w:color w:val="auto"/>
                <w:highlight w:val="none"/>
              </w:rPr>
            </w:pPr>
          </w:p>
        </w:tc>
      </w:tr>
    </w:tbl>
    <w:tbl>
      <w:tblPr>
        <w:tblStyle w:val="33"/>
        <w:tblpPr w:leftFromText="180" w:rightFromText="180" w:vertAnchor="text" w:horzAnchor="page" w:tblpX="1427" w:tblpY="348"/>
        <w:tblOverlap w:val="never"/>
        <w:tblW w:w="9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5"/>
        <w:gridCol w:w="3099"/>
        <w:gridCol w:w="1180"/>
        <w:gridCol w:w="2582"/>
      </w:tblGrid>
      <w:tr w14:paraId="0669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2595" w:type="dxa"/>
            <w:tcBorders>
              <w:top w:val="nil"/>
              <w:left w:val="nil"/>
              <w:bottom w:val="nil"/>
              <w:right w:val="nil"/>
            </w:tcBorders>
            <w:vAlign w:val="center"/>
          </w:tcPr>
          <w:p w14:paraId="7628F1C1">
            <w:pPr>
              <w:pStyle w:val="42"/>
              <w:spacing w:before="156" w:line="240" w:lineRule="auto"/>
              <w:ind w:firstLine="0" w:firstLineChars="0"/>
              <w:jc w:val="distribute"/>
              <w:rPr>
                <w:color w:val="auto"/>
                <w:highlight w:val="none"/>
              </w:rPr>
            </w:pPr>
            <w:r>
              <w:rPr>
                <w:rFonts w:hint="eastAsia"/>
                <w:color w:val="auto"/>
                <w:highlight w:val="none"/>
              </w:rPr>
              <w:t>投标人电子签章：</w:t>
            </w:r>
          </w:p>
        </w:tc>
        <w:tc>
          <w:tcPr>
            <w:tcW w:w="6861" w:type="dxa"/>
            <w:gridSpan w:val="3"/>
            <w:tcBorders>
              <w:top w:val="nil"/>
              <w:left w:val="nil"/>
              <w:bottom w:val="nil"/>
              <w:right w:val="nil"/>
            </w:tcBorders>
            <w:vAlign w:val="center"/>
          </w:tcPr>
          <w:p w14:paraId="08CA12EC">
            <w:pPr>
              <w:pStyle w:val="42"/>
              <w:spacing w:before="156" w:line="540" w:lineRule="exact"/>
              <w:ind w:firstLine="480"/>
              <w:jc w:val="center"/>
              <w:rPr>
                <w:color w:val="auto"/>
                <w:highlight w:val="none"/>
              </w:rPr>
            </w:pPr>
          </w:p>
        </w:tc>
      </w:tr>
      <w:tr w14:paraId="0D82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dxa"/>
            <w:tcBorders>
              <w:top w:val="nil"/>
              <w:left w:val="nil"/>
              <w:bottom w:val="nil"/>
              <w:right w:val="nil"/>
            </w:tcBorders>
            <w:vAlign w:val="center"/>
          </w:tcPr>
          <w:p w14:paraId="4920BD83">
            <w:pPr>
              <w:pStyle w:val="42"/>
              <w:spacing w:before="156" w:line="540" w:lineRule="exact"/>
              <w:ind w:firstLine="0" w:firstLineChars="0"/>
              <w:rPr>
                <w:color w:val="auto"/>
                <w:highlight w:val="none"/>
              </w:rPr>
            </w:pPr>
          </w:p>
        </w:tc>
        <w:tc>
          <w:tcPr>
            <w:tcW w:w="3099" w:type="dxa"/>
            <w:tcBorders>
              <w:top w:val="nil"/>
              <w:left w:val="nil"/>
              <w:bottom w:val="nil"/>
              <w:right w:val="nil"/>
            </w:tcBorders>
            <w:vAlign w:val="center"/>
          </w:tcPr>
          <w:p w14:paraId="1BBB8588">
            <w:pPr>
              <w:pStyle w:val="42"/>
              <w:spacing w:before="156" w:line="540" w:lineRule="exact"/>
              <w:ind w:firstLine="0" w:firstLineChars="0"/>
              <w:jc w:val="center"/>
              <w:rPr>
                <w:color w:val="auto"/>
                <w:highlight w:val="none"/>
              </w:rPr>
            </w:pPr>
          </w:p>
        </w:tc>
        <w:tc>
          <w:tcPr>
            <w:tcW w:w="1180" w:type="dxa"/>
            <w:tcBorders>
              <w:top w:val="nil"/>
              <w:left w:val="nil"/>
              <w:bottom w:val="nil"/>
              <w:right w:val="nil"/>
            </w:tcBorders>
            <w:vAlign w:val="center"/>
          </w:tcPr>
          <w:p w14:paraId="2E7E81D4">
            <w:pPr>
              <w:pStyle w:val="42"/>
              <w:spacing w:before="156" w:line="240" w:lineRule="auto"/>
              <w:ind w:firstLine="0" w:firstLineChars="0"/>
              <w:jc w:val="distribute"/>
              <w:rPr>
                <w:color w:val="auto"/>
                <w:highlight w:val="none"/>
              </w:rPr>
            </w:pPr>
            <w:r>
              <w:rPr>
                <w:rFonts w:hint="eastAsia"/>
                <w:color w:val="auto"/>
                <w:highlight w:val="none"/>
              </w:rPr>
              <w:t>日   期：</w:t>
            </w:r>
          </w:p>
        </w:tc>
        <w:tc>
          <w:tcPr>
            <w:tcW w:w="2582" w:type="dxa"/>
            <w:tcBorders>
              <w:top w:val="nil"/>
              <w:left w:val="nil"/>
              <w:bottom w:val="nil"/>
              <w:right w:val="nil"/>
            </w:tcBorders>
            <w:vAlign w:val="center"/>
          </w:tcPr>
          <w:p w14:paraId="54AD8FE2">
            <w:pPr>
              <w:pStyle w:val="42"/>
              <w:spacing w:before="156" w:line="240" w:lineRule="auto"/>
              <w:ind w:firstLine="0" w:firstLineChars="0"/>
              <w:jc w:val="right"/>
              <w:rPr>
                <w:color w:val="auto"/>
                <w:highlight w:val="none"/>
              </w:rPr>
            </w:pPr>
            <w:r>
              <w:rPr>
                <w:rFonts w:hint="eastAsia"/>
                <w:color w:val="auto"/>
                <w:highlight w:val="none"/>
              </w:rPr>
              <w:t>年   月   日</w:t>
            </w:r>
          </w:p>
        </w:tc>
      </w:tr>
    </w:tbl>
    <w:p w14:paraId="46915F97">
      <w:pPr>
        <w:pStyle w:val="42"/>
        <w:spacing w:before="156"/>
        <w:ind w:firstLine="480"/>
        <w:rPr>
          <w:color w:val="auto"/>
          <w:highlight w:val="none"/>
        </w:rPr>
      </w:pPr>
      <w:r>
        <w:rPr>
          <w:rFonts w:hint="eastAsia"/>
          <w:color w:val="auto"/>
          <w:highlight w:val="none"/>
        </w:rPr>
        <w:t>备注：</w:t>
      </w:r>
    </w:p>
    <w:p w14:paraId="58E3C3DD">
      <w:pPr>
        <w:pStyle w:val="42"/>
        <w:spacing w:before="156"/>
        <w:ind w:firstLine="480"/>
        <w:rPr>
          <w:color w:val="auto"/>
          <w:highlight w:val="none"/>
        </w:rPr>
      </w:pPr>
      <w:r>
        <w:rPr>
          <w:color w:val="auto"/>
          <w:highlight w:val="none"/>
        </w:rPr>
        <w:t>1.</w:t>
      </w:r>
      <w:r>
        <w:rPr>
          <w:rFonts w:hint="eastAsia"/>
          <w:color w:val="auto"/>
          <w:highlight w:val="none"/>
        </w:rPr>
        <w:t>表中所列内容为满足本项目要求的主要中标标的；</w:t>
      </w:r>
    </w:p>
    <w:p w14:paraId="0FEBFEE1">
      <w:pPr>
        <w:pStyle w:val="42"/>
        <w:spacing w:before="156"/>
        <w:ind w:firstLine="480"/>
        <w:rPr>
          <w:color w:val="auto"/>
          <w:highlight w:val="none"/>
        </w:rPr>
      </w:pPr>
      <w:r>
        <w:rPr>
          <w:color w:val="auto"/>
          <w:highlight w:val="none"/>
        </w:rPr>
        <w:t>2.</w:t>
      </w:r>
      <w:r>
        <w:rPr>
          <w:rFonts w:hint="eastAsia"/>
          <w:color w:val="auto"/>
          <w:highlight w:val="none"/>
        </w:rPr>
        <w:t>中标人提供的以上承诺情况（含货物名称、品牌、规格、型号、数量、单价），将按约定随中标公告同时公告。</w:t>
      </w:r>
    </w:p>
    <w:p w14:paraId="0FF21129">
      <w:pPr>
        <w:pStyle w:val="42"/>
        <w:spacing w:before="156"/>
        <w:ind w:firstLine="480"/>
        <w:rPr>
          <w:color w:val="auto"/>
          <w:highlight w:val="none"/>
        </w:rPr>
      </w:pPr>
      <w:r>
        <w:rPr>
          <w:color w:val="auto"/>
          <w:highlight w:val="none"/>
        </w:rPr>
        <w:t>3.</w:t>
      </w:r>
      <w:r>
        <w:rPr>
          <w:rFonts w:hint="eastAsia"/>
          <w:color w:val="auto"/>
          <w:highlight w:val="none"/>
        </w:rPr>
        <w:t>本页《主要中标标的承诺函》由投标人准确填写。</w:t>
      </w:r>
    </w:p>
    <w:p w14:paraId="0E32D900">
      <w:pPr>
        <w:pStyle w:val="42"/>
        <w:spacing w:before="156"/>
        <w:ind w:firstLine="480"/>
        <w:rPr>
          <w:color w:val="auto"/>
          <w:highlight w:val="none"/>
        </w:rPr>
      </w:pPr>
    </w:p>
    <w:p w14:paraId="7225D404">
      <w:pPr>
        <w:pStyle w:val="42"/>
        <w:spacing w:before="156"/>
        <w:ind w:firstLine="480"/>
        <w:rPr>
          <w:color w:val="auto"/>
          <w:highlight w:val="none"/>
        </w:rPr>
      </w:pPr>
    </w:p>
    <w:p w14:paraId="73AAEA95">
      <w:pPr>
        <w:pStyle w:val="4"/>
        <w:rPr>
          <w:color w:val="auto"/>
        </w:rPr>
        <w:sectPr>
          <w:headerReference r:id="rId9" w:type="default"/>
          <w:footerReference r:id="rId10" w:type="default"/>
          <w:pgSz w:w="11910" w:h="16840"/>
          <w:pgMar w:top="1417" w:right="1003" w:bottom="1701" w:left="1003" w:header="1134" w:footer="680" w:gutter="0"/>
          <w:pgBorders>
            <w:top w:val="none" w:sz="0" w:space="0"/>
            <w:left w:val="none" w:sz="0" w:space="0"/>
            <w:bottom w:val="none" w:sz="0" w:space="0"/>
            <w:right w:val="none" w:sz="0" w:space="0"/>
          </w:pgBorders>
          <w:pgNumType w:fmt="decimal"/>
          <w:cols w:space="720" w:num="1"/>
          <w:rtlGutter w:val="0"/>
        </w:sectPr>
      </w:pPr>
      <w:r>
        <w:rPr>
          <w:rFonts w:hint="eastAsia"/>
          <w:color w:val="auto"/>
          <w:highlight w:val="none"/>
        </w:rPr>
        <w:br w:type="page"/>
      </w:r>
    </w:p>
    <w:p w14:paraId="27AA2E73">
      <w:pPr>
        <w:pStyle w:val="2"/>
        <w:rPr>
          <w:color w:val="auto"/>
        </w:rPr>
      </w:pPr>
      <w:bookmarkStart w:id="132" w:name="_Toc12739"/>
      <w:bookmarkStart w:id="133" w:name="_Toc28329"/>
      <w:r>
        <w:rPr>
          <w:rFonts w:hint="eastAsia"/>
          <w:color w:val="auto"/>
        </w:rPr>
        <w:t>第七章 政府采购供应商质疑函范本</w:t>
      </w:r>
      <w:bookmarkEnd w:id="109"/>
      <w:bookmarkEnd w:id="132"/>
      <w:bookmarkEnd w:id="133"/>
    </w:p>
    <w:p w14:paraId="7C776BB2">
      <w:pPr>
        <w:jc w:val="center"/>
        <w:rPr>
          <w:rFonts w:ascii="仿宋" w:hAnsi="仿宋" w:eastAsia="仿宋" w:cs="仿宋"/>
          <w:b/>
          <w:bCs/>
          <w:color w:val="auto"/>
          <w:sz w:val="44"/>
          <w:szCs w:val="44"/>
        </w:rPr>
      </w:pPr>
      <w:r>
        <w:rPr>
          <w:rFonts w:hint="eastAsia" w:ascii="方正小标宋_GBK" w:hAnsi="方正小标宋_GBK" w:eastAsia="方正小标宋_GBK" w:cs="方正小标宋_GBK"/>
          <w:color w:val="auto"/>
          <w:sz w:val="32"/>
          <w:szCs w:val="32"/>
        </w:rPr>
        <w:t>质疑函范本</w:t>
      </w:r>
    </w:p>
    <w:p w14:paraId="7382374F">
      <w:pPr>
        <w:pStyle w:val="42"/>
        <w:spacing w:before="156"/>
        <w:ind w:firstLine="0" w:firstLineChars="0"/>
        <w:outlineLvl w:val="1"/>
        <w:rPr>
          <w:rFonts w:ascii="黑体" w:hAnsi="黑体" w:eastAsia="黑体" w:cs="黑体"/>
          <w:color w:val="auto"/>
        </w:rPr>
      </w:pPr>
      <w:bookmarkStart w:id="134" w:name="_Toc24023"/>
      <w:r>
        <w:rPr>
          <w:rFonts w:hint="eastAsia" w:ascii="黑体" w:hAnsi="黑体" w:eastAsia="黑体" w:cs="黑体"/>
          <w:color w:val="auto"/>
        </w:rPr>
        <w:t>一、质疑供应商基本信息</w:t>
      </w:r>
      <w:bookmarkEnd w:id="134"/>
    </w:p>
    <w:p w14:paraId="601F7B1C">
      <w:pPr>
        <w:pStyle w:val="42"/>
        <w:spacing w:before="156"/>
        <w:ind w:firstLine="480"/>
        <w:rPr>
          <w:color w:val="auto"/>
          <w:u w:val="single"/>
        </w:rPr>
      </w:pPr>
      <w:r>
        <w:rPr>
          <w:rFonts w:hint="eastAsia"/>
          <w:color w:val="auto"/>
        </w:rPr>
        <w:t>质疑供应商：</w:t>
      </w:r>
      <w:r>
        <w:rPr>
          <w:rFonts w:hint="eastAsia"/>
          <w:color w:val="auto"/>
          <w:u w:val="single"/>
        </w:rPr>
        <w:t xml:space="preserve">                                                </w:t>
      </w:r>
    </w:p>
    <w:p w14:paraId="3D8B30B0">
      <w:pPr>
        <w:pStyle w:val="42"/>
        <w:spacing w:before="156"/>
        <w:ind w:firstLine="480"/>
        <w:rPr>
          <w:color w:val="auto"/>
        </w:rPr>
      </w:pPr>
      <w:r>
        <w:rPr>
          <w:rFonts w:hint="eastAsia"/>
          <w:color w:val="auto"/>
        </w:rPr>
        <w:t>地址：</w:t>
      </w:r>
      <w:r>
        <w:rPr>
          <w:rFonts w:hint="eastAsia"/>
          <w:color w:val="auto"/>
          <w:u w:val="single"/>
        </w:rPr>
        <w:t xml:space="preserve">                         </w:t>
      </w:r>
      <w:r>
        <w:rPr>
          <w:rFonts w:hint="eastAsia"/>
          <w:color w:val="auto"/>
        </w:rPr>
        <w:t xml:space="preserve"> 邮编：</w:t>
      </w:r>
      <w:r>
        <w:rPr>
          <w:rFonts w:hint="eastAsia"/>
          <w:color w:val="auto"/>
          <w:u w:val="single"/>
        </w:rPr>
        <w:t xml:space="preserve">                      </w:t>
      </w:r>
      <w:r>
        <w:rPr>
          <w:rFonts w:hint="eastAsia"/>
          <w:color w:val="auto"/>
        </w:rPr>
        <w:t xml:space="preserve">                             </w:t>
      </w:r>
    </w:p>
    <w:p w14:paraId="69111822">
      <w:pPr>
        <w:pStyle w:val="42"/>
        <w:spacing w:before="156"/>
        <w:ind w:firstLine="480"/>
        <w:rPr>
          <w:color w:val="auto"/>
        </w:rPr>
      </w:pPr>
      <w:r>
        <w:rPr>
          <w:rFonts w:hint="eastAsia"/>
          <w:color w:val="auto"/>
        </w:rPr>
        <w:t>联系人：</w:t>
      </w:r>
      <w:r>
        <w:rPr>
          <w:rFonts w:hint="eastAsia"/>
          <w:color w:val="auto"/>
          <w:u w:val="single"/>
        </w:rPr>
        <w:t xml:space="preserve">                     </w:t>
      </w:r>
      <w:r>
        <w:rPr>
          <w:rFonts w:hint="eastAsia"/>
          <w:color w:val="auto"/>
        </w:rPr>
        <w:t xml:space="preserve"> 联系电话：</w:t>
      </w:r>
      <w:r>
        <w:rPr>
          <w:rFonts w:hint="eastAsia"/>
          <w:color w:val="auto"/>
          <w:u w:val="single"/>
        </w:rPr>
        <w:t xml:space="preserve">                    </w:t>
      </w:r>
      <w:r>
        <w:rPr>
          <w:rFonts w:hint="eastAsia"/>
          <w:color w:val="auto"/>
        </w:rPr>
        <w:t xml:space="preserve">          </w:t>
      </w:r>
    </w:p>
    <w:p w14:paraId="3DB7AAB1">
      <w:pPr>
        <w:pStyle w:val="42"/>
        <w:spacing w:before="156"/>
        <w:ind w:firstLine="480"/>
        <w:rPr>
          <w:color w:val="auto"/>
          <w:u w:val="single"/>
        </w:rPr>
      </w:pPr>
      <w:r>
        <w:rPr>
          <w:rFonts w:hint="eastAsia"/>
          <w:color w:val="auto"/>
        </w:rPr>
        <w:t>授权代表：</w:t>
      </w:r>
      <w:r>
        <w:rPr>
          <w:rFonts w:hint="eastAsia"/>
          <w:color w:val="auto"/>
          <w:u w:val="single"/>
        </w:rPr>
        <w:t xml:space="preserve">                                                  </w:t>
      </w:r>
    </w:p>
    <w:p w14:paraId="0289E912">
      <w:pPr>
        <w:pStyle w:val="42"/>
        <w:spacing w:before="156"/>
        <w:ind w:firstLine="480"/>
        <w:rPr>
          <w:color w:val="auto"/>
          <w:u w:val="single"/>
        </w:rPr>
      </w:pPr>
      <w:r>
        <w:rPr>
          <w:rFonts w:hint="eastAsia"/>
          <w:color w:val="auto"/>
        </w:rPr>
        <w:t>联系电话：</w:t>
      </w:r>
      <w:r>
        <w:rPr>
          <w:rFonts w:hint="eastAsia"/>
          <w:color w:val="auto"/>
          <w:u w:val="single"/>
        </w:rPr>
        <w:t xml:space="preserve">                                                 </w:t>
      </w:r>
      <w:r>
        <w:rPr>
          <w:color w:val="auto"/>
          <w:u w:val="single"/>
        </w:rPr>
        <w:t xml:space="preserve"> </w:t>
      </w:r>
    </w:p>
    <w:p w14:paraId="632CEF94">
      <w:pPr>
        <w:pStyle w:val="42"/>
        <w:spacing w:before="156"/>
        <w:ind w:firstLine="480"/>
        <w:rPr>
          <w:color w:val="auto"/>
        </w:rPr>
      </w:pPr>
      <w:r>
        <w:rPr>
          <w:rFonts w:hint="eastAsia"/>
          <w:color w:val="auto"/>
        </w:rPr>
        <w:t>地址：</w:t>
      </w:r>
      <w:r>
        <w:rPr>
          <w:color w:val="auto"/>
          <w:u w:val="single"/>
        </w:rPr>
        <w:t xml:space="preserve"> </w:t>
      </w:r>
      <w:r>
        <w:rPr>
          <w:rFonts w:hint="eastAsia"/>
          <w:color w:val="auto"/>
          <w:u w:val="single"/>
        </w:rPr>
        <w:t xml:space="preserve">                       </w:t>
      </w:r>
      <w:r>
        <w:rPr>
          <w:rFonts w:hint="eastAsia"/>
          <w:color w:val="auto"/>
        </w:rPr>
        <w:t xml:space="preserve"> 邮编：</w:t>
      </w:r>
      <w:r>
        <w:rPr>
          <w:rFonts w:hint="eastAsia"/>
          <w:color w:val="auto"/>
          <w:u w:val="single"/>
        </w:rPr>
        <w:t xml:space="preserve">                       </w:t>
      </w:r>
      <w:r>
        <w:rPr>
          <w:rFonts w:hint="eastAsia"/>
          <w:color w:val="auto"/>
        </w:rPr>
        <w:t xml:space="preserve">                         </w:t>
      </w:r>
    </w:p>
    <w:p w14:paraId="72D54B5A">
      <w:pPr>
        <w:pStyle w:val="42"/>
        <w:spacing w:before="156"/>
        <w:ind w:firstLine="0" w:firstLineChars="0"/>
        <w:outlineLvl w:val="1"/>
        <w:rPr>
          <w:rFonts w:ascii="黑体" w:hAnsi="黑体" w:eastAsia="黑体" w:cs="黑体"/>
          <w:color w:val="auto"/>
        </w:rPr>
      </w:pPr>
      <w:bookmarkStart w:id="135" w:name="_Toc8337"/>
      <w:r>
        <w:rPr>
          <w:rFonts w:hint="eastAsia" w:ascii="黑体" w:hAnsi="黑体" w:eastAsia="黑体" w:cs="黑体"/>
          <w:color w:val="auto"/>
        </w:rPr>
        <w:t>二、质疑项目基本情况</w:t>
      </w:r>
      <w:bookmarkEnd w:id="135"/>
    </w:p>
    <w:p w14:paraId="487B3C0A">
      <w:pPr>
        <w:pStyle w:val="42"/>
        <w:spacing w:before="156"/>
        <w:ind w:firstLine="480"/>
        <w:rPr>
          <w:color w:val="auto"/>
          <w:u w:val="single"/>
        </w:rPr>
      </w:pPr>
      <w:r>
        <w:rPr>
          <w:rFonts w:hint="eastAsia"/>
          <w:color w:val="auto"/>
        </w:rPr>
        <w:t>质疑项目的名称：</w:t>
      </w:r>
      <w:r>
        <w:rPr>
          <w:rFonts w:hint="eastAsia"/>
          <w:color w:val="auto"/>
          <w:u w:val="single"/>
        </w:rPr>
        <w:t xml:space="preserve">                                            </w:t>
      </w:r>
    </w:p>
    <w:p w14:paraId="5136DAA4">
      <w:pPr>
        <w:pStyle w:val="42"/>
        <w:spacing w:before="156"/>
        <w:ind w:firstLine="480"/>
        <w:rPr>
          <w:color w:val="auto"/>
          <w:u w:val="single"/>
        </w:rPr>
      </w:pPr>
      <w:r>
        <w:rPr>
          <w:rFonts w:hint="eastAsia"/>
          <w:color w:val="auto"/>
        </w:rPr>
        <w:t>质疑项目的编号：</w:t>
      </w:r>
      <w:r>
        <w:rPr>
          <w:rFonts w:hint="eastAsia"/>
          <w:color w:val="auto"/>
          <w:u w:val="single"/>
        </w:rPr>
        <w:t xml:space="preserve">              </w:t>
      </w:r>
      <w:r>
        <w:rPr>
          <w:rFonts w:hint="eastAsia"/>
          <w:color w:val="auto"/>
        </w:rPr>
        <w:t xml:space="preserve"> 包号：</w:t>
      </w:r>
      <w:r>
        <w:rPr>
          <w:rFonts w:hint="eastAsia"/>
          <w:color w:val="auto"/>
          <w:u w:val="single"/>
        </w:rPr>
        <w:t xml:space="preserve">                       </w:t>
      </w:r>
    </w:p>
    <w:p w14:paraId="2F65D827">
      <w:pPr>
        <w:pStyle w:val="42"/>
        <w:spacing w:before="156"/>
        <w:ind w:firstLine="480"/>
        <w:rPr>
          <w:color w:val="auto"/>
          <w:u w:val="single"/>
        </w:rPr>
      </w:pPr>
      <w:r>
        <w:rPr>
          <w:rFonts w:hint="eastAsia"/>
          <w:color w:val="auto"/>
        </w:rPr>
        <w:t>采购人名称：</w:t>
      </w:r>
      <w:r>
        <w:rPr>
          <w:rFonts w:hint="eastAsia"/>
          <w:color w:val="auto"/>
          <w:u w:val="single"/>
        </w:rPr>
        <w:t xml:space="preserve">                                                </w:t>
      </w:r>
    </w:p>
    <w:p w14:paraId="62A114C0">
      <w:pPr>
        <w:pStyle w:val="42"/>
        <w:spacing w:before="156"/>
        <w:ind w:firstLine="480"/>
        <w:rPr>
          <w:color w:val="auto"/>
        </w:rPr>
      </w:pPr>
      <w:r>
        <w:rPr>
          <w:rFonts w:hint="eastAsia"/>
          <w:color w:val="auto"/>
        </w:rPr>
        <w:t>采购文件获取日期：</w:t>
      </w:r>
      <w:r>
        <w:rPr>
          <w:rFonts w:hint="eastAsia"/>
          <w:color w:val="auto"/>
          <w:u w:val="single"/>
        </w:rPr>
        <w:t xml:space="preserve">                                          </w:t>
      </w:r>
      <w:r>
        <w:rPr>
          <w:rFonts w:hint="eastAsia"/>
          <w:color w:val="auto"/>
        </w:rPr>
        <w:t xml:space="preserve"> </w:t>
      </w:r>
    </w:p>
    <w:p w14:paraId="5B1D9147">
      <w:pPr>
        <w:pStyle w:val="42"/>
        <w:spacing w:before="156"/>
        <w:ind w:firstLine="0" w:firstLineChars="0"/>
        <w:outlineLvl w:val="1"/>
        <w:rPr>
          <w:rFonts w:ascii="黑体" w:hAnsi="黑体" w:eastAsia="黑体" w:cs="黑体"/>
          <w:color w:val="auto"/>
        </w:rPr>
      </w:pPr>
      <w:bookmarkStart w:id="136" w:name="_Toc12228"/>
      <w:r>
        <w:rPr>
          <w:rFonts w:hint="eastAsia" w:ascii="黑体" w:hAnsi="黑体" w:eastAsia="黑体" w:cs="黑体"/>
          <w:color w:val="auto"/>
        </w:rPr>
        <w:t>三、质疑事项具体内容</w:t>
      </w:r>
      <w:bookmarkEnd w:id="136"/>
    </w:p>
    <w:p w14:paraId="465720A0">
      <w:pPr>
        <w:pStyle w:val="42"/>
        <w:spacing w:before="156"/>
        <w:ind w:firstLine="480"/>
        <w:rPr>
          <w:color w:val="auto"/>
        </w:rPr>
      </w:pPr>
      <w:r>
        <w:rPr>
          <w:rFonts w:hint="eastAsia"/>
          <w:color w:val="auto"/>
        </w:rPr>
        <w:t xml:space="preserve">质疑事项1：                                         </w:t>
      </w:r>
    </w:p>
    <w:p w14:paraId="5B15F9E4">
      <w:pPr>
        <w:pStyle w:val="42"/>
        <w:spacing w:before="156"/>
        <w:ind w:firstLine="480"/>
        <w:rPr>
          <w:color w:val="auto"/>
        </w:rPr>
      </w:pPr>
      <w:r>
        <w:rPr>
          <w:rFonts w:hint="eastAsia"/>
          <w:color w:val="auto"/>
        </w:rPr>
        <w:t xml:space="preserve">事实依据：                                                                                            </w:t>
      </w:r>
    </w:p>
    <w:p w14:paraId="646377C4">
      <w:pPr>
        <w:pStyle w:val="42"/>
        <w:spacing w:before="156"/>
        <w:ind w:firstLine="480"/>
        <w:rPr>
          <w:color w:val="auto"/>
        </w:rPr>
      </w:pPr>
      <w:r>
        <w:rPr>
          <w:rFonts w:hint="eastAsia"/>
          <w:color w:val="auto"/>
        </w:rPr>
        <w:t xml:space="preserve">法律依据：                                                                                            </w:t>
      </w:r>
    </w:p>
    <w:p w14:paraId="18628AA4">
      <w:pPr>
        <w:pStyle w:val="42"/>
        <w:spacing w:before="156"/>
        <w:ind w:firstLine="480"/>
        <w:rPr>
          <w:color w:val="auto"/>
        </w:rPr>
      </w:pPr>
      <w:r>
        <w:rPr>
          <w:rFonts w:hint="eastAsia"/>
          <w:color w:val="auto"/>
        </w:rPr>
        <w:t>质疑事项2：</w:t>
      </w:r>
    </w:p>
    <w:p w14:paraId="1DF817A7">
      <w:pPr>
        <w:pStyle w:val="42"/>
        <w:spacing w:before="156"/>
        <w:ind w:firstLine="480"/>
        <w:rPr>
          <w:color w:val="auto"/>
        </w:rPr>
      </w:pPr>
      <w:r>
        <w:rPr>
          <w:rFonts w:hint="eastAsia"/>
          <w:color w:val="auto"/>
        </w:rPr>
        <w:t>……</w:t>
      </w:r>
    </w:p>
    <w:p w14:paraId="53F75224">
      <w:pPr>
        <w:pStyle w:val="42"/>
        <w:spacing w:before="156"/>
        <w:ind w:firstLine="0" w:firstLineChars="0"/>
        <w:outlineLvl w:val="1"/>
        <w:rPr>
          <w:rFonts w:ascii="黑体" w:hAnsi="黑体" w:eastAsia="黑体" w:cs="黑体"/>
          <w:color w:val="auto"/>
        </w:rPr>
      </w:pPr>
      <w:bookmarkStart w:id="137" w:name="_Toc9075"/>
      <w:r>
        <w:rPr>
          <w:rFonts w:hint="eastAsia" w:ascii="黑体" w:hAnsi="黑体" w:eastAsia="黑体" w:cs="黑体"/>
          <w:color w:val="auto"/>
        </w:rPr>
        <w:t>四、与质疑事项相关的质疑请求</w:t>
      </w:r>
      <w:bookmarkEnd w:id="137"/>
    </w:p>
    <w:p w14:paraId="22C514E4">
      <w:pPr>
        <w:pStyle w:val="42"/>
        <w:spacing w:before="156"/>
        <w:ind w:firstLine="480"/>
        <w:rPr>
          <w:rFonts w:hint="eastAsia"/>
          <w:color w:val="auto"/>
        </w:rPr>
      </w:pPr>
      <w:r>
        <w:rPr>
          <w:rFonts w:hint="eastAsia"/>
          <w:color w:val="auto"/>
        </w:rPr>
        <w:t xml:space="preserve">请求：                                            </w:t>
      </w:r>
    </w:p>
    <w:p w14:paraId="097B6BFC">
      <w:pPr>
        <w:pStyle w:val="42"/>
        <w:spacing w:before="156"/>
        <w:rPr>
          <w:color w:val="auto"/>
        </w:rPr>
      </w:pPr>
    </w:p>
    <w:p w14:paraId="504CB3C4">
      <w:pPr>
        <w:pStyle w:val="42"/>
        <w:spacing w:before="156"/>
        <w:ind w:firstLine="480"/>
        <w:jc w:val="center"/>
        <w:rPr>
          <w:color w:val="auto"/>
        </w:rPr>
      </w:pPr>
      <w:r>
        <w:rPr>
          <w:rFonts w:hint="eastAsia"/>
          <w:color w:val="auto"/>
        </w:rPr>
        <w:t xml:space="preserve">                                 </w:t>
      </w:r>
      <w:r>
        <w:rPr>
          <w:rFonts w:hint="eastAsia"/>
          <w:color w:val="auto"/>
          <w:lang w:val="en-US" w:eastAsia="zh-CN"/>
        </w:rPr>
        <w:t xml:space="preserve">     </w:t>
      </w:r>
      <w:r>
        <w:rPr>
          <w:rFonts w:hint="eastAsia"/>
          <w:color w:val="auto"/>
        </w:rPr>
        <w:t>签</w:t>
      </w:r>
      <w:r>
        <w:rPr>
          <w:rFonts w:hint="eastAsia"/>
          <w:color w:val="auto"/>
          <w:lang w:eastAsia="zh-CN"/>
        </w:rPr>
        <w:t>章（签字或盖章）</w:t>
      </w:r>
      <w:r>
        <w:rPr>
          <w:rFonts w:hint="eastAsia"/>
          <w:color w:val="auto"/>
        </w:rPr>
        <w:t xml:space="preserve">：                   </w:t>
      </w:r>
    </w:p>
    <w:p w14:paraId="5D330463">
      <w:pPr>
        <w:pStyle w:val="42"/>
        <w:spacing w:before="156"/>
        <w:ind w:firstLine="480"/>
        <w:jc w:val="center"/>
        <w:rPr>
          <w:color w:val="auto"/>
        </w:rPr>
      </w:pPr>
      <w:r>
        <w:rPr>
          <w:rFonts w:hint="eastAsia"/>
          <w:color w:val="auto"/>
        </w:rPr>
        <w:t xml:space="preserve">                                       单位名称（公章）：                      </w:t>
      </w:r>
    </w:p>
    <w:p w14:paraId="54147268">
      <w:pPr>
        <w:pStyle w:val="42"/>
        <w:spacing w:before="156"/>
        <w:ind w:firstLine="480"/>
        <w:jc w:val="center"/>
        <w:rPr>
          <w:color w:val="auto"/>
        </w:rPr>
      </w:pPr>
      <w:r>
        <w:rPr>
          <w:rFonts w:hint="eastAsia"/>
          <w:color w:val="auto"/>
        </w:rPr>
        <w:t xml:space="preserve">                            日期：  </w:t>
      </w:r>
    </w:p>
    <w:p w14:paraId="5CA63489">
      <w:pPr>
        <w:rPr>
          <w:rFonts w:ascii="黑体" w:hAnsi="黑体" w:eastAsia="黑体" w:cs="黑体"/>
          <w:color w:val="auto"/>
          <w:sz w:val="24"/>
        </w:rPr>
      </w:pPr>
    </w:p>
    <w:p w14:paraId="4DDF22BE">
      <w:pPr>
        <w:rPr>
          <w:rFonts w:ascii="黑体" w:hAnsi="黑体" w:eastAsia="黑体" w:cs="黑体"/>
          <w:color w:val="auto"/>
          <w:sz w:val="24"/>
        </w:rPr>
      </w:pPr>
    </w:p>
    <w:p w14:paraId="2835237E">
      <w:pPr>
        <w:rPr>
          <w:rFonts w:ascii="黑体" w:hAnsi="黑体" w:eastAsia="黑体" w:cs="黑体"/>
          <w:color w:val="auto"/>
          <w:sz w:val="24"/>
        </w:rPr>
      </w:pPr>
      <w:r>
        <w:rPr>
          <w:rFonts w:hint="eastAsia" w:ascii="黑体" w:hAnsi="黑体" w:eastAsia="黑体" w:cs="黑体"/>
          <w:color w:val="auto"/>
          <w:sz w:val="24"/>
        </w:rPr>
        <w:t>质疑函制作说明：</w:t>
      </w:r>
    </w:p>
    <w:p w14:paraId="168FC43F">
      <w:pPr>
        <w:pStyle w:val="42"/>
        <w:numPr>
          <w:ilvl w:val="0"/>
          <w:numId w:val="23"/>
        </w:numPr>
        <w:bidi w:val="0"/>
        <w:ind w:left="0" w:leftChars="0" w:firstLine="400" w:firstLineChars="0"/>
        <w:outlineLvl w:val="9"/>
        <w:rPr>
          <w:color w:val="auto"/>
        </w:rPr>
      </w:pPr>
      <w:r>
        <w:rPr>
          <w:rFonts w:hint="eastAsia"/>
          <w:color w:val="auto"/>
        </w:rPr>
        <w:t>供应商提出质疑时，应提交质疑函和必要的证明材料。</w:t>
      </w:r>
    </w:p>
    <w:p w14:paraId="034E2744">
      <w:pPr>
        <w:pStyle w:val="42"/>
        <w:numPr>
          <w:ilvl w:val="0"/>
          <w:numId w:val="23"/>
        </w:numPr>
        <w:bidi w:val="0"/>
        <w:ind w:left="0" w:leftChars="0" w:firstLine="400" w:firstLineChars="0"/>
        <w:rPr>
          <w:color w:val="auto"/>
        </w:rPr>
      </w:pPr>
      <w:r>
        <w:rPr>
          <w:rFonts w:hint="eastAsia"/>
          <w:color w:val="auto"/>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B7E62DC">
      <w:pPr>
        <w:pStyle w:val="42"/>
        <w:numPr>
          <w:ilvl w:val="0"/>
          <w:numId w:val="23"/>
        </w:numPr>
        <w:bidi w:val="0"/>
        <w:ind w:left="0" w:leftChars="0" w:firstLine="400" w:firstLineChars="0"/>
        <w:rPr>
          <w:color w:val="auto"/>
        </w:rPr>
      </w:pPr>
      <w:r>
        <w:rPr>
          <w:rFonts w:hint="eastAsia"/>
          <w:color w:val="auto"/>
        </w:rPr>
        <w:t>质疑供应商若对项目的某一分包进行质疑，质疑函中应列明具体分包号。</w:t>
      </w:r>
    </w:p>
    <w:p w14:paraId="1C732C03">
      <w:pPr>
        <w:pStyle w:val="42"/>
        <w:numPr>
          <w:ilvl w:val="0"/>
          <w:numId w:val="23"/>
        </w:numPr>
        <w:bidi w:val="0"/>
        <w:ind w:left="0" w:leftChars="0" w:firstLine="400" w:firstLineChars="0"/>
        <w:rPr>
          <w:color w:val="auto"/>
        </w:rPr>
      </w:pPr>
      <w:r>
        <w:rPr>
          <w:rFonts w:hint="eastAsia"/>
          <w:color w:val="auto"/>
        </w:rPr>
        <w:t>质疑函的质疑事项应具体、明确，并有必要的事实依据和法律依据。</w:t>
      </w:r>
    </w:p>
    <w:p w14:paraId="400A08BB">
      <w:pPr>
        <w:pStyle w:val="42"/>
        <w:numPr>
          <w:ilvl w:val="0"/>
          <w:numId w:val="23"/>
        </w:numPr>
        <w:bidi w:val="0"/>
        <w:ind w:left="0" w:leftChars="0" w:firstLine="400" w:firstLineChars="0"/>
        <w:outlineLvl w:val="9"/>
        <w:rPr>
          <w:color w:val="auto"/>
        </w:rPr>
      </w:pPr>
      <w:r>
        <w:rPr>
          <w:rFonts w:hint="eastAsia"/>
          <w:color w:val="auto"/>
        </w:rPr>
        <w:t>质疑函的质疑请求应与质疑事项相关。</w:t>
      </w:r>
    </w:p>
    <w:p w14:paraId="07FD372E">
      <w:pPr>
        <w:pStyle w:val="42"/>
        <w:numPr>
          <w:ilvl w:val="0"/>
          <w:numId w:val="23"/>
        </w:numPr>
        <w:bidi w:val="0"/>
        <w:ind w:left="0" w:leftChars="0" w:firstLine="400" w:firstLineChars="0"/>
        <w:rPr>
          <w:color w:val="auto"/>
        </w:rPr>
      </w:pPr>
      <w:r>
        <w:rPr>
          <w:rFonts w:hint="eastAsia"/>
          <w:color w:val="auto"/>
        </w:rPr>
        <w:t>质疑供应商为自然人的，质疑函应由本人签字；质疑供应商为法人或者其他组织的，质疑函应由法定代表人、主要负责人，或者其授权代表签字或者盖章，并加盖公章。</w:t>
      </w:r>
    </w:p>
    <w:bookmarkEnd w:id="138"/>
    <w:sectPr>
      <w:headerReference r:id="rId11" w:type="default"/>
      <w:footerReference r:id="rId12" w:type="default"/>
      <w:pgSz w:w="11906" w:h="16838"/>
      <w:pgMar w:top="1417" w:right="1003" w:bottom="1701" w:left="1003" w:header="851" w:footer="992" w:gutter="0"/>
      <w:pgBorders>
        <w:top w:val="none" w:sz="0" w:space="0"/>
        <w:left w:val="none" w:sz="0" w:space="0"/>
        <w:bottom w:val="none" w:sz="0" w:space="0"/>
        <w:right w:val="none" w:sz="0" w:space="0"/>
      </w:pgBorders>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A6C3CF3-C8A2-43F7-9B6E-F409CD5D505A}"/>
  </w:font>
  <w:font w:name="Arial">
    <w:panose1 w:val="020B0604020202020204"/>
    <w:charset w:val="01"/>
    <w:family w:val="swiss"/>
    <w:pitch w:val="default"/>
    <w:sig w:usb0="E0002EFF" w:usb1="C000785B" w:usb2="00000009" w:usb3="00000000" w:csb0="400001FF" w:csb1="FFFF0000"/>
    <w:embedRegular r:id="rId2" w:fontKey="{86439007-1969-47AE-B5BB-18E5BE7A8C99}"/>
  </w:font>
  <w:font w:name="黑体">
    <w:panose1 w:val="02010609060101010101"/>
    <w:charset w:val="86"/>
    <w:family w:val="auto"/>
    <w:pitch w:val="default"/>
    <w:sig w:usb0="800002BF" w:usb1="38CF7CFA" w:usb2="00000016" w:usb3="00000000" w:csb0="00040001" w:csb1="00000000"/>
    <w:embedRegular r:id="rId3" w:fontKey="{909BCC24-B396-4701-9541-4DB6186506B2}"/>
  </w:font>
  <w:font w:name="Courier New">
    <w:panose1 w:val="02070309020205020404"/>
    <w:charset w:val="01"/>
    <w:family w:val="modern"/>
    <w:pitch w:val="default"/>
    <w:sig w:usb0="E0002EFF" w:usb1="C0007843" w:usb2="00000009" w:usb3="00000000" w:csb0="400001FF" w:csb1="FFFF0000"/>
    <w:embedRegular r:id="rId4" w:fontKey="{A5A55F47-04AE-4D9F-AA79-FD45A4AAA42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5" w:fontKey="{058D8944-05AE-4330-BCDA-64D80875CD10}"/>
  </w:font>
  <w:font w:name="方正小标宋_GBK">
    <w:panose1 w:val="02000000000000000000"/>
    <w:charset w:val="86"/>
    <w:family w:val="auto"/>
    <w:pitch w:val="default"/>
    <w:sig w:usb0="A00002BF" w:usb1="38CF7CFA" w:usb2="00082016" w:usb3="00000000" w:csb0="00040001" w:csb1="00000000"/>
    <w:embedRegular r:id="rId6" w:fontKey="{64B96117-668C-48BB-8D8D-7274C8ECF72D}"/>
  </w:font>
  <w:font w:name="Arial Narrow">
    <w:altName w:val="Arial"/>
    <w:panose1 w:val="020B0606020202030204"/>
    <w:charset w:val="00"/>
    <w:family w:val="auto"/>
    <w:pitch w:val="default"/>
    <w:sig w:usb0="00000000"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7" w:fontKey="{FD03EAAD-D606-47E7-99CF-914C9E3D19CF}"/>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8" w:fontKey="{AD57DBE3-6DF9-4FF6-ACDE-D87CEED92410}"/>
  </w:font>
  <w:font w:name="方正公文小标宋">
    <w:panose1 w:val="02000500000000000000"/>
    <w:charset w:val="86"/>
    <w:family w:val="auto"/>
    <w:pitch w:val="default"/>
    <w:sig w:usb0="A00002BF" w:usb1="38CF7CFA" w:usb2="00000016" w:usb3="00000000" w:csb0="00040001" w:csb1="00000000"/>
    <w:embedRegular r:id="rId9" w:fontKey="{C4288A62-2A33-4410-9E8D-780CA9E36982}"/>
  </w:font>
  <w:font w:name="楷体">
    <w:panose1 w:val="02010609060101010101"/>
    <w:charset w:val="86"/>
    <w:family w:val="auto"/>
    <w:pitch w:val="default"/>
    <w:sig w:usb0="800002BF" w:usb1="38CF7CFA" w:usb2="00000016" w:usb3="00000000" w:csb0="00040001" w:csb1="00000000"/>
    <w:embedRegular r:id="rId10" w:fontKey="{B1A50B48-9E51-4D2E-9DCD-F9786FDE0A98}"/>
  </w:font>
  <w:font w:name="方正小标宋简体">
    <w:panose1 w:val="02000000000000000000"/>
    <w:charset w:val="86"/>
    <w:family w:val="auto"/>
    <w:pitch w:val="default"/>
    <w:sig w:usb0="00000001" w:usb1="08000000" w:usb2="00000000" w:usb3="00000000" w:csb0="00040000" w:csb1="00000000"/>
    <w:embedRegular r:id="rId11" w:fontKey="{265980A2-AE82-4809-B529-8ECBF6819D3B}"/>
  </w:font>
  <w:font w:name="楷体_GB2312">
    <w:panose1 w:val="02010609030101010101"/>
    <w:charset w:val="86"/>
    <w:family w:val="modern"/>
    <w:pitch w:val="default"/>
    <w:sig w:usb0="00000001" w:usb1="080E0000" w:usb2="00000000" w:usb3="00000000" w:csb0="00040000" w:csb1="00000000"/>
    <w:embedRegular r:id="rId12" w:fontKey="{4B4289F3-5306-4A0C-961C-E8A49F7A54DC}"/>
  </w:font>
  <w:font w:name="仿宋_GB2312">
    <w:panose1 w:val="02010609030101010101"/>
    <w:charset w:val="86"/>
    <w:family w:val="auto"/>
    <w:pitch w:val="default"/>
    <w:sig w:usb0="00000001" w:usb1="080E0000" w:usb2="00000000" w:usb3="00000000" w:csb0="00040000" w:csb1="00000000"/>
    <w:embedRegular r:id="rId13" w:fontKey="{E6206244-8DB7-4526-9902-3532C601418E}"/>
  </w:font>
  <w:font w:name="Wingdings 2">
    <w:panose1 w:val="05020102010507070707"/>
    <w:charset w:val="02"/>
    <w:family w:val="auto"/>
    <w:pitch w:val="default"/>
    <w:sig w:usb0="00000000" w:usb1="00000000" w:usb2="00000000" w:usb3="00000000" w:csb0="80000000" w:csb1="00000000"/>
    <w:embedRegular r:id="rId14" w:fontKey="{AA72B15F-8D60-46DD-9A1B-A3F0E274129F}"/>
  </w:font>
  <w:font w:name="仿宋">
    <w:panose1 w:val="02010609060101010101"/>
    <w:charset w:val="86"/>
    <w:family w:val="auto"/>
    <w:pitch w:val="default"/>
    <w:sig w:usb0="800002BF" w:usb1="38CF7CFA" w:usb2="00000016" w:usb3="00000000" w:csb0="00040001" w:csb1="00000000"/>
    <w:embedRegular r:id="rId15" w:fontKey="{FA791E99-3437-4B8B-BBA1-EAD88CE7455F}"/>
  </w:font>
  <w:font w:name="华文楷体">
    <w:panose1 w:val="02010600040101010101"/>
    <w:charset w:val="86"/>
    <w:family w:val="auto"/>
    <w:pitch w:val="default"/>
    <w:sig w:usb0="00000287" w:usb1="080F0000" w:usb2="00000000" w:usb3="00000000" w:csb0="0004009F" w:csb1="DFD70000"/>
    <w:embedRegular r:id="rId16" w:fontKey="{38611D12-8AA2-4ED6-BC54-8E2F6EA27F74}"/>
  </w:font>
  <w:font w:name="WPSEMBED50">
    <w:panose1 w:val="02010600040101010101"/>
    <w:charset w:val="86"/>
    <w:family w:val="auto"/>
    <w:pitch w:val="default"/>
    <w:sig w:usb0="00000287" w:usb1="080F0000" w:usb2="00000000" w:usb3="00000000" w:csb0="0004009F" w:csb1="DFD70000"/>
  </w:font>
  <w:font w:name="WPSEMBED51">
    <w:panose1 w:val="02000500000000000000"/>
    <w:charset w:val="86"/>
    <w:family w:val="auto"/>
    <w:pitch w:val="default"/>
    <w:sig w:usb0="A00002BF" w:usb1="38CF7CFA" w:usb2="00000016" w:usb3="00000000" w:csb0="00040001" w:csb1="00000000"/>
  </w:font>
  <w:font w:name="WPSEMBED52">
    <w:panose1 w:val="02000000000000000000"/>
    <w:charset w:val="86"/>
    <w:family w:val="auto"/>
    <w:pitch w:val="default"/>
    <w:sig w:usb0="00000001" w:usb1="08000000" w:usb2="00000000" w:usb3="00000000" w:csb0="00040000" w:csb1="00000000"/>
  </w:font>
  <w:font w:name="WPSEMBED49">
    <w:panose1 w:val="02000000000000000000"/>
    <w:charset w:val="86"/>
    <w:family w:val="auto"/>
    <w:pitch w:val="default"/>
    <w:sig w:usb0="A00002BF" w:usb1="38CF7CFA" w:usb2="00082016" w:usb3="00000000" w:csb0="00040001" w:csb1="00000000"/>
  </w:font>
  <w:font w:name="WPSEMBED53">
    <w:panose1 w:val="02010609030101010101"/>
    <w:charset w:val="86"/>
    <w:family w:val="auto"/>
    <w:pitch w:val="default"/>
    <w:sig w:usb0="00000001" w:usb1="080E0000" w:usb2="00000000" w:usb3="00000000" w:csb0="00040000" w:csb1="00000000"/>
  </w:font>
  <w:font w:name="WPSEMBED54">
    <w:panose1 w:val="02010609030101010101"/>
    <w:charset w:val="86"/>
    <w:family w:val="auto"/>
    <w:pitch w:val="default"/>
    <w:sig w:usb0="00000001" w:usb1="080E0000" w:usb2="00000000" w:usb3="00000000" w:csb0="00040000" w:csb1="00000000"/>
  </w:font>
  <w:font w:name="WPSEMBED55">
    <w:panose1 w:val="05020102010507070707"/>
    <w:charset w:val="00"/>
    <w:family w:val="auto"/>
    <w:pitch w:val="default"/>
    <w:sig w:usb0="00000000" w:usb1="00000000" w:usb2="00000000" w:usb3="00000000" w:csb0="80000000" w:csb1="00000000"/>
  </w:font>
  <w:font w:name="WPSEMBED56">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3926F">
    <w:pPr>
      <w:widowControl w:val="0"/>
      <w:tabs>
        <w:tab w:val="center" w:pos="4153"/>
        <w:tab w:val="right" w:pos="8306"/>
      </w:tabs>
      <w:snapToGrid w:val="0"/>
      <w:jc w:val="left"/>
      <w:rPr>
        <w:rFonts w:ascii="等线" w:hAnsi="等线" w:eastAsia="等线" w:cs="Times New Roman"/>
        <w:kern w:val="2"/>
        <w:sz w:val="18"/>
        <w:szCs w:val="18"/>
        <w:lang w:val="en-US" w:eastAsia="zh-CN" w:bidi="ar-SA"/>
      </w:rPr>
    </w:pPr>
    <w:r>
      <w:rPr>
        <w:rFonts w:ascii="等线" w:hAnsi="等线" w:eastAsia="等线"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4401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tsHc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IMyeZWGr&#10;d5ZH6CiPt6tjgJxJ5ShKpwS6EzeYvtSn/qXE8f5zn6I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8rbB3MQIAAGUEAAAOAAAAAAAAAAEAIAAAAB8BAABkcnMvZTJvRG9jLnhtbFBLBQYA&#10;AAAABgAGAFkBAADCBQAAAAA=&#10;">
              <v:fill on="f" focussize="0,0"/>
              <v:stroke on="f" weight="0.5pt"/>
              <v:imagedata o:title=""/>
              <o:lock v:ext="edit" aspectratio="f"/>
              <v:textbox inset="0mm,0mm,0mm,0mm" style="mso-fit-shape-to-text:t;">
                <w:txbxContent>
                  <w:p w14:paraId="3FA4401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0F6E1">
    <w:pPr>
      <w:pStyle w:val="23"/>
      <w:tabs>
        <w:tab w:val="clear" w:pos="8306"/>
      </w:tabs>
      <w:ind w:left="0" w:leftChars="0" w:right="0" w:rightChars="0" w:firstLine="0" w:firstLineChars="0"/>
      <w:rPr>
        <w:rFonts w:hint="eastAsia" w:ascii="楷体" w:hAnsi="楷体" w:eastAsia="楷体" w:cs="楷体"/>
        <w:sz w:val="18"/>
        <w:szCs w:val="11"/>
        <w:lang w:val="en-US" w:eastAsia="zh-CN"/>
      </w:rPr>
    </w:pPr>
    <w:r>
      <w:rPr>
        <w:sz w:val="18"/>
      </w:rPr>
      <mc:AlternateContent>
        <mc:Choice Requires="wps">
          <w:drawing>
            <wp:anchor distT="0" distB="0" distL="0" distR="0" simplePos="0" relativeHeight="251659264" behindDoc="0" locked="0" layoutInCell="1" allowOverlap="1">
              <wp:simplePos x="0" y="0"/>
              <wp:positionH relativeFrom="column">
                <wp:posOffset>3810</wp:posOffset>
              </wp:positionH>
              <wp:positionV relativeFrom="paragraph">
                <wp:posOffset>-45720</wp:posOffset>
              </wp:positionV>
              <wp:extent cx="6473190" cy="12065"/>
              <wp:effectExtent l="0" t="0" r="0" b="0"/>
              <wp:wrapNone/>
              <wp:docPr id="4098" name="直接连接符 42"/>
              <wp:cNvGraphicFramePr/>
              <a:graphic xmlns:a="http://schemas.openxmlformats.org/drawingml/2006/main">
                <a:graphicData uri="http://schemas.microsoft.com/office/word/2010/wordprocessingShape">
                  <wps:wsp>
                    <wps:cNvCnPr/>
                    <wps:spPr>
                      <a:xfrm>
                        <a:off x="0" y="0"/>
                        <a:ext cx="6473190" cy="12064"/>
                      </a:xfrm>
                      <a:prstGeom prst="line">
                        <a:avLst/>
                      </a:prstGeom>
                      <a:ln w="12700" cap="flat" cmpd="sng">
                        <a:solidFill>
                          <a:srgbClr val="000000"/>
                        </a:solidFill>
                        <a:prstDash val="sysDot"/>
                        <a:round/>
                      </a:ln>
                    </wps:spPr>
                    <wps:bodyPr/>
                  </wps:wsp>
                </a:graphicData>
              </a:graphic>
            </wp:anchor>
          </w:drawing>
        </mc:Choice>
        <mc:Fallback>
          <w:pict>
            <v:line id="直接连接符 42" o:spid="_x0000_s1026" o:spt="20" style="position:absolute;left:0pt;margin-left:0.3pt;margin-top:-3.6pt;height:0.95pt;width:509.7pt;z-index:251659264;mso-width-relative:page;mso-height-relative:page;" filled="f" stroked="t" coordsize="21600,21600" o:gfxdata="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j//z7TAAAABwEAAA8AAAAAAAAAAQAg&#10;AAAAIgAAAGRycy9kb3ducmV2LnhtbFBLAQIUABQAAAAIAIdO4kBaDPTL2gEAAJgDAAAOAAAAAAAA&#10;AAEAIAAAACIBAABkcnMvZTJvRG9jLnhtbFBLBQYAAAAABgAGAFkBAABuBQAAAAA=&#10;">
              <v:fill on="f" focussize="0,0"/>
              <v:stroke weight="1pt" color="#000000" joinstyle="round" dashstyle="1 1"/>
              <v:imagedata o:title=""/>
              <o:lock v:ext="edit" aspectratio="f"/>
            </v:lin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034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03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2B3FF">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2pt;mso-position-horizontal:center;mso-position-horizontal-relative:margin;z-index:251660288;mso-width-relative:page;mso-height-relative:page;" filled="f" stroked="f" coordsize="21600,21600" o:gfxdata="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fVfJdIAAAAEAQAADwAAAAAAAAABACAAAAAiAAAAZHJzL2Rvd25yZXYueG1s&#10;UEsBAhQAFAAAAAgAh07iQHUsnyI3AgAAZAQAAA4AAAAAAAAAAQAgAAAAIQEAAGRycy9lMm9Eb2Mu&#10;eG1sUEsFBgAAAAAGAAYAWQEAAMoFAAAAAA==&#10;">
              <v:fill on="f" focussize="0,0"/>
              <v:stroke on="f" weight="0.5pt"/>
              <v:imagedata o:title=""/>
              <o:lock v:ext="edit" aspectratio="f"/>
              <v:textbox inset="0mm,0mm,0mm,0mm" style="mso-fit-shape-to-text:t;">
                <w:txbxContent>
                  <w:p w14:paraId="6CC2B3FF">
                    <w:pPr>
                      <w:pStyle w:val="2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楷体" w:hAnsi="楷体" w:eastAsia="楷体" w:cs="楷体"/>
        <w:sz w:val="18"/>
        <w:szCs w:val="11"/>
        <w:lang w:val="en-US" w:eastAsia="zh-CN"/>
      </w:rPr>
      <w:t>湖南智高项目管理有限公司                                                    地址：慈利县胜汉步行街19栋3楼</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E7978">
    <w:pPr>
      <w:pStyle w:val="23"/>
      <w:tabs>
        <w:tab w:val="clear" w:pos="8306"/>
      </w:tabs>
      <w:ind w:left="0" w:leftChars="0" w:right="0" w:rightChars="0" w:firstLine="0" w:firstLineChars="0"/>
    </w:pPr>
    <w:r>
      <w:rPr>
        <w:sz w:val="18"/>
      </w:rPr>
      <mc:AlternateContent>
        <mc:Choice Requires="wps">
          <w:drawing>
            <wp:anchor distT="0" distB="0" distL="0" distR="0" simplePos="0" relativeHeight="251662336" behindDoc="0" locked="0" layoutInCell="1" allowOverlap="1">
              <wp:simplePos x="0" y="0"/>
              <wp:positionH relativeFrom="column">
                <wp:posOffset>-34290</wp:posOffset>
              </wp:positionH>
              <wp:positionV relativeFrom="paragraph">
                <wp:posOffset>-36195</wp:posOffset>
              </wp:positionV>
              <wp:extent cx="6473190" cy="12065"/>
              <wp:effectExtent l="0" t="0" r="0" b="0"/>
              <wp:wrapNone/>
              <wp:docPr id="19" name="直接连接符 42"/>
              <wp:cNvGraphicFramePr/>
              <a:graphic xmlns:a="http://schemas.openxmlformats.org/drawingml/2006/main">
                <a:graphicData uri="http://schemas.microsoft.com/office/word/2010/wordprocessingShape">
                  <wps:wsp>
                    <wps:cNvCnPr/>
                    <wps:spPr>
                      <a:xfrm>
                        <a:off x="0" y="0"/>
                        <a:ext cx="6473190" cy="12064"/>
                      </a:xfrm>
                      <a:prstGeom prst="line">
                        <a:avLst/>
                      </a:prstGeom>
                      <a:ln w="12700" cap="flat" cmpd="sng">
                        <a:solidFill>
                          <a:srgbClr val="000000"/>
                        </a:solidFill>
                        <a:prstDash val="sysDot"/>
                        <a:round/>
                      </a:ln>
                    </wps:spPr>
                    <wps:bodyPr/>
                  </wps:wsp>
                </a:graphicData>
              </a:graphic>
            </wp:anchor>
          </w:drawing>
        </mc:Choice>
        <mc:Fallback>
          <w:pict>
            <v:line id="直接连接符 42" o:spid="_x0000_s1026" o:spt="20" style="position:absolute;left:0pt;margin-left:-2.7pt;margin-top:-2.85pt;height:0.95pt;width:509.7pt;z-index:251662336;mso-width-relative:page;mso-height-relative:page;" filled="f" stroked="t" coordsize="21600,21600" o:gfxdata="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0aiZttcAAAAJAQAADwAAAAAAAAAB&#10;ACAAAAAiAAAAZHJzL2Rvd25yZXYueG1sUEsBAhQAFAAAAAgAh07iQCUJZWLYAQAAlgMAAA4AAAAA&#10;AAAAAQAgAAAAJgEAAGRycy9lMm9Eb2MueG1sUEsFBgAAAAAGAAYAWQEAAHAFAAAAAA==&#10;">
              <v:fill on="f" focussize="0,0"/>
              <v:stroke weight="1pt" color="#000000" joinstyle="round" dashstyle="1 1"/>
              <v:imagedata o:title=""/>
              <o:lock v:ext="edit" aspectratio="f"/>
            </v:lin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4818D">
                          <w:pPr>
                            <w:pStyle w:val="23"/>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F84818D">
                    <w:pPr>
                      <w:pStyle w:val="23"/>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A7871">
    <w:pPr>
      <w:pStyle w:val="23"/>
      <w:tabs>
        <w:tab w:val="clear" w:pos="8306"/>
      </w:tabs>
      <w:ind w:left="0" w:leftChars="0" w:right="0" w:rightChars="0" w:firstLine="0" w:firstLineChars="0"/>
      <w:rPr>
        <w:rFonts w:hint="eastAsia" w:ascii="楷体" w:hAnsi="楷体" w:eastAsia="楷体" w:cs="楷体"/>
        <w:sz w:val="18"/>
        <w:szCs w:val="11"/>
        <w:lang w:val="en-US" w:eastAsia="zh-CN"/>
      </w:rPr>
    </w:pPr>
    <w:r>
      <w:rPr>
        <w:sz w:val="18"/>
      </w:rPr>
      <mc:AlternateContent>
        <mc:Choice Requires="wps">
          <w:drawing>
            <wp:anchor distT="0" distB="0" distL="0" distR="0" simplePos="0" relativeHeight="251663360" behindDoc="0" locked="0" layoutInCell="1" allowOverlap="1">
              <wp:simplePos x="0" y="0"/>
              <wp:positionH relativeFrom="column">
                <wp:posOffset>-5715</wp:posOffset>
              </wp:positionH>
              <wp:positionV relativeFrom="paragraph">
                <wp:posOffset>-53975</wp:posOffset>
              </wp:positionV>
              <wp:extent cx="6473190" cy="12065"/>
              <wp:effectExtent l="0" t="0" r="0" b="0"/>
              <wp:wrapNone/>
              <wp:docPr id="14" name="直接连接符 41"/>
              <wp:cNvGraphicFramePr/>
              <a:graphic xmlns:a="http://schemas.openxmlformats.org/drawingml/2006/main">
                <a:graphicData uri="http://schemas.microsoft.com/office/word/2010/wordprocessingShape">
                  <wps:wsp>
                    <wps:cNvCnPr/>
                    <wps:spPr>
                      <a:xfrm>
                        <a:off x="0" y="0"/>
                        <a:ext cx="6473190" cy="12064"/>
                      </a:xfrm>
                      <a:prstGeom prst="line">
                        <a:avLst/>
                      </a:prstGeom>
                      <a:ln w="12700" cap="flat" cmpd="sng">
                        <a:solidFill>
                          <a:srgbClr val="000000"/>
                        </a:solidFill>
                        <a:prstDash val="sysDot"/>
                        <a:round/>
                      </a:ln>
                    </wps:spPr>
                    <wps:bodyPr/>
                  </wps:wsp>
                </a:graphicData>
              </a:graphic>
            </wp:anchor>
          </w:drawing>
        </mc:Choice>
        <mc:Fallback>
          <w:pict>
            <v:line id="直接连接符 41" o:spid="_x0000_s1026" o:spt="20" style="position:absolute;left:0pt;margin-left:-0.45pt;margin-top:-4.25pt;height:0.95pt;width:509.7pt;z-index:251663360;mso-width-relative:page;mso-height-relative:page;" filled="f" stroked="t" coordsize="21600,21600" o:gfxdata="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bkVYPVAAAACAEAAA8AAAAAAAAAAQAg&#10;AAAAIgAAAGRycy9kb3ducmV2LnhtbFBLAQIUABQAAAAIAIdO4kBqaYPj2AEAAJYDAAAOAAAAAAAA&#10;AAEAIAAAACQBAABkcnMvZTJvRG9jLnhtbFBLBQYAAAAABgAGAFkBAABuBQAAAAA=&#10;">
              <v:fill on="f" focussize="0,0"/>
              <v:stroke weight="1pt" color="#000000" joinstyle="round" dashstyle="1 1"/>
              <v:imagedata o:title=""/>
              <o:lock v:ext="edit" aspectratio="f"/>
            </v:lin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D6514">
                          <w:pPr>
                            <w:pStyle w:val="23"/>
                          </w:pPr>
                          <w:r>
                            <w:fldChar w:fldCharType="begin"/>
                          </w:r>
                          <w:r>
                            <w:instrText xml:space="preserve"> PAGE  \* MERGEFORMAT </w:instrText>
                          </w:r>
                          <w:r>
                            <w:fldChar w:fldCharType="separate"/>
                          </w:r>
                          <w:r>
                            <w:t>169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1DD6514">
                    <w:pPr>
                      <w:pStyle w:val="23"/>
                    </w:pPr>
                    <w:r>
                      <w:fldChar w:fldCharType="begin"/>
                    </w:r>
                    <w:r>
                      <w:instrText xml:space="preserve"> PAGE  \* MERGEFORMAT </w:instrText>
                    </w:r>
                    <w:r>
                      <w:fldChar w:fldCharType="separate"/>
                    </w:r>
                    <w:r>
                      <w:t>169</w:t>
                    </w:r>
                    <w:r>
                      <w:fldChar w:fldCharType="end"/>
                    </w:r>
                  </w:p>
                </w:txbxContent>
              </v:textbox>
            </v:shape>
          </w:pict>
        </mc:Fallback>
      </mc:AlternateContent>
    </w:r>
    <w:r>
      <w:rPr>
        <w:rFonts w:hint="eastAsia" w:ascii="楷体" w:hAnsi="楷体" w:eastAsia="楷体" w:cs="楷体"/>
        <w:sz w:val="18"/>
        <w:szCs w:val="11"/>
        <w:lang w:val="en-US" w:eastAsia="zh-CN"/>
      </w:rPr>
      <w:t>湖南智高项目管理有限公司                                                     地址：慈利县胜汉步行街19栋3楼</w:t>
    </w:r>
  </w:p>
  <w:p w14:paraId="5D18FEF4">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AB8A0">
    <w:pPr>
      <w:pStyle w:val="23"/>
      <w:tabs>
        <w:tab w:val="clear" w:pos="8306"/>
      </w:tabs>
      <w:ind w:left="0" w:leftChars="0" w:right="0" w:rightChars="0" w:firstLine="0" w:firstLineChars="0"/>
      <w:rPr>
        <w:rFonts w:hint="eastAsia" w:ascii="楷体" w:hAnsi="楷体" w:eastAsia="楷体" w:cs="楷体"/>
        <w:sz w:val="18"/>
        <w:szCs w:val="11"/>
        <w:lang w:val="en-US" w:eastAsia="zh-CN"/>
      </w:rPr>
    </w:pPr>
    <w:r>
      <w:rPr>
        <w:sz w:val="18"/>
      </w:rPr>
      <mc:AlternateContent>
        <mc:Choice Requires="wps">
          <w:drawing>
            <wp:anchor distT="0" distB="0" distL="0" distR="0" simplePos="0" relativeHeight="251659264" behindDoc="0" locked="0" layoutInCell="1" allowOverlap="1">
              <wp:simplePos x="0" y="0"/>
              <wp:positionH relativeFrom="column">
                <wp:posOffset>-5715</wp:posOffset>
              </wp:positionH>
              <wp:positionV relativeFrom="paragraph">
                <wp:posOffset>-53975</wp:posOffset>
              </wp:positionV>
              <wp:extent cx="6473190" cy="12065"/>
              <wp:effectExtent l="0" t="0" r="0" b="0"/>
              <wp:wrapNone/>
              <wp:docPr id="4103" name="直接连接符 41"/>
              <wp:cNvGraphicFramePr/>
              <a:graphic xmlns:a="http://schemas.openxmlformats.org/drawingml/2006/main">
                <a:graphicData uri="http://schemas.microsoft.com/office/word/2010/wordprocessingShape">
                  <wps:wsp>
                    <wps:cNvCnPr/>
                    <wps:spPr>
                      <a:xfrm>
                        <a:off x="0" y="0"/>
                        <a:ext cx="6473190" cy="12064"/>
                      </a:xfrm>
                      <a:prstGeom prst="line">
                        <a:avLst/>
                      </a:prstGeom>
                      <a:ln w="12700" cap="flat" cmpd="sng">
                        <a:solidFill>
                          <a:srgbClr val="000000"/>
                        </a:solidFill>
                        <a:prstDash val="sysDot"/>
                        <a:round/>
                      </a:ln>
                    </wps:spPr>
                    <wps:bodyPr/>
                  </wps:wsp>
                </a:graphicData>
              </a:graphic>
            </wp:anchor>
          </w:drawing>
        </mc:Choice>
        <mc:Fallback>
          <w:pict>
            <v:line id="直接连接符 41" o:spid="_x0000_s1026" o:spt="20" style="position:absolute;left:0pt;margin-left:-0.45pt;margin-top:-4.25pt;height:0.95pt;width:509.7pt;z-index:251659264;mso-width-relative:page;mso-height-relative:page;" filled="f" stroked="t" coordsize="21600,21600" o:gfxdata="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VuRVg9UAAAAIAQAADwAAAAAAAAAB&#10;ACAAAAAiAAAAZHJzL2Rvd25yZXYueG1sUEsBAhQAFAAAAAgAh07iQD9aQujaAQAAmAMAAA4AAAAA&#10;AAAAAQAgAAAAJAEAAGRycy9lMm9Eb2MueG1sUEsFBgAAAAAGAAYAWQEAAHAFAAAAAA==&#10;">
              <v:fill on="f" focussize="0,0"/>
              <v:stroke weight="1pt" color="#000000" joinstyle="round" dashstyle="1 1"/>
              <v:imagedata o:title=""/>
              <o:lock v:ext="edit" aspectratio="f"/>
            </v:lin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55F41">
                          <w:pPr>
                            <w:pStyle w:val="23"/>
                          </w:pPr>
                          <w:r>
                            <w:fldChar w:fldCharType="begin"/>
                          </w:r>
                          <w:r>
                            <w:instrText xml:space="preserve"> PAGE  \* MERGEFORMAT </w:instrText>
                          </w:r>
                          <w:r>
                            <w:fldChar w:fldCharType="separate"/>
                          </w:r>
                          <w:r>
                            <w:t>169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EF55F41">
                    <w:pPr>
                      <w:pStyle w:val="23"/>
                    </w:pPr>
                    <w:r>
                      <w:fldChar w:fldCharType="begin"/>
                    </w:r>
                    <w:r>
                      <w:instrText xml:space="preserve"> PAGE  \* MERGEFORMAT </w:instrText>
                    </w:r>
                    <w:r>
                      <w:fldChar w:fldCharType="separate"/>
                    </w:r>
                    <w:r>
                      <w:t>169</w:t>
                    </w:r>
                    <w:r>
                      <w:fldChar w:fldCharType="end"/>
                    </w:r>
                  </w:p>
                </w:txbxContent>
              </v:textbox>
            </v:shape>
          </w:pict>
        </mc:Fallback>
      </mc:AlternateContent>
    </w:r>
  </w:p>
  <w:p w14:paraId="2C0F18E2">
    <w:pPr>
      <w:pStyle w:val="23"/>
      <w:tabs>
        <w:tab w:val="clear" w:pos="8306"/>
      </w:tabs>
      <w:ind w:right="-512" w:rightChars="-244"/>
      <w:rPr>
        <w:rFonts w:hint="eastAsia" w:ascii="楷体" w:hAnsi="楷体" w:eastAsia="楷体" w:cs="楷体"/>
        <w:sz w:val="18"/>
        <w:szCs w:val="11"/>
        <w:lang w:val="en-US" w:eastAsia="zh-CN"/>
      </w:rPr>
    </w:pPr>
    <w:r>
      <w:rPr>
        <w:rFonts w:hint="eastAsia" w:ascii="楷体" w:hAnsi="楷体" w:eastAsia="楷体" w:cs="楷体"/>
        <w:sz w:val="18"/>
        <w:szCs w:val="11"/>
        <w:lang w:val="en-US" w:eastAsia="zh-CN"/>
      </w:rPr>
      <w:t>湖南智高项目管理有限公司                                                  地址：慈利县胜汉步行街19栋3楼</w:t>
    </w:r>
  </w:p>
  <w:p w14:paraId="491DF9C6">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5EF48">
    <w:pPr>
      <w:pStyle w:val="23"/>
      <w:rPr>
        <w:rFonts w:ascii="楷体" w:eastAsia="楷体" w:cs="楷体"/>
        <w:szCs w:val="11"/>
      </w:rPr>
    </w:pPr>
    <w:r>
      <w:rPr>
        <w:sz w:val="18"/>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-10795</wp:posOffset>
              </wp:positionV>
              <wp:extent cx="6482715" cy="3175"/>
              <wp:effectExtent l="0" t="0" r="0" b="0"/>
              <wp:wrapNone/>
              <wp:docPr id="17" name="直接连接符 2"/>
              <wp:cNvGraphicFramePr/>
              <a:graphic xmlns:a="http://schemas.openxmlformats.org/drawingml/2006/main">
                <a:graphicData uri="http://schemas.microsoft.com/office/word/2010/wordprocessingShape">
                  <wps:wsp>
                    <wps:cNvCnPr/>
                    <wps:spPr>
                      <a:xfrm flipV="1">
                        <a:off x="631190" y="9825355"/>
                        <a:ext cx="6482715" cy="3175"/>
                      </a:xfrm>
                      <a:prstGeom prst="line">
                        <a:avLst/>
                      </a:prstGeom>
                      <a:noFill/>
                      <a:ln w="12700" cap="flat" cmpd="sng" algn="ctr">
                        <a:solidFill>
                          <a:srgbClr val="000000"/>
                        </a:solidFill>
                        <a:prstDash val="sysDash"/>
                      </a:ln>
                      <a:effectLst/>
                    </wps:spPr>
                    <wps:bodyPr/>
                  </wps:wsp>
                </a:graphicData>
              </a:graphic>
            </wp:anchor>
          </w:drawing>
        </mc:Choice>
        <mc:Fallback>
          <w:pict>
            <v:line id="直接连接符 2" o:spid="_x0000_s1026" o:spt="20" style="position:absolute;left:0pt;flip:y;margin-left:1.8pt;margin-top:-0.85pt;height:0.25pt;width:510.45pt;z-index:251659264;mso-width-relative:page;mso-height-relative:page;" filled="f" stroked="t" coordsize="21600,21600" o:gfxdata="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2xJtdUAAAAIAQAADwAAAAAAAAABACAAAAAiAAAAZHJzL2Rvd25yZXYueG1sUEsB&#10;AhQAFAAAAAgAh07iQAVCyMr4AQAAxAMAAA4AAAAAAAAAAQAgAAAAJAEAAGRycy9lMm9Eb2MueG1s&#10;UEsFBgAAAAAGAAYAWQEAAI4FAAAAAA==&#10;">
              <v:fill on="f" focussize="0,0"/>
              <v:stroke weight="1pt" color="#000000" joinstyle="round" dashstyle="3 1"/>
              <v:imagedata o:title=""/>
              <o:lock v:ext="edit" aspectratio="f"/>
            </v:lin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FFFCA">
                          <w:pPr>
                            <w:pStyle w:val="23"/>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90FFFCA">
                    <w:pPr>
                      <w:pStyle w:val="23"/>
                    </w:pPr>
                    <w:r>
                      <w:fldChar w:fldCharType="begin"/>
                    </w:r>
                    <w:r>
                      <w:instrText xml:space="preserve"> PAGE  \* MERGEFORMAT </w:instrText>
                    </w:r>
                    <w:r>
                      <w:fldChar w:fldCharType="separate"/>
                    </w:r>
                    <w:r>
                      <w:t>215</w:t>
                    </w:r>
                    <w:r>
                      <w:fldChar w:fldCharType="end"/>
                    </w:r>
                  </w:p>
                </w:txbxContent>
              </v:textbox>
            </v:shape>
          </w:pict>
        </mc:Fallback>
      </mc:AlternateContent>
    </w:r>
  </w:p>
  <w:p w14:paraId="2DFCF9CB">
    <w:pPr>
      <w:pStyle w:val="23"/>
      <w:rPr>
        <w:rFonts w:hint="eastAsia" w:ascii="华文楷体" w:hAnsi="华文楷体" w:eastAsia="华文楷体" w:cs="华文楷体"/>
        <w:lang w:eastAsia="zh-CN"/>
      </w:rPr>
    </w:pPr>
    <w:r>
      <w:rPr>
        <w:rFonts w:hint="eastAsia" w:ascii="华文楷体" w:hAnsi="华文楷体" w:eastAsia="华文楷体" w:cs="华文楷体"/>
        <w:lang w:eastAsia="zh-CN"/>
      </w:rPr>
      <w:t>湖南智高项目管理有限公司</w:t>
    </w:r>
    <w:r>
      <w:rPr>
        <w:rFonts w:hint="eastAsia" w:ascii="华文楷体" w:hAnsi="华文楷体" w:eastAsia="华文楷体" w:cs="华文楷体"/>
      </w:rPr>
      <w:t xml:space="preserve">                                        </w:t>
    </w:r>
    <w:r>
      <w:rPr>
        <w:rFonts w:hint="eastAsia" w:ascii="华文楷体" w:hAnsi="华文楷体" w:eastAsia="华文楷体" w:cs="华文楷体"/>
        <w:lang w:val="en-US" w:eastAsia="zh-CN"/>
      </w:rPr>
      <w:t xml:space="preserve">            </w:t>
    </w:r>
    <w:r>
      <w:rPr>
        <w:rFonts w:hint="eastAsia" w:ascii="华文楷体" w:hAnsi="华文楷体" w:eastAsia="华文楷体" w:cs="华文楷体"/>
      </w:rPr>
      <w:t xml:space="preserve">地址： </w:t>
    </w:r>
    <w:r>
      <w:rPr>
        <w:rFonts w:hint="eastAsia" w:ascii="华文楷体" w:hAnsi="华文楷体" w:eastAsia="华文楷体" w:cs="华文楷体"/>
        <w:lang w:eastAsia="zh-CN"/>
      </w:rPr>
      <w:t>慈利县胜汉步行街19栋3楼</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3628E">
    <w:pPr>
      <w:pStyle w:val="24"/>
      <w:pBdr>
        <w:bottom w:val="dotted" w:color="auto" w:sz="4" w:space="1"/>
      </w:pBdr>
      <w:tabs>
        <w:tab w:val="clear" w:pos="8306"/>
      </w:tabs>
      <w:ind w:left="-3" w:firstLine="3"/>
      <w:jc w:val="right"/>
      <w:rPr>
        <w:rFonts w:hint="eastAsia" w:eastAsia="宋体"/>
      </w:rPr>
    </w:pPr>
    <w:r>
      <w:rPr>
        <w:rFonts w:hint="eastAsia" w:ascii="楷体" w:hAnsi="楷体" w:eastAsia="楷体" w:cs="楷体"/>
      </w:rPr>
      <w:t>公开招标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E963">
    <w:pPr>
      <w:pStyle w:val="24"/>
      <w:pBdr>
        <w:bottom w:val="dotted" w:color="auto" w:sz="4" w:space="1"/>
      </w:pBdr>
      <w:tabs>
        <w:tab w:val="clear" w:pos="8306"/>
      </w:tabs>
      <w:ind w:left="-3" w:firstLine="3"/>
      <w:jc w:val="right"/>
      <w:rPr>
        <w:rFonts w:hint="eastAsia" w:eastAsia="宋体"/>
      </w:rPr>
    </w:pPr>
    <w:r>
      <w:rPr>
        <w:rFonts w:hint="eastAsia" w:ascii="楷体" w:hAnsi="楷体" w:eastAsia="楷体" w:cs="楷体"/>
      </w:rPr>
      <w:t>公开招标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19B37">
    <w:pPr>
      <w:pStyle w:val="24"/>
      <w:pBdr>
        <w:bottom w:val="dotted" w:color="auto" w:sz="4" w:space="1"/>
      </w:pBdr>
      <w:tabs>
        <w:tab w:val="clear" w:pos="8306"/>
      </w:tabs>
      <w:ind w:left="-3" w:firstLine="3"/>
      <w:jc w:val="right"/>
      <w:rPr>
        <w:rFonts w:hint="eastAsia" w:eastAsia="宋体"/>
      </w:rPr>
    </w:pPr>
    <w:r>
      <w:rPr>
        <w:rFonts w:hint="eastAsia" w:ascii="楷体" w:hAnsi="楷体" w:eastAsia="楷体" w:cs="楷体"/>
      </w:rPr>
      <w:t>公开招标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B5764">
    <w:pPr>
      <w:pStyle w:val="24"/>
      <w:pBdr>
        <w:bottom w:val="dotted" w:color="auto" w:sz="4" w:space="1"/>
      </w:pBdr>
      <w:tabs>
        <w:tab w:val="left" w:pos="3417"/>
        <w:tab w:val="right" w:pos="9780"/>
      </w:tabs>
      <w:jc w:val="right"/>
      <w:rPr>
        <w:rFonts w:hint="eastAsia" w:eastAsia="楷体"/>
        <w:lang w:val="en-US" w:eastAsia="zh-CN"/>
      </w:rPr>
    </w:pPr>
    <w:r>
      <w:rPr>
        <w:rFonts w:hint="eastAsia" w:ascii="楷体" w:eastAsia="楷体" w:cs="楷体"/>
      </w:rPr>
      <w:tab/>
    </w:r>
    <w:r>
      <w:rPr>
        <w:rFonts w:hint="eastAsia" w:ascii="楷体" w:eastAsia="楷体" w:cs="楷体"/>
      </w:rPr>
      <w:tab/>
    </w:r>
    <w:r>
      <w:rPr>
        <w:rFonts w:hint="eastAsia" w:ascii="楷体" w:eastAsia="楷体" w:cs="楷体"/>
      </w:rPr>
      <w:tab/>
    </w:r>
    <w:r>
      <w:rPr>
        <w:rFonts w:hint="eastAsia" w:ascii="楷体" w:eastAsia="楷体" w:cs="楷体"/>
        <w:lang w:eastAsia="zh-CN"/>
      </w:rPr>
      <w:t>公开招标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194CF"/>
    <w:multiLevelType w:val="singleLevel"/>
    <w:tmpl w:val="89B194CF"/>
    <w:lvl w:ilvl="0" w:tentative="0">
      <w:start w:val="10"/>
      <w:numFmt w:val="decimal"/>
      <w:suff w:val="nothing"/>
      <w:lvlText w:val="%1、"/>
      <w:lvlJc w:val="left"/>
    </w:lvl>
  </w:abstractNum>
  <w:abstractNum w:abstractNumId="1">
    <w:nsid w:val="A37E7810"/>
    <w:multiLevelType w:val="singleLevel"/>
    <w:tmpl w:val="A37E7810"/>
    <w:lvl w:ilvl="0" w:tentative="0">
      <w:start w:val="1"/>
      <w:numFmt w:val="decimal"/>
      <w:suff w:val="nothing"/>
      <w:lvlText w:val="%1．"/>
      <w:lvlJc w:val="left"/>
      <w:pPr>
        <w:ind w:left="0" w:firstLine="400"/>
      </w:pPr>
      <w:rPr>
        <w:rFonts w:hint="default"/>
      </w:rPr>
    </w:lvl>
  </w:abstractNum>
  <w:abstractNum w:abstractNumId="2">
    <w:nsid w:val="A96CD594"/>
    <w:multiLevelType w:val="singleLevel"/>
    <w:tmpl w:val="A96CD594"/>
    <w:lvl w:ilvl="0" w:tentative="0">
      <w:start w:val="1"/>
      <w:numFmt w:val="decimal"/>
      <w:lvlText w:val="%1."/>
      <w:lvlJc w:val="left"/>
      <w:pPr>
        <w:tabs>
          <w:tab w:val="left" w:pos="312"/>
        </w:tabs>
      </w:pPr>
    </w:lvl>
  </w:abstractNum>
  <w:abstractNum w:abstractNumId="3">
    <w:nsid w:val="B82D91CE"/>
    <w:multiLevelType w:val="singleLevel"/>
    <w:tmpl w:val="B82D91CE"/>
    <w:lvl w:ilvl="0" w:tentative="0">
      <w:start w:val="1"/>
      <w:numFmt w:val="decimal"/>
      <w:lvlText w:val="(%1)"/>
      <w:lvlJc w:val="left"/>
      <w:pPr>
        <w:ind w:left="425" w:hanging="425"/>
      </w:pPr>
      <w:rPr>
        <w:rFonts w:hint="default"/>
      </w:rPr>
    </w:lvl>
  </w:abstractNum>
  <w:abstractNum w:abstractNumId="4">
    <w:nsid w:val="C2BF6F42"/>
    <w:multiLevelType w:val="singleLevel"/>
    <w:tmpl w:val="C2BF6F42"/>
    <w:lvl w:ilvl="0" w:tentative="0">
      <w:start w:val="1"/>
      <w:numFmt w:val="decimal"/>
      <w:suff w:val="nothing"/>
      <w:lvlText w:val="%1"/>
      <w:lvlJc w:val="center"/>
      <w:pPr>
        <w:ind w:left="0" w:firstLine="0"/>
      </w:pPr>
      <w:rPr>
        <w:rFonts w:hint="default"/>
      </w:rPr>
    </w:lvl>
  </w:abstractNum>
  <w:abstractNum w:abstractNumId="5">
    <w:nsid w:val="CC017888"/>
    <w:multiLevelType w:val="singleLevel"/>
    <w:tmpl w:val="CC017888"/>
    <w:lvl w:ilvl="0" w:tentative="0">
      <w:start w:val="1"/>
      <w:numFmt w:val="decimal"/>
      <w:pStyle w:val="49"/>
      <w:suff w:val="nothing"/>
      <w:lvlText w:val="%1"/>
      <w:lvlJc w:val="center"/>
      <w:rPr>
        <w:rFonts w:hint="default"/>
      </w:rPr>
    </w:lvl>
  </w:abstractNum>
  <w:abstractNum w:abstractNumId="6">
    <w:nsid w:val="DFFA3CFE"/>
    <w:multiLevelType w:val="singleLevel"/>
    <w:tmpl w:val="DFFA3CFE"/>
    <w:lvl w:ilvl="0" w:tentative="0">
      <w:start w:val="1"/>
      <w:numFmt w:val="decimal"/>
      <w:pStyle w:val="59"/>
      <w:suff w:val="nothing"/>
      <w:lvlText w:val="%1"/>
      <w:lvlJc w:val="center"/>
      <w:pPr>
        <w:tabs>
          <w:tab w:val="left" w:pos="0"/>
        </w:tabs>
        <w:ind w:left="0" w:firstLine="0"/>
      </w:pPr>
      <w:rPr>
        <w:rFonts w:hint="default"/>
      </w:rPr>
    </w:lvl>
  </w:abstractNum>
  <w:abstractNum w:abstractNumId="7">
    <w:nsid w:val="E028F12E"/>
    <w:multiLevelType w:val="singleLevel"/>
    <w:tmpl w:val="E028F12E"/>
    <w:lvl w:ilvl="0" w:tentative="0">
      <w:start w:val="6"/>
      <w:numFmt w:val="chineseCounting"/>
      <w:suff w:val="space"/>
      <w:lvlText w:val="第%1章"/>
      <w:lvlJc w:val="left"/>
      <w:rPr>
        <w:rFonts w:hint="eastAsia"/>
      </w:rPr>
    </w:lvl>
  </w:abstractNum>
  <w:abstractNum w:abstractNumId="8">
    <w:nsid w:val="E771E869"/>
    <w:multiLevelType w:val="singleLevel"/>
    <w:tmpl w:val="E771E869"/>
    <w:lvl w:ilvl="0" w:tentative="0">
      <w:start w:val="1"/>
      <w:numFmt w:val="decimal"/>
      <w:lvlText w:val="(%1)"/>
      <w:lvlJc w:val="left"/>
      <w:pPr>
        <w:ind w:left="425" w:hanging="425"/>
      </w:pPr>
      <w:rPr>
        <w:rFonts w:hint="default"/>
      </w:rPr>
    </w:lvl>
  </w:abstractNum>
  <w:abstractNum w:abstractNumId="9">
    <w:nsid w:val="00000004"/>
    <w:multiLevelType w:val="singleLevel"/>
    <w:tmpl w:val="00000004"/>
    <w:lvl w:ilvl="0" w:tentative="0">
      <w:start w:val="1"/>
      <w:numFmt w:val="decimal"/>
      <w:suff w:val="nothing"/>
      <w:lvlText w:val="%1"/>
      <w:lvlJc w:val="center"/>
      <w:pPr>
        <w:ind w:left="0" w:firstLine="0"/>
      </w:pPr>
      <w:rPr>
        <w:rFonts w:hint="default"/>
      </w:rPr>
    </w:lvl>
  </w:abstractNum>
  <w:abstractNum w:abstractNumId="10">
    <w:nsid w:val="00000009"/>
    <w:multiLevelType w:val="singleLevel"/>
    <w:tmpl w:val="00000009"/>
    <w:lvl w:ilvl="0" w:tentative="0">
      <w:start w:val="1"/>
      <w:numFmt w:val="decimal"/>
      <w:suff w:val="nothing"/>
      <w:lvlText w:val="（%1）"/>
      <w:lvlJc w:val="left"/>
      <w:pPr>
        <w:ind w:left="0" w:firstLine="403"/>
      </w:pPr>
      <w:rPr>
        <w:rFonts w:hint="default"/>
      </w:rPr>
    </w:lvl>
  </w:abstractNum>
  <w:abstractNum w:abstractNumId="11">
    <w:nsid w:val="0000000B"/>
    <w:multiLevelType w:val="singleLevel"/>
    <w:tmpl w:val="0000000B"/>
    <w:lvl w:ilvl="0" w:tentative="0">
      <w:start w:val="1"/>
      <w:numFmt w:val="decimal"/>
      <w:lvlText w:val="(%1)"/>
      <w:lvlJc w:val="left"/>
      <w:pPr>
        <w:tabs>
          <w:tab w:val="left" w:pos="0"/>
        </w:tabs>
        <w:ind w:left="0" w:firstLine="0"/>
      </w:pPr>
      <w:rPr>
        <w:rFonts w:hint="default"/>
      </w:rPr>
    </w:lvl>
  </w:abstractNum>
  <w:abstractNum w:abstractNumId="12">
    <w:nsid w:val="0000001C"/>
    <w:multiLevelType w:val="singleLevel"/>
    <w:tmpl w:val="0000001C"/>
    <w:lvl w:ilvl="0" w:tentative="0">
      <w:start w:val="1"/>
      <w:numFmt w:val="decimal"/>
      <w:lvlText w:val="(%1)"/>
      <w:lvlJc w:val="left"/>
      <w:pPr>
        <w:tabs>
          <w:tab w:val="left" w:pos="0"/>
        </w:tabs>
        <w:ind w:left="0" w:firstLine="0"/>
      </w:pPr>
      <w:rPr>
        <w:rFonts w:hint="default"/>
        <w:color w:val="auto"/>
      </w:rPr>
    </w:lvl>
  </w:abstractNum>
  <w:abstractNum w:abstractNumId="13">
    <w:nsid w:val="0000001E"/>
    <w:multiLevelType w:val="singleLevel"/>
    <w:tmpl w:val="0000001E"/>
    <w:lvl w:ilvl="0" w:tentative="0">
      <w:start w:val="1"/>
      <w:numFmt w:val="decimal"/>
      <w:lvlText w:val="(%1)"/>
      <w:lvlJc w:val="left"/>
      <w:pPr>
        <w:tabs>
          <w:tab w:val="left" w:pos="0"/>
        </w:tabs>
        <w:ind w:left="0" w:firstLine="0"/>
      </w:pPr>
      <w:rPr>
        <w:rFonts w:hint="default"/>
      </w:rPr>
    </w:lvl>
  </w:abstractNum>
  <w:abstractNum w:abstractNumId="14">
    <w:nsid w:val="00000039"/>
    <w:multiLevelType w:val="singleLevel"/>
    <w:tmpl w:val="00000039"/>
    <w:lvl w:ilvl="0" w:tentative="0">
      <w:start w:val="1"/>
      <w:numFmt w:val="decimal"/>
      <w:suff w:val="nothing"/>
      <w:lvlText w:val="（%1）"/>
      <w:lvlJc w:val="left"/>
      <w:pPr>
        <w:ind w:left="0" w:firstLine="403"/>
      </w:pPr>
      <w:rPr>
        <w:rFonts w:hint="default"/>
      </w:rPr>
    </w:lvl>
  </w:abstractNum>
  <w:abstractNum w:abstractNumId="15">
    <w:nsid w:val="1BD7C283"/>
    <w:multiLevelType w:val="singleLevel"/>
    <w:tmpl w:val="1BD7C283"/>
    <w:lvl w:ilvl="0" w:tentative="0">
      <w:start w:val="5"/>
      <w:numFmt w:val="decimal"/>
      <w:suff w:val="nothing"/>
      <w:lvlText w:val="%1、"/>
      <w:lvlJc w:val="left"/>
    </w:lvl>
  </w:abstractNum>
  <w:abstractNum w:abstractNumId="16">
    <w:nsid w:val="2180A936"/>
    <w:multiLevelType w:val="singleLevel"/>
    <w:tmpl w:val="2180A936"/>
    <w:lvl w:ilvl="0" w:tentative="0">
      <w:start w:val="1"/>
      <w:numFmt w:val="decimal"/>
      <w:lvlText w:val="%1)"/>
      <w:lvlJc w:val="left"/>
      <w:pPr>
        <w:ind w:left="425" w:hanging="425"/>
      </w:pPr>
      <w:rPr>
        <w:rFonts w:hint="default"/>
      </w:rPr>
    </w:lvl>
  </w:abstractNum>
  <w:abstractNum w:abstractNumId="17">
    <w:nsid w:val="29D5075B"/>
    <w:multiLevelType w:val="singleLevel"/>
    <w:tmpl w:val="29D5075B"/>
    <w:lvl w:ilvl="0" w:tentative="0">
      <w:start w:val="1"/>
      <w:numFmt w:val="decimal"/>
      <w:lvlText w:val="(%1)"/>
      <w:lvlJc w:val="left"/>
      <w:pPr>
        <w:ind w:left="425" w:hanging="425"/>
      </w:pPr>
      <w:rPr>
        <w:rFonts w:hint="default"/>
      </w:rPr>
    </w:lvl>
  </w:abstractNum>
  <w:abstractNum w:abstractNumId="18">
    <w:nsid w:val="3A6777EC"/>
    <w:multiLevelType w:val="singleLevel"/>
    <w:tmpl w:val="3A6777EC"/>
    <w:lvl w:ilvl="0" w:tentative="0">
      <w:start w:val="1"/>
      <w:numFmt w:val="bullet"/>
      <w:pStyle w:val="15"/>
      <w:lvlText w:val=""/>
      <w:lvlJc w:val="left"/>
      <w:pPr>
        <w:tabs>
          <w:tab w:val="left" w:pos="1200"/>
        </w:tabs>
        <w:ind w:left="1200" w:hanging="360"/>
      </w:pPr>
      <w:rPr>
        <w:rFonts w:hint="default" w:ascii="Wingdings" w:hAnsi="Wingdings"/>
      </w:rPr>
    </w:lvl>
  </w:abstractNum>
  <w:abstractNum w:abstractNumId="19">
    <w:nsid w:val="5BCF628F"/>
    <w:multiLevelType w:val="singleLevel"/>
    <w:tmpl w:val="5BCF628F"/>
    <w:lvl w:ilvl="0" w:tentative="0">
      <w:start w:val="2"/>
      <w:numFmt w:val="decimal"/>
      <w:suff w:val="nothing"/>
      <w:lvlText w:val="%1、"/>
      <w:lvlJc w:val="left"/>
    </w:lvl>
  </w:abstractNum>
  <w:abstractNum w:abstractNumId="20">
    <w:nsid w:val="6A14D99C"/>
    <w:multiLevelType w:val="singleLevel"/>
    <w:tmpl w:val="6A14D99C"/>
    <w:lvl w:ilvl="0" w:tentative="0">
      <w:start w:val="1"/>
      <w:numFmt w:val="decimal"/>
      <w:suff w:val="nothing"/>
      <w:lvlText w:val="%1．"/>
      <w:lvlJc w:val="left"/>
      <w:pPr>
        <w:ind w:left="0" w:firstLine="400"/>
      </w:pPr>
      <w:rPr>
        <w:rFonts w:hint="default"/>
      </w:rPr>
    </w:lvl>
  </w:abstractNum>
  <w:abstractNum w:abstractNumId="21">
    <w:nsid w:val="74F3200D"/>
    <w:multiLevelType w:val="singleLevel"/>
    <w:tmpl w:val="74F3200D"/>
    <w:lvl w:ilvl="0" w:tentative="0">
      <w:start w:val="1"/>
      <w:numFmt w:val="decimal"/>
      <w:lvlText w:val="%1)"/>
      <w:lvlJc w:val="left"/>
      <w:pPr>
        <w:ind w:left="425" w:hanging="425"/>
      </w:pPr>
      <w:rPr>
        <w:rFonts w:hint="default"/>
      </w:rPr>
    </w:lvl>
  </w:abstractNum>
  <w:abstractNum w:abstractNumId="22">
    <w:nsid w:val="7C97A581"/>
    <w:multiLevelType w:val="singleLevel"/>
    <w:tmpl w:val="7C97A581"/>
    <w:lvl w:ilvl="0" w:tentative="0">
      <w:start w:val="1"/>
      <w:numFmt w:val="decimal"/>
      <w:suff w:val="nothing"/>
      <w:lvlText w:val="%1"/>
      <w:lvlJc w:val="center"/>
      <w:pPr>
        <w:ind w:left="0" w:firstLine="0"/>
      </w:pPr>
      <w:rPr>
        <w:rFonts w:hint="default"/>
      </w:rPr>
    </w:lvl>
  </w:abstractNum>
  <w:num w:numId="1">
    <w:abstractNumId w:val="18"/>
  </w:num>
  <w:num w:numId="2">
    <w:abstractNumId w:val="5"/>
  </w:num>
  <w:num w:numId="3">
    <w:abstractNumId w:val="6"/>
  </w:num>
  <w:num w:numId="4">
    <w:abstractNumId w:val="15"/>
  </w:num>
  <w:num w:numId="5">
    <w:abstractNumId w:val="13"/>
  </w:num>
  <w:num w:numId="6">
    <w:abstractNumId w:val="12"/>
  </w:num>
  <w:num w:numId="7">
    <w:abstractNumId w:val="11"/>
  </w:num>
  <w:num w:numId="8">
    <w:abstractNumId w:val="14"/>
  </w:num>
  <w:num w:numId="9">
    <w:abstractNumId w:val="10"/>
  </w:num>
  <w:num w:numId="10">
    <w:abstractNumId w:val="2"/>
  </w:num>
  <w:num w:numId="11">
    <w:abstractNumId w:val="22"/>
  </w:num>
  <w:num w:numId="12">
    <w:abstractNumId w:val="4"/>
  </w:num>
  <w:num w:numId="13">
    <w:abstractNumId w:val="20"/>
  </w:num>
  <w:num w:numId="14">
    <w:abstractNumId w:val="3"/>
  </w:num>
  <w:num w:numId="15">
    <w:abstractNumId w:val="8"/>
  </w:num>
  <w:num w:numId="16">
    <w:abstractNumId w:val="17"/>
  </w:num>
  <w:num w:numId="17">
    <w:abstractNumId w:val="16"/>
  </w:num>
  <w:num w:numId="18">
    <w:abstractNumId w:val="21"/>
  </w:num>
  <w:num w:numId="19">
    <w:abstractNumId w:val="0"/>
  </w:num>
  <w:num w:numId="20">
    <w:abstractNumId w:val="7"/>
  </w:num>
  <w:num w:numId="21">
    <w:abstractNumId w:val="9"/>
  </w:num>
  <w:num w:numId="22">
    <w:abstractNumId w:val="1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TI0LCJoZGlkIjoiYzk5NmQ1OGFhOWNjYmUwYzhiODk0ZDZiOTk0NWVkYzYiLCJ1c2VyQ291bnQiOjV9"/>
  </w:docVars>
  <w:rsids>
    <w:rsidRoot w:val="45D601B1"/>
    <w:rsid w:val="002C61F7"/>
    <w:rsid w:val="00310D21"/>
    <w:rsid w:val="00335209"/>
    <w:rsid w:val="006E05BE"/>
    <w:rsid w:val="00834B8A"/>
    <w:rsid w:val="00906FF4"/>
    <w:rsid w:val="009307B9"/>
    <w:rsid w:val="00AC6A47"/>
    <w:rsid w:val="00B06E28"/>
    <w:rsid w:val="00B93F2F"/>
    <w:rsid w:val="00C34DAD"/>
    <w:rsid w:val="00C865BF"/>
    <w:rsid w:val="00CD3FA8"/>
    <w:rsid w:val="00E903E5"/>
    <w:rsid w:val="01053408"/>
    <w:rsid w:val="01341807"/>
    <w:rsid w:val="013D552D"/>
    <w:rsid w:val="015951AE"/>
    <w:rsid w:val="01C01E00"/>
    <w:rsid w:val="023F0DCF"/>
    <w:rsid w:val="024A0CCD"/>
    <w:rsid w:val="02523547"/>
    <w:rsid w:val="025C7268"/>
    <w:rsid w:val="025D08EA"/>
    <w:rsid w:val="0260281C"/>
    <w:rsid w:val="026441E1"/>
    <w:rsid w:val="02783F2B"/>
    <w:rsid w:val="0284056C"/>
    <w:rsid w:val="03455F4E"/>
    <w:rsid w:val="034A3564"/>
    <w:rsid w:val="03AA0386"/>
    <w:rsid w:val="03AD1402"/>
    <w:rsid w:val="03B10EED"/>
    <w:rsid w:val="03DD2CD2"/>
    <w:rsid w:val="03E07A24"/>
    <w:rsid w:val="03EE3EEF"/>
    <w:rsid w:val="040D0B9B"/>
    <w:rsid w:val="04267B2D"/>
    <w:rsid w:val="043164D2"/>
    <w:rsid w:val="043577FC"/>
    <w:rsid w:val="04410970"/>
    <w:rsid w:val="044D6B41"/>
    <w:rsid w:val="04651CD8"/>
    <w:rsid w:val="04693220"/>
    <w:rsid w:val="046E5AFF"/>
    <w:rsid w:val="04C71959"/>
    <w:rsid w:val="04F53FF0"/>
    <w:rsid w:val="05096B07"/>
    <w:rsid w:val="05145BD8"/>
    <w:rsid w:val="05263B5D"/>
    <w:rsid w:val="05BC2F2E"/>
    <w:rsid w:val="061B2F96"/>
    <w:rsid w:val="0664287E"/>
    <w:rsid w:val="069424B2"/>
    <w:rsid w:val="069A0A43"/>
    <w:rsid w:val="06B225CD"/>
    <w:rsid w:val="06BC02D5"/>
    <w:rsid w:val="07041C7C"/>
    <w:rsid w:val="0713062A"/>
    <w:rsid w:val="071F3535"/>
    <w:rsid w:val="07302A71"/>
    <w:rsid w:val="07520C39"/>
    <w:rsid w:val="076C64B0"/>
    <w:rsid w:val="078B32AE"/>
    <w:rsid w:val="07A07BF6"/>
    <w:rsid w:val="07AB18D9"/>
    <w:rsid w:val="07C73B0E"/>
    <w:rsid w:val="07D7113E"/>
    <w:rsid w:val="07F12200"/>
    <w:rsid w:val="08057D86"/>
    <w:rsid w:val="0814056F"/>
    <w:rsid w:val="08320BD9"/>
    <w:rsid w:val="08A27481"/>
    <w:rsid w:val="08BB45BC"/>
    <w:rsid w:val="08C47915"/>
    <w:rsid w:val="08D55BA8"/>
    <w:rsid w:val="08DD6D78"/>
    <w:rsid w:val="08EC32BC"/>
    <w:rsid w:val="08EE04EE"/>
    <w:rsid w:val="09060B0B"/>
    <w:rsid w:val="09205A37"/>
    <w:rsid w:val="095011A8"/>
    <w:rsid w:val="09540C99"/>
    <w:rsid w:val="097F55EA"/>
    <w:rsid w:val="09B90AFC"/>
    <w:rsid w:val="09CD4E2F"/>
    <w:rsid w:val="09DC47EA"/>
    <w:rsid w:val="09E1446E"/>
    <w:rsid w:val="09E35B78"/>
    <w:rsid w:val="0A2A7C4B"/>
    <w:rsid w:val="0AAA0DF0"/>
    <w:rsid w:val="0AB1213D"/>
    <w:rsid w:val="0B093D05"/>
    <w:rsid w:val="0B3A7C30"/>
    <w:rsid w:val="0B3C7694"/>
    <w:rsid w:val="0B9D6F40"/>
    <w:rsid w:val="0BA06F52"/>
    <w:rsid w:val="0C1D34C3"/>
    <w:rsid w:val="0C4B1175"/>
    <w:rsid w:val="0C566AD6"/>
    <w:rsid w:val="0C6D2071"/>
    <w:rsid w:val="0C7E602C"/>
    <w:rsid w:val="0C937987"/>
    <w:rsid w:val="0CD8573D"/>
    <w:rsid w:val="0D0B3D64"/>
    <w:rsid w:val="0D38267F"/>
    <w:rsid w:val="0D464F9D"/>
    <w:rsid w:val="0D4719B2"/>
    <w:rsid w:val="0D9A6E96"/>
    <w:rsid w:val="0D9B350A"/>
    <w:rsid w:val="0DA12EA4"/>
    <w:rsid w:val="0DA24FCB"/>
    <w:rsid w:val="0DFB2853"/>
    <w:rsid w:val="0E250E55"/>
    <w:rsid w:val="0E303356"/>
    <w:rsid w:val="0E3C7F4D"/>
    <w:rsid w:val="0E455347"/>
    <w:rsid w:val="0E493661"/>
    <w:rsid w:val="0E5030EA"/>
    <w:rsid w:val="0EA53B2C"/>
    <w:rsid w:val="0EEE01B5"/>
    <w:rsid w:val="0F1A028E"/>
    <w:rsid w:val="0F5A0F7A"/>
    <w:rsid w:val="0FA933C0"/>
    <w:rsid w:val="105C5B54"/>
    <w:rsid w:val="10881228"/>
    <w:rsid w:val="10AA73F0"/>
    <w:rsid w:val="10D849B2"/>
    <w:rsid w:val="116004D7"/>
    <w:rsid w:val="1178129C"/>
    <w:rsid w:val="121865DB"/>
    <w:rsid w:val="126322FE"/>
    <w:rsid w:val="12704669"/>
    <w:rsid w:val="129B16E6"/>
    <w:rsid w:val="12C60BAD"/>
    <w:rsid w:val="12FE3A23"/>
    <w:rsid w:val="130F3E82"/>
    <w:rsid w:val="13135720"/>
    <w:rsid w:val="134A6C68"/>
    <w:rsid w:val="13613064"/>
    <w:rsid w:val="136B62B4"/>
    <w:rsid w:val="138E735F"/>
    <w:rsid w:val="139F2458"/>
    <w:rsid w:val="13EC5CCF"/>
    <w:rsid w:val="14157276"/>
    <w:rsid w:val="142B41CC"/>
    <w:rsid w:val="14587163"/>
    <w:rsid w:val="145C35D6"/>
    <w:rsid w:val="147A6AA6"/>
    <w:rsid w:val="14A15422"/>
    <w:rsid w:val="14A843B6"/>
    <w:rsid w:val="14C37F29"/>
    <w:rsid w:val="14DB226E"/>
    <w:rsid w:val="15194B44"/>
    <w:rsid w:val="15205ED3"/>
    <w:rsid w:val="152C2AC9"/>
    <w:rsid w:val="152D1C10"/>
    <w:rsid w:val="15AA29D1"/>
    <w:rsid w:val="15F232AA"/>
    <w:rsid w:val="15F80BFE"/>
    <w:rsid w:val="160A26DF"/>
    <w:rsid w:val="16227AE8"/>
    <w:rsid w:val="165940A8"/>
    <w:rsid w:val="166A3B54"/>
    <w:rsid w:val="169721C5"/>
    <w:rsid w:val="17463BEB"/>
    <w:rsid w:val="17F75DE9"/>
    <w:rsid w:val="1806353D"/>
    <w:rsid w:val="18226406"/>
    <w:rsid w:val="182A626A"/>
    <w:rsid w:val="18322A41"/>
    <w:rsid w:val="18581A56"/>
    <w:rsid w:val="18AD3F21"/>
    <w:rsid w:val="18C474BD"/>
    <w:rsid w:val="18C748B7"/>
    <w:rsid w:val="18CB084B"/>
    <w:rsid w:val="18FE109C"/>
    <w:rsid w:val="19157D18"/>
    <w:rsid w:val="192817FA"/>
    <w:rsid w:val="193C2E54"/>
    <w:rsid w:val="19BC79E5"/>
    <w:rsid w:val="19F42220"/>
    <w:rsid w:val="1A1F0E4F"/>
    <w:rsid w:val="1A26685C"/>
    <w:rsid w:val="1A3366A8"/>
    <w:rsid w:val="1A3B11A9"/>
    <w:rsid w:val="1A3C4593"/>
    <w:rsid w:val="1A582963"/>
    <w:rsid w:val="1A6F043B"/>
    <w:rsid w:val="1A736AA5"/>
    <w:rsid w:val="1A8E7D82"/>
    <w:rsid w:val="1AC86B97"/>
    <w:rsid w:val="1AD339E7"/>
    <w:rsid w:val="1ADD03C2"/>
    <w:rsid w:val="1B0A1796"/>
    <w:rsid w:val="1B181180"/>
    <w:rsid w:val="1B610FF3"/>
    <w:rsid w:val="1B6207A9"/>
    <w:rsid w:val="1BE51C24"/>
    <w:rsid w:val="1BEE6D2B"/>
    <w:rsid w:val="1C1B73F4"/>
    <w:rsid w:val="1C274713"/>
    <w:rsid w:val="1C8A66C6"/>
    <w:rsid w:val="1C907DE2"/>
    <w:rsid w:val="1CFA16FF"/>
    <w:rsid w:val="1D0600A4"/>
    <w:rsid w:val="1D3249F5"/>
    <w:rsid w:val="1D7B2840"/>
    <w:rsid w:val="1DD80A4F"/>
    <w:rsid w:val="1DDE7EEF"/>
    <w:rsid w:val="1E1F5D60"/>
    <w:rsid w:val="1E591B29"/>
    <w:rsid w:val="1E62755C"/>
    <w:rsid w:val="1E8373D6"/>
    <w:rsid w:val="1E91399D"/>
    <w:rsid w:val="1EC04283"/>
    <w:rsid w:val="1F264A2D"/>
    <w:rsid w:val="1F775289"/>
    <w:rsid w:val="1FA94D96"/>
    <w:rsid w:val="1FE47C93"/>
    <w:rsid w:val="1FED7B5D"/>
    <w:rsid w:val="200B1487"/>
    <w:rsid w:val="200C1D97"/>
    <w:rsid w:val="2014438F"/>
    <w:rsid w:val="204D7D98"/>
    <w:rsid w:val="207417C9"/>
    <w:rsid w:val="2082413A"/>
    <w:rsid w:val="20D858B3"/>
    <w:rsid w:val="212759C9"/>
    <w:rsid w:val="212E5E1B"/>
    <w:rsid w:val="21354AB4"/>
    <w:rsid w:val="217169F0"/>
    <w:rsid w:val="217472F0"/>
    <w:rsid w:val="21884D56"/>
    <w:rsid w:val="21AE2AB8"/>
    <w:rsid w:val="21CA5B44"/>
    <w:rsid w:val="21EA7F94"/>
    <w:rsid w:val="21F241BE"/>
    <w:rsid w:val="22162B37"/>
    <w:rsid w:val="22237002"/>
    <w:rsid w:val="224A4176"/>
    <w:rsid w:val="22BF755A"/>
    <w:rsid w:val="22D27909"/>
    <w:rsid w:val="22E06CA1"/>
    <w:rsid w:val="22EB123B"/>
    <w:rsid w:val="233233FB"/>
    <w:rsid w:val="23376A8B"/>
    <w:rsid w:val="233C3173"/>
    <w:rsid w:val="234C4318"/>
    <w:rsid w:val="23566043"/>
    <w:rsid w:val="245D2347"/>
    <w:rsid w:val="249012A8"/>
    <w:rsid w:val="249E0BC2"/>
    <w:rsid w:val="24AC5084"/>
    <w:rsid w:val="24B30B11"/>
    <w:rsid w:val="24D61CD0"/>
    <w:rsid w:val="24D66DC5"/>
    <w:rsid w:val="24F66C50"/>
    <w:rsid w:val="24FB5950"/>
    <w:rsid w:val="25873D4C"/>
    <w:rsid w:val="25BD15DE"/>
    <w:rsid w:val="25D30D3F"/>
    <w:rsid w:val="260B672B"/>
    <w:rsid w:val="262C6DF5"/>
    <w:rsid w:val="267E6EFD"/>
    <w:rsid w:val="26A54D19"/>
    <w:rsid w:val="26EA6341"/>
    <w:rsid w:val="27071E29"/>
    <w:rsid w:val="270F0781"/>
    <w:rsid w:val="2749750B"/>
    <w:rsid w:val="27667CA2"/>
    <w:rsid w:val="276E6752"/>
    <w:rsid w:val="27BA3FFB"/>
    <w:rsid w:val="27C052F3"/>
    <w:rsid w:val="27DB3621"/>
    <w:rsid w:val="27F75178"/>
    <w:rsid w:val="27F8683B"/>
    <w:rsid w:val="289F0C32"/>
    <w:rsid w:val="28AA3FD9"/>
    <w:rsid w:val="28C055AB"/>
    <w:rsid w:val="28DB26BA"/>
    <w:rsid w:val="28E71BD0"/>
    <w:rsid w:val="290336EA"/>
    <w:rsid w:val="29134382"/>
    <w:rsid w:val="29323FCF"/>
    <w:rsid w:val="294066EC"/>
    <w:rsid w:val="2953641F"/>
    <w:rsid w:val="2998070D"/>
    <w:rsid w:val="29D535AF"/>
    <w:rsid w:val="2A23495C"/>
    <w:rsid w:val="2A391AB9"/>
    <w:rsid w:val="2A4B5348"/>
    <w:rsid w:val="2A557F75"/>
    <w:rsid w:val="2A7E5EF3"/>
    <w:rsid w:val="2A832D34"/>
    <w:rsid w:val="2A905451"/>
    <w:rsid w:val="2AA333D6"/>
    <w:rsid w:val="2AAD1F79"/>
    <w:rsid w:val="2AB63060"/>
    <w:rsid w:val="2ADB3DDF"/>
    <w:rsid w:val="2B075EC2"/>
    <w:rsid w:val="2B2F07C6"/>
    <w:rsid w:val="2B4D3342"/>
    <w:rsid w:val="2B9845BD"/>
    <w:rsid w:val="2BA07916"/>
    <w:rsid w:val="2BA458C2"/>
    <w:rsid w:val="2BEF4EFD"/>
    <w:rsid w:val="2C153E60"/>
    <w:rsid w:val="2CCF6B96"/>
    <w:rsid w:val="2D1B54A6"/>
    <w:rsid w:val="2D6150C9"/>
    <w:rsid w:val="2D7921CC"/>
    <w:rsid w:val="2D850B71"/>
    <w:rsid w:val="2DEE2BBA"/>
    <w:rsid w:val="2E4A5917"/>
    <w:rsid w:val="2E513A46"/>
    <w:rsid w:val="2E9F0D46"/>
    <w:rsid w:val="2EC972D1"/>
    <w:rsid w:val="2F2A406E"/>
    <w:rsid w:val="2F2D7712"/>
    <w:rsid w:val="2F57478F"/>
    <w:rsid w:val="2F8D1F5F"/>
    <w:rsid w:val="2F9652B7"/>
    <w:rsid w:val="2FAC4ADB"/>
    <w:rsid w:val="2FAD2601"/>
    <w:rsid w:val="2FD207C8"/>
    <w:rsid w:val="2FE95EC5"/>
    <w:rsid w:val="2FFA3A98"/>
    <w:rsid w:val="30224D9D"/>
    <w:rsid w:val="30240B15"/>
    <w:rsid w:val="305052F8"/>
    <w:rsid w:val="306F366D"/>
    <w:rsid w:val="309D0A69"/>
    <w:rsid w:val="31264419"/>
    <w:rsid w:val="31545658"/>
    <w:rsid w:val="315B6E08"/>
    <w:rsid w:val="31A25953"/>
    <w:rsid w:val="31C0486E"/>
    <w:rsid w:val="31F525AF"/>
    <w:rsid w:val="320C14AA"/>
    <w:rsid w:val="320F1351"/>
    <w:rsid w:val="32153506"/>
    <w:rsid w:val="3220247C"/>
    <w:rsid w:val="32236BAB"/>
    <w:rsid w:val="325925CF"/>
    <w:rsid w:val="327B2543"/>
    <w:rsid w:val="32843928"/>
    <w:rsid w:val="32D011E7"/>
    <w:rsid w:val="32E87283"/>
    <w:rsid w:val="32F65378"/>
    <w:rsid w:val="331738A7"/>
    <w:rsid w:val="333363FB"/>
    <w:rsid w:val="336112FD"/>
    <w:rsid w:val="336C6619"/>
    <w:rsid w:val="336D530A"/>
    <w:rsid w:val="338C59F5"/>
    <w:rsid w:val="3392223A"/>
    <w:rsid w:val="33C5616B"/>
    <w:rsid w:val="33D60411"/>
    <w:rsid w:val="33E04D53"/>
    <w:rsid w:val="33F26834"/>
    <w:rsid w:val="343A2750"/>
    <w:rsid w:val="34977386"/>
    <w:rsid w:val="34A55F9D"/>
    <w:rsid w:val="34F565DC"/>
    <w:rsid w:val="34FC3E0F"/>
    <w:rsid w:val="351B06B9"/>
    <w:rsid w:val="35245113"/>
    <w:rsid w:val="355157DD"/>
    <w:rsid w:val="357A1680"/>
    <w:rsid w:val="357A4D33"/>
    <w:rsid w:val="358953E1"/>
    <w:rsid w:val="35CB37E1"/>
    <w:rsid w:val="36151E0F"/>
    <w:rsid w:val="361C228F"/>
    <w:rsid w:val="36657792"/>
    <w:rsid w:val="36770772"/>
    <w:rsid w:val="367F5E73"/>
    <w:rsid w:val="36A54032"/>
    <w:rsid w:val="36C02C1A"/>
    <w:rsid w:val="36C61C73"/>
    <w:rsid w:val="36E927E6"/>
    <w:rsid w:val="37103EE5"/>
    <w:rsid w:val="376143FD"/>
    <w:rsid w:val="376B702A"/>
    <w:rsid w:val="377063EE"/>
    <w:rsid w:val="377759CE"/>
    <w:rsid w:val="377C2E3D"/>
    <w:rsid w:val="378F2663"/>
    <w:rsid w:val="37A97B52"/>
    <w:rsid w:val="37B021DF"/>
    <w:rsid w:val="37B02C8E"/>
    <w:rsid w:val="37B05C55"/>
    <w:rsid w:val="37D270A9"/>
    <w:rsid w:val="37E34AB8"/>
    <w:rsid w:val="382302A8"/>
    <w:rsid w:val="3844134E"/>
    <w:rsid w:val="384D2BD3"/>
    <w:rsid w:val="386F48F8"/>
    <w:rsid w:val="388365F5"/>
    <w:rsid w:val="38877B6F"/>
    <w:rsid w:val="389A4173"/>
    <w:rsid w:val="38C473FE"/>
    <w:rsid w:val="38F4304F"/>
    <w:rsid w:val="391B4A7F"/>
    <w:rsid w:val="3936167C"/>
    <w:rsid w:val="394226E9"/>
    <w:rsid w:val="399A1E48"/>
    <w:rsid w:val="39AD4279"/>
    <w:rsid w:val="39BF4783"/>
    <w:rsid w:val="39DA5936"/>
    <w:rsid w:val="39F72DF7"/>
    <w:rsid w:val="3A1177A9"/>
    <w:rsid w:val="3A1525B8"/>
    <w:rsid w:val="3A233BEC"/>
    <w:rsid w:val="3A437492"/>
    <w:rsid w:val="3A4529E0"/>
    <w:rsid w:val="3A6B10EF"/>
    <w:rsid w:val="3A777A93"/>
    <w:rsid w:val="3A7B5195"/>
    <w:rsid w:val="3A7C154E"/>
    <w:rsid w:val="3AA27206"/>
    <w:rsid w:val="3AA472C4"/>
    <w:rsid w:val="3AC727C9"/>
    <w:rsid w:val="3AE17DD9"/>
    <w:rsid w:val="3AF235BE"/>
    <w:rsid w:val="3B0F5F1E"/>
    <w:rsid w:val="3B312338"/>
    <w:rsid w:val="3B3573C0"/>
    <w:rsid w:val="3B5B2B56"/>
    <w:rsid w:val="3B5D2FF3"/>
    <w:rsid w:val="3B6E6C5A"/>
    <w:rsid w:val="3B726B0F"/>
    <w:rsid w:val="3B765F9D"/>
    <w:rsid w:val="3BB6283D"/>
    <w:rsid w:val="3BD333EF"/>
    <w:rsid w:val="3BD81CA5"/>
    <w:rsid w:val="3BFF5F92"/>
    <w:rsid w:val="3C333E8E"/>
    <w:rsid w:val="3C4D6CFE"/>
    <w:rsid w:val="3C502C92"/>
    <w:rsid w:val="3D233F03"/>
    <w:rsid w:val="3D624A2B"/>
    <w:rsid w:val="3D670293"/>
    <w:rsid w:val="3D8363B5"/>
    <w:rsid w:val="3D8F5B44"/>
    <w:rsid w:val="3DE61259"/>
    <w:rsid w:val="3DE82198"/>
    <w:rsid w:val="3E0B50C2"/>
    <w:rsid w:val="3E1877DF"/>
    <w:rsid w:val="3E216694"/>
    <w:rsid w:val="3E492A9D"/>
    <w:rsid w:val="3E71576B"/>
    <w:rsid w:val="3E8D1F7B"/>
    <w:rsid w:val="3E976956"/>
    <w:rsid w:val="3EF23E74"/>
    <w:rsid w:val="3F340649"/>
    <w:rsid w:val="3F4D1208"/>
    <w:rsid w:val="3F5B5BD6"/>
    <w:rsid w:val="3F6635D8"/>
    <w:rsid w:val="3F7153F9"/>
    <w:rsid w:val="3FA65E12"/>
    <w:rsid w:val="3FAA6F7C"/>
    <w:rsid w:val="3FC41BCD"/>
    <w:rsid w:val="3FDB4739"/>
    <w:rsid w:val="40302C3E"/>
    <w:rsid w:val="404D269B"/>
    <w:rsid w:val="40775150"/>
    <w:rsid w:val="40A94EAD"/>
    <w:rsid w:val="40C6671E"/>
    <w:rsid w:val="412E545F"/>
    <w:rsid w:val="41534E17"/>
    <w:rsid w:val="417B52DF"/>
    <w:rsid w:val="418A09F4"/>
    <w:rsid w:val="41A5138A"/>
    <w:rsid w:val="41FB36A0"/>
    <w:rsid w:val="425F778B"/>
    <w:rsid w:val="427C0D42"/>
    <w:rsid w:val="42994B0E"/>
    <w:rsid w:val="42DF6358"/>
    <w:rsid w:val="430622FC"/>
    <w:rsid w:val="43336BD6"/>
    <w:rsid w:val="434D07DC"/>
    <w:rsid w:val="435C3CCA"/>
    <w:rsid w:val="43C27FD1"/>
    <w:rsid w:val="43E8567D"/>
    <w:rsid w:val="44126087"/>
    <w:rsid w:val="44254268"/>
    <w:rsid w:val="445A46AE"/>
    <w:rsid w:val="446D7285"/>
    <w:rsid w:val="44890AEF"/>
    <w:rsid w:val="44AD65B2"/>
    <w:rsid w:val="44DE708D"/>
    <w:rsid w:val="44F41E14"/>
    <w:rsid w:val="44F52628"/>
    <w:rsid w:val="45433394"/>
    <w:rsid w:val="454809AA"/>
    <w:rsid w:val="45632D4A"/>
    <w:rsid w:val="457B292C"/>
    <w:rsid w:val="45D601B1"/>
    <w:rsid w:val="461865CE"/>
    <w:rsid w:val="465D0B4A"/>
    <w:rsid w:val="46D02E6E"/>
    <w:rsid w:val="46F04E55"/>
    <w:rsid w:val="47322D31"/>
    <w:rsid w:val="475F1FDB"/>
    <w:rsid w:val="47981329"/>
    <w:rsid w:val="47CD33A1"/>
    <w:rsid w:val="47F10A2F"/>
    <w:rsid w:val="4880078F"/>
    <w:rsid w:val="489A227C"/>
    <w:rsid w:val="48D33A10"/>
    <w:rsid w:val="48DD77FF"/>
    <w:rsid w:val="48DF33D4"/>
    <w:rsid w:val="48F33B00"/>
    <w:rsid w:val="48F919B1"/>
    <w:rsid w:val="49262B4F"/>
    <w:rsid w:val="4928477D"/>
    <w:rsid w:val="4938740C"/>
    <w:rsid w:val="494B3895"/>
    <w:rsid w:val="495A16D7"/>
    <w:rsid w:val="49D00F6E"/>
    <w:rsid w:val="4A1470AD"/>
    <w:rsid w:val="4A74318C"/>
    <w:rsid w:val="4A7A7858"/>
    <w:rsid w:val="4A802994"/>
    <w:rsid w:val="4A9314F7"/>
    <w:rsid w:val="4AD033D8"/>
    <w:rsid w:val="4AEE5D16"/>
    <w:rsid w:val="4B210482"/>
    <w:rsid w:val="4B257098"/>
    <w:rsid w:val="4B6C0C65"/>
    <w:rsid w:val="4BD66E16"/>
    <w:rsid w:val="4BD9235C"/>
    <w:rsid w:val="4BE34F89"/>
    <w:rsid w:val="4C101961"/>
    <w:rsid w:val="4C177328"/>
    <w:rsid w:val="4C324A7C"/>
    <w:rsid w:val="4C544D4F"/>
    <w:rsid w:val="4C742BD3"/>
    <w:rsid w:val="4CE93DDA"/>
    <w:rsid w:val="4D03304E"/>
    <w:rsid w:val="4D3F2693"/>
    <w:rsid w:val="4DA44BEC"/>
    <w:rsid w:val="4DAE4F0E"/>
    <w:rsid w:val="4DB52955"/>
    <w:rsid w:val="4DC86B2C"/>
    <w:rsid w:val="4DC94652"/>
    <w:rsid w:val="4DCD7C9F"/>
    <w:rsid w:val="4E48527C"/>
    <w:rsid w:val="4E93713A"/>
    <w:rsid w:val="4EE96D5A"/>
    <w:rsid w:val="4F09648C"/>
    <w:rsid w:val="4F0B7A65"/>
    <w:rsid w:val="4F1B0EDE"/>
    <w:rsid w:val="4F29184C"/>
    <w:rsid w:val="4F2E0C11"/>
    <w:rsid w:val="4F6939F7"/>
    <w:rsid w:val="4F6F1605"/>
    <w:rsid w:val="4F6F4D85"/>
    <w:rsid w:val="4F7D3946"/>
    <w:rsid w:val="4FF3763E"/>
    <w:rsid w:val="4FF736F9"/>
    <w:rsid w:val="4FFA6D45"/>
    <w:rsid w:val="501B33C0"/>
    <w:rsid w:val="502913D8"/>
    <w:rsid w:val="50492324"/>
    <w:rsid w:val="50884351"/>
    <w:rsid w:val="51427D44"/>
    <w:rsid w:val="51544B95"/>
    <w:rsid w:val="51786173"/>
    <w:rsid w:val="51A72EFC"/>
    <w:rsid w:val="51E312FA"/>
    <w:rsid w:val="51E90E1F"/>
    <w:rsid w:val="51F84F1A"/>
    <w:rsid w:val="51FF02D1"/>
    <w:rsid w:val="5200004C"/>
    <w:rsid w:val="52024F4A"/>
    <w:rsid w:val="520C0033"/>
    <w:rsid w:val="521B2F7B"/>
    <w:rsid w:val="52326377"/>
    <w:rsid w:val="52383B54"/>
    <w:rsid w:val="523F7724"/>
    <w:rsid w:val="52480EAF"/>
    <w:rsid w:val="52512C74"/>
    <w:rsid w:val="52592449"/>
    <w:rsid w:val="5298758E"/>
    <w:rsid w:val="530A3430"/>
    <w:rsid w:val="53153EBC"/>
    <w:rsid w:val="532366DF"/>
    <w:rsid w:val="53591FD4"/>
    <w:rsid w:val="536015B5"/>
    <w:rsid w:val="53622431"/>
    <w:rsid w:val="53691DAB"/>
    <w:rsid w:val="536C025D"/>
    <w:rsid w:val="5384063D"/>
    <w:rsid w:val="53986FA1"/>
    <w:rsid w:val="53E53868"/>
    <w:rsid w:val="53F35F85"/>
    <w:rsid w:val="541C1980"/>
    <w:rsid w:val="54324CFF"/>
    <w:rsid w:val="54707138"/>
    <w:rsid w:val="549C0D22"/>
    <w:rsid w:val="54DC2EBD"/>
    <w:rsid w:val="550A17D8"/>
    <w:rsid w:val="55214D74"/>
    <w:rsid w:val="557718AD"/>
    <w:rsid w:val="55895539"/>
    <w:rsid w:val="55DD6EED"/>
    <w:rsid w:val="55E905DF"/>
    <w:rsid w:val="56292132"/>
    <w:rsid w:val="56526C83"/>
    <w:rsid w:val="566B0279"/>
    <w:rsid w:val="569A3DE8"/>
    <w:rsid w:val="569E6A95"/>
    <w:rsid w:val="56AC697A"/>
    <w:rsid w:val="56BD287A"/>
    <w:rsid w:val="56F27236"/>
    <w:rsid w:val="57120E18"/>
    <w:rsid w:val="573A621A"/>
    <w:rsid w:val="57467DC2"/>
    <w:rsid w:val="575029FF"/>
    <w:rsid w:val="57607DD5"/>
    <w:rsid w:val="57961A49"/>
    <w:rsid w:val="579A6EF2"/>
    <w:rsid w:val="579F3D83"/>
    <w:rsid w:val="57A67243"/>
    <w:rsid w:val="57BC2B32"/>
    <w:rsid w:val="58150BC0"/>
    <w:rsid w:val="583B25CE"/>
    <w:rsid w:val="588B70D4"/>
    <w:rsid w:val="589718F8"/>
    <w:rsid w:val="590B1FC3"/>
    <w:rsid w:val="5946465B"/>
    <w:rsid w:val="596334BB"/>
    <w:rsid w:val="59CA3C2C"/>
    <w:rsid w:val="59E81B43"/>
    <w:rsid w:val="5A7017A3"/>
    <w:rsid w:val="5A737E20"/>
    <w:rsid w:val="5A8E4C59"/>
    <w:rsid w:val="5AB3021C"/>
    <w:rsid w:val="5AB87F28"/>
    <w:rsid w:val="5ADA34F9"/>
    <w:rsid w:val="5ADC4363"/>
    <w:rsid w:val="5AE34FA5"/>
    <w:rsid w:val="5AF27E32"/>
    <w:rsid w:val="5AF80325"/>
    <w:rsid w:val="5AFA5E4B"/>
    <w:rsid w:val="5B0C288E"/>
    <w:rsid w:val="5B501F0F"/>
    <w:rsid w:val="5B600F54"/>
    <w:rsid w:val="5B61411C"/>
    <w:rsid w:val="5B664507"/>
    <w:rsid w:val="5B745BFD"/>
    <w:rsid w:val="5B8D2D21"/>
    <w:rsid w:val="5C1B578B"/>
    <w:rsid w:val="5C433822"/>
    <w:rsid w:val="5C4C7056"/>
    <w:rsid w:val="5C7E2B2D"/>
    <w:rsid w:val="5C823D20"/>
    <w:rsid w:val="5C9F2BA9"/>
    <w:rsid w:val="5CB1411A"/>
    <w:rsid w:val="5CB32755"/>
    <w:rsid w:val="5CC94F85"/>
    <w:rsid w:val="5CED7004"/>
    <w:rsid w:val="5D1458EA"/>
    <w:rsid w:val="5D4B6E32"/>
    <w:rsid w:val="5D995DEF"/>
    <w:rsid w:val="5DAD4EEE"/>
    <w:rsid w:val="5E354F6E"/>
    <w:rsid w:val="5E3D2C1E"/>
    <w:rsid w:val="5EA0677E"/>
    <w:rsid w:val="5EA44A4C"/>
    <w:rsid w:val="5EA52572"/>
    <w:rsid w:val="5EDD4E55"/>
    <w:rsid w:val="5EEA2EAA"/>
    <w:rsid w:val="5F1C6CD8"/>
    <w:rsid w:val="5F332C52"/>
    <w:rsid w:val="5F357D99"/>
    <w:rsid w:val="5FCC0F22"/>
    <w:rsid w:val="5FCF559B"/>
    <w:rsid w:val="5FD44EBD"/>
    <w:rsid w:val="5FE91204"/>
    <w:rsid w:val="606F50F7"/>
    <w:rsid w:val="60813C93"/>
    <w:rsid w:val="608A7B9F"/>
    <w:rsid w:val="60BB7E2A"/>
    <w:rsid w:val="60E07891"/>
    <w:rsid w:val="60E12287"/>
    <w:rsid w:val="60EB5C13"/>
    <w:rsid w:val="612E7483"/>
    <w:rsid w:val="61720E31"/>
    <w:rsid w:val="618B1EF3"/>
    <w:rsid w:val="61D41C95"/>
    <w:rsid w:val="61F8244A"/>
    <w:rsid w:val="61FD4BCF"/>
    <w:rsid w:val="620A72BB"/>
    <w:rsid w:val="620D46B6"/>
    <w:rsid w:val="62163625"/>
    <w:rsid w:val="621E0053"/>
    <w:rsid w:val="622C5484"/>
    <w:rsid w:val="626131B6"/>
    <w:rsid w:val="626764BC"/>
    <w:rsid w:val="626F35C2"/>
    <w:rsid w:val="628D3A49"/>
    <w:rsid w:val="629152A4"/>
    <w:rsid w:val="62BC7E8A"/>
    <w:rsid w:val="62C70A69"/>
    <w:rsid w:val="62F31AFE"/>
    <w:rsid w:val="635D095A"/>
    <w:rsid w:val="63A850AF"/>
    <w:rsid w:val="63EC03D7"/>
    <w:rsid w:val="63F21DB5"/>
    <w:rsid w:val="640D3139"/>
    <w:rsid w:val="6429154F"/>
    <w:rsid w:val="642B3519"/>
    <w:rsid w:val="64552344"/>
    <w:rsid w:val="64680D3B"/>
    <w:rsid w:val="64715DE8"/>
    <w:rsid w:val="64721148"/>
    <w:rsid w:val="647E7AED"/>
    <w:rsid w:val="64C33752"/>
    <w:rsid w:val="64FC400C"/>
    <w:rsid w:val="6540549D"/>
    <w:rsid w:val="65424385"/>
    <w:rsid w:val="656F7435"/>
    <w:rsid w:val="65B66FA0"/>
    <w:rsid w:val="65EC0A86"/>
    <w:rsid w:val="665F7EA6"/>
    <w:rsid w:val="66A3383B"/>
    <w:rsid w:val="66AA014B"/>
    <w:rsid w:val="66AA6A39"/>
    <w:rsid w:val="66B41976"/>
    <w:rsid w:val="67087B42"/>
    <w:rsid w:val="67130B29"/>
    <w:rsid w:val="674212A6"/>
    <w:rsid w:val="674848E9"/>
    <w:rsid w:val="67717F1F"/>
    <w:rsid w:val="67B103C5"/>
    <w:rsid w:val="67BC0878"/>
    <w:rsid w:val="67E02FF4"/>
    <w:rsid w:val="67FB3202"/>
    <w:rsid w:val="680D18B3"/>
    <w:rsid w:val="683056C2"/>
    <w:rsid w:val="68361D3B"/>
    <w:rsid w:val="691E0457"/>
    <w:rsid w:val="692B4CEC"/>
    <w:rsid w:val="69B63885"/>
    <w:rsid w:val="69C2047C"/>
    <w:rsid w:val="69E95A08"/>
    <w:rsid w:val="6A0049DA"/>
    <w:rsid w:val="6A413A96"/>
    <w:rsid w:val="6A5D438A"/>
    <w:rsid w:val="6A657223"/>
    <w:rsid w:val="6AA64BA1"/>
    <w:rsid w:val="6AC5264F"/>
    <w:rsid w:val="6AD06BC8"/>
    <w:rsid w:val="6AD16ECB"/>
    <w:rsid w:val="6AFC5C0F"/>
    <w:rsid w:val="6AFE3735"/>
    <w:rsid w:val="6B250CC2"/>
    <w:rsid w:val="6B2C0E95"/>
    <w:rsid w:val="6B421874"/>
    <w:rsid w:val="6B5D03D4"/>
    <w:rsid w:val="6BE24E05"/>
    <w:rsid w:val="6BF609FC"/>
    <w:rsid w:val="6C55286E"/>
    <w:rsid w:val="6C687B5B"/>
    <w:rsid w:val="6C863145"/>
    <w:rsid w:val="6C9450BF"/>
    <w:rsid w:val="6C9854C4"/>
    <w:rsid w:val="6CF90658"/>
    <w:rsid w:val="6CFC0175"/>
    <w:rsid w:val="6D1A412B"/>
    <w:rsid w:val="6D2663FE"/>
    <w:rsid w:val="6D34343E"/>
    <w:rsid w:val="6D3F3B91"/>
    <w:rsid w:val="6D513FF0"/>
    <w:rsid w:val="6D594C53"/>
    <w:rsid w:val="6DBB590E"/>
    <w:rsid w:val="6DDF784E"/>
    <w:rsid w:val="6DFD3E62"/>
    <w:rsid w:val="6E027099"/>
    <w:rsid w:val="6EBC037B"/>
    <w:rsid w:val="6ED547AD"/>
    <w:rsid w:val="6F227C43"/>
    <w:rsid w:val="6F59792B"/>
    <w:rsid w:val="6FCA008A"/>
    <w:rsid w:val="6FDE7692"/>
    <w:rsid w:val="6FE0340A"/>
    <w:rsid w:val="705D2CAC"/>
    <w:rsid w:val="70623B39"/>
    <w:rsid w:val="706E6C67"/>
    <w:rsid w:val="70735633"/>
    <w:rsid w:val="713F5FBC"/>
    <w:rsid w:val="716B764B"/>
    <w:rsid w:val="71AA3CCF"/>
    <w:rsid w:val="71B73FBF"/>
    <w:rsid w:val="724E6D50"/>
    <w:rsid w:val="72693B8A"/>
    <w:rsid w:val="726B5632"/>
    <w:rsid w:val="72A708F3"/>
    <w:rsid w:val="73220C9C"/>
    <w:rsid w:val="737C169B"/>
    <w:rsid w:val="7383413E"/>
    <w:rsid w:val="73B47E9C"/>
    <w:rsid w:val="73FE47A6"/>
    <w:rsid w:val="744A0AEB"/>
    <w:rsid w:val="74761EBC"/>
    <w:rsid w:val="74936C9D"/>
    <w:rsid w:val="74C10800"/>
    <w:rsid w:val="75072AB8"/>
    <w:rsid w:val="75181898"/>
    <w:rsid w:val="753C37D8"/>
    <w:rsid w:val="757B063F"/>
    <w:rsid w:val="757C5983"/>
    <w:rsid w:val="759828BF"/>
    <w:rsid w:val="75B23A9A"/>
    <w:rsid w:val="75B54D88"/>
    <w:rsid w:val="75D02172"/>
    <w:rsid w:val="75D5222C"/>
    <w:rsid w:val="75E33C54"/>
    <w:rsid w:val="76701B3C"/>
    <w:rsid w:val="76764099"/>
    <w:rsid w:val="767B3E8C"/>
    <w:rsid w:val="76E76CA8"/>
    <w:rsid w:val="77562203"/>
    <w:rsid w:val="77574EFF"/>
    <w:rsid w:val="776808B4"/>
    <w:rsid w:val="776E56C3"/>
    <w:rsid w:val="777E4D63"/>
    <w:rsid w:val="77905715"/>
    <w:rsid w:val="779A68CB"/>
    <w:rsid w:val="77A92327"/>
    <w:rsid w:val="77AB07A1"/>
    <w:rsid w:val="77CD4BBB"/>
    <w:rsid w:val="77EE068E"/>
    <w:rsid w:val="77F17155"/>
    <w:rsid w:val="781D5DA5"/>
    <w:rsid w:val="78286BEF"/>
    <w:rsid w:val="78511348"/>
    <w:rsid w:val="7863107C"/>
    <w:rsid w:val="78676D75"/>
    <w:rsid w:val="78852DA0"/>
    <w:rsid w:val="78972AD3"/>
    <w:rsid w:val="78DD757E"/>
    <w:rsid w:val="79050385"/>
    <w:rsid w:val="79905EA0"/>
    <w:rsid w:val="79AA651D"/>
    <w:rsid w:val="7A5C2227"/>
    <w:rsid w:val="7A6F3D08"/>
    <w:rsid w:val="7A74494A"/>
    <w:rsid w:val="7A7632E8"/>
    <w:rsid w:val="7A7A0E2D"/>
    <w:rsid w:val="7A846899"/>
    <w:rsid w:val="7AC0042A"/>
    <w:rsid w:val="7AC9077C"/>
    <w:rsid w:val="7ACA4480"/>
    <w:rsid w:val="7AD63D87"/>
    <w:rsid w:val="7B073F40"/>
    <w:rsid w:val="7B17440A"/>
    <w:rsid w:val="7B242D44"/>
    <w:rsid w:val="7B3E62DB"/>
    <w:rsid w:val="7B9652C4"/>
    <w:rsid w:val="7BCB76EE"/>
    <w:rsid w:val="7BF22E42"/>
    <w:rsid w:val="7C2D5C29"/>
    <w:rsid w:val="7C741AA9"/>
    <w:rsid w:val="7C8B6DF3"/>
    <w:rsid w:val="7CD80ACA"/>
    <w:rsid w:val="7D0A5F6A"/>
    <w:rsid w:val="7D211744"/>
    <w:rsid w:val="7D2920B1"/>
    <w:rsid w:val="7D917500"/>
    <w:rsid w:val="7D951B38"/>
    <w:rsid w:val="7D9638EC"/>
    <w:rsid w:val="7DC977CA"/>
    <w:rsid w:val="7DD948A3"/>
    <w:rsid w:val="7E6B2A38"/>
    <w:rsid w:val="7E7F4735"/>
    <w:rsid w:val="7EC55DD4"/>
    <w:rsid w:val="7F5C09C2"/>
    <w:rsid w:val="7F6A0F42"/>
    <w:rsid w:val="7FAA5E00"/>
    <w:rsid w:val="7FC93691"/>
    <w:rsid w:val="7FD0610C"/>
    <w:rsid w:val="7FFB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qFormat="1" w:unhideWhenUsed="0" w:uiPriority="99"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qFormat="1"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59" w:semiHidden="0" w:name="Table Grid"/>
    <w:lsdException w:unhideWhenUsed="0"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widowControl w:val="0"/>
      <w:spacing w:before="340" w:after="330" w:line="576" w:lineRule="auto"/>
      <w:jc w:val="center"/>
      <w:outlineLvl w:val="0"/>
    </w:pPr>
    <w:rPr>
      <w:rFonts w:ascii="Times New Roman" w:hAnsi="Times New Roman" w:eastAsia="方正小标宋_GBK" w:cs="Times New Roman"/>
      <w:spacing w:val="28"/>
      <w:kern w:val="36"/>
      <w:sz w:val="36"/>
      <w:szCs w:val="20"/>
    </w:rPr>
  </w:style>
  <w:style w:type="paragraph" w:styleId="3">
    <w:name w:val="heading 2"/>
    <w:basedOn w:val="1"/>
    <w:next w:val="1"/>
    <w:link w:val="80"/>
    <w:qFormat/>
    <w:uiPriority w:val="0"/>
    <w:pPr>
      <w:keepNext/>
      <w:keepLines/>
      <w:widowControl w:val="0"/>
      <w:spacing w:before="340" w:after="340" w:line="413" w:lineRule="auto"/>
      <w:jc w:val="center"/>
      <w:outlineLvl w:val="1"/>
    </w:pPr>
    <w:rPr>
      <w:rFonts w:ascii="Arial" w:hAnsi="Arial" w:eastAsia="黑体" w:cs="Times New Roman"/>
      <w:sz w:val="30"/>
      <w:szCs w:val="24"/>
    </w:rPr>
  </w:style>
  <w:style w:type="paragraph" w:styleId="4">
    <w:name w:val="heading 3"/>
    <w:basedOn w:val="1"/>
    <w:next w:val="1"/>
    <w:link w:val="57"/>
    <w:qFormat/>
    <w:uiPriority w:val="0"/>
    <w:pPr>
      <w:keepNext/>
      <w:keepLines/>
      <w:widowControl w:val="0"/>
      <w:spacing w:before="300" w:after="260" w:line="413" w:lineRule="auto"/>
      <w:jc w:val="center"/>
      <w:outlineLvl w:val="2"/>
    </w:pPr>
    <w:rPr>
      <w:rFonts w:ascii="Times New Roman" w:hAnsi="Times New Roman" w:eastAsia="宋体" w:cs="Times New Roman"/>
      <w:b/>
      <w:sz w:val="32"/>
      <w:szCs w:val="24"/>
    </w:rPr>
  </w:style>
  <w:style w:type="paragraph" w:styleId="5">
    <w:name w:val="heading 4"/>
    <w:basedOn w:val="1"/>
    <w:next w:val="1"/>
    <w:link w:val="47"/>
    <w:qFormat/>
    <w:uiPriority w:val="0"/>
    <w:pPr>
      <w:keepNext/>
      <w:keepLines/>
      <w:widowControl w:val="0"/>
      <w:spacing w:before="280" w:after="290" w:line="480" w:lineRule="auto"/>
      <w:jc w:val="both"/>
      <w:outlineLvl w:val="3"/>
    </w:pPr>
    <w:rPr>
      <w:rFonts w:ascii="Arial" w:hAnsi="Arial" w:eastAsia="黑体" w:cs="Times New Roman"/>
      <w:bCs/>
      <w:kern w:val="2"/>
      <w:sz w:val="24"/>
      <w:szCs w:val="28"/>
      <w:lang w:val="en-US" w:eastAsia="zh-CN" w:bidi="ar-SA"/>
    </w:rPr>
  </w:style>
  <w:style w:type="paragraph" w:styleId="6">
    <w:name w:val="heading 5"/>
    <w:basedOn w:val="1"/>
    <w:next w:val="1"/>
    <w:link w:val="85"/>
    <w:qFormat/>
    <w:uiPriority w:val="0"/>
    <w:pPr>
      <w:keepNext/>
      <w:keepLines/>
      <w:widowControl w:val="0"/>
      <w:spacing w:before="160" w:after="290" w:line="372" w:lineRule="auto"/>
      <w:jc w:val="both"/>
      <w:outlineLvl w:val="4"/>
    </w:pPr>
    <w:rPr>
      <w:rFonts w:ascii="Times New Roman" w:hAnsi="Times New Roman" w:eastAsia="黑体" w:cs="Times New Roman"/>
      <w:kern w:val="2"/>
      <w:sz w:val="24"/>
      <w:szCs w:val="24"/>
      <w:lang w:val="en-US" w:eastAsia="zh-CN" w:bidi="ar-SA"/>
    </w:rPr>
  </w:style>
  <w:style w:type="paragraph" w:styleId="7">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line="317" w:lineRule="auto"/>
      <w:outlineLvl w:val="6"/>
    </w:pPr>
    <w:rPr>
      <w:b/>
      <w:sz w:val="24"/>
    </w:rPr>
  </w:style>
  <w:style w:type="paragraph" w:styleId="9">
    <w:name w:val="heading 8"/>
    <w:basedOn w:val="1"/>
    <w:next w:val="1"/>
    <w:unhideWhenUsed/>
    <w:qFormat/>
    <w:uiPriority w:val="0"/>
    <w:pPr>
      <w:keepNext/>
      <w:keepLines/>
      <w:spacing w:line="317" w:lineRule="auto"/>
      <w:outlineLvl w:val="7"/>
    </w:pPr>
    <w:rPr>
      <w:rFonts w:ascii="Arial" w:hAnsi="Arial" w:eastAsia="黑体"/>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0">
    <w:name w:val="Normal Indent"/>
    <w:basedOn w:val="1"/>
    <w:next w:val="11"/>
    <w:qFormat/>
    <w:uiPriority w:val="0"/>
    <w:pPr>
      <w:ind w:firstLine="420"/>
    </w:pPr>
    <w:rPr>
      <w:rFonts w:eastAsia="宋体"/>
    </w:rPr>
  </w:style>
  <w:style w:type="paragraph" w:customStyle="1" w:styleId="1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2">
    <w:name w:val="caption"/>
    <w:basedOn w:val="1"/>
    <w:next w:val="1"/>
    <w:qFormat/>
    <w:uiPriority w:val="99"/>
    <w:rPr>
      <w:rFonts w:ascii="Arial" w:hAnsi="Arial" w:eastAsia="黑体"/>
      <w:sz w:val="20"/>
      <w:szCs w:val="20"/>
    </w:rPr>
  </w:style>
  <w:style w:type="paragraph" w:styleId="13">
    <w:name w:val="index 5"/>
    <w:basedOn w:val="1"/>
    <w:next w:val="1"/>
    <w:qFormat/>
    <w:uiPriority w:val="99"/>
    <w:pPr>
      <w:snapToGrid w:val="0"/>
      <w:ind w:left="800" w:leftChars="800"/>
    </w:pPr>
    <w:rPr>
      <w:rFonts w:ascii="Arial Narrow" w:hAnsi="Arial Narrow"/>
      <w:kern w:val="0"/>
      <w:szCs w:val="20"/>
    </w:rPr>
  </w:style>
  <w:style w:type="paragraph" w:styleId="14">
    <w:name w:val="annotation text"/>
    <w:basedOn w:val="1"/>
    <w:semiHidden/>
    <w:unhideWhenUsed/>
    <w:qFormat/>
    <w:uiPriority w:val="99"/>
    <w:pPr>
      <w:jc w:val="left"/>
    </w:pPr>
  </w:style>
  <w:style w:type="paragraph" w:styleId="15">
    <w:name w:val="List Bullet 3"/>
    <w:basedOn w:val="1"/>
    <w:semiHidden/>
    <w:unhideWhenUsed/>
    <w:qFormat/>
    <w:uiPriority w:val="99"/>
    <w:pPr>
      <w:numPr>
        <w:ilvl w:val="0"/>
        <w:numId w:val="1"/>
      </w:numPr>
    </w:pPr>
  </w:style>
  <w:style w:type="paragraph" w:styleId="16">
    <w:name w:val="Body Text"/>
    <w:basedOn w:val="1"/>
    <w:qFormat/>
    <w:uiPriority w:val="0"/>
    <w:pPr>
      <w:spacing w:after="120" w:line="440" w:lineRule="exact"/>
      <w:ind w:firstLine="200" w:firstLineChars="200"/>
    </w:pPr>
    <w:rPr>
      <w:rFonts w:ascii="Times New Roman" w:hAnsi="Times New Roman" w:eastAsia="宋体"/>
    </w:rPr>
  </w:style>
  <w:style w:type="paragraph" w:styleId="17">
    <w:name w:val="Body Text Indent"/>
    <w:basedOn w:val="1"/>
    <w:next w:val="18"/>
    <w:qFormat/>
    <w:uiPriority w:val="0"/>
    <w:pPr>
      <w:spacing w:after="120"/>
      <w:ind w:left="420" w:leftChars="200"/>
    </w:pPr>
  </w:style>
  <w:style w:type="paragraph" w:styleId="18">
    <w:name w:val="annotation subject"/>
    <w:basedOn w:val="14"/>
    <w:next w:val="1"/>
    <w:qFormat/>
    <w:uiPriority w:val="0"/>
    <w:rPr>
      <w:b/>
      <w:bCs/>
    </w:rPr>
  </w:style>
  <w:style w:type="paragraph" w:styleId="19">
    <w:name w:val="List 2"/>
    <w:basedOn w:val="1"/>
    <w:unhideWhenUsed/>
    <w:qFormat/>
    <w:uiPriority w:val="99"/>
    <w:pPr>
      <w:ind w:left="100" w:leftChars="200" w:hanging="200" w:hangingChars="200"/>
      <w:contextualSpacing/>
    </w:pPr>
  </w:style>
  <w:style w:type="paragraph" w:styleId="20">
    <w:name w:val="toc 3"/>
    <w:basedOn w:val="1"/>
    <w:next w:val="1"/>
    <w:qFormat/>
    <w:uiPriority w:val="0"/>
    <w:pPr>
      <w:spacing w:line="560" w:lineRule="exact"/>
      <w:ind w:left="454"/>
      <w:jc w:val="left"/>
    </w:pPr>
    <w:rPr>
      <w:rFonts w:eastAsia="宋体" w:cs="Times New Roman"/>
      <w:iCs/>
      <w:sz w:val="18"/>
      <w:szCs w:val="24"/>
    </w:rPr>
  </w:style>
  <w:style w:type="paragraph" w:styleId="21">
    <w:name w:val="Plain Text"/>
    <w:basedOn w:val="1"/>
    <w:qFormat/>
    <w:uiPriority w:val="0"/>
    <w:rPr>
      <w:rFonts w:ascii="宋体" w:hAnsi="Courier New" w:cs="Courier New"/>
      <w:szCs w:val="21"/>
    </w:rPr>
  </w:style>
  <w:style w:type="paragraph" w:styleId="22">
    <w:name w:val="Date"/>
    <w:basedOn w:val="1"/>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23">
    <w:name w:val="footer"/>
    <w:basedOn w:val="1"/>
    <w:qFormat/>
    <w:uiPriority w:val="0"/>
    <w:pPr>
      <w:tabs>
        <w:tab w:val="center" w:pos="4153"/>
        <w:tab w:val="right" w:pos="8306"/>
      </w:tabs>
      <w:snapToGrid w:val="0"/>
      <w:jc w:val="left"/>
    </w:pPr>
    <w:rPr>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pPr>
      <w:spacing w:line="560" w:lineRule="exact"/>
      <w:jc w:val="left"/>
    </w:pPr>
    <w:rPr>
      <w:rFonts w:ascii="Times New Roman" w:hAnsi="Times New Roman" w:eastAsia="黑体" w:cs="Times New Roman"/>
      <w:sz w:val="24"/>
      <w:szCs w:val="24"/>
    </w:rPr>
  </w:style>
  <w:style w:type="paragraph" w:styleId="26">
    <w:name w:val="toc 6"/>
    <w:basedOn w:val="1"/>
    <w:next w:val="1"/>
    <w:qFormat/>
    <w:uiPriority w:val="99"/>
    <w:pPr>
      <w:widowControl/>
      <w:ind w:left="1000"/>
      <w:jc w:val="left"/>
    </w:pPr>
    <w:rPr>
      <w:kern w:val="0"/>
      <w:sz w:val="18"/>
      <w:szCs w:val="20"/>
    </w:rPr>
  </w:style>
  <w:style w:type="paragraph" w:styleId="27">
    <w:name w:val="toc 2"/>
    <w:basedOn w:val="1"/>
    <w:next w:val="1"/>
    <w:qFormat/>
    <w:uiPriority w:val="0"/>
    <w:pPr>
      <w:spacing w:line="560" w:lineRule="exact"/>
      <w:ind w:left="238"/>
    </w:pPr>
    <w:rPr>
      <w:rFonts w:ascii="Times New Roman" w:hAnsi="Times New Roman" w:eastAsia="黑体" w:cs="Times New Roman"/>
      <w:smallCaps/>
      <w:szCs w:val="24"/>
    </w:rPr>
  </w:style>
  <w:style w:type="paragraph" w:styleId="2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9">
    <w:name w:val="Title"/>
    <w:basedOn w:val="1"/>
    <w:qFormat/>
    <w:uiPriority w:val="99"/>
    <w:pPr>
      <w:spacing w:before="240" w:after="240"/>
      <w:jc w:val="center"/>
      <w:outlineLvl w:val="0"/>
    </w:pPr>
    <w:rPr>
      <w:rFonts w:ascii="Cambria" w:hAnsi="Cambria" w:cs="Cambria"/>
      <w:b/>
      <w:bCs/>
      <w:kern w:val="0"/>
      <w:sz w:val="32"/>
      <w:szCs w:val="32"/>
    </w:rPr>
  </w:style>
  <w:style w:type="paragraph" w:styleId="30">
    <w:name w:val="Body Text First Indent"/>
    <w:basedOn w:val="16"/>
    <w:next w:val="26"/>
    <w:qFormat/>
    <w:uiPriority w:val="0"/>
    <w:pPr>
      <w:spacing w:after="120"/>
      <w:ind w:firstLine="420" w:firstLineChars="100"/>
    </w:pPr>
  </w:style>
  <w:style w:type="paragraph" w:styleId="31">
    <w:name w:val="Body Text First Indent 2"/>
    <w:basedOn w:val="17"/>
    <w:next w:val="1"/>
    <w:unhideWhenUsed/>
    <w:qFormat/>
    <w:uiPriority w:val="99"/>
    <w:pPr>
      <w:autoSpaceDE w:val="0"/>
      <w:autoSpaceDN w:val="0"/>
      <w:adjustRightInd w:val="0"/>
      <w:ind w:firstLine="420"/>
      <w:jc w:val="left"/>
    </w:pPr>
    <w:rPr>
      <w:rFonts w:ascii="Calibri" w:hAnsi="Calibri" w:eastAsia="宋体" w:cs="Times New Roman"/>
      <w:kern w:val="0"/>
    </w:rPr>
  </w:style>
  <w:style w:type="table" w:styleId="33">
    <w:name w:val="Table Grid"/>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FollowedHyperlink"/>
    <w:basedOn w:val="34"/>
    <w:semiHidden/>
    <w:unhideWhenUsed/>
    <w:qFormat/>
    <w:uiPriority w:val="99"/>
    <w:rPr>
      <w:color w:val="5C5C5C"/>
      <w:u w:val="none"/>
    </w:rPr>
  </w:style>
  <w:style w:type="character" w:styleId="37">
    <w:name w:val="Emphasis"/>
    <w:basedOn w:val="34"/>
    <w:qFormat/>
    <w:uiPriority w:val="20"/>
  </w:style>
  <w:style w:type="character" w:styleId="38">
    <w:name w:val="Hyperlink"/>
    <w:basedOn w:val="34"/>
    <w:qFormat/>
    <w:uiPriority w:val="0"/>
    <w:rPr>
      <w:rFonts w:ascii="Times New Roman" w:hAnsi="Times New Roman" w:eastAsia="宋体" w:cs="Times New Roman"/>
      <w:color w:val="0000FF"/>
      <w:u w:val="single"/>
    </w:rPr>
  </w:style>
  <w:style w:type="paragraph" w:customStyle="1" w:styleId="39">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customStyle="1" w:styleId="40">
    <w:name w:val="列出段落1"/>
    <w:basedOn w:val="1"/>
    <w:qFormat/>
    <w:uiPriority w:val="34"/>
    <w:pPr>
      <w:ind w:firstLine="420" w:firstLineChars="200"/>
    </w:pPr>
    <w:rPr>
      <w:rFonts w:ascii="Calibri" w:hAnsi="Calibri"/>
      <w:szCs w:val="22"/>
    </w:rPr>
  </w:style>
  <w:style w:type="paragraph" w:customStyle="1" w:styleId="41">
    <w:name w:val="表头"/>
    <w:basedOn w:val="12"/>
    <w:qFormat/>
    <w:uiPriority w:val="0"/>
    <w:pPr>
      <w:spacing w:line="240" w:lineRule="exact"/>
      <w:jc w:val="center"/>
    </w:pPr>
    <w:rPr>
      <w:rFonts w:ascii="Times New Roman" w:hAnsi="Times New Roman" w:eastAsia="微软雅黑" w:cs="Times New Roman"/>
      <w:b/>
      <w:sz w:val="20"/>
      <w:szCs w:val="20"/>
    </w:rPr>
  </w:style>
  <w:style w:type="paragraph" w:customStyle="1" w:styleId="42">
    <w:name w:val="文章正文"/>
    <w:link w:val="43"/>
    <w:qFormat/>
    <w:uiPriority w:val="0"/>
    <w:pPr>
      <w:widowControl w:val="0"/>
      <w:adjustRightInd w:val="0"/>
      <w:snapToGrid w:val="0"/>
      <w:spacing w:before="100" w:beforeLines="100" w:line="440" w:lineRule="exact"/>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3">
    <w:name w:val="文章正文 Char"/>
    <w:basedOn w:val="34"/>
    <w:link w:val="42"/>
    <w:qFormat/>
    <w:uiPriority w:val="0"/>
    <w:rPr>
      <w:rFonts w:ascii="Times New Roman" w:hAnsi="Times New Roman" w:eastAsia="宋体" w:cs="Times New Roman"/>
      <w:kern w:val="2"/>
      <w:sz w:val="24"/>
      <w:szCs w:val="22"/>
      <w:lang w:val="en-US" w:eastAsia="zh-CN" w:bidi="ar-SA"/>
    </w:rPr>
  </w:style>
  <w:style w:type="paragraph" w:customStyle="1" w:styleId="44">
    <w:name w:val="表格1"/>
    <w:link w:val="45"/>
    <w:qFormat/>
    <w:uiPriority w:val="0"/>
    <w:pPr>
      <w:widowControl w:val="0"/>
      <w:spacing w:line="300" w:lineRule="exact"/>
      <w:jc w:val="center"/>
    </w:pPr>
    <w:rPr>
      <w:rFonts w:ascii="Times New Roman" w:hAnsi="Times New Roman" w:eastAsia="微软雅黑" w:cs="Times New Roman"/>
      <w:kern w:val="2"/>
      <w:sz w:val="21"/>
      <w:szCs w:val="24"/>
      <w:lang w:val="en-US" w:eastAsia="zh-CN" w:bidi="ar-SA"/>
    </w:rPr>
  </w:style>
  <w:style w:type="character" w:customStyle="1" w:styleId="45">
    <w:name w:val="表格1 Char"/>
    <w:link w:val="44"/>
    <w:qFormat/>
    <w:uiPriority w:val="0"/>
    <w:rPr>
      <w:rFonts w:ascii="Times New Roman" w:hAnsi="Times New Roman" w:eastAsia="微软雅黑" w:cs="Times New Roman"/>
      <w:kern w:val="2"/>
      <w:sz w:val="21"/>
      <w:szCs w:val="24"/>
      <w:lang w:val="en-US" w:eastAsia="zh-CN" w:bidi="ar-SA"/>
    </w:rPr>
  </w:style>
  <w:style w:type="paragraph" w:customStyle="1" w:styleId="46">
    <w:name w:val="表格2"/>
    <w:qFormat/>
    <w:uiPriority w:val="0"/>
    <w:pPr>
      <w:widowControl w:val="0"/>
      <w:spacing w:line="240" w:lineRule="exact"/>
      <w:ind w:firstLine="420" w:firstLineChars="200"/>
    </w:pPr>
    <w:rPr>
      <w:rFonts w:ascii="Times New Roman" w:hAnsi="Times New Roman" w:eastAsia="微软雅黑" w:cs="Times New Roman"/>
      <w:kern w:val="2"/>
      <w:sz w:val="20"/>
      <w:szCs w:val="24"/>
      <w:lang w:val="en-US" w:eastAsia="zh-CN" w:bidi="ar-SA"/>
    </w:rPr>
  </w:style>
  <w:style w:type="character" w:customStyle="1" w:styleId="47">
    <w:name w:val="标题 4 Char"/>
    <w:link w:val="5"/>
    <w:qFormat/>
    <w:uiPriority w:val="0"/>
    <w:rPr>
      <w:rFonts w:ascii="Arial" w:hAnsi="Arial" w:eastAsia="黑体" w:cs="Times New Roman"/>
      <w:bCs/>
      <w:kern w:val="2"/>
      <w:sz w:val="24"/>
      <w:szCs w:val="28"/>
      <w:lang w:val="en-US" w:eastAsia="zh-CN" w:bidi="ar-SA"/>
    </w:rPr>
  </w:style>
  <w:style w:type="paragraph" w:customStyle="1" w:styleId="48">
    <w:name w:val="表格内标题行"/>
    <w:basedOn w:val="1"/>
    <w:qFormat/>
    <w:uiPriority w:val="0"/>
    <w:pPr>
      <w:widowControl/>
      <w:tabs>
        <w:tab w:val="left" w:pos="33"/>
      </w:tabs>
      <w:spacing w:line="480" w:lineRule="auto"/>
      <w:ind w:left="0" w:right="0" w:rightChars="0" w:firstLine="920" w:firstLineChars="100"/>
      <w:jc w:val="center"/>
    </w:pPr>
    <w:rPr>
      <w:rFonts w:ascii="宋体" w:hAnsi="宋体" w:eastAsia="黑体" w:cs="宋体"/>
      <w:b/>
      <w:szCs w:val="24"/>
    </w:rPr>
  </w:style>
  <w:style w:type="paragraph" w:customStyle="1" w:styleId="49">
    <w:name w:val="表格内容左对齐"/>
    <w:basedOn w:val="1"/>
    <w:qFormat/>
    <w:uiPriority w:val="99"/>
    <w:pPr>
      <w:widowControl/>
      <w:numPr>
        <w:ilvl w:val="0"/>
        <w:numId w:val="2"/>
      </w:numPr>
      <w:tabs>
        <w:tab w:val="left" w:pos="33"/>
      </w:tabs>
      <w:spacing w:line="260" w:lineRule="exact"/>
      <w:ind w:right="-48" w:rightChars="-23" w:firstLine="920" w:firstLineChars="100"/>
      <w:jc w:val="left"/>
    </w:pPr>
    <w:rPr>
      <w:rFonts w:ascii="宋体" w:hAnsi="宋体" w:eastAsia="微软雅黑" w:cs="宋体"/>
      <w:sz w:val="20"/>
      <w:szCs w:val="20"/>
    </w:rPr>
  </w:style>
  <w:style w:type="paragraph" w:customStyle="1" w:styleId="50">
    <w:name w:val="正文(首行缩进)"/>
    <w:basedOn w:val="1"/>
    <w:qFormat/>
    <w:uiPriority w:val="0"/>
    <w:pPr>
      <w:widowControl/>
      <w:spacing w:line="440" w:lineRule="exact"/>
      <w:ind w:firstLine="1840" w:firstLineChars="200"/>
      <w:jc w:val="left"/>
    </w:pPr>
    <w:rPr>
      <w:rFonts w:ascii="Arial Narrow" w:hAnsi="Arial Narrow" w:eastAsia="宋体" w:cs="宋体"/>
      <w:sz w:val="24"/>
    </w:rPr>
  </w:style>
  <w:style w:type="character" w:customStyle="1" w:styleId="51">
    <w:name w:val="标题 5 Char"/>
    <w:basedOn w:val="34"/>
    <w:link w:val="6"/>
    <w:qFormat/>
    <w:uiPriority w:val="0"/>
    <w:rPr>
      <w:rFonts w:ascii="Times New Roman" w:hAnsi="Times New Roman" w:eastAsia="黑体" w:cs="Times New Roman"/>
      <w:kern w:val="2"/>
      <w:sz w:val="24"/>
      <w:szCs w:val="24"/>
      <w:lang w:val="en-US" w:eastAsia="zh-CN" w:bidi="ar-SA"/>
    </w:rPr>
  </w:style>
  <w:style w:type="paragraph" w:styleId="52">
    <w:name w:val="List Paragraph"/>
    <w:basedOn w:val="1"/>
    <w:qFormat/>
    <w:uiPriority w:val="34"/>
    <w:pPr>
      <w:ind w:firstLine="420" w:firstLineChars="200"/>
    </w:pPr>
  </w:style>
  <w:style w:type="paragraph" w:customStyle="1" w:styleId="53">
    <w:name w:val="研究生姓名"/>
    <w:qFormat/>
    <w:uiPriority w:val="0"/>
    <w:pPr>
      <w:widowControl w:val="0"/>
      <w:ind w:firstLine="700" w:firstLineChars="700"/>
      <w:jc w:val="both"/>
    </w:pPr>
    <w:rPr>
      <w:rFonts w:ascii="Times New Roman" w:hAnsi="Times New Roman" w:eastAsia="宋体" w:cs="Times New Roman"/>
      <w:kern w:val="2"/>
      <w:sz w:val="28"/>
      <w:szCs w:val="28"/>
      <w:lang w:val="en-US" w:eastAsia="zh-CN" w:bidi="ar-SA"/>
    </w:rPr>
  </w:style>
  <w:style w:type="character" w:customStyle="1" w:styleId="54">
    <w:name w:val="标题 2 Char1"/>
    <w:link w:val="3"/>
    <w:qFormat/>
    <w:uiPriority w:val="0"/>
    <w:rPr>
      <w:rFonts w:ascii="Arial" w:hAnsi="Arial" w:eastAsia="黑体" w:cs="Times New Roman"/>
      <w:sz w:val="30"/>
      <w:szCs w:val="24"/>
    </w:rPr>
  </w:style>
  <w:style w:type="paragraph" w:customStyle="1" w:styleId="55">
    <w:name w:val="Table Paragraph"/>
    <w:basedOn w:val="1"/>
    <w:qFormat/>
    <w:uiPriority w:val="1"/>
    <w:rPr>
      <w:rFonts w:ascii="宋体" w:hAnsi="宋体" w:eastAsia="宋体" w:cs="宋体"/>
      <w:lang w:val="zh-CN" w:eastAsia="zh-CN" w:bidi="zh-CN"/>
    </w:rPr>
  </w:style>
  <w:style w:type="character" w:customStyle="1" w:styleId="56">
    <w:name w:val="heading 5 Char"/>
    <w:basedOn w:val="34"/>
    <w:link w:val="6"/>
    <w:qFormat/>
    <w:uiPriority w:val="0"/>
    <w:rPr>
      <w:rFonts w:ascii="Times New Roman" w:hAnsi="Times New Roman" w:eastAsia="黑体" w:cs="Times New Roman"/>
      <w:kern w:val="2"/>
      <w:sz w:val="24"/>
      <w:szCs w:val="24"/>
      <w:lang w:val="en-US" w:eastAsia="zh-CN" w:bidi="ar-SA"/>
    </w:rPr>
  </w:style>
  <w:style w:type="character" w:customStyle="1" w:styleId="57">
    <w:name w:val="heading 3 Char"/>
    <w:basedOn w:val="34"/>
    <w:link w:val="4"/>
    <w:qFormat/>
    <w:uiPriority w:val="0"/>
    <w:rPr>
      <w:rFonts w:ascii="Times New Roman" w:hAnsi="Times New Roman" w:eastAsia="宋体" w:cs="Times New Roman"/>
      <w:b/>
      <w:sz w:val="32"/>
      <w:szCs w:val="24"/>
    </w:rPr>
  </w:style>
  <w:style w:type="paragraph" w:customStyle="1" w:styleId="58">
    <w:name w:val="招标文件表格表头"/>
    <w:basedOn w:val="1"/>
    <w:qFormat/>
    <w:uiPriority w:val="0"/>
    <w:pPr>
      <w:jc w:val="center"/>
    </w:pPr>
    <w:rPr>
      <w:rFonts w:eastAsia="黑体" w:cs="Times New Roman"/>
      <w:b/>
      <w:sz w:val="24"/>
    </w:rPr>
  </w:style>
  <w:style w:type="paragraph" w:customStyle="1" w:styleId="59">
    <w:name w:val="招标文件编号"/>
    <w:qFormat/>
    <w:uiPriority w:val="0"/>
    <w:pPr>
      <w:widowControl w:val="0"/>
      <w:numPr>
        <w:ilvl w:val="0"/>
        <w:numId w:val="3"/>
      </w:numPr>
      <w:tabs>
        <w:tab w:val="clear" w:pos="0"/>
      </w:tabs>
      <w:adjustRightInd w:val="0"/>
      <w:snapToGrid w:val="0"/>
      <w:spacing w:line="240" w:lineRule="exact"/>
      <w:jc w:val="center"/>
    </w:pPr>
    <w:rPr>
      <w:rFonts w:ascii="Times New Roman" w:hAnsi="Times New Roman" w:eastAsia="微软雅黑" w:cs="Times New Roman"/>
      <w:kern w:val="2"/>
      <w:sz w:val="21"/>
      <w:szCs w:val="24"/>
      <w:lang w:val="en-US" w:eastAsia="zh-CN" w:bidi="ar-SA"/>
    </w:rPr>
  </w:style>
  <w:style w:type="paragraph" w:customStyle="1" w:styleId="60">
    <w:name w:val="表格多段文字"/>
    <w:basedOn w:val="1"/>
    <w:qFormat/>
    <w:uiPriority w:val="0"/>
    <w:pPr>
      <w:spacing w:line="240" w:lineRule="exact"/>
      <w:ind w:firstLine="832" w:firstLineChars="200"/>
      <w:jc w:val="left"/>
    </w:pPr>
    <w:rPr>
      <w:rFonts w:hint="eastAsia" w:ascii="Times New Roman" w:hAnsi="Times New Roman" w:eastAsia="微软雅黑" w:cs="Times New Roman"/>
      <w:szCs w:val="24"/>
    </w:rPr>
  </w:style>
  <w:style w:type="paragraph" w:customStyle="1" w:styleId="61">
    <w:name w:val="招标文件表格多段内容"/>
    <w:basedOn w:val="1"/>
    <w:qFormat/>
    <w:uiPriority w:val="0"/>
    <w:pPr>
      <w:spacing w:before="10" w:beforeLines="10" w:line="240" w:lineRule="exact"/>
      <w:ind w:firstLine="400" w:firstLineChars="200"/>
      <w:jc w:val="left"/>
    </w:pPr>
    <w:rPr>
      <w:rFonts w:hint="eastAsia" w:ascii="Times New Roman" w:hAnsi="Times New Roman" w:eastAsia="微软雅黑" w:cs="Times New Roman"/>
      <w:sz w:val="20"/>
      <w:szCs w:val="22"/>
    </w:rPr>
  </w:style>
  <w:style w:type="paragraph" w:customStyle="1" w:styleId="62">
    <w:name w:val="Other|1"/>
    <w:basedOn w:val="1"/>
    <w:qFormat/>
    <w:uiPriority w:val="0"/>
    <w:pPr>
      <w:spacing w:line="420" w:lineRule="auto"/>
      <w:ind w:firstLine="400"/>
      <w:jc w:val="left"/>
    </w:pPr>
    <w:rPr>
      <w:rFonts w:ascii="宋体" w:hAnsi="宋体" w:eastAsia="宋体"/>
      <w:color w:val="000000"/>
      <w:kern w:val="0"/>
      <w:sz w:val="28"/>
      <w:szCs w:val="28"/>
      <w:lang w:val="zh-TW" w:eastAsia="zh-TW" w:bidi="zh-TW"/>
    </w:rPr>
  </w:style>
  <w:style w:type="paragraph" w:customStyle="1" w:styleId="63">
    <w:name w:val="招标文件表格主内容"/>
    <w:basedOn w:val="1"/>
    <w:qFormat/>
    <w:uiPriority w:val="0"/>
    <w:pPr>
      <w:spacing w:line="240" w:lineRule="exact"/>
      <w:jc w:val="center"/>
    </w:pPr>
    <w:rPr>
      <w:rFonts w:hint="eastAsia" w:eastAsia="微软雅黑"/>
      <w:sz w:val="22"/>
    </w:rPr>
  </w:style>
  <w:style w:type="paragraph" w:customStyle="1" w:styleId="64">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5">
    <w:name w:val="font31"/>
    <w:basedOn w:val="34"/>
    <w:qFormat/>
    <w:uiPriority w:val="0"/>
    <w:rPr>
      <w:rFonts w:hint="eastAsia" w:ascii="宋体" w:hAnsi="宋体" w:eastAsia="宋体" w:cs="宋体"/>
      <w:color w:val="000000"/>
      <w:sz w:val="20"/>
      <w:szCs w:val="20"/>
      <w:u w:val="none"/>
    </w:rPr>
  </w:style>
  <w:style w:type="character" w:customStyle="1" w:styleId="66">
    <w:name w:val="font11"/>
    <w:basedOn w:val="34"/>
    <w:qFormat/>
    <w:uiPriority w:val="0"/>
    <w:rPr>
      <w:rFonts w:hint="eastAsia" w:ascii="宋体" w:hAnsi="宋体" w:eastAsia="宋体" w:cs="宋体"/>
      <w:color w:val="000000"/>
      <w:sz w:val="20"/>
      <w:szCs w:val="20"/>
      <w:u w:val="none"/>
    </w:rPr>
  </w:style>
  <w:style w:type="table" w:customStyle="1" w:styleId="67">
    <w:name w:val="Table Normal"/>
    <w:unhideWhenUsed/>
    <w:qFormat/>
    <w:uiPriority w:val="2"/>
    <w:pPr>
      <w:widowControl w:val="0"/>
      <w:autoSpaceDE w:val="0"/>
      <w:autoSpaceDN w:val="0"/>
    </w:pPr>
    <w:rPr>
      <w:rFonts w:ascii="Calibri" w:hAnsi="Calibri" w:eastAsia="宋体" w:cs="Times New Roman"/>
      <w:sz w:val="22"/>
      <w:szCs w:val="22"/>
      <w:lang w:eastAsia="en-US"/>
    </w:rPr>
    <w:tblPr>
      <w:tblCellMar>
        <w:top w:w="0" w:type="dxa"/>
        <w:left w:w="0" w:type="dxa"/>
        <w:bottom w:w="0" w:type="dxa"/>
        <w:right w:w="0" w:type="dxa"/>
      </w:tblCellMar>
    </w:tbl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WPSOffice手动目录 2"/>
    <w:qFormat/>
    <w:uiPriority w:val="0"/>
    <w:pPr>
      <w:ind w:leftChars="200"/>
    </w:pPr>
    <w:rPr>
      <w:rFonts w:ascii="Times New Roman" w:hAnsi="Times New Roman" w:eastAsia="宋体" w:cs="Times New Roman"/>
      <w:sz w:val="20"/>
      <w:szCs w:val="20"/>
    </w:rPr>
  </w:style>
  <w:style w:type="paragraph" w:customStyle="1" w:styleId="70">
    <w:name w:val="Heading #1|1"/>
    <w:basedOn w:val="1"/>
    <w:qFormat/>
    <w:uiPriority w:val="0"/>
    <w:pPr>
      <w:spacing w:line="526" w:lineRule="exact"/>
      <w:jc w:val="center"/>
      <w:outlineLvl w:val="0"/>
    </w:pPr>
    <w:rPr>
      <w:rFonts w:ascii="宋体" w:hAnsi="宋体" w:eastAsia="宋体"/>
      <w:sz w:val="36"/>
      <w:szCs w:val="36"/>
      <w:lang w:val="zh-TW" w:eastAsia="zh-TW" w:bidi="zh-TW"/>
    </w:rPr>
  </w:style>
  <w:style w:type="character" w:customStyle="1" w:styleId="71">
    <w:name w:val="l-btn-icon-left"/>
    <w:basedOn w:val="34"/>
    <w:qFormat/>
    <w:uiPriority w:val="0"/>
  </w:style>
  <w:style w:type="character" w:customStyle="1" w:styleId="72">
    <w:name w:val="l-btn-icon-right"/>
    <w:basedOn w:val="34"/>
    <w:qFormat/>
    <w:uiPriority w:val="0"/>
  </w:style>
  <w:style w:type="character" w:customStyle="1" w:styleId="73">
    <w:name w:val="l-btn-left"/>
    <w:basedOn w:val="34"/>
    <w:qFormat/>
    <w:uiPriority w:val="0"/>
  </w:style>
  <w:style w:type="character" w:customStyle="1" w:styleId="74">
    <w:name w:val="l-btn-left1"/>
    <w:basedOn w:val="34"/>
    <w:qFormat/>
    <w:uiPriority w:val="0"/>
  </w:style>
  <w:style w:type="character" w:customStyle="1" w:styleId="75">
    <w:name w:val="l-btn-left2"/>
    <w:basedOn w:val="34"/>
    <w:qFormat/>
    <w:uiPriority w:val="0"/>
  </w:style>
  <w:style w:type="character" w:customStyle="1" w:styleId="76">
    <w:name w:val="l-btn-left3"/>
    <w:basedOn w:val="34"/>
    <w:qFormat/>
    <w:uiPriority w:val="0"/>
  </w:style>
  <w:style w:type="character" w:customStyle="1" w:styleId="77">
    <w:name w:val="l-btn-text"/>
    <w:basedOn w:val="34"/>
    <w:qFormat/>
    <w:uiPriority w:val="0"/>
    <w:rPr>
      <w:sz w:val="18"/>
      <w:szCs w:val="18"/>
      <w:vertAlign w:val="baseline"/>
    </w:rPr>
  </w:style>
  <w:style w:type="character" w:customStyle="1" w:styleId="78">
    <w:name w:val="l-btn-empty"/>
    <w:basedOn w:val="34"/>
    <w:qFormat/>
    <w:uiPriority w:val="0"/>
  </w:style>
  <w:style w:type="paragraph" w:styleId="79">
    <w:name w:val="No Spacing"/>
    <w:qFormat/>
    <w:uiPriority w:val="1"/>
    <w:pPr>
      <w:widowControl w:val="0"/>
      <w:jc w:val="center"/>
    </w:pPr>
    <w:rPr>
      <w:rFonts w:ascii="Times New Roman" w:hAnsi="Times New Roman" w:eastAsia="黑体" w:cs="Times New Roman"/>
      <w:kern w:val="2"/>
      <w:sz w:val="30"/>
      <w:szCs w:val="24"/>
      <w:lang w:val="en-US" w:eastAsia="zh-CN" w:bidi="ar-SA"/>
    </w:rPr>
  </w:style>
  <w:style w:type="character" w:customStyle="1" w:styleId="80">
    <w:name w:val="标题 2 字符"/>
    <w:link w:val="3"/>
    <w:qFormat/>
    <w:uiPriority w:val="0"/>
    <w:rPr>
      <w:rFonts w:ascii="Arial" w:hAnsi="Arial" w:eastAsia="黑体"/>
      <w:sz w:val="30"/>
    </w:rPr>
  </w:style>
  <w:style w:type="character" w:customStyle="1" w:styleId="81">
    <w:name w:val="标题 5 字符1"/>
    <w:link w:val="6"/>
    <w:qFormat/>
    <w:uiPriority w:val="0"/>
    <w:rPr>
      <w:rFonts w:ascii="Times New Roman" w:hAnsi="Times New Roman" w:eastAsia="黑体" w:cs="Times New Roman"/>
      <w:kern w:val="2"/>
      <w:sz w:val="24"/>
      <w:szCs w:val="24"/>
      <w:lang w:val="en-US" w:eastAsia="zh-CN" w:bidi="ar-SA"/>
    </w:rPr>
  </w:style>
  <w:style w:type="character" w:customStyle="1" w:styleId="82">
    <w:name w:val="font41"/>
    <w:basedOn w:val="34"/>
    <w:qFormat/>
    <w:uiPriority w:val="0"/>
    <w:rPr>
      <w:rFonts w:ascii="宋体" w:hAnsi="宋体" w:eastAsia="宋体" w:cs="宋体"/>
      <w:color w:val="000000"/>
      <w:sz w:val="14"/>
      <w:szCs w:val="14"/>
      <w:u w:val="none"/>
    </w:rPr>
  </w:style>
  <w:style w:type="paragraph" w:customStyle="1" w:styleId="83">
    <w:name w:val="Table Text"/>
    <w:basedOn w:val="1"/>
    <w:semiHidden/>
    <w:qFormat/>
    <w:uiPriority w:val="0"/>
    <w:rPr>
      <w:rFonts w:ascii="Times New Roman" w:hAnsi="Times New Roman" w:eastAsia="Times New Roman" w:cs="Times New Roman"/>
      <w:sz w:val="18"/>
      <w:szCs w:val="18"/>
      <w:lang w:val="en-US" w:eastAsia="en-US" w:bidi="ar-SA"/>
    </w:rPr>
  </w:style>
  <w:style w:type="paragraph" w:customStyle="1" w:styleId="84">
    <w:name w:val="TOC 标题2"/>
    <w:basedOn w:val="2"/>
    <w:qFormat/>
    <w:uiPriority w:val="39"/>
    <w:pPr>
      <w:widowControl/>
      <w:spacing w:before="240" w:after="0" w:line="259" w:lineRule="auto"/>
      <w:jc w:val="left"/>
      <w:outlineLvl w:val="9"/>
    </w:pPr>
    <w:rPr>
      <w:rFonts w:ascii="等线 Light" w:hAnsi="等线 Light" w:eastAsia="等线 Light"/>
      <w:color w:val="2F5496"/>
      <w:kern w:val="0"/>
      <w:sz w:val="32"/>
      <w:szCs w:val="32"/>
    </w:rPr>
  </w:style>
  <w:style w:type="character" w:customStyle="1" w:styleId="85">
    <w:name w:val="标题 5 字符"/>
    <w:basedOn w:val="34"/>
    <w:link w:val="6"/>
    <w:autoRedefine/>
    <w:qFormat/>
    <w:uiPriority w:val="0"/>
    <w:rPr>
      <w:rFonts w:ascii="Times New Roman" w:hAnsi="Times New Roman" w:eastAsia="黑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WPS&#19979;&#36733;\963e0d98-9538-45c0-b68f-bf261042c072\&#21830;&#19994;&#35745;&#21010;&#20070;&#25163;&#20876;&#23553;&#38754;&#35774;&#3574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sectNamePr val="封底"/>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商业计划书手册封面设计.docx</Template>
  <Pages>81</Pages>
  <Words>16135</Words>
  <Characters>17133</Characters>
  <Lines>1</Lines>
  <Paragraphs>1</Paragraphs>
  <TotalTime>103</TotalTime>
  <ScaleCrop>false</ScaleCrop>
  <LinksUpToDate>false</LinksUpToDate>
  <CharactersWithSpaces>17462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2021-12-16T03:19:00Z</dcterms:created>
  <dc:creator>Sugar</dc:creator>
  <cp:lastModifiedBy>Administrator</cp:lastModifiedBy>
  <cp:lastPrinted>2026-07-29T01:09:00Z</cp:lastPrinted>
  <dcterms:modified xsi:type="dcterms:W3CDTF">2026-07-31T01:28:30Z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UUID">
    <vt:lpwstr>v1.0_mb_DJ8RzLpZZ/FqVZQ/fobU2Q==</vt:lpwstr>
  </property>
  <property fmtid="{D5CDD505-2E9C-101B-9397-08002B2CF9AE}" pid="4" name="ICV">
    <vt:lpwstr>E91934D39C974426AA9FB4FA076AD8E1_13</vt:lpwstr>
  </property>
  <property fmtid="{D5CDD505-2E9C-101B-9397-08002B2CF9AE}" pid="5" name="KSOTemplateDocerSaveRecord">
    <vt:lpwstr>eyJoZGlkIjoiY2ZiYjhjYjlkMGUxZTdkM2M4NjU5MzdhNmMyNzJiMDUiLCJ1c2VySWQiOiI0OTA3NDA5MTcifQ==</vt:lpwstr>
  </property>
</Properties>
</file>