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29BA">
      <w:pPr>
        <w:widowControl/>
        <w:jc w:val="center"/>
        <w:rPr>
          <w:rFonts w:hint="eastAsia" w:ascii="宋体" w:hAnsi="宋体" w:eastAsia="宋体" w:cs="宋体"/>
          <w:b/>
          <w:bCs/>
          <w:kern w:val="0"/>
          <w:sz w:val="52"/>
          <w:szCs w:val="52"/>
        </w:rPr>
      </w:pPr>
      <w:r>
        <w:rPr>
          <w:rFonts w:hint="eastAsia" w:ascii="宋体" w:hAnsi="宋体" w:eastAsia="宋体" w:cs="宋体"/>
          <w:b/>
          <w:bCs/>
          <w:kern w:val="0"/>
          <w:sz w:val="52"/>
          <w:szCs w:val="52"/>
        </w:rPr>
        <w:t>龙山高级中学信息化、AI智慧体育设施设备</w:t>
      </w:r>
    </w:p>
    <w:p w14:paraId="63AE722B">
      <w:pPr>
        <w:widowControl/>
        <w:jc w:val="center"/>
        <w:rPr>
          <w:rFonts w:hint="default" w:ascii="宋体" w:hAnsi="宋体" w:eastAsia="宋体" w:cs="宋体"/>
          <w:b/>
          <w:bCs/>
          <w:kern w:val="0"/>
          <w:sz w:val="52"/>
          <w:szCs w:val="52"/>
          <w:lang w:val="en-US" w:eastAsia="zh-CN"/>
        </w:rPr>
      </w:pPr>
      <w:r>
        <w:rPr>
          <w:rFonts w:hint="eastAsia" w:ascii="宋体" w:hAnsi="宋体" w:eastAsia="宋体" w:cs="宋体"/>
          <w:b/>
          <w:bCs/>
          <w:kern w:val="0"/>
          <w:sz w:val="52"/>
          <w:szCs w:val="52"/>
        </w:rPr>
        <w:t>及其它设备采购项目</w:t>
      </w:r>
      <w:r>
        <w:rPr>
          <w:rFonts w:hint="eastAsia" w:ascii="宋体" w:hAnsi="宋体" w:eastAsia="宋体" w:cs="宋体"/>
          <w:b/>
          <w:bCs/>
          <w:kern w:val="0"/>
          <w:sz w:val="52"/>
          <w:szCs w:val="52"/>
          <w:lang w:val="en-US" w:eastAsia="zh-CN"/>
        </w:rPr>
        <w:t>采购需求</w:t>
      </w:r>
    </w:p>
    <w:p w14:paraId="2C34E4E2">
      <w:pPr>
        <w:widowControl/>
        <w:jc w:val="center"/>
        <w:rPr>
          <w:rFonts w:hint="default" w:ascii="宋体" w:hAnsi="宋体" w:eastAsia="宋体" w:cs="宋体"/>
          <w:b/>
          <w:bCs/>
          <w:kern w:val="0"/>
          <w:sz w:val="52"/>
          <w:szCs w:val="52"/>
          <w:lang w:val="en-US" w:eastAsia="zh-CN"/>
        </w:rPr>
      </w:pPr>
      <w:r>
        <w:rPr>
          <w:rFonts w:hint="eastAsia" w:ascii="宋体" w:hAnsi="宋体" w:eastAsia="宋体" w:cs="宋体"/>
          <w:b/>
          <w:bCs/>
          <w:kern w:val="0"/>
          <w:sz w:val="52"/>
          <w:szCs w:val="52"/>
          <w:lang w:eastAsia="zh-CN"/>
        </w:rPr>
        <w:t>（</w:t>
      </w:r>
      <w:r>
        <w:rPr>
          <w:rFonts w:hint="eastAsia" w:ascii="宋体" w:hAnsi="宋体" w:eastAsia="宋体" w:cs="宋体"/>
          <w:b/>
          <w:bCs/>
          <w:kern w:val="0"/>
          <w:sz w:val="52"/>
          <w:szCs w:val="52"/>
          <w:lang w:val="en-US" w:eastAsia="zh-CN"/>
        </w:rPr>
        <w:t>目录内）</w:t>
      </w:r>
    </w:p>
    <w:p w14:paraId="57E3726C">
      <w:pPr>
        <w:widowControl/>
        <w:jc w:val="left"/>
        <w:rPr>
          <w:rFonts w:hint="eastAsia" w:ascii="宋体" w:hAnsi="宋体" w:eastAsia="宋体" w:cs="宋体"/>
          <w:b/>
          <w:bCs/>
          <w:kern w:val="0"/>
          <w:sz w:val="32"/>
          <w:szCs w:val="32"/>
        </w:rPr>
      </w:pPr>
    </w:p>
    <w:p w14:paraId="2F7099A6">
      <w:pPr>
        <w:widowControl/>
        <w:jc w:val="center"/>
        <w:rPr>
          <w:rFonts w:hint="eastAsia" w:ascii="宋体" w:hAnsi="宋体" w:eastAsia="宋体" w:cs="宋体"/>
          <w:b/>
          <w:bCs/>
          <w:kern w:val="0"/>
          <w:sz w:val="84"/>
          <w:szCs w:val="84"/>
        </w:rPr>
      </w:pPr>
    </w:p>
    <w:p w14:paraId="6ECBAB7D">
      <w:pPr>
        <w:widowControl/>
        <w:jc w:val="center"/>
        <w:rPr>
          <w:rFonts w:hint="eastAsia" w:ascii="宋体" w:hAnsi="宋体" w:eastAsia="宋体" w:cs="宋体"/>
          <w:b/>
          <w:bCs/>
          <w:kern w:val="0"/>
          <w:sz w:val="32"/>
          <w:szCs w:val="32"/>
        </w:rPr>
      </w:pPr>
    </w:p>
    <w:p w14:paraId="193BAA8E">
      <w:pPr>
        <w:widowControl/>
        <w:jc w:val="center"/>
        <w:rPr>
          <w:rFonts w:hint="eastAsia" w:ascii="宋体" w:hAnsi="宋体" w:eastAsia="宋体" w:cs="宋体"/>
          <w:b/>
          <w:bCs/>
          <w:kern w:val="0"/>
          <w:sz w:val="32"/>
          <w:szCs w:val="32"/>
        </w:rPr>
      </w:pPr>
    </w:p>
    <w:p w14:paraId="0C2C2110">
      <w:pPr>
        <w:widowControl/>
        <w:jc w:val="center"/>
        <w:rPr>
          <w:rFonts w:hint="eastAsia" w:ascii="宋体" w:hAnsi="宋体" w:eastAsia="宋体" w:cs="宋体"/>
          <w:b/>
          <w:bCs/>
          <w:kern w:val="0"/>
          <w:sz w:val="52"/>
          <w:szCs w:val="52"/>
        </w:rPr>
      </w:pPr>
      <w:r>
        <w:rPr>
          <w:rFonts w:hint="eastAsia" w:ascii="宋体" w:hAnsi="宋体" w:eastAsia="宋体" w:cs="宋体"/>
          <w:b/>
          <w:bCs/>
          <w:kern w:val="0"/>
          <w:sz w:val="52"/>
          <w:szCs w:val="52"/>
        </w:rPr>
        <w:t>龙 山 高 级 中 学</w:t>
      </w:r>
    </w:p>
    <w:p w14:paraId="18766EBD">
      <w:pPr>
        <w:widowControl/>
        <w:jc w:val="center"/>
        <w:rPr>
          <w:rFonts w:hint="eastAsia" w:ascii="宋体" w:hAnsi="宋体" w:eastAsia="宋体" w:cs="宋体"/>
          <w:b/>
          <w:bCs/>
          <w:kern w:val="0"/>
          <w:sz w:val="52"/>
          <w:szCs w:val="52"/>
        </w:rPr>
      </w:pPr>
      <w:r>
        <w:rPr>
          <w:rFonts w:hint="eastAsia" w:ascii="宋体" w:hAnsi="宋体" w:eastAsia="宋体" w:cs="宋体"/>
          <w:b/>
          <w:bCs/>
          <w:kern w:val="0"/>
          <w:sz w:val="52"/>
          <w:szCs w:val="52"/>
        </w:rPr>
        <w:t xml:space="preserve">二 0 二 </w:t>
      </w:r>
      <w:r>
        <w:rPr>
          <w:rFonts w:hint="eastAsia" w:ascii="宋体" w:hAnsi="宋体" w:eastAsia="宋体" w:cs="宋体"/>
          <w:b/>
          <w:bCs/>
          <w:kern w:val="0"/>
          <w:sz w:val="52"/>
          <w:szCs w:val="52"/>
          <w:lang w:val="en-US" w:eastAsia="zh-CN"/>
        </w:rPr>
        <w:t>六</w:t>
      </w:r>
      <w:r>
        <w:rPr>
          <w:rFonts w:hint="eastAsia" w:ascii="宋体" w:hAnsi="宋体" w:eastAsia="宋体" w:cs="宋体"/>
          <w:b/>
          <w:bCs/>
          <w:kern w:val="0"/>
          <w:sz w:val="52"/>
          <w:szCs w:val="52"/>
        </w:rPr>
        <w:t xml:space="preserve"> 年 </w:t>
      </w:r>
      <w:r>
        <w:rPr>
          <w:rFonts w:hint="eastAsia" w:ascii="宋体" w:hAnsi="宋体" w:eastAsia="宋体" w:cs="宋体"/>
          <w:b/>
          <w:bCs/>
          <w:kern w:val="0"/>
          <w:sz w:val="52"/>
          <w:szCs w:val="52"/>
          <w:lang w:val="en-US" w:eastAsia="zh-CN"/>
        </w:rPr>
        <w:t>五</w:t>
      </w:r>
      <w:r>
        <w:rPr>
          <w:rFonts w:hint="eastAsia" w:ascii="宋体" w:hAnsi="宋体" w:eastAsia="宋体" w:cs="宋体"/>
          <w:b/>
          <w:bCs/>
          <w:kern w:val="0"/>
          <w:sz w:val="52"/>
          <w:szCs w:val="52"/>
        </w:rPr>
        <w:t xml:space="preserve"> 月</w:t>
      </w:r>
    </w:p>
    <w:p w14:paraId="24E1FB15">
      <w:pPr>
        <w:widowControl/>
        <w:jc w:val="left"/>
        <w:rPr>
          <w:rFonts w:hint="eastAsia" w:ascii="宋体" w:hAnsi="宋体" w:eastAsia="宋体" w:cs="宋体"/>
          <w:b/>
          <w:bCs/>
          <w:kern w:val="0"/>
          <w:sz w:val="32"/>
          <w:szCs w:val="32"/>
        </w:rPr>
      </w:pPr>
    </w:p>
    <w:p w14:paraId="083580DA">
      <w:pPr>
        <w:jc w:val="center"/>
        <w:rPr>
          <w:rFonts w:ascii="宋体" w:hAnsi="宋体" w:eastAsia="宋体" w:cs="宋体"/>
          <w:b/>
          <w:bCs/>
          <w:kern w:val="0"/>
          <w:sz w:val="32"/>
          <w:szCs w:val="32"/>
        </w:rPr>
      </w:pPr>
      <w:r>
        <w:rPr>
          <w:rFonts w:hint="eastAsia" w:ascii="宋体" w:hAnsi="宋体" w:eastAsia="宋体" w:cs="宋体"/>
          <w:b/>
          <w:bCs/>
          <w:kern w:val="0"/>
          <w:sz w:val="32"/>
          <w:szCs w:val="32"/>
        </w:rPr>
        <w:t>龙山高级中学信息化、AI智慧体育设施设备及其它设备采购项目</w:t>
      </w:r>
      <w:r>
        <w:rPr>
          <w:rFonts w:hint="eastAsia" w:ascii="宋体" w:hAnsi="宋体" w:eastAsia="宋体" w:cs="宋体"/>
          <w:b/>
          <w:bCs/>
          <w:kern w:val="0"/>
          <w:sz w:val="32"/>
          <w:szCs w:val="32"/>
          <w:lang w:eastAsia="zh-CN"/>
        </w:rPr>
        <w:t>（</w:t>
      </w:r>
      <w:r>
        <w:rPr>
          <w:rFonts w:hint="eastAsia" w:ascii="宋体" w:hAnsi="宋体" w:eastAsia="宋体" w:cs="宋体"/>
          <w:b/>
          <w:bCs/>
          <w:kern w:val="0"/>
          <w:sz w:val="32"/>
          <w:szCs w:val="32"/>
          <w:lang w:val="en-US" w:eastAsia="zh-CN"/>
        </w:rPr>
        <w:t>目录内）</w:t>
      </w:r>
      <w:r>
        <w:rPr>
          <w:rFonts w:hint="eastAsia" w:ascii="宋体" w:hAnsi="宋体" w:eastAsia="宋体" w:cs="宋体"/>
          <w:b/>
          <w:bCs/>
          <w:kern w:val="0"/>
          <w:sz w:val="32"/>
          <w:szCs w:val="32"/>
        </w:rPr>
        <w:t>技术参数及清单</w:t>
      </w:r>
    </w:p>
    <w:tbl>
      <w:tblPr>
        <w:tblStyle w:val="15"/>
        <w:tblW w:w="140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104"/>
        <w:gridCol w:w="8450"/>
        <w:gridCol w:w="710"/>
        <w:gridCol w:w="710"/>
        <w:gridCol w:w="990"/>
        <w:gridCol w:w="1290"/>
      </w:tblGrid>
      <w:tr w14:paraId="667E3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FE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B2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品名</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5B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技术参数及要求</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3C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89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E6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B1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金额</w:t>
            </w:r>
          </w:p>
        </w:tc>
      </w:tr>
      <w:tr w14:paraId="6B51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5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3EA3">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电脑</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12FC">
            <w:pPr>
              <w:widowControl/>
              <w:jc w:val="left"/>
              <w:textAlignment w:val="center"/>
              <w:rPr>
                <w:rFonts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一、国内知名品牌，</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1、处理器：</w:t>
            </w:r>
            <w:r>
              <w:rPr>
                <w:rFonts w:ascii="微软雅黑" w:hAnsi="微软雅黑" w:eastAsia="微软雅黑" w:cs="Arial"/>
                <w:color w:val="auto"/>
                <w:sz w:val="18"/>
                <w:szCs w:val="18"/>
                <w:shd w:val="clear" w:color="auto" w:fill="FFFFFF"/>
              </w:rPr>
              <w:t>采用 ARMv8 架构</w:t>
            </w:r>
            <w:r>
              <w:rPr>
                <w:rFonts w:hint="eastAsia" w:ascii="微软雅黑" w:hAnsi="微软雅黑" w:eastAsia="微软雅黑" w:cs="Arial"/>
                <w:color w:val="auto"/>
                <w:sz w:val="18"/>
                <w:szCs w:val="18"/>
                <w:shd w:val="clear" w:color="auto" w:fill="FFFFFF"/>
              </w:rPr>
              <w:t>；</w:t>
            </w:r>
            <w:r>
              <w:rPr>
                <w:rFonts w:hint="eastAsia" w:ascii="微软雅黑" w:hAnsi="微软雅黑" w:eastAsia="微软雅黑" w:cs="宋体"/>
                <w:color w:val="auto"/>
                <w:kern w:val="0"/>
                <w:sz w:val="18"/>
                <w:szCs w:val="18"/>
                <w:lang w:bidi="ar"/>
              </w:rPr>
              <w:t>≥8核处理器，≥2.3GHz；符合国家安全可靠测评；</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2、内存：≥8GB 内存；≥2个内存插槽</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3、硬盘：≥256GB M.2固态硬盘；</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4、显卡：独立2GB显存卡；</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5、插槽：≥2 x PCIe x16 ，1 x PCIe x8（PCIe x1）</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6、网卡：集成千兆网卡；</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7、主板原生态IO外部接口：前置2个USB 3.2 Gen1，2个USB 2.0，1个麦克风插孔，1个耳机插孔；</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后置2个USB 3.2 Gen1，2个USB 2.0，2个Audio，1个串口，1个RJ45；</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8、键盘鼠标：USB标准商务抗菌键盘和鼠标；</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9、电源：≥200W节能电源；可适应海拔</w:t>
            </w:r>
            <w:r>
              <w:rPr>
                <w:rFonts w:ascii="微软雅黑" w:hAnsi="微软雅黑" w:eastAsia="微软雅黑" w:cs="宋体"/>
                <w:color w:val="auto"/>
                <w:kern w:val="0"/>
                <w:sz w:val="18"/>
                <w:szCs w:val="18"/>
                <w:lang w:bidi="ar"/>
              </w:rPr>
              <w:t>3</w:t>
            </w:r>
            <w:r>
              <w:rPr>
                <w:rFonts w:hint="eastAsia" w:ascii="微软雅黑" w:hAnsi="微软雅黑" w:eastAsia="微软雅黑" w:cs="宋体"/>
                <w:color w:val="auto"/>
                <w:kern w:val="0"/>
                <w:sz w:val="18"/>
                <w:szCs w:val="18"/>
                <w:lang w:bidi="ar"/>
              </w:rPr>
              <w:t>000米以内环境使用，</w:t>
            </w:r>
            <w:r>
              <w:rPr>
                <w:rFonts w:hint="eastAsia" w:ascii="微软雅黑" w:hAnsi="微软雅黑" w:eastAsia="微软雅黑" w:cs="宋体"/>
                <w:color w:val="auto"/>
                <w:kern w:val="0"/>
                <w:sz w:val="18"/>
                <w:szCs w:val="18"/>
                <w:lang w:eastAsia="zh-CN" w:bidi="ar"/>
              </w:rPr>
              <w:t>提供</w:t>
            </w:r>
            <w:r>
              <w:rPr>
                <w:rFonts w:hint="eastAsia" w:ascii="微软雅黑" w:hAnsi="微软雅黑" w:eastAsia="微软雅黑" w:cs="宋体"/>
                <w:color w:val="auto"/>
                <w:kern w:val="0"/>
                <w:sz w:val="18"/>
                <w:szCs w:val="18"/>
                <w:lang w:bidi="ar"/>
              </w:rPr>
              <w:t>国家权威机构供试验报告</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10、机箱：塔式机箱≥9L ；前置有开关键、Reset重启键及网络信息运行灯；后面板具备串并口专用扩展位；提供演示视频；整机噪音：产品工作在空闲状态下，产品的声功率级应不超过1.4Bel；声压级不超过5dB；提供具有C</w:t>
            </w:r>
            <w:r>
              <w:rPr>
                <w:rFonts w:ascii="微软雅黑" w:hAnsi="微软雅黑" w:eastAsia="微软雅黑" w:cs="宋体"/>
                <w:color w:val="auto"/>
                <w:kern w:val="0"/>
                <w:sz w:val="18"/>
                <w:szCs w:val="18"/>
                <w:lang w:bidi="ar"/>
              </w:rPr>
              <w:t>NAS</w:t>
            </w:r>
            <w:r>
              <w:rPr>
                <w:rFonts w:hint="eastAsia" w:ascii="微软雅黑" w:hAnsi="微软雅黑" w:eastAsia="微软雅黑" w:cs="宋体"/>
                <w:color w:val="auto"/>
                <w:kern w:val="0"/>
                <w:sz w:val="18"/>
                <w:szCs w:val="18"/>
                <w:lang w:bidi="ar"/>
              </w:rPr>
              <w:t>和S</w:t>
            </w:r>
            <w:r>
              <w:rPr>
                <w:rFonts w:ascii="微软雅黑" w:hAnsi="微软雅黑" w:eastAsia="微软雅黑" w:cs="宋体"/>
                <w:color w:val="auto"/>
                <w:kern w:val="0"/>
                <w:sz w:val="18"/>
                <w:szCs w:val="18"/>
                <w:lang w:bidi="ar"/>
              </w:rPr>
              <w:t>QI</w:t>
            </w:r>
            <w:r>
              <w:rPr>
                <w:rFonts w:hint="eastAsia" w:ascii="微软雅黑" w:hAnsi="微软雅黑" w:eastAsia="微软雅黑" w:cs="宋体"/>
                <w:color w:val="auto"/>
                <w:kern w:val="0"/>
                <w:sz w:val="18"/>
                <w:szCs w:val="18"/>
                <w:lang w:bidi="ar"/>
              </w:rPr>
              <w:t>的检测证书</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11、显示器：≥23.8英寸与主机同品牌，全高清低蓝光液晶显示器，VGA+HDMI显示器，刷新率≥100Hz、≥2个视频输出端口带数字线缆；</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12、安全性:具备中文BIOS、支持来电开机、支持定时开机、实现硬盘密码保护、可单独允许/禁止某串口、某USB、某个SATA接口。支持系统温度监控、电压监控、风扇转速</w:t>
            </w:r>
            <w:r>
              <w:rPr>
                <w:rFonts w:hint="eastAsia" w:ascii="微软雅黑" w:hAnsi="微软雅黑" w:eastAsia="微软雅黑" w:cs="宋体"/>
                <w:color w:val="auto"/>
                <w:kern w:val="0"/>
                <w:sz w:val="18"/>
                <w:szCs w:val="18"/>
                <w:lang w:eastAsia="zh-CN" w:bidi="ar"/>
              </w:rPr>
              <w:t>监测</w:t>
            </w:r>
            <w:r>
              <w:rPr>
                <w:rFonts w:hint="eastAsia" w:ascii="微软雅黑" w:hAnsi="微软雅黑" w:eastAsia="微软雅黑" w:cs="宋体"/>
                <w:color w:val="auto"/>
                <w:kern w:val="0"/>
                <w:sz w:val="18"/>
                <w:szCs w:val="18"/>
                <w:lang w:bidi="ar"/>
              </w:rPr>
              <w:t>(提供功能截图</w:t>
            </w:r>
            <w:r>
              <w:rPr>
                <w:rFonts w:ascii="微软雅黑" w:hAnsi="微软雅黑" w:eastAsia="微软雅黑" w:cs="宋体"/>
                <w:color w:val="auto"/>
                <w:kern w:val="0"/>
                <w:sz w:val="18"/>
                <w:szCs w:val="18"/>
                <w:lang w:bidi="ar"/>
              </w:rPr>
              <w:t>)</w:t>
            </w:r>
          </w:p>
          <w:p w14:paraId="41025BBA">
            <w:pPr>
              <w:widowControl/>
              <w:jc w:val="left"/>
              <w:textAlignment w:val="center"/>
              <w:rPr>
                <w:rFonts w:ascii="微软雅黑" w:hAnsi="微软雅黑" w:eastAsia="微软雅黑"/>
                <w:color w:val="auto"/>
                <w:sz w:val="18"/>
                <w:szCs w:val="18"/>
              </w:rPr>
            </w:pPr>
            <w:r>
              <w:rPr>
                <w:rFonts w:ascii="微软雅黑" w:hAnsi="微软雅黑" w:eastAsia="微软雅黑" w:cs="宋体"/>
                <w:color w:val="auto"/>
                <w:kern w:val="0"/>
                <w:sz w:val="18"/>
                <w:szCs w:val="18"/>
                <w:lang w:bidi="ar"/>
              </w:rPr>
              <w:t>13</w:t>
            </w:r>
            <w:r>
              <w:rPr>
                <w:rFonts w:hint="eastAsia" w:ascii="微软雅黑" w:hAnsi="微软雅黑" w:eastAsia="微软雅黑" w:cs="宋体"/>
                <w:color w:val="auto"/>
                <w:kern w:val="0"/>
                <w:sz w:val="18"/>
                <w:szCs w:val="18"/>
                <w:lang w:bidi="ar"/>
              </w:rPr>
              <w:t>、</w:t>
            </w:r>
            <w:r>
              <w:rPr>
                <w:rFonts w:hint="eastAsia" w:ascii="微软雅黑" w:hAnsi="微软雅黑" w:eastAsia="微软雅黑"/>
                <w:color w:val="auto"/>
                <w:sz w:val="18"/>
                <w:szCs w:val="18"/>
              </w:rPr>
              <w:t>环境适应性：整机通过高温测试，将样品放置于略大于受试样品尺寸，温度为50度的密封箱体中，无空气对流2个小时试验样品可以正常工作，提供具有C</w:t>
            </w:r>
            <w:r>
              <w:rPr>
                <w:rFonts w:ascii="微软雅黑" w:hAnsi="微软雅黑" w:eastAsia="微软雅黑"/>
                <w:color w:val="auto"/>
                <w:sz w:val="18"/>
                <w:szCs w:val="18"/>
              </w:rPr>
              <w:t>NAS</w:t>
            </w:r>
            <w:r>
              <w:rPr>
                <w:rFonts w:hint="eastAsia" w:ascii="微软雅黑" w:hAnsi="微软雅黑" w:eastAsia="微软雅黑"/>
                <w:color w:val="auto"/>
                <w:sz w:val="18"/>
                <w:szCs w:val="18"/>
              </w:rPr>
              <w:t>和S</w:t>
            </w:r>
            <w:r>
              <w:rPr>
                <w:rFonts w:ascii="微软雅黑" w:hAnsi="微软雅黑" w:eastAsia="微软雅黑"/>
                <w:color w:val="auto"/>
                <w:sz w:val="18"/>
                <w:szCs w:val="18"/>
              </w:rPr>
              <w:t>QI</w:t>
            </w:r>
            <w:r>
              <w:rPr>
                <w:rFonts w:hint="eastAsia" w:ascii="微软雅黑" w:hAnsi="微软雅黑" w:eastAsia="微软雅黑"/>
                <w:color w:val="auto"/>
                <w:sz w:val="18"/>
                <w:szCs w:val="18"/>
              </w:rPr>
              <w:t>的检测证书</w:t>
            </w:r>
          </w:p>
          <w:p w14:paraId="32F90553">
            <w:pPr>
              <w:widowControl/>
              <w:jc w:val="left"/>
              <w:textAlignment w:val="center"/>
              <w:rPr>
                <w:rFonts w:hint="default" w:ascii="微软雅黑" w:hAnsi="微软雅黑" w:eastAsia="微软雅黑" w:cs="宋体"/>
                <w:color w:val="auto"/>
                <w:kern w:val="0"/>
                <w:sz w:val="18"/>
                <w:szCs w:val="18"/>
                <w:lang w:val="en-US" w:eastAsia="zh-CN" w:bidi="ar"/>
              </w:rPr>
            </w:pPr>
            <w:r>
              <w:rPr>
                <w:rFonts w:hint="eastAsia" w:ascii="微软雅黑" w:hAnsi="微软雅黑" w:eastAsia="微软雅黑"/>
                <w:color w:val="auto"/>
                <w:sz w:val="18"/>
                <w:szCs w:val="18"/>
              </w:rPr>
              <w:t>1</w:t>
            </w:r>
            <w:r>
              <w:rPr>
                <w:rFonts w:ascii="微软雅黑" w:hAnsi="微软雅黑" w:eastAsia="微软雅黑"/>
                <w:color w:val="auto"/>
                <w:sz w:val="18"/>
                <w:szCs w:val="18"/>
              </w:rPr>
              <w:t>4</w:t>
            </w:r>
            <w:r>
              <w:rPr>
                <w:rFonts w:hint="eastAsia" w:ascii="微软雅黑" w:hAnsi="微软雅黑" w:eastAsia="微软雅黑"/>
                <w:color w:val="auto"/>
                <w:sz w:val="18"/>
                <w:szCs w:val="18"/>
              </w:rPr>
              <w:t>、稳定性：整机通过平均无故障不低于100万小时试验，提供具有C</w:t>
            </w:r>
            <w:r>
              <w:rPr>
                <w:rFonts w:ascii="微软雅黑" w:hAnsi="微软雅黑" w:eastAsia="微软雅黑"/>
                <w:color w:val="auto"/>
                <w:sz w:val="18"/>
                <w:szCs w:val="18"/>
              </w:rPr>
              <w:t>NAS</w:t>
            </w:r>
            <w:r>
              <w:rPr>
                <w:rFonts w:hint="eastAsia" w:ascii="微软雅黑" w:hAnsi="微软雅黑" w:eastAsia="微软雅黑"/>
                <w:color w:val="auto"/>
                <w:sz w:val="18"/>
                <w:szCs w:val="18"/>
              </w:rPr>
              <w:t>和S</w:t>
            </w:r>
            <w:r>
              <w:rPr>
                <w:rFonts w:ascii="微软雅黑" w:hAnsi="微软雅黑" w:eastAsia="微软雅黑"/>
                <w:color w:val="auto"/>
                <w:sz w:val="18"/>
                <w:szCs w:val="18"/>
              </w:rPr>
              <w:t>QI</w:t>
            </w:r>
            <w:r>
              <w:rPr>
                <w:rFonts w:hint="eastAsia" w:ascii="微软雅黑" w:hAnsi="微软雅黑" w:eastAsia="微软雅黑"/>
                <w:color w:val="auto"/>
                <w:sz w:val="18"/>
                <w:szCs w:val="18"/>
              </w:rPr>
              <w:t>的检测证书</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15、提供国产操作系统并符合操作系统政府采购需求标准（2023版）的正版操作系统和</w:t>
            </w:r>
            <w:r>
              <w:rPr>
                <w:rFonts w:hint="eastAsia" w:ascii="微软雅黑" w:hAnsi="微软雅黑" w:eastAsia="微软雅黑" w:cs="宋体"/>
                <w:color w:val="auto"/>
                <w:kern w:val="0"/>
                <w:sz w:val="18"/>
                <w:szCs w:val="18"/>
                <w:lang w:val="en-US" w:eastAsia="zh-CN" w:bidi="ar"/>
              </w:rPr>
              <w:t>国产</w:t>
            </w:r>
            <w:r>
              <w:rPr>
                <w:rFonts w:hint="eastAsia" w:ascii="微软雅黑" w:hAnsi="微软雅黑" w:eastAsia="微软雅黑" w:cs="宋体"/>
                <w:color w:val="auto"/>
                <w:kern w:val="0"/>
                <w:sz w:val="18"/>
                <w:szCs w:val="18"/>
                <w:lang w:bidi="ar"/>
              </w:rPr>
              <w:t>流式办公软件</w:t>
            </w:r>
            <w:r>
              <w:rPr>
                <w:rFonts w:hint="eastAsia" w:ascii="微软雅黑" w:hAnsi="微软雅黑" w:eastAsia="微软雅黑" w:cs="宋体"/>
                <w:color w:val="auto"/>
                <w:kern w:val="0"/>
                <w:sz w:val="18"/>
                <w:szCs w:val="18"/>
                <w:lang w:eastAsia="zh-CN" w:bidi="ar"/>
              </w:rPr>
              <w:t>。</w:t>
            </w:r>
            <w:r>
              <w:rPr>
                <w:rFonts w:hint="eastAsia" w:ascii="微软雅黑" w:hAnsi="微软雅黑" w:eastAsia="微软雅黑" w:cs="宋体"/>
                <w:color w:val="auto"/>
                <w:kern w:val="0"/>
                <w:sz w:val="18"/>
                <w:szCs w:val="18"/>
                <w:lang w:val="en-US" w:eastAsia="zh-CN" w:bidi="ar"/>
              </w:rPr>
              <w:t>操作系统和办公软件服务期都不少于3年。</w:t>
            </w:r>
          </w:p>
          <w:p w14:paraId="534651F6">
            <w:pPr>
              <w:widowControl/>
              <w:jc w:val="left"/>
              <w:textAlignment w:val="center"/>
              <w:rPr>
                <w:rFonts w:ascii="微软雅黑" w:hAnsi="微软雅黑" w:eastAsia="微软雅黑" w:cs="宋体"/>
                <w:color w:val="auto"/>
                <w:kern w:val="0"/>
                <w:sz w:val="18"/>
                <w:szCs w:val="18"/>
                <w:lang w:bidi="ar"/>
              </w:rPr>
            </w:pPr>
            <w:r>
              <w:rPr>
                <w:rFonts w:ascii="微软雅黑" w:hAnsi="微软雅黑" w:eastAsia="微软雅黑" w:cs="宋体"/>
                <w:color w:val="auto"/>
                <w:kern w:val="0"/>
                <w:sz w:val="18"/>
                <w:szCs w:val="18"/>
                <w:lang w:bidi="ar"/>
              </w:rPr>
              <w:t>16</w:t>
            </w:r>
            <w:r>
              <w:rPr>
                <w:rFonts w:hint="eastAsia" w:ascii="微软雅黑" w:hAnsi="微软雅黑" w:eastAsia="微软雅黑" w:cs="宋体"/>
                <w:color w:val="auto"/>
                <w:kern w:val="0"/>
                <w:sz w:val="18"/>
                <w:szCs w:val="18"/>
                <w:lang w:bidi="ar"/>
              </w:rPr>
              <w:t>、提供整机三年免费保修服务的售后服务承诺书及授权函</w:t>
            </w:r>
            <w:r>
              <w:rPr>
                <w:rFonts w:hint="eastAsia" w:ascii="微软雅黑" w:hAnsi="微软雅黑" w:eastAsia="微软雅黑" w:cs="宋体"/>
                <w:color w:val="auto"/>
                <w:kern w:val="0"/>
                <w:sz w:val="18"/>
                <w:szCs w:val="18"/>
                <w:lang w:bidi="ar"/>
              </w:rPr>
              <w:br w:type="textWrapping"/>
            </w:r>
            <w:r>
              <w:rPr>
                <w:rFonts w:hint="eastAsia" w:ascii="微软雅黑" w:hAnsi="微软雅黑" w:eastAsia="微软雅黑" w:cs="宋体"/>
                <w:color w:val="auto"/>
                <w:kern w:val="0"/>
                <w:sz w:val="18"/>
                <w:szCs w:val="18"/>
                <w:lang w:bidi="ar"/>
              </w:rPr>
              <w:t>二、产品出厂预装同品牌软件辅助管理功能</w:t>
            </w:r>
          </w:p>
          <w:p w14:paraId="18EBC0FC">
            <w:pPr>
              <w:widowControl/>
              <w:jc w:val="left"/>
              <w:textAlignment w:val="center"/>
              <w:rPr>
                <w:rFonts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1.虚拟终端管理系统支持 Legacy 与 UEFI 两种方式启动系统，同时兼容新老机型部署。</w:t>
            </w:r>
          </w:p>
          <w:p w14:paraId="6A8A25FC">
            <w:pPr>
              <w:widowControl/>
              <w:jc w:val="left"/>
              <w:textAlignment w:val="center"/>
              <w:rPr>
                <w:rFonts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2.终端登录界面需显示终端的状态、编号、授权情况、版本号、IP地址、管理地址和频道号以及支持在终端的登录界面启动管理端。</w:t>
            </w:r>
          </w:p>
          <w:p w14:paraId="50342C41">
            <w:pPr>
              <w:widowControl/>
              <w:jc w:val="left"/>
              <w:textAlignment w:val="center"/>
              <w:rPr>
                <w:rFonts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3.在终端管理功能中支持设置管理频道、默认启动的桌面、还原属性的设置、终端编号、计算机名，并且支持临时桌面切换和终端的批量升级检测功能。</w:t>
            </w:r>
          </w:p>
          <w:p w14:paraId="456B7001">
            <w:pPr>
              <w:widowControl/>
              <w:jc w:val="left"/>
              <w:textAlignment w:val="center"/>
              <w:rPr>
                <w:rFonts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4.云终端列表管理中支持批量终端唤醒、重启、关机、删除等操作；支持终端在线和离线的数量统计，同时需提供快速筛选功能，能快速筛选出在线、离线和运维的终端；支持模糊搜索以节省查询时间。</w:t>
            </w:r>
          </w:p>
          <w:p w14:paraId="3A52DB12">
            <w:pPr>
              <w:widowControl/>
              <w:jc w:val="left"/>
              <w:textAlignment w:val="center"/>
              <w:rPr>
                <w:rFonts w:ascii="微软雅黑" w:hAnsi="微软雅黑" w:eastAsia="微软雅黑" w:cs="宋体"/>
                <w:color w:val="auto"/>
                <w:kern w:val="0"/>
                <w:sz w:val="18"/>
                <w:szCs w:val="18"/>
                <w:lang w:bidi="ar"/>
              </w:rPr>
            </w:pPr>
            <w:r>
              <w:rPr>
                <w:rFonts w:ascii="微软雅黑" w:hAnsi="微软雅黑" w:eastAsia="微软雅黑" w:cs="宋体"/>
                <w:color w:val="auto"/>
                <w:kern w:val="0"/>
                <w:sz w:val="18"/>
                <w:szCs w:val="18"/>
                <w:lang w:bidi="ar"/>
              </w:rPr>
              <w:t>5</w:t>
            </w:r>
            <w:r>
              <w:rPr>
                <w:rFonts w:hint="eastAsia" w:ascii="微软雅黑" w:hAnsi="微软雅黑" w:eastAsia="微软雅黑" w:cs="宋体"/>
                <w:color w:val="auto"/>
                <w:kern w:val="0"/>
                <w:sz w:val="18"/>
                <w:szCs w:val="18"/>
                <w:lang w:bidi="ar"/>
              </w:rPr>
              <w:t>.</w:t>
            </w:r>
            <w:r>
              <w:rPr>
                <w:rFonts w:hint="eastAsia" w:ascii="微软雅黑" w:hAnsi="微软雅黑" w:eastAsia="微软雅黑"/>
                <w:color w:val="auto"/>
                <w:sz w:val="18"/>
                <w:szCs w:val="18"/>
              </w:rPr>
              <w:t xml:space="preserve"> </w:t>
            </w:r>
            <w:r>
              <w:rPr>
                <w:rFonts w:hint="eastAsia" w:ascii="微软雅黑" w:hAnsi="微软雅黑" w:eastAsia="微软雅黑" w:cs="宋体"/>
                <w:color w:val="auto"/>
                <w:kern w:val="0"/>
                <w:sz w:val="18"/>
                <w:szCs w:val="18"/>
                <w:lang w:bidi="ar"/>
              </w:rPr>
              <w:t>支持UPS设备联动，自动感知外部的突然断电情况，并在设定的时间内关闭计算机时云平台系统，确保在UPS供电期间云平台计算机温暖下线，避免异常断电造成的数据丢失，提高计算机运行的稳定性。提供功能演示视频。</w:t>
            </w:r>
          </w:p>
          <w:p w14:paraId="2ABD63D2">
            <w:pPr>
              <w:widowControl/>
              <w:jc w:val="left"/>
              <w:textAlignment w:val="center"/>
              <w:rPr>
                <w:rFonts w:hint="eastAsia" w:ascii="微软雅黑" w:hAnsi="微软雅黑" w:eastAsia="微软雅黑" w:cs="宋体"/>
                <w:color w:val="auto"/>
                <w:kern w:val="0"/>
                <w:sz w:val="18"/>
                <w:szCs w:val="18"/>
                <w:lang w:bidi="ar"/>
              </w:rPr>
            </w:pPr>
            <w:r>
              <w:rPr>
                <w:rFonts w:ascii="微软雅黑" w:hAnsi="微软雅黑" w:eastAsia="微软雅黑" w:cs="宋体"/>
                <w:color w:val="auto"/>
                <w:kern w:val="0"/>
                <w:sz w:val="18"/>
                <w:szCs w:val="18"/>
                <w:lang w:bidi="ar"/>
              </w:rPr>
              <w:t>6</w:t>
            </w:r>
            <w:r>
              <w:rPr>
                <w:rFonts w:hint="eastAsia" w:ascii="微软雅黑" w:hAnsi="微软雅黑" w:eastAsia="微软雅黑" w:cs="宋体"/>
                <w:color w:val="auto"/>
                <w:kern w:val="0"/>
                <w:sz w:val="18"/>
                <w:szCs w:val="18"/>
                <w:lang w:bidi="ar"/>
              </w:rPr>
              <w:t>.</w:t>
            </w:r>
            <w:r>
              <w:rPr>
                <w:rFonts w:hint="eastAsia"/>
                <w:color w:val="auto"/>
              </w:rPr>
              <w:t xml:space="preserve"> </w:t>
            </w:r>
            <w:r>
              <w:rPr>
                <w:rFonts w:hint="eastAsia" w:ascii="微软雅黑" w:hAnsi="微软雅黑" w:eastAsia="微软雅黑" w:cs="宋体"/>
                <w:color w:val="auto"/>
                <w:kern w:val="0"/>
                <w:sz w:val="18"/>
                <w:szCs w:val="18"/>
                <w:lang w:bidi="ar"/>
              </w:rPr>
              <w:t>支持磁盘空间分析功能，可进行磁盘空间扫描，识别出磁盘中各目录的空间占用情况，便于管理员快速识别占用空间的大型文件并进行处理；提供功能演示视频。</w:t>
            </w:r>
          </w:p>
          <w:p w14:paraId="214F8478">
            <w:pPr>
              <w:widowControl/>
              <w:jc w:val="left"/>
              <w:textAlignment w:val="center"/>
              <w:rPr>
                <w:rFonts w:ascii="微软雅黑" w:hAnsi="微软雅黑" w:eastAsia="微软雅黑" w:cs="宋体"/>
                <w:color w:val="auto"/>
                <w:kern w:val="0"/>
                <w:sz w:val="18"/>
                <w:szCs w:val="18"/>
                <w:lang w:bidi="ar"/>
              </w:rPr>
            </w:pPr>
            <w:r>
              <w:rPr>
                <w:rFonts w:ascii="微软雅黑" w:hAnsi="微软雅黑" w:eastAsia="微软雅黑" w:cs="宋体"/>
                <w:color w:val="auto"/>
                <w:kern w:val="0"/>
                <w:sz w:val="18"/>
                <w:szCs w:val="18"/>
                <w:lang w:bidi="ar"/>
              </w:rPr>
              <w:t>7</w:t>
            </w:r>
            <w:r>
              <w:rPr>
                <w:rFonts w:hint="eastAsia" w:ascii="微软雅黑" w:hAnsi="微软雅黑" w:eastAsia="微软雅黑" w:cs="宋体"/>
                <w:color w:val="auto"/>
                <w:kern w:val="0"/>
                <w:sz w:val="18"/>
                <w:szCs w:val="18"/>
                <w:lang w:bidi="ar"/>
              </w:rPr>
              <w:t>.需支持网络修复功能，对于网络硬件配置、网络连接配置、DHCP服务、DNS服务、HOSTS文件、LSP协议、IE代理、环境变量等方面进行全面检测，并对于非硬件问题进行自我修复。</w:t>
            </w:r>
          </w:p>
          <w:p w14:paraId="2FE03E5E">
            <w:pPr>
              <w:widowControl/>
              <w:jc w:val="left"/>
              <w:textAlignment w:val="center"/>
              <w:rPr>
                <w:rFonts w:ascii="微软雅黑" w:hAnsi="微软雅黑" w:eastAsia="微软雅黑" w:cs="宋体"/>
                <w:color w:val="auto"/>
                <w:kern w:val="0"/>
                <w:sz w:val="18"/>
                <w:szCs w:val="18"/>
                <w:lang w:bidi="ar"/>
              </w:rPr>
            </w:pPr>
            <w:r>
              <w:rPr>
                <w:rFonts w:ascii="微软雅黑" w:hAnsi="微软雅黑" w:eastAsia="微软雅黑" w:cs="宋体"/>
                <w:color w:val="auto"/>
                <w:kern w:val="0"/>
                <w:sz w:val="18"/>
                <w:szCs w:val="18"/>
                <w:lang w:bidi="ar"/>
              </w:rPr>
              <w:t>8</w:t>
            </w:r>
            <w:r>
              <w:rPr>
                <w:rFonts w:hint="eastAsia" w:ascii="微软雅黑" w:hAnsi="微软雅黑" w:eastAsia="微软雅黑" w:cs="宋体"/>
                <w:color w:val="auto"/>
                <w:kern w:val="0"/>
                <w:sz w:val="18"/>
                <w:szCs w:val="18"/>
                <w:lang w:bidi="ar"/>
              </w:rPr>
              <w:t>.云桌面系统支持资产统计功能，可统计设备IP、MAC地址、CPU信息、内存信息、磁盘信息等。</w:t>
            </w:r>
          </w:p>
          <w:p w14:paraId="678C8608">
            <w:pPr>
              <w:widowControl/>
              <w:jc w:val="left"/>
              <w:textAlignment w:val="center"/>
              <w:rPr>
                <w:rFonts w:ascii="微软雅黑" w:hAnsi="微软雅黑" w:eastAsia="微软雅黑" w:cs="宋体"/>
                <w:color w:val="auto"/>
                <w:kern w:val="0"/>
                <w:sz w:val="18"/>
                <w:szCs w:val="18"/>
                <w:lang w:bidi="ar"/>
              </w:rPr>
            </w:pPr>
            <w:r>
              <w:rPr>
                <w:rFonts w:ascii="微软雅黑" w:hAnsi="微软雅黑" w:eastAsia="微软雅黑" w:cs="宋体"/>
                <w:color w:val="auto"/>
                <w:kern w:val="0"/>
                <w:sz w:val="18"/>
                <w:szCs w:val="18"/>
                <w:lang w:bidi="ar"/>
              </w:rPr>
              <w:t>9</w:t>
            </w:r>
            <w:r>
              <w:rPr>
                <w:rFonts w:hint="eastAsia" w:ascii="微软雅黑" w:hAnsi="微软雅黑" w:eastAsia="微软雅黑" w:cs="宋体"/>
                <w:color w:val="auto"/>
                <w:kern w:val="0"/>
                <w:sz w:val="18"/>
                <w:szCs w:val="18"/>
                <w:lang w:bidi="ar"/>
              </w:rPr>
              <w:t>.支持远程协助功能，通过管理平台远程至学生桌面进行协助操作，无需三方软件。</w:t>
            </w:r>
          </w:p>
          <w:p w14:paraId="4C90A3D0">
            <w:pPr>
              <w:widowControl/>
              <w:jc w:val="left"/>
              <w:textAlignment w:val="center"/>
              <w:rPr>
                <w:rFonts w:ascii="微软雅黑" w:hAnsi="微软雅黑" w:eastAsia="微软雅黑" w:cs="宋体"/>
                <w:color w:val="auto"/>
                <w:kern w:val="0"/>
                <w:sz w:val="18"/>
                <w:szCs w:val="18"/>
                <w:lang w:bidi="ar"/>
              </w:rPr>
            </w:pPr>
            <w:r>
              <w:rPr>
                <w:rFonts w:ascii="微软雅黑" w:hAnsi="微软雅黑" w:eastAsia="微软雅黑" w:cs="宋体"/>
                <w:color w:val="auto"/>
                <w:kern w:val="0"/>
                <w:sz w:val="18"/>
                <w:szCs w:val="18"/>
                <w:lang w:bidi="ar"/>
              </w:rPr>
              <w:t>10</w:t>
            </w:r>
            <w:r>
              <w:rPr>
                <w:rFonts w:hint="eastAsia" w:ascii="微软雅黑" w:hAnsi="微软雅黑" w:eastAsia="微软雅黑" w:cs="宋体"/>
                <w:color w:val="auto"/>
                <w:kern w:val="0"/>
                <w:sz w:val="18"/>
                <w:szCs w:val="18"/>
                <w:lang w:bidi="ar"/>
              </w:rPr>
              <w:t>.</w:t>
            </w:r>
            <w:r>
              <w:rPr>
                <w:rFonts w:hint="eastAsia"/>
                <w:color w:val="auto"/>
              </w:rPr>
              <w:t xml:space="preserve"> </w:t>
            </w:r>
            <w:r>
              <w:rPr>
                <w:rFonts w:hint="eastAsia" w:ascii="微软雅黑" w:hAnsi="微软雅黑" w:eastAsia="微软雅黑" w:cs="宋体"/>
                <w:color w:val="auto"/>
                <w:kern w:val="0"/>
                <w:sz w:val="18"/>
                <w:szCs w:val="18"/>
                <w:lang w:bidi="ar"/>
              </w:rPr>
              <w:t>支持软件资产管理，可支持对操作系统内的软件进行快速统计，并生成软件列表，且支持软件列表的一键导出 ；提供功能演示视频。</w:t>
            </w:r>
          </w:p>
          <w:p w14:paraId="74585F57">
            <w:pPr>
              <w:widowControl/>
              <w:jc w:val="left"/>
              <w:textAlignment w:val="center"/>
              <w:rPr>
                <w:rFonts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w:t>
            </w:r>
            <w:r>
              <w:rPr>
                <w:rFonts w:ascii="微软雅黑" w:hAnsi="微软雅黑" w:eastAsia="微软雅黑" w:cs="宋体"/>
                <w:color w:val="auto"/>
                <w:kern w:val="0"/>
                <w:sz w:val="18"/>
                <w:szCs w:val="18"/>
                <w:lang w:bidi="ar"/>
              </w:rPr>
              <w:t>1</w:t>
            </w:r>
            <w:r>
              <w:rPr>
                <w:rFonts w:hint="eastAsia" w:ascii="微软雅黑" w:hAnsi="微软雅黑" w:eastAsia="微软雅黑" w:cs="宋体"/>
                <w:color w:val="auto"/>
                <w:kern w:val="0"/>
                <w:sz w:val="18"/>
                <w:szCs w:val="18"/>
                <w:lang w:bidi="ar"/>
              </w:rPr>
              <w:t>.支持流量监测功能，对于系统内的进行流量进行详细监测，协助管理员进行网络诊断以及故障排查。提供功能演示视频</w:t>
            </w:r>
          </w:p>
          <w:p w14:paraId="50415094">
            <w:pPr>
              <w:widowControl/>
              <w:jc w:val="left"/>
              <w:textAlignment w:val="center"/>
              <w:rPr>
                <w:rFonts w:hint="eastAsia" w:ascii="微软雅黑" w:hAnsi="微软雅黑" w:eastAsia="微软雅黑" w:cs="宋体"/>
                <w:color w:val="auto"/>
                <w:kern w:val="0"/>
                <w:sz w:val="18"/>
                <w:szCs w:val="18"/>
                <w:lang w:val="en-US" w:eastAsia="zh-CN" w:bidi="ar"/>
              </w:rPr>
            </w:pPr>
            <w:r>
              <w:rPr>
                <w:rFonts w:ascii="微软雅黑" w:hAnsi="微软雅黑" w:eastAsia="微软雅黑" w:cs="宋体"/>
                <w:color w:val="auto"/>
                <w:kern w:val="0"/>
                <w:sz w:val="18"/>
                <w:szCs w:val="18"/>
                <w:lang w:bidi="ar"/>
              </w:rPr>
              <w:t>12</w:t>
            </w:r>
            <w:r>
              <w:rPr>
                <w:rFonts w:hint="eastAsia" w:ascii="微软雅黑" w:hAnsi="微软雅黑" w:eastAsia="微软雅黑" w:cs="宋体"/>
                <w:color w:val="auto"/>
                <w:kern w:val="0"/>
                <w:sz w:val="18"/>
                <w:szCs w:val="18"/>
                <w:lang w:bidi="ar"/>
              </w:rPr>
              <w:t>.</w:t>
            </w:r>
            <w:r>
              <w:rPr>
                <w:rFonts w:hint="eastAsia"/>
                <w:color w:val="auto"/>
              </w:rPr>
              <w:t xml:space="preserve"> </w:t>
            </w:r>
            <w:r>
              <w:rPr>
                <w:rFonts w:hint="eastAsia" w:ascii="微软雅黑" w:hAnsi="微软雅黑" w:eastAsia="微软雅黑" w:cs="宋体"/>
                <w:color w:val="auto"/>
                <w:kern w:val="0"/>
                <w:sz w:val="18"/>
                <w:szCs w:val="18"/>
                <w:lang w:bidi="ar"/>
              </w:rPr>
              <w:t>为保网络的稳定性和易用性，需支持网络检测功能，可针对于网络的连接状况进行一键检测，检测项目包含但不限于网络连接、网关检测、IP冲突检测等。提供功能演示视频。</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4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C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A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0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502044</w:t>
            </w:r>
          </w:p>
        </w:tc>
      </w:tr>
      <w:tr w14:paraId="6567C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4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A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云桌面多媒体教学系统</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A08B">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 屏幕分享支持全屏分享和窗口分享，可以将管理端电脑画面实时传输到客户端电脑桌面。</w:t>
            </w:r>
          </w:p>
          <w:p w14:paraId="4D0B51FB">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2. 示范转播会将所选的客户端操作画面实时广播到其它接收演示的客户端电脑屏幕上。</w:t>
            </w:r>
          </w:p>
          <w:p w14:paraId="3E54ACC0">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3. 电子白板可以对把电脑桌面变成白板进行标注和讲解，包含多种画板工具，支持以桌面画面为背景以及白板、黑板和绿板。</w:t>
            </w:r>
          </w:p>
          <w:p w14:paraId="3D400286">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4. 语音教学可以将管理端电脑的声音采集后实时传输到客户端并进行播放，支持采集管理电脑的麦克风和扬声器声音。</w:t>
            </w:r>
          </w:p>
          <w:p w14:paraId="15324189">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5. 视频分享，支持老师端播放视频文件同时分享到学生电脑。</w:t>
            </w:r>
          </w:p>
          <w:p w14:paraId="6ADDCA15">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6. 现场直播，支持采集老师端USB摄像头画面并直播到学生电脑。</w:t>
            </w:r>
          </w:p>
          <w:p w14:paraId="229F9F88">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7. 屏幕监看，可以监看学生电脑画面，可以同时监控多台电脑，支持同时监看64画面。</w:t>
            </w:r>
          </w:p>
          <w:p w14:paraId="4B7411B2">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8. 单个遥控时可以监看单个客户端电脑桌面，同时可以远程操作客户端电脑。</w:t>
            </w:r>
          </w:p>
          <w:p w14:paraId="2CBFCC51">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9. 全体遥控时可以监看一个模板客户端电脑桌面，同时可以远程操作所有客户端电脑。</w:t>
            </w:r>
          </w:p>
          <w:p w14:paraId="5FA06D7D">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10. 随堂考试可以组织小型的课堂练习测试，可以对答题进行统计。在试题框输入试题后，设置题型和答案，客户端进行答题，同时会实时统计学生答题数据。</w:t>
            </w:r>
          </w:p>
          <w:p w14:paraId="2579BAFF">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11. 作业管理可以管理学生提交作业，打开作业管理点击学生提交，学生电脑会显示提交作业窗口。学生提交作业完成后这里会显示提交记录。老师可以根据时间查询学生提交的作业记录，可导出记录。</w:t>
            </w:r>
          </w:p>
          <w:p w14:paraId="3173A4FF">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12. 下发作业管理端选择需要下发的文件后会传输到客户端桌面。</w:t>
            </w:r>
          </w:p>
          <w:p w14:paraId="2483695E">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13. 电子点名支持学生端输入姓名和学号，电子点名列表中将会显示点名结果，将点名结果可导出成txt文件、HTML文件。</w:t>
            </w:r>
          </w:p>
          <w:p w14:paraId="081EA075">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14. 远程设置支持设置学生端屏幕分辨率、电脑名称、登录频道、终端密码。</w:t>
            </w:r>
          </w:p>
          <w:p w14:paraId="7666384F">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15. 远程命令中包括启动程序、关闭程序、终端命令、打开网站、打开目录。</w:t>
            </w:r>
          </w:p>
          <w:p w14:paraId="5E7AE1A6">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16. 锁屏、解锁，执行锁屏后客户端在锁屏状态下将无法操作电脑桌面。</w:t>
            </w:r>
          </w:p>
          <w:p w14:paraId="3218D5A5">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17. 开机、关机、重启，管理端选择客户端后可以执行远程开机、关机、重启。</w:t>
            </w:r>
          </w:p>
          <w:p w14:paraId="2D044AF2">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18. 定时任务功能可以按照设定时间计划对客户端进行开关机、锁屏解锁操作。</w:t>
            </w:r>
          </w:p>
          <w:p w14:paraId="507DB205">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19. 图标管理客户区中客户端图标进行排序显示,支持对图标位置进行锁定和解锁。</w:t>
            </w:r>
          </w:p>
          <w:p w14:paraId="112D07C6">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20. 学生端支持面板操作，包括电子举手、消息发送、作业提交、系统设置。</w:t>
            </w:r>
          </w:p>
          <w:p w14:paraId="0730686C">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21. 支持模型管理，支持保存模型和载入模型。</w:t>
            </w:r>
          </w:p>
          <w:p w14:paraId="3FBCE353">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22. 支持班级管理，每个班级对应不同的模型，有利于多个班级上课。</w:t>
            </w:r>
          </w:p>
          <w:p w14:paraId="11230D69">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23. 支持显示终端设备的电脑名、用户名、IP地址和网卡地址。</w:t>
            </w:r>
          </w:p>
          <w:p w14:paraId="15C24427">
            <w:pPr>
              <w:widowControl/>
              <w:jc w:val="left"/>
              <w:textAlignment w:val="center"/>
              <w:rPr>
                <w:rFonts w:hint="eastAsia" w:ascii="微软雅黑" w:hAnsi="微软雅黑" w:eastAsia="微软雅黑" w:cs="宋体"/>
                <w:color w:val="auto"/>
                <w:kern w:val="0"/>
                <w:sz w:val="18"/>
                <w:szCs w:val="18"/>
                <w:lang w:bidi="ar"/>
              </w:rPr>
            </w:pPr>
            <w:r>
              <w:rPr>
                <w:rFonts w:hint="eastAsia" w:ascii="微软雅黑" w:hAnsi="微软雅黑" w:eastAsia="微软雅黑" w:cs="宋体"/>
                <w:color w:val="auto"/>
                <w:kern w:val="0"/>
                <w:sz w:val="18"/>
                <w:szCs w:val="18"/>
                <w:lang w:bidi="ar"/>
              </w:rPr>
              <w:t>24. 支持调节管理端电脑的扬声器和麦克风声音。</w:t>
            </w:r>
          </w:p>
          <w:p w14:paraId="5980D0C7">
            <w:pPr>
              <w:widowControl/>
              <w:jc w:val="left"/>
              <w:textAlignment w:val="center"/>
              <w:rPr>
                <w:rFonts w:hint="eastAsia" w:ascii="微软雅黑" w:hAnsi="微软雅黑" w:eastAsia="微软雅黑" w:cs="宋体"/>
                <w:color w:val="auto"/>
                <w:kern w:val="0"/>
                <w:sz w:val="18"/>
                <w:szCs w:val="18"/>
                <w:lang w:val="en-US" w:eastAsia="zh-CN" w:bidi="ar"/>
              </w:rPr>
            </w:pPr>
            <w:r>
              <w:rPr>
                <w:rFonts w:hint="eastAsia" w:ascii="微软雅黑" w:hAnsi="微软雅黑" w:eastAsia="微软雅黑" w:cs="宋体"/>
                <w:color w:val="auto"/>
                <w:kern w:val="0"/>
                <w:sz w:val="18"/>
                <w:szCs w:val="18"/>
                <w:lang w:bidi="ar"/>
              </w:rPr>
              <w:t>25.要求电脑和云桌面多媒体教学系统同品牌,提供软件著作权</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3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8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C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7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r>
      <w:tr w14:paraId="204A6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D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8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24口交换机</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64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1、交换容量≥432Gbps，包转发率≥87Mpps。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2、固化10/100/1000M以太网端口≥24个。</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5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4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1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0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5760</w:t>
            </w:r>
          </w:p>
        </w:tc>
      </w:tr>
      <w:tr w14:paraId="6156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2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E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教师桌椅</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2C0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1.长1200mm*宽600mm*高750mm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2.桌面采用25mm厚压缩颗粒板，屏风防火板15mm，300mm高，带穿线孔。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3.桌腿采用20mm*40mm*1.0mm方钢管，桌腿中间封板采用0.7mm钢板制作，折弯成型，带穿线功能，双包结构，保证线不外漏，外面布局散热孔。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工艺釆用激光切割、模具冲压、折弯、组焊接成型，喷涂、装配而成。焊接部分采用高标准熔接焊,确保表面平整光滑，焊接点牢固、无虚焊。整体表面经酸洗、水洗、磷化、水洗、钝化等。凳子面同材质，长340mm宽240mm高440mm，25*25方管1.0mm厚。</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2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1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5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6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r>
      <w:tr w14:paraId="6BD6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9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D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学生电脑桌椅</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7AD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学生桌配置：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1.长1400mm*宽600mm*高750mm（双人桌）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2.桌面采用25mm厚压缩颗粒板，屏风防火板15mm，300mm高，带穿线孔。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3.桌腿采用20mm*40mm*1.0mm方钢管，桌腿中间封板采用0.7mm钢板制作，折弯成型，带穿线功能，双包结构，保证线不外漏，外面布局散热孔。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工艺釆用激光切割、模具冲压、折弯、组焊接成型，喷涂、装配而成。焊接部分采用高标准熔接焊,确保表面平整光滑，焊接点牢固、无虚焊。整体表面经酸洗、水洗、磷化、水洗、钝化等。凳子面同材质，长340mm宽240mm高440mm，25*25方管1.0mm厚。</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E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B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A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B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28800</w:t>
            </w:r>
          </w:p>
        </w:tc>
      </w:tr>
      <w:tr w14:paraId="1A41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D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5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学生课桌椅</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1A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1.核心尺寸参数（国标标准）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单人可升降型，其高度调节范围覆盖中小学至成人（参考4号-0号型号），具体核心参数如下：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参数项 规格范围 备注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桌面高度 550mm - 760mm 可调范围，适配身高约128cm - 172cm的学生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座面高度 300mm - 440mm 与桌面联动，保证大腿与桌面呈90°舒适坐姿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桌面尺寸 长600mm × 宽400mm 主流单人课桌尺寸，空间利用率高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桌下净空高 ≥550mm 腿部活动空间充足，可容纳大号书包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座面尺寸 宽360mm × 深340mm 符合人体工学，支撑大腿2/3以上长度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2.材质与结构参数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采用目前主流的环保塑钢+金属升降架构设计：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桌面/椅面：全新PP/ABS环保塑料。一体注塑成型，表面具有漫反射特性（防反光护眼），边缘倒圆角处理（R≥2mm），无毛刺且耐磨耐冲击。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桌斗/书箱：PP塑料新料。底部设有通风槽缝设计，防止书籍受潮，容量足够收纳日常课本。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支撑框架：加厚冷轧钢管。壁厚通常在1.2mm - 1.5mm，结构稳固，抗变形能力强。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升降机构：手摇齿轮/螺杆式。配备锁定装置，升降灵活且稳固，调节档位通常为4-5档（对应不同身高段）。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脚垫：耐磨PP/橡塑材质。防滑静音，避免磨损地板。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3.关键性能指标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环保标准：有害物质限量需符合 GB 6675.4 标准，甲醛释放量≤0.5mg/L。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承重能力：桌面静态承重≥50kg，椅面静态承重≥100kg。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安全设计：所有接触部位无锐边；升降机构具备防倾倒和限位装置，确保使用安全。</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8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E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E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4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231200</w:t>
            </w:r>
          </w:p>
        </w:tc>
      </w:tr>
      <w:tr w14:paraId="760A1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0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5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移动多媒体一体机</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941B">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一、整机设计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1.整机采用一体设计，外部无任何可见内部功能模块连接线。整机采用全金属外壳设计，边角采用弧形设计，表面无尖锐边缘或凸起，整机屏幕采用98英寸液晶显示器。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2.整机采用UHD超高清LED液晶屏，显示比例16:9，分辨率3840×2160，钢化玻璃表面硬度≥9H。</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3.侧置输入接口具备2路HDMI、1路RS232、1路USB接口，1路3.5mm Audio in 音频输入接口  ；侧置输出接口具备1路3.5mm Audio out音频输出、1路触控USB输出；侧置输出接口具备1路HDMI out接口，支持最大4K60HZ分辨率输出；前置输入接口3路USB接口（包含1路Type-C、2路USB）。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整机支持色彩空间可选，包含标准模式和sRGB模式，在sRGB模式下可做到高色准△E≤1.0。背光系统支持DC调光方式，多级亮度调节，支持白颜色背景下最暗亮度≤100nit，用于提升显示对比度。（提供CNAS或者CMA检测中心所出具的权威检测报告复印件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整机全通道支持纸质护眼模式，可实现画面纹理的实时调整；支持纸质纹理：牛皮纸、素描纸、宣纸、水彩纸、水纹纸；支持透明度调节；支持色温调节。纸质护眼模式下，显示画面各像素点灰度不规则，减少背景干扰。（提供CNAS或者CMA检测中心所出具的权威检测报告复印件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6.整机具备至少6个前置按键，可实现开关机、调出中控菜单、音量+/-、护眼、录屏操作。支持经典护眼模式，可通过前置面板物理功能按键一键启用经典护眼模式。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7.设备支持通过前置面板物理按键一键启动录屏功能，可将屏幕中显示的文件、音频内容与人声同时录制。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产品可获得本地化、体系化、全天候及时的售后服务，产品制造商须通过GB/T27922商品售后服务评价认证，评价结果≥十星。（提供证书复印件及全国认证认可信息公共服务平台网站查询截图并加盖投标人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▲10.产品通过由中国标准化研究院制定的人眼视觉舒适度（VICO）评价体系认证，达到视觉舒适度A+级。（提供中国标准化研究院或其他国家级社会公益类标准化科研机构出具的证书复印件并加盖厂家公章）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▲11.产品符合教学环境建设规范，制造厂商获得‘国家级工业设计中心’认定称号。（需提供国家工业和信息化部出具的相关证明材料复印件，并加盖投标人公章）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二、音视频功能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整机内置2.2声道扬声器，扬声器采用缝隙发声技术，喇叭采用槽式开口设计，不大于5.8mm；整机扬声器在100%音量下，可做到1米处声压级≥88db，10米处声压级≥73dB。位于设备上边框，顶置朝前发声，前朝向10W高音扬声器2个，上朝向20W中低音扬声器2个，额定总功率60W。（提供CNAS检测中心所出具的权威检测报告复印件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2.整机内置非独立外扩展的8阵列麦克风，拾音角度≥180°，可用于对环境音频进行采集，拾音距离≥12m。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3.整机上边框内置非独立式摄像头，采用一体化集成设计，摄像头数量≥4个；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整机内置独立音频CPU处理器，支持麦克风3A算法（自动增益控制（AGC）、自动抑制噪声（ANC）、自动回声消除（AEC）），提升麦克风拾音效果。（提供CNAS或者CMA检测中心所出具的权威检测报告复印件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三、内置/触控系统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1.触摸分辨率32768×32768，整机系统支持书写触控延迟≤25ms，触摸响应时间≤4ms，触摸最小识别物≤3mm。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2.整机屏幕触摸有效识别高度不超过1.5mm，即触摸物体距离玻璃外表面高度不超过1.5mm时，触摸屏识别为点击操作。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3.整机触摸支持动态压力感应，支持无任何电子功能的普通书写笔在整机上书写或点压时，整机能感应压力变化，书写或点压过程笔迹呈现不同粗细。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4.采用红外触控方式，支持整机设备系统中进行20点或以上触控。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四、网络设计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整机无需外接无线网卡，在整机系统下可实现Wi-Fi无线上网连接、AP无线热点发射和BT蓝牙连接功能。内置双WiFi6无线网卡（不接受外接）（提供CNAS或者CMA检测中心所出具的权威检测报告复印件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2.整机支持蓝牙Bluetooth 5.4标准，整机PC端支持主动发现蓝牙外设从而连接（无需整机进入发现模式），支持连接外部蓝牙音箱播放音频。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五、OPS内置电脑模块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▲1.整机的连接采用万兆级网口，传输速率≥10Gbps。（提供国家级检测机构所出具的权威检测报告复印件并加盖厂家公章）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2.采用按压式卡扣，可不借用工具就能快速拆卸电脑模块，与此同时确保安装的稳定性。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3.CPU 采用飞腾腾锐D2000，出厂预装银河麒麟桌面操作系统V10（内核版本5.4）安全可靠测评结果公告可查，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4.采用按压式卡扣锁紧结构，无需工具即可快速拆卸电脑模块。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5.具有独立非外扩展的视频输出接口：≥1路HDMI ，≥3路USB，≥1路 MIC IN，≥1路 RJ45</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六、配置移动支架   扩音系统（音箱，功放，话筒）</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8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D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B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E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84000</w:t>
            </w:r>
          </w:p>
        </w:tc>
      </w:tr>
      <w:tr w14:paraId="4F036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E6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10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76B9A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笔记本电脑</w:t>
            </w:r>
          </w:p>
        </w:tc>
        <w:tc>
          <w:tcPr>
            <w:tcW w:w="845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5A44DFA">
            <w:pPr>
              <w:widowControl/>
              <w:jc w:val="left"/>
              <w:textAlignment w:val="center"/>
              <w:rPr>
                <w:rFonts w:hint="default" w:ascii="微软雅黑" w:hAnsi="微软雅黑" w:eastAsia="微软雅黑" w:cs="宋体"/>
                <w:color w:val="auto"/>
                <w:kern w:val="0"/>
                <w:sz w:val="18"/>
                <w:szCs w:val="18"/>
                <w:lang w:val="en-US" w:eastAsia="zh-CN" w:bidi="ar"/>
              </w:rPr>
            </w:pPr>
            <w:r>
              <w:rPr>
                <w:rFonts w:hint="eastAsia" w:ascii="微软雅黑" w:hAnsi="微软雅黑" w:eastAsia="微软雅黑" w:cs="宋体"/>
                <w:color w:val="auto"/>
                <w:kern w:val="0"/>
                <w:sz w:val="18"/>
                <w:szCs w:val="18"/>
                <w:lang w:val="en-US" w:eastAsia="zh-CN" w:bidi="ar"/>
              </w:rPr>
              <w:t xml:space="preserve"> CPU架构：ARM架构</w:t>
            </w:r>
            <w:r>
              <w:rPr>
                <w:rFonts w:hint="eastAsia" w:ascii="微软雅黑" w:hAnsi="微软雅黑" w:eastAsia="微软雅黑" w:cs="宋体"/>
                <w:color w:val="auto"/>
                <w:kern w:val="0"/>
                <w:sz w:val="18"/>
                <w:szCs w:val="18"/>
                <w:lang w:bidi="ar"/>
              </w:rPr>
              <w:t>≥8核处理器，≥2.</w:t>
            </w:r>
            <w:r>
              <w:rPr>
                <w:rFonts w:hint="eastAsia" w:ascii="微软雅黑" w:hAnsi="微软雅黑" w:eastAsia="微软雅黑" w:cs="宋体"/>
                <w:color w:val="auto"/>
                <w:kern w:val="0"/>
                <w:sz w:val="18"/>
                <w:szCs w:val="18"/>
                <w:lang w:val="en-US" w:eastAsia="zh-CN" w:bidi="ar"/>
              </w:rPr>
              <w:t>48</w:t>
            </w:r>
            <w:r>
              <w:rPr>
                <w:rFonts w:hint="eastAsia" w:ascii="微软雅黑" w:hAnsi="微软雅黑" w:eastAsia="微软雅黑" w:cs="宋体"/>
                <w:color w:val="auto"/>
                <w:kern w:val="0"/>
                <w:sz w:val="18"/>
                <w:szCs w:val="18"/>
                <w:lang w:bidi="ar"/>
              </w:rPr>
              <w:t>GH</w:t>
            </w:r>
            <w:r>
              <w:rPr>
                <w:rFonts w:hint="eastAsia" w:ascii="微软雅黑" w:hAnsi="微软雅黑" w:eastAsia="微软雅黑" w:cs="宋体"/>
                <w:color w:val="auto"/>
                <w:kern w:val="0"/>
                <w:sz w:val="18"/>
                <w:szCs w:val="18"/>
                <w:lang w:eastAsia="zh-CN" w:bidi="ar"/>
              </w:rPr>
              <w:t>，</w:t>
            </w:r>
            <w:r>
              <w:rPr>
                <w:rFonts w:hint="eastAsia" w:ascii="微软雅黑" w:hAnsi="微软雅黑" w:eastAsia="微软雅黑" w:cs="宋体"/>
                <w:color w:val="auto"/>
                <w:kern w:val="0"/>
                <w:sz w:val="18"/>
                <w:szCs w:val="18"/>
                <w:lang w:val="en-US" w:eastAsia="zh-CN" w:bidi="ar"/>
              </w:rPr>
              <w:t>内存</w:t>
            </w:r>
            <w:r>
              <w:rPr>
                <w:rFonts w:hint="eastAsia" w:ascii="微软雅黑" w:hAnsi="微软雅黑" w:eastAsia="微软雅黑" w:cs="宋体"/>
                <w:color w:val="auto"/>
                <w:kern w:val="0"/>
                <w:sz w:val="18"/>
                <w:szCs w:val="18"/>
                <w:lang w:bidi="ar"/>
              </w:rPr>
              <w:t>≥</w:t>
            </w:r>
            <w:r>
              <w:rPr>
                <w:rFonts w:hint="eastAsia" w:ascii="微软雅黑" w:hAnsi="微软雅黑" w:eastAsia="微软雅黑" w:cs="宋体"/>
                <w:color w:val="auto"/>
                <w:kern w:val="0"/>
                <w:sz w:val="18"/>
                <w:szCs w:val="18"/>
                <w:lang w:val="en-US" w:eastAsia="zh-CN" w:bidi="ar"/>
              </w:rPr>
              <w:t>16G，</w:t>
            </w:r>
            <w:r>
              <w:rPr>
                <w:rFonts w:hint="eastAsia" w:ascii="微软雅黑" w:hAnsi="微软雅黑" w:eastAsia="微软雅黑" w:cs="宋体"/>
                <w:color w:val="auto"/>
                <w:kern w:val="0"/>
                <w:sz w:val="18"/>
                <w:szCs w:val="18"/>
                <w:lang w:bidi="ar"/>
              </w:rPr>
              <w:t>硬盘：≥</w:t>
            </w:r>
            <w:r>
              <w:rPr>
                <w:rFonts w:hint="eastAsia" w:ascii="微软雅黑" w:hAnsi="微软雅黑" w:eastAsia="微软雅黑" w:cs="宋体"/>
                <w:color w:val="auto"/>
                <w:kern w:val="0"/>
                <w:sz w:val="18"/>
                <w:szCs w:val="18"/>
                <w:lang w:val="en-US" w:eastAsia="zh-CN" w:bidi="ar"/>
              </w:rPr>
              <w:t>512</w:t>
            </w:r>
            <w:r>
              <w:rPr>
                <w:rFonts w:hint="eastAsia" w:ascii="微软雅黑" w:hAnsi="微软雅黑" w:eastAsia="微软雅黑" w:cs="宋体"/>
                <w:color w:val="auto"/>
                <w:kern w:val="0"/>
                <w:sz w:val="18"/>
                <w:szCs w:val="18"/>
                <w:lang w:bidi="ar"/>
              </w:rPr>
              <w:t>B M.2固态硬盘；提供国产操作系统并符合操作系统政府采购需求标准（2023版）的正版操作系统和</w:t>
            </w:r>
            <w:r>
              <w:rPr>
                <w:rFonts w:hint="eastAsia" w:ascii="微软雅黑" w:hAnsi="微软雅黑" w:eastAsia="微软雅黑" w:cs="宋体"/>
                <w:color w:val="auto"/>
                <w:kern w:val="0"/>
                <w:sz w:val="18"/>
                <w:szCs w:val="18"/>
                <w:lang w:val="en-US" w:eastAsia="zh-CN" w:bidi="ar"/>
              </w:rPr>
              <w:t>国产</w:t>
            </w:r>
            <w:r>
              <w:rPr>
                <w:rFonts w:hint="eastAsia" w:ascii="微软雅黑" w:hAnsi="微软雅黑" w:eastAsia="微软雅黑" w:cs="宋体"/>
                <w:color w:val="auto"/>
                <w:kern w:val="0"/>
                <w:sz w:val="18"/>
                <w:szCs w:val="18"/>
                <w:lang w:bidi="ar"/>
              </w:rPr>
              <w:t>流式办公软件</w:t>
            </w:r>
            <w:r>
              <w:rPr>
                <w:rFonts w:hint="eastAsia" w:ascii="微软雅黑" w:hAnsi="微软雅黑" w:eastAsia="微软雅黑" w:cs="宋体"/>
                <w:color w:val="auto"/>
                <w:kern w:val="0"/>
                <w:sz w:val="18"/>
                <w:szCs w:val="18"/>
                <w:lang w:eastAsia="zh-CN" w:bidi="ar"/>
              </w:rPr>
              <w:t>。</w:t>
            </w:r>
            <w:r>
              <w:rPr>
                <w:rFonts w:hint="eastAsia" w:ascii="微软雅黑" w:hAnsi="微软雅黑" w:eastAsia="微软雅黑" w:cs="宋体"/>
                <w:color w:val="auto"/>
                <w:kern w:val="0"/>
                <w:sz w:val="18"/>
                <w:szCs w:val="18"/>
                <w:lang w:val="en-US" w:eastAsia="zh-CN" w:bidi="ar"/>
              </w:rPr>
              <w:t>操作系统和办公软件服务期都不少于3年。</w:t>
            </w:r>
          </w:p>
          <w:p w14:paraId="593B411D">
            <w:pPr>
              <w:keepNext w:val="0"/>
              <w:keepLines w:val="0"/>
              <w:widowControl/>
              <w:suppressLineNumbers w:val="0"/>
              <w:jc w:val="center"/>
              <w:textAlignment w:val="center"/>
              <w:rPr>
                <w:rFonts w:hint="default" w:ascii="宋体" w:hAnsi="宋体" w:eastAsia="微软雅黑" w:cs="宋体"/>
                <w:i w:val="0"/>
                <w:iCs w:val="0"/>
                <w:color w:val="FF0000"/>
                <w:sz w:val="22"/>
                <w:szCs w:val="22"/>
                <w:highlight w:val="none"/>
                <w:u w:val="none"/>
                <w:lang w:val="en-US" w:eastAsia="zh-CN"/>
              </w:rPr>
            </w:pPr>
          </w:p>
        </w:tc>
        <w:tc>
          <w:tcPr>
            <w:tcW w:w="71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5A1FA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4F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6955">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7475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AF7A">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14950</w:t>
            </w:r>
          </w:p>
        </w:tc>
      </w:tr>
      <w:tr w14:paraId="73BE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F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F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14E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国产知名品牌1、制冷量≥12200W 2、制热量≥14200W，3、制冷功率≤4400W，4、制热功率≤4500W5、室内噪音值≤52dB, 6、能效等级：变频一级  7、循环风量≥2110m³/h  8、电辅热功率≥3500W  9、包安装含铜管等</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6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B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143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9790.98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8BE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293729.4</w:t>
            </w:r>
          </w:p>
        </w:tc>
      </w:tr>
      <w:tr w14:paraId="19EE8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D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C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学生铁架床</w:t>
            </w:r>
          </w:p>
        </w:tc>
        <w:tc>
          <w:tcPr>
            <w:tcW w:w="8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E62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一、整体外形尺寸（mm）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参数项 标准规格 备注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床体总长 2000 适配标准1900mm长床垫，预留头部余量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床体总宽 980 - 1000 外径宽度，床面内宽约900mm（标准单人床）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床体总高 1750 - 1850 含脚垫高度，常见高校/工厂宿舍标准高度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下铺离地高 400 - 450 便于床底储物、扫地及坐姿舒适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层间距 ≥ 1150 下铺床面至上铺床板底的距离，确保坐起不碰头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上铺护栏高 ≥ 300 从床垫面算起，防跌落安全高度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二、材质与结构参数（核心用料）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部件名称 材质规格 关键说明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主立柱 Φ50mm 圆管 / 40×40mm方管 壁厚≥1.2mm，优选1.5mm。图片立柱有加强筋，支撑力更强。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横梁/边框 40×40mm 方管 壁厚≥1.2mm，结构稳固，防止侧翻。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床板支撑 25×25mm方管 横担间距≤300mm，配置数量≥6根，分散承重。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床板材质 冷轧钢网板 / 杉木板条 图片显示为钢网板，透气不积灰，承重性优于木板。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安全护栏 Φ20mm圆管 高度≥300mm，满焊工艺，无尖锐毛刺。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爬梯 Φ25mm圆管 踏板宽≥300mm，防滑设计，脚踏间距250-300mm。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表面处理 酸洗磷化+静电喷塑 环保无甲醛，防锈耐磨，耐刮擦。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三、性能与安全指标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安全承重：- 单层设计承重：≥ 150kg（标准）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极限测试承重：≥ 250kg（优质款）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注：整床静态承重需满足 ≥ 400kg 测试标准。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环保等级：- 甲醛释放量 ≤ 0.5mg/L，符合 GB 18584 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安全细节：- 所有焊点需打磨平整，无锐角锐边；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底部配防滑橡胶脚垫，静音不伤地板。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四、配置建议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 床垫匹配：建议定制 1900mm × 900mm × 50-100mm 厚度的专用床垫。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安装方式：图片采用卡扣/螺丝连接结构，安装便捷，连接点需使用防松螺母</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D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架</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D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bookmarkStart w:id="1" w:name="_GoBack"/>
            <w:bookmarkEnd w:id="1"/>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5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B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r>
      <w:tr w14:paraId="5A2E4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7D4C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0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EAFB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打印机</w:t>
            </w:r>
          </w:p>
        </w:tc>
        <w:tc>
          <w:tcPr>
            <w:tcW w:w="845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6A9B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黑白激光多功能一体机,复印\打印\扫描，高速双面，自动进稿，速度33页，自动双面打印，中文显示、一键式身份证左右摆放、票据复印，CPU:525 MHZ,内存：256 MB，带50页ADF，带U盘扫描，带有线网络打印，鼓粉分离，随机粉盒6000张，硒鼓25000张，卡纸强排、定影清洁</w:t>
            </w:r>
          </w:p>
        </w:tc>
        <w:tc>
          <w:tcPr>
            <w:tcW w:w="71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14EA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369F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612163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1705.32</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9506B2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8526.6</w:t>
            </w:r>
          </w:p>
        </w:tc>
      </w:tr>
      <w:tr w14:paraId="31616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757"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DD1A5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31FAF5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845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80955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B60B7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1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2FE68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2DE3F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87279B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1279846</w:t>
            </w:r>
          </w:p>
        </w:tc>
      </w:tr>
    </w:tbl>
    <w:p w14:paraId="0BD418AF">
      <w:pPr>
        <w:jc w:val="both"/>
        <w:rPr>
          <w:rFonts w:ascii="宋体" w:hAnsi="宋体" w:eastAsia="宋体" w:cs="宋体"/>
          <w:b/>
          <w:bCs/>
          <w:kern w:val="0"/>
          <w:sz w:val="32"/>
          <w:szCs w:val="32"/>
        </w:rPr>
      </w:pPr>
    </w:p>
    <w:p w14:paraId="7DE9E3BD">
      <w:pPr>
        <w:jc w:val="center"/>
        <w:rPr>
          <w:rFonts w:hint="eastAsia"/>
        </w:rPr>
      </w:pPr>
    </w:p>
    <w:p w14:paraId="76DD18BC">
      <w:pPr>
        <w:rPr>
          <w:rFonts w:hint="eastAsia"/>
        </w:rPr>
        <w:sectPr>
          <w:pgSz w:w="16838" w:h="11906" w:orient="landscape"/>
          <w:pgMar w:top="1800" w:right="1440" w:bottom="1800" w:left="1440" w:header="851" w:footer="992" w:gutter="0"/>
          <w:cols w:space="425" w:num="1"/>
          <w:docGrid w:type="lines" w:linePitch="312" w:charSpace="0"/>
        </w:sectPr>
      </w:pPr>
    </w:p>
    <w:p w14:paraId="389FC34B">
      <w:pPr>
        <w:widowControl w:val="0"/>
        <w:kinsoku w:val="0"/>
        <w:autoSpaceDE w:val="0"/>
        <w:autoSpaceDN w:val="0"/>
        <w:adjustRightInd w:val="0"/>
        <w:snapToGrid w:val="0"/>
        <w:spacing w:line="482" w:lineRule="exact"/>
        <w:ind w:left="0" w:right="273"/>
        <w:jc w:val="center"/>
        <w:textAlignment w:val="baseline"/>
        <w:outlineLvl w:val="5"/>
        <w:rPr>
          <w:rFonts w:hint="eastAsia" w:ascii="楷体" w:hAnsi="楷体" w:eastAsia="楷体" w:cs="楷体"/>
          <w:b/>
          <w:bCs/>
          <w:snapToGrid w:val="0"/>
          <w:color w:val="auto"/>
          <w:kern w:val="0"/>
          <w:sz w:val="28"/>
          <w:szCs w:val="28"/>
          <w:lang w:val="en-US" w:eastAsia="en-US" w:bidi="ar-SA"/>
        </w:rPr>
      </w:pPr>
      <w:r>
        <w:rPr>
          <w:rFonts w:hint="eastAsia" w:ascii="楷体" w:hAnsi="楷体" w:eastAsia="楷体" w:cs="楷体"/>
          <w:b/>
          <w:bCs/>
          <w:snapToGrid w:val="0"/>
          <w:color w:val="auto"/>
          <w:kern w:val="0"/>
          <w:sz w:val="28"/>
          <w:szCs w:val="28"/>
          <w:lang w:val="en-US" w:eastAsia="en-US" w:bidi="ar-SA"/>
        </w:rPr>
        <w:t xml:space="preserve">  第</w:t>
      </w:r>
      <w:r>
        <w:rPr>
          <w:rFonts w:hint="eastAsia" w:ascii="楷体" w:hAnsi="楷体" w:eastAsia="楷体" w:cs="楷体"/>
          <w:b/>
          <w:bCs/>
          <w:snapToGrid w:val="0"/>
          <w:color w:val="auto"/>
          <w:kern w:val="0"/>
          <w:sz w:val="28"/>
          <w:szCs w:val="28"/>
          <w:lang w:val="en-US" w:eastAsia="zh-CN" w:bidi="ar-SA"/>
        </w:rPr>
        <w:t>二</w:t>
      </w:r>
      <w:r>
        <w:rPr>
          <w:rFonts w:hint="eastAsia" w:ascii="楷体" w:hAnsi="楷体" w:eastAsia="楷体" w:cs="楷体"/>
          <w:b/>
          <w:bCs/>
          <w:snapToGrid w:val="0"/>
          <w:color w:val="auto"/>
          <w:kern w:val="0"/>
          <w:sz w:val="28"/>
          <w:szCs w:val="28"/>
          <w:lang w:val="en-US" w:eastAsia="en-US" w:bidi="ar-SA"/>
        </w:rPr>
        <w:t>节 商务要求</w:t>
      </w:r>
    </w:p>
    <w:p w14:paraId="485736A9">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一、产品运输、保险及保管：</w:t>
      </w:r>
    </w:p>
    <w:p w14:paraId="54D8DD84">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1、成交供应商负责产品到交货地点的全部运输，包括装卸及现场搬运等。</w:t>
      </w:r>
    </w:p>
    <w:p w14:paraId="1EB6EEEA">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2、成交供应商负责产品在交货地点的保管，直至项目验收合格。</w:t>
      </w:r>
    </w:p>
    <w:p w14:paraId="6AF8584D">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3、成交供应商负责其派出的工作人员的人身意外保险。</w:t>
      </w:r>
    </w:p>
    <w:p w14:paraId="5460853F">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二、安装调试：</w:t>
      </w:r>
    </w:p>
    <w:p w14:paraId="3743CD0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2.1、成交供应商须加强安装调试的组织管理，所有工作人员须遵守文明安全施工的有关规章制度，持证上岗。</w:t>
      </w:r>
    </w:p>
    <w:p w14:paraId="4CCD88B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2.2、项目完成后，成交人应将项目有关的全部资料移交采购人。</w:t>
      </w:r>
    </w:p>
    <w:p w14:paraId="0EB93FF5">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三、验收要求：</w:t>
      </w:r>
    </w:p>
    <w:p w14:paraId="60B2895C">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3.1、项目验收国家有强制性规定的，按国家规定执行，由采购人组织有关人员进行验收，验收报告作为申请付款的凭证之一。</w:t>
      </w:r>
    </w:p>
    <w:p w14:paraId="045B2B2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3.2、验收过程中产生纠纷的，由质量技术监督部门认定的检测机构检测，如为成交供应商原因造成的，由成交供应商承担检测费用；否则，由采购人承担。</w:t>
      </w:r>
    </w:p>
    <w:p w14:paraId="3352992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3.3、项目验收不合格，由成交供应商返工直至合格，有关返工、再行验收，以及给采购人造成的损失等费用由成交供应商承担。连续两次项目验收不合格的，采购人可终止合同，另行按规定选择其他投标供应商采购，由此带来的一切损失由成交供应商承担。</w:t>
      </w:r>
    </w:p>
    <w:p w14:paraId="4AC1BAF6">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3.4、验收地点：龙山县高级中学。</w:t>
      </w:r>
    </w:p>
    <w:p w14:paraId="318FCD3F">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四、质量保证及要求：</w:t>
      </w:r>
    </w:p>
    <w:p w14:paraId="41A4E68E">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4.1、供货范围：投标供应商必须提供保证上述参数及配置的全新产品；</w:t>
      </w:r>
    </w:p>
    <w:p w14:paraId="178E777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4.2、投标供应商投标文件中各种参数必须真实可靠；</w:t>
      </w:r>
    </w:p>
    <w:p w14:paraId="27079F1A">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4.3、成交供应商提供的产品应严格按照招标文件要求提供符合国家技术标准的产品，必须保证货物是全新的原装正品，符合国家质量检测标准以及该产品的出厂标准，具有出厂合格证或国家鉴定合格证。</w:t>
      </w:r>
    </w:p>
    <w:p w14:paraId="7CF4F272">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4.4、质保期内，如有制造质量的问题或质量缺陷，成交供应商应免费予以及时更换，保证用户工作正常运行。在用户使用的前三个月内，同一产品出现第二次质量问题，成交供应商应免费整体更换。成交供应商须在质保期内免费提供上门维修服务及相关备件并终身维修。</w:t>
      </w:r>
    </w:p>
    <w:p w14:paraId="0E71931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4.5、质保期内因产品质量或安装调试原因引起的全部维修费用（包括更换零配件的费用及特殊专用工具和清单，其费用也应包括在合同价格之内）均由中标供应商承担。如有质量问题，卖方应免费更换。</w:t>
      </w:r>
    </w:p>
    <w:p w14:paraId="4EF7106B">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4.6、</w:t>
      </w:r>
      <w:r>
        <w:rPr>
          <w:rFonts w:hint="eastAsia" w:ascii="宋体" w:hAnsi="宋体" w:eastAsia="宋体" w:cs="宋体"/>
          <w:b w:val="0"/>
          <w:bCs w:val="0"/>
          <w:snapToGrid w:val="0"/>
          <w:color w:val="auto"/>
          <w:spacing w:val="-7"/>
          <w:kern w:val="0"/>
          <w:sz w:val="24"/>
          <w:szCs w:val="24"/>
          <w:lang w:val="en-US" w:eastAsia="zh-CN"/>
        </w:rPr>
        <w:t>整体项目质保期为一年，</w:t>
      </w:r>
      <w:r>
        <w:rPr>
          <w:rFonts w:hint="eastAsia" w:ascii="宋体" w:hAnsi="宋体" w:eastAsia="宋体" w:cs="宋体"/>
          <w:snapToGrid w:val="0"/>
          <w:color w:val="auto"/>
          <w:spacing w:val="-7"/>
          <w:kern w:val="0"/>
          <w:sz w:val="24"/>
          <w:szCs w:val="24"/>
          <w:lang w:val="en-US" w:eastAsia="zh-CN"/>
        </w:rPr>
        <w:t>质保期从验收合格后开始计算，质保期内所有产品维护要求免费上门服务。</w:t>
      </w:r>
    </w:p>
    <w:p w14:paraId="54F36FAC">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五、售后服务：</w:t>
      </w:r>
    </w:p>
    <w:p w14:paraId="3920B0B1">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5.1、成交供应商需在质保期 三年 内提供免费上门维修服务，并进行终身维护。</w:t>
      </w:r>
    </w:p>
    <w:p w14:paraId="6ADAB3CF">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5.2、成交人在接到采购人报修通知后，须在2小时内做出响应，24小时内修复，在24小时内或紧急情况下未能修复，需更换新的产品，以确保正常工作。如果投标供应商收到采购人通知后，未在规定的响应时间内赶到现场弥补缺陷，采购人可采取必要的补救措施，但风险和费用全部由卖方承担。</w:t>
      </w:r>
    </w:p>
    <w:p w14:paraId="55F606A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zh-CN" w:eastAsia="zh-CN"/>
        </w:rPr>
      </w:pPr>
      <w:r>
        <w:rPr>
          <w:rFonts w:hint="eastAsia" w:ascii="宋体" w:hAnsi="宋体" w:eastAsia="宋体" w:cs="宋体"/>
          <w:snapToGrid w:val="0"/>
          <w:color w:val="auto"/>
          <w:spacing w:val="-7"/>
          <w:kern w:val="0"/>
          <w:sz w:val="24"/>
          <w:szCs w:val="24"/>
          <w:lang w:val="en-US" w:eastAsia="zh-CN"/>
        </w:rPr>
        <w:t>5.3、质保期内出现任何质量问题（人为破坏或自然灾害等不可抗力除外），由成交供应商负责全免费（免全部工时费、材料费、管理费、财务费等等）更换或维修。质保期满后，无论采购人是否另行选择维保供应商，成交供应商应及时优惠提供所需的配件。</w:t>
      </w:r>
    </w:p>
    <w:p w14:paraId="1306C7CD">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bookmarkStart w:id="0" w:name="_Toc32224"/>
      <w:r>
        <w:rPr>
          <w:rFonts w:hint="eastAsia" w:ascii="宋体" w:hAnsi="宋体" w:eastAsia="宋体" w:cs="宋体"/>
          <w:b/>
          <w:bCs/>
          <w:snapToGrid w:val="0"/>
          <w:color w:val="auto"/>
          <w:kern w:val="0"/>
          <w:sz w:val="24"/>
          <w:szCs w:val="24"/>
          <w:lang w:val="en-US" w:eastAsia="en-US" w:bidi="ar-SA"/>
        </w:rPr>
        <w:t>六、交货时间地点、付款方式：</w:t>
      </w:r>
      <w:bookmarkEnd w:id="0"/>
    </w:p>
    <w:p w14:paraId="1640DD38">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1.1、交货期限：签订合同起，15天内安装调试验收完成，并交付使用。</w:t>
      </w:r>
    </w:p>
    <w:p w14:paraId="6E1AD8AD">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1.2、交货地点：采购人指定地点。</w:t>
      </w:r>
    </w:p>
    <w:p w14:paraId="09AE25E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1.3、合同的签订：成交供应商应在接到招标代理公司中标通知后2个工作日内领取中标通知书缴纳招标代理费；并在收到中标通知书2个工作日内与业主签订正式合同，签订总合同之后需与各个学校签订分合同，否则视为其放弃中标。并承担一切损失的赔偿责任。</w:t>
      </w:r>
    </w:p>
    <w:p w14:paraId="4F55BC2E">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2.结算方法：</w:t>
      </w:r>
    </w:p>
    <w:p w14:paraId="3F42144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2.1</w:t>
      </w:r>
      <w:r>
        <w:rPr>
          <w:rFonts w:hint="eastAsia" w:ascii="宋体" w:hAnsi="宋体" w:eastAsia="宋体" w:cs="宋体"/>
          <w:snapToGrid w:val="0"/>
          <w:color w:val="auto"/>
          <w:spacing w:val="-7"/>
          <w:kern w:val="0"/>
          <w:sz w:val="24"/>
          <w:szCs w:val="24"/>
          <w:lang w:val="zh-CN" w:eastAsia="zh-CN"/>
        </w:rPr>
        <w:t>付款人：</w:t>
      </w:r>
      <w:r>
        <w:rPr>
          <w:rFonts w:hint="eastAsia" w:ascii="宋体" w:hAnsi="宋体" w:eastAsia="宋体" w:cs="宋体"/>
          <w:snapToGrid w:val="0"/>
          <w:color w:val="auto"/>
          <w:spacing w:val="-7"/>
          <w:kern w:val="0"/>
          <w:sz w:val="24"/>
          <w:szCs w:val="24"/>
          <w:lang w:val="en-US" w:eastAsia="zh-CN"/>
        </w:rPr>
        <w:t>龙山县高级中学</w:t>
      </w:r>
    </w:p>
    <w:p w14:paraId="73C0DE9A">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b/>
          <w:bCs/>
          <w:snapToGrid w:val="0"/>
          <w:color w:val="FF0000"/>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2.2付款方式：</w:t>
      </w:r>
      <w:r>
        <w:rPr>
          <w:rFonts w:hint="eastAsia" w:ascii="宋体" w:hAnsi="宋体" w:eastAsia="宋体" w:cs="宋体"/>
          <w:b/>
          <w:bCs/>
          <w:snapToGrid w:val="0"/>
          <w:color w:val="FF0000"/>
          <w:spacing w:val="-7"/>
          <w:kern w:val="0"/>
          <w:sz w:val="24"/>
          <w:szCs w:val="24"/>
          <w:lang w:val="en-US" w:eastAsia="zh-CN"/>
        </w:rPr>
        <w:t>货物安装调试验收合格后，经结算审核，付合同总价的95%，剩余5%的尾款待所有产品使用运行1年后凭用户单位相关部门的证明材料支付（尾款不计利息）。</w:t>
      </w:r>
    </w:p>
    <w:p w14:paraId="7C4032CA">
      <w:pPr>
        <w:widowControl w:val="0"/>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七、其他未尽事宜由甲乙双方协商解决。</w:t>
      </w:r>
    </w:p>
    <w:p w14:paraId="5D17D24B">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1、标志、包装、说明书、运输、贮存等都应执行国家的有关规定。</w:t>
      </w:r>
    </w:p>
    <w:p w14:paraId="7965C9E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2、本项目合同经双方签字盖章生效。合同一式三份，采购单位一份、中标单位一份、采购代理公司一份备档。</w:t>
      </w:r>
    </w:p>
    <w:p w14:paraId="6A414FDC">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3、本项目合同未尽事宜，双方协商解决，协商结果以“纪要”形式作为合同的附件，与合同具有同等的法律效力。</w:t>
      </w:r>
    </w:p>
    <w:p w14:paraId="79E2F4E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4、下列文件属合同的依据和附件：</w:t>
      </w:r>
    </w:p>
    <w:p w14:paraId="14CA004D">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4.1、文件、补充说明及中标通知书；</w:t>
      </w:r>
    </w:p>
    <w:p w14:paraId="23BA019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4.2、投标书、投标补充说明、服务承诺；</w:t>
      </w:r>
    </w:p>
    <w:p w14:paraId="3FB17C5E">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本项目采用费用包干方式，投标供应商应根据项目要求和现场情况,详细列明项目所需的设备购置,以及设备运输保险保管、项目安装、试通过验收、质保期免费保修维护等所有人工、管理、财务等所有费用,如一旦中标,在项目实施中出现任何遗漏,均由成交人免费提供,采购人不再支付任何费用。</w:t>
      </w:r>
    </w:p>
    <w:p w14:paraId="7C6A059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rPr>
        <w:t>6、现场踏勘：采购人不另行组织现场踏勘，有关踏勘事宜由供应商与采购人联系，自行处理。</w:t>
      </w:r>
    </w:p>
    <w:p w14:paraId="70534DFF">
      <w:pPr>
        <w:widowControl/>
        <w:kinsoku w:val="0"/>
        <w:autoSpaceDE w:val="0"/>
        <w:autoSpaceDN w:val="0"/>
        <w:adjustRightInd w:val="0"/>
        <w:snapToGrid w:val="0"/>
        <w:spacing w:before="117" w:line="293" w:lineRule="auto"/>
        <w:jc w:val="left"/>
        <w:textAlignment w:val="baseline"/>
        <w:rPr>
          <w:rFonts w:hint="eastAsia" w:ascii="宋体" w:hAnsi="宋体" w:eastAsia="宋体" w:cs="宋体"/>
          <w:b/>
          <w:bCs/>
          <w:snapToGrid w:val="0"/>
          <w:color w:val="auto"/>
          <w:kern w:val="0"/>
          <w:sz w:val="24"/>
          <w:szCs w:val="21"/>
          <w:lang w:val="en-US" w:eastAsia="zh-CN"/>
        </w:rPr>
      </w:pPr>
      <w:r>
        <w:rPr>
          <w:rFonts w:hint="eastAsia" w:ascii="宋体" w:hAnsi="宋体" w:eastAsia="宋体" w:cs="宋体"/>
          <w:b/>
          <w:bCs/>
          <w:snapToGrid w:val="0"/>
          <w:color w:val="auto"/>
          <w:kern w:val="0"/>
          <w:sz w:val="24"/>
          <w:szCs w:val="24"/>
          <w:lang w:val="en-US" w:eastAsia="zh-CN" w:bidi="ar-SA"/>
        </w:rPr>
        <w:t>八、特别说明</w:t>
      </w:r>
      <w:r>
        <w:rPr>
          <w:rFonts w:hint="eastAsia" w:ascii="宋体" w:hAnsi="宋体" w:eastAsia="宋体" w:cs="宋体"/>
          <w:b/>
          <w:bCs/>
          <w:snapToGrid w:val="0"/>
          <w:color w:val="auto"/>
          <w:kern w:val="0"/>
          <w:sz w:val="24"/>
          <w:szCs w:val="21"/>
          <w:lang w:val="en-US" w:eastAsia="zh-CN"/>
        </w:rPr>
        <w:t xml:space="preserve">  </w:t>
      </w:r>
    </w:p>
    <w:p w14:paraId="2ADD5508">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宋体" w:hAnsi="宋体" w:eastAsia="宋体" w:cs="宋体"/>
          <w:b/>
          <w:bCs/>
          <w:snapToGrid w:val="0"/>
          <w:color w:val="auto"/>
          <w:kern w:val="0"/>
          <w:sz w:val="24"/>
          <w:szCs w:val="21"/>
          <w:lang w:eastAsia="en-US"/>
        </w:rPr>
      </w:pPr>
      <w:r>
        <w:rPr>
          <w:rFonts w:hint="eastAsia" w:ascii="宋体" w:hAnsi="宋体" w:eastAsia="宋体" w:cs="宋体"/>
          <w:b/>
          <w:bCs/>
          <w:snapToGrid w:val="0"/>
          <w:color w:val="auto"/>
          <w:kern w:val="0"/>
          <w:sz w:val="24"/>
          <w:szCs w:val="21"/>
          <w:lang w:eastAsia="en-US"/>
        </w:rPr>
        <w:t>①</w:t>
      </w:r>
      <w:r>
        <w:rPr>
          <w:rFonts w:hint="eastAsia" w:ascii="宋体" w:hAnsi="宋体" w:eastAsia="宋体" w:cs="宋体"/>
          <w:b/>
          <w:bCs/>
          <w:snapToGrid w:val="0"/>
          <w:color w:val="auto"/>
          <w:kern w:val="0"/>
          <w:sz w:val="24"/>
          <w:szCs w:val="21"/>
          <w:lang w:eastAsia="zh-CN"/>
        </w:rPr>
        <w:t>投标供应商</w:t>
      </w:r>
      <w:r>
        <w:rPr>
          <w:rFonts w:hint="eastAsia" w:ascii="宋体" w:hAnsi="宋体" w:eastAsia="宋体" w:cs="宋体"/>
          <w:b/>
          <w:bCs/>
          <w:snapToGrid w:val="0"/>
          <w:color w:val="auto"/>
          <w:kern w:val="0"/>
          <w:sz w:val="24"/>
          <w:szCs w:val="21"/>
          <w:lang w:eastAsia="en-US"/>
        </w:rPr>
        <w:t>参与政府采购活动应当诚信守法、公平竞争，应当提供真实有效的证明材料</w:t>
      </w:r>
      <w:r>
        <w:rPr>
          <w:rFonts w:hint="eastAsia" w:ascii="宋体" w:hAnsi="宋体" w:eastAsia="宋体" w:cs="宋体"/>
          <w:b/>
          <w:bCs/>
          <w:snapToGrid w:val="0"/>
          <w:color w:val="auto"/>
          <w:kern w:val="0"/>
          <w:sz w:val="24"/>
          <w:szCs w:val="21"/>
          <w:lang w:eastAsia="zh-CN"/>
        </w:rPr>
        <w:t>（</w:t>
      </w:r>
      <w:r>
        <w:rPr>
          <w:rFonts w:hint="eastAsia" w:ascii="宋体" w:hAnsi="宋体" w:eastAsia="宋体" w:cs="宋体"/>
          <w:b/>
          <w:bCs/>
          <w:snapToGrid w:val="0"/>
          <w:color w:val="auto"/>
          <w:kern w:val="0"/>
          <w:sz w:val="24"/>
          <w:szCs w:val="21"/>
          <w:lang w:val="en-US" w:eastAsia="zh-CN"/>
        </w:rPr>
        <w:t>如有要求）</w:t>
      </w:r>
      <w:r>
        <w:rPr>
          <w:rFonts w:hint="eastAsia" w:ascii="宋体" w:hAnsi="宋体" w:eastAsia="宋体" w:cs="宋体"/>
          <w:b/>
          <w:bCs/>
          <w:snapToGrid w:val="0"/>
          <w:color w:val="auto"/>
          <w:kern w:val="0"/>
          <w:sz w:val="24"/>
          <w:szCs w:val="21"/>
          <w:lang w:eastAsia="en-US"/>
        </w:rPr>
        <w:t>，如出现（包括但不限于）虚假性能</w:t>
      </w:r>
      <w:r>
        <w:rPr>
          <w:rFonts w:hint="eastAsia" w:ascii="宋体" w:hAnsi="宋体" w:eastAsia="宋体" w:cs="宋体"/>
          <w:b/>
          <w:bCs/>
          <w:snapToGrid w:val="0"/>
          <w:color w:val="auto"/>
          <w:kern w:val="0"/>
          <w:sz w:val="24"/>
          <w:szCs w:val="21"/>
          <w:lang w:val="en-US" w:eastAsia="zh-CN"/>
        </w:rPr>
        <w:t>特点或</w:t>
      </w:r>
      <w:r>
        <w:rPr>
          <w:rFonts w:hint="eastAsia" w:ascii="宋体" w:hAnsi="宋体" w:eastAsia="宋体" w:cs="宋体"/>
          <w:b/>
          <w:bCs/>
          <w:snapToGrid w:val="0"/>
          <w:color w:val="auto"/>
          <w:kern w:val="0"/>
          <w:sz w:val="24"/>
          <w:szCs w:val="21"/>
          <w:lang w:eastAsia="en-US"/>
        </w:rPr>
        <w:t>参数配置需求响应、虚假产品彩页、虚假业绩、虚假证书、虚假检测报告、虚假声明、虚假承诺、隐瞒失信信息等情形谋取</w:t>
      </w:r>
      <w:r>
        <w:rPr>
          <w:rFonts w:hint="eastAsia" w:ascii="宋体" w:hAnsi="宋体" w:eastAsia="宋体" w:cs="宋体"/>
          <w:b/>
          <w:bCs/>
          <w:snapToGrid w:val="0"/>
          <w:color w:val="auto"/>
          <w:kern w:val="0"/>
          <w:sz w:val="24"/>
          <w:szCs w:val="21"/>
          <w:lang w:val="en-US" w:eastAsia="zh-CN"/>
        </w:rPr>
        <w:t>成交</w:t>
      </w:r>
      <w:r>
        <w:rPr>
          <w:rFonts w:hint="eastAsia" w:ascii="宋体" w:hAnsi="宋体" w:eastAsia="宋体" w:cs="宋体"/>
          <w:b/>
          <w:bCs/>
          <w:snapToGrid w:val="0"/>
          <w:color w:val="auto"/>
          <w:kern w:val="0"/>
          <w:sz w:val="24"/>
          <w:szCs w:val="21"/>
          <w:lang w:eastAsia="en-US"/>
        </w:rPr>
        <w:t>的，一经发现，将取消</w:t>
      </w:r>
      <w:r>
        <w:rPr>
          <w:rFonts w:hint="eastAsia" w:ascii="宋体" w:hAnsi="宋体" w:eastAsia="宋体" w:cs="宋体"/>
          <w:b/>
          <w:bCs/>
          <w:snapToGrid w:val="0"/>
          <w:color w:val="auto"/>
          <w:kern w:val="0"/>
          <w:sz w:val="24"/>
          <w:szCs w:val="21"/>
          <w:lang w:val="en-US" w:eastAsia="zh-CN"/>
        </w:rPr>
        <w:t>成交</w:t>
      </w:r>
      <w:r>
        <w:rPr>
          <w:rFonts w:hint="eastAsia" w:ascii="宋体" w:hAnsi="宋体" w:eastAsia="宋体" w:cs="宋体"/>
          <w:b/>
          <w:bCs/>
          <w:snapToGrid w:val="0"/>
          <w:color w:val="auto"/>
          <w:kern w:val="0"/>
          <w:sz w:val="24"/>
          <w:szCs w:val="21"/>
          <w:lang w:eastAsia="en-US"/>
        </w:rPr>
        <w:t xml:space="preserve">资格并报行政监管部门严肃查处。 </w:t>
      </w:r>
    </w:p>
    <w:p w14:paraId="2E8405E1">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宋体" w:hAnsi="宋体" w:eastAsia="宋体" w:cs="宋体"/>
          <w:b/>
          <w:bCs/>
          <w:snapToGrid w:val="0"/>
          <w:color w:val="auto"/>
          <w:kern w:val="0"/>
          <w:sz w:val="24"/>
          <w:szCs w:val="21"/>
          <w:lang w:eastAsia="en-US"/>
        </w:rPr>
      </w:pPr>
      <w:r>
        <w:rPr>
          <w:rFonts w:hint="eastAsia" w:ascii="宋体" w:hAnsi="宋体" w:eastAsia="宋体" w:cs="宋体"/>
          <w:b/>
          <w:bCs/>
          <w:snapToGrid w:val="0"/>
          <w:color w:val="auto"/>
          <w:kern w:val="0"/>
          <w:sz w:val="24"/>
          <w:szCs w:val="21"/>
          <w:lang w:eastAsia="en-US"/>
        </w:rPr>
        <w:t>②</w:t>
      </w:r>
      <w:r>
        <w:rPr>
          <w:rFonts w:hint="eastAsia" w:ascii="宋体" w:hAnsi="宋体" w:eastAsia="宋体" w:cs="宋体"/>
          <w:b/>
          <w:bCs/>
          <w:snapToGrid w:val="0"/>
          <w:color w:val="auto"/>
          <w:kern w:val="0"/>
          <w:sz w:val="24"/>
          <w:szCs w:val="21"/>
          <w:lang w:val="en-US" w:eastAsia="zh-CN"/>
        </w:rPr>
        <w:t>应通过中国信息安全测评中心测评的产品（含软件产品）或部件，投标供应商应从中国信息安全测评中心（http://www.itsec.gov.cn/aqkkcp/）已发布的相关产品（含软件产品）或部件中选择，确保通过相关主管部门验收。</w:t>
      </w:r>
    </w:p>
    <w:p w14:paraId="20634131">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spacing w:val="-10"/>
          <w:kern w:val="0"/>
          <w:sz w:val="24"/>
          <w:szCs w:val="24"/>
          <w:highlight w:val="none"/>
          <w:lang w:eastAsia="en-US"/>
        </w:rPr>
      </w:pPr>
      <w:r>
        <w:rPr>
          <w:rFonts w:hint="eastAsia" w:ascii="宋体" w:hAnsi="宋体" w:eastAsia="宋体" w:cs="宋体"/>
          <w:b/>
          <w:bCs/>
          <w:snapToGrid w:val="0"/>
          <w:color w:val="auto"/>
          <w:kern w:val="0"/>
          <w:sz w:val="24"/>
          <w:szCs w:val="21"/>
          <w:lang w:val="en-US" w:eastAsia="zh-CN"/>
        </w:rPr>
        <w:t>③投标供应商</w:t>
      </w:r>
      <w:r>
        <w:rPr>
          <w:rFonts w:hint="eastAsia" w:ascii="宋体" w:hAnsi="宋体" w:eastAsia="宋体" w:cs="宋体"/>
          <w:b/>
          <w:bCs/>
          <w:snapToGrid w:val="0"/>
          <w:color w:val="auto"/>
          <w:kern w:val="0"/>
          <w:sz w:val="24"/>
          <w:szCs w:val="24"/>
          <w:lang w:val="en-US" w:eastAsia="zh-CN"/>
        </w:rPr>
        <w:t>应仔细阅读招标文件参数及相关要求，并对招标文件的各项参数及相关要求逐项进行响应，安装前采购人或委托的接收点相关人员将根据招标文件、投标文件对各项参数及相关要求逐项进行核实，若不能满足招标文件要求，采购人有权取消成交资格并由成交供应商赔偿给采购人造成的一切损失。</w:t>
      </w:r>
      <w:r>
        <w:rPr>
          <w:rFonts w:hint="eastAsia" w:ascii="宋体" w:hAnsi="宋体" w:eastAsia="宋体" w:cs="宋体"/>
          <w:b/>
          <w:bCs/>
          <w:snapToGrid w:val="0"/>
          <w:color w:val="auto"/>
          <w:spacing w:val="-10"/>
          <w:kern w:val="0"/>
          <w:sz w:val="24"/>
          <w:szCs w:val="24"/>
          <w:highlight w:val="none"/>
          <w:lang w:eastAsia="en-US"/>
        </w:rPr>
        <w:t>备注：采购需求的内容需要在投标文件中进行响应</w:t>
      </w:r>
      <w:r>
        <w:rPr>
          <w:rFonts w:hint="eastAsia" w:ascii="宋体" w:hAnsi="宋体" w:eastAsia="宋体" w:cs="宋体"/>
          <w:b/>
          <w:bCs/>
          <w:snapToGrid w:val="0"/>
          <w:color w:val="auto"/>
          <w:spacing w:val="-10"/>
          <w:kern w:val="0"/>
          <w:sz w:val="24"/>
          <w:szCs w:val="24"/>
          <w:highlight w:val="none"/>
          <w:lang w:eastAsia="zh-CN"/>
        </w:rPr>
        <w:t>、</w:t>
      </w:r>
      <w:r>
        <w:rPr>
          <w:rFonts w:hint="eastAsia" w:ascii="宋体" w:hAnsi="宋体" w:eastAsia="宋体" w:cs="宋体"/>
          <w:b/>
          <w:bCs/>
          <w:snapToGrid w:val="0"/>
          <w:color w:val="auto"/>
          <w:spacing w:val="-10"/>
          <w:kern w:val="0"/>
          <w:sz w:val="24"/>
          <w:szCs w:val="24"/>
          <w:highlight w:val="none"/>
          <w:lang w:eastAsia="en-US"/>
        </w:rPr>
        <w:t>说明</w:t>
      </w:r>
      <w:r>
        <w:rPr>
          <w:rFonts w:hint="eastAsia" w:ascii="宋体" w:hAnsi="宋体" w:eastAsia="宋体" w:cs="宋体"/>
          <w:b/>
          <w:bCs/>
          <w:snapToGrid w:val="0"/>
          <w:color w:val="auto"/>
          <w:spacing w:val="-10"/>
          <w:kern w:val="0"/>
          <w:sz w:val="24"/>
          <w:szCs w:val="24"/>
          <w:highlight w:val="none"/>
          <w:lang w:val="en-US" w:eastAsia="zh-CN"/>
        </w:rPr>
        <w:t>及承诺。如果有</w:t>
      </w:r>
      <w:r>
        <w:rPr>
          <w:rFonts w:hint="eastAsia" w:ascii="宋体" w:hAnsi="宋体" w:eastAsia="宋体" w:cs="宋体"/>
          <w:b/>
          <w:bCs/>
          <w:snapToGrid w:val="0"/>
          <w:color w:val="auto"/>
          <w:spacing w:val="-10"/>
          <w:kern w:val="0"/>
          <w:sz w:val="24"/>
          <w:szCs w:val="24"/>
          <w:highlight w:val="none"/>
          <w:lang w:eastAsia="en-US"/>
        </w:rPr>
        <w:t>偏离</w:t>
      </w:r>
      <w:r>
        <w:rPr>
          <w:rFonts w:hint="eastAsia" w:ascii="宋体" w:hAnsi="宋体" w:eastAsia="宋体" w:cs="宋体"/>
          <w:b/>
          <w:bCs/>
          <w:snapToGrid w:val="0"/>
          <w:color w:val="auto"/>
          <w:spacing w:val="-10"/>
          <w:kern w:val="0"/>
          <w:sz w:val="24"/>
          <w:szCs w:val="24"/>
          <w:highlight w:val="none"/>
          <w:lang w:val="en-US" w:eastAsia="zh-CN"/>
        </w:rPr>
        <w:t>则</w:t>
      </w:r>
      <w:r>
        <w:rPr>
          <w:rFonts w:hint="eastAsia" w:ascii="宋体" w:hAnsi="宋体" w:eastAsia="宋体" w:cs="宋体"/>
          <w:b/>
          <w:bCs/>
          <w:snapToGrid w:val="0"/>
          <w:color w:val="auto"/>
          <w:spacing w:val="-10"/>
          <w:kern w:val="0"/>
          <w:sz w:val="24"/>
          <w:szCs w:val="24"/>
          <w:highlight w:val="none"/>
          <w:lang w:eastAsia="en-US"/>
        </w:rPr>
        <w:t>投标</w:t>
      </w:r>
      <w:r>
        <w:rPr>
          <w:rFonts w:hint="eastAsia" w:ascii="宋体" w:hAnsi="宋体" w:eastAsia="宋体" w:cs="宋体"/>
          <w:b/>
          <w:bCs/>
          <w:snapToGrid w:val="0"/>
          <w:color w:val="auto"/>
          <w:spacing w:val="-10"/>
          <w:kern w:val="0"/>
          <w:sz w:val="24"/>
          <w:szCs w:val="24"/>
          <w:highlight w:val="none"/>
          <w:lang w:val="en-US" w:eastAsia="zh-CN"/>
        </w:rPr>
        <w:t>无效</w:t>
      </w:r>
      <w:r>
        <w:rPr>
          <w:rFonts w:hint="eastAsia" w:ascii="宋体" w:hAnsi="宋体" w:eastAsia="宋体" w:cs="宋体"/>
          <w:b/>
          <w:bCs/>
          <w:snapToGrid w:val="0"/>
          <w:color w:val="auto"/>
          <w:spacing w:val="-10"/>
          <w:kern w:val="0"/>
          <w:sz w:val="24"/>
          <w:szCs w:val="24"/>
          <w:highlight w:val="none"/>
          <w:lang w:eastAsia="en-US"/>
        </w:rPr>
        <w:t>。</w:t>
      </w:r>
    </w:p>
    <w:p w14:paraId="71C22FA9">
      <w:pPr>
        <w:rPr>
          <w:rFonts w:ascii="Calibri" w:hAnsi="Calibri" w:eastAsia="宋体" w:cs="Times New Roman"/>
          <w:szCs w:val="24"/>
        </w:rPr>
      </w:pPr>
    </w:p>
    <w:p w14:paraId="4E6C08AB">
      <w:pPr>
        <w:rPr>
          <w:rFonts w:hint="eastAsia"/>
        </w:rPr>
      </w:pPr>
    </w:p>
    <w:p w14:paraId="0AF87F5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28"/>
    <w:rsid w:val="00083C7E"/>
    <w:rsid w:val="00162E3F"/>
    <w:rsid w:val="002F22A9"/>
    <w:rsid w:val="003B67AF"/>
    <w:rsid w:val="003E067A"/>
    <w:rsid w:val="004B1B92"/>
    <w:rsid w:val="00532186"/>
    <w:rsid w:val="00635441"/>
    <w:rsid w:val="007E3328"/>
    <w:rsid w:val="00833C09"/>
    <w:rsid w:val="008624DD"/>
    <w:rsid w:val="008B510E"/>
    <w:rsid w:val="00A3178C"/>
    <w:rsid w:val="00AC3144"/>
    <w:rsid w:val="00B00D6C"/>
    <w:rsid w:val="00B44666"/>
    <w:rsid w:val="00BF7F39"/>
    <w:rsid w:val="00CB5197"/>
    <w:rsid w:val="00D25D25"/>
    <w:rsid w:val="00E85DEE"/>
    <w:rsid w:val="00EF3410"/>
    <w:rsid w:val="00F541D7"/>
    <w:rsid w:val="07F031A6"/>
    <w:rsid w:val="085E716A"/>
    <w:rsid w:val="1130036A"/>
    <w:rsid w:val="14D507B4"/>
    <w:rsid w:val="1702771F"/>
    <w:rsid w:val="1AF33A7A"/>
    <w:rsid w:val="1F464788"/>
    <w:rsid w:val="23C60E74"/>
    <w:rsid w:val="24003BD3"/>
    <w:rsid w:val="258A1146"/>
    <w:rsid w:val="28DA4193"/>
    <w:rsid w:val="290C0EA3"/>
    <w:rsid w:val="295E6B72"/>
    <w:rsid w:val="2CC43190"/>
    <w:rsid w:val="2E6C0CAC"/>
    <w:rsid w:val="37C81F16"/>
    <w:rsid w:val="380562C5"/>
    <w:rsid w:val="39B801DC"/>
    <w:rsid w:val="3AA8350C"/>
    <w:rsid w:val="3C3A6FCB"/>
    <w:rsid w:val="3EC7548D"/>
    <w:rsid w:val="41270465"/>
    <w:rsid w:val="42426BD9"/>
    <w:rsid w:val="454B3FF6"/>
    <w:rsid w:val="4A5751EC"/>
    <w:rsid w:val="56DC0F52"/>
    <w:rsid w:val="59554FEC"/>
    <w:rsid w:val="59A74B39"/>
    <w:rsid w:val="59F20A8D"/>
    <w:rsid w:val="5D5061F6"/>
    <w:rsid w:val="5EC606B4"/>
    <w:rsid w:val="5F296378"/>
    <w:rsid w:val="6097383C"/>
    <w:rsid w:val="624B51DE"/>
    <w:rsid w:val="6315416A"/>
    <w:rsid w:val="6BD46244"/>
    <w:rsid w:val="72B353D9"/>
    <w:rsid w:val="77D575CC"/>
    <w:rsid w:val="7AB94F83"/>
    <w:rsid w:val="7B424F78"/>
    <w:rsid w:val="7BC57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Hyperlink"/>
    <w:basedOn w:val="16"/>
    <w:semiHidden/>
    <w:unhideWhenUsed/>
    <w:qFormat/>
    <w:uiPriority w:val="99"/>
    <w:rPr>
      <w:color w:val="0000FF"/>
      <w:u w:val="single"/>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szCs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眉 字符"/>
    <w:basedOn w:val="16"/>
    <w:link w:val="12"/>
    <w:qFormat/>
    <w:uiPriority w:val="99"/>
    <w:rPr>
      <w:sz w:val="18"/>
      <w:szCs w:val="18"/>
    </w:rPr>
  </w:style>
  <w:style w:type="character" w:customStyle="1" w:styleId="37">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5540</Words>
  <Characters>6395</Characters>
  <Lines>161</Lines>
  <Paragraphs>45</Paragraphs>
  <TotalTime>62</TotalTime>
  <ScaleCrop>false</ScaleCrop>
  <LinksUpToDate>false</LinksUpToDate>
  <CharactersWithSpaces>6526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2025-09-29T00:56:00Z</dcterms:created>
  <dc:creator>Administrator</dc:creator>
  <cp:lastModifiedBy>巧克力</cp:lastModifiedBy>
  <cp:lastPrinted>2026-06-05T03:13:00Z</cp:lastPrinted>
  <dcterms:modified xsi:type="dcterms:W3CDTF">2026-08-05T05:42:35Z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eyJoZGlkIjoiYzA5MWE4NGUzZjAzNWQ1ZTQ2M2RiOTI5NDlkMzYzNTIiLCJ1c2VySWQiOiIzNDMwMTcwODEifQ==</vt:lpwstr>
  </property>
  <property fmtid="{D5CDD505-2E9C-101B-9397-08002B2CF9AE}" pid="3" name="KSOProductBuildVer">
    <vt:lpwstr>2052-12.1.0.26895</vt:lpwstr>
  </property>
  <property fmtid="{D5CDD505-2E9C-101B-9397-08002B2CF9AE}" pid="4" name="ICV">
    <vt:lpwstr>FB9354C46C5B44FAA4068BF206871257_13</vt:lpwstr>
  </property>
</Properties>
</file>