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2AD8F">
      <w:pPr>
        <w:shd w:val="clear" w:color="auto" w:fill="auto"/>
        <w:spacing w:line="440" w:lineRule="exact"/>
        <w:jc w:val="center"/>
        <w:outlineLvl w:val="0"/>
        <w:rPr>
          <w:rFonts w:hint="eastAsia" w:ascii="仿宋" w:hAnsi="仿宋" w:eastAsia="仿宋" w:cs="仿宋"/>
          <w:color w:val="auto"/>
          <w:kern w:val="0"/>
          <w:sz w:val="24"/>
          <w:szCs w:val="24"/>
          <w:highlight w:val="none"/>
          <w:lang w:val="en-US" w:eastAsia="zh-CN"/>
        </w:rPr>
      </w:pPr>
      <w:bookmarkStart w:id="0" w:name="_Toc23154"/>
      <w:r>
        <w:rPr>
          <w:rFonts w:hint="eastAsia" w:ascii="仿宋" w:hAnsi="仿宋" w:eastAsia="仿宋" w:cs="仿宋"/>
          <w:b/>
          <w:bCs/>
          <w:color w:val="auto"/>
          <w:sz w:val="32"/>
          <w:szCs w:val="32"/>
          <w:highlight w:val="none"/>
          <w:lang w:eastAsia="zh-CN"/>
        </w:rPr>
        <w:t>保靖县农业农村局2026年高素质农民培育项目</w:t>
      </w:r>
      <w:bookmarkStart w:id="52" w:name="_GoBack"/>
      <w:bookmarkEnd w:id="52"/>
      <w:r>
        <w:rPr>
          <w:rFonts w:hint="eastAsia" w:ascii="仿宋" w:hAnsi="仿宋" w:eastAsia="仿宋" w:cs="仿宋"/>
          <w:b/>
          <w:bCs/>
          <w:color w:val="auto"/>
          <w:sz w:val="32"/>
          <w:szCs w:val="32"/>
          <w:highlight w:val="none"/>
        </w:rPr>
        <w:t>采购需求</w:t>
      </w:r>
      <w:bookmarkEnd w:id="0"/>
    </w:p>
    <w:p w14:paraId="6C4410FF">
      <w:pPr>
        <w:rPr>
          <w:rFonts w:hint="eastAsia" w:ascii="Times New Roman" w:hAnsi="Times New Roman" w:eastAsia="宋体" w:cs="Times New Roman"/>
          <w:lang w:val="en-US" w:eastAsia="zh-CN"/>
        </w:rPr>
      </w:pPr>
      <w:bookmarkStart w:id="1" w:name="_Toc288468094"/>
      <w:bookmarkStart w:id="2" w:name="_Toc128884461"/>
    </w:p>
    <w:bookmarkEnd w:id="1"/>
    <w:bookmarkEnd w:id="2"/>
    <w:p w14:paraId="007EF843">
      <w:pPr>
        <w:keepNext/>
        <w:keepLines/>
        <w:pageBreakBefore w:val="0"/>
        <w:widowControl w:val="0"/>
        <w:numPr>
          <w:ilvl w:val="0"/>
          <w:numId w:val="0"/>
        </w:numPr>
        <w:kinsoku/>
        <w:wordWrap/>
        <w:overflowPunct/>
        <w:topLinePunct w:val="0"/>
        <w:autoSpaceDE/>
        <w:autoSpaceDN/>
        <w:bidi w:val="0"/>
        <w:adjustRightInd/>
        <w:snapToGrid/>
        <w:spacing w:line="460" w:lineRule="exact"/>
        <w:ind w:leftChars="0" w:firstLine="482" w:firstLineChars="200"/>
        <w:jc w:val="both"/>
        <w:textAlignment w:val="auto"/>
        <w:outlineLvl w:val="1"/>
        <w:rPr>
          <w:rFonts w:hint="eastAsia" w:ascii="仿宋" w:hAnsi="仿宋" w:eastAsia="仿宋" w:cs="仿宋"/>
          <w:b/>
          <w:bCs/>
          <w:color w:val="0000FF"/>
          <w:kern w:val="2"/>
          <w:sz w:val="24"/>
          <w:szCs w:val="24"/>
          <w:lang w:val="en-US" w:eastAsia="zh-CN" w:bidi="ar-SA"/>
        </w:rPr>
      </w:pPr>
      <w:bookmarkStart w:id="3" w:name="_Toc21252"/>
      <w:r>
        <w:rPr>
          <w:rFonts w:hint="eastAsia" w:ascii="仿宋" w:hAnsi="仿宋" w:eastAsia="仿宋" w:cs="仿宋"/>
          <w:b/>
          <w:bCs/>
          <w:color w:val="auto"/>
          <w:kern w:val="2"/>
          <w:sz w:val="24"/>
          <w:szCs w:val="24"/>
          <w:lang w:val="en-US" w:eastAsia="zh-CN" w:bidi="ar-SA"/>
        </w:rPr>
        <w:t>一、采购清单一览表</w:t>
      </w:r>
      <w:bookmarkEnd w:id="3"/>
    </w:p>
    <w:tbl>
      <w:tblPr>
        <w:tblStyle w:val="2"/>
        <w:tblW w:w="892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3"/>
        <w:gridCol w:w="1195"/>
        <w:gridCol w:w="2509"/>
        <w:gridCol w:w="866"/>
        <w:gridCol w:w="3620"/>
      </w:tblGrid>
      <w:tr w14:paraId="068CC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733" w:type="dxa"/>
            <w:noWrap w:val="0"/>
            <w:vAlign w:val="center"/>
          </w:tcPr>
          <w:p w14:paraId="433CE410">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包号</w:t>
            </w:r>
          </w:p>
        </w:tc>
        <w:tc>
          <w:tcPr>
            <w:tcW w:w="1195" w:type="dxa"/>
            <w:noWrap w:val="0"/>
            <w:vAlign w:val="center"/>
          </w:tcPr>
          <w:p w14:paraId="1A50799D">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包名称</w:t>
            </w:r>
          </w:p>
        </w:tc>
        <w:tc>
          <w:tcPr>
            <w:tcW w:w="2509" w:type="dxa"/>
            <w:noWrap w:val="0"/>
            <w:vAlign w:val="center"/>
          </w:tcPr>
          <w:p w14:paraId="519637DF">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项目内容</w:t>
            </w:r>
          </w:p>
        </w:tc>
        <w:tc>
          <w:tcPr>
            <w:tcW w:w="866" w:type="dxa"/>
            <w:tcBorders>
              <w:left w:val="single" w:color="auto" w:sz="4" w:space="0"/>
            </w:tcBorders>
            <w:noWrap w:val="0"/>
            <w:vAlign w:val="center"/>
          </w:tcPr>
          <w:p w14:paraId="11D7C8D4">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数量</w:t>
            </w:r>
          </w:p>
          <w:p w14:paraId="1CCEFE1E">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（人）</w:t>
            </w:r>
          </w:p>
        </w:tc>
        <w:tc>
          <w:tcPr>
            <w:tcW w:w="3620" w:type="dxa"/>
            <w:tcBorders>
              <w:left w:val="single" w:color="auto" w:sz="4" w:space="0"/>
            </w:tcBorders>
            <w:noWrap w:val="0"/>
            <w:vAlign w:val="center"/>
          </w:tcPr>
          <w:p w14:paraId="74FDAF33">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培训课时</w:t>
            </w:r>
          </w:p>
        </w:tc>
      </w:tr>
      <w:tr w14:paraId="59B3D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733" w:type="dxa"/>
            <w:vMerge w:val="restart"/>
            <w:noWrap w:val="0"/>
            <w:vAlign w:val="center"/>
          </w:tcPr>
          <w:p w14:paraId="50E0268B">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包1</w:t>
            </w:r>
          </w:p>
        </w:tc>
        <w:tc>
          <w:tcPr>
            <w:tcW w:w="1195" w:type="dxa"/>
            <w:vMerge w:val="restart"/>
            <w:noWrap w:val="0"/>
            <w:vAlign w:val="center"/>
          </w:tcPr>
          <w:p w14:paraId="07748D08">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常规班</w:t>
            </w:r>
          </w:p>
        </w:tc>
        <w:tc>
          <w:tcPr>
            <w:tcW w:w="2509" w:type="dxa"/>
            <w:noWrap w:val="0"/>
            <w:vAlign w:val="center"/>
          </w:tcPr>
          <w:p w14:paraId="29158967">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蔬菜生产经营培训班</w:t>
            </w:r>
          </w:p>
        </w:tc>
        <w:tc>
          <w:tcPr>
            <w:tcW w:w="866" w:type="dxa"/>
            <w:tcBorders>
              <w:left w:val="single" w:color="auto" w:sz="4" w:space="0"/>
            </w:tcBorders>
            <w:noWrap w:val="0"/>
            <w:vAlign w:val="center"/>
          </w:tcPr>
          <w:p w14:paraId="3808DC38">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50人</w:t>
            </w:r>
          </w:p>
        </w:tc>
        <w:tc>
          <w:tcPr>
            <w:tcW w:w="3620" w:type="dxa"/>
            <w:tcBorders>
              <w:left w:val="single" w:color="auto" w:sz="4" w:space="0"/>
            </w:tcBorders>
            <w:noWrap w:val="0"/>
            <w:vAlign w:val="center"/>
          </w:tcPr>
          <w:p w14:paraId="48521B60">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统一基础公共课程16学时；</w:t>
            </w:r>
          </w:p>
          <w:p w14:paraId="4AC96C39">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专业课程总学时56学时，线上8学时、线下48学时。</w:t>
            </w:r>
          </w:p>
        </w:tc>
      </w:tr>
      <w:tr w14:paraId="65386F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33" w:type="dxa"/>
            <w:vMerge w:val="continue"/>
            <w:noWrap w:val="0"/>
            <w:vAlign w:val="center"/>
          </w:tcPr>
          <w:p w14:paraId="4E36531E">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p>
        </w:tc>
        <w:tc>
          <w:tcPr>
            <w:tcW w:w="1195" w:type="dxa"/>
            <w:vMerge w:val="continue"/>
            <w:noWrap w:val="0"/>
            <w:vAlign w:val="center"/>
          </w:tcPr>
          <w:p w14:paraId="2DF8CBA6">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p>
        </w:tc>
        <w:tc>
          <w:tcPr>
            <w:tcW w:w="2509" w:type="dxa"/>
            <w:noWrap w:val="0"/>
            <w:vAlign w:val="center"/>
          </w:tcPr>
          <w:p w14:paraId="4024AB9F">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保靖黄金茶培管及销售培训班</w:t>
            </w:r>
          </w:p>
        </w:tc>
        <w:tc>
          <w:tcPr>
            <w:tcW w:w="866" w:type="dxa"/>
            <w:tcBorders>
              <w:left w:val="single" w:color="auto" w:sz="4" w:space="0"/>
            </w:tcBorders>
            <w:noWrap w:val="0"/>
            <w:vAlign w:val="center"/>
          </w:tcPr>
          <w:p w14:paraId="6CC9FB63">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50人</w:t>
            </w:r>
          </w:p>
        </w:tc>
        <w:tc>
          <w:tcPr>
            <w:tcW w:w="3620" w:type="dxa"/>
            <w:tcBorders>
              <w:left w:val="single" w:color="auto" w:sz="4" w:space="0"/>
            </w:tcBorders>
            <w:noWrap w:val="0"/>
            <w:vAlign w:val="center"/>
          </w:tcPr>
          <w:p w14:paraId="1A7219CE">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统一基础公共课程16学时；</w:t>
            </w:r>
          </w:p>
          <w:p w14:paraId="5B630A5A">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专业课程总学时112学时，线上17学时、线下95学时。</w:t>
            </w:r>
          </w:p>
        </w:tc>
      </w:tr>
      <w:tr w14:paraId="0EEB1F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733" w:type="dxa"/>
            <w:vMerge w:val="restart"/>
            <w:noWrap w:val="0"/>
            <w:vAlign w:val="center"/>
          </w:tcPr>
          <w:p w14:paraId="04DC72A5">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包2</w:t>
            </w:r>
          </w:p>
        </w:tc>
        <w:tc>
          <w:tcPr>
            <w:tcW w:w="1195" w:type="dxa"/>
            <w:vMerge w:val="restart"/>
            <w:noWrap w:val="0"/>
            <w:vAlign w:val="center"/>
          </w:tcPr>
          <w:p w14:paraId="0562D857">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常规班</w:t>
            </w:r>
            <w:r>
              <w:rPr>
                <w:rFonts w:hint="eastAsia" w:ascii="仿宋" w:hAnsi="仿宋" w:eastAsia="仿宋" w:cs="仿宋"/>
                <w:color w:val="auto"/>
                <w:kern w:val="0"/>
                <w:sz w:val="24"/>
                <w:szCs w:val="24"/>
                <w:highlight w:val="none"/>
                <w:lang w:val="en-US" w:eastAsia="zh-CN" w:bidi="ar-SA"/>
              </w:rPr>
              <w:t>及专题班</w:t>
            </w:r>
          </w:p>
        </w:tc>
        <w:tc>
          <w:tcPr>
            <w:tcW w:w="2509" w:type="dxa"/>
            <w:noWrap w:val="0"/>
            <w:vAlign w:val="center"/>
          </w:tcPr>
          <w:p w14:paraId="1CD7019C">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玉米种植经营培训班</w:t>
            </w:r>
          </w:p>
        </w:tc>
        <w:tc>
          <w:tcPr>
            <w:tcW w:w="866" w:type="dxa"/>
            <w:tcBorders>
              <w:left w:val="single" w:color="auto" w:sz="4" w:space="0"/>
            </w:tcBorders>
            <w:noWrap w:val="0"/>
            <w:vAlign w:val="center"/>
          </w:tcPr>
          <w:p w14:paraId="5F984ED6">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50人</w:t>
            </w:r>
          </w:p>
        </w:tc>
        <w:tc>
          <w:tcPr>
            <w:tcW w:w="3620" w:type="dxa"/>
            <w:tcBorders>
              <w:left w:val="single" w:color="auto" w:sz="4" w:space="0"/>
            </w:tcBorders>
            <w:noWrap w:val="0"/>
            <w:vAlign w:val="center"/>
          </w:tcPr>
          <w:p w14:paraId="22F34EF1">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统一基础公共课程16学时；</w:t>
            </w:r>
          </w:p>
          <w:p w14:paraId="6A0A6910">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专业课程总学时56学时，线上8学时、线下48学时。</w:t>
            </w:r>
          </w:p>
        </w:tc>
      </w:tr>
      <w:tr w14:paraId="0BBF9C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7" w:hRule="atLeast"/>
          <w:jc w:val="center"/>
        </w:trPr>
        <w:tc>
          <w:tcPr>
            <w:tcW w:w="733" w:type="dxa"/>
            <w:vMerge w:val="continue"/>
            <w:noWrap w:val="0"/>
            <w:vAlign w:val="top"/>
          </w:tcPr>
          <w:p w14:paraId="76D1ABFB">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textAlignment w:val="auto"/>
              <w:rPr>
                <w:rFonts w:hint="eastAsia" w:ascii="仿宋" w:hAnsi="仿宋" w:eastAsia="仿宋" w:cs="仿宋"/>
                <w:color w:val="auto"/>
                <w:kern w:val="0"/>
                <w:sz w:val="24"/>
                <w:szCs w:val="24"/>
                <w:highlight w:val="none"/>
                <w:lang w:val="en-US" w:eastAsia="zh-CN"/>
              </w:rPr>
            </w:pPr>
          </w:p>
        </w:tc>
        <w:tc>
          <w:tcPr>
            <w:tcW w:w="1195" w:type="dxa"/>
            <w:vMerge w:val="continue"/>
            <w:noWrap w:val="0"/>
            <w:vAlign w:val="center"/>
          </w:tcPr>
          <w:p w14:paraId="633C9F26">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bidi="ar-SA"/>
              </w:rPr>
            </w:pPr>
          </w:p>
        </w:tc>
        <w:tc>
          <w:tcPr>
            <w:tcW w:w="2509" w:type="dxa"/>
            <w:noWrap w:val="0"/>
            <w:vAlign w:val="center"/>
          </w:tcPr>
          <w:p w14:paraId="675832B2">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数智技术应用专题班</w:t>
            </w:r>
          </w:p>
        </w:tc>
        <w:tc>
          <w:tcPr>
            <w:tcW w:w="866" w:type="dxa"/>
            <w:tcBorders>
              <w:left w:val="single" w:color="auto" w:sz="4" w:space="0"/>
            </w:tcBorders>
            <w:noWrap w:val="0"/>
            <w:vAlign w:val="center"/>
          </w:tcPr>
          <w:p w14:paraId="77796146">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50人</w:t>
            </w:r>
          </w:p>
        </w:tc>
        <w:tc>
          <w:tcPr>
            <w:tcW w:w="3620" w:type="dxa"/>
            <w:tcBorders>
              <w:left w:val="single" w:color="auto" w:sz="4" w:space="0"/>
            </w:tcBorders>
            <w:noWrap w:val="0"/>
            <w:vAlign w:val="center"/>
          </w:tcPr>
          <w:p w14:paraId="2CDDEDD8">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统一基础公共课程16学时；</w:t>
            </w:r>
          </w:p>
          <w:p w14:paraId="5F63BEC1">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0" w:firstLineChars="0"/>
              <w:jc w:val="center"/>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专业课程总学时120学时，线上18学时、线下102学时。</w:t>
            </w:r>
          </w:p>
        </w:tc>
      </w:tr>
    </w:tbl>
    <w:p w14:paraId="44FE3D59">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仿宋" w:hAnsi="仿宋" w:eastAsia="仿宋" w:cs="仿宋"/>
          <w:b/>
          <w:bCs/>
          <w:color w:val="auto"/>
          <w:sz w:val="24"/>
          <w:szCs w:val="24"/>
          <w:lang w:val="en-US" w:eastAsia="zh-CN"/>
        </w:rPr>
      </w:pPr>
      <w:bookmarkStart w:id="4" w:name="_Toc402897600"/>
      <w:r>
        <w:rPr>
          <w:rFonts w:hint="eastAsia" w:ascii="仿宋" w:hAnsi="仿宋" w:eastAsia="仿宋" w:cs="仿宋"/>
          <w:b/>
          <w:bCs/>
          <w:color w:val="auto"/>
          <w:sz w:val="24"/>
          <w:szCs w:val="24"/>
          <w:lang w:val="en-US" w:eastAsia="zh-CN"/>
        </w:rPr>
        <w:t>注：每个投标人只能投标本项目其中1个包，不得同时投标2个包，否则所投包均作无效投标处理（请合理选择）。</w:t>
      </w:r>
      <w:bookmarkEnd w:id="4"/>
      <w:bookmarkStart w:id="5" w:name="_Toc440224942"/>
      <w:bookmarkStart w:id="6" w:name="_Toc523438630"/>
      <w:bookmarkStart w:id="7" w:name="_Toc73617572"/>
      <w:bookmarkStart w:id="8" w:name="_Toc225336550"/>
      <w:bookmarkStart w:id="9" w:name="_Toc521077933"/>
      <w:bookmarkStart w:id="10" w:name="_Toc41478063"/>
    </w:p>
    <w:p w14:paraId="7AAC83F7">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11" w:name="_Toc4873"/>
      <w:r>
        <w:rPr>
          <w:rFonts w:hint="eastAsia" w:ascii="仿宋" w:hAnsi="仿宋" w:eastAsia="仿宋" w:cs="仿宋"/>
          <w:b/>
          <w:bCs/>
          <w:color w:val="auto"/>
          <w:kern w:val="2"/>
          <w:sz w:val="24"/>
          <w:szCs w:val="24"/>
          <w:lang w:val="en-US" w:eastAsia="zh-CN" w:bidi="ar-SA"/>
        </w:rPr>
        <w:t>二、项目背景</w:t>
      </w:r>
      <w:bookmarkEnd w:id="11"/>
    </w:p>
    <w:p w14:paraId="4956AE4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保靖县拥有15.8万亩保靖黄金茶(国家地理标志产品，品牌价值76.43亿元)，高山甜玉米种植3000余亩、高山富硒蔬菜规模化基地覆盖全县12个乡镇，粮油、特色经济作物是群众核心增收产业。当前产业存在标准化种植水平不足、病虫害绿色防控普及率低、农产品加工粗放、数字化生产营销人才短缺等短板。</w:t>
      </w:r>
    </w:p>
    <w:p w14:paraId="51D871F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为落实粮食安全与特色产业提质要求，同步补齐农业数智化人才缺口，2026年分3个产业常规班+1个数智化专题班开展系统化培育，锻造“有文化、懂技术、善经营、会管理”本土新农人队伍。</w:t>
      </w:r>
    </w:p>
    <w:p w14:paraId="4101B9AF">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12" w:name="_Toc28539"/>
      <w:r>
        <w:rPr>
          <w:rFonts w:hint="eastAsia" w:ascii="仿宋" w:hAnsi="仿宋" w:eastAsia="仿宋" w:cs="仿宋"/>
          <w:b/>
          <w:bCs/>
          <w:color w:val="auto"/>
          <w:kern w:val="2"/>
          <w:sz w:val="24"/>
          <w:szCs w:val="24"/>
          <w:lang w:val="en-US" w:eastAsia="zh-CN" w:bidi="ar-SA"/>
        </w:rPr>
        <w:t>三、总体思路</w:t>
      </w:r>
      <w:bookmarkEnd w:id="12"/>
    </w:p>
    <w:p w14:paraId="3FAB741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坚持产业导向、按需施教、全程培育、跟踪服务原则，常规班聚焦玉米、蔬菜、黄金茶全产业链标准化生产；专题班聚焦智慧种植、数字管理、电商直播、溯源系统实操。采用“线上预习+线下集中授课+田间实训+异地观摩+课后跟踪”闭环培育模式，推动新技术落地转化，助力粮食稳产、黄金茶产业升级、农业数字化转型。</w:t>
      </w:r>
    </w:p>
    <w:p w14:paraId="46A81565">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13" w:name="_Toc30614"/>
      <w:r>
        <w:rPr>
          <w:rFonts w:hint="eastAsia" w:ascii="仿宋" w:hAnsi="仿宋" w:eastAsia="仿宋" w:cs="仿宋"/>
          <w:b/>
          <w:bCs/>
          <w:color w:val="auto"/>
          <w:kern w:val="2"/>
          <w:sz w:val="24"/>
          <w:szCs w:val="24"/>
          <w:lang w:val="en-US" w:eastAsia="zh-CN" w:bidi="ar-SA"/>
        </w:rPr>
        <w:t>四、培育目标</w:t>
      </w:r>
      <w:bookmarkEnd w:id="13"/>
    </w:p>
    <w:p w14:paraId="2F8EFC7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yellow"/>
          <w:lang w:val="en-US" w:eastAsia="zh-CN" w:bidi="ar-SA"/>
        </w:rPr>
      </w:pPr>
      <w:r>
        <w:rPr>
          <w:rFonts w:hint="eastAsia" w:ascii="仿宋" w:hAnsi="仿宋" w:eastAsia="仿宋" w:cs="仿宋"/>
          <w:b w:val="0"/>
          <w:bCs w:val="0"/>
          <w:color w:val="auto"/>
          <w:kern w:val="2"/>
          <w:sz w:val="24"/>
          <w:szCs w:val="24"/>
          <w:lang w:val="en-US" w:eastAsia="zh-CN" w:bidi="ar-SA"/>
        </w:rPr>
        <w:t>总量目标：</w:t>
      </w:r>
      <w:r>
        <w:rPr>
          <w:rFonts w:hint="eastAsia" w:ascii="仿宋" w:hAnsi="仿宋" w:eastAsia="仿宋" w:cs="仿宋"/>
          <w:b w:val="0"/>
          <w:bCs w:val="0"/>
          <w:color w:val="auto"/>
          <w:kern w:val="2"/>
          <w:sz w:val="24"/>
          <w:szCs w:val="24"/>
          <w:highlight w:val="none"/>
          <w:lang w:val="en-US" w:eastAsia="zh-CN" w:bidi="ar-SA"/>
        </w:rPr>
        <w:t>全年开设4个培训班，总培育200人。玉米常规班50人、蔬菜常规班50人、茶叶常规班50人、农业数智化应用专题班50人，全部完成线上线下考核并发放高素质农民培训证书。</w:t>
      </w:r>
    </w:p>
    <w:p w14:paraId="201A997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产业提升目标：</w:t>
      </w:r>
    </w:p>
    <w:p w14:paraId="753F479D">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1.粮油：参训玉米种植主体掌握高产良种、水肥一体化、绿色防控技术，亩产提升10%以上；</w:t>
      </w:r>
    </w:p>
    <w:p w14:paraId="03011D33">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2.蔬菜：高山富硒蔬菜标准化栽培、错峰种植、产地初加工技术全覆盖；</w:t>
      </w:r>
    </w:p>
    <w:p w14:paraId="61E1559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3.茶叶：黄金茶生态建园、绿色管护、标准化加工、品牌分级技术全面普及；</w:t>
      </w:r>
    </w:p>
    <w:p w14:paraId="4C1B418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4.数字农业：参训人员熟练使用农业物联网、农技数字平台、短视频直播、农产品溯源系统。</w:t>
      </w:r>
    </w:p>
    <w:p w14:paraId="2B9B8646">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lang w:val="en-US" w:eastAsia="zh-CN" w:bidi="ar-SA"/>
        </w:rPr>
        <w:t>长效目标：建立学员人才库，培育30名村级产业带头人、20名本土电商主播、15名数字</w:t>
      </w:r>
      <w:r>
        <w:rPr>
          <w:rFonts w:hint="eastAsia" w:ascii="仿宋" w:hAnsi="仿宋" w:eastAsia="仿宋" w:cs="仿宋"/>
          <w:b w:val="0"/>
          <w:bCs w:val="0"/>
          <w:color w:val="auto"/>
          <w:kern w:val="2"/>
          <w:sz w:val="24"/>
          <w:szCs w:val="24"/>
          <w:highlight w:val="none"/>
          <w:lang w:val="en-US" w:eastAsia="zh-CN" w:bidi="ar-SA"/>
        </w:rPr>
        <w:t>农业示范带头人，形成“培训一实践一孵化-帮带”长效机制。</w:t>
      </w:r>
    </w:p>
    <w:p w14:paraId="5C0E3C6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5.实施时间与范围</w:t>
      </w:r>
    </w:p>
    <w:p w14:paraId="6FEED0E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实施周期：2026年9月—12月，分批次错峰开班，贴合玉米采收、茶叶夏秋管护、蔬菜秋冬种植农时；</w:t>
      </w:r>
    </w:p>
    <w:p w14:paraId="0192870D">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覆盖范围：全县15个乡镇。</w:t>
      </w:r>
    </w:p>
    <w:p w14:paraId="18C96B6A">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highlight w:val="none"/>
          <w:lang w:val="en-US" w:eastAsia="zh-CN" w:bidi="ar-SA"/>
        </w:rPr>
      </w:pPr>
      <w:bookmarkStart w:id="14" w:name="_Toc28196"/>
      <w:r>
        <w:rPr>
          <w:rFonts w:hint="eastAsia" w:ascii="仿宋" w:hAnsi="仿宋" w:eastAsia="仿宋" w:cs="仿宋"/>
          <w:b/>
          <w:bCs/>
          <w:color w:val="auto"/>
          <w:kern w:val="2"/>
          <w:sz w:val="24"/>
          <w:szCs w:val="24"/>
          <w:highlight w:val="none"/>
          <w:lang w:val="en-US" w:eastAsia="zh-CN" w:bidi="ar-SA"/>
        </w:rPr>
        <w:t>五、承办机构职责</w:t>
      </w:r>
      <w:bookmarkEnd w:id="14"/>
    </w:p>
    <w:p w14:paraId="1C6F4F3D">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课程设计、线上平台管理、理论授课、学员考勤、档案整理、证书发放；提供玉米、蔬菜、茶叶专业农技师资，开放示范基地开展田间实操及与本项目实施有关的其他职责。</w:t>
      </w:r>
    </w:p>
    <w:p w14:paraId="796AD320">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15" w:name="_Toc26697"/>
      <w:r>
        <w:rPr>
          <w:rFonts w:hint="eastAsia" w:ascii="仿宋" w:hAnsi="仿宋" w:eastAsia="仿宋" w:cs="仿宋"/>
          <w:b/>
          <w:bCs/>
          <w:color w:val="auto"/>
          <w:kern w:val="2"/>
          <w:sz w:val="24"/>
          <w:szCs w:val="24"/>
          <w:lang w:val="en-US" w:eastAsia="zh-CN" w:bidi="ar-SA"/>
        </w:rPr>
        <w:t>六、培育对象遴选标准</w:t>
      </w:r>
      <w:bookmarkEnd w:id="15"/>
    </w:p>
    <w:p w14:paraId="016597D8">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16" w:name="_Toc281"/>
      <w:bookmarkStart w:id="17" w:name="_Toc11616"/>
      <w:r>
        <w:rPr>
          <w:rFonts w:hint="eastAsia" w:ascii="仿宋" w:hAnsi="仿宋" w:eastAsia="仿宋" w:cs="仿宋"/>
          <w:b/>
          <w:bCs/>
          <w:color w:val="auto"/>
          <w:kern w:val="2"/>
          <w:sz w:val="24"/>
          <w:szCs w:val="24"/>
          <w:lang w:val="en-US" w:eastAsia="zh-CN" w:bidi="ar-SA"/>
        </w:rPr>
        <w:t>(一)通用准入条件</w:t>
      </w:r>
      <w:bookmarkEnd w:id="16"/>
      <w:bookmarkEnd w:id="17"/>
    </w:p>
    <w:p w14:paraId="453FC01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年龄18—60周岁，长期在保靖从事农业生产经营，身体健康、能全程参与培训；</w:t>
      </w:r>
    </w:p>
    <w:p w14:paraId="260FE3A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优先遴选新型农业经营主体：家庭农场主、种植大户、农民合作社骨干、村集体经济负责人、返乡创业青年、农村党员、监测户/脱贫户产业带头人；</w:t>
      </w:r>
    </w:p>
    <w:p w14:paraId="3D6ACD6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每人每年仅限参加1期培育，无重复参训记录；</w:t>
      </w:r>
    </w:p>
    <w:p w14:paraId="02F919C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学习意愿强，承诺培训后在本村、本区域示范推广所学技术。</w:t>
      </w:r>
    </w:p>
    <w:p w14:paraId="0012343F">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18" w:name="_Toc32477"/>
      <w:bookmarkStart w:id="19" w:name="_Toc23404"/>
      <w:r>
        <w:rPr>
          <w:rFonts w:hint="eastAsia" w:ascii="仿宋" w:hAnsi="仿宋" w:eastAsia="仿宋" w:cs="仿宋"/>
          <w:b/>
          <w:bCs/>
          <w:color w:val="auto"/>
          <w:kern w:val="2"/>
          <w:sz w:val="24"/>
          <w:szCs w:val="24"/>
          <w:lang w:val="en-US" w:eastAsia="zh-CN" w:bidi="ar-SA"/>
        </w:rPr>
        <w:t>(二)分班次专项遴选要求</w:t>
      </w:r>
      <w:bookmarkEnd w:id="18"/>
      <w:bookmarkEnd w:id="19"/>
    </w:p>
    <w:p w14:paraId="3AC96BC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蔬菜生产经营培训班(50人)：富硒蔬菜基地经营者、大棚种植户、蔬菜收购加工主体等；</w:t>
      </w:r>
    </w:p>
    <w:p w14:paraId="5E5F782C">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保靖黄金茶培管及销售培训班(50人)：黄金茶种植2亩以上茶农、茶企车间操作工、村级茶叶管护技术员、古茶园管护人员等；</w:t>
      </w:r>
    </w:p>
    <w:p w14:paraId="0D612BB0">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玉米种植经营培训班(50人：高山甜玉米连片种植10亩以上大户、玉米种植合作社社员、村集体粮油种植负责人等；</w:t>
      </w:r>
    </w:p>
    <w:p w14:paraId="0FCE348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数智技术应用专题班(50人)：农业产业经营主体负责人、村级电商服务站站长、返乡直播创业者、合作社财务管理人员等。</w:t>
      </w:r>
    </w:p>
    <w:p w14:paraId="33CBB263">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20" w:name="_Toc21286"/>
      <w:r>
        <w:rPr>
          <w:rFonts w:hint="eastAsia" w:ascii="仿宋" w:hAnsi="仿宋" w:eastAsia="仿宋" w:cs="仿宋"/>
          <w:b/>
          <w:bCs/>
          <w:color w:val="auto"/>
          <w:kern w:val="2"/>
          <w:sz w:val="24"/>
          <w:szCs w:val="24"/>
          <w:lang w:val="en-US" w:eastAsia="zh-CN" w:bidi="ar-SA"/>
        </w:rPr>
        <w:t>七、班次设置与课程体系</w:t>
      </w:r>
      <w:bookmarkEnd w:id="20"/>
    </w:p>
    <w:p w14:paraId="44E2D28A">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21" w:name="_Toc3047"/>
      <w:bookmarkStart w:id="22" w:name="_Toc15101"/>
      <w:r>
        <w:rPr>
          <w:rFonts w:hint="eastAsia" w:ascii="仿宋" w:hAnsi="仿宋" w:eastAsia="仿宋" w:cs="仿宋"/>
          <w:b/>
          <w:bCs/>
          <w:color w:val="auto"/>
          <w:kern w:val="2"/>
          <w:sz w:val="24"/>
          <w:szCs w:val="24"/>
          <w:lang w:val="en-US" w:eastAsia="zh-CN" w:bidi="ar-SA"/>
        </w:rPr>
        <w:t>(一)统一基础公共课程(所有班次必修，16学时)</w:t>
      </w:r>
      <w:bookmarkEnd w:id="21"/>
      <w:bookmarkEnd w:id="22"/>
    </w:p>
    <w:p w14:paraId="4F582C7D">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政策法规：粮食安全、耕地保护、农产品质量安全法、防止返贫产业扶持政策、高素质农民扶持政策；</w:t>
      </w:r>
    </w:p>
    <w:p w14:paraId="1877155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综合素养：乡村治理、文明乡风、农业安全生产、农村金融与农业保险、绿色低碳农业；</w:t>
      </w:r>
    </w:p>
    <w:p w14:paraId="06D96DFC">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通用技能：中国农技推广APP实操、农产品品牌基础、农产品包装分级、农业废弃物资源化利用。</w:t>
      </w:r>
    </w:p>
    <w:p w14:paraId="5249E83E">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0000FF"/>
          <w:kern w:val="2"/>
          <w:sz w:val="24"/>
          <w:szCs w:val="24"/>
          <w:lang w:val="en-US" w:eastAsia="zh-CN" w:bidi="ar-SA"/>
        </w:rPr>
      </w:pPr>
      <w:bookmarkStart w:id="23" w:name="_Toc11539"/>
      <w:bookmarkStart w:id="24" w:name="_Toc20533"/>
      <w:r>
        <w:rPr>
          <w:rFonts w:hint="eastAsia" w:ascii="仿宋" w:hAnsi="仿宋" w:eastAsia="仿宋" w:cs="仿宋"/>
          <w:b/>
          <w:bCs/>
          <w:color w:val="auto"/>
          <w:kern w:val="2"/>
          <w:sz w:val="24"/>
          <w:szCs w:val="24"/>
          <w:lang w:val="en-US" w:eastAsia="zh-CN" w:bidi="ar-SA"/>
        </w:rPr>
        <w:t>(二)常规班专业课程(蔬菜生产经营班和玉米种植经营班总学时56学时，线上8学时、线下48学时；保靖黄金茶培管及销售班总学时112学时，线上17学时，线下95学时)</w:t>
      </w:r>
      <w:bookmarkEnd w:id="23"/>
      <w:bookmarkEnd w:id="24"/>
    </w:p>
    <w:p w14:paraId="37812554">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1.蔬菜生产经营培训班</w:t>
      </w:r>
    </w:p>
    <w:p w14:paraId="7DBB8F7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线下实操核心内容：</w:t>
      </w:r>
    </w:p>
    <w:p w14:paraId="40A1C160">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(1)湘西高山富硒蔬菜品种搭配、错峰种植、轮作休耕模式；</w:t>
      </w:r>
    </w:p>
    <w:p w14:paraId="16BF7D8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(2)大棚蔬菜温控、滴灌系统搭建、土壤酸化改良；</w:t>
      </w:r>
    </w:p>
    <w:p w14:paraId="21FD085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(3)蔬菜病虫害物理防治、防虫网、杀虫灯应用；</w:t>
      </w:r>
    </w:p>
    <w:p w14:paraId="7363349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(4)蔬菜分拣、保鲜包装、净菜加工技术；</w:t>
      </w:r>
    </w:p>
    <w:p w14:paraId="4CAADE6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(5)蔬菜基地种养循环、粪污还田利用。</w:t>
      </w:r>
    </w:p>
    <w:p w14:paraId="72BF633B">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2.保靖黄金茶培管及销售培训班</w:t>
      </w:r>
    </w:p>
    <w:p w14:paraId="1A4F9203">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线下实操核心内容：</w:t>
      </w:r>
    </w:p>
    <w:p w14:paraId="3ECBC2F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(1)聚焦乡村产业带头人，分区域、分品类开展重要农产品生产经营主体能力提升。</w:t>
      </w:r>
    </w:p>
    <w:p w14:paraId="5CFD85EF">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(2)围绕茶叶优良品种选育、山地生态高效栽培、林下复合种养、绿色病虫害综合防控、茶园有机肥替代、土壤生态改良、茶园绿色管护等前端种植技术；</w:t>
      </w:r>
    </w:p>
    <w:p w14:paraId="49EAEE4F">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(3)开展茶叶标准化采摘、清洁化初加工、分级筛选、储藏保鲜、包装预加工、农残快速检测等全产业链标准化管理实操培训；</w:t>
      </w:r>
    </w:p>
    <w:p w14:paraId="7BB4C75F">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面向茶叶种植大户、茶企、茶叶专业合作社、家庭农场等各类新型农业经营主体，系统强化涉农法律法规、乡村产业扶持政策、农产品安全底线红线、农业从业者职业道德、茶叶行业生产标准、绿色低碳生产、保靖黄金茶区域公共品牌培育与单品品牌打造、茶叶市场运营等相关内容培训，黄金茶杀青、揉捻、干燥全套标准化加工实操；</w:t>
      </w:r>
    </w:p>
    <w:p w14:paraId="77A365B3">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(5)古茶园保护、茶旅融合经营、地理标志使用规范；</w:t>
      </w:r>
    </w:p>
    <w:p w14:paraId="15F182A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(6)实训：吕洞山镇黄金村万亩茶园、标准化茶叶加工厂现场教学。</w:t>
      </w:r>
    </w:p>
    <w:p w14:paraId="1749ADB7">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3.玉米种植经营培训班</w:t>
      </w:r>
    </w:p>
    <w:p w14:paraId="34E3755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线下实操核心内容：</w:t>
      </w:r>
    </w:p>
    <w:p w14:paraId="2590BCB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(1)高山甜玉米优质良种筛选、育苗移栽、密植标准化栽培；</w:t>
      </w:r>
    </w:p>
    <w:p w14:paraId="0A06B11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(2)“六增两控”、测土配方施肥、水肥一体化节水技术；</w:t>
      </w:r>
    </w:p>
    <w:p w14:paraId="13D382A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(3)玉米草地贪夜蛾、纹枯病绿色防控、生物农药应用；</w:t>
      </w:r>
    </w:p>
    <w:p w14:paraId="650AFDB8">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(4)玉米防灾减灾(伏旱、洪涝、低温)田间管理；</w:t>
      </w:r>
    </w:p>
    <w:p w14:paraId="7CF2366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(5)甜玉米标准化采收、冷链保鲜、初加工、订单产销模式；</w:t>
      </w:r>
    </w:p>
    <w:p w14:paraId="4A72FEA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(6)田间实训：玉米示范基地现场教学、农机实操。</w:t>
      </w:r>
    </w:p>
    <w:p w14:paraId="72B4561D">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25" w:name="_Toc3213"/>
      <w:bookmarkStart w:id="26" w:name="_Toc4851"/>
      <w:r>
        <w:rPr>
          <w:rFonts w:hint="eastAsia" w:ascii="仿宋" w:hAnsi="仿宋" w:eastAsia="仿宋" w:cs="仿宋"/>
          <w:b/>
          <w:bCs/>
          <w:color w:val="auto"/>
          <w:kern w:val="2"/>
          <w:sz w:val="24"/>
          <w:szCs w:val="24"/>
          <w:lang w:val="en-US" w:eastAsia="zh-CN" w:bidi="ar-SA"/>
        </w:rPr>
        <w:t>(三)数智技术应用专题班专业课程(总学时120学时，线上18学时、线下102学时)</w:t>
      </w:r>
      <w:bookmarkEnd w:id="25"/>
      <w:bookmarkEnd w:id="26"/>
    </w:p>
    <w:p w14:paraId="4CE3939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聚焦保靖玉米、蔬菜、茶叶数字化转型，全部课程以实操为主：</w:t>
      </w:r>
    </w:p>
    <w:p w14:paraId="3A9185CC">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智慧种植模块：物联网水肥一体机、病虫害智能监测设备操作、无人机植保实操；</w:t>
      </w:r>
    </w:p>
    <w:p w14:paraId="1BC7AE1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产业数字管理：保靖黄金茶数字化溯源系统、茶园大数据平台录入、农田数据采集分析；</w:t>
      </w:r>
    </w:p>
    <w:p w14:paraId="4CAE01C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数字经营营销：短视频拍摄剪辑、抖音/视频号农产品直播带货、拼多多社区电商运营；</w:t>
      </w:r>
    </w:p>
    <w:p w14:paraId="6019A38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数字化管理工具：农业电子台账、云端财务系统、线上订单与供应链管理；</w:t>
      </w:r>
    </w:p>
    <w:p w14:paraId="04460BD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观摩教学：县域智慧茶园、数字蔬菜大棚、农产品电商直播基地实地演练。</w:t>
      </w:r>
    </w:p>
    <w:p w14:paraId="199C2DEF">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27" w:name="_Toc15986"/>
      <w:bookmarkStart w:id="28" w:name="_Toc16922"/>
      <w:r>
        <w:rPr>
          <w:rFonts w:hint="eastAsia" w:ascii="仿宋" w:hAnsi="仿宋" w:eastAsia="仿宋" w:cs="仿宋"/>
          <w:b/>
          <w:bCs/>
          <w:color w:val="auto"/>
          <w:kern w:val="2"/>
          <w:sz w:val="24"/>
          <w:szCs w:val="24"/>
          <w:lang w:val="en-US" w:eastAsia="zh-CN" w:bidi="ar-SA"/>
        </w:rPr>
        <w:t>(四)教学模式</w:t>
      </w:r>
      <w:bookmarkEnd w:id="27"/>
      <w:bookmarkEnd w:id="28"/>
    </w:p>
    <w:p w14:paraId="559A81D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线上学习：依托全国农科教云平台，完成理论预习、课后巩固，线上学时纳入考核；</w:t>
      </w:r>
    </w:p>
    <w:p w14:paraId="631F2FE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集中面授：聘请省州相关专家、高级农艺师、电商导师、本土非遗制茶师授课；</w:t>
      </w:r>
    </w:p>
    <w:p w14:paraId="7731E47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田间课堂：在玉米基地、茶园、蔬菜大棚开展现场实操教学，手把手示范；</w:t>
      </w:r>
    </w:p>
    <w:p w14:paraId="56A3293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异地观摩：组织学员赴数字农业示范园、茶叶龙头企业、智慧种植基地研学；</w:t>
      </w:r>
    </w:p>
    <w:p w14:paraId="7E002F6F">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分组研讨：产业难点交流、经营案例分享、学员结对互帮 互学。</w:t>
      </w:r>
    </w:p>
    <w:p w14:paraId="648BE3A6">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29" w:name="_Toc4804"/>
      <w:r>
        <w:rPr>
          <w:rFonts w:hint="eastAsia" w:ascii="仿宋" w:hAnsi="仿宋" w:eastAsia="仿宋" w:cs="仿宋"/>
          <w:b/>
          <w:bCs/>
          <w:color w:val="auto"/>
          <w:kern w:val="2"/>
          <w:sz w:val="24"/>
          <w:szCs w:val="24"/>
          <w:lang w:val="en-US" w:eastAsia="zh-CN" w:bidi="ar-SA"/>
        </w:rPr>
        <w:t>八、培育实施流程</w:t>
      </w:r>
      <w:bookmarkEnd w:id="29"/>
    </w:p>
    <w:p w14:paraId="2FB8FD1F">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30" w:name="_Toc17686"/>
      <w:bookmarkStart w:id="31" w:name="_Toc29240"/>
      <w:r>
        <w:rPr>
          <w:rFonts w:hint="eastAsia" w:ascii="仿宋" w:hAnsi="仿宋" w:eastAsia="仿宋" w:cs="仿宋"/>
          <w:b/>
          <w:bCs/>
          <w:color w:val="auto"/>
          <w:kern w:val="2"/>
          <w:sz w:val="24"/>
          <w:szCs w:val="24"/>
          <w:lang w:val="en-US" w:eastAsia="zh-CN" w:bidi="ar-SA"/>
        </w:rPr>
        <w:t>(一)筹备阶段</w:t>
      </w:r>
      <w:bookmarkEnd w:id="30"/>
      <w:bookmarkEnd w:id="31"/>
    </w:p>
    <w:p w14:paraId="2662DA3F">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发布培育公告，完成学员报名、筛选、公示；</w:t>
      </w:r>
    </w:p>
    <w:p w14:paraId="4B4BE9CC">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遴选师资，对接实训基地、电商直播间、加工车间；</w:t>
      </w:r>
    </w:p>
    <w:p w14:paraId="0E1E896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编制分班次专属教材、实训手册、线上学习题库；</w:t>
      </w:r>
    </w:p>
    <w:p w14:paraId="0DA8436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落实培训场地、食宿、实训物资、学习资料、物化补助。</w:t>
      </w:r>
    </w:p>
    <w:p w14:paraId="73DB0E1C">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32" w:name="_Toc27291"/>
      <w:bookmarkStart w:id="33" w:name="_Toc17695"/>
      <w:r>
        <w:rPr>
          <w:rFonts w:hint="eastAsia" w:ascii="仿宋" w:hAnsi="仿宋" w:eastAsia="仿宋" w:cs="仿宋"/>
          <w:b/>
          <w:bCs/>
          <w:color w:val="auto"/>
          <w:kern w:val="2"/>
          <w:sz w:val="24"/>
          <w:szCs w:val="24"/>
          <w:lang w:val="en-US" w:eastAsia="zh-CN" w:bidi="ar-SA"/>
        </w:rPr>
        <w:t>(二)集中培育阶段</w:t>
      </w:r>
      <w:bookmarkEnd w:id="32"/>
      <w:bookmarkEnd w:id="33"/>
    </w:p>
    <w:p w14:paraId="73BE1A3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每班连续线下集中培训10天，穿插线上自主学习，流程：</w:t>
      </w:r>
    </w:p>
    <w:p w14:paraId="0DC896D6">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开班仪式(政策解读、教学安排)→公共基础课→专业理论授课→田间/车间实操→异地观摩研讨→阶段性考核。</w:t>
      </w:r>
    </w:p>
    <w:p w14:paraId="691778DF">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34" w:name="_Toc13367"/>
      <w:bookmarkStart w:id="35" w:name="_Toc31041"/>
      <w:r>
        <w:rPr>
          <w:rFonts w:hint="eastAsia" w:ascii="仿宋" w:hAnsi="仿宋" w:eastAsia="仿宋" w:cs="仿宋"/>
          <w:b/>
          <w:bCs/>
          <w:color w:val="auto"/>
          <w:kern w:val="2"/>
          <w:sz w:val="24"/>
          <w:szCs w:val="24"/>
          <w:lang w:val="en-US" w:eastAsia="zh-CN" w:bidi="ar-SA"/>
        </w:rPr>
        <w:t>(三)考核结业阶段</w:t>
      </w:r>
      <w:bookmarkEnd w:id="34"/>
      <w:bookmarkEnd w:id="35"/>
    </w:p>
    <w:p w14:paraId="3E3E8AA9">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综合考核：线上学时达标(100%完成)、线下考勤不缺课、理论笔试、现场实操测评、学习心得；</w:t>
      </w:r>
    </w:p>
    <w:p w14:paraId="41C3FCB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考核合格学员统一发放《高素质农民培训证书》,录入全国高素质农民信息管理系统；</w:t>
      </w:r>
    </w:p>
    <w:p w14:paraId="0A51117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建立学员档案(报名表、考勤记录、试卷、实训照片、考核表、证书复印件),一式两份归档。</w:t>
      </w:r>
    </w:p>
    <w:p w14:paraId="587F9622">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36" w:name="_Toc15560"/>
      <w:bookmarkStart w:id="37" w:name="_Toc6351"/>
      <w:r>
        <w:rPr>
          <w:rFonts w:hint="eastAsia" w:ascii="仿宋" w:hAnsi="仿宋" w:eastAsia="仿宋" w:cs="仿宋"/>
          <w:b/>
          <w:bCs/>
          <w:color w:val="auto"/>
          <w:kern w:val="2"/>
          <w:sz w:val="24"/>
          <w:szCs w:val="24"/>
          <w:lang w:val="en-US" w:eastAsia="zh-CN" w:bidi="ar-SA"/>
        </w:rPr>
        <w:t>(四)跟踪服务阶段</w:t>
      </w:r>
      <w:bookmarkEnd w:id="36"/>
      <w:bookmarkEnd w:id="37"/>
    </w:p>
    <w:p w14:paraId="02474EA6">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建立学员微信交流群，农技专家线上常态化答疑；</w:t>
      </w:r>
    </w:p>
    <w:p w14:paraId="202DCA9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乡镇农技员每季度入户走访，指导技术落地；</w:t>
      </w:r>
    </w:p>
    <w:p w14:paraId="18E4E68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优先推荐学员申报家庭农场、合作社示范项目、产业贴息贷款；</w:t>
      </w:r>
    </w:p>
    <w:p w14:paraId="2E0B67C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择优推荐优秀学员参加省、州农民技能大赛、创业评选。</w:t>
      </w:r>
    </w:p>
    <w:p w14:paraId="4797C2C0">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38" w:name="_Toc30522"/>
      <w:r>
        <w:rPr>
          <w:rFonts w:hint="eastAsia" w:ascii="仿宋" w:hAnsi="仿宋" w:eastAsia="仿宋" w:cs="仿宋"/>
          <w:b/>
          <w:bCs/>
          <w:color w:val="auto"/>
          <w:kern w:val="2"/>
          <w:sz w:val="24"/>
          <w:szCs w:val="24"/>
          <w:lang w:val="en-US" w:eastAsia="zh-CN" w:bidi="ar-SA"/>
        </w:rPr>
        <w:t>九、质量管控措施</w:t>
      </w:r>
      <w:bookmarkEnd w:id="38"/>
    </w:p>
    <w:p w14:paraId="27A1D02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考勤管理：线下严格实行全程签到，缺课超过1天取消结业资格；线上平台自动记录学习时长，学时不足不予考核；</w:t>
      </w:r>
    </w:p>
    <w:p w14:paraId="6D6471EE">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过程监管：县农业农村局安排专人驻班督查，随机抽查课堂、实训现场，留存视频、照片台账；</w:t>
      </w:r>
    </w:p>
    <w:p w14:paraId="407B37DC">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师资管控：建立师资评价机制，学员满意度低于80%更换授课教师；</w:t>
      </w:r>
    </w:p>
    <w:p w14:paraId="5410DEA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台账闭环：一人一档、一班一卷，培训全过程影像、文字资料完整留存，保存期限不少于5年；</w:t>
      </w:r>
    </w:p>
    <w:p w14:paraId="3853794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成效回访：培训结束6个月内回访两次，回访学员比例不少于60%,统计技术应用、增产增收成效，形成评估报告。</w:t>
      </w:r>
    </w:p>
    <w:p w14:paraId="125C398B">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39" w:name="_Toc2667"/>
      <w:r>
        <w:rPr>
          <w:rFonts w:hint="eastAsia" w:ascii="仿宋" w:hAnsi="仿宋" w:eastAsia="仿宋" w:cs="仿宋"/>
          <w:b/>
          <w:bCs/>
          <w:color w:val="auto"/>
          <w:kern w:val="2"/>
          <w:sz w:val="24"/>
          <w:szCs w:val="24"/>
          <w:lang w:val="en-US" w:eastAsia="zh-CN" w:bidi="ar-SA"/>
        </w:rPr>
        <w:t>十、保障措施</w:t>
      </w:r>
      <w:bookmarkEnd w:id="39"/>
    </w:p>
    <w:p w14:paraId="1893C6ED">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40" w:name="_Toc3186"/>
      <w:bookmarkStart w:id="41" w:name="_Toc21951"/>
      <w:r>
        <w:rPr>
          <w:rFonts w:hint="eastAsia" w:ascii="仿宋" w:hAnsi="仿宋" w:eastAsia="仿宋" w:cs="仿宋"/>
          <w:b/>
          <w:bCs/>
          <w:color w:val="auto"/>
          <w:kern w:val="2"/>
          <w:sz w:val="24"/>
          <w:szCs w:val="24"/>
          <w:lang w:val="en-US" w:eastAsia="zh-CN" w:bidi="ar-SA"/>
        </w:rPr>
        <w:t>(一)师资保障</w:t>
      </w:r>
      <w:bookmarkEnd w:id="40"/>
      <w:bookmarkEnd w:id="41"/>
    </w:p>
    <w:p w14:paraId="54548B64">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构建“三级师资库”：行业专家(理论)、县高级农艺师(本土技术)、本土田秀才/制茶非遗传承人/电商主播(实操),保障教学贴合保靖产业实际。</w:t>
      </w:r>
    </w:p>
    <w:p w14:paraId="113CB261">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42" w:name="_Toc2871"/>
      <w:bookmarkStart w:id="43" w:name="_Toc2555"/>
      <w:r>
        <w:rPr>
          <w:rFonts w:hint="eastAsia" w:ascii="仿宋" w:hAnsi="仿宋" w:eastAsia="仿宋" w:cs="仿宋"/>
          <w:b/>
          <w:bCs/>
          <w:color w:val="auto"/>
          <w:kern w:val="2"/>
          <w:sz w:val="24"/>
          <w:szCs w:val="24"/>
          <w:lang w:val="en-US" w:eastAsia="zh-CN" w:bidi="ar-SA"/>
        </w:rPr>
        <w:t>(二)基地保障</w:t>
      </w:r>
      <w:bookmarkEnd w:id="42"/>
      <w:bookmarkEnd w:id="43"/>
    </w:p>
    <w:p w14:paraId="31F38F6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固定4类实训载体：</w:t>
      </w:r>
    </w:p>
    <w:p w14:paraId="63C3128B">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玉米实训基地：农业高山玉米基地；</w:t>
      </w:r>
    </w:p>
    <w:p w14:paraId="668FD13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茶叶实训基地：黄金茶标准化茶园、茶叶加工企业；</w:t>
      </w:r>
    </w:p>
    <w:p w14:paraId="163936F6">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蔬菜实训基地：富硒蔬菜大棚示范园和纳入实训基地的知名相关企业；</w:t>
      </w:r>
    </w:p>
    <w:p w14:paraId="166C3460">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数字农业实训基地：纳入实训基地的智慧茶园物联网示范点、农产品电商直播中心。</w:t>
      </w:r>
    </w:p>
    <w:p w14:paraId="56E0A3AA">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1"/>
        <w:rPr>
          <w:rFonts w:hint="eastAsia" w:ascii="仿宋" w:hAnsi="仿宋" w:eastAsia="仿宋" w:cs="仿宋"/>
          <w:b/>
          <w:bCs/>
          <w:color w:val="auto"/>
          <w:kern w:val="2"/>
          <w:sz w:val="24"/>
          <w:szCs w:val="24"/>
          <w:lang w:val="en-US" w:eastAsia="zh-CN" w:bidi="ar-SA"/>
        </w:rPr>
      </w:pPr>
      <w:bookmarkStart w:id="44" w:name="_Toc9011"/>
      <w:r>
        <w:rPr>
          <w:rFonts w:hint="eastAsia" w:ascii="仿宋" w:hAnsi="仿宋" w:eastAsia="仿宋" w:cs="仿宋"/>
          <w:b/>
          <w:bCs/>
          <w:color w:val="auto"/>
          <w:kern w:val="2"/>
          <w:sz w:val="24"/>
          <w:szCs w:val="24"/>
          <w:lang w:val="en-US" w:eastAsia="zh-CN" w:bidi="ar-SA"/>
        </w:rPr>
        <w:t>十一、工作验收与绩效评价</w:t>
      </w:r>
      <w:bookmarkEnd w:id="44"/>
    </w:p>
    <w:p w14:paraId="3C4EBAEA">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县农业农村局联合财政局等相关单位开展项目自验收，核对学员档案、资金台账、培训影像、回访记录，形成验收报告。</w:t>
      </w:r>
    </w:p>
    <w:p w14:paraId="6BA9BAAB">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45" w:name="_Toc3077"/>
      <w:bookmarkStart w:id="46" w:name="_Toc13179"/>
      <w:r>
        <w:rPr>
          <w:rFonts w:hint="eastAsia" w:ascii="仿宋" w:hAnsi="仿宋" w:eastAsia="仿宋" w:cs="仿宋"/>
          <w:b/>
          <w:bCs/>
          <w:color w:val="auto"/>
          <w:kern w:val="2"/>
          <w:sz w:val="24"/>
          <w:szCs w:val="24"/>
          <w:lang w:val="en-US" w:eastAsia="zh-CN" w:bidi="ar-SA"/>
        </w:rPr>
        <w:t>（一）实施及验收依据</w:t>
      </w:r>
      <w:bookmarkEnd w:id="45"/>
      <w:bookmarkEnd w:id="46"/>
    </w:p>
    <w:p w14:paraId="74D0D9E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《农业农村部办公厅关于做好2026年高素质农民培育工作的通知》(农办社〔2026〕4号)；</w:t>
      </w:r>
    </w:p>
    <w:p w14:paraId="01F05430">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《湖南省2026年高素质农民培育工作实施方案》(湘农发〔2026〕22号)；</w:t>
      </w:r>
    </w:p>
    <w:p w14:paraId="5D6FCFB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湘西州农业农村局2026年农民教育培训工作部署；</w:t>
      </w:r>
    </w:p>
    <w:p w14:paraId="172BE4A2">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保靖县2026年高素质农民培育实施方案；</w:t>
      </w:r>
    </w:p>
    <w:p w14:paraId="40AED67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保靖县黄金茶、高山甜玉米、高山蔬菜主导产业发展规划、数字乡村建设实施方案；</w:t>
      </w:r>
    </w:p>
    <w:p w14:paraId="314EE491">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《高素质农民培育项目管理工作规程(试行)》《高素质农民培育规范(修订)》。</w:t>
      </w:r>
    </w:p>
    <w:p w14:paraId="2CD66AD3">
      <w:pPr>
        <w:pageBreakBefore w:val="0"/>
        <w:widowControl w:val="0"/>
        <w:kinsoku/>
        <w:wordWrap/>
        <w:overflowPunct/>
        <w:topLinePunct w:val="0"/>
        <w:autoSpaceDE/>
        <w:autoSpaceDN/>
        <w:bidi w:val="0"/>
        <w:adjustRightInd/>
        <w:snapToGrid/>
        <w:spacing w:line="460" w:lineRule="exact"/>
        <w:ind w:firstLine="482" w:firstLineChars="200"/>
        <w:textAlignment w:val="auto"/>
        <w:outlineLvl w:val="2"/>
        <w:rPr>
          <w:rFonts w:hint="eastAsia" w:ascii="仿宋" w:hAnsi="仿宋" w:eastAsia="仿宋" w:cs="仿宋"/>
          <w:b/>
          <w:bCs/>
          <w:color w:val="auto"/>
          <w:kern w:val="2"/>
          <w:sz w:val="24"/>
          <w:szCs w:val="24"/>
          <w:lang w:val="en-US" w:eastAsia="zh-CN" w:bidi="ar-SA"/>
        </w:rPr>
      </w:pPr>
      <w:bookmarkStart w:id="47" w:name="_Toc15764"/>
      <w:bookmarkStart w:id="48" w:name="_Toc13904"/>
      <w:r>
        <w:rPr>
          <w:rFonts w:hint="eastAsia" w:ascii="仿宋" w:hAnsi="仿宋" w:eastAsia="仿宋" w:cs="仿宋"/>
          <w:b/>
          <w:bCs/>
          <w:color w:val="auto"/>
          <w:kern w:val="2"/>
          <w:sz w:val="24"/>
          <w:szCs w:val="24"/>
          <w:lang w:val="en-US" w:eastAsia="zh-CN" w:bidi="ar-SA"/>
        </w:rPr>
        <w:t>（二）绩效评价指标</w:t>
      </w:r>
      <w:bookmarkEnd w:id="47"/>
      <w:bookmarkEnd w:id="48"/>
    </w:p>
    <w:p w14:paraId="20984355">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参训完成率、考核合格率、学员满意度、新技术推广面积、学员亩均增收额、数字营销销售额增长、跟踪服务覆盖率。</w:t>
      </w:r>
    </w:p>
    <w:bookmarkEnd w:id="5"/>
    <w:bookmarkEnd w:id="6"/>
    <w:bookmarkEnd w:id="7"/>
    <w:bookmarkEnd w:id="8"/>
    <w:bookmarkEnd w:id="9"/>
    <w:bookmarkEnd w:id="10"/>
    <w:p w14:paraId="00514034">
      <w:pPr>
        <w:keepNext w:val="0"/>
        <w:keepLines w:val="0"/>
        <w:pageBreakBefore w:val="0"/>
        <w:widowControl/>
        <w:suppressLineNumbers w:val="0"/>
        <w:kinsoku/>
        <w:wordWrap/>
        <w:overflowPunct/>
        <w:autoSpaceDE/>
        <w:autoSpaceDN/>
        <w:bidi w:val="0"/>
        <w:spacing w:before="0" w:after="0" w:line="460" w:lineRule="exact"/>
        <w:ind w:firstLine="482" w:firstLineChars="200"/>
        <w:jc w:val="left"/>
        <w:textAlignment w:val="auto"/>
        <w:outlineLvl w:val="1"/>
        <w:rPr>
          <w:rFonts w:hint="eastAsia" w:ascii="仿宋" w:hAnsi="仿宋" w:eastAsia="仿宋" w:cs="仿宋"/>
          <w:b/>
          <w:bCs/>
          <w:color w:val="auto"/>
          <w:kern w:val="2"/>
          <w:sz w:val="24"/>
          <w:szCs w:val="24"/>
          <w:lang w:val="en-US" w:eastAsia="zh-CN" w:bidi="ar-SA"/>
        </w:rPr>
      </w:pPr>
      <w:bookmarkStart w:id="49" w:name="_Toc17056"/>
      <w:r>
        <w:rPr>
          <w:rFonts w:hint="eastAsia" w:ascii="仿宋" w:hAnsi="仿宋" w:eastAsia="仿宋" w:cs="仿宋"/>
          <w:b/>
          <w:bCs/>
          <w:color w:val="auto"/>
          <w:kern w:val="2"/>
          <w:sz w:val="24"/>
          <w:szCs w:val="24"/>
          <w:lang w:val="en-US" w:eastAsia="zh-CN" w:bidi="ar-SA"/>
        </w:rPr>
        <w:t>十二、安全要求</w:t>
      </w:r>
      <w:bookmarkEnd w:id="49"/>
    </w:p>
    <w:p w14:paraId="6E927863">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成交供应商对项目实施过程中的所有安全事宜负全部责任，必须制定并严格执行安全管理制度和应急预案，确保培训期间（包括课堂教学、实习实训、外出观摩等所有环节）无任何安全事故发生。</w:t>
      </w:r>
    </w:p>
    <w:p w14:paraId="2B5F13B3">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若因成交供应商或其工作人员的责任导致发生安全事故，由此产生的一切法律责任、经济损失及不良社会影响，均由成交供应商独立承担。若对采购人造成损失（包括但不限于名誉损失、经济损失等），成交供应商应负责赔偿。</w:t>
      </w:r>
    </w:p>
    <w:p w14:paraId="566E6044">
      <w:pPr>
        <w:keepNext w:val="0"/>
        <w:keepLines w:val="0"/>
        <w:pageBreakBefore w:val="0"/>
        <w:widowControl/>
        <w:suppressLineNumbers w:val="0"/>
        <w:kinsoku/>
        <w:wordWrap/>
        <w:overflowPunct/>
        <w:autoSpaceDE/>
        <w:autoSpaceDN/>
        <w:bidi w:val="0"/>
        <w:spacing w:before="0" w:after="0" w:line="460" w:lineRule="exact"/>
        <w:ind w:firstLine="482" w:firstLineChars="200"/>
        <w:jc w:val="left"/>
        <w:textAlignment w:val="auto"/>
        <w:outlineLvl w:val="1"/>
        <w:rPr>
          <w:rFonts w:hint="eastAsia" w:ascii="仿宋" w:hAnsi="仿宋" w:eastAsia="仿宋" w:cs="仿宋"/>
          <w:b/>
          <w:bCs/>
          <w:color w:val="auto"/>
          <w:kern w:val="2"/>
          <w:sz w:val="24"/>
          <w:szCs w:val="24"/>
          <w:highlight w:val="none"/>
          <w:lang w:val="en-US" w:eastAsia="zh-CN" w:bidi="ar-SA"/>
        </w:rPr>
      </w:pPr>
      <w:bookmarkStart w:id="50" w:name="_Toc4043"/>
      <w:r>
        <w:rPr>
          <w:rFonts w:hint="eastAsia" w:ascii="仿宋" w:hAnsi="仿宋" w:eastAsia="仿宋" w:cs="仿宋"/>
          <w:b/>
          <w:bCs/>
          <w:color w:val="auto"/>
          <w:kern w:val="2"/>
          <w:sz w:val="24"/>
          <w:szCs w:val="24"/>
          <w:highlight w:val="none"/>
          <w:lang w:val="en-US" w:eastAsia="zh-CN" w:bidi="ar-SA"/>
        </w:rPr>
        <w:t>十三、报价要求</w:t>
      </w:r>
      <w:bookmarkEnd w:id="50"/>
    </w:p>
    <w:p w14:paraId="5165D4D7">
      <w:pPr>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项目采用总价包干制。供应商的报价应包含为完成本项目所需的一切费用，包括但不限于学员遴选费用、师资劳务、专家讲课差旅费，实训基地租赁、农机、设备耗材、实操农资费，线上教学平台服务费、教材印刷、学习资料，学员集中培训食宿交通、异地观摩学习食宿交通，考核证书制作、项目档案印刷、宣传物料，保险费，跟踪服务费，税费，管理费，利润等所有与本项目有关的开支。采购人除按合同约定支付合同总价款外，不再支付任何其他费用。成交供应商不得向学员收取任何培训费、实训费、教材费等费用。</w:t>
      </w:r>
    </w:p>
    <w:p w14:paraId="621BD2C2">
      <w:pPr>
        <w:keepNext w:val="0"/>
        <w:keepLines w:val="0"/>
        <w:pageBreakBefore w:val="0"/>
        <w:widowControl/>
        <w:suppressLineNumbers w:val="0"/>
        <w:kinsoku/>
        <w:wordWrap/>
        <w:overflowPunct/>
        <w:autoSpaceDE/>
        <w:autoSpaceDN/>
        <w:bidi w:val="0"/>
        <w:spacing w:before="0" w:after="0" w:line="460" w:lineRule="exact"/>
        <w:ind w:firstLine="482" w:firstLineChars="200"/>
        <w:jc w:val="left"/>
        <w:textAlignment w:val="auto"/>
        <w:outlineLvl w:val="1"/>
        <w:rPr>
          <w:rFonts w:hint="eastAsia" w:ascii="仿宋" w:hAnsi="仿宋" w:eastAsia="仿宋" w:cs="仿宋"/>
          <w:b/>
          <w:bCs/>
          <w:color w:val="auto"/>
          <w:kern w:val="2"/>
          <w:sz w:val="24"/>
          <w:szCs w:val="24"/>
          <w:lang w:val="en-US" w:eastAsia="zh-CN" w:bidi="ar-SA"/>
        </w:rPr>
      </w:pPr>
      <w:bookmarkStart w:id="51" w:name="_Toc22245"/>
      <w:r>
        <w:rPr>
          <w:rFonts w:hint="eastAsia" w:ascii="仿宋" w:hAnsi="仿宋" w:eastAsia="仿宋" w:cs="仿宋"/>
          <w:b/>
          <w:bCs/>
          <w:color w:val="auto"/>
          <w:kern w:val="2"/>
          <w:sz w:val="24"/>
          <w:szCs w:val="24"/>
          <w:lang w:val="en-US" w:eastAsia="zh-CN" w:bidi="ar-SA"/>
        </w:rPr>
        <w:t>十四、其它事项</w:t>
      </w:r>
      <w:bookmarkEnd w:id="51"/>
    </w:p>
    <w:p w14:paraId="38E8969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1.培训时间：</w:t>
      </w:r>
      <w:r>
        <w:rPr>
          <w:rFonts w:hint="eastAsia" w:ascii="仿宋" w:hAnsi="仿宋" w:eastAsia="仿宋" w:cs="仿宋"/>
          <w:color w:val="auto"/>
          <w:sz w:val="24"/>
          <w:szCs w:val="24"/>
          <w:highlight w:val="none"/>
          <w:lang w:val="en-US" w:eastAsia="zh-CN"/>
        </w:rPr>
        <w:t>于</w:t>
      </w:r>
      <w:r>
        <w:rPr>
          <w:rFonts w:hint="eastAsia" w:ascii="仿宋" w:hAnsi="仿宋" w:eastAsia="仿宋" w:cs="仿宋"/>
          <w:b w:val="0"/>
          <w:bCs/>
          <w:color w:val="auto"/>
          <w:sz w:val="24"/>
          <w:szCs w:val="24"/>
          <w:highlight w:val="none"/>
          <w:lang w:val="en-US" w:eastAsia="zh-CN"/>
        </w:rPr>
        <w:t>2026年12月20日前完成全年培育任务</w:t>
      </w:r>
      <w:r>
        <w:rPr>
          <w:rFonts w:hint="eastAsia" w:ascii="仿宋" w:hAnsi="仿宋" w:eastAsia="仿宋" w:cs="仿宋"/>
          <w:color w:val="auto"/>
          <w:kern w:val="2"/>
          <w:sz w:val="24"/>
          <w:szCs w:val="24"/>
          <w:lang w:val="en-US" w:eastAsia="zh-CN" w:bidi="ar-SA"/>
        </w:rPr>
        <w:t>。</w:t>
      </w:r>
    </w:p>
    <w:p w14:paraId="25EC67A8">
      <w:pPr>
        <w:keepNext w:val="0"/>
        <w:keepLines w:val="0"/>
        <w:pageBreakBefore w:val="0"/>
        <w:widowControl/>
        <w:suppressLineNumbers w:val="0"/>
        <w:kinsoku/>
        <w:wordWrap/>
        <w:overflowPunct/>
        <w:autoSpaceDE/>
        <w:autoSpaceDN/>
        <w:bidi w:val="0"/>
        <w:spacing w:line="460" w:lineRule="exact"/>
        <w:ind w:firstLine="480" w:firstLineChars="20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2.</w:t>
      </w:r>
      <w:r>
        <w:rPr>
          <w:rFonts w:hint="eastAsia" w:ascii="仿宋" w:hAnsi="仿宋" w:eastAsia="仿宋" w:cs="仿宋"/>
          <w:color w:val="auto"/>
          <w:spacing w:val="-3"/>
          <w:sz w:val="24"/>
          <w:szCs w:val="24"/>
          <w:highlight w:val="none"/>
        </w:rPr>
        <w:t>乙方未按本合同约定履行培训、</w:t>
      </w:r>
      <w:r>
        <w:rPr>
          <w:rFonts w:hint="eastAsia" w:ascii="仿宋" w:hAnsi="仿宋" w:eastAsia="仿宋" w:cs="仿宋"/>
          <w:color w:val="auto"/>
          <w:spacing w:val="-3"/>
          <w:sz w:val="24"/>
          <w:szCs w:val="24"/>
        </w:rPr>
        <w:t>跟踪服务等义务的，应承担相应责任，甲方有权视情</w:t>
      </w:r>
      <w:r>
        <w:rPr>
          <w:rFonts w:hint="eastAsia" w:ascii="仿宋" w:hAnsi="仿宋" w:eastAsia="仿宋" w:cs="仿宋"/>
          <w:color w:val="auto"/>
          <w:sz w:val="24"/>
          <w:szCs w:val="24"/>
        </w:rPr>
        <w:t>节扣减培训费用；擅自转包、分包的，甲方有权解</w:t>
      </w:r>
      <w:r>
        <w:rPr>
          <w:rFonts w:hint="eastAsia" w:ascii="仿宋" w:hAnsi="仿宋" w:eastAsia="仿宋" w:cs="仿宋"/>
          <w:color w:val="auto"/>
          <w:spacing w:val="-1"/>
          <w:sz w:val="24"/>
          <w:szCs w:val="24"/>
        </w:rPr>
        <w:t>除合同并追回已付费用</w:t>
      </w:r>
      <w:r>
        <w:rPr>
          <w:rFonts w:hint="eastAsia" w:ascii="仿宋" w:hAnsi="仿宋" w:eastAsia="仿宋" w:cs="仿宋"/>
          <w:color w:val="auto"/>
          <w:kern w:val="0"/>
          <w:sz w:val="24"/>
          <w:szCs w:val="24"/>
          <w:lang w:val="en-US" w:eastAsia="zh-CN" w:bidi="ar"/>
        </w:rPr>
        <w:t>。</w:t>
      </w:r>
    </w:p>
    <w:p w14:paraId="509D4E3F">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3.</w:t>
      </w:r>
      <w:r>
        <w:rPr>
          <w:rFonts w:hint="eastAsia" w:ascii="仿宋" w:hAnsi="仿宋" w:eastAsia="仿宋" w:cs="仿宋"/>
          <w:color w:val="auto"/>
          <w:kern w:val="2"/>
          <w:sz w:val="24"/>
          <w:szCs w:val="24"/>
          <w:lang w:val="en-US" w:eastAsia="zh-CN" w:bidi="ar-SA"/>
        </w:rPr>
        <w:t>付款方式：按合同约定。</w:t>
      </w:r>
    </w:p>
    <w:p w14:paraId="16F3EA62">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供应商须保障采购人在使用该成果或其任何一部分时不受到第三方关于侵犯专利权、商标权或工业设计权等知识产权的指控。任何第三方提出的侵权指控均与采购人无关，供应商须与第三方交涉并承担可能发生的责任与一切费用。如采购人因此而遭致损失的，供应商应赔偿该损失。</w:t>
      </w:r>
    </w:p>
    <w:p w14:paraId="369C6518">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本项目的所有成果著作权等知识产权和所有权益归采购人所有。未经采购人同意，成交供应商不得引用、发表和向第三者提供。采购人引用成交供应商的工作成果所完成的新的技术成果，属于采购人所有，采购人可依法享有就该项技术成果取得的精神权利、经济权利和其他权利。无论发生何种情形（包括但不限于合同提前终止或解除），采购人均有权利用成交供应商的阶段性工作成果，并且采购人引用成交供应商的阶段性工作成果所完成的新的技术成果，属于采购人所有，采购人可依法享有就该项技术成果取得的精神权利、经济权利和其他权利。</w:t>
      </w:r>
    </w:p>
    <w:p w14:paraId="02D8B6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C0265E"/>
    <w:rsid w:val="19C02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2026-09-10T07:54:00Z</dcterms:created>
  <dc:creator>28477</dc:creator>
  <cp:lastModifiedBy>28477</cp:lastModifiedBy>
  <dcterms:modified xsi:type="dcterms:W3CDTF">2026-09-10T07:54:47Z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6CED499A3129488BB88F78397FA9AABE_11</vt:lpwstr>
  </property>
  <property fmtid="{D5CDD505-2E9C-101B-9397-08002B2CF9AE}" pid="4" name="KSOTemplateDocerSaveRecord">
    <vt:lpwstr>eyJoZGlkIjoiOTM3MDZhNDhmMjgyZmU1ZTBmNjkzMGZkNTI1NDcwODkiLCJ1c2VySWQiOiI0NTQxMzk5MTEifQ==</vt:lpwstr>
  </property>
</Properties>
</file>