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EDDD0B">
      <w:pPr>
        <w:keepNext/>
        <w:widowControl w:val="0"/>
        <w:bidi w:val="0"/>
        <w:spacing w:line="500" w:lineRule="exact"/>
        <w:jc w:val="center"/>
        <w:outlineLvl w:val="0"/>
        <w:rPr>
          <w:rFonts w:hint="eastAsia" w:ascii="黑体" w:hAnsi="黑体" w:eastAsia="黑体" w:cs="黑体"/>
          <w:b/>
          <w:bCs/>
          <w:color w:val="auto"/>
          <w:kern w:val="2"/>
          <w:sz w:val="32"/>
          <w:szCs w:val="20"/>
          <w:highlight w:val="none"/>
          <w:lang w:val="en-US" w:eastAsia="zh-CN" w:bidi="ar-SA"/>
        </w:rPr>
      </w:pPr>
      <w:r>
        <w:rPr>
          <w:rFonts w:hint="eastAsia" w:ascii="黑体" w:hAnsi="黑体" w:eastAsia="黑体" w:cs="黑体"/>
          <w:b/>
          <w:bCs/>
          <w:color w:val="auto"/>
          <w:kern w:val="2"/>
          <w:sz w:val="32"/>
          <w:szCs w:val="20"/>
          <w:highlight w:val="none"/>
          <w:lang w:val="en-US" w:eastAsia="zh-CN" w:bidi="ar-SA"/>
        </w:rPr>
        <w:t>采购需求（包1）</w:t>
      </w:r>
    </w:p>
    <w:p w14:paraId="36144ABC">
      <w:pPr>
        <w:keepNext/>
        <w:keepLines/>
        <w:pageBreakBefore w:val="0"/>
        <w:widowControl w:val="0"/>
        <w:kinsoku/>
        <w:wordWrap/>
        <w:overflowPunct/>
        <w:topLinePunct w:val="0"/>
        <w:autoSpaceDE/>
        <w:autoSpaceDN/>
        <w:bidi w:val="0"/>
        <w:adjustRightInd/>
        <w:snapToGrid/>
        <w:spacing w:line="360" w:lineRule="exact"/>
        <w:jc w:val="both"/>
        <w:outlineLvl w:val="1"/>
        <w:rPr>
          <w:rFonts w:hint="eastAsia" w:ascii="黑体" w:hAnsi="黑体" w:eastAsia="黑体" w:cs="黑体"/>
          <w:b w:val="0"/>
          <w:bCs w:val="0"/>
          <w:color w:val="auto"/>
          <w:kern w:val="2"/>
          <w:sz w:val="21"/>
          <w:szCs w:val="21"/>
          <w:highlight w:val="none"/>
          <w:lang w:val="en-US" w:eastAsia="zh-CN" w:bidi="ar-SA"/>
        </w:rPr>
      </w:pPr>
      <w:bookmarkStart w:id="0" w:name="_Toc256000015"/>
      <w:r>
        <w:rPr>
          <w:rFonts w:hint="eastAsia" w:ascii="黑体" w:hAnsi="黑体" w:eastAsia="黑体" w:cs="黑体"/>
          <w:b/>
          <w:bCs/>
          <w:color w:val="auto"/>
          <w:kern w:val="2"/>
          <w:sz w:val="21"/>
          <w:szCs w:val="21"/>
          <w:highlight w:val="none"/>
          <w:lang w:val="en-US" w:eastAsia="zh-CN" w:bidi="ar-SA"/>
        </w:rPr>
        <w:t>一、包名称</w:t>
      </w:r>
      <w:bookmarkEnd w:id="0"/>
      <w:r>
        <w:rPr>
          <w:rFonts w:hint="eastAsia" w:ascii="黑体" w:hAnsi="黑体" w:eastAsia="黑体" w:cs="黑体"/>
          <w:b/>
          <w:bCs/>
          <w:color w:val="auto"/>
          <w:kern w:val="2"/>
          <w:sz w:val="21"/>
          <w:szCs w:val="21"/>
          <w:highlight w:val="none"/>
          <w:lang w:val="en-US" w:eastAsia="zh-CN" w:bidi="ar-SA"/>
        </w:rPr>
        <w:t>：龙山县城市基础设施生命线安全工程-城市生命线安全风险综合监测预警平台建设</w:t>
      </w:r>
    </w:p>
    <w:p w14:paraId="73A8245D">
      <w:pPr>
        <w:keepNext/>
        <w:keepLines/>
        <w:pageBreakBefore w:val="0"/>
        <w:widowControl w:val="0"/>
        <w:kinsoku/>
        <w:wordWrap/>
        <w:overflowPunct/>
        <w:topLinePunct w:val="0"/>
        <w:autoSpaceDE/>
        <w:autoSpaceDN/>
        <w:bidi w:val="0"/>
        <w:adjustRightInd/>
        <w:snapToGrid/>
        <w:spacing w:line="360" w:lineRule="exact"/>
        <w:jc w:val="both"/>
        <w:outlineLvl w:val="1"/>
        <w:rPr>
          <w:rFonts w:hint="eastAsia" w:ascii="黑体" w:hAnsi="黑体" w:eastAsia="黑体" w:cs="黑体"/>
          <w:b/>
          <w:bCs/>
          <w:color w:val="auto"/>
          <w:kern w:val="2"/>
          <w:sz w:val="21"/>
          <w:szCs w:val="21"/>
          <w:highlight w:val="none"/>
          <w:lang w:val="en-US" w:eastAsia="zh-CN" w:bidi="ar-SA"/>
        </w:rPr>
      </w:pPr>
      <w:r>
        <w:rPr>
          <w:rFonts w:hint="eastAsia" w:ascii="黑体" w:hAnsi="黑体" w:eastAsia="黑体" w:cs="黑体"/>
          <w:b/>
          <w:bCs/>
          <w:color w:val="auto"/>
          <w:kern w:val="2"/>
          <w:sz w:val="21"/>
          <w:szCs w:val="21"/>
          <w:highlight w:val="none"/>
          <w:lang w:val="en-US" w:eastAsia="zh-CN" w:bidi="ar-SA"/>
        </w:rPr>
        <w:t>二、建设背景</w:t>
      </w:r>
    </w:p>
    <w:p w14:paraId="51A8261D">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黑体" w:hAnsi="黑体" w:eastAsia="黑体" w:cs="黑体"/>
          <w:color w:val="auto"/>
          <w:sz w:val="21"/>
          <w:szCs w:val="21"/>
          <w:highlight w:val="none"/>
          <w:lang w:val="en-US" w:eastAsia="zh-CN"/>
        </w:rPr>
      </w:pPr>
      <w:r>
        <w:rPr>
          <w:rFonts w:hint="eastAsia" w:ascii="黑体" w:hAnsi="黑体" w:eastAsia="黑体" w:cs="黑体"/>
          <w:color w:val="auto"/>
          <w:sz w:val="21"/>
          <w:szCs w:val="21"/>
          <w:highlight w:val="none"/>
          <w:lang w:val="en-US" w:eastAsia="zh-CN"/>
        </w:rPr>
        <w:t>根据住房和城乡建设部印发的《关于推进城市基础设施生命线安全工程的指导意见》（建督〔2023〕63号）、《湖南省住房和城乡建设厅关于印发〈湖南省城市基础设施生命线安全工程提升行动实施方案〉的通知》（湘建城〔2023〕7号）及《湖南省市政设施生命线安全工程提升行动实施方案》（湘建城〔2024〕51号）等文件要求，为进一步推进城市治理体系和治理能力现代化，提高城市安全韧性和综合承载能力，推动公共安全治理模式由事后处置向事前预防转变，实现城市基础设施安全风险主动防控，保障人民群众生命财产安全，龙山县积极推进城市基础设施生命线安全工程建设。</w:t>
      </w:r>
    </w:p>
    <w:p w14:paraId="5932B3DB">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黑体" w:hAnsi="黑体" w:eastAsia="黑体" w:cs="黑体"/>
          <w:color w:val="auto"/>
          <w:sz w:val="21"/>
          <w:szCs w:val="21"/>
          <w:highlight w:val="none"/>
          <w:lang w:val="en-US" w:eastAsia="zh-CN"/>
        </w:rPr>
      </w:pPr>
      <w:r>
        <w:rPr>
          <w:rFonts w:hint="eastAsia" w:ascii="黑体" w:hAnsi="黑体" w:eastAsia="黑体" w:cs="黑体"/>
          <w:color w:val="auto"/>
          <w:sz w:val="21"/>
          <w:szCs w:val="21"/>
          <w:highlight w:val="none"/>
          <w:lang w:val="en-US" w:eastAsia="zh-CN"/>
        </w:rPr>
        <w:t>城市市政基础设施是保障城市正常运行的重要基础，是支撑城市高质量发展的关键要素。随着龙山县城镇化进程持续推进，城市规模不断扩大，燃气、供水、排水、桥梁等基础设施规模不断增长，设施类型更加复杂，运行安全风险逐步增加。近年来，国内部分城市相继发生燃气泄漏、供水管网爆裂、道路塌陷等安全事件，暴露出城市基础设施运行监管中仍存在风险感知能力不足、数据资源分散、部门协同不够、预警处置机制不完善等问题，亟需通过数字化、智能化手段提升城市安全运行管理能力。</w:t>
      </w:r>
    </w:p>
    <w:p w14:paraId="5BF540AE">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黑体" w:hAnsi="黑体" w:eastAsia="黑体" w:cs="黑体"/>
          <w:color w:val="auto"/>
          <w:sz w:val="21"/>
          <w:szCs w:val="21"/>
          <w:highlight w:val="none"/>
          <w:lang w:val="en-US" w:eastAsia="zh-CN"/>
        </w:rPr>
      </w:pPr>
      <w:r>
        <w:rPr>
          <w:rFonts w:hint="eastAsia" w:ascii="黑体" w:hAnsi="黑体" w:eastAsia="黑体" w:cs="黑体"/>
          <w:color w:val="auto"/>
          <w:sz w:val="21"/>
          <w:szCs w:val="21"/>
          <w:highlight w:val="none"/>
          <w:lang w:val="en-US" w:eastAsia="zh-CN"/>
        </w:rPr>
        <w:t>近年来，龙山县持续推进城市基础设施数字化建设，为生命线安全工程实施奠定了良好基础。2024年，龙山县全面完成市政基础设施普查工作，形成了较为完善的城市基础设施基础数据资源。同时，已建成地下市政基础设施综合管理平台，龙山首创城乡供排水一体化智慧管控平台，实现供排水设施数据管理和业务应用；燃气领域正在推进智慧燃气信息化建设，逐步完善燃气管网运行监测能力。</w:t>
      </w:r>
    </w:p>
    <w:p w14:paraId="104B397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黑体" w:hAnsi="黑体" w:eastAsia="黑体" w:cs="黑体"/>
          <w:color w:val="auto"/>
          <w:sz w:val="21"/>
          <w:szCs w:val="21"/>
          <w:highlight w:val="none"/>
          <w:lang w:val="en-US" w:eastAsia="zh-CN"/>
        </w:rPr>
      </w:pPr>
      <w:r>
        <w:rPr>
          <w:rFonts w:hint="eastAsia" w:ascii="黑体" w:hAnsi="黑体" w:eastAsia="黑体" w:cs="黑体"/>
          <w:color w:val="auto"/>
          <w:sz w:val="21"/>
          <w:szCs w:val="21"/>
          <w:highlight w:val="none"/>
          <w:lang w:val="en-US" w:eastAsia="zh-CN"/>
        </w:rPr>
        <w:t>在此基础上，龙山县开展城市基础设施生命线安全工程建设，通过开展风险评估，全面识别燃气、供水、排水、桥梁等重点领域风险隐患，形成风险清单和风险评估成果；建设物联网监测感知体系，实现重点区域、关键设施运行状态实时采集；建设城市生命线安全运行监测平台，整合多部门、多行业数据资源，实现风险监测、预警分析、协同处置和综合监管。</w:t>
      </w:r>
    </w:p>
    <w:p w14:paraId="34B9630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黑体" w:hAnsi="黑体" w:eastAsia="黑体" w:cs="黑体"/>
          <w:color w:val="auto"/>
          <w:sz w:val="21"/>
          <w:szCs w:val="21"/>
          <w:highlight w:val="none"/>
          <w:lang w:val="en-US" w:eastAsia="zh-CN"/>
        </w:rPr>
      </w:pPr>
      <w:r>
        <w:rPr>
          <w:rFonts w:hint="eastAsia" w:ascii="黑体" w:hAnsi="黑体" w:eastAsia="黑体" w:cs="黑体"/>
          <w:color w:val="auto"/>
          <w:sz w:val="21"/>
          <w:szCs w:val="21"/>
          <w:highlight w:val="none"/>
          <w:lang w:val="en-US" w:eastAsia="zh-CN"/>
        </w:rPr>
        <w:t>项目建成后，将进一步提升龙山县城市基础设施安全风险辨识、防范和化解能力，推动城市安全管理由被动响应向主动预防转变，由分散管理向协同治理转变，由经验管理向数据驱动转变，构建覆盖“风险识别、监测感知、预警分析、联动处置”的城市生命线安全运行体系，为龙山县城市安全发展和高质量建设提供坚实保障。</w:t>
      </w:r>
    </w:p>
    <w:p w14:paraId="2E18C659">
      <w:pPr>
        <w:keepNext/>
        <w:keepLines/>
        <w:pageBreakBefore w:val="0"/>
        <w:widowControl w:val="0"/>
        <w:kinsoku/>
        <w:wordWrap/>
        <w:overflowPunct/>
        <w:topLinePunct w:val="0"/>
        <w:autoSpaceDE/>
        <w:autoSpaceDN/>
        <w:bidi w:val="0"/>
        <w:adjustRightInd/>
        <w:snapToGrid/>
        <w:spacing w:line="360" w:lineRule="exact"/>
        <w:ind w:firstLine="422" w:firstLineChars="200"/>
        <w:jc w:val="both"/>
        <w:outlineLvl w:val="1"/>
        <w:rPr>
          <w:rFonts w:hint="eastAsia" w:ascii="黑体" w:hAnsi="黑体" w:eastAsia="黑体" w:cs="黑体"/>
          <w:b/>
          <w:bCs/>
          <w:color w:val="auto"/>
          <w:kern w:val="2"/>
          <w:sz w:val="21"/>
          <w:szCs w:val="21"/>
          <w:highlight w:val="none"/>
          <w:lang w:val="en-US" w:eastAsia="zh-CN" w:bidi="ar-SA"/>
        </w:rPr>
      </w:pPr>
      <w:bookmarkStart w:id="1" w:name="_Toc256000016"/>
      <w:r>
        <w:rPr>
          <w:rFonts w:hint="eastAsia" w:ascii="黑体" w:hAnsi="黑体" w:eastAsia="黑体" w:cs="黑体"/>
          <w:b/>
          <w:bCs/>
          <w:color w:val="auto"/>
          <w:kern w:val="2"/>
          <w:sz w:val="21"/>
          <w:szCs w:val="21"/>
          <w:highlight w:val="none"/>
          <w:lang w:val="en-US" w:eastAsia="zh-CN" w:bidi="ar-SA"/>
        </w:rPr>
        <w:t>二、建设目标</w:t>
      </w:r>
      <w:bookmarkEnd w:id="1"/>
    </w:p>
    <w:p w14:paraId="73743CE2">
      <w:pPr>
        <w:pageBreakBefore w:val="0"/>
        <w:kinsoku/>
        <w:wordWrap/>
        <w:overflowPunct/>
        <w:topLinePunct w:val="0"/>
        <w:autoSpaceDE/>
        <w:autoSpaceDN/>
        <w:bidi w:val="0"/>
        <w:adjustRightInd/>
        <w:snapToGrid/>
        <w:spacing w:line="360" w:lineRule="exact"/>
        <w:ind w:firstLine="420" w:firstLineChars="200"/>
        <w:rPr>
          <w:rFonts w:hint="eastAsia" w:ascii="黑体" w:hAnsi="黑体" w:eastAsia="黑体" w:cs="黑体"/>
          <w:color w:val="auto"/>
          <w:sz w:val="21"/>
          <w:szCs w:val="21"/>
          <w:highlight w:val="none"/>
          <w:lang w:eastAsia="zh-CN"/>
        </w:rPr>
      </w:pPr>
      <w:r>
        <w:rPr>
          <w:rFonts w:hint="eastAsia" w:ascii="黑体" w:hAnsi="黑体" w:eastAsia="黑体" w:cs="黑体"/>
          <w:color w:val="auto"/>
          <w:sz w:val="21"/>
          <w:szCs w:val="21"/>
          <w:highlight w:val="none"/>
          <w:lang w:eastAsia="zh-CN"/>
        </w:rPr>
        <w:t>本项目按照湖南省住房和城乡建设厅关于城市基础设施生命线安全工程建设有关要求，以提升龙山县城市基础设施安全运行风险防控和监管能力为目标，围绕燃气、供水、排水、桥梁等重点领域，充分利用现有市政基础设施普查成果和信息化建设基础，综合运用地理信息、物联网、大数据、数字孪生等技术，建设城市基础设施生命线安全运行监测体系，实现城市基础设施运行状态实时感知、风险监测预警、分析研判和协同处置，提升城市基础设施安全运行管理水平。</w:t>
      </w:r>
    </w:p>
    <w:p w14:paraId="32CA4029">
      <w:pPr>
        <w:pageBreakBefore w:val="0"/>
        <w:kinsoku/>
        <w:wordWrap/>
        <w:overflowPunct/>
        <w:topLinePunct w:val="0"/>
        <w:autoSpaceDE/>
        <w:autoSpaceDN/>
        <w:bidi w:val="0"/>
        <w:adjustRightInd/>
        <w:snapToGrid/>
        <w:spacing w:line="360" w:lineRule="exact"/>
        <w:ind w:firstLine="420" w:firstLineChars="200"/>
        <w:rPr>
          <w:rFonts w:hint="eastAsia" w:ascii="黑体" w:hAnsi="黑体" w:eastAsia="黑体" w:cs="黑体"/>
          <w:color w:val="auto"/>
          <w:sz w:val="21"/>
          <w:szCs w:val="21"/>
          <w:highlight w:val="none"/>
          <w:lang w:eastAsia="zh-CN"/>
        </w:rPr>
      </w:pPr>
      <w:r>
        <w:rPr>
          <w:rFonts w:hint="eastAsia" w:ascii="黑体" w:hAnsi="黑体" w:eastAsia="黑体" w:cs="黑体"/>
          <w:color w:val="auto"/>
          <w:sz w:val="21"/>
          <w:szCs w:val="21"/>
          <w:highlight w:val="none"/>
          <w:lang w:eastAsia="zh-CN"/>
        </w:rPr>
        <w:t>项目按照“标配系统+特配应用”的总体模式进行建设。标配系统依托省级城市生命线基础平台能力开展本地化部署与应用，建设监测信息、风险管理、隐患管理、监测报警、预测预警、“综合改一次”管理、工程进度管理等基础监管功能，并按照省级相关标准和要求实现与省级运管服平台互联互通，满足城市生命线基础监管和运行监测需求。</w:t>
      </w:r>
    </w:p>
    <w:p w14:paraId="3561B9AA">
      <w:pPr>
        <w:pageBreakBefore w:val="0"/>
        <w:kinsoku/>
        <w:wordWrap/>
        <w:overflowPunct/>
        <w:topLinePunct w:val="0"/>
        <w:autoSpaceDE/>
        <w:autoSpaceDN/>
        <w:bidi w:val="0"/>
        <w:adjustRightInd/>
        <w:snapToGrid/>
        <w:spacing w:line="360" w:lineRule="exact"/>
        <w:ind w:firstLine="420" w:firstLineChars="200"/>
        <w:rPr>
          <w:rFonts w:hint="eastAsia" w:ascii="黑体" w:hAnsi="黑体" w:eastAsia="黑体" w:cs="黑体"/>
          <w:color w:val="auto"/>
          <w:sz w:val="21"/>
          <w:szCs w:val="21"/>
          <w:highlight w:val="none"/>
          <w:lang w:eastAsia="zh-CN"/>
        </w:rPr>
      </w:pPr>
      <w:r>
        <w:rPr>
          <w:rFonts w:hint="eastAsia" w:ascii="黑体" w:hAnsi="黑体" w:eastAsia="黑体" w:cs="黑体"/>
          <w:color w:val="auto"/>
          <w:sz w:val="21"/>
          <w:szCs w:val="21"/>
          <w:highlight w:val="none"/>
          <w:lang w:eastAsia="zh-CN"/>
        </w:rPr>
        <w:t>结合龙山县实际业务需求建设特配应用，主要包括时空数据基础平台、物联网感知平台、数据管理中台以及燃气、供水、排水、桥梁等专项监测应用。通过整合基础地理、地下管线、风险评估、监测感知及相关行业业务数据，构建统一的城市生命线数据资源体系和监测感知体系，提升重点风险区域和关键基础设施的实时监测、风险分析和智能预警能力。</w:t>
      </w:r>
    </w:p>
    <w:p w14:paraId="4C600E84">
      <w:pPr>
        <w:keepNext/>
        <w:keepLines/>
        <w:pageBreakBefore w:val="0"/>
        <w:widowControl w:val="0"/>
        <w:numPr>
          <w:ilvl w:val="0"/>
          <w:numId w:val="0"/>
        </w:numPr>
        <w:kinsoku/>
        <w:wordWrap/>
        <w:overflowPunct/>
        <w:topLinePunct w:val="0"/>
        <w:autoSpaceDE/>
        <w:autoSpaceDN/>
        <w:bidi w:val="0"/>
        <w:adjustRightInd/>
        <w:snapToGrid/>
        <w:spacing w:line="360" w:lineRule="exact"/>
        <w:ind w:firstLine="420" w:firstLineChars="200"/>
        <w:jc w:val="both"/>
        <w:outlineLvl w:val="1"/>
        <w:rPr>
          <w:rFonts w:hint="eastAsia" w:ascii="黑体" w:hAnsi="黑体" w:eastAsia="黑体" w:cs="黑体"/>
          <w:b w:val="0"/>
          <w:bCs w:val="0"/>
          <w:color w:val="auto"/>
          <w:kern w:val="2"/>
          <w:sz w:val="21"/>
          <w:szCs w:val="21"/>
          <w:highlight w:val="none"/>
          <w:lang w:val="en-US" w:eastAsia="zh-CN" w:bidi="ar-SA"/>
        </w:rPr>
      </w:pPr>
      <w:bookmarkStart w:id="2" w:name="_Toc256000017"/>
      <w:r>
        <w:rPr>
          <w:rFonts w:hint="eastAsia" w:ascii="黑体" w:hAnsi="黑体" w:eastAsia="黑体" w:cs="黑体"/>
          <w:b w:val="0"/>
          <w:bCs w:val="0"/>
          <w:color w:val="auto"/>
          <w:kern w:val="2"/>
          <w:sz w:val="21"/>
          <w:szCs w:val="21"/>
          <w:highlight w:val="none"/>
          <w:lang w:val="en-US" w:eastAsia="zh-CN" w:bidi="ar-SA"/>
        </w:rPr>
        <w:t>三、</w:t>
      </w:r>
      <w:r>
        <w:rPr>
          <w:rFonts w:hint="eastAsia" w:ascii="黑体" w:hAnsi="黑体" w:eastAsia="黑体" w:cs="黑体"/>
          <w:b/>
          <w:bCs/>
          <w:color w:val="auto"/>
          <w:kern w:val="2"/>
          <w:sz w:val="21"/>
          <w:szCs w:val="21"/>
          <w:highlight w:val="none"/>
          <w:lang w:val="en-US" w:eastAsia="zh-CN" w:bidi="ar-SA"/>
        </w:rPr>
        <w:t>主要建设内容</w:t>
      </w:r>
      <w:bookmarkEnd w:id="2"/>
    </w:p>
    <w:p w14:paraId="6CA61B31">
      <w:pPr>
        <w:pageBreakBefore w:val="0"/>
        <w:numPr>
          <w:ilvl w:val="0"/>
          <w:numId w:val="1"/>
        </w:numPr>
        <w:kinsoku/>
        <w:wordWrap/>
        <w:overflowPunct/>
        <w:topLinePunct w:val="0"/>
        <w:autoSpaceDE/>
        <w:autoSpaceDN/>
        <w:bidi w:val="0"/>
        <w:adjustRightInd/>
        <w:snapToGrid/>
        <w:spacing w:line="360" w:lineRule="exact"/>
        <w:ind w:left="0" w:leftChars="0" w:firstLine="420" w:firstLineChars="200"/>
        <w:rPr>
          <w:rFonts w:hint="eastAsia" w:ascii="黑体" w:hAnsi="黑体" w:eastAsia="黑体" w:cs="黑体"/>
          <w:color w:val="auto"/>
          <w:sz w:val="21"/>
          <w:szCs w:val="21"/>
          <w:highlight w:val="none"/>
          <w:lang w:eastAsia="zh-CN"/>
        </w:rPr>
      </w:pPr>
      <w:r>
        <w:rPr>
          <w:rFonts w:hint="eastAsia" w:ascii="黑体" w:hAnsi="黑体" w:eastAsia="黑体" w:cs="黑体"/>
          <w:color w:val="auto"/>
          <w:sz w:val="21"/>
          <w:szCs w:val="21"/>
          <w:highlight w:val="none"/>
          <w:lang w:eastAsia="zh-CN"/>
        </w:rPr>
        <w:t>基础设施数据处理及建库：充分利用龙山县现有基础地理和市政设施普查成果，建设0.5米分辨率数字正射影像、1:2000矢量电子地图等基础地图数据；开展生命线管线及桥梁三维建模；对基础地理、燃气、供水、排水、桥梁等生命线设施及相关隐患、监测数据进行标准化处理、整合和入库，形成统一规范的城市生命线数据资源体系。同时，对约1510公里市政管网数据进行脱敏处理，满足城市生命线安全工程数据安全使用要求。</w:t>
      </w:r>
    </w:p>
    <w:p w14:paraId="15AB1B8F">
      <w:pPr>
        <w:pageBreakBefore w:val="0"/>
        <w:numPr>
          <w:ilvl w:val="0"/>
          <w:numId w:val="1"/>
        </w:numPr>
        <w:kinsoku/>
        <w:wordWrap/>
        <w:overflowPunct/>
        <w:topLinePunct w:val="0"/>
        <w:autoSpaceDE/>
        <w:autoSpaceDN/>
        <w:bidi w:val="0"/>
        <w:adjustRightInd/>
        <w:snapToGrid/>
        <w:spacing w:line="360" w:lineRule="exact"/>
        <w:ind w:left="0" w:leftChars="0" w:firstLine="420" w:firstLineChars="200"/>
        <w:rPr>
          <w:rFonts w:hint="eastAsia" w:ascii="黑体" w:hAnsi="黑体" w:eastAsia="黑体" w:cs="黑体"/>
          <w:color w:val="auto"/>
          <w:sz w:val="21"/>
          <w:szCs w:val="21"/>
          <w:highlight w:val="none"/>
          <w:lang w:val="en-US" w:eastAsia="zh-CN"/>
        </w:rPr>
      </w:pPr>
      <w:r>
        <w:rPr>
          <w:rFonts w:hint="eastAsia" w:ascii="黑体" w:hAnsi="黑体" w:eastAsia="黑体" w:cs="黑体"/>
          <w:color w:val="auto"/>
          <w:sz w:val="21"/>
          <w:szCs w:val="21"/>
          <w:highlight w:val="none"/>
          <w:lang w:eastAsia="zh-CN"/>
        </w:rPr>
        <w:t>生命线监测预警平台</w:t>
      </w:r>
      <w:r>
        <w:rPr>
          <w:rFonts w:hint="eastAsia" w:ascii="黑体" w:hAnsi="黑体" w:eastAsia="黑体" w:cs="黑体"/>
          <w:color w:val="auto"/>
          <w:sz w:val="21"/>
          <w:szCs w:val="21"/>
          <w:highlight w:val="none"/>
          <w:lang w:val="en-US" w:eastAsia="zh-CN"/>
        </w:rPr>
        <w:t>建设</w:t>
      </w:r>
      <w:r>
        <w:rPr>
          <w:rFonts w:hint="eastAsia" w:ascii="黑体" w:hAnsi="黑体" w:eastAsia="黑体" w:cs="黑体"/>
          <w:color w:val="auto"/>
          <w:sz w:val="21"/>
          <w:szCs w:val="21"/>
          <w:highlight w:val="none"/>
          <w:lang w:eastAsia="zh-CN"/>
        </w:rPr>
        <w:t>：按照省住建厅城市基础设施生命线安全工程建设要求，采用“标配系统+特配应用”模式建设。标配系统依托省级城市生命线基础平台进行本地化部署，建设监测信息、风险管理、基础信息、隐患管理、监测报警、预测预警、“综合改一次”、工程进度管理等功能；结合龙山县实际需求，建设时空数据基础平台、物联网感知平台、数据管理中台以及燃气、供水、排水、桥梁等特配应用，实现城市生命线数据统一管理、运行监测、风险预警和专题应用，并满足省市平台互联互通要求。</w:t>
      </w:r>
    </w:p>
    <w:p w14:paraId="679F7FFC">
      <w:pPr>
        <w:pageBreakBefore w:val="0"/>
        <w:numPr>
          <w:ilvl w:val="0"/>
          <w:numId w:val="1"/>
        </w:numPr>
        <w:kinsoku/>
        <w:wordWrap/>
        <w:overflowPunct/>
        <w:topLinePunct w:val="0"/>
        <w:autoSpaceDE/>
        <w:autoSpaceDN/>
        <w:bidi w:val="0"/>
        <w:adjustRightInd/>
        <w:snapToGrid/>
        <w:spacing w:line="360" w:lineRule="exact"/>
        <w:ind w:left="0" w:leftChars="0" w:firstLine="420" w:firstLineChars="200"/>
        <w:rPr>
          <w:rFonts w:hint="eastAsia" w:ascii="黑体" w:hAnsi="黑体" w:eastAsia="黑体" w:cs="黑体"/>
          <w:color w:val="auto"/>
          <w:sz w:val="21"/>
          <w:szCs w:val="21"/>
          <w:highlight w:val="none"/>
          <w:lang w:eastAsia="zh-CN"/>
        </w:rPr>
      </w:pPr>
      <w:r>
        <w:rPr>
          <w:rFonts w:hint="eastAsia" w:ascii="黑体" w:hAnsi="黑体" w:eastAsia="黑体" w:cs="黑体"/>
          <w:color w:val="auto"/>
          <w:sz w:val="21"/>
          <w:szCs w:val="21"/>
          <w:highlight w:val="none"/>
          <w:lang w:val="en-US" w:eastAsia="zh-CN"/>
        </w:rPr>
        <w:t>基础软硬件环境建设：主要包括二三维一体化GIS平台新增授权、数据库1套、操作系统3套等成品软件以及购置服务器3台和防火墙1台，用于支撑生命线监测预警平台应用。</w:t>
      </w:r>
    </w:p>
    <w:p w14:paraId="386BD892">
      <w:pPr>
        <w:keepNext/>
        <w:keepLines/>
        <w:pageBreakBefore w:val="0"/>
        <w:widowControl w:val="0"/>
        <w:numPr>
          <w:ilvl w:val="0"/>
          <w:numId w:val="0"/>
        </w:numPr>
        <w:kinsoku/>
        <w:wordWrap/>
        <w:overflowPunct/>
        <w:topLinePunct w:val="0"/>
        <w:autoSpaceDE/>
        <w:autoSpaceDN/>
        <w:bidi w:val="0"/>
        <w:adjustRightInd/>
        <w:snapToGrid/>
        <w:spacing w:line="360" w:lineRule="exact"/>
        <w:jc w:val="both"/>
        <w:outlineLvl w:val="1"/>
        <w:rPr>
          <w:rFonts w:hint="eastAsia" w:ascii="黑体" w:hAnsi="黑体" w:eastAsia="黑体" w:cs="黑体"/>
          <w:b/>
          <w:bCs/>
          <w:color w:val="auto"/>
          <w:kern w:val="2"/>
          <w:sz w:val="21"/>
          <w:szCs w:val="21"/>
          <w:highlight w:val="none"/>
          <w:lang w:val="en-US" w:eastAsia="zh-CN" w:bidi="ar-SA"/>
        </w:rPr>
      </w:pPr>
      <w:bookmarkStart w:id="3" w:name="_Toc256000018"/>
      <w:r>
        <w:rPr>
          <w:rFonts w:hint="eastAsia" w:ascii="黑体" w:hAnsi="黑体" w:eastAsia="黑体" w:cs="黑体"/>
          <w:b/>
          <w:bCs/>
          <w:color w:val="auto"/>
          <w:kern w:val="2"/>
          <w:sz w:val="21"/>
          <w:szCs w:val="21"/>
          <w:highlight w:val="none"/>
          <w:lang w:val="en-US" w:eastAsia="zh-CN" w:bidi="ar-SA"/>
        </w:rPr>
        <w:t>四、项目清单</w:t>
      </w:r>
      <w:bookmarkEnd w:id="3"/>
      <w:r>
        <w:rPr>
          <w:rFonts w:hint="eastAsia" w:ascii="黑体" w:hAnsi="黑体" w:eastAsia="黑体" w:cs="黑体"/>
          <w:b/>
          <w:bCs/>
          <w:color w:val="auto"/>
          <w:kern w:val="2"/>
          <w:sz w:val="21"/>
          <w:szCs w:val="21"/>
          <w:highlight w:val="none"/>
          <w:lang w:val="en-US" w:eastAsia="zh-CN" w:bidi="ar-SA"/>
        </w:rPr>
        <w:t xml:space="preserve"> </w:t>
      </w:r>
    </w:p>
    <w:tbl>
      <w:tblPr>
        <w:tblStyle w:val="5"/>
        <w:tblW w:w="0" w:type="auto"/>
        <w:tblInd w:w="5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0"/>
        <w:gridCol w:w="1019"/>
        <w:gridCol w:w="1530"/>
        <w:gridCol w:w="2867"/>
        <w:gridCol w:w="722"/>
        <w:gridCol w:w="769"/>
        <w:gridCol w:w="1764"/>
      </w:tblGrid>
      <w:tr w14:paraId="703BF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346DF05B">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b/>
                <w:bCs/>
                <w:i w:val="0"/>
                <w:iCs w:val="0"/>
                <w:color w:val="auto"/>
                <w:sz w:val="21"/>
                <w:szCs w:val="21"/>
                <w:highlight w:val="none"/>
                <w:u w:val="none"/>
                <w:lang w:eastAsia="zh-CN"/>
              </w:rPr>
            </w:pPr>
            <w:r>
              <w:rPr>
                <w:rFonts w:hint="eastAsia" w:ascii="黑体" w:hAnsi="黑体" w:eastAsia="黑体" w:cs="黑体"/>
                <w:b/>
                <w:bCs/>
                <w:i w:val="0"/>
                <w:iCs w:val="0"/>
                <w:color w:val="auto"/>
                <w:kern w:val="0"/>
                <w:sz w:val="21"/>
                <w:szCs w:val="21"/>
                <w:highlight w:val="none"/>
                <w:u w:val="none"/>
                <w:lang w:val="en-US" w:eastAsia="zh-CN" w:bidi="ar"/>
              </w:rPr>
              <w:t>序号</w:t>
            </w:r>
          </w:p>
        </w:tc>
        <w:tc>
          <w:tcPr>
            <w:tcW w:w="1019"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5EAE69D4">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黑体" w:hAnsi="黑体" w:eastAsia="黑体" w:cs="黑体"/>
                <w:b/>
                <w:bCs/>
                <w:i w:val="0"/>
                <w:iCs w:val="0"/>
                <w:color w:val="auto"/>
                <w:sz w:val="21"/>
                <w:szCs w:val="21"/>
                <w:highlight w:val="none"/>
                <w:u w:val="none"/>
                <w:lang w:val="en-US" w:eastAsia="zh-CN"/>
              </w:rPr>
            </w:pPr>
            <w:r>
              <w:rPr>
                <w:rFonts w:hint="eastAsia" w:ascii="黑体" w:hAnsi="黑体" w:eastAsia="黑体" w:cs="黑体"/>
                <w:b/>
                <w:bCs/>
                <w:i w:val="0"/>
                <w:iCs w:val="0"/>
                <w:color w:val="auto"/>
                <w:sz w:val="21"/>
                <w:szCs w:val="21"/>
                <w:highlight w:val="none"/>
                <w:u w:val="none"/>
                <w:lang w:val="en-US" w:eastAsia="zh-CN"/>
              </w:rPr>
              <w:t>标的名称</w:t>
            </w:r>
          </w:p>
        </w:tc>
        <w:tc>
          <w:tcPr>
            <w:tcW w:w="1530"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4E24945C">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b/>
                <w:bCs/>
                <w:i w:val="0"/>
                <w:iCs w:val="0"/>
                <w:color w:val="auto"/>
                <w:sz w:val="21"/>
                <w:szCs w:val="21"/>
                <w:highlight w:val="none"/>
                <w:u w:val="none"/>
                <w:lang w:eastAsia="zh-CN"/>
              </w:rPr>
            </w:pPr>
            <w:r>
              <w:rPr>
                <w:rFonts w:hint="eastAsia" w:ascii="黑体" w:hAnsi="黑体" w:eastAsia="黑体" w:cs="黑体"/>
                <w:b/>
                <w:bCs/>
                <w:i w:val="0"/>
                <w:iCs w:val="0"/>
                <w:color w:val="auto"/>
                <w:kern w:val="0"/>
                <w:sz w:val="21"/>
                <w:szCs w:val="21"/>
                <w:highlight w:val="none"/>
                <w:u w:val="none"/>
                <w:lang w:val="en-US" w:eastAsia="zh-CN" w:bidi="ar"/>
              </w:rPr>
              <w:t>分类</w:t>
            </w:r>
          </w:p>
        </w:tc>
        <w:tc>
          <w:tcPr>
            <w:tcW w:w="2867"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32C4ACE3">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b/>
                <w:bCs/>
                <w:i w:val="0"/>
                <w:iCs w:val="0"/>
                <w:color w:val="auto"/>
                <w:sz w:val="21"/>
                <w:szCs w:val="21"/>
                <w:highlight w:val="none"/>
                <w:u w:val="none"/>
                <w:lang w:eastAsia="zh-CN"/>
              </w:rPr>
            </w:pPr>
            <w:r>
              <w:rPr>
                <w:rFonts w:hint="eastAsia" w:ascii="黑体" w:hAnsi="黑体" w:eastAsia="黑体" w:cs="黑体"/>
                <w:b/>
                <w:bCs/>
                <w:i w:val="0"/>
                <w:iCs w:val="0"/>
                <w:color w:val="auto"/>
                <w:kern w:val="0"/>
                <w:sz w:val="21"/>
                <w:szCs w:val="21"/>
                <w:highlight w:val="none"/>
                <w:u w:val="none"/>
                <w:lang w:val="en-US" w:eastAsia="zh-CN" w:bidi="ar"/>
              </w:rPr>
              <w:t>详细描述</w:t>
            </w:r>
          </w:p>
        </w:tc>
        <w:tc>
          <w:tcPr>
            <w:tcW w:w="722"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745CB416">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b/>
                <w:bCs/>
                <w:i w:val="0"/>
                <w:iCs w:val="0"/>
                <w:color w:val="auto"/>
                <w:sz w:val="21"/>
                <w:szCs w:val="21"/>
                <w:highlight w:val="none"/>
                <w:u w:val="none"/>
                <w:lang w:eastAsia="zh-CN"/>
              </w:rPr>
            </w:pPr>
            <w:r>
              <w:rPr>
                <w:rFonts w:hint="eastAsia" w:ascii="黑体" w:hAnsi="黑体" w:eastAsia="黑体" w:cs="黑体"/>
                <w:b/>
                <w:bCs/>
                <w:i w:val="0"/>
                <w:iCs w:val="0"/>
                <w:color w:val="auto"/>
                <w:kern w:val="0"/>
                <w:sz w:val="21"/>
                <w:szCs w:val="21"/>
                <w:highlight w:val="none"/>
                <w:u w:val="none"/>
                <w:lang w:val="en-US" w:eastAsia="zh-CN" w:bidi="ar"/>
              </w:rPr>
              <w:t>单位</w:t>
            </w:r>
          </w:p>
        </w:tc>
        <w:tc>
          <w:tcPr>
            <w:tcW w:w="769"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0E0398C8">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b/>
                <w:bCs/>
                <w:i w:val="0"/>
                <w:iCs w:val="0"/>
                <w:color w:val="auto"/>
                <w:sz w:val="21"/>
                <w:szCs w:val="21"/>
                <w:highlight w:val="none"/>
                <w:u w:val="none"/>
                <w:lang w:eastAsia="zh-CN"/>
              </w:rPr>
            </w:pPr>
            <w:r>
              <w:rPr>
                <w:rFonts w:hint="eastAsia" w:ascii="黑体" w:hAnsi="黑体" w:eastAsia="黑体" w:cs="黑体"/>
                <w:b/>
                <w:bCs/>
                <w:i w:val="0"/>
                <w:iCs w:val="0"/>
                <w:color w:val="auto"/>
                <w:kern w:val="0"/>
                <w:sz w:val="21"/>
                <w:szCs w:val="21"/>
                <w:highlight w:val="none"/>
                <w:u w:val="none"/>
                <w:lang w:val="en-US" w:eastAsia="zh-CN" w:bidi="ar"/>
              </w:rPr>
              <w:t>数量</w:t>
            </w:r>
          </w:p>
        </w:tc>
        <w:tc>
          <w:tcPr>
            <w:tcW w:w="1764"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44E34E3D">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b/>
                <w:bCs/>
                <w:i w:val="0"/>
                <w:iCs w:val="0"/>
                <w:color w:val="auto"/>
                <w:sz w:val="21"/>
                <w:szCs w:val="21"/>
                <w:highlight w:val="none"/>
                <w:u w:val="none"/>
                <w:lang w:eastAsia="zh-CN"/>
              </w:rPr>
            </w:pPr>
            <w:r>
              <w:rPr>
                <w:rFonts w:hint="eastAsia" w:ascii="黑体" w:hAnsi="黑体" w:eastAsia="黑体" w:cs="黑体"/>
                <w:b/>
                <w:bCs/>
                <w:i w:val="0"/>
                <w:iCs w:val="0"/>
                <w:color w:val="auto"/>
                <w:kern w:val="0"/>
                <w:sz w:val="21"/>
                <w:szCs w:val="21"/>
                <w:highlight w:val="none"/>
                <w:u w:val="none"/>
                <w:lang w:val="en-US" w:eastAsia="zh-CN" w:bidi="ar"/>
              </w:rPr>
              <w:t>备注</w:t>
            </w:r>
          </w:p>
        </w:tc>
      </w:tr>
      <w:tr w14:paraId="4C34D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tcBorders>
              <w:top w:val="single" w:color="000000" w:sz="4" w:space="0"/>
              <w:left w:val="single" w:color="000000" w:sz="4" w:space="0"/>
              <w:bottom w:val="single" w:color="000000" w:sz="4" w:space="0"/>
              <w:right w:val="single" w:color="000000" w:sz="4" w:space="0"/>
            </w:tcBorders>
            <w:noWrap w:val="0"/>
            <w:vAlign w:val="center"/>
          </w:tcPr>
          <w:p w14:paraId="7F4609C0">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b/>
                <w:bCs/>
                <w:i w:val="0"/>
                <w:iCs w:val="0"/>
                <w:color w:val="auto"/>
                <w:sz w:val="21"/>
                <w:szCs w:val="21"/>
                <w:highlight w:val="none"/>
                <w:u w:val="none"/>
                <w:lang w:eastAsia="zh-CN"/>
              </w:rPr>
            </w:pPr>
            <w:r>
              <w:rPr>
                <w:rFonts w:hint="eastAsia" w:ascii="黑体" w:hAnsi="黑体" w:eastAsia="黑体" w:cs="黑体"/>
                <w:b/>
                <w:bCs/>
                <w:i w:val="0"/>
                <w:iCs w:val="0"/>
                <w:color w:val="auto"/>
                <w:kern w:val="0"/>
                <w:sz w:val="21"/>
                <w:szCs w:val="21"/>
                <w:highlight w:val="none"/>
                <w:u w:val="none"/>
                <w:lang w:val="en-US" w:eastAsia="zh-CN" w:bidi="ar"/>
              </w:rPr>
              <w:t>一</w:t>
            </w:r>
          </w:p>
        </w:tc>
        <w:tc>
          <w:tcPr>
            <w:tcW w:w="8671" w:type="dxa"/>
            <w:gridSpan w:val="6"/>
            <w:tcBorders>
              <w:top w:val="single" w:color="000000" w:sz="4" w:space="0"/>
              <w:left w:val="single" w:color="000000" w:sz="4" w:space="0"/>
              <w:bottom w:val="single" w:color="000000" w:sz="4" w:space="0"/>
              <w:right w:val="single" w:color="000000" w:sz="4" w:space="0"/>
            </w:tcBorders>
            <w:noWrap w:val="0"/>
            <w:vAlign w:val="center"/>
          </w:tcPr>
          <w:p w14:paraId="07FF7DD1">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b/>
                <w:bCs/>
                <w:i w:val="0"/>
                <w:iCs w:val="0"/>
                <w:color w:val="auto"/>
                <w:sz w:val="21"/>
                <w:szCs w:val="21"/>
                <w:highlight w:val="none"/>
                <w:u w:val="none"/>
                <w:lang w:eastAsia="zh-CN"/>
              </w:rPr>
            </w:pPr>
            <w:r>
              <w:rPr>
                <w:rFonts w:hint="eastAsia" w:ascii="黑体" w:hAnsi="黑体" w:eastAsia="黑体" w:cs="黑体"/>
                <w:b/>
                <w:bCs/>
                <w:i w:val="0"/>
                <w:iCs w:val="0"/>
                <w:color w:val="auto"/>
                <w:kern w:val="0"/>
                <w:sz w:val="21"/>
                <w:szCs w:val="21"/>
                <w:highlight w:val="none"/>
                <w:u w:val="none"/>
                <w:lang w:val="en-US" w:eastAsia="zh-CN" w:bidi="ar"/>
              </w:rPr>
              <w:t>数据建设与处理</w:t>
            </w:r>
          </w:p>
        </w:tc>
      </w:tr>
      <w:tr w14:paraId="51C37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tcBorders>
              <w:top w:val="single" w:color="000000" w:sz="4" w:space="0"/>
              <w:left w:val="single" w:color="000000" w:sz="4" w:space="0"/>
              <w:bottom w:val="single" w:color="000000" w:sz="4" w:space="0"/>
              <w:right w:val="single" w:color="000000" w:sz="4" w:space="0"/>
            </w:tcBorders>
            <w:noWrap w:val="0"/>
            <w:vAlign w:val="center"/>
          </w:tcPr>
          <w:p w14:paraId="6603E1F3">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1</w:t>
            </w:r>
          </w:p>
        </w:tc>
        <w:tc>
          <w:tcPr>
            <w:tcW w:w="1019" w:type="dxa"/>
            <w:vMerge w:val="restart"/>
            <w:tcBorders>
              <w:top w:val="single" w:color="000000" w:sz="4" w:space="0"/>
              <w:left w:val="single" w:color="000000" w:sz="4" w:space="0"/>
              <w:bottom w:val="single" w:color="000000" w:sz="4" w:space="0"/>
              <w:right w:val="single" w:color="000000" w:sz="4" w:space="0"/>
            </w:tcBorders>
            <w:noWrap w:val="0"/>
            <w:vAlign w:val="center"/>
          </w:tcPr>
          <w:p w14:paraId="41335FF7">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基础地图数据</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2AD54357">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数字正射影像</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5F499075">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采用0.5分辨率龙山县主城区数字正射影像数据</w:t>
            </w:r>
          </w:p>
        </w:tc>
        <w:tc>
          <w:tcPr>
            <w:tcW w:w="722" w:type="dxa"/>
            <w:tcBorders>
              <w:top w:val="single" w:color="000000" w:sz="4" w:space="0"/>
              <w:left w:val="single" w:color="000000" w:sz="4" w:space="0"/>
              <w:bottom w:val="single" w:color="000000" w:sz="4" w:space="0"/>
              <w:right w:val="single" w:color="000000" w:sz="4" w:space="0"/>
            </w:tcBorders>
            <w:noWrap w:val="0"/>
            <w:vAlign w:val="center"/>
          </w:tcPr>
          <w:p w14:paraId="3C99C85D">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项</w:t>
            </w:r>
          </w:p>
        </w:tc>
        <w:tc>
          <w:tcPr>
            <w:tcW w:w="769" w:type="dxa"/>
            <w:tcBorders>
              <w:top w:val="single" w:color="000000" w:sz="4" w:space="0"/>
              <w:left w:val="single" w:color="000000" w:sz="4" w:space="0"/>
              <w:bottom w:val="single" w:color="000000" w:sz="4" w:space="0"/>
              <w:right w:val="single" w:color="000000" w:sz="4" w:space="0"/>
            </w:tcBorders>
            <w:noWrap w:val="0"/>
            <w:vAlign w:val="center"/>
          </w:tcPr>
          <w:p w14:paraId="35C32E6E">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1</w:t>
            </w:r>
          </w:p>
        </w:tc>
        <w:tc>
          <w:tcPr>
            <w:tcW w:w="1764" w:type="dxa"/>
            <w:tcBorders>
              <w:top w:val="single" w:color="000000" w:sz="4" w:space="0"/>
              <w:left w:val="single" w:color="000000" w:sz="4" w:space="0"/>
              <w:bottom w:val="single" w:color="000000" w:sz="4" w:space="0"/>
              <w:right w:val="single" w:color="000000" w:sz="4" w:space="0"/>
            </w:tcBorders>
            <w:noWrap w:val="0"/>
            <w:vAlign w:val="center"/>
          </w:tcPr>
          <w:p w14:paraId="4ACE9723">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p>
        </w:tc>
      </w:tr>
      <w:tr w14:paraId="59A10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tcBorders>
              <w:top w:val="single" w:color="000000" w:sz="4" w:space="0"/>
              <w:left w:val="single" w:color="000000" w:sz="4" w:space="0"/>
              <w:bottom w:val="single" w:color="000000" w:sz="4" w:space="0"/>
              <w:right w:val="single" w:color="000000" w:sz="4" w:space="0"/>
            </w:tcBorders>
            <w:noWrap w:val="0"/>
            <w:vAlign w:val="center"/>
          </w:tcPr>
          <w:p w14:paraId="53770C9E">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2</w:t>
            </w: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A4782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399669F8">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矢量电子地图</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1BF20A75">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龙山县1：2000电子地图，含路网、兴趣点、地名矢量数据，支持导航</w:t>
            </w:r>
          </w:p>
        </w:tc>
        <w:tc>
          <w:tcPr>
            <w:tcW w:w="722" w:type="dxa"/>
            <w:tcBorders>
              <w:top w:val="single" w:color="000000" w:sz="4" w:space="0"/>
              <w:left w:val="single" w:color="000000" w:sz="4" w:space="0"/>
              <w:bottom w:val="single" w:color="000000" w:sz="4" w:space="0"/>
              <w:right w:val="single" w:color="000000" w:sz="4" w:space="0"/>
            </w:tcBorders>
            <w:noWrap w:val="0"/>
            <w:vAlign w:val="center"/>
          </w:tcPr>
          <w:p w14:paraId="6B45C09A">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项</w:t>
            </w:r>
          </w:p>
        </w:tc>
        <w:tc>
          <w:tcPr>
            <w:tcW w:w="769" w:type="dxa"/>
            <w:tcBorders>
              <w:top w:val="single" w:color="000000" w:sz="4" w:space="0"/>
              <w:left w:val="single" w:color="000000" w:sz="4" w:space="0"/>
              <w:bottom w:val="single" w:color="000000" w:sz="4" w:space="0"/>
              <w:right w:val="single" w:color="000000" w:sz="4" w:space="0"/>
            </w:tcBorders>
            <w:noWrap w:val="0"/>
            <w:vAlign w:val="center"/>
          </w:tcPr>
          <w:p w14:paraId="75B272BC">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1</w:t>
            </w:r>
          </w:p>
        </w:tc>
        <w:tc>
          <w:tcPr>
            <w:tcW w:w="1764" w:type="dxa"/>
            <w:tcBorders>
              <w:top w:val="single" w:color="000000" w:sz="4" w:space="0"/>
              <w:left w:val="single" w:color="000000" w:sz="4" w:space="0"/>
              <w:bottom w:val="single" w:color="000000" w:sz="4" w:space="0"/>
              <w:right w:val="single" w:color="000000" w:sz="4" w:space="0"/>
            </w:tcBorders>
            <w:noWrap w:val="0"/>
            <w:vAlign w:val="center"/>
          </w:tcPr>
          <w:p w14:paraId="38896B0B">
            <w:pPr>
              <w:keepNext w:val="0"/>
              <w:keepLines w:val="0"/>
              <w:pageBreakBefore w:val="0"/>
              <w:kinsoku/>
              <w:wordWrap/>
              <w:overflowPunct/>
              <w:topLinePunct w:val="0"/>
              <w:autoSpaceDE/>
              <w:autoSpaceDN/>
              <w:bidi w:val="0"/>
              <w:adjustRightInd/>
              <w:snapToGrid/>
              <w:spacing w:line="320" w:lineRule="exact"/>
              <w:ind w:firstLine="0" w:firstLineChars="0"/>
              <w:jc w:val="left"/>
              <w:rPr>
                <w:rFonts w:hint="eastAsia" w:ascii="黑体" w:hAnsi="黑体" w:eastAsia="黑体" w:cs="黑体"/>
                <w:i w:val="0"/>
                <w:iCs w:val="0"/>
                <w:color w:val="auto"/>
                <w:sz w:val="21"/>
                <w:szCs w:val="21"/>
                <w:highlight w:val="none"/>
                <w:u w:val="none"/>
                <w:lang w:eastAsia="zh-CN"/>
              </w:rPr>
            </w:pPr>
          </w:p>
        </w:tc>
      </w:tr>
      <w:tr w14:paraId="51ECF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restart"/>
            <w:tcBorders>
              <w:top w:val="single" w:color="000000" w:sz="4" w:space="0"/>
              <w:left w:val="single" w:color="000000" w:sz="4" w:space="0"/>
              <w:right w:val="single" w:color="000000" w:sz="4" w:space="0"/>
            </w:tcBorders>
            <w:noWrap w:val="0"/>
            <w:vAlign w:val="center"/>
          </w:tcPr>
          <w:p w14:paraId="0EC4AAD0">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3</w:t>
            </w:r>
          </w:p>
        </w:tc>
        <w:tc>
          <w:tcPr>
            <w:tcW w:w="1019" w:type="dxa"/>
            <w:vMerge w:val="restart"/>
            <w:tcBorders>
              <w:top w:val="single" w:color="000000" w:sz="4" w:space="0"/>
              <w:left w:val="single" w:color="000000" w:sz="4" w:space="0"/>
              <w:bottom w:val="single" w:color="000000" w:sz="4" w:space="0"/>
              <w:right w:val="single" w:color="000000" w:sz="4" w:space="0"/>
            </w:tcBorders>
            <w:noWrap w:val="0"/>
            <w:vAlign w:val="center"/>
          </w:tcPr>
          <w:p w14:paraId="4A101F95">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三维建模</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7048D203">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生命线管线三维建模</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51549E30">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市政设施普查的各大类管线型建模</w:t>
            </w:r>
          </w:p>
        </w:tc>
        <w:tc>
          <w:tcPr>
            <w:tcW w:w="722" w:type="dxa"/>
            <w:tcBorders>
              <w:top w:val="single" w:color="000000" w:sz="4" w:space="0"/>
              <w:left w:val="single" w:color="000000" w:sz="4" w:space="0"/>
              <w:bottom w:val="single" w:color="000000" w:sz="4" w:space="0"/>
              <w:right w:val="single" w:color="000000" w:sz="4" w:space="0"/>
            </w:tcBorders>
            <w:noWrap w:val="0"/>
            <w:vAlign w:val="center"/>
          </w:tcPr>
          <w:p w14:paraId="2CCDCE58">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项</w:t>
            </w:r>
          </w:p>
        </w:tc>
        <w:tc>
          <w:tcPr>
            <w:tcW w:w="769" w:type="dxa"/>
            <w:tcBorders>
              <w:top w:val="single" w:color="000000" w:sz="4" w:space="0"/>
              <w:left w:val="single" w:color="000000" w:sz="4" w:space="0"/>
              <w:bottom w:val="single" w:color="000000" w:sz="4" w:space="0"/>
              <w:right w:val="single" w:color="000000" w:sz="4" w:space="0"/>
            </w:tcBorders>
            <w:noWrap w:val="0"/>
            <w:vAlign w:val="center"/>
          </w:tcPr>
          <w:p w14:paraId="59D4CB85">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1</w:t>
            </w:r>
          </w:p>
        </w:tc>
        <w:tc>
          <w:tcPr>
            <w:tcW w:w="1764" w:type="dxa"/>
            <w:tcBorders>
              <w:top w:val="single" w:color="000000" w:sz="4" w:space="0"/>
              <w:left w:val="single" w:color="000000" w:sz="4" w:space="0"/>
              <w:bottom w:val="single" w:color="000000" w:sz="4" w:space="0"/>
              <w:right w:val="single" w:color="000000" w:sz="4" w:space="0"/>
            </w:tcBorders>
            <w:noWrap w:val="0"/>
            <w:vAlign w:val="center"/>
          </w:tcPr>
          <w:p w14:paraId="6212750D">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对龙山县约1510公里市政管网数据进行三维建模</w:t>
            </w:r>
          </w:p>
        </w:tc>
      </w:tr>
      <w:tr w14:paraId="6AAF3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left w:val="single" w:color="000000" w:sz="4" w:space="0"/>
              <w:bottom w:val="single" w:color="000000" w:sz="4" w:space="0"/>
              <w:right w:val="single" w:color="000000" w:sz="4" w:space="0"/>
            </w:tcBorders>
            <w:noWrap w:val="0"/>
            <w:vAlign w:val="center"/>
          </w:tcPr>
          <w:p w14:paraId="28DF3837">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A0296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70750FF6">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桥梁三维建模</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0873177B">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桥梁三维建模</w:t>
            </w:r>
          </w:p>
        </w:tc>
        <w:tc>
          <w:tcPr>
            <w:tcW w:w="722" w:type="dxa"/>
            <w:tcBorders>
              <w:top w:val="single" w:color="000000" w:sz="4" w:space="0"/>
              <w:left w:val="single" w:color="000000" w:sz="4" w:space="0"/>
              <w:bottom w:val="single" w:color="000000" w:sz="4" w:space="0"/>
              <w:right w:val="single" w:color="000000" w:sz="4" w:space="0"/>
            </w:tcBorders>
            <w:noWrap w:val="0"/>
            <w:vAlign w:val="center"/>
          </w:tcPr>
          <w:p w14:paraId="154D09B3">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项</w:t>
            </w:r>
          </w:p>
        </w:tc>
        <w:tc>
          <w:tcPr>
            <w:tcW w:w="769" w:type="dxa"/>
            <w:tcBorders>
              <w:top w:val="single" w:color="000000" w:sz="4" w:space="0"/>
              <w:left w:val="single" w:color="000000" w:sz="4" w:space="0"/>
              <w:bottom w:val="single" w:color="000000" w:sz="4" w:space="0"/>
              <w:right w:val="single" w:color="000000" w:sz="4" w:space="0"/>
            </w:tcBorders>
            <w:noWrap w:val="0"/>
            <w:vAlign w:val="center"/>
          </w:tcPr>
          <w:p w14:paraId="75672C06">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3</w:t>
            </w:r>
          </w:p>
        </w:tc>
        <w:tc>
          <w:tcPr>
            <w:tcW w:w="1764" w:type="dxa"/>
            <w:tcBorders>
              <w:top w:val="single" w:color="000000" w:sz="4" w:space="0"/>
              <w:left w:val="single" w:color="000000" w:sz="4" w:space="0"/>
              <w:bottom w:val="single" w:color="000000" w:sz="4" w:space="0"/>
              <w:right w:val="single" w:color="000000" w:sz="4" w:space="0"/>
            </w:tcBorders>
            <w:noWrap w:val="0"/>
            <w:vAlign w:val="center"/>
          </w:tcPr>
          <w:p w14:paraId="3A9D9C99">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p>
        </w:tc>
      </w:tr>
      <w:tr w14:paraId="23560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tcBorders>
              <w:top w:val="single" w:color="000000" w:sz="4" w:space="0"/>
              <w:left w:val="single" w:color="000000" w:sz="4" w:space="0"/>
              <w:bottom w:val="single" w:color="000000" w:sz="4" w:space="0"/>
              <w:right w:val="single" w:color="000000" w:sz="4" w:space="0"/>
            </w:tcBorders>
            <w:noWrap w:val="0"/>
            <w:vAlign w:val="center"/>
          </w:tcPr>
          <w:p w14:paraId="1650C7B9">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4</w:t>
            </w:r>
          </w:p>
        </w:tc>
        <w:tc>
          <w:tcPr>
            <w:tcW w:w="1019" w:type="dxa"/>
            <w:vMerge w:val="restart"/>
            <w:tcBorders>
              <w:top w:val="single" w:color="000000" w:sz="4" w:space="0"/>
              <w:left w:val="single" w:color="000000" w:sz="4" w:space="0"/>
              <w:bottom w:val="single" w:color="000000" w:sz="4" w:space="0"/>
              <w:right w:val="single" w:color="000000" w:sz="4" w:space="0"/>
            </w:tcBorders>
            <w:noWrap w:val="0"/>
            <w:vAlign w:val="center"/>
          </w:tcPr>
          <w:p w14:paraId="531F8E5F">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both"/>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城市生命线数据处理入库</w:t>
            </w:r>
          </w:p>
        </w:tc>
        <w:tc>
          <w:tcPr>
            <w:tcW w:w="1530" w:type="dxa"/>
            <w:vMerge w:val="restart"/>
            <w:tcBorders>
              <w:top w:val="single" w:color="000000" w:sz="4" w:space="0"/>
              <w:left w:val="single" w:color="000000" w:sz="4" w:space="0"/>
              <w:bottom w:val="single" w:color="000000" w:sz="4" w:space="0"/>
              <w:right w:val="single" w:color="000000" w:sz="4" w:space="0"/>
            </w:tcBorders>
            <w:noWrap w:val="0"/>
            <w:vAlign w:val="center"/>
          </w:tcPr>
          <w:p w14:paraId="04316F91">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基础地理数据处理</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0E10B060">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完成更新后的正射影像数据的标准化处理及入库。</w:t>
            </w:r>
          </w:p>
        </w:tc>
        <w:tc>
          <w:tcPr>
            <w:tcW w:w="722" w:type="dxa"/>
            <w:tcBorders>
              <w:top w:val="single" w:color="000000" w:sz="4" w:space="0"/>
              <w:left w:val="single" w:color="000000" w:sz="4" w:space="0"/>
              <w:bottom w:val="single" w:color="000000" w:sz="4" w:space="0"/>
              <w:right w:val="single" w:color="000000" w:sz="4" w:space="0"/>
            </w:tcBorders>
            <w:noWrap w:val="0"/>
            <w:vAlign w:val="center"/>
          </w:tcPr>
          <w:p w14:paraId="587FFDD2">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项</w:t>
            </w:r>
          </w:p>
        </w:tc>
        <w:tc>
          <w:tcPr>
            <w:tcW w:w="769" w:type="dxa"/>
            <w:tcBorders>
              <w:top w:val="single" w:color="000000" w:sz="4" w:space="0"/>
              <w:left w:val="single" w:color="000000" w:sz="4" w:space="0"/>
              <w:bottom w:val="single" w:color="000000" w:sz="4" w:space="0"/>
              <w:right w:val="single" w:color="000000" w:sz="4" w:space="0"/>
            </w:tcBorders>
            <w:noWrap w:val="0"/>
            <w:vAlign w:val="center"/>
          </w:tcPr>
          <w:p w14:paraId="747AB02D">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1</w:t>
            </w:r>
          </w:p>
        </w:tc>
        <w:tc>
          <w:tcPr>
            <w:tcW w:w="1764" w:type="dxa"/>
            <w:vMerge w:val="restart"/>
            <w:tcBorders>
              <w:top w:val="single" w:color="000000" w:sz="4" w:space="0"/>
              <w:left w:val="single" w:color="000000" w:sz="4" w:space="0"/>
              <w:bottom w:val="single" w:color="000000" w:sz="4" w:space="0"/>
              <w:right w:val="single" w:color="000000" w:sz="4" w:space="0"/>
            </w:tcBorders>
            <w:noWrap w:val="0"/>
            <w:vAlign w:val="center"/>
          </w:tcPr>
          <w:p w14:paraId="7C34AB06">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p>
        </w:tc>
      </w:tr>
      <w:tr w14:paraId="6E5BC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tcBorders>
              <w:top w:val="single" w:color="000000" w:sz="4" w:space="0"/>
              <w:left w:val="single" w:color="000000" w:sz="4" w:space="0"/>
              <w:bottom w:val="single" w:color="000000" w:sz="4" w:space="0"/>
              <w:right w:val="single" w:color="000000" w:sz="4" w:space="0"/>
            </w:tcBorders>
            <w:noWrap w:val="0"/>
            <w:vAlign w:val="center"/>
          </w:tcPr>
          <w:p w14:paraId="3F62EF6B">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5</w:t>
            </w: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F3E09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617FC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54A01B03">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完成更新后的矢量电子地图的标准化处理及入库。</w:t>
            </w:r>
          </w:p>
        </w:tc>
        <w:tc>
          <w:tcPr>
            <w:tcW w:w="722" w:type="dxa"/>
            <w:tcBorders>
              <w:top w:val="single" w:color="000000" w:sz="4" w:space="0"/>
              <w:left w:val="single" w:color="000000" w:sz="4" w:space="0"/>
              <w:bottom w:val="single" w:color="000000" w:sz="4" w:space="0"/>
              <w:right w:val="single" w:color="000000" w:sz="4" w:space="0"/>
            </w:tcBorders>
            <w:noWrap w:val="0"/>
            <w:vAlign w:val="center"/>
          </w:tcPr>
          <w:p w14:paraId="437CF0AE">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项</w:t>
            </w:r>
          </w:p>
        </w:tc>
        <w:tc>
          <w:tcPr>
            <w:tcW w:w="769" w:type="dxa"/>
            <w:tcBorders>
              <w:top w:val="single" w:color="000000" w:sz="4" w:space="0"/>
              <w:left w:val="single" w:color="000000" w:sz="4" w:space="0"/>
              <w:bottom w:val="single" w:color="000000" w:sz="4" w:space="0"/>
              <w:right w:val="single" w:color="000000" w:sz="4" w:space="0"/>
            </w:tcBorders>
            <w:noWrap w:val="0"/>
            <w:vAlign w:val="center"/>
          </w:tcPr>
          <w:p w14:paraId="103E6AC3">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1</w:t>
            </w: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5C67C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27BB5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tcBorders>
              <w:top w:val="single" w:color="000000" w:sz="4" w:space="0"/>
              <w:left w:val="single" w:color="000000" w:sz="4" w:space="0"/>
              <w:bottom w:val="single" w:color="000000" w:sz="4" w:space="0"/>
              <w:right w:val="single" w:color="000000" w:sz="4" w:space="0"/>
            </w:tcBorders>
            <w:noWrap w:val="0"/>
            <w:vAlign w:val="center"/>
          </w:tcPr>
          <w:p w14:paraId="358B844E">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6</w:t>
            </w: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55E3A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6A9E2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26CD9068">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城市生命线设施数据处理及入库，包含桥梁、燃气厂站、泵站等生命线设施</w:t>
            </w:r>
          </w:p>
        </w:tc>
        <w:tc>
          <w:tcPr>
            <w:tcW w:w="722" w:type="dxa"/>
            <w:tcBorders>
              <w:top w:val="single" w:color="000000" w:sz="4" w:space="0"/>
              <w:left w:val="single" w:color="000000" w:sz="4" w:space="0"/>
              <w:bottom w:val="single" w:color="000000" w:sz="4" w:space="0"/>
              <w:right w:val="single" w:color="000000" w:sz="4" w:space="0"/>
            </w:tcBorders>
            <w:noWrap w:val="0"/>
            <w:vAlign w:val="center"/>
          </w:tcPr>
          <w:p w14:paraId="5D01CC84">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项</w:t>
            </w:r>
          </w:p>
        </w:tc>
        <w:tc>
          <w:tcPr>
            <w:tcW w:w="769" w:type="dxa"/>
            <w:tcBorders>
              <w:top w:val="single" w:color="000000" w:sz="4" w:space="0"/>
              <w:left w:val="single" w:color="000000" w:sz="4" w:space="0"/>
              <w:bottom w:val="single" w:color="000000" w:sz="4" w:space="0"/>
              <w:right w:val="single" w:color="000000" w:sz="4" w:space="0"/>
            </w:tcBorders>
            <w:noWrap w:val="0"/>
            <w:vAlign w:val="center"/>
          </w:tcPr>
          <w:p w14:paraId="212B61A2">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 xml:space="preserve">1 </w:t>
            </w:r>
          </w:p>
        </w:tc>
        <w:tc>
          <w:tcPr>
            <w:tcW w:w="1764" w:type="dxa"/>
            <w:tcBorders>
              <w:top w:val="single" w:color="000000" w:sz="4" w:space="0"/>
              <w:left w:val="single" w:color="000000" w:sz="4" w:space="0"/>
              <w:bottom w:val="single" w:color="000000" w:sz="4" w:space="0"/>
              <w:right w:val="single" w:color="000000" w:sz="4" w:space="0"/>
            </w:tcBorders>
            <w:noWrap w:val="0"/>
            <w:vAlign w:val="center"/>
          </w:tcPr>
          <w:p w14:paraId="07D1F600">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p>
        </w:tc>
      </w:tr>
      <w:tr w14:paraId="3A469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tcBorders>
              <w:top w:val="single" w:color="000000" w:sz="4" w:space="0"/>
              <w:left w:val="single" w:color="000000" w:sz="4" w:space="0"/>
              <w:bottom w:val="single" w:color="000000" w:sz="4" w:space="0"/>
              <w:right w:val="single" w:color="000000" w:sz="4" w:space="0"/>
            </w:tcBorders>
            <w:noWrap w:val="0"/>
            <w:vAlign w:val="center"/>
          </w:tcPr>
          <w:p w14:paraId="157E2AD3">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7</w:t>
            </w: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D9E12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67D9B9A7">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城市生命线设施隐患数据处理</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0F7576B1">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整理已有城市生命线设施隐患数据处理及入库。</w:t>
            </w:r>
          </w:p>
        </w:tc>
        <w:tc>
          <w:tcPr>
            <w:tcW w:w="722" w:type="dxa"/>
            <w:tcBorders>
              <w:top w:val="single" w:color="000000" w:sz="4" w:space="0"/>
              <w:left w:val="single" w:color="000000" w:sz="4" w:space="0"/>
              <w:bottom w:val="single" w:color="000000" w:sz="4" w:space="0"/>
              <w:right w:val="single" w:color="000000" w:sz="4" w:space="0"/>
            </w:tcBorders>
            <w:noWrap w:val="0"/>
            <w:vAlign w:val="center"/>
          </w:tcPr>
          <w:p w14:paraId="45E041E0">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项</w:t>
            </w:r>
          </w:p>
        </w:tc>
        <w:tc>
          <w:tcPr>
            <w:tcW w:w="769" w:type="dxa"/>
            <w:tcBorders>
              <w:top w:val="single" w:color="000000" w:sz="4" w:space="0"/>
              <w:left w:val="single" w:color="000000" w:sz="4" w:space="0"/>
              <w:bottom w:val="single" w:color="000000" w:sz="4" w:space="0"/>
              <w:right w:val="single" w:color="000000" w:sz="4" w:space="0"/>
            </w:tcBorders>
            <w:noWrap w:val="0"/>
            <w:vAlign w:val="center"/>
          </w:tcPr>
          <w:p w14:paraId="6CA9BF5E">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 xml:space="preserve">1 </w:t>
            </w:r>
          </w:p>
        </w:tc>
        <w:tc>
          <w:tcPr>
            <w:tcW w:w="1764" w:type="dxa"/>
            <w:tcBorders>
              <w:top w:val="single" w:color="000000" w:sz="4" w:space="0"/>
              <w:left w:val="single" w:color="000000" w:sz="4" w:space="0"/>
              <w:bottom w:val="single" w:color="000000" w:sz="4" w:space="0"/>
              <w:right w:val="single" w:color="000000" w:sz="4" w:space="0"/>
            </w:tcBorders>
            <w:noWrap w:val="0"/>
            <w:vAlign w:val="center"/>
          </w:tcPr>
          <w:p w14:paraId="01E152B7">
            <w:pPr>
              <w:keepNext w:val="0"/>
              <w:keepLines w:val="0"/>
              <w:pageBreakBefore w:val="0"/>
              <w:kinsoku/>
              <w:wordWrap/>
              <w:overflowPunct/>
              <w:topLinePunct w:val="0"/>
              <w:autoSpaceDE/>
              <w:autoSpaceDN/>
              <w:bidi w:val="0"/>
              <w:adjustRightInd/>
              <w:snapToGrid/>
              <w:spacing w:line="320" w:lineRule="exact"/>
              <w:ind w:firstLine="0" w:firstLineChars="0"/>
              <w:rPr>
                <w:rFonts w:hint="eastAsia" w:ascii="黑体" w:hAnsi="黑体" w:eastAsia="黑体" w:cs="黑体"/>
                <w:i w:val="0"/>
                <w:iCs w:val="0"/>
                <w:color w:val="auto"/>
                <w:sz w:val="21"/>
                <w:szCs w:val="21"/>
                <w:highlight w:val="none"/>
                <w:u w:val="none"/>
                <w:lang w:eastAsia="zh-CN"/>
              </w:rPr>
            </w:pPr>
          </w:p>
        </w:tc>
      </w:tr>
      <w:tr w14:paraId="354AF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tcBorders>
              <w:top w:val="single" w:color="000000" w:sz="4" w:space="0"/>
              <w:left w:val="single" w:color="000000" w:sz="4" w:space="0"/>
              <w:bottom w:val="single" w:color="000000" w:sz="4" w:space="0"/>
              <w:right w:val="single" w:color="000000" w:sz="4" w:space="0"/>
            </w:tcBorders>
            <w:noWrap w:val="0"/>
            <w:vAlign w:val="center"/>
          </w:tcPr>
          <w:p w14:paraId="1DBFFDD6">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8</w:t>
            </w: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54F61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34D23325">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城市生命线设施监测数据处理</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15B0A643">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整理已有城市生命线设施监测数据处理及入库。</w:t>
            </w:r>
          </w:p>
        </w:tc>
        <w:tc>
          <w:tcPr>
            <w:tcW w:w="722" w:type="dxa"/>
            <w:tcBorders>
              <w:top w:val="single" w:color="000000" w:sz="4" w:space="0"/>
              <w:left w:val="single" w:color="000000" w:sz="4" w:space="0"/>
              <w:bottom w:val="single" w:color="000000" w:sz="4" w:space="0"/>
              <w:right w:val="single" w:color="000000" w:sz="4" w:space="0"/>
            </w:tcBorders>
            <w:noWrap w:val="0"/>
            <w:vAlign w:val="center"/>
          </w:tcPr>
          <w:p w14:paraId="4D31860D">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项</w:t>
            </w:r>
          </w:p>
        </w:tc>
        <w:tc>
          <w:tcPr>
            <w:tcW w:w="769" w:type="dxa"/>
            <w:tcBorders>
              <w:top w:val="single" w:color="000000" w:sz="4" w:space="0"/>
              <w:left w:val="single" w:color="000000" w:sz="4" w:space="0"/>
              <w:bottom w:val="single" w:color="000000" w:sz="4" w:space="0"/>
              <w:right w:val="single" w:color="000000" w:sz="4" w:space="0"/>
            </w:tcBorders>
            <w:noWrap w:val="0"/>
            <w:vAlign w:val="center"/>
          </w:tcPr>
          <w:p w14:paraId="526F228D">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 xml:space="preserve">1 </w:t>
            </w:r>
          </w:p>
        </w:tc>
        <w:tc>
          <w:tcPr>
            <w:tcW w:w="1764" w:type="dxa"/>
            <w:tcBorders>
              <w:top w:val="single" w:color="000000" w:sz="4" w:space="0"/>
              <w:left w:val="single" w:color="000000" w:sz="4" w:space="0"/>
              <w:bottom w:val="single" w:color="000000" w:sz="4" w:space="0"/>
              <w:right w:val="single" w:color="000000" w:sz="4" w:space="0"/>
            </w:tcBorders>
            <w:noWrap w:val="0"/>
            <w:vAlign w:val="center"/>
          </w:tcPr>
          <w:p w14:paraId="5ED8323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5B54D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tcBorders>
              <w:top w:val="single" w:color="000000" w:sz="4" w:space="0"/>
              <w:left w:val="single" w:color="000000" w:sz="4" w:space="0"/>
              <w:bottom w:val="single" w:color="000000" w:sz="4" w:space="0"/>
              <w:right w:val="single" w:color="000000" w:sz="4" w:space="0"/>
            </w:tcBorders>
            <w:noWrap w:val="0"/>
            <w:vAlign w:val="center"/>
          </w:tcPr>
          <w:p w14:paraId="00991B92">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9</w:t>
            </w:r>
          </w:p>
        </w:tc>
        <w:tc>
          <w:tcPr>
            <w:tcW w:w="1019" w:type="dxa"/>
            <w:tcBorders>
              <w:top w:val="single" w:color="000000" w:sz="4" w:space="0"/>
              <w:left w:val="single" w:color="000000" w:sz="4" w:space="0"/>
              <w:bottom w:val="single" w:color="000000" w:sz="4" w:space="0"/>
              <w:right w:val="single" w:color="000000" w:sz="4" w:space="0"/>
            </w:tcBorders>
            <w:noWrap w:val="0"/>
            <w:vAlign w:val="center"/>
          </w:tcPr>
          <w:p w14:paraId="343CA5F7">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数据脱敏</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56D38F59">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市政设施数据脱敏</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43BD796D">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对龙山县约1510公里市政管网数据进行脱敏处理，使之满足生命线建设敏感数据使用</w:t>
            </w:r>
          </w:p>
        </w:tc>
        <w:tc>
          <w:tcPr>
            <w:tcW w:w="722" w:type="dxa"/>
            <w:tcBorders>
              <w:top w:val="single" w:color="000000" w:sz="4" w:space="0"/>
              <w:left w:val="single" w:color="000000" w:sz="4" w:space="0"/>
              <w:bottom w:val="single" w:color="000000" w:sz="4" w:space="0"/>
              <w:right w:val="single" w:color="000000" w:sz="4" w:space="0"/>
            </w:tcBorders>
            <w:noWrap w:val="0"/>
            <w:vAlign w:val="center"/>
          </w:tcPr>
          <w:p w14:paraId="4FC527A1">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项</w:t>
            </w:r>
          </w:p>
        </w:tc>
        <w:tc>
          <w:tcPr>
            <w:tcW w:w="769" w:type="dxa"/>
            <w:tcBorders>
              <w:top w:val="single" w:color="000000" w:sz="4" w:space="0"/>
              <w:left w:val="single" w:color="000000" w:sz="4" w:space="0"/>
              <w:bottom w:val="single" w:color="000000" w:sz="4" w:space="0"/>
              <w:right w:val="single" w:color="000000" w:sz="4" w:space="0"/>
            </w:tcBorders>
            <w:noWrap w:val="0"/>
            <w:vAlign w:val="center"/>
          </w:tcPr>
          <w:p w14:paraId="5C8AD321">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 xml:space="preserve">1 </w:t>
            </w:r>
          </w:p>
        </w:tc>
        <w:tc>
          <w:tcPr>
            <w:tcW w:w="1764" w:type="dxa"/>
            <w:tcBorders>
              <w:top w:val="single" w:color="000000" w:sz="4" w:space="0"/>
              <w:left w:val="single" w:color="000000" w:sz="4" w:space="0"/>
              <w:bottom w:val="single" w:color="000000" w:sz="4" w:space="0"/>
              <w:right w:val="single" w:color="000000" w:sz="4" w:space="0"/>
            </w:tcBorders>
            <w:noWrap w:val="0"/>
            <w:vAlign w:val="center"/>
          </w:tcPr>
          <w:p w14:paraId="32786FE1">
            <w:pPr>
              <w:keepNext w:val="0"/>
              <w:keepLines w:val="0"/>
              <w:pageBreakBefore w:val="0"/>
              <w:kinsoku/>
              <w:wordWrap/>
              <w:overflowPunct/>
              <w:topLinePunct w:val="0"/>
              <w:autoSpaceDE/>
              <w:autoSpaceDN/>
              <w:bidi w:val="0"/>
              <w:adjustRightInd/>
              <w:snapToGrid/>
              <w:spacing w:line="320" w:lineRule="exact"/>
              <w:ind w:firstLine="0" w:firstLineChars="0"/>
              <w:rPr>
                <w:rFonts w:hint="eastAsia" w:ascii="黑体" w:hAnsi="黑体" w:eastAsia="黑体" w:cs="黑体"/>
                <w:i w:val="0"/>
                <w:iCs w:val="0"/>
                <w:color w:val="auto"/>
                <w:sz w:val="21"/>
                <w:szCs w:val="21"/>
                <w:highlight w:val="none"/>
                <w:u w:val="none"/>
                <w:lang w:eastAsia="zh-CN"/>
              </w:rPr>
            </w:pPr>
          </w:p>
        </w:tc>
      </w:tr>
      <w:tr w14:paraId="7D04D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tcBorders>
              <w:top w:val="single" w:color="000000" w:sz="4" w:space="0"/>
              <w:left w:val="single" w:color="000000" w:sz="4" w:space="0"/>
              <w:bottom w:val="single" w:color="000000" w:sz="4" w:space="0"/>
              <w:right w:val="single" w:color="000000" w:sz="4" w:space="0"/>
            </w:tcBorders>
            <w:noWrap w:val="0"/>
            <w:vAlign w:val="center"/>
          </w:tcPr>
          <w:p w14:paraId="658BE4CA">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b/>
                <w:bCs/>
                <w:i w:val="0"/>
                <w:iCs w:val="0"/>
                <w:color w:val="auto"/>
                <w:sz w:val="21"/>
                <w:szCs w:val="21"/>
                <w:highlight w:val="none"/>
                <w:u w:val="none"/>
                <w:lang w:eastAsia="zh-CN"/>
              </w:rPr>
            </w:pPr>
            <w:r>
              <w:rPr>
                <w:rFonts w:hint="eastAsia" w:ascii="黑体" w:hAnsi="黑体" w:eastAsia="黑体" w:cs="黑体"/>
                <w:b/>
                <w:bCs/>
                <w:i w:val="0"/>
                <w:iCs w:val="0"/>
                <w:color w:val="auto"/>
                <w:kern w:val="0"/>
                <w:sz w:val="21"/>
                <w:szCs w:val="21"/>
                <w:highlight w:val="none"/>
                <w:u w:val="none"/>
                <w:lang w:val="en-US" w:eastAsia="zh-CN" w:bidi="ar"/>
              </w:rPr>
              <w:t>二</w:t>
            </w:r>
          </w:p>
        </w:tc>
        <w:tc>
          <w:tcPr>
            <w:tcW w:w="8671" w:type="dxa"/>
            <w:gridSpan w:val="6"/>
            <w:tcBorders>
              <w:top w:val="single" w:color="000000" w:sz="4" w:space="0"/>
              <w:left w:val="single" w:color="000000" w:sz="4" w:space="0"/>
              <w:bottom w:val="single" w:color="000000" w:sz="4" w:space="0"/>
              <w:right w:val="single" w:color="000000" w:sz="4" w:space="0"/>
            </w:tcBorders>
            <w:noWrap w:val="0"/>
            <w:vAlign w:val="center"/>
          </w:tcPr>
          <w:p w14:paraId="04C1D8C4">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b/>
                <w:bCs/>
                <w:i w:val="0"/>
                <w:iCs w:val="0"/>
                <w:color w:val="auto"/>
                <w:sz w:val="21"/>
                <w:szCs w:val="21"/>
                <w:highlight w:val="none"/>
                <w:u w:val="none"/>
                <w:lang w:eastAsia="zh-CN"/>
              </w:rPr>
            </w:pPr>
            <w:r>
              <w:rPr>
                <w:rFonts w:hint="eastAsia" w:ascii="黑体" w:hAnsi="黑体" w:eastAsia="黑体" w:cs="黑体"/>
                <w:b/>
                <w:bCs/>
                <w:i w:val="0"/>
                <w:iCs w:val="0"/>
                <w:color w:val="auto"/>
                <w:kern w:val="0"/>
                <w:sz w:val="21"/>
                <w:szCs w:val="21"/>
                <w:highlight w:val="none"/>
                <w:u w:val="none"/>
                <w:lang w:val="en-US" w:eastAsia="zh-CN" w:bidi="ar"/>
              </w:rPr>
              <w:t>软硬件支撑平台</w:t>
            </w:r>
          </w:p>
        </w:tc>
      </w:tr>
      <w:tr w14:paraId="5CDE4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tcBorders>
              <w:top w:val="single" w:color="000000" w:sz="4" w:space="0"/>
              <w:left w:val="single" w:color="000000" w:sz="4" w:space="0"/>
              <w:bottom w:val="single" w:color="000000" w:sz="4" w:space="0"/>
              <w:right w:val="single" w:color="000000" w:sz="4" w:space="0"/>
            </w:tcBorders>
            <w:noWrap w:val="0"/>
            <w:vAlign w:val="center"/>
          </w:tcPr>
          <w:p w14:paraId="60F761B7">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1</w:t>
            </w:r>
          </w:p>
        </w:tc>
        <w:tc>
          <w:tcPr>
            <w:tcW w:w="1019" w:type="dxa"/>
            <w:tcBorders>
              <w:top w:val="single" w:color="000000" w:sz="4" w:space="0"/>
              <w:left w:val="single" w:color="000000" w:sz="4" w:space="0"/>
              <w:bottom w:val="single" w:color="000000" w:sz="4" w:space="0"/>
              <w:right w:val="single" w:color="000000" w:sz="4" w:space="0"/>
            </w:tcBorders>
            <w:noWrap w:val="0"/>
            <w:vAlign w:val="center"/>
          </w:tcPr>
          <w:p w14:paraId="252837E0">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GIS平台新增授权</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3E4A438B">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二三维一体化GIS平台新增授权</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50C99365">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国产二三维一体化GIS软件授权新增</w:t>
            </w:r>
          </w:p>
        </w:tc>
        <w:tc>
          <w:tcPr>
            <w:tcW w:w="722" w:type="dxa"/>
            <w:tcBorders>
              <w:top w:val="single" w:color="000000" w:sz="4" w:space="0"/>
              <w:left w:val="single" w:color="000000" w:sz="4" w:space="0"/>
              <w:bottom w:val="single" w:color="000000" w:sz="4" w:space="0"/>
              <w:right w:val="single" w:color="000000" w:sz="4" w:space="0"/>
            </w:tcBorders>
            <w:noWrap w:val="0"/>
            <w:vAlign w:val="center"/>
          </w:tcPr>
          <w:p w14:paraId="1406A9E2">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套</w:t>
            </w:r>
          </w:p>
        </w:tc>
        <w:tc>
          <w:tcPr>
            <w:tcW w:w="769" w:type="dxa"/>
            <w:tcBorders>
              <w:top w:val="single" w:color="000000" w:sz="4" w:space="0"/>
              <w:left w:val="single" w:color="000000" w:sz="4" w:space="0"/>
              <w:bottom w:val="single" w:color="000000" w:sz="4" w:space="0"/>
              <w:right w:val="single" w:color="000000" w:sz="4" w:space="0"/>
            </w:tcBorders>
            <w:noWrap w:val="0"/>
            <w:vAlign w:val="center"/>
          </w:tcPr>
          <w:p w14:paraId="5C5D73BB">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1</w:t>
            </w:r>
          </w:p>
        </w:tc>
        <w:tc>
          <w:tcPr>
            <w:tcW w:w="1764" w:type="dxa"/>
            <w:tcBorders>
              <w:top w:val="single" w:color="000000" w:sz="4" w:space="0"/>
              <w:left w:val="single" w:color="000000" w:sz="4" w:space="0"/>
              <w:bottom w:val="single" w:color="000000" w:sz="4" w:space="0"/>
              <w:right w:val="single" w:color="000000" w:sz="4" w:space="0"/>
            </w:tcBorders>
            <w:noWrap w:val="0"/>
            <w:vAlign w:val="center"/>
          </w:tcPr>
          <w:p w14:paraId="2EC7D2A8">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国产化</w:t>
            </w:r>
          </w:p>
        </w:tc>
      </w:tr>
      <w:tr w14:paraId="77E28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tcBorders>
              <w:top w:val="single" w:color="000000" w:sz="4" w:space="0"/>
              <w:left w:val="single" w:color="000000" w:sz="4" w:space="0"/>
              <w:bottom w:val="single" w:color="000000" w:sz="4" w:space="0"/>
              <w:right w:val="single" w:color="000000" w:sz="4" w:space="0"/>
            </w:tcBorders>
            <w:noWrap w:val="0"/>
            <w:vAlign w:val="center"/>
          </w:tcPr>
          <w:p w14:paraId="2B8A8A82">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2</w:t>
            </w:r>
            <w:bookmarkStart w:id="5" w:name="_GoBack"/>
            <w:bookmarkEnd w:id="5"/>
          </w:p>
        </w:tc>
        <w:tc>
          <w:tcPr>
            <w:tcW w:w="1019" w:type="dxa"/>
            <w:tcBorders>
              <w:top w:val="single" w:color="000000" w:sz="4" w:space="0"/>
              <w:left w:val="single" w:color="000000" w:sz="4" w:space="0"/>
              <w:bottom w:val="single" w:color="000000" w:sz="4" w:space="0"/>
              <w:right w:val="single" w:color="000000" w:sz="4" w:space="0"/>
            </w:tcBorders>
            <w:noWrap w:val="0"/>
            <w:vAlign w:val="center"/>
          </w:tcPr>
          <w:p w14:paraId="08AD544A">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网络专线</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6E69AD28">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网络带宽</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5B8EE98F">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30M 专享电子政务网带宽资源</w:t>
            </w:r>
          </w:p>
        </w:tc>
        <w:tc>
          <w:tcPr>
            <w:tcW w:w="722" w:type="dxa"/>
            <w:tcBorders>
              <w:top w:val="single" w:color="000000" w:sz="4" w:space="0"/>
              <w:left w:val="single" w:color="000000" w:sz="4" w:space="0"/>
              <w:bottom w:val="single" w:color="000000" w:sz="4" w:space="0"/>
              <w:right w:val="single" w:color="000000" w:sz="4" w:space="0"/>
            </w:tcBorders>
            <w:noWrap w:val="0"/>
            <w:vAlign w:val="center"/>
          </w:tcPr>
          <w:p w14:paraId="60643F56">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条/3年</w:t>
            </w:r>
          </w:p>
        </w:tc>
        <w:tc>
          <w:tcPr>
            <w:tcW w:w="769" w:type="dxa"/>
            <w:tcBorders>
              <w:top w:val="single" w:color="000000" w:sz="4" w:space="0"/>
              <w:left w:val="single" w:color="000000" w:sz="4" w:space="0"/>
              <w:bottom w:val="single" w:color="000000" w:sz="4" w:space="0"/>
              <w:right w:val="single" w:color="000000" w:sz="4" w:space="0"/>
            </w:tcBorders>
            <w:noWrap w:val="0"/>
            <w:vAlign w:val="center"/>
          </w:tcPr>
          <w:p w14:paraId="5F1C1A78">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3</w:t>
            </w:r>
          </w:p>
        </w:tc>
        <w:tc>
          <w:tcPr>
            <w:tcW w:w="1764" w:type="dxa"/>
            <w:tcBorders>
              <w:top w:val="single" w:color="000000" w:sz="4" w:space="0"/>
              <w:left w:val="single" w:color="000000" w:sz="4" w:space="0"/>
              <w:bottom w:val="single" w:color="000000" w:sz="4" w:space="0"/>
              <w:right w:val="single" w:color="000000" w:sz="4" w:space="0"/>
            </w:tcBorders>
            <w:noWrap w:val="0"/>
            <w:vAlign w:val="center"/>
          </w:tcPr>
          <w:p w14:paraId="50EF7B63">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三条专线，每条专线租赁三年</w:t>
            </w:r>
          </w:p>
        </w:tc>
      </w:tr>
      <w:tr w14:paraId="65B8F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tcBorders>
              <w:top w:val="single" w:color="000000" w:sz="4" w:space="0"/>
              <w:left w:val="single" w:color="000000" w:sz="4" w:space="0"/>
              <w:bottom w:val="single" w:color="000000" w:sz="4" w:space="0"/>
              <w:right w:val="single" w:color="000000" w:sz="4" w:space="0"/>
            </w:tcBorders>
            <w:noWrap w:val="0"/>
            <w:vAlign w:val="center"/>
          </w:tcPr>
          <w:p w14:paraId="6236423F">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b/>
                <w:bCs/>
                <w:i w:val="0"/>
                <w:iCs w:val="0"/>
                <w:color w:val="auto"/>
                <w:sz w:val="21"/>
                <w:szCs w:val="21"/>
                <w:highlight w:val="none"/>
                <w:u w:val="none"/>
                <w:lang w:eastAsia="zh-CN"/>
              </w:rPr>
            </w:pPr>
            <w:r>
              <w:rPr>
                <w:rFonts w:hint="eastAsia" w:ascii="黑体" w:hAnsi="黑体" w:eastAsia="黑体" w:cs="黑体"/>
                <w:b/>
                <w:bCs/>
                <w:i w:val="0"/>
                <w:iCs w:val="0"/>
                <w:color w:val="auto"/>
                <w:kern w:val="0"/>
                <w:sz w:val="21"/>
                <w:szCs w:val="21"/>
                <w:highlight w:val="none"/>
                <w:u w:val="none"/>
                <w:lang w:val="en-US" w:eastAsia="zh-CN" w:bidi="ar"/>
              </w:rPr>
              <w:t>三</w:t>
            </w:r>
          </w:p>
        </w:tc>
        <w:tc>
          <w:tcPr>
            <w:tcW w:w="8671" w:type="dxa"/>
            <w:gridSpan w:val="6"/>
            <w:tcBorders>
              <w:top w:val="single" w:color="000000" w:sz="4" w:space="0"/>
              <w:left w:val="single" w:color="000000" w:sz="4" w:space="0"/>
              <w:bottom w:val="single" w:color="000000" w:sz="4" w:space="0"/>
              <w:right w:val="single" w:color="000000" w:sz="4" w:space="0"/>
            </w:tcBorders>
            <w:noWrap w:val="0"/>
            <w:vAlign w:val="center"/>
          </w:tcPr>
          <w:p w14:paraId="145EB0E0">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b/>
                <w:bCs/>
                <w:i w:val="0"/>
                <w:iCs w:val="0"/>
                <w:color w:val="auto"/>
                <w:sz w:val="21"/>
                <w:szCs w:val="21"/>
                <w:highlight w:val="none"/>
                <w:u w:val="none"/>
                <w:lang w:eastAsia="zh-CN"/>
              </w:rPr>
            </w:pPr>
            <w:r>
              <w:rPr>
                <w:rFonts w:hint="eastAsia" w:ascii="黑体" w:hAnsi="黑体" w:eastAsia="黑体" w:cs="黑体"/>
                <w:b/>
                <w:bCs/>
                <w:i w:val="0"/>
                <w:iCs w:val="0"/>
                <w:color w:val="auto"/>
                <w:kern w:val="0"/>
                <w:sz w:val="21"/>
                <w:szCs w:val="21"/>
                <w:highlight w:val="none"/>
                <w:u w:val="none"/>
                <w:lang w:val="en-US" w:eastAsia="zh-CN" w:bidi="ar"/>
              </w:rPr>
              <w:t>监测预警平台</w:t>
            </w:r>
          </w:p>
        </w:tc>
      </w:tr>
      <w:tr w14:paraId="0FEEB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restart"/>
            <w:tcBorders>
              <w:top w:val="single" w:color="000000" w:sz="4" w:space="0"/>
              <w:left w:val="single" w:color="000000" w:sz="4" w:space="0"/>
              <w:bottom w:val="single" w:color="000000" w:sz="4" w:space="0"/>
              <w:right w:val="single" w:color="000000" w:sz="4" w:space="0"/>
            </w:tcBorders>
            <w:noWrap w:val="0"/>
            <w:vAlign w:val="center"/>
          </w:tcPr>
          <w:p w14:paraId="7C50A561">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1</w:t>
            </w:r>
          </w:p>
        </w:tc>
        <w:tc>
          <w:tcPr>
            <w:tcW w:w="1019" w:type="dxa"/>
            <w:vMerge w:val="restart"/>
            <w:tcBorders>
              <w:top w:val="single" w:color="000000" w:sz="4" w:space="0"/>
              <w:left w:val="single" w:color="000000" w:sz="4" w:space="0"/>
              <w:bottom w:val="single" w:color="000000" w:sz="4" w:space="0"/>
              <w:right w:val="single" w:color="000000" w:sz="4" w:space="0"/>
            </w:tcBorders>
            <w:noWrap w:val="0"/>
            <w:vAlign w:val="center"/>
          </w:tcPr>
          <w:p w14:paraId="73686907">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城市生命线安全运行监测系统（标配系统）</w:t>
            </w:r>
          </w:p>
        </w:tc>
        <w:tc>
          <w:tcPr>
            <w:tcW w:w="1530" w:type="dxa"/>
            <w:vMerge w:val="restart"/>
            <w:tcBorders>
              <w:top w:val="single" w:color="000000" w:sz="4" w:space="0"/>
              <w:left w:val="single" w:color="000000" w:sz="4" w:space="0"/>
              <w:bottom w:val="single" w:color="000000" w:sz="4" w:space="0"/>
              <w:right w:val="single" w:color="000000" w:sz="4" w:space="0"/>
            </w:tcBorders>
            <w:noWrap w:val="0"/>
            <w:vAlign w:val="center"/>
          </w:tcPr>
          <w:p w14:paraId="11260823">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监测信息</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29B1F337">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监测总览</w:t>
            </w:r>
          </w:p>
        </w:tc>
        <w:tc>
          <w:tcPr>
            <w:tcW w:w="722" w:type="dxa"/>
            <w:vMerge w:val="restart"/>
            <w:tcBorders>
              <w:top w:val="single" w:color="000000" w:sz="4" w:space="0"/>
              <w:left w:val="single" w:color="000000" w:sz="4" w:space="0"/>
              <w:bottom w:val="single" w:color="000000" w:sz="4" w:space="0"/>
              <w:right w:val="single" w:color="000000" w:sz="4" w:space="0"/>
            </w:tcBorders>
            <w:noWrap w:val="0"/>
            <w:vAlign w:val="center"/>
          </w:tcPr>
          <w:p w14:paraId="35919F99">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套</w:t>
            </w:r>
          </w:p>
        </w:tc>
        <w:tc>
          <w:tcPr>
            <w:tcW w:w="769" w:type="dxa"/>
            <w:vMerge w:val="restart"/>
            <w:tcBorders>
              <w:top w:val="single" w:color="000000" w:sz="4" w:space="0"/>
              <w:left w:val="single" w:color="000000" w:sz="4" w:space="0"/>
              <w:bottom w:val="single" w:color="000000" w:sz="4" w:space="0"/>
              <w:right w:val="single" w:color="000000" w:sz="4" w:space="0"/>
            </w:tcBorders>
            <w:noWrap w:val="0"/>
            <w:vAlign w:val="center"/>
          </w:tcPr>
          <w:p w14:paraId="28A91EF5">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1</w:t>
            </w:r>
          </w:p>
        </w:tc>
        <w:tc>
          <w:tcPr>
            <w:tcW w:w="1764" w:type="dxa"/>
            <w:vMerge w:val="restart"/>
            <w:tcBorders>
              <w:top w:val="single" w:color="000000" w:sz="4" w:space="0"/>
              <w:left w:val="single" w:color="000000" w:sz="4" w:space="0"/>
              <w:bottom w:val="single" w:color="000000" w:sz="4" w:space="0"/>
              <w:right w:val="single" w:color="000000" w:sz="4" w:space="0"/>
            </w:tcBorders>
            <w:noWrap w:val="0"/>
            <w:vAlign w:val="center"/>
          </w:tcPr>
          <w:p w14:paraId="70D2151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1DBA9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80472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C88EF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B3C79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17E4692B">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报警专题占比</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F9045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92E7A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F2DCF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50208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A5409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EED7E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7011F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6EC4E99A">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设备总览</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9E2DA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584A1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B6B71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10B00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51325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96751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B3E49C">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1F84BD58">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设备监测趋势分析</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52533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22ABE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11BDFC">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39CEB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7240F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76D96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388A7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774DE9C7">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监测设备图层</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4CD89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9EB28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BA4D7C">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03831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96047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91CBC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restart"/>
            <w:tcBorders>
              <w:top w:val="single" w:color="000000" w:sz="4" w:space="0"/>
              <w:left w:val="single" w:color="000000" w:sz="4" w:space="0"/>
              <w:bottom w:val="single" w:color="000000" w:sz="4" w:space="0"/>
              <w:right w:val="single" w:color="000000" w:sz="4" w:space="0"/>
            </w:tcBorders>
            <w:noWrap w:val="0"/>
            <w:vAlign w:val="center"/>
          </w:tcPr>
          <w:p w14:paraId="75C58FEB">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监测报警</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6F9B46B2">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实时监测报警</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E2270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6A283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B84B0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312BF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6481F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DE778C">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4B554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33571270">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监测数据汇聚</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FFA21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7B862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DE736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09283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477A2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3F98E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7BC61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1B34945D">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报警趋势分析</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731A7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FFA78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5CDC0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1B2E1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CDC69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D3BA8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restart"/>
            <w:tcBorders>
              <w:top w:val="single" w:color="000000" w:sz="4" w:space="0"/>
              <w:left w:val="single" w:color="000000" w:sz="4" w:space="0"/>
              <w:bottom w:val="single" w:color="000000" w:sz="4" w:space="0"/>
              <w:right w:val="single" w:color="000000" w:sz="4" w:space="0"/>
            </w:tcBorders>
            <w:noWrap w:val="0"/>
            <w:vAlign w:val="center"/>
          </w:tcPr>
          <w:p w14:paraId="3507D545">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预测预警</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1A463E5F">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预警处置</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816BF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BBAEEC">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2C65B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5523B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F3C2D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4B450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0228F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2968BBEF">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事件处置</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783BCC">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A4961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12CA2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08493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9A6DB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35FE5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restart"/>
            <w:tcBorders>
              <w:top w:val="single" w:color="000000" w:sz="4" w:space="0"/>
              <w:left w:val="single" w:color="000000" w:sz="4" w:space="0"/>
              <w:bottom w:val="single" w:color="000000" w:sz="4" w:space="0"/>
              <w:right w:val="single" w:color="000000" w:sz="4" w:space="0"/>
            </w:tcBorders>
            <w:noWrap w:val="0"/>
            <w:vAlign w:val="center"/>
          </w:tcPr>
          <w:p w14:paraId="11CD6FC2">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风险管理</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4286094C">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风险清单</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9C5C2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EAAE2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702AF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370CC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8709E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931F8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0DED7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3E0BED4C">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风险审核</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29194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4FCD0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EE0A1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15948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15B12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DBB2B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71A49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3D5DD7B5">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风险措施</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8C386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493F4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BE146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2DB6A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FDD74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BA4CC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AC2DF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5B9CF888">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风险统计</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3F097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2133D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E4DCB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60327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8A110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9B3B3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restart"/>
            <w:tcBorders>
              <w:top w:val="single" w:color="000000" w:sz="4" w:space="0"/>
              <w:left w:val="single" w:color="000000" w:sz="4" w:space="0"/>
              <w:bottom w:val="single" w:color="000000" w:sz="4" w:space="0"/>
              <w:right w:val="single" w:color="000000" w:sz="4" w:space="0"/>
            </w:tcBorders>
            <w:noWrap w:val="0"/>
            <w:vAlign w:val="center"/>
          </w:tcPr>
          <w:p w14:paraId="61FCEA4A">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隐患管理</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080D542D">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安全隐患台账</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D7997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AD3AE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31EE7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0A200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5C42F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B5C40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4761F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190BC3F6">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隐患处置列表</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B4010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BFE2C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32399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47F82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A4ABB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45448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EDCF2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4F5D3A66">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隐患整改列表</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B238A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488C4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C9CC7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17C5C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9B702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2FABD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26F48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59968138">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隐患复核列表</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5E945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5E3BE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84AF1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42D22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F8605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09363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261F4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0907E7F3">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隐患汇总统计</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B57EC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86D5E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C73F1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7A053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3A3AB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60D2F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1945B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3C783F14">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隐患查询统计</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167D8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846F1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B24D6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427F6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EA559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D2CCF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restart"/>
            <w:tcBorders>
              <w:top w:val="single" w:color="000000" w:sz="4" w:space="0"/>
              <w:left w:val="single" w:color="000000" w:sz="4" w:space="0"/>
              <w:bottom w:val="single" w:color="000000" w:sz="4" w:space="0"/>
              <w:right w:val="single" w:color="000000" w:sz="4" w:space="0"/>
            </w:tcBorders>
            <w:noWrap w:val="0"/>
            <w:vAlign w:val="center"/>
          </w:tcPr>
          <w:p w14:paraId="6CAD3FA6">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基础信息</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3458CFCE">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燃气管网基础信息维护</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6BC9F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01A7A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9264E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0FE2D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93064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AA37A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E8A9C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62AAE2ED">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供水管网基础信息维护</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9CE5B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DF3B5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6F82B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57764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C765A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DDAA1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C8DA6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34113860">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排水专项基础信息维护</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9F212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56B3AC">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3D5EF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54E4F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32D7B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44330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E0E6B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7A912614">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桥梁专项基础信息维护</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C2D31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5F7B4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C3AA9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3D38E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7033B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2B059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restart"/>
            <w:tcBorders>
              <w:top w:val="single" w:color="000000" w:sz="4" w:space="0"/>
              <w:left w:val="single" w:color="000000" w:sz="4" w:space="0"/>
              <w:bottom w:val="single" w:color="000000" w:sz="4" w:space="0"/>
              <w:right w:val="single" w:color="000000" w:sz="4" w:space="0"/>
            </w:tcBorders>
            <w:noWrap w:val="0"/>
            <w:vAlign w:val="center"/>
          </w:tcPr>
          <w:p w14:paraId="53D55F95">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“综合改一次”管理系统（标配系统）</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4F0D067D">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项目申报</w:t>
            </w:r>
          </w:p>
        </w:tc>
        <w:tc>
          <w:tcPr>
            <w:tcW w:w="722" w:type="dxa"/>
            <w:vMerge w:val="restart"/>
            <w:tcBorders>
              <w:top w:val="single" w:color="000000" w:sz="4" w:space="0"/>
              <w:left w:val="single" w:color="000000" w:sz="4" w:space="0"/>
              <w:bottom w:val="single" w:color="000000" w:sz="4" w:space="0"/>
              <w:right w:val="single" w:color="000000" w:sz="4" w:space="0"/>
            </w:tcBorders>
            <w:noWrap w:val="0"/>
            <w:vAlign w:val="center"/>
          </w:tcPr>
          <w:p w14:paraId="022A553B">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套</w:t>
            </w:r>
          </w:p>
        </w:tc>
        <w:tc>
          <w:tcPr>
            <w:tcW w:w="769" w:type="dxa"/>
            <w:vMerge w:val="restart"/>
            <w:tcBorders>
              <w:top w:val="single" w:color="000000" w:sz="4" w:space="0"/>
              <w:left w:val="single" w:color="000000" w:sz="4" w:space="0"/>
              <w:bottom w:val="single" w:color="000000" w:sz="4" w:space="0"/>
              <w:right w:val="single" w:color="000000" w:sz="4" w:space="0"/>
            </w:tcBorders>
            <w:noWrap w:val="0"/>
            <w:vAlign w:val="center"/>
          </w:tcPr>
          <w:p w14:paraId="6A9E36A6">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1</w:t>
            </w:r>
          </w:p>
        </w:tc>
        <w:tc>
          <w:tcPr>
            <w:tcW w:w="1764" w:type="dxa"/>
            <w:vMerge w:val="restart"/>
            <w:tcBorders>
              <w:top w:val="single" w:color="000000" w:sz="4" w:space="0"/>
              <w:left w:val="single" w:color="000000" w:sz="4" w:space="0"/>
              <w:bottom w:val="single" w:color="000000" w:sz="4" w:space="0"/>
              <w:right w:val="single" w:color="000000" w:sz="4" w:space="0"/>
            </w:tcBorders>
            <w:noWrap w:val="0"/>
            <w:vAlign w:val="center"/>
          </w:tcPr>
          <w:p w14:paraId="1378FAF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56160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67716C">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1E7A5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4F8D2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0B0993E7">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项目审批</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68027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29ED4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CE673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05DA1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D0E9C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B4F2A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58C06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026639D5">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项目进度跟踪</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60A3D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89FE7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02BD1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73A19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F1350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FB556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360A5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28CD094C">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项目验收归档</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7FADE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E4BB1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4252E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2A6F5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BEDF4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AA2BE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771A4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4185C33B">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项目填报</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D85A0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B0F3F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2D131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4073B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3D880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3AC32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506BA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0E09B6F2">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历史填报查看</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8A3F5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B24F1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E0F41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69E06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4609A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05296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578DD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7E772932">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历史填报导出</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83105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B8283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81B7E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1F3E4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92966C">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C5D8A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99BFAC">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50F8140E">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填报统计</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3B220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6B250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327BE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2B174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1341B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69543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restart"/>
            <w:tcBorders>
              <w:top w:val="single" w:color="000000" w:sz="4" w:space="0"/>
              <w:left w:val="single" w:color="000000" w:sz="4" w:space="0"/>
              <w:bottom w:val="single" w:color="000000" w:sz="4" w:space="0"/>
              <w:right w:val="single" w:color="000000" w:sz="4" w:space="0"/>
            </w:tcBorders>
            <w:noWrap w:val="0"/>
            <w:vAlign w:val="center"/>
          </w:tcPr>
          <w:p w14:paraId="5A9E270E">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工程项目管理系统（标配系统）</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4802206C">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工程进度年度总览</w:t>
            </w:r>
          </w:p>
        </w:tc>
        <w:tc>
          <w:tcPr>
            <w:tcW w:w="722" w:type="dxa"/>
            <w:vMerge w:val="restart"/>
            <w:tcBorders>
              <w:top w:val="single" w:color="000000" w:sz="4" w:space="0"/>
              <w:left w:val="single" w:color="000000" w:sz="4" w:space="0"/>
              <w:bottom w:val="single" w:color="000000" w:sz="4" w:space="0"/>
              <w:right w:val="single" w:color="000000" w:sz="4" w:space="0"/>
            </w:tcBorders>
            <w:noWrap w:val="0"/>
            <w:vAlign w:val="center"/>
          </w:tcPr>
          <w:p w14:paraId="45C59436">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套</w:t>
            </w:r>
          </w:p>
        </w:tc>
        <w:tc>
          <w:tcPr>
            <w:tcW w:w="769" w:type="dxa"/>
            <w:vMerge w:val="restart"/>
            <w:tcBorders>
              <w:top w:val="single" w:color="000000" w:sz="4" w:space="0"/>
              <w:left w:val="single" w:color="000000" w:sz="4" w:space="0"/>
              <w:bottom w:val="single" w:color="000000" w:sz="4" w:space="0"/>
              <w:right w:val="single" w:color="000000" w:sz="4" w:space="0"/>
            </w:tcBorders>
            <w:noWrap w:val="0"/>
            <w:vAlign w:val="center"/>
          </w:tcPr>
          <w:p w14:paraId="41AA111E">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1</w:t>
            </w:r>
          </w:p>
        </w:tc>
        <w:tc>
          <w:tcPr>
            <w:tcW w:w="1764" w:type="dxa"/>
            <w:vMerge w:val="restart"/>
            <w:tcBorders>
              <w:top w:val="single" w:color="000000" w:sz="4" w:space="0"/>
              <w:left w:val="single" w:color="000000" w:sz="4" w:space="0"/>
              <w:bottom w:val="single" w:color="000000" w:sz="4" w:space="0"/>
              <w:right w:val="single" w:color="000000" w:sz="4" w:space="0"/>
            </w:tcBorders>
            <w:noWrap w:val="0"/>
            <w:vAlign w:val="center"/>
          </w:tcPr>
          <w:p w14:paraId="4D21973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05645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6D17E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3BDDC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66513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583CE07E">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工程进度红黑榜</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D4EE8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94A82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30F25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1550B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3ECFB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02BD6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77AA9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6F81394A">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财政效能偏差分析</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D463E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20685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13151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56E22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F80A9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A4B1A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331C9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4F07202F">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实时报警展示</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310D5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E87D2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DEEEF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17F60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186A8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D49D4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C6E94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2E2BD2FF">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工程类型投资占比</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16516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62853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61F14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48D99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4DF59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5F295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3C83C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2D862C3E">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风险雷达图</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D8004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1C3BFC">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74D03C">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479F5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E7265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8DD7F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CF5F0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5FFF840B">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项目全息档案</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5248B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E7236C">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3ECCE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24860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6EC07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C9A2D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4F805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358FAE14">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GIS地图分布</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4BA20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FF74D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EFE66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09888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EB708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86D4D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6330B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0A360469">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项目申报</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42D8F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FAF3E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BFC53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620F1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FED97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94057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377A8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2BE6B2FD">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年度建设计划编制</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63284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95901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D34D2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2B9DB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6EA86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BCC8E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A4F61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3BF1E20A">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项目填报</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58A53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92CCC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239E2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09AEC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4F512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4FDC9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D5BCB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5DE2B2CF">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历史填报查看</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3EE63C">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1A775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ECDAE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31806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A19DF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CE881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2641A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6F9E981F">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历史填报导出</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FF999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1BF6E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FC7FC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31042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17E60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CBD20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CFA04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208DCC60">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填报统计</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F72CD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A1BB7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E2FF2C">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72609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restart"/>
            <w:tcBorders>
              <w:top w:val="single" w:color="000000" w:sz="4" w:space="0"/>
              <w:left w:val="single" w:color="000000" w:sz="4" w:space="0"/>
              <w:bottom w:val="single" w:color="000000" w:sz="4" w:space="0"/>
              <w:right w:val="single" w:color="000000" w:sz="4" w:space="0"/>
            </w:tcBorders>
            <w:noWrap w:val="0"/>
            <w:vAlign w:val="center"/>
          </w:tcPr>
          <w:p w14:paraId="2ADAC0C0">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2</w:t>
            </w:r>
          </w:p>
        </w:tc>
        <w:tc>
          <w:tcPr>
            <w:tcW w:w="1019" w:type="dxa"/>
            <w:vMerge w:val="restart"/>
            <w:tcBorders>
              <w:top w:val="single" w:color="000000" w:sz="4" w:space="0"/>
              <w:left w:val="single" w:color="000000" w:sz="4" w:space="0"/>
              <w:bottom w:val="single" w:color="000000" w:sz="4" w:space="0"/>
              <w:right w:val="single" w:color="000000" w:sz="4" w:space="0"/>
            </w:tcBorders>
            <w:noWrap w:val="0"/>
            <w:vAlign w:val="center"/>
          </w:tcPr>
          <w:p w14:paraId="008F7663">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时空数据基础平台（二三维一体化）（特配应用）</w:t>
            </w:r>
          </w:p>
        </w:tc>
        <w:tc>
          <w:tcPr>
            <w:tcW w:w="1530" w:type="dxa"/>
            <w:vMerge w:val="restart"/>
            <w:tcBorders>
              <w:top w:val="single" w:color="000000" w:sz="4" w:space="0"/>
              <w:left w:val="single" w:color="000000" w:sz="4" w:space="0"/>
              <w:bottom w:val="single" w:color="000000" w:sz="4" w:space="0"/>
              <w:right w:val="single" w:color="000000" w:sz="4" w:space="0"/>
            </w:tcBorders>
            <w:noWrap w:val="0"/>
            <w:vAlign w:val="center"/>
          </w:tcPr>
          <w:p w14:paraId="41458A35">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基础功能</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59254DBB">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放大缩小</w:t>
            </w:r>
          </w:p>
        </w:tc>
        <w:tc>
          <w:tcPr>
            <w:tcW w:w="722" w:type="dxa"/>
            <w:vMerge w:val="restart"/>
            <w:tcBorders>
              <w:top w:val="single" w:color="000000" w:sz="4" w:space="0"/>
              <w:left w:val="single" w:color="000000" w:sz="4" w:space="0"/>
              <w:bottom w:val="single" w:color="000000" w:sz="4" w:space="0"/>
              <w:right w:val="single" w:color="000000" w:sz="4" w:space="0"/>
            </w:tcBorders>
            <w:noWrap w:val="0"/>
            <w:vAlign w:val="center"/>
          </w:tcPr>
          <w:p w14:paraId="64288470">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套</w:t>
            </w:r>
          </w:p>
        </w:tc>
        <w:tc>
          <w:tcPr>
            <w:tcW w:w="769" w:type="dxa"/>
            <w:vMerge w:val="restart"/>
            <w:tcBorders>
              <w:top w:val="single" w:color="000000" w:sz="4" w:space="0"/>
              <w:left w:val="single" w:color="000000" w:sz="4" w:space="0"/>
              <w:bottom w:val="single" w:color="000000" w:sz="4" w:space="0"/>
              <w:right w:val="single" w:color="000000" w:sz="4" w:space="0"/>
            </w:tcBorders>
            <w:noWrap w:val="0"/>
            <w:vAlign w:val="center"/>
          </w:tcPr>
          <w:p w14:paraId="2A1336DA">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1</w:t>
            </w:r>
          </w:p>
        </w:tc>
        <w:tc>
          <w:tcPr>
            <w:tcW w:w="1764" w:type="dxa"/>
            <w:vMerge w:val="restart"/>
            <w:tcBorders>
              <w:top w:val="single" w:color="000000" w:sz="4" w:space="0"/>
              <w:left w:val="single" w:color="000000" w:sz="4" w:space="0"/>
              <w:bottom w:val="single" w:color="000000" w:sz="4" w:space="0"/>
              <w:right w:val="single" w:color="000000" w:sz="4" w:space="0"/>
            </w:tcBorders>
            <w:noWrap w:val="0"/>
            <w:vAlign w:val="center"/>
          </w:tcPr>
          <w:p w14:paraId="74807EE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3DA00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A9A76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C04BF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08823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741C5CEF">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底图切换</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F6E66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D6ECA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A9A6C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525F9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68007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4B48C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A0D8B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0B5C39B6">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指南针</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A1B3F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69C19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4F42E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75F95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A4ADB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ADBA8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4DC26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326A670E">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3D</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C1D35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71A57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AFD72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591DB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48C89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F1FF6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89293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048D243B">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中心点</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E1422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12696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64E1B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007E8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B8A6F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418AB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F21AD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11353314">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全屏</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DAAD0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86868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23D44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64631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F34E9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A6D94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CCB21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71C91A5C">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收起</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98E04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20AE9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81388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1EBEC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90A27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095E2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restart"/>
            <w:tcBorders>
              <w:top w:val="single" w:color="000000" w:sz="4" w:space="0"/>
              <w:left w:val="single" w:color="000000" w:sz="4" w:space="0"/>
              <w:bottom w:val="single" w:color="000000" w:sz="4" w:space="0"/>
              <w:right w:val="single" w:color="000000" w:sz="4" w:space="0"/>
            </w:tcBorders>
            <w:noWrap w:val="0"/>
            <w:vAlign w:val="center"/>
          </w:tcPr>
          <w:p w14:paraId="368E463D">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操作栏</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791E4C47">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资源目录</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9BD42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DE309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8EC37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18EDB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600BD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D54A7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FF212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62095B27">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拾取查询</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F83DB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78782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EA6FE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02F1C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A8ACB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44753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5C082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077C934D">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地图搜索</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AD8AC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7FEC8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DC3BE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1290A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CE1EB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3EC1E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restart"/>
            <w:tcBorders>
              <w:top w:val="single" w:color="000000" w:sz="4" w:space="0"/>
              <w:left w:val="single" w:color="000000" w:sz="4" w:space="0"/>
              <w:bottom w:val="single" w:color="000000" w:sz="4" w:space="0"/>
              <w:right w:val="single" w:color="000000" w:sz="4" w:space="0"/>
            </w:tcBorders>
            <w:noWrap w:val="0"/>
            <w:vAlign w:val="center"/>
          </w:tcPr>
          <w:p w14:paraId="7A5EF181">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工具箱</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527B64FE">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热点管理</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44B54C">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F91E2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4750A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21BF2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B1532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53D88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336DE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572C0BF6">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定位</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80A6D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8937F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359CB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17A89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CA3FD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B4128C">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7228E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0FD894E7">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周边</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DF440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6CEDE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09A15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34C23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B9DAB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0CC07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920CC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4226E06A">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模拟飞行</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49D4E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4A8BE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BD7BC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11325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17A01C">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B3C45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74F51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0F365FBF">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天气特效</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8757B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06E02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97190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1053F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00EB9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B63FF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C1212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4BCF472D">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测距</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05ED2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C99FC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2977D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05BBE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A4A48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40D5D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A7591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1336902C">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测面</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2086D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01F0D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D54E6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5CF9E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66629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4D032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DFD2E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7C907711">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图片导出</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0C620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375FB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CA310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18E32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D9F39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A38E2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DE2E0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2F58EE6F">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在线制图</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AE7FA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B6C9C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E91DA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256AA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4822D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48166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D7F15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443F538A">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数据导出</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58064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F258A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1F05B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220B6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13FA7C">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18F2D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179C9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4B7AB001">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二三维联动</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1C34F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46436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8FD36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3408F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BC42C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60629C">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A5F4F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2B842933">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卷帘对比</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125FA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CBD41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3C72E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6CA05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DBFAA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41F2A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3D86590A">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标绘功能</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1308D6ED">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标绘功能</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4DA23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A7DF3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44AC9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59073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C4FB9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03F6F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0399F08B">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路径规划</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01DF8778">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路径规划</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53F39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F2AF5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E8182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43F8C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9FB60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FA558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restart"/>
            <w:tcBorders>
              <w:top w:val="single" w:color="000000" w:sz="4" w:space="0"/>
              <w:left w:val="single" w:color="000000" w:sz="4" w:space="0"/>
              <w:bottom w:val="single" w:color="000000" w:sz="4" w:space="0"/>
              <w:right w:val="single" w:color="000000" w:sz="4" w:space="0"/>
            </w:tcBorders>
            <w:noWrap w:val="0"/>
            <w:vAlign w:val="center"/>
          </w:tcPr>
          <w:p w14:paraId="60540BFC">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空间分析</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558E5A3E">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管线横向结构分析</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8019C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8B901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7E242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2747E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ED968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9834A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3808B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72860E60">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管线纵向结构分析</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E8204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66319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627BF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3CB38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D38ED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12FE3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352B2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6DA4712F">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管线竖向安全间距分析</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9C21D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B4356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05EED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5237A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A2C06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06C6D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9AD22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24D521C6">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管线平面安全间距分析</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2196C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0723E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D5077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4CEAA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815D3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0A48D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927D3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5FF87080">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管线覆土安全评估</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5C4E9C">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BA78B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A2E04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68ADB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22C43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52672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0B6A0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30950627">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管线路径溯源分析</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E755B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51D07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F6EA5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356DD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B695D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4BDC8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4A7C3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040E622C">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管线全寿命周期评估</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20B9F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AE2F1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E815D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4BBCB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AFE0F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4EC32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66385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6A4D6A9F">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管网流态分析</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8B1EB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489F4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B8D45C">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41C7A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03275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8D4B8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20EF3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2BACB87E">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管网坡向异常识别</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EF158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FFFB8C">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421E7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26EC5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46750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1EE60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65C58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733171D3">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管网破损风险分析</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37141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FE7ADC">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867D8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279C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E52A6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897FD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A6D4C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3243DDF0">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管网连通关系分析</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FC3CE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925EE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4A257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592E6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A4AF6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479AB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7F821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08B2ED2C">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施工影响分析</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700A2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5F635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D9CE2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032BE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EAA85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30D04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E38BEC">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2B4D5AA0">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管线优化布设分析</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538FB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29633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3E886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04FD9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DDEA5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22BA2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5AB41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68F11FEE">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排水系统不合理性分析</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CFF50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E91B6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9D24E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7D78B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7FFB0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D39EB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F7AD2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07FE0F77">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视线通达性分析</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5755F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63A9E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EF79F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78984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41B33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51440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2F3C5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73AF5D50">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可视范围分析</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1BCA6C">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62B22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3C854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1A106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6E22A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37957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115AD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08158CB0">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内涝影响范围分析</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5F761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9B1AC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A1A50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329F0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restart"/>
            <w:tcBorders>
              <w:top w:val="single" w:color="000000" w:sz="4" w:space="0"/>
              <w:left w:val="single" w:color="000000" w:sz="4" w:space="0"/>
              <w:bottom w:val="single" w:color="000000" w:sz="4" w:space="0"/>
              <w:right w:val="single" w:color="000000" w:sz="4" w:space="0"/>
            </w:tcBorders>
            <w:noWrap w:val="0"/>
            <w:vAlign w:val="center"/>
          </w:tcPr>
          <w:p w14:paraId="5C9A7B3D">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3</w:t>
            </w:r>
          </w:p>
        </w:tc>
        <w:tc>
          <w:tcPr>
            <w:tcW w:w="1019" w:type="dxa"/>
            <w:vMerge w:val="restart"/>
            <w:tcBorders>
              <w:top w:val="single" w:color="000000" w:sz="4" w:space="0"/>
              <w:left w:val="single" w:color="000000" w:sz="4" w:space="0"/>
              <w:bottom w:val="single" w:color="000000" w:sz="4" w:space="0"/>
              <w:right w:val="single" w:color="000000" w:sz="4" w:space="0"/>
            </w:tcBorders>
            <w:noWrap w:val="0"/>
            <w:vAlign w:val="center"/>
          </w:tcPr>
          <w:p w14:paraId="3F0D70EB">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物联网感知平台（特配应用）</w:t>
            </w:r>
          </w:p>
        </w:tc>
        <w:tc>
          <w:tcPr>
            <w:tcW w:w="1530" w:type="dxa"/>
            <w:vMerge w:val="restart"/>
            <w:tcBorders>
              <w:top w:val="single" w:color="000000" w:sz="4" w:space="0"/>
              <w:left w:val="single" w:color="000000" w:sz="4" w:space="0"/>
              <w:bottom w:val="single" w:color="000000" w:sz="4" w:space="0"/>
              <w:right w:val="single" w:color="000000" w:sz="4" w:space="0"/>
            </w:tcBorders>
            <w:noWrap w:val="0"/>
            <w:vAlign w:val="center"/>
          </w:tcPr>
          <w:p w14:paraId="0D642F79">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感知驾驶舱</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39A17309">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设备报警汇总</w:t>
            </w:r>
          </w:p>
        </w:tc>
        <w:tc>
          <w:tcPr>
            <w:tcW w:w="722" w:type="dxa"/>
            <w:vMerge w:val="restart"/>
            <w:tcBorders>
              <w:top w:val="single" w:color="000000" w:sz="4" w:space="0"/>
              <w:left w:val="single" w:color="000000" w:sz="4" w:space="0"/>
              <w:bottom w:val="single" w:color="000000" w:sz="4" w:space="0"/>
              <w:right w:val="single" w:color="000000" w:sz="4" w:space="0"/>
            </w:tcBorders>
            <w:noWrap w:val="0"/>
            <w:vAlign w:val="center"/>
          </w:tcPr>
          <w:p w14:paraId="16919B4D">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套</w:t>
            </w:r>
          </w:p>
        </w:tc>
        <w:tc>
          <w:tcPr>
            <w:tcW w:w="769" w:type="dxa"/>
            <w:vMerge w:val="restart"/>
            <w:tcBorders>
              <w:top w:val="single" w:color="000000" w:sz="4" w:space="0"/>
              <w:left w:val="single" w:color="000000" w:sz="4" w:space="0"/>
              <w:bottom w:val="single" w:color="000000" w:sz="4" w:space="0"/>
              <w:right w:val="single" w:color="000000" w:sz="4" w:space="0"/>
            </w:tcBorders>
            <w:noWrap w:val="0"/>
            <w:vAlign w:val="center"/>
          </w:tcPr>
          <w:p w14:paraId="20AFB6F7">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1</w:t>
            </w:r>
          </w:p>
        </w:tc>
        <w:tc>
          <w:tcPr>
            <w:tcW w:w="1764" w:type="dxa"/>
            <w:vMerge w:val="restart"/>
            <w:tcBorders>
              <w:top w:val="single" w:color="000000" w:sz="4" w:space="0"/>
              <w:left w:val="single" w:color="000000" w:sz="4" w:space="0"/>
              <w:bottom w:val="single" w:color="000000" w:sz="4" w:space="0"/>
              <w:right w:val="single" w:color="000000" w:sz="4" w:space="0"/>
            </w:tcBorders>
            <w:noWrap w:val="0"/>
            <w:vAlign w:val="center"/>
          </w:tcPr>
          <w:p w14:paraId="168D200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2E7BA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6C139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FD73B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860EA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6AA69254">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设备状态汇总</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C4217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53015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60D9D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22E03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DDD4B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27563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00FBC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0EFDA992">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区域设备数汇总</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DB381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B8ECF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331C6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45544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EAF60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77901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40E9B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50BAEE4E">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接入数据汇总</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CD976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F2EE4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1697A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20DA4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CDC1B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D3FD3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6E20F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07363423">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异常设备厂商占比汇总</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44BCD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90153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8C87A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3DDE5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C9CE2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4DD58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BC033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70B6FB49">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实时报警信息接入</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F3021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ABD53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78CAB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19E65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D7832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F9753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restart"/>
            <w:tcBorders>
              <w:top w:val="single" w:color="000000" w:sz="4" w:space="0"/>
              <w:left w:val="single" w:color="000000" w:sz="4" w:space="0"/>
              <w:bottom w:val="single" w:color="000000" w:sz="4" w:space="0"/>
              <w:right w:val="single" w:color="000000" w:sz="4" w:space="0"/>
            </w:tcBorders>
            <w:noWrap w:val="0"/>
            <w:vAlign w:val="center"/>
          </w:tcPr>
          <w:p w14:paraId="5DECECE2">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感知设备管理</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432B6709">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平台协议</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E5255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ED1DD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C564E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6379F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90295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3F339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5E3F5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455A30E4">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报警配置</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4E035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0559B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732E7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1C195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A4AD7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2094B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CCA2B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58BF683C">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报警记录</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649E8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E1D11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8D7AE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6E541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2CE18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C58A3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40BC6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2694F8A2">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设备管理</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CD7E0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0A18A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C9E0E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5A620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57820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5ECBD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A45CB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16E14CD1">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设备类型</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B86B3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589D6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EC2CF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5EA43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62B9F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B3A07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5CBC0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78EF6192">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设备分组</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B0A44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843E7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6E611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19043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1081E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6EED0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61C63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3C2AA560">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场景联动</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C582B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E2B48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154E8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3F9B4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E9644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D2332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E0913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30B0086A">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数据统计</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DBA02C">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18307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00101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0BE6B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restart"/>
            <w:tcBorders>
              <w:top w:val="single" w:color="000000" w:sz="4" w:space="0"/>
              <w:left w:val="single" w:color="000000" w:sz="4" w:space="0"/>
              <w:bottom w:val="single" w:color="000000" w:sz="4" w:space="0"/>
              <w:right w:val="single" w:color="000000" w:sz="4" w:space="0"/>
            </w:tcBorders>
            <w:noWrap w:val="0"/>
            <w:vAlign w:val="center"/>
          </w:tcPr>
          <w:p w14:paraId="23597DBB">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4</w:t>
            </w:r>
          </w:p>
        </w:tc>
        <w:tc>
          <w:tcPr>
            <w:tcW w:w="1019" w:type="dxa"/>
            <w:vMerge w:val="restart"/>
            <w:tcBorders>
              <w:top w:val="single" w:color="000000" w:sz="4" w:space="0"/>
              <w:left w:val="single" w:color="000000" w:sz="4" w:space="0"/>
              <w:bottom w:val="single" w:color="000000" w:sz="4" w:space="0"/>
              <w:right w:val="single" w:color="000000" w:sz="4" w:space="0"/>
            </w:tcBorders>
            <w:noWrap w:val="0"/>
            <w:vAlign w:val="center"/>
          </w:tcPr>
          <w:p w14:paraId="11027F70">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数据管理中台（特配应用）</w:t>
            </w:r>
          </w:p>
        </w:tc>
        <w:tc>
          <w:tcPr>
            <w:tcW w:w="1530" w:type="dxa"/>
            <w:vMerge w:val="restart"/>
            <w:tcBorders>
              <w:top w:val="single" w:color="000000" w:sz="4" w:space="0"/>
              <w:left w:val="single" w:color="000000" w:sz="4" w:space="0"/>
              <w:bottom w:val="single" w:color="000000" w:sz="4" w:space="0"/>
              <w:right w:val="single" w:color="000000" w:sz="4" w:space="0"/>
            </w:tcBorders>
            <w:noWrap w:val="0"/>
            <w:vAlign w:val="center"/>
          </w:tcPr>
          <w:p w14:paraId="1E4BCDA4">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数据配置</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52FC8BAD">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数据源设置</w:t>
            </w:r>
          </w:p>
        </w:tc>
        <w:tc>
          <w:tcPr>
            <w:tcW w:w="722" w:type="dxa"/>
            <w:vMerge w:val="restart"/>
            <w:tcBorders>
              <w:top w:val="single" w:color="000000" w:sz="4" w:space="0"/>
              <w:left w:val="single" w:color="000000" w:sz="4" w:space="0"/>
              <w:bottom w:val="single" w:color="000000" w:sz="4" w:space="0"/>
              <w:right w:val="single" w:color="000000" w:sz="4" w:space="0"/>
            </w:tcBorders>
            <w:noWrap w:val="0"/>
            <w:vAlign w:val="center"/>
          </w:tcPr>
          <w:p w14:paraId="7E0FA819">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套</w:t>
            </w:r>
          </w:p>
        </w:tc>
        <w:tc>
          <w:tcPr>
            <w:tcW w:w="769" w:type="dxa"/>
            <w:vMerge w:val="restart"/>
            <w:tcBorders>
              <w:top w:val="single" w:color="000000" w:sz="4" w:space="0"/>
              <w:left w:val="single" w:color="000000" w:sz="4" w:space="0"/>
              <w:bottom w:val="single" w:color="000000" w:sz="4" w:space="0"/>
              <w:right w:val="single" w:color="000000" w:sz="4" w:space="0"/>
            </w:tcBorders>
            <w:noWrap w:val="0"/>
            <w:vAlign w:val="center"/>
          </w:tcPr>
          <w:p w14:paraId="791F0AD5">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1</w:t>
            </w:r>
          </w:p>
        </w:tc>
        <w:tc>
          <w:tcPr>
            <w:tcW w:w="1764" w:type="dxa"/>
            <w:vMerge w:val="restart"/>
            <w:tcBorders>
              <w:top w:val="single" w:color="000000" w:sz="4" w:space="0"/>
              <w:left w:val="single" w:color="000000" w:sz="4" w:space="0"/>
              <w:bottom w:val="single" w:color="000000" w:sz="4" w:space="0"/>
              <w:right w:val="single" w:color="000000" w:sz="4" w:space="0"/>
            </w:tcBorders>
            <w:noWrap w:val="0"/>
            <w:vAlign w:val="center"/>
          </w:tcPr>
          <w:p w14:paraId="3A51E79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1DE1A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2F15B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15AD7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A362E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07C9C66E">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数据源列表</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A7B97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A810D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2A06A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623AA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9D208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8CD45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restart"/>
            <w:tcBorders>
              <w:top w:val="single" w:color="000000" w:sz="4" w:space="0"/>
              <w:left w:val="single" w:color="000000" w:sz="4" w:space="0"/>
              <w:bottom w:val="single" w:color="000000" w:sz="4" w:space="0"/>
              <w:right w:val="single" w:color="000000" w:sz="4" w:space="0"/>
            </w:tcBorders>
            <w:noWrap w:val="0"/>
            <w:vAlign w:val="center"/>
          </w:tcPr>
          <w:p w14:paraId="3ED3DB1B">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数据管理</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678E4116">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数据目录</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ED962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1C480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FAB0D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0DB21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66A89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808B2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B3442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337F15FA">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数据质量</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6884F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9CDEF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30FFD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65513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36C70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48333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restart"/>
            <w:tcBorders>
              <w:top w:val="single" w:color="000000" w:sz="4" w:space="0"/>
              <w:left w:val="single" w:color="000000" w:sz="4" w:space="0"/>
              <w:bottom w:val="single" w:color="000000" w:sz="4" w:space="0"/>
              <w:right w:val="single" w:color="000000" w:sz="4" w:space="0"/>
            </w:tcBorders>
            <w:noWrap w:val="0"/>
            <w:vAlign w:val="center"/>
          </w:tcPr>
          <w:p w14:paraId="09524731">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数据入库</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016E4652">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入库管理</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071A4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0FBEC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91C8C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63CD7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99A4E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84A3A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10492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084F2A54">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版本管理</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D9C5D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A5BEA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068A9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33289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F2134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50F04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72DBDC">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438C5F3C">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基础管理</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CF68E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2A1A2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D5981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5EB2C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15FDC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5EB5B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restart"/>
            <w:tcBorders>
              <w:top w:val="single" w:color="000000" w:sz="4" w:space="0"/>
              <w:left w:val="single" w:color="000000" w:sz="4" w:space="0"/>
              <w:bottom w:val="single" w:color="000000" w:sz="4" w:space="0"/>
              <w:right w:val="single" w:color="000000" w:sz="4" w:space="0"/>
            </w:tcBorders>
            <w:noWrap w:val="0"/>
            <w:vAlign w:val="center"/>
          </w:tcPr>
          <w:p w14:paraId="62FB1308">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数据查询</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53954FA0">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高级搜索</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6E2D8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B315E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3FD40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72AA4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0F1A0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D3662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7D560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7A54CCE5">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SQL查询</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5C80A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6413B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5494E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36E6D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3B655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3EA54C">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restart"/>
            <w:tcBorders>
              <w:top w:val="single" w:color="000000" w:sz="4" w:space="0"/>
              <w:left w:val="single" w:color="000000" w:sz="4" w:space="0"/>
              <w:bottom w:val="single" w:color="000000" w:sz="4" w:space="0"/>
              <w:right w:val="single" w:color="000000" w:sz="4" w:space="0"/>
            </w:tcBorders>
            <w:noWrap w:val="0"/>
            <w:vAlign w:val="center"/>
          </w:tcPr>
          <w:p w14:paraId="6F78E5F0">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服务管理</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6B90E3A2">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服务市场</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9DD7E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88DB9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4C486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07575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364BCC">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9D72A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355AD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1CC0537C">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服务审批</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1413A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22CFC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51BBCC">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02FEC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92B5A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2EC6B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857D4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5CE00BFD">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服务管理</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BA56C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9B6DD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F3187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4FC63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1AF93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11A56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14067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21934A69">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服务监控</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7B18BC">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E930F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CE96A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33466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restart"/>
            <w:tcBorders>
              <w:top w:val="single" w:color="000000" w:sz="4" w:space="0"/>
              <w:left w:val="single" w:color="000000" w:sz="4" w:space="0"/>
              <w:bottom w:val="single" w:color="000000" w:sz="4" w:space="0"/>
              <w:right w:val="single" w:color="000000" w:sz="4" w:space="0"/>
            </w:tcBorders>
            <w:noWrap w:val="0"/>
            <w:vAlign w:val="center"/>
          </w:tcPr>
          <w:p w14:paraId="4DBC7565">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5</w:t>
            </w:r>
          </w:p>
        </w:tc>
        <w:tc>
          <w:tcPr>
            <w:tcW w:w="1019" w:type="dxa"/>
            <w:vMerge w:val="restart"/>
            <w:tcBorders>
              <w:top w:val="single" w:color="000000" w:sz="4" w:space="0"/>
              <w:left w:val="single" w:color="000000" w:sz="4" w:space="0"/>
              <w:bottom w:val="single" w:color="000000" w:sz="4" w:space="0"/>
              <w:right w:val="single" w:color="000000" w:sz="4" w:space="0"/>
            </w:tcBorders>
            <w:noWrap w:val="0"/>
            <w:vAlign w:val="center"/>
          </w:tcPr>
          <w:p w14:paraId="38201498">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燃气管网监测应用系统（特配应用）</w:t>
            </w:r>
          </w:p>
        </w:tc>
        <w:tc>
          <w:tcPr>
            <w:tcW w:w="1530" w:type="dxa"/>
            <w:vMerge w:val="restart"/>
            <w:tcBorders>
              <w:top w:val="single" w:color="000000" w:sz="4" w:space="0"/>
              <w:left w:val="single" w:color="000000" w:sz="4" w:space="0"/>
              <w:bottom w:val="single" w:color="000000" w:sz="4" w:space="0"/>
              <w:right w:val="single" w:color="000000" w:sz="4" w:space="0"/>
            </w:tcBorders>
            <w:noWrap w:val="0"/>
            <w:vAlign w:val="center"/>
          </w:tcPr>
          <w:p w14:paraId="54724D70">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首页总览</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456AB02A">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燃气信息总览</w:t>
            </w:r>
          </w:p>
        </w:tc>
        <w:tc>
          <w:tcPr>
            <w:tcW w:w="722" w:type="dxa"/>
            <w:vMerge w:val="restart"/>
            <w:tcBorders>
              <w:top w:val="single" w:color="000000" w:sz="4" w:space="0"/>
              <w:left w:val="single" w:color="000000" w:sz="4" w:space="0"/>
              <w:bottom w:val="single" w:color="000000" w:sz="4" w:space="0"/>
              <w:right w:val="single" w:color="000000" w:sz="4" w:space="0"/>
            </w:tcBorders>
            <w:noWrap w:val="0"/>
            <w:vAlign w:val="center"/>
          </w:tcPr>
          <w:p w14:paraId="7CE8C83A">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套</w:t>
            </w:r>
          </w:p>
        </w:tc>
        <w:tc>
          <w:tcPr>
            <w:tcW w:w="769" w:type="dxa"/>
            <w:vMerge w:val="restart"/>
            <w:tcBorders>
              <w:top w:val="single" w:color="000000" w:sz="4" w:space="0"/>
              <w:left w:val="single" w:color="000000" w:sz="4" w:space="0"/>
              <w:bottom w:val="single" w:color="000000" w:sz="4" w:space="0"/>
              <w:right w:val="single" w:color="000000" w:sz="4" w:space="0"/>
            </w:tcBorders>
            <w:noWrap w:val="0"/>
            <w:vAlign w:val="center"/>
          </w:tcPr>
          <w:p w14:paraId="7E7E78E5">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1</w:t>
            </w:r>
          </w:p>
        </w:tc>
        <w:tc>
          <w:tcPr>
            <w:tcW w:w="1764" w:type="dxa"/>
            <w:vMerge w:val="restart"/>
            <w:tcBorders>
              <w:top w:val="single" w:color="000000" w:sz="4" w:space="0"/>
              <w:left w:val="single" w:color="000000" w:sz="4" w:space="0"/>
              <w:bottom w:val="single" w:color="000000" w:sz="4" w:space="0"/>
              <w:right w:val="single" w:color="000000" w:sz="4" w:space="0"/>
            </w:tcBorders>
            <w:noWrap w:val="0"/>
            <w:vAlign w:val="center"/>
          </w:tcPr>
          <w:p w14:paraId="6057BBD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103D4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2BB25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71F31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B1344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6B340E3B">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风险隐患总览</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FD07F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8D713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32655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65B6A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70523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2B7DB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5A549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67092070">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监测报警总览</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16F7E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DCA9D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344C0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4442B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C07FF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F139E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0592F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000C83C0">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预警处置跟踪</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4AE74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39A11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0D1BF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066F7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6FB75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1FF71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restart"/>
            <w:tcBorders>
              <w:top w:val="single" w:color="000000" w:sz="4" w:space="0"/>
              <w:left w:val="single" w:color="000000" w:sz="4" w:space="0"/>
              <w:bottom w:val="single" w:color="000000" w:sz="4" w:space="0"/>
              <w:right w:val="single" w:color="000000" w:sz="4" w:space="0"/>
            </w:tcBorders>
            <w:noWrap w:val="0"/>
            <w:vAlign w:val="center"/>
          </w:tcPr>
          <w:p w14:paraId="3B963EB9">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燃气在线监测</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33709F4D">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实时监测</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75CAA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5A77C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EDFE4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497C8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19434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A067D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4BE04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762B2384">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报警审核</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8ED35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07123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19642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42815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CD1FC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5531B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B7F3B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58C2676C">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报警处置</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C7480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1C362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F33E0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43014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4D32D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B7339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restart"/>
            <w:tcBorders>
              <w:top w:val="single" w:color="000000" w:sz="4" w:space="0"/>
              <w:left w:val="single" w:color="000000" w:sz="4" w:space="0"/>
              <w:bottom w:val="single" w:color="000000" w:sz="4" w:space="0"/>
              <w:right w:val="single" w:color="000000" w:sz="4" w:space="0"/>
            </w:tcBorders>
            <w:noWrap w:val="0"/>
            <w:vAlign w:val="center"/>
          </w:tcPr>
          <w:p w14:paraId="6D5B41C2">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 xml:space="preserve">预警分析 </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700F1D1F">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预警处置</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FCEE5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DC374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D8E67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36666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8726D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AF9AB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7F614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76D3B7FC">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事件处置</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D9A84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22EED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06278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63E0B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9A7C2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5BD7D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restart"/>
            <w:tcBorders>
              <w:top w:val="single" w:color="000000" w:sz="4" w:space="0"/>
              <w:left w:val="single" w:color="000000" w:sz="4" w:space="0"/>
              <w:bottom w:val="single" w:color="000000" w:sz="4" w:space="0"/>
              <w:right w:val="single" w:color="000000" w:sz="4" w:space="0"/>
            </w:tcBorders>
            <w:noWrap w:val="0"/>
            <w:vAlign w:val="center"/>
          </w:tcPr>
          <w:p w14:paraId="43E3A854">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辅助决策</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28948CE5">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综合查询</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BD825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5066C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2AD50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1372C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C759A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5E3A9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177BE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5DA46CC9">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数据统计</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47D61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D0595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C8635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046C0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DBD47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9F80C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2488C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4FBF3DD4">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知识库</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59C62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44E7B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DDB5E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4711F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restart"/>
            <w:tcBorders>
              <w:top w:val="single" w:color="000000" w:sz="4" w:space="0"/>
              <w:left w:val="single" w:color="000000" w:sz="4" w:space="0"/>
              <w:bottom w:val="single" w:color="000000" w:sz="4" w:space="0"/>
              <w:right w:val="single" w:color="000000" w:sz="4" w:space="0"/>
            </w:tcBorders>
            <w:noWrap w:val="0"/>
            <w:vAlign w:val="center"/>
          </w:tcPr>
          <w:p w14:paraId="1497A970">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6</w:t>
            </w:r>
          </w:p>
        </w:tc>
        <w:tc>
          <w:tcPr>
            <w:tcW w:w="1019" w:type="dxa"/>
            <w:vMerge w:val="restart"/>
            <w:tcBorders>
              <w:top w:val="single" w:color="000000" w:sz="4" w:space="0"/>
              <w:left w:val="single" w:color="000000" w:sz="4" w:space="0"/>
              <w:bottom w:val="single" w:color="000000" w:sz="4" w:space="0"/>
              <w:right w:val="single" w:color="000000" w:sz="4" w:space="0"/>
            </w:tcBorders>
            <w:noWrap w:val="0"/>
            <w:vAlign w:val="center"/>
          </w:tcPr>
          <w:p w14:paraId="69719547">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排水管网监测应用系统（特配应用）</w:t>
            </w:r>
          </w:p>
        </w:tc>
        <w:tc>
          <w:tcPr>
            <w:tcW w:w="1530" w:type="dxa"/>
            <w:vMerge w:val="restart"/>
            <w:tcBorders>
              <w:top w:val="single" w:color="000000" w:sz="4" w:space="0"/>
              <w:left w:val="single" w:color="000000" w:sz="4" w:space="0"/>
              <w:bottom w:val="single" w:color="000000" w:sz="4" w:space="0"/>
              <w:right w:val="single" w:color="000000" w:sz="4" w:space="0"/>
            </w:tcBorders>
            <w:noWrap w:val="0"/>
            <w:vAlign w:val="center"/>
          </w:tcPr>
          <w:p w14:paraId="21E5CFA7">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首页总览</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68B500D5">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排水信息总览</w:t>
            </w:r>
          </w:p>
        </w:tc>
        <w:tc>
          <w:tcPr>
            <w:tcW w:w="722" w:type="dxa"/>
            <w:vMerge w:val="restart"/>
            <w:tcBorders>
              <w:top w:val="single" w:color="000000" w:sz="4" w:space="0"/>
              <w:left w:val="single" w:color="000000" w:sz="4" w:space="0"/>
              <w:bottom w:val="single" w:color="000000" w:sz="4" w:space="0"/>
              <w:right w:val="single" w:color="000000" w:sz="4" w:space="0"/>
            </w:tcBorders>
            <w:noWrap w:val="0"/>
            <w:vAlign w:val="center"/>
          </w:tcPr>
          <w:p w14:paraId="577BAF42">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套</w:t>
            </w:r>
          </w:p>
        </w:tc>
        <w:tc>
          <w:tcPr>
            <w:tcW w:w="769" w:type="dxa"/>
            <w:vMerge w:val="restart"/>
            <w:tcBorders>
              <w:top w:val="single" w:color="000000" w:sz="4" w:space="0"/>
              <w:left w:val="single" w:color="000000" w:sz="4" w:space="0"/>
              <w:bottom w:val="single" w:color="000000" w:sz="4" w:space="0"/>
              <w:right w:val="single" w:color="000000" w:sz="4" w:space="0"/>
            </w:tcBorders>
            <w:noWrap w:val="0"/>
            <w:vAlign w:val="center"/>
          </w:tcPr>
          <w:p w14:paraId="6702D191">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1</w:t>
            </w:r>
          </w:p>
        </w:tc>
        <w:tc>
          <w:tcPr>
            <w:tcW w:w="1764" w:type="dxa"/>
            <w:vMerge w:val="restart"/>
            <w:tcBorders>
              <w:top w:val="single" w:color="000000" w:sz="4" w:space="0"/>
              <w:left w:val="single" w:color="000000" w:sz="4" w:space="0"/>
              <w:bottom w:val="single" w:color="000000" w:sz="4" w:space="0"/>
              <w:right w:val="single" w:color="000000" w:sz="4" w:space="0"/>
            </w:tcBorders>
            <w:noWrap w:val="0"/>
            <w:vAlign w:val="center"/>
          </w:tcPr>
          <w:p w14:paraId="55DDE6EC">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201FA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5F03A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45DC3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5D0B5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507F6D24">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风险隐患总览</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13A70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2848D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9F56A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290C2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022D8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44B08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79376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78310B58">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监测报警总览</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6B1BC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3D21D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2D718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38BD5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B16C9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C289A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40BF0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00BCB72D">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预警处置跟踪</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0C0A8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E7D12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0A784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1638B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6275E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34B35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restart"/>
            <w:tcBorders>
              <w:top w:val="single" w:color="000000" w:sz="4" w:space="0"/>
              <w:left w:val="single" w:color="000000" w:sz="4" w:space="0"/>
              <w:bottom w:val="single" w:color="000000" w:sz="4" w:space="0"/>
              <w:right w:val="single" w:color="000000" w:sz="4" w:space="0"/>
            </w:tcBorders>
            <w:noWrap w:val="0"/>
            <w:vAlign w:val="center"/>
          </w:tcPr>
          <w:p w14:paraId="2F9723F7">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排水在线监测</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36C91E80">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实时监测</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A2FB4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F5DDC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7FBE4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10FCD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A89BF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855A3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B1556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7F79C16F">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报警审核</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6ED99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1DEC8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16DED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390CE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4D1A7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6CC9F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51953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265615C9">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报警处置</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27DAC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C1409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309CB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01E2F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F7171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FE53B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restart"/>
            <w:tcBorders>
              <w:top w:val="single" w:color="000000" w:sz="4" w:space="0"/>
              <w:left w:val="single" w:color="000000" w:sz="4" w:space="0"/>
              <w:bottom w:val="single" w:color="000000" w:sz="4" w:space="0"/>
              <w:right w:val="single" w:color="000000" w:sz="4" w:space="0"/>
            </w:tcBorders>
            <w:noWrap w:val="0"/>
            <w:vAlign w:val="center"/>
          </w:tcPr>
          <w:p w14:paraId="1350069A">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 xml:space="preserve">预警分析 </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290314B0">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预警处置</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15773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29412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95E66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68F4F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289ED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DF30C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F57A9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3630FAAF">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事件处置</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3903B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FF6E4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625D2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08E0B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096FA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36E16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restart"/>
            <w:tcBorders>
              <w:top w:val="single" w:color="000000" w:sz="4" w:space="0"/>
              <w:left w:val="single" w:color="000000" w:sz="4" w:space="0"/>
              <w:bottom w:val="single" w:color="000000" w:sz="4" w:space="0"/>
              <w:right w:val="single" w:color="000000" w:sz="4" w:space="0"/>
            </w:tcBorders>
            <w:noWrap w:val="0"/>
            <w:vAlign w:val="center"/>
          </w:tcPr>
          <w:p w14:paraId="1C9AD455">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辅助决策</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624B0DB8">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综合查询</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D2680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65EE9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54BA2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1B01B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20448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2ABBD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B71AE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4D6F6981">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数据统计</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A1378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40060C">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40AC2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61A90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284C0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362D6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62B99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47074355">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知识库</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38B3D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EE2A2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A599A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22F28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restart"/>
            <w:tcBorders>
              <w:top w:val="single" w:color="000000" w:sz="4" w:space="0"/>
              <w:left w:val="single" w:color="000000" w:sz="4" w:space="0"/>
              <w:bottom w:val="single" w:color="000000" w:sz="4" w:space="0"/>
              <w:right w:val="single" w:color="000000" w:sz="4" w:space="0"/>
            </w:tcBorders>
            <w:noWrap w:val="0"/>
            <w:vAlign w:val="center"/>
          </w:tcPr>
          <w:p w14:paraId="66139BBA">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7</w:t>
            </w:r>
          </w:p>
        </w:tc>
        <w:tc>
          <w:tcPr>
            <w:tcW w:w="1019" w:type="dxa"/>
            <w:vMerge w:val="restart"/>
            <w:tcBorders>
              <w:top w:val="single" w:color="000000" w:sz="4" w:space="0"/>
              <w:left w:val="single" w:color="000000" w:sz="4" w:space="0"/>
              <w:bottom w:val="single" w:color="000000" w:sz="4" w:space="0"/>
              <w:right w:val="single" w:color="000000" w:sz="4" w:space="0"/>
            </w:tcBorders>
            <w:noWrap w:val="0"/>
            <w:vAlign w:val="center"/>
          </w:tcPr>
          <w:p w14:paraId="390BF7A8">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供水管网监测应用系统（特配应用）</w:t>
            </w:r>
          </w:p>
        </w:tc>
        <w:tc>
          <w:tcPr>
            <w:tcW w:w="1530" w:type="dxa"/>
            <w:vMerge w:val="restart"/>
            <w:tcBorders>
              <w:top w:val="single" w:color="000000" w:sz="4" w:space="0"/>
              <w:left w:val="single" w:color="000000" w:sz="4" w:space="0"/>
              <w:bottom w:val="single" w:color="000000" w:sz="4" w:space="0"/>
              <w:right w:val="single" w:color="000000" w:sz="4" w:space="0"/>
            </w:tcBorders>
            <w:noWrap w:val="0"/>
            <w:vAlign w:val="center"/>
          </w:tcPr>
          <w:p w14:paraId="193319CC">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首页总览</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0E358F24">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供水信息总览</w:t>
            </w:r>
          </w:p>
        </w:tc>
        <w:tc>
          <w:tcPr>
            <w:tcW w:w="722" w:type="dxa"/>
            <w:vMerge w:val="restart"/>
            <w:tcBorders>
              <w:top w:val="single" w:color="000000" w:sz="4" w:space="0"/>
              <w:left w:val="single" w:color="000000" w:sz="4" w:space="0"/>
              <w:bottom w:val="single" w:color="000000" w:sz="4" w:space="0"/>
              <w:right w:val="single" w:color="000000" w:sz="4" w:space="0"/>
            </w:tcBorders>
            <w:noWrap w:val="0"/>
            <w:vAlign w:val="center"/>
          </w:tcPr>
          <w:p w14:paraId="33F215DD">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套</w:t>
            </w:r>
          </w:p>
        </w:tc>
        <w:tc>
          <w:tcPr>
            <w:tcW w:w="769" w:type="dxa"/>
            <w:vMerge w:val="restart"/>
            <w:tcBorders>
              <w:top w:val="single" w:color="000000" w:sz="4" w:space="0"/>
              <w:left w:val="single" w:color="000000" w:sz="4" w:space="0"/>
              <w:bottom w:val="single" w:color="000000" w:sz="4" w:space="0"/>
              <w:right w:val="single" w:color="000000" w:sz="4" w:space="0"/>
            </w:tcBorders>
            <w:noWrap w:val="0"/>
            <w:vAlign w:val="center"/>
          </w:tcPr>
          <w:p w14:paraId="0B862CA1">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1</w:t>
            </w:r>
          </w:p>
        </w:tc>
        <w:tc>
          <w:tcPr>
            <w:tcW w:w="1764" w:type="dxa"/>
            <w:vMerge w:val="restart"/>
            <w:tcBorders>
              <w:top w:val="single" w:color="000000" w:sz="4" w:space="0"/>
              <w:left w:val="single" w:color="000000" w:sz="4" w:space="0"/>
              <w:bottom w:val="single" w:color="000000" w:sz="4" w:space="0"/>
              <w:right w:val="single" w:color="000000" w:sz="4" w:space="0"/>
            </w:tcBorders>
            <w:noWrap w:val="0"/>
            <w:vAlign w:val="center"/>
          </w:tcPr>
          <w:p w14:paraId="1413851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621FE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11598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CFC7C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939F2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1C80602A">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风险隐患总览</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C00B0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144AC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67AA5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09167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8EC76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D4008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10C97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35106E76">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监测报警总览</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7F74E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A68EE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E4DBD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79A36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35E4E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099E3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138B6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0006EA63">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预警处置跟踪</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12ECB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7C611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38714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79718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848CC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9AC94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restart"/>
            <w:tcBorders>
              <w:top w:val="single" w:color="000000" w:sz="4" w:space="0"/>
              <w:left w:val="single" w:color="000000" w:sz="4" w:space="0"/>
              <w:bottom w:val="single" w:color="000000" w:sz="4" w:space="0"/>
              <w:right w:val="single" w:color="000000" w:sz="4" w:space="0"/>
            </w:tcBorders>
            <w:noWrap w:val="0"/>
            <w:vAlign w:val="center"/>
          </w:tcPr>
          <w:p w14:paraId="151037D4">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供水在线监测</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45F04E9A">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实时监测</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0CF44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AE96F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42CF5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75E26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D6218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697A9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837DF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675B3ED2">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报警审核</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F4020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72B59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2C18A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69824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F7621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4239E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394F3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636E6A9A">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报警处置</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E36E6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F57AF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2EA9A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54A74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D4684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64BD8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restart"/>
            <w:tcBorders>
              <w:top w:val="single" w:color="000000" w:sz="4" w:space="0"/>
              <w:left w:val="single" w:color="000000" w:sz="4" w:space="0"/>
              <w:bottom w:val="single" w:color="000000" w:sz="4" w:space="0"/>
              <w:right w:val="single" w:color="000000" w:sz="4" w:space="0"/>
            </w:tcBorders>
            <w:noWrap w:val="0"/>
            <w:vAlign w:val="center"/>
          </w:tcPr>
          <w:p w14:paraId="76B9E997">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 xml:space="preserve">预警分析 </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07808F01">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预警处置</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D588C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B8D57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E3FA7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76BE9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40805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A11FB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65566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609D74BA">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事件处置</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70D77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4A944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06227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66911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EF424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71B3F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restart"/>
            <w:tcBorders>
              <w:top w:val="single" w:color="000000" w:sz="4" w:space="0"/>
              <w:left w:val="single" w:color="000000" w:sz="4" w:space="0"/>
              <w:bottom w:val="single" w:color="000000" w:sz="4" w:space="0"/>
              <w:right w:val="single" w:color="000000" w:sz="4" w:space="0"/>
            </w:tcBorders>
            <w:noWrap w:val="0"/>
            <w:vAlign w:val="center"/>
          </w:tcPr>
          <w:p w14:paraId="501E559C">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辅助决策</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4083A109">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综合查询</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B7041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2A359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50169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6EA8F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FBCE9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D1AEE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A9CA8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7AE1E1F7">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数据统计</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B8939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45030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AAEEC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75059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74A5BC">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4847E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50503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59FD535A">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知识库</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72566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D67D2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B0495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6F0E0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restart"/>
            <w:tcBorders>
              <w:top w:val="single" w:color="000000" w:sz="4" w:space="0"/>
              <w:left w:val="single" w:color="000000" w:sz="4" w:space="0"/>
              <w:bottom w:val="single" w:color="000000" w:sz="4" w:space="0"/>
              <w:right w:val="single" w:color="000000" w:sz="4" w:space="0"/>
            </w:tcBorders>
            <w:noWrap w:val="0"/>
            <w:vAlign w:val="center"/>
          </w:tcPr>
          <w:p w14:paraId="437BEC3B">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8</w:t>
            </w:r>
          </w:p>
        </w:tc>
        <w:tc>
          <w:tcPr>
            <w:tcW w:w="1019" w:type="dxa"/>
            <w:vMerge w:val="restart"/>
            <w:tcBorders>
              <w:top w:val="single" w:color="000000" w:sz="4" w:space="0"/>
              <w:left w:val="single" w:color="000000" w:sz="4" w:space="0"/>
              <w:bottom w:val="single" w:color="000000" w:sz="4" w:space="0"/>
              <w:right w:val="single" w:color="000000" w:sz="4" w:space="0"/>
            </w:tcBorders>
            <w:noWrap w:val="0"/>
            <w:vAlign w:val="center"/>
          </w:tcPr>
          <w:p w14:paraId="0E91EE40">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桥梁监测应用系统（特配应用）</w:t>
            </w:r>
          </w:p>
        </w:tc>
        <w:tc>
          <w:tcPr>
            <w:tcW w:w="1530" w:type="dxa"/>
            <w:vMerge w:val="restart"/>
            <w:tcBorders>
              <w:top w:val="single" w:color="000000" w:sz="4" w:space="0"/>
              <w:left w:val="single" w:color="000000" w:sz="4" w:space="0"/>
              <w:bottom w:val="single" w:color="000000" w:sz="4" w:space="0"/>
              <w:right w:val="single" w:color="000000" w:sz="4" w:space="0"/>
            </w:tcBorders>
            <w:noWrap w:val="0"/>
            <w:vAlign w:val="center"/>
          </w:tcPr>
          <w:p w14:paraId="07A3B9AA">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首页总览</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4236A896">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桥梁信息总览</w:t>
            </w:r>
          </w:p>
        </w:tc>
        <w:tc>
          <w:tcPr>
            <w:tcW w:w="722" w:type="dxa"/>
            <w:vMerge w:val="restart"/>
            <w:tcBorders>
              <w:top w:val="single" w:color="000000" w:sz="4" w:space="0"/>
              <w:left w:val="single" w:color="000000" w:sz="4" w:space="0"/>
              <w:bottom w:val="single" w:color="000000" w:sz="4" w:space="0"/>
              <w:right w:val="single" w:color="000000" w:sz="4" w:space="0"/>
            </w:tcBorders>
            <w:noWrap w:val="0"/>
            <w:vAlign w:val="center"/>
          </w:tcPr>
          <w:p w14:paraId="486A1C56">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套</w:t>
            </w:r>
          </w:p>
        </w:tc>
        <w:tc>
          <w:tcPr>
            <w:tcW w:w="769" w:type="dxa"/>
            <w:vMerge w:val="restart"/>
            <w:tcBorders>
              <w:top w:val="single" w:color="000000" w:sz="4" w:space="0"/>
              <w:left w:val="single" w:color="000000" w:sz="4" w:space="0"/>
              <w:bottom w:val="single" w:color="000000" w:sz="4" w:space="0"/>
              <w:right w:val="single" w:color="000000" w:sz="4" w:space="0"/>
            </w:tcBorders>
            <w:noWrap w:val="0"/>
            <w:vAlign w:val="center"/>
          </w:tcPr>
          <w:p w14:paraId="431AC3D6">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1</w:t>
            </w:r>
          </w:p>
        </w:tc>
        <w:tc>
          <w:tcPr>
            <w:tcW w:w="1764" w:type="dxa"/>
            <w:vMerge w:val="restart"/>
            <w:tcBorders>
              <w:top w:val="single" w:color="000000" w:sz="4" w:space="0"/>
              <w:left w:val="single" w:color="000000" w:sz="4" w:space="0"/>
              <w:bottom w:val="single" w:color="000000" w:sz="4" w:space="0"/>
              <w:right w:val="single" w:color="000000" w:sz="4" w:space="0"/>
            </w:tcBorders>
            <w:noWrap w:val="0"/>
            <w:vAlign w:val="center"/>
          </w:tcPr>
          <w:p w14:paraId="10CB261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713C1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CA641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1584C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063A1C">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6792D7E1">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风险隐患总览</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5AEBD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B0477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7D665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6E94C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4327B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AD52C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2AAF1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71DD7EAA">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监测报警总览</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A9640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2025E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B2D35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4848E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42E6B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8B2D1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58AA1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7E4B6F34">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预警处置跟踪</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1BB7A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D8999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D42D9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63EBE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26266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6D473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restart"/>
            <w:tcBorders>
              <w:top w:val="single" w:color="000000" w:sz="4" w:space="0"/>
              <w:left w:val="single" w:color="000000" w:sz="4" w:space="0"/>
              <w:bottom w:val="single" w:color="000000" w:sz="4" w:space="0"/>
              <w:right w:val="single" w:color="000000" w:sz="4" w:space="0"/>
            </w:tcBorders>
            <w:noWrap w:val="0"/>
            <w:vAlign w:val="center"/>
          </w:tcPr>
          <w:p w14:paraId="6B954892">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桥梁在线监测</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6394EFC4">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实时监测</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3C8A0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35CBF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24168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6F62B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BAE46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A99EE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D5D0E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4AFC845C">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报警审核</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E8F60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7856F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9E74E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7202C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E0D19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D1977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C1382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249B1516">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报警处置</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94161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D93EB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6161A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7E806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3233BC">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ADB3B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restart"/>
            <w:tcBorders>
              <w:top w:val="single" w:color="000000" w:sz="4" w:space="0"/>
              <w:left w:val="single" w:color="000000" w:sz="4" w:space="0"/>
              <w:bottom w:val="single" w:color="000000" w:sz="4" w:space="0"/>
              <w:right w:val="single" w:color="000000" w:sz="4" w:space="0"/>
            </w:tcBorders>
            <w:noWrap w:val="0"/>
            <w:vAlign w:val="center"/>
          </w:tcPr>
          <w:p w14:paraId="5AA85BD1">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 xml:space="preserve">预警分析 </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585B85BC">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预警处置</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18D54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8D87B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5C7AF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75D22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E0A95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66DDD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AED52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18E61B02">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事件处置</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194D8C">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A7291C">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5E4C8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191D1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78358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EC76A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restart"/>
            <w:tcBorders>
              <w:top w:val="single" w:color="000000" w:sz="4" w:space="0"/>
              <w:left w:val="single" w:color="000000" w:sz="4" w:space="0"/>
              <w:bottom w:val="single" w:color="000000" w:sz="4" w:space="0"/>
              <w:right w:val="single" w:color="000000" w:sz="4" w:space="0"/>
            </w:tcBorders>
            <w:noWrap w:val="0"/>
            <w:vAlign w:val="center"/>
          </w:tcPr>
          <w:p w14:paraId="5562DC85">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辅助决策</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19B5F1A4">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综合查询</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106A2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CF1FB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AE85A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0AF8E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54392C">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05967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E2799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463C1A4B">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数据统计</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E2C40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D0FA5A">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2662C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37C8C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683CE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3DB8E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2CC9B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664E924E">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知识库</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A7A62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A2CF6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D22BB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5D06E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restart"/>
            <w:tcBorders>
              <w:top w:val="single" w:color="000000" w:sz="4" w:space="0"/>
              <w:left w:val="single" w:color="000000" w:sz="4" w:space="0"/>
              <w:bottom w:val="single" w:color="000000" w:sz="4" w:space="0"/>
              <w:right w:val="single" w:color="000000" w:sz="4" w:space="0"/>
            </w:tcBorders>
            <w:noWrap w:val="0"/>
            <w:vAlign w:val="center"/>
          </w:tcPr>
          <w:p w14:paraId="1BF3CFA5">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9</w:t>
            </w:r>
          </w:p>
        </w:tc>
        <w:tc>
          <w:tcPr>
            <w:tcW w:w="1019" w:type="dxa"/>
            <w:vMerge w:val="restart"/>
            <w:tcBorders>
              <w:top w:val="single" w:color="000000" w:sz="4" w:space="0"/>
              <w:left w:val="single" w:color="000000" w:sz="4" w:space="0"/>
              <w:bottom w:val="single" w:color="000000" w:sz="4" w:space="0"/>
              <w:right w:val="single" w:color="000000" w:sz="4" w:space="0"/>
            </w:tcBorders>
            <w:noWrap w:val="0"/>
            <w:vAlign w:val="center"/>
          </w:tcPr>
          <w:p w14:paraId="0E95187A">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运维管理子系统（特配应用）</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3B51B379">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运维数据总览</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213CC708">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运维数据总览</w:t>
            </w:r>
          </w:p>
        </w:tc>
        <w:tc>
          <w:tcPr>
            <w:tcW w:w="722" w:type="dxa"/>
            <w:vMerge w:val="restart"/>
            <w:tcBorders>
              <w:top w:val="single" w:color="000000" w:sz="4" w:space="0"/>
              <w:left w:val="single" w:color="000000" w:sz="4" w:space="0"/>
              <w:bottom w:val="single" w:color="000000" w:sz="4" w:space="0"/>
              <w:right w:val="single" w:color="000000" w:sz="4" w:space="0"/>
            </w:tcBorders>
            <w:noWrap w:val="0"/>
            <w:vAlign w:val="center"/>
          </w:tcPr>
          <w:p w14:paraId="6D5B3D2A">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套</w:t>
            </w:r>
          </w:p>
        </w:tc>
        <w:tc>
          <w:tcPr>
            <w:tcW w:w="769" w:type="dxa"/>
            <w:vMerge w:val="restart"/>
            <w:tcBorders>
              <w:top w:val="single" w:color="000000" w:sz="4" w:space="0"/>
              <w:left w:val="single" w:color="000000" w:sz="4" w:space="0"/>
              <w:bottom w:val="single" w:color="000000" w:sz="4" w:space="0"/>
              <w:right w:val="single" w:color="000000" w:sz="4" w:space="0"/>
            </w:tcBorders>
            <w:noWrap w:val="0"/>
            <w:vAlign w:val="center"/>
          </w:tcPr>
          <w:p w14:paraId="269E6EC3">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1</w:t>
            </w:r>
          </w:p>
        </w:tc>
        <w:tc>
          <w:tcPr>
            <w:tcW w:w="1764" w:type="dxa"/>
            <w:vMerge w:val="restart"/>
            <w:tcBorders>
              <w:top w:val="single" w:color="000000" w:sz="4" w:space="0"/>
              <w:left w:val="single" w:color="000000" w:sz="4" w:space="0"/>
              <w:bottom w:val="single" w:color="000000" w:sz="4" w:space="0"/>
              <w:right w:val="single" w:color="000000" w:sz="4" w:space="0"/>
            </w:tcBorders>
            <w:noWrap w:val="0"/>
            <w:vAlign w:val="center"/>
          </w:tcPr>
          <w:p w14:paraId="640A3DF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1ED6A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66B7B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37336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30699658">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账号管理</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5DC48507">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账号管理</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E1D7F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18F24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928650">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02714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038F0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D49CF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164F31E8">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部门架构管理</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21A903CD">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部门架构管理</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C1D07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D58FB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D741E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46942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07582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C65A6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02C18CBD">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权限角色管理</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22AC311E">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权限角色管理</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68EE8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CA296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AD333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338A9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27C6F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6F7A4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7CF78A7F">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数据字典管理</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1B6E99CC">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数据字典管理</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40011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0ABDD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78C03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214AF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0F5F0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9E04B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23E35DB2">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节点配置</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5EC94F90">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节点配置</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B8883C">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FB7FF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C7179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0E55D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7132A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29219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1C42A83D">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日志管理</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2E99F347">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日志管理</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92217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C4F915">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596F4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5D154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9E6A2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20FFB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3F98DD54">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身份统一校验</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574A755A">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身份统一校验</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CB3AA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7ECFD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2CBCC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1490D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B18F6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BA9659">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79780B83">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数据备份和恢复</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4EE2202D">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数据备份和恢复</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7A111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493C8C">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CA7B03">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6AB53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53A7B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B1321D">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78D9BE8B">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服务器资源查看</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43D1117B">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服务器资源查看</w:t>
            </w:r>
          </w:p>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444CD6">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6A943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7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AD19C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37277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restart"/>
            <w:tcBorders>
              <w:top w:val="single" w:color="000000" w:sz="4" w:space="0"/>
              <w:left w:val="single" w:color="000000" w:sz="4" w:space="0"/>
              <w:bottom w:val="single" w:color="000000" w:sz="4" w:space="0"/>
              <w:right w:val="single" w:color="000000" w:sz="4" w:space="0"/>
            </w:tcBorders>
            <w:noWrap w:val="0"/>
            <w:vAlign w:val="center"/>
          </w:tcPr>
          <w:p w14:paraId="66299B95">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10</w:t>
            </w:r>
          </w:p>
        </w:tc>
        <w:tc>
          <w:tcPr>
            <w:tcW w:w="1019" w:type="dxa"/>
            <w:vMerge w:val="restart"/>
            <w:tcBorders>
              <w:top w:val="single" w:color="000000" w:sz="4" w:space="0"/>
              <w:left w:val="single" w:color="000000" w:sz="4" w:space="0"/>
              <w:bottom w:val="single" w:color="000000" w:sz="4" w:space="0"/>
              <w:right w:val="single" w:color="000000" w:sz="4" w:space="0"/>
            </w:tcBorders>
            <w:noWrap w:val="0"/>
            <w:vAlign w:val="center"/>
          </w:tcPr>
          <w:p w14:paraId="641D5B70">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接口建设</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7FB1E6DE">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与龙山首创城乡供排水一体化智慧管控平台接口对接</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3A5ECB00">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接入现有供水管网运行监测数据（如流量、压力等）及相关业务数据，实现供水运行状态与生命线平台的联动共享，支撑供水安全监测、风险预警及应急调度分析。</w:t>
            </w:r>
          </w:p>
        </w:tc>
        <w:tc>
          <w:tcPr>
            <w:tcW w:w="722" w:type="dxa"/>
            <w:tcBorders>
              <w:top w:val="single" w:color="000000" w:sz="4" w:space="0"/>
              <w:left w:val="single" w:color="000000" w:sz="4" w:space="0"/>
              <w:bottom w:val="single" w:color="000000" w:sz="4" w:space="0"/>
              <w:right w:val="single" w:color="000000" w:sz="4" w:space="0"/>
            </w:tcBorders>
            <w:noWrap w:val="0"/>
            <w:vAlign w:val="center"/>
          </w:tcPr>
          <w:p w14:paraId="5B7F183D">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项</w:t>
            </w:r>
          </w:p>
        </w:tc>
        <w:tc>
          <w:tcPr>
            <w:tcW w:w="769" w:type="dxa"/>
            <w:tcBorders>
              <w:top w:val="single" w:color="000000" w:sz="4" w:space="0"/>
              <w:left w:val="single" w:color="000000" w:sz="4" w:space="0"/>
              <w:bottom w:val="single" w:color="000000" w:sz="4" w:space="0"/>
              <w:right w:val="single" w:color="000000" w:sz="4" w:space="0"/>
            </w:tcBorders>
            <w:noWrap w:val="0"/>
            <w:vAlign w:val="center"/>
          </w:tcPr>
          <w:p w14:paraId="09C88BE0">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1</w:t>
            </w:r>
          </w:p>
        </w:tc>
        <w:tc>
          <w:tcPr>
            <w:tcW w:w="1764" w:type="dxa"/>
            <w:tcBorders>
              <w:top w:val="single" w:color="000000" w:sz="4" w:space="0"/>
              <w:left w:val="single" w:color="000000" w:sz="4" w:space="0"/>
              <w:bottom w:val="single" w:color="000000" w:sz="4" w:space="0"/>
              <w:right w:val="single" w:color="000000" w:sz="4" w:space="0"/>
            </w:tcBorders>
            <w:noWrap w:val="0"/>
            <w:vAlign w:val="center"/>
          </w:tcPr>
          <w:p w14:paraId="3C9254B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6ADFC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E21577">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D5A34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0BE497C1">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与龙山燃气管网智能化改造接口对接</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2B5DDC9D">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接入燃气管网压力、流量、泄漏监测等物联感知数据，以及场站运行数据，实现燃气运行状态的实时感知与统一监管，为燃气安全风险分析与预警提供数据支撑。</w:t>
            </w:r>
          </w:p>
        </w:tc>
        <w:tc>
          <w:tcPr>
            <w:tcW w:w="722" w:type="dxa"/>
            <w:tcBorders>
              <w:top w:val="single" w:color="000000" w:sz="4" w:space="0"/>
              <w:left w:val="single" w:color="000000" w:sz="4" w:space="0"/>
              <w:bottom w:val="single" w:color="000000" w:sz="4" w:space="0"/>
              <w:right w:val="single" w:color="000000" w:sz="4" w:space="0"/>
            </w:tcBorders>
            <w:noWrap w:val="0"/>
            <w:vAlign w:val="center"/>
          </w:tcPr>
          <w:p w14:paraId="03ECF139">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项</w:t>
            </w:r>
          </w:p>
        </w:tc>
        <w:tc>
          <w:tcPr>
            <w:tcW w:w="769" w:type="dxa"/>
            <w:tcBorders>
              <w:top w:val="single" w:color="000000" w:sz="4" w:space="0"/>
              <w:left w:val="single" w:color="000000" w:sz="4" w:space="0"/>
              <w:bottom w:val="single" w:color="000000" w:sz="4" w:space="0"/>
              <w:right w:val="single" w:color="000000" w:sz="4" w:space="0"/>
            </w:tcBorders>
            <w:noWrap w:val="0"/>
            <w:vAlign w:val="center"/>
          </w:tcPr>
          <w:p w14:paraId="5C708817">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1</w:t>
            </w:r>
          </w:p>
        </w:tc>
        <w:tc>
          <w:tcPr>
            <w:tcW w:w="1764" w:type="dxa"/>
            <w:tcBorders>
              <w:top w:val="single" w:color="000000" w:sz="4" w:space="0"/>
              <w:left w:val="single" w:color="000000" w:sz="4" w:space="0"/>
              <w:bottom w:val="single" w:color="000000" w:sz="4" w:space="0"/>
              <w:right w:val="single" w:color="000000" w:sz="4" w:space="0"/>
            </w:tcBorders>
            <w:noWrap w:val="0"/>
            <w:vAlign w:val="center"/>
          </w:tcPr>
          <w:p w14:paraId="2321C34E">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262E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2D454F">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40C79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322FB02F">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对接龙山县地下市政基础设施综合管理信息平台管网、基础设施数据</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5306DCD7">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获取供水、排水、燃气等管网及附属设施的基础空间数据和属性数据，实现城市基础设施“一张图”管理，为风险评估、监测布点及分析应用提供基础数据支撑。</w:t>
            </w:r>
          </w:p>
        </w:tc>
        <w:tc>
          <w:tcPr>
            <w:tcW w:w="722" w:type="dxa"/>
            <w:tcBorders>
              <w:top w:val="single" w:color="000000" w:sz="4" w:space="0"/>
              <w:left w:val="single" w:color="000000" w:sz="4" w:space="0"/>
              <w:bottom w:val="single" w:color="000000" w:sz="4" w:space="0"/>
              <w:right w:val="single" w:color="000000" w:sz="4" w:space="0"/>
            </w:tcBorders>
            <w:noWrap w:val="0"/>
            <w:vAlign w:val="center"/>
          </w:tcPr>
          <w:p w14:paraId="4420BB72">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项</w:t>
            </w:r>
          </w:p>
        </w:tc>
        <w:tc>
          <w:tcPr>
            <w:tcW w:w="769" w:type="dxa"/>
            <w:tcBorders>
              <w:top w:val="single" w:color="000000" w:sz="4" w:space="0"/>
              <w:left w:val="single" w:color="000000" w:sz="4" w:space="0"/>
              <w:bottom w:val="single" w:color="000000" w:sz="4" w:space="0"/>
              <w:right w:val="single" w:color="000000" w:sz="4" w:space="0"/>
            </w:tcBorders>
            <w:noWrap w:val="0"/>
            <w:vAlign w:val="center"/>
          </w:tcPr>
          <w:p w14:paraId="5EF599C9">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1</w:t>
            </w:r>
          </w:p>
        </w:tc>
        <w:tc>
          <w:tcPr>
            <w:tcW w:w="1764" w:type="dxa"/>
            <w:tcBorders>
              <w:top w:val="single" w:color="000000" w:sz="4" w:space="0"/>
              <w:left w:val="single" w:color="000000" w:sz="4" w:space="0"/>
              <w:bottom w:val="single" w:color="000000" w:sz="4" w:space="0"/>
              <w:right w:val="single" w:color="000000" w:sz="4" w:space="0"/>
            </w:tcBorders>
            <w:noWrap w:val="0"/>
            <w:vAlign w:val="center"/>
          </w:tcPr>
          <w:p w14:paraId="581A5B82">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2B21B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8D8BD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6256A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1FD732E8">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与省厅运管服平台对接</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79DD06D4">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按照省级平台数据标准和接口规范，对接省厅城市运行管理服务平台，实现生命线工程相关数据的汇聚上报与信息共享，支撑上级监管、运行监测及绩效考核要求。</w:t>
            </w:r>
          </w:p>
        </w:tc>
        <w:tc>
          <w:tcPr>
            <w:tcW w:w="722" w:type="dxa"/>
            <w:tcBorders>
              <w:top w:val="single" w:color="000000" w:sz="4" w:space="0"/>
              <w:left w:val="single" w:color="000000" w:sz="4" w:space="0"/>
              <w:bottom w:val="single" w:color="000000" w:sz="4" w:space="0"/>
              <w:right w:val="single" w:color="000000" w:sz="4" w:space="0"/>
            </w:tcBorders>
            <w:noWrap w:val="0"/>
            <w:vAlign w:val="center"/>
          </w:tcPr>
          <w:p w14:paraId="15798AD6">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项</w:t>
            </w:r>
          </w:p>
        </w:tc>
        <w:tc>
          <w:tcPr>
            <w:tcW w:w="769" w:type="dxa"/>
            <w:tcBorders>
              <w:top w:val="single" w:color="000000" w:sz="4" w:space="0"/>
              <w:left w:val="single" w:color="000000" w:sz="4" w:space="0"/>
              <w:bottom w:val="single" w:color="000000" w:sz="4" w:space="0"/>
              <w:right w:val="single" w:color="000000" w:sz="4" w:space="0"/>
            </w:tcBorders>
            <w:noWrap w:val="0"/>
            <w:vAlign w:val="center"/>
          </w:tcPr>
          <w:p w14:paraId="0E226417">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1</w:t>
            </w:r>
          </w:p>
        </w:tc>
        <w:tc>
          <w:tcPr>
            <w:tcW w:w="1764" w:type="dxa"/>
            <w:tcBorders>
              <w:top w:val="single" w:color="000000" w:sz="4" w:space="0"/>
              <w:left w:val="single" w:color="000000" w:sz="4" w:space="0"/>
              <w:bottom w:val="single" w:color="000000" w:sz="4" w:space="0"/>
              <w:right w:val="single" w:color="000000" w:sz="4" w:space="0"/>
            </w:tcBorders>
            <w:noWrap w:val="0"/>
            <w:vAlign w:val="center"/>
          </w:tcPr>
          <w:p w14:paraId="0EFD093B">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r>
      <w:tr w14:paraId="73908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restart"/>
            <w:tcBorders>
              <w:top w:val="single" w:color="000000" w:sz="4" w:space="0"/>
              <w:left w:val="single" w:color="000000" w:sz="4" w:space="0"/>
              <w:bottom w:val="single" w:color="000000" w:sz="4" w:space="0"/>
              <w:right w:val="single" w:color="000000" w:sz="4" w:space="0"/>
            </w:tcBorders>
            <w:noWrap w:val="0"/>
            <w:vAlign w:val="center"/>
          </w:tcPr>
          <w:p w14:paraId="4E897C94">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11</w:t>
            </w:r>
          </w:p>
        </w:tc>
        <w:tc>
          <w:tcPr>
            <w:tcW w:w="1019" w:type="dxa"/>
            <w:vMerge w:val="restart"/>
            <w:tcBorders>
              <w:top w:val="single" w:color="000000" w:sz="4" w:space="0"/>
              <w:left w:val="single" w:color="000000" w:sz="4" w:space="0"/>
              <w:bottom w:val="single" w:color="000000" w:sz="4" w:space="0"/>
              <w:right w:val="single" w:color="000000" w:sz="4" w:space="0"/>
            </w:tcBorders>
            <w:noWrap w:val="0"/>
            <w:vAlign w:val="center"/>
          </w:tcPr>
          <w:p w14:paraId="67B43E46">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系统安装与部署</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42DD1BFB">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系统集成部署与培训</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6788D2E1">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完成软硬件支撑平台、系统功能等统一集成与安装部署，完成培训工作</w:t>
            </w:r>
          </w:p>
        </w:tc>
        <w:tc>
          <w:tcPr>
            <w:tcW w:w="722" w:type="dxa"/>
            <w:tcBorders>
              <w:top w:val="single" w:color="000000" w:sz="4" w:space="0"/>
              <w:left w:val="single" w:color="000000" w:sz="4" w:space="0"/>
              <w:bottom w:val="single" w:color="000000" w:sz="4" w:space="0"/>
              <w:right w:val="single" w:color="000000" w:sz="4" w:space="0"/>
            </w:tcBorders>
            <w:noWrap w:val="0"/>
            <w:vAlign w:val="center"/>
          </w:tcPr>
          <w:p w14:paraId="524F85B7">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项</w:t>
            </w:r>
          </w:p>
        </w:tc>
        <w:tc>
          <w:tcPr>
            <w:tcW w:w="769" w:type="dxa"/>
            <w:tcBorders>
              <w:top w:val="single" w:color="000000" w:sz="4" w:space="0"/>
              <w:left w:val="single" w:color="000000" w:sz="4" w:space="0"/>
              <w:bottom w:val="single" w:color="000000" w:sz="4" w:space="0"/>
              <w:right w:val="single" w:color="000000" w:sz="4" w:space="0"/>
            </w:tcBorders>
            <w:noWrap w:val="0"/>
            <w:vAlign w:val="center"/>
          </w:tcPr>
          <w:p w14:paraId="72942A89">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1</w:t>
            </w:r>
          </w:p>
        </w:tc>
        <w:tc>
          <w:tcPr>
            <w:tcW w:w="1764" w:type="dxa"/>
            <w:tcBorders>
              <w:top w:val="single" w:color="000000" w:sz="4" w:space="0"/>
              <w:left w:val="single" w:color="000000" w:sz="4" w:space="0"/>
              <w:bottom w:val="single" w:color="000000" w:sz="4" w:space="0"/>
              <w:right w:val="single" w:color="000000" w:sz="4" w:space="0"/>
            </w:tcBorders>
            <w:noWrap w:val="0"/>
            <w:vAlign w:val="center"/>
          </w:tcPr>
          <w:p w14:paraId="3B4D0A5A">
            <w:pPr>
              <w:keepNext w:val="0"/>
              <w:keepLines w:val="0"/>
              <w:pageBreakBefore w:val="0"/>
              <w:kinsoku/>
              <w:wordWrap/>
              <w:overflowPunct/>
              <w:topLinePunct w:val="0"/>
              <w:autoSpaceDE/>
              <w:autoSpaceDN/>
              <w:bidi w:val="0"/>
              <w:adjustRightInd/>
              <w:snapToGrid/>
              <w:spacing w:line="320" w:lineRule="exact"/>
              <w:ind w:firstLine="0" w:firstLineChars="0"/>
              <w:jc w:val="left"/>
              <w:rPr>
                <w:rFonts w:hint="eastAsia" w:ascii="黑体" w:hAnsi="黑体" w:eastAsia="黑体" w:cs="黑体"/>
                <w:i w:val="0"/>
                <w:iCs w:val="0"/>
                <w:color w:val="auto"/>
                <w:sz w:val="21"/>
                <w:szCs w:val="21"/>
                <w:highlight w:val="none"/>
                <w:u w:val="none"/>
                <w:lang w:eastAsia="zh-CN"/>
              </w:rPr>
            </w:pPr>
          </w:p>
        </w:tc>
      </w:tr>
      <w:tr w14:paraId="4A334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6E3B81">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0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23C5CC">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eastAsia" w:ascii="黑体" w:hAnsi="黑体" w:eastAsia="黑体" w:cs="黑体"/>
                <w:i w:val="0"/>
                <w:iCs w:val="0"/>
                <w:color w:val="auto"/>
                <w:sz w:val="21"/>
                <w:szCs w:val="21"/>
                <w:highlight w:val="none"/>
                <w:u w:val="none"/>
                <w:lang w:eastAsia="zh-CN"/>
              </w:rPr>
            </w:pP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60F42794">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系统运维</w:t>
            </w: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6442783D">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运维服务内容包括硬件定期巡检、调整优化维修更换、版本升级；成品软件原厂服务、定期升级、调整优化；定制软件定期巡检、调整优化、版本升级</w:t>
            </w:r>
          </w:p>
        </w:tc>
        <w:tc>
          <w:tcPr>
            <w:tcW w:w="722" w:type="dxa"/>
            <w:tcBorders>
              <w:top w:val="single" w:color="000000" w:sz="4" w:space="0"/>
              <w:left w:val="single" w:color="000000" w:sz="4" w:space="0"/>
              <w:bottom w:val="single" w:color="000000" w:sz="4" w:space="0"/>
              <w:right w:val="single" w:color="000000" w:sz="4" w:space="0"/>
            </w:tcBorders>
            <w:noWrap w:val="0"/>
            <w:vAlign w:val="center"/>
          </w:tcPr>
          <w:p w14:paraId="4E745D94">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年</w:t>
            </w:r>
          </w:p>
        </w:tc>
        <w:tc>
          <w:tcPr>
            <w:tcW w:w="769" w:type="dxa"/>
            <w:tcBorders>
              <w:top w:val="single" w:color="000000" w:sz="4" w:space="0"/>
              <w:left w:val="single" w:color="000000" w:sz="4" w:space="0"/>
              <w:bottom w:val="single" w:color="000000" w:sz="4" w:space="0"/>
              <w:right w:val="single" w:color="000000" w:sz="4" w:space="0"/>
            </w:tcBorders>
            <w:noWrap w:val="0"/>
            <w:vAlign w:val="center"/>
          </w:tcPr>
          <w:p w14:paraId="15B07D6A">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2</w:t>
            </w:r>
          </w:p>
        </w:tc>
        <w:tc>
          <w:tcPr>
            <w:tcW w:w="1764" w:type="dxa"/>
            <w:tcBorders>
              <w:top w:val="single" w:color="000000" w:sz="4" w:space="0"/>
              <w:left w:val="single" w:color="000000" w:sz="4" w:space="0"/>
              <w:bottom w:val="single" w:color="000000" w:sz="4" w:space="0"/>
              <w:right w:val="single" w:color="000000" w:sz="4" w:space="0"/>
            </w:tcBorders>
            <w:noWrap w:val="0"/>
            <w:vAlign w:val="center"/>
          </w:tcPr>
          <w:p w14:paraId="29E98E7F">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sz w:val="21"/>
                <w:szCs w:val="21"/>
                <w:highlight w:val="none"/>
                <w:u w:val="none"/>
                <w:lang w:eastAsia="zh-CN"/>
              </w:rPr>
            </w:pPr>
            <w:r>
              <w:rPr>
                <w:rFonts w:hint="eastAsia" w:ascii="黑体" w:hAnsi="黑体" w:eastAsia="黑体" w:cs="黑体"/>
                <w:i w:val="0"/>
                <w:iCs w:val="0"/>
                <w:color w:val="auto"/>
                <w:kern w:val="0"/>
                <w:sz w:val="21"/>
                <w:szCs w:val="21"/>
                <w:highlight w:val="none"/>
                <w:u w:val="none"/>
                <w:lang w:val="en-US" w:eastAsia="zh-CN" w:bidi="ar"/>
              </w:rPr>
              <w:t>（三年运维费用）第一年免费运维本项目平台软件、系统集成、接口开发</w:t>
            </w:r>
          </w:p>
        </w:tc>
      </w:tr>
      <w:tr w14:paraId="0A359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dxa"/>
            <w:tcBorders>
              <w:top w:val="single" w:color="000000" w:sz="4" w:space="0"/>
              <w:left w:val="single" w:color="000000" w:sz="4" w:space="0"/>
              <w:bottom w:val="single" w:color="000000" w:sz="4" w:space="0"/>
              <w:right w:val="single" w:color="000000" w:sz="4" w:space="0"/>
            </w:tcBorders>
            <w:noWrap w:val="0"/>
            <w:vAlign w:val="center"/>
          </w:tcPr>
          <w:p w14:paraId="32DDD414">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黑体" w:hAnsi="黑体" w:eastAsia="黑体" w:cs="黑体"/>
                <w:i w:val="0"/>
                <w:iCs w:val="0"/>
                <w:color w:val="auto"/>
                <w:sz w:val="21"/>
                <w:szCs w:val="21"/>
                <w:highlight w:val="none"/>
                <w:u w:val="none"/>
                <w:lang w:val="en-US" w:eastAsia="zh-CN"/>
              </w:rPr>
            </w:pPr>
            <w:r>
              <w:rPr>
                <w:rFonts w:hint="eastAsia" w:ascii="黑体" w:hAnsi="黑体" w:eastAsia="黑体" w:cs="黑体"/>
                <w:i w:val="0"/>
                <w:iCs w:val="0"/>
                <w:color w:val="auto"/>
                <w:sz w:val="21"/>
                <w:szCs w:val="21"/>
                <w:highlight w:val="none"/>
                <w:u w:val="none"/>
                <w:lang w:val="en-US" w:eastAsia="zh-CN"/>
              </w:rPr>
              <w:t>12</w:t>
            </w:r>
          </w:p>
        </w:tc>
        <w:tc>
          <w:tcPr>
            <w:tcW w:w="1019" w:type="dxa"/>
            <w:tcBorders>
              <w:top w:val="single" w:color="000000" w:sz="4" w:space="0"/>
              <w:left w:val="single" w:color="000000" w:sz="4" w:space="0"/>
              <w:bottom w:val="single" w:color="000000" w:sz="4" w:space="0"/>
              <w:right w:val="single" w:color="000000" w:sz="4" w:space="0"/>
            </w:tcBorders>
            <w:noWrap w:val="0"/>
            <w:vAlign w:val="center"/>
          </w:tcPr>
          <w:p w14:paraId="0AD5D548">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黑体" w:hAnsi="黑体" w:eastAsia="黑体" w:cs="黑体"/>
                <w:i w:val="0"/>
                <w:iCs w:val="0"/>
                <w:color w:val="auto"/>
                <w:sz w:val="21"/>
                <w:szCs w:val="21"/>
                <w:highlight w:val="none"/>
                <w:u w:val="none"/>
                <w:lang w:val="en-US" w:eastAsia="zh-CN"/>
              </w:rPr>
            </w:pPr>
            <w:r>
              <w:rPr>
                <w:rFonts w:hint="eastAsia" w:ascii="黑体" w:hAnsi="黑体" w:eastAsia="黑体" w:cs="黑体"/>
                <w:i w:val="0"/>
                <w:iCs w:val="0"/>
                <w:color w:val="auto"/>
                <w:sz w:val="21"/>
                <w:szCs w:val="21"/>
                <w:highlight w:val="none"/>
                <w:u w:val="none"/>
                <w:lang w:eastAsia="zh-CN"/>
              </w:rPr>
              <w:t>不可预见费</w:t>
            </w:r>
            <w:r>
              <w:rPr>
                <w:rFonts w:hint="eastAsia" w:ascii="黑体" w:hAnsi="黑体" w:eastAsia="黑体" w:cs="黑体"/>
                <w:i w:val="0"/>
                <w:iCs w:val="0"/>
                <w:color w:val="auto"/>
                <w:sz w:val="21"/>
                <w:szCs w:val="21"/>
                <w:highlight w:val="none"/>
                <w:u w:val="none"/>
                <w:lang w:val="en-US" w:eastAsia="zh-CN"/>
              </w:rPr>
              <w:t>用</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01C5DAA9">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黑体" w:hAnsi="黑体" w:eastAsia="黑体" w:cs="黑体"/>
                <w:i w:val="0"/>
                <w:iCs w:val="0"/>
                <w:color w:val="auto"/>
                <w:kern w:val="0"/>
                <w:sz w:val="21"/>
                <w:szCs w:val="21"/>
                <w:highlight w:val="none"/>
                <w:u w:val="none"/>
                <w:lang w:val="en-US" w:eastAsia="zh-CN" w:bidi="ar"/>
              </w:rPr>
            </w:pPr>
          </w:p>
        </w:tc>
        <w:tc>
          <w:tcPr>
            <w:tcW w:w="2867" w:type="dxa"/>
            <w:tcBorders>
              <w:top w:val="single" w:color="000000" w:sz="4" w:space="0"/>
              <w:left w:val="single" w:color="000000" w:sz="4" w:space="0"/>
              <w:bottom w:val="single" w:color="000000" w:sz="4" w:space="0"/>
              <w:right w:val="single" w:color="000000" w:sz="4" w:space="0"/>
            </w:tcBorders>
            <w:noWrap w:val="0"/>
            <w:vAlign w:val="center"/>
          </w:tcPr>
          <w:p w14:paraId="5E5F955D">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eastAsia" w:ascii="黑体" w:hAnsi="黑体" w:eastAsia="黑体" w:cs="黑体"/>
                <w:i w:val="0"/>
                <w:iCs w:val="0"/>
                <w:color w:val="auto"/>
                <w:kern w:val="0"/>
                <w:sz w:val="21"/>
                <w:szCs w:val="21"/>
                <w:highlight w:val="none"/>
                <w:u w:val="none"/>
                <w:lang w:val="en-US" w:eastAsia="zh-CN" w:bidi="ar"/>
              </w:rPr>
            </w:pPr>
          </w:p>
        </w:tc>
        <w:tc>
          <w:tcPr>
            <w:tcW w:w="722" w:type="dxa"/>
            <w:tcBorders>
              <w:top w:val="single" w:color="000000" w:sz="4" w:space="0"/>
              <w:left w:val="single" w:color="000000" w:sz="4" w:space="0"/>
              <w:bottom w:val="single" w:color="000000" w:sz="4" w:space="0"/>
              <w:right w:val="single" w:color="000000" w:sz="4" w:space="0"/>
            </w:tcBorders>
            <w:noWrap w:val="0"/>
            <w:vAlign w:val="center"/>
          </w:tcPr>
          <w:p w14:paraId="19452028">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黑体" w:hAnsi="黑体" w:eastAsia="黑体" w:cs="黑体"/>
                <w:i w:val="0"/>
                <w:iCs w:val="0"/>
                <w:color w:val="auto"/>
                <w:kern w:val="0"/>
                <w:sz w:val="21"/>
                <w:szCs w:val="21"/>
                <w:highlight w:val="none"/>
                <w:u w:val="none"/>
                <w:lang w:val="en-US" w:eastAsia="zh-CN" w:bidi="ar"/>
              </w:rPr>
            </w:pPr>
            <w:r>
              <w:rPr>
                <w:rFonts w:hint="eastAsia" w:ascii="黑体" w:hAnsi="黑体" w:eastAsia="黑体" w:cs="黑体"/>
                <w:i w:val="0"/>
                <w:iCs w:val="0"/>
                <w:color w:val="auto"/>
                <w:kern w:val="0"/>
                <w:sz w:val="21"/>
                <w:szCs w:val="21"/>
                <w:highlight w:val="none"/>
                <w:u w:val="none"/>
                <w:lang w:val="en-US" w:eastAsia="zh-CN" w:bidi="ar"/>
              </w:rPr>
              <w:t>项</w:t>
            </w:r>
          </w:p>
        </w:tc>
        <w:tc>
          <w:tcPr>
            <w:tcW w:w="769" w:type="dxa"/>
            <w:tcBorders>
              <w:top w:val="single" w:color="000000" w:sz="4" w:space="0"/>
              <w:left w:val="single" w:color="000000" w:sz="4" w:space="0"/>
              <w:bottom w:val="single" w:color="000000" w:sz="4" w:space="0"/>
              <w:right w:val="single" w:color="000000" w:sz="4" w:space="0"/>
            </w:tcBorders>
            <w:noWrap w:val="0"/>
            <w:vAlign w:val="center"/>
          </w:tcPr>
          <w:p w14:paraId="76E47211">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黑体" w:hAnsi="黑体" w:eastAsia="黑体" w:cs="黑体"/>
                <w:i w:val="0"/>
                <w:iCs w:val="0"/>
                <w:color w:val="auto"/>
                <w:kern w:val="0"/>
                <w:sz w:val="21"/>
                <w:szCs w:val="21"/>
                <w:highlight w:val="none"/>
                <w:u w:val="none"/>
                <w:lang w:val="en-US" w:eastAsia="zh-CN" w:bidi="ar"/>
              </w:rPr>
            </w:pPr>
            <w:r>
              <w:rPr>
                <w:rFonts w:hint="eastAsia" w:ascii="黑体" w:hAnsi="黑体" w:eastAsia="黑体" w:cs="黑体"/>
                <w:i w:val="0"/>
                <w:iCs w:val="0"/>
                <w:color w:val="auto"/>
                <w:kern w:val="0"/>
                <w:sz w:val="21"/>
                <w:szCs w:val="21"/>
                <w:highlight w:val="none"/>
                <w:u w:val="none"/>
                <w:lang w:val="en-US" w:eastAsia="zh-CN" w:bidi="ar"/>
              </w:rPr>
              <w:t>1</w:t>
            </w:r>
          </w:p>
        </w:tc>
        <w:tc>
          <w:tcPr>
            <w:tcW w:w="1764" w:type="dxa"/>
            <w:tcBorders>
              <w:top w:val="single" w:color="000000" w:sz="4" w:space="0"/>
              <w:left w:val="single" w:color="000000" w:sz="4" w:space="0"/>
              <w:bottom w:val="single" w:color="000000" w:sz="4" w:space="0"/>
              <w:right w:val="single" w:color="000000" w:sz="4" w:space="0"/>
            </w:tcBorders>
            <w:noWrap w:val="0"/>
            <w:vAlign w:val="center"/>
          </w:tcPr>
          <w:p w14:paraId="005B0442">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left"/>
              <w:textAlignment w:val="center"/>
              <w:rPr>
                <w:rFonts w:hint="default" w:ascii="黑体" w:hAnsi="黑体" w:eastAsia="黑体" w:cs="黑体"/>
                <w:i w:val="0"/>
                <w:iCs w:val="0"/>
                <w:color w:val="auto"/>
                <w:kern w:val="0"/>
                <w:sz w:val="21"/>
                <w:szCs w:val="21"/>
                <w:highlight w:val="none"/>
                <w:u w:val="none"/>
                <w:lang w:val="en-US" w:eastAsia="zh-CN" w:bidi="ar"/>
              </w:rPr>
            </w:pPr>
            <w:r>
              <w:rPr>
                <w:rFonts w:hint="eastAsia" w:ascii="黑体" w:hAnsi="黑体" w:eastAsia="黑体" w:cs="黑体"/>
                <w:i w:val="0"/>
                <w:iCs w:val="0"/>
                <w:color w:val="auto"/>
                <w:sz w:val="21"/>
                <w:szCs w:val="21"/>
                <w:highlight w:val="none"/>
                <w:u w:val="none"/>
                <w:lang w:eastAsia="zh-CN"/>
              </w:rPr>
              <w:t>不可预见费</w:t>
            </w:r>
            <w:r>
              <w:rPr>
                <w:rFonts w:hint="eastAsia" w:ascii="黑体" w:hAnsi="黑体" w:eastAsia="黑体" w:cs="黑体"/>
                <w:i w:val="0"/>
                <w:iCs w:val="0"/>
                <w:color w:val="auto"/>
                <w:kern w:val="0"/>
                <w:sz w:val="21"/>
                <w:szCs w:val="21"/>
                <w:highlight w:val="none"/>
                <w:u w:val="none"/>
                <w:lang w:val="en-US" w:eastAsia="zh-CN" w:bidi="ar"/>
              </w:rPr>
              <w:t>用为64236.00元，为不可竞争费用。</w:t>
            </w:r>
          </w:p>
        </w:tc>
      </w:tr>
    </w:tbl>
    <w:p w14:paraId="25A09739">
      <w:pPr>
        <w:keepNext/>
        <w:keepLines/>
        <w:pageBreakBefore w:val="0"/>
        <w:widowControl w:val="0"/>
        <w:numPr>
          <w:ilvl w:val="0"/>
          <w:numId w:val="0"/>
        </w:numPr>
        <w:kinsoku/>
        <w:wordWrap/>
        <w:overflowPunct/>
        <w:topLinePunct w:val="0"/>
        <w:autoSpaceDE/>
        <w:autoSpaceDN/>
        <w:bidi w:val="0"/>
        <w:adjustRightInd/>
        <w:snapToGrid/>
        <w:spacing w:line="360" w:lineRule="exact"/>
        <w:jc w:val="both"/>
        <w:outlineLvl w:val="1"/>
        <w:rPr>
          <w:rFonts w:hint="eastAsia" w:ascii="黑体" w:hAnsi="黑体" w:eastAsia="黑体" w:cs="黑体"/>
          <w:b/>
          <w:bCs/>
          <w:color w:val="auto"/>
          <w:kern w:val="2"/>
          <w:sz w:val="21"/>
          <w:szCs w:val="21"/>
          <w:highlight w:val="none"/>
          <w:lang w:val="en-US" w:eastAsia="zh-CN" w:bidi="ar-SA"/>
        </w:rPr>
      </w:pPr>
      <w:r>
        <w:rPr>
          <w:rFonts w:hint="eastAsia" w:ascii="黑体" w:hAnsi="黑体" w:eastAsia="黑体" w:cs="黑体"/>
          <w:b/>
          <w:bCs/>
          <w:color w:val="auto"/>
          <w:kern w:val="2"/>
          <w:sz w:val="21"/>
          <w:szCs w:val="21"/>
          <w:highlight w:val="none"/>
          <w:lang w:val="en-US" w:eastAsia="zh-CN" w:bidi="ar-SA"/>
        </w:rPr>
        <w:t xml:space="preserve">五、服务要求 </w:t>
      </w:r>
    </w:p>
    <w:p w14:paraId="703CDCE8">
      <w:pPr>
        <w:pageBreakBefore w:val="0"/>
        <w:kinsoku/>
        <w:wordWrap/>
        <w:overflowPunct/>
        <w:topLinePunct w:val="0"/>
        <w:autoSpaceDE/>
        <w:autoSpaceDN/>
        <w:bidi w:val="0"/>
        <w:adjustRightInd/>
        <w:snapToGrid/>
        <w:spacing w:line="360" w:lineRule="exact"/>
        <w:ind w:firstLine="420" w:firstLineChars="200"/>
        <w:rPr>
          <w:rFonts w:hint="eastAsia" w:ascii="黑体" w:hAnsi="黑体" w:eastAsia="黑体" w:cs="黑体"/>
          <w:color w:val="auto"/>
          <w:sz w:val="21"/>
          <w:szCs w:val="21"/>
          <w:highlight w:val="none"/>
          <w:lang w:eastAsia="zh-CN"/>
        </w:rPr>
      </w:pPr>
      <w:r>
        <w:rPr>
          <w:rFonts w:hint="eastAsia" w:ascii="黑体" w:hAnsi="黑体" w:eastAsia="黑体" w:cs="黑体"/>
          <w:color w:val="auto"/>
          <w:sz w:val="21"/>
          <w:szCs w:val="21"/>
          <w:highlight w:val="none"/>
          <w:lang w:val="en-US" w:eastAsia="zh-CN"/>
        </w:rPr>
        <w:t xml:space="preserve">1.工期：自合同签订之日起 60 天（日历日）内。 </w:t>
      </w:r>
    </w:p>
    <w:p w14:paraId="26BF18BF">
      <w:pPr>
        <w:pageBreakBefore w:val="0"/>
        <w:kinsoku/>
        <w:wordWrap/>
        <w:overflowPunct/>
        <w:topLinePunct w:val="0"/>
        <w:autoSpaceDE/>
        <w:autoSpaceDN/>
        <w:bidi w:val="0"/>
        <w:adjustRightInd/>
        <w:snapToGrid/>
        <w:spacing w:line="360" w:lineRule="exact"/>
        <w:ind w:firstLine="420" w:firstLineChars="200"/>
        <w:rPr>
          <w:rFonts w:hint="eastAsia" w:ascii="黑体" w:hAnsi="黑体" w:eastAsia="黑体" w:cs="黑体"/>
          <w:color w:val="auto"/>
          <w:sz w:val="21"/>
          <w:szCs w:val="21"/>
          <w:highlight w:val="none"/>
          <w:lang w:eastAsia="zh-CN"/>
        </w:rPr>
      </w:pPr>
      <w:r>
        <w:rPr>
          <w:rFonts w:hint="eastAsia" w:ascii="黑体" w:hAnsi="黑体" w:eastAsia="黑体" w:cs="黑体"/>
          <w:color w:val="auto"/>
          <w:sz w:val="21"/>
          <w:szCs w:val="21"/>
          <w:highlight w:val="none"/>
          <w:lang w:val="en-US" w:eastAsia="zh-CN"/>
        </w:rPr>
        <w:t xml:space="preserve">2.付款方式：合同签订时约定。 </w:t>
      </w:r>
    </w:p>
    <w:p w14:paraId="6A1AEE38">
      <w:pPr>
        <w:pageBreakBefore w:val="0"/>
        <w:kinsoku/>
        <w:wordWrap/>
        <w:overflowPunct/>
        <w:topLinePunct w:val="0"/>
        <w:autoSpaceDE/>
        <w:autoSpaceDN/>
        <w:bidi w:val="0"/>
        <w:adjustRightInd/>
        <w:snapToGrid/>
        <w:spacing w:line="360" w:lineRule="exact"/>
        <w:ind w:firstLine="420" w:firstLineChars="200"/>
        <w:rPr>
          <w:rFonts w:hint="eastAsia" w:ascii="黑体" w:hAnsi="黑体" w:eastAsia="黑体" w:cs="黑体"/>
          <w:color w:val="auto"/>
          <w:sz w:val="21"/>
          <w:szCs w:val="21"/>
          <w:highlight w:val="none"/>
          <w:lang w:val="en-US" w:eastAsia="zh-CN"/>
        </w:rPr>
      </w:pPr>
      <w:r>
        <w:rPr>
          <w:rFonts w:hint="eastAsia" w:ascii="黑体" w:hAnsi="黑体" w:eastAsia="黑体" w:cs="黑体"/>
          <w:color w:val="auto"/>
          <w:sz w:val="21"/>
          <w:szCs w:val="21"/>
          <w:highlight w:val="none"/>
          <w:lang w:val="en-US" w:eastAsia="zh-CN"/>
        </w:rPr>
        <w:t>3.提供一年的免费运行维护，运行维护期从签发竣工验收证书之日起算。</w:t>
      </w:r>
    </w:p>
    <w:p w14:paraId="49745731">
      <w:pPr>
        <w:pageBreakBefore w:val="0"/>
        <w:kinsoku/>
        <w:wordWrap/>
        <w:overflowPunct/>
        <w:topLinePunct w:val="0"/>
        <w:autoSpaceDE/>
        <w:autoSpaceDN/>
        <w:bidi w:val="0"/>
        <w:adjustRightInd/>
        <w:snapToGrid/>
        <w:spacing w:line="360" w:lineRule="exact"/>
        <w:ind w:firstLine="420" w:firstLineChars="200"/>
        <w:rPr>
          <w:rFonts w:hint="eastAsia" w:ascii="黑体" w:hAnsi="黑体" w:eastAsia="黑体" w:cs="黑体"/>
          <w:color w:val="auto"/>
          <w:sz w:val="21"/>
          <w:szCs w:val="21"/>
          <w:highlight w:val="none"/>
          <w:lang w:val="en-US" w:eastAsia="zh-CN"/>
        </w:rPr>
      </w:pPr>
      <w:r>
        <w:rPr>
          <w:rFonts w:hint="eastAsia" w:ascii="黑体" w:hAnsi="黑体" w:eastAsia="黑体" w:cs="黑体"/>
          <w:color w:val="auto"/>
          <w:sz w:val="21"/>
          <w:szCs w:val="21"/>
          <w:highlight w:val="none"/>
          <w:lang w:val="en-US" w:eastAsia="zh-CN"/>
        </w:rPr>
        <w:t>4.（1）供应商的报价应包含为完成本项目全部工作内容（包括但不限于货物供应、系统集成、安装调试、数据对接、人员培训、质保期内运维服务及售后服务等）所需的一切费用，即投标报价为全费用综合单价。若合价计算有误，以综合单价为准修正合价。合同履行期间，除合同另有约定外，中标综合单价不因任何因素而调整。对在合同实施过程中可能发生的其他费用，采购人概不负责。</w:t>
      </w:r>
    </w:p>
    <w:p w14:paraId="2DF95572">
      <w:pPr>
        <w:pageBreakBefore w:val="0"/>
        <w:kinsoku/>
        <w:wordWrap/>
        <w:overflowPunct/>
        <w:topLinePunct w:val="0"/>
        <w:autoSpaceDE/>
        <w:autoSpaceDN/>
        <w:bidi w:val="0"/>
        <w:adjustRightInd/>
        <w:snapToGrid/>
        <w:spacing w:line="360" w:lineRule="exact"/>
        <w:ind w:firstLine="420" w:firstLineChars="200"/>
        <w:rPr>
          <w:rFonts w:hint="eastAsia" w:ascii="黑体" w:hAnsi="黑体" w:eastAsia="黑体" w:cs="黑体"/>
          <w:color w:val="auto"/>
          <w:sz w:val="21"/>
          <w:szCs w:val="21"/>
          <w:highlight w:val="none"/>
          <w:lang w:val="en-US" w:eastAsia="zh-CN"/>
        </w:rPr>
      </w:pPr>
      <w:r>
        <w:rPr>
          <w:rFonts w:hint="eastAsia" w:ascii="黑体" w:hAnsi="黑体" w:eastAsia="黑体" w:cs="黑体"/>
          <w:color w:val="auto"/>
          <w:sz w:val="21"/>
          <w:szCs w:val="21"/>
          <w:highlight w:val="none"/>
          <w:lang w:val="en-US" w:eastAsia="zh-CN"/>
        </w:rPr>
        <w:t>（2）本文件未列明但对项目正常运行必不可少的费用，供应商应自行测算并计入投标总报价。采购人在合同实施时，有权拒绝支付成交供应商未列入报价但实际发生的项目费用，并视为该费用已包含在投标总报价中。</w:t>
      </w:r>
    </w:p>
    <w:p w14:paraId="55906525">
      <w:pPr>
        <w:pageBreakBefore w:val="0"/>
        <w:kinsoku/>
        <w:wordWrap/>
        <w:overflowPunct/>
        <w:topLinePunct w:val="0"/>
        <w:autoSpaceDE/>
        <w:autoSpaceDN/>
        <w:bidi w:val="0"/>
        <w:adjustRightInd/>
        <w:snapToGrid/>
        <w:spacing w:line="360" w:lineRule="exact"/>
        <w:ind w:firstLine="420" w:firstLineChars="200"/>
        <w:rPr>
          <w:rFonts w:hint="eastAsia" w:ascii="黑体" w:hAnsi="黑体" w:eastAsia="黑体" w:cs="黑体"/>
          <w:color w:val="auto"/>
          <w:sz w:val="21"/>
          <w:szCs w:val="21"/>
          <w:highlight w:val="none"/>
          <w:lang w:val="en-US" w:eastAsia="zh-CN"/>
        </w:rPr>
      </w:pPr>
      <w:r>
        <w:rPr>
          <w:rFonts w:hint="eastAsia" w:ascii="黑体" w:hAnsi="黑体" w:eastAsia="黑体" w:cs="黑体"/>
          <w:color w:val="auto"/>
          <w:sz w:val="21"/>
          <w:szCs w:val="21"/>
          <w:highlight w:val="none"/>
          <w:lang w:val="en-US" w:eastAsia="zh-CN"/>
        </w:rPr>
        <w:t>5.(1）货物部分发货前，供应商应对货物的质量、规格、型号、性能参数、数量等进行全面检验，并提供出厂合格证、技术参数说明书、有效期内的检测报告等证明文件，作为付款依据之一。但该检验及证明文件不免除供应商在后续各环节中的质量责任。货物运抵现场后，采购人将进行到货验收，核验产地、型号、规格、数量、外观及设备完整性。若发现破损、品牌不符、规格参数偏差或存在质量缺陷，采购人有权拒收并勒令退场，由此产生的损失由供应商承担。货物到场后，供应商负责现场看管，因看管不力导致的损失由供应商自行承担。</w:t>
      </w:r>
    </w:p>
    <w:p w14:paraId="47A902F9">
      <w:pPr>
        <w:pageBreakBefore w:val="0"/>
        <w:kinsoku/>
        <w:wordWrap/>
        <w:overflowPunct/>
        <w:topLinePunct w:val="0"/>
        <w:autoSpaceDE/>
        <w:autoSpaceDN/>
        <w:bidi w:val="0"/>
        <w:adjustRightInd/>
        <w:snapToGrid/>
        <w:spacing w:line="360" w:lineRule="exact"/>
        <w:ind w:firstLine="420" w:firstLineChars="200"/>
        <w:rPr>
          <w:rFonts w:hint="eastAsia" w:ascii="黑体" w:hAnsi="黑体" w:eastAsia="黑体" w:cs="黑体"/>
          <w:color w:val="auto"/>
          <w:sz w:val="21"/>
          <w:szCs w:val="21"/>
          <w:highlight w:val="none"/>
          <w:lang w:val="en-US" w:eastAsia="zh-CN"/>
        </w:rPr>
      </w:pPr>
      <w:r>
        <w:rPr>
          <w:rFonts w:hint="eastAsia" w:ascii="黑体" w:hAnsi="黑体" w:eastAsia="黑体" w:cs="黑体"/>
          <w:color w:val="auto"/>
          <w:sz w:val="21"/>
          <w:szCs w:val="21"/>
          <w:highlight w:val="none"/>
          <w:lang w:val="en-US" w:eastAsia="zh-CN"/>
        </w:rPr>
        <w:t>（2）系统部署与数据服务验收：安装调试完成后，供应商应进行系统自检，并向采购人提交自检报告、测试方案及测试记录。采购人组织初验，重点检查系统功能完整性、数据对接全面性、预警响应时效性及监测数据准确性。初验通过后进入试运行期（试运行期限按合同约定执行）。</w:t>
      </w:r>
    </w:p>
    <w:p w14:paraId="0E00F855">
      <w:pPr>
        <w:pageBreakBefore w:val="0"/>
        <w:kinsoku/>
        <w:wordWrap/>
        <w:overflowPunct/>
        <w:topLinePunct w:val="0"/>
        <w:autoSpaceDE/>
        <w:autoSpaceDN/>
        <w:bidi w:val="0"/>
        <w:adjustRightInd/>
        <w:snapToGrid/>
        <w:spacing w:line="360" w:lineRule="exact"/>
        <w:ind w:firstLine="420" w:firstLineChars="200"/>
        <w:rPr>
          <w:rFonts w:hint="eastAsia" w:ascii="黑体" w:hAnsi="黑体" w:eastAsia="黑体" w:cs="黑体"/>
          <w:color w:val="auto"/>
          <w:sz w:val="21"/>
          <w:szCs w:val="21"/>
          <w:highlight w:val="none"/>
          <w:lang w:val="en-US" w:eastAsia="zh-CN"/>
        </w:rPr>
      </w:pPr>
      <w:r>
        <w:rPr>
          <w:rFonts w:hint="eastAsia" w:ascii="黑体" w:hAnsi="黑体" w:eastAsia="黑体" w:cs="黑体"/>
          <w:color w:val="auto"/>
          <w:sz w:val="21"/>
          <w:szCs w:val="21"/>
          <w:highlight w:val="none"/>
          <w:lang w:val="en-US" w:eastAsia="zh-CN"/>
        </w:rPr>
        <w:t>（3）最终履约验收：试运行期满且所有功能、性能指标满足合同要求后，供应商应提交完整的竣工资料（含技术文档、运维手册、培训记录、设备清单及移交清单等）。采购人组织最终验收，对系统整体功能、数据应用效果、文档完整性及培训服务成果进行综合评定。最终验收合格之日视为项目整体交付完成，质保期和运维服务期自此起算。</w:t>
      </w:r>
    </w:p>
    <w:p w14:paraId="2C2D3EAE">
      <w:pPr>
        <w:pageBreakBefore w:val="0"/>
        <w:kinsoku/>
        <w:wordWrap/>
        <w:overflowPunct/>
        <w:topLinePunct w:val="0"/>
        <w:autoSpaceDE/>
        <w:autoSpaceDN/>
        <w:bidi w:val="0"/>
        <w:adjustRightInd/>
        <w:snapToGrid/>
        <w:spacing w:line="360" w:lineRule="exact"/>
        <w:ind w:firstLine="420" w:firstLineChars="200"/>
        <w:rPr>
          <w:rFonts w:hint="eastAsia" w:ascii="黑体" w:hAnsi="黑体" w:eastAsia="黑体" w:cs="黑体"/>
          <w:color w:val="auto"/>
          <w:sz w:val="21"/>
          <w:szCs w:val="21"/>
          <w:highlight w:val="none"/>
          <w:lang w:val="en-US" w:eastAsia="zh-CN"/>
        </w:rPr>
      </w:pPr>
      <w:r>
        <w:rPr>
          <w:rFonts w:hint="eastAsia" w:ascii="黑体" w:hAnsi="黑体" w:eastAsia="黑体" w:cs="黑体"/>
          <w:color w:val="auto"/>
          <w:sz w:val="21"/>
          <w:szCs w:val="21"/>
          <w:highlight w:val="none"/>
          <w:lang w:val="en-US" w:eastAsia="zh-CN"/>
        </w:rPr>
        <w:t>（4）验收中发现任何不符合合同约定的问题，供应商须在采购人规定时限内完成整改，整改期间所产生的一切费用由供应商承担，且工期不予顺延。因验收不合格导致项目逾期的，供应商按合同约定承担相应违约责任。</w:t>
      </w:r>
    </w:p>
    <w:p w14:paraId="414D4A4C">
      <w:pPr>
        <w:widowControl w:val="0"/>
        <w:ind w:left="0" w:leftChars="0" w:firstLine="420" w:firstLineChars="0"/>
        <w:jc w:val="both"/>
        <w:rPr>
          <w:rFonts w:hint="eastAsia" w:ascii="黑体" w:hAnsi="黑体" w:eastAsia="黑体" w:cs="黑体"/>
          <w:i w:val="0"/>
          <w:iCs w:val="0"/>
          <w:color w:val="auto"/>
          <w:kern w:val="0"/>
          <w:sz w:val="21"/>
          <w:szCs w:val="21"/>
          <w:highlight w:val="none"/>
          <w:u w:val="none"/>
          <w:lang w:val="en-US" w:eastAsia="zh-CN" w:bidi="ar"/>
        </w:rPr>
      </w:pPr>
      <w:r>
        <w:rPr>
          <w:rFonts w:hint="eastAsia" w:ascii="黑体" w:hAnsi="黑体" w:eastAsia="黑体" w:cs="黑体"/>
          <w:color w:val="auto"/>
          <w:kern w:val="2"/>
          <w:sz w:val="21"/>
          <w:szCs w:val="21"/>
          <w:highlight w:val="none"/>
          <w:lang w:val="en-US" w:eastAsia="zh-CN" w:bidi="ar-SA"/>
        </w:rPr>
        <w:t>6.</w:t>
      </w:r>
      <w:r>
        <w:rPr>
          <w:rFonts w:hint="eastAsia" w:ascii="黑体" w:hAnsi="黑体" w:eastAsia="黑体" w:cs="黑体"/>
          <w:i w:val="0"/>
          <w:iCs w:val="0"/>
          <w:color w:val="auto"/>
          <w:kern w:val="0"/>
          <w:sz w:val="21"/>
          <w:szCs w:val="21"/>
          <w:highlight w:val="none"/>
          <w:u w:val="none"/>
          <w:lang w:val="en-US" w:eastAsia="zh-CN" w:bidi="ar"/>
        </w:rPr>
        <w:t>质保期：本项目质量保证期为一年（从验收合格之日开始计算）。</w:t>
      </w:r>
    </w:p>
    <w:p w14:paraId="76FD73E7">
      <w:pPr>
        <w:rPr>
          <w:color w:val="auto"/>
          <w:highlight w:val="none"/>
        </w:rPr>
      </w:pPr>
    </w:p>
    <w:p w14:paraId="61747472">
      <w:pPr>
        <w:rPr>
          <w:rFonts w:hint="eastAsia" w:ascii="黑体" w:hAnsi="黑体" w:eastAsia="黑体" w:cs="黑体"/>
          <w:b/>
          <w:bCs/>
          <w:color w:val="auto"/>
          <w:kern w:val="2"/>
          <w:sz w:val="32"/>
          <w:szCs w:val="20"/>
          <w:highlight w:val="none"/>
          <w:lang w:val="en-US" w:eastAsia="zh-CN" w:bidi="ar-SA"/>
        </w:rPr>
      </w:pPr>
      <w:r>
        <w:rPr>
          <w:rFonts w:hint="eastAsia" w:ascii="黑体" w:hAnsi="黑体" w:eastAsia="黑体" w:cs="黑体"/>
          <w:b/>
          <w:bCs/>
          <w:color w:val="auto"/>
          <w:kern w:val="2"/>
          <w:sz w:val="32"/>
          <w:szCs w:val="20"/>
          <w:highlight w:val="none"/>
          <w:lang w:val="en-US" w:eastAsia="zh-CN" w:bidi="ar-SA"/>
        </w:rPr>
        <w:br w:type="page"/>
      </w:r>
    </w:p>
    <w:p w14:paraId="6DE7AD29">
      <w:pPr>
        <w:keepNext/>
        <w:widowControl w:val="0"/>
        <w:bidi w:val="0"/>
        <w:spacing w:line="500" w:lineRule="exact"/>
        <w:jc w:val="center"/>
        <w:outlineLvl w:val="0"/>
        <w:rPr>
          <w:rFonts w:hint="eastAsia" w:ascii="黑体" w:hAnsi="黑体" w:eastAsia="黑体" w:cs="黑体"/>
          <w:b/>
          <w:bCs/>
          <w:color w:val="auto"/>
          <w:kern w:val="2"/>
          <w:sz w:val="32"/>
          <w:szCs w:val="20"/>
          <w:highlight w:val="none"/>
          <w:lang w:val="en-US" w:eastAsia="zh-CN" w:bidi="ar-SA"/>
        </w:rPr>
      </w:pPr>
      <w:r>
        <w:rPr>
          <w:rFonts w:hint="eastAsia" w:ascii="黑体" w:hAnsi="黑体" w:eastAsia="黑体" w:cs="黑体"/>
          <w:b/>
          <w:bCs/>
          <w:color w:val="auto"/>
          <w:kern w:val="2"/>
          <w:sz w:val="32"/>
          <w:szCs w:val="20"/>
          <w:highlight w:val="none"/>
          <w:lang w:val="en-US" w:eastAsia="zh-CN" w:bidi="ar-SA"/>
        </w:rPr>
        <w:t>采购需求（包2）</w:t>
      </w:r>
    </w:p>
    <w:p w14:paraId="0CCDF6F2">
      <w:pPr>
        <w:keepNext/>
        <w:keepLines/>
        <w:pageBreakBefore w:val="0"/>
        <w:widowControl w:val="0"/>
        <w:kinsoku/>
        <w:wordWrap/>
        <w:overflowPunct/>
        <w:topLinePunct w:val="0"/>
        <w:autoSpaceDE/>
        <w:autoSpaceDN/>
        <w:bidi w:val="0"/>
        <w:adjustRightInd/>
        <w:snapToGrid/>
        <w:spacing w:line="360" w:lineRule="exact"/>
        <w:jc w:val="both"/>
        <w:outlineLvl w:val="1"/>
        <w:rPr>
          <w:rFonts w:hint="eastAsia" w:ascii="黑体" w:hAnsi="黑体" w:eastAsia="黑体" w:cs="黑体"/>
          <w:b w:val="0"/>
          <w:bCs w:val="0"/>
          <w:color w:val="auto"/>
          <w:kern w:val="2"/>
          <w:sz w:val="21"/>
          <w:szCs w:val="21"/>
          <w:highlight w:val="none"/>
          <w:lang w:val="en-US" w:eastAsia="zh-CN" w:bidi="ar-SA"/>
        </w:rPr>
      </w:pPr>
      <w:r>
        <w:rPr>
          <w:rFonts w:hint="eastAsia" w:ascii="黑体" w:hAnsi="黑体" w:eastAsia="黑体" w:cs="黑体"/>
          <w:b/>
          <w:bCs/>
          <w:color w:val="auto"/>
          <w:kern w:val="2"/>
          <w:sz w:val="21"/>
          <w:szCs w:val="21"/>
          <w:highlight w:val="none"/>
          <w:lang w:val="en-US" w:eastAsia="zh-CN" w:bidi="ar-SA"/>
        </w:rPr>
        <w:t>一、包名称：龙山县城市基础设施生命线安全工程-城市生命线物联网感知网建设</w:t>
      </w:r>
    </w:p>
    <w:p w14:paraId="7EF83666">
      <w:pPr>
        <w:pageBreakBefore w:val="0"/>
        <w:numPr>
          <w:ilvl w:val="0"/>
          <w:numId w:val="0"/>
        </w:numPr>
        <w:kinsoku/>
        <w:wordWrap/>
        <w:overflowPunct/>
        <w:topLinePunct w:val="0"/>
        <w:autoSpaceDE/>
        <w:autoSpaceDN/>
        <w:bidi w:val="0"/>
        <w:adjustRightInd/>
        <w:snapToGrid/>
        <w:spacing w:line="360" w:lineRule="exact"/>
        <w:rPr>
          <w:rFonts w:hint="eastAsia" w:ascii="黑体" w:hAnsi="黑体" w:eastAsia="黑体" w:cs="黑体"/>
          <w:b/>
          <w:bCs/>
          <w:color w:val="auto"/>
          <w:sz w:val="21"/>
          <w:szCs w:val="21"/>
          <w:highlight w:val="none"/>
          <w:lang w:eastAsia="zh-CN"/>
        </w:rPr>
      </w:pPr>
      <w:r>
        <w:rPr>
          <w:rFonts w:hint="eastAsia" w:ascii="黑体" w:hAnsi="黑体" w:eastAsia="黑体" w:cs="黑体"/>
          <w:b/>
          <w:bCs/>
          <w:color w:val="auto"/>
          <w:sz w:val="21"/>
          <w:szCs w:val="21"/>
          <w:highlight w:val="none"/>
          <w:lang w:eastAsia="zh-CN"/>
        </w:rPr>
        <w:t>二、建设背景</w:t>
      </w:r>
    </w:p>
    <w:p w14:paraId="772C8451">
      <w:pPr>
        <w:pageBreakBefore w:val="0"/>
        <w:numPr>
          <w:ilvl w:val="0"/>
          <w:numId w:val="0"/>
        </w:numPr>
        <w:kinsoku/>
        <w:wordWrap/>
        <w:overflowPunct/>
        <w:topLinePunct w:val="0"/>
        <w:autoSpaceDE/>
        <w:autoSpaceDN/>
        <w:bidi w:val="0"/>
        <w:adjustRightInd/>
        <w:snapToGrid/>
        <w:spacing w:line="360" w:lineRule="exact"/>
        <w:ind w:left="0" w:leftChars="0" w:firstLine="420" w:firstLineChars="200"/>
        <w:rPr>
          <w:rFonts w:hint="eastAsia" w:ascii="黑体" w:hAnsi="黑体" w:eastAsia="黑体" w:cs="黑体"/>
          <w:color w:val="auto"/>
          <w:sz w:val="21"/>
          <w:szCs w:val="21"/>
          <w:highlight w:val="none"/>
          <w:lang w:eastAsia="zh-CN"/>
        </w:rPr>
      </w:pPr>
      <w:r>
        <w:rPr>
          <w:rFonts w:hint="eastAsia" w:ascii="黑体" w:hAnsi="黑体" w:eastAsia="黑体" w:cs="黑体"/>
          <w:color w:val="auto"/>
          <w:sz w:val="21"/>
          <w:szCs w:val="21"/>
          <w:highlight w:val="none"/>
          <w:lang w:eastAsia="zh-CN"/>
        </w:rPr>
        <w:t>根据住房和城乡建设部《关于推进城市基础设施生命线安全工程的指导意》（建督〔2023〕63号）、《湖南省住房和城乡建设厅关于印发〈湖南省城市基础设施生命线安全工程提升行动实施方案〉的通知》（湘建城〔2023〕7号）及《湖南省市政设施生命线安全工程提升行动实施方案》（湘建城〔2024〕51号）等文件要求，为提升城市基础设施安全运行监测预警能力，推动城市安全治理模式由被动处置向主动预防转变，龙山县开展城市基础设施生命线安全工程建设。</w:t>
      </w:r>
    </w:p>
    <w:p w14:paraId="6AC1C633">
      <w:pPr>
        <w:pageBreakBefore w:val="0"/>
        <w:numPr>
          <w:ilvl w:val="0"/>
          <w:numId w:val="0"/>
        </w:numPr>
        <w:kinsoku/>
        <w:wordWrap/>
        <w:overflowPunct/>
        <w:topLinePunct w:val="0"/>
        <w:autoSpaceDE/>
        <w:autoSpaceDN/>
        <w:bidi w:val="0"/>
        <w:adjustRightInd/>
        <w:snapToGrid/>
        <w:spacing w:line="360" w:lineRule="exact"/>
        <w:ind w:left="0" w:leftChars="0" w:firstLine="420" w:firstLineChars="200"/>
        <w:rPr>
          <w:rFonts w:hint="eastAsia" w:ascii="黑体" w:hAnsi="黑体" w:eastAsia="黑体" w:cs="黑体"/>
          <w:color w:val="auto"/>
          <w:sz w:val="21"/>
          <w:szCs w:val="21"/>
          <w:highlight w:val="none"/>
          <w:lang w:eastAsia="zh-CN"/>
        </w:rPr>
      </w:pPr>
      <w:r>
        <w:rPr>
          <w:rFonts w:hint="eastAsia" w:ascii="黑体" w:hAnsi="黑体" w:eastAsia="黑体" w:cs="黑体"/>
          <w:color w:val="auto"/>
          <w:sz w:val="21"/>
          <w:szCs w:val="21"/>
          <w:highlight w:val="none"/>
          <w:lang w:eastAsia="zh-CN"/>
        </w:rPr>
        <w:t>物联网监测感知体系是城市生命线安全工程的重要组成部分，是实现基础设施运行状态实时感知、风险动态分析和智能预警的重要基础。本项目结合龙山县城市基础设施风险评估成果，围绕燃气、供水、排水、桥梁等重点领域，在风险较高区域、关键节点和重要设施部署物联网监测设备，实现对重点基础设施运行状态的实时采集和动态监管，为城市生命线安全运行监测平台提供准确、及时的数据支撑。</w:t>
      </w:r>
    </w:p>
    <w:p w14:paraId="2EE0FE3D">
      <w:pPr>
        <w:pageBreakBefore w:val="0"/>
        <w:numPr>
          <w:ilvl w:val="0"/>
          <w:numId w:val="0"/>
        </w:numPr>
        <w:kinsoku/>
        <w:wordWrap/>
        <w:overflowPunct/>
        <w:topLinePunct w:val="0"/>
        <w:autoSpaceDE/>
        <w:autoSpaceDN/>
        <w:bidi w:val="0"/>
        <w:adjustRightInd/>
        <w:snapToGrid/>
        <w:spacing w:line="360" w:lineRule="exact"/>
        <w:rPr>
          <w:rFonts w:hint="eastAsia" w:ascii="黑体" w:hAnsi="黑体" w:eastAsia="黑体" w:cs="黑体"/>
          <w:b/>
          <w:bCs/>
          <w:color w:val="auto"/>
          <w:sz w:val="21"/>
          <w:szCs w:val="21"/>
          <w:highlight w:val="none"/>
          <w:lang w:eastAsia="zh-CN"/>
        </w:rPr>
      </w:pPr>
      <w:r>
        <w:rPr>
          <w:rFonts w:hint="eastAsia" w:ascii="黑体" w:hAnsi="黑体" w:eastAsia="黑体" w:cs="黑体"/>
          <w:b/>
          <w:bCs/>
          <w:color w:val="auto"/>
          <w:sz w:val="21"/>
          <w:szCs w:val="21"/>
          <w:highlight w:val="none"/>
          <w:lang w:val="en-US" w:eastAsia="zh-CN"/>
        </w:rPr>
        <w:t>三</w:t>
      </w:r>
      <w:r>
        <w:rPr>
          <w:rFonts w:hint="eastAsia" w:ascii="黑体" w:hAnsi="黑体" w:eastAsia="黑体" w:cs="黑体"/>
          <w:b/>
          <w:bCs/>
          <w:color w:val="auto"/>
          <w:sz w:val="21"/>
          <w:szCs w:val="21"/>
          <w:highlight w:val="none"/>
          <w:lang w:eastAsia="zh-CN"/>
        </w:rPr>
        <w:t>、建设目标</w:t>
      </w:r>
    </w:p>
    <w:p w14:paraId="33F67568">
      <w:pPr>
        <w:pageBreakBefore w:val="0"/>
        <w:numPr>
          <w:ilvl w:val="0"/>
          <w:numId w:val="0"/>
        </w:numPr>
        <w:kinsoku/>
        <w:wordWrap/>
        <w:overflowPunct/>
        <w:topLinePunct w:val="0"/>
        <w:autoSpaceDE/>
        <w:autoSpaceDN/>
        <w:bidi w:val="0"/>
        <w:adjustRightInd/>
        <w:snapToGrid/>
        <w:spacing w:line="360" w:lineRule="exact"/>
        <w:ind w:left="0" w:leftChars="0" w:firstLine="420" w:firstLineChars="200"/>
        <w:rPr>
          <w:rFonts w:hint="eastAsia" w:ascii="黑体" w:hAnsi="黑体" w:eastAsia="黑体" w:cs="黑体"/>
          <w:color w:val="auto"/>
          <w:sz w:val="21"/>
          <w:szCs w:val="21"/>
          <w:highlight w:val="none"/>
          <w:lang w:eastAsia="zh-CN"/>
        </w:rPr>
      </w:pPr>
      <w:r>
        <w:rPr>
          <w:rFonts w:hint="eastAsia" w:ascii="黑体" w:hAnsi="黑体" w:eastAsia="黑体" w:cs="黑体"/>
          <w:color w:val="auto"/>
          <w:sz w:val="21"/>
          <w:szCs w:val="21"/>
          <w:highlight w:val="none"/>
          <w:lang w:eastAsia="zh-CN"/>
        </w:rPr>
        <w:t>本项目以提升龙山县城市基础设施安全风险感知能力为目标，结合城市生命线安全风险评估成果和实际监管需求，建设覆盖燃气、供水、排水、桥梁等重点领域的物联网监测感知体系。</w:t>
      </w:r>
    </w:p>
    <w:p w14:paraId="0A56CEA1">
      <w:pPr>
        <w:pageBreakBefore w:val="0"/>
        <w:numPr>
          <w:ilvl w:val="0"/>
          <w:numId w:val="0"/>
        </w:numPr>
        <w:kinsoku/>
        <w:wordWrap/>
        <w:overflowPunct/>
        <w:topLinePunct w:val="0"/>
        <w:autoSpaceDE/>
        <w:autoSpaceDN/>
        <w:bidi w:val="0"/>
        <w:adjustRightInd/>
        <w:snapToGrid/>
        <w:spacing w:line="360" w:lineRule="exact"/>
        <w:ind w:left="0" w:leftChars="0" w:firstLine="420" w:firstLineChars="200"/>
        <w:rPr>
          <w:rFonts w:hint="eastAsia" w:ascii="黑体" w:hAnsi="黑体" w:eastAsia="黑体" w:cs="黑体"/>
          <w:color w:val="auto"/>
          <w:sz w:val="21"/>
          <w:szCs w:val="21"/>
          <w:highlight w:val="none"/>
          <w:lang w:eastAsia="zh-CN"/>
        </w:rPr>
      </w:pPr>
      <w:r>
        <w:rPr>
          <w:rFonts w:hint="eastAsia" w:ascii="黑体" w:hAnsi="黑体" w:eastAsia="黑体" w:cs="黑体"/>
          <w:color w:val="auto"/>
          <w:sz w:val="21"/>
          <w:szCs w:val="21"/>
          <w:highlight w:val="none"/>
          <w:lang w:eastAsia="zh-CN"/>
        </w:rPr>
        <w:t>通过部署各类智能监测设备，实现城市基础设施运行状态实时采集、数据传输和异常情况感知，并将监测数据接入城市生命线安全运行监测平台，实现对重点设施运行状态的动态监测、风险预警和辅助决策，为城市基础设施安全运行管理提供数据支撑。</w:t>
      </w:r>
    </w:p>
    <w:p w14:paraId="2BFAF25F">
      <w:pPr>
        <w:pageBreakBefore w:val="0"/>
        <w:numPr>
          <w:ilvl w:val="0"/>
          <w:numId w:val="0"/>
        </w:numPr>
        <w:kinsoku/>
        <w:wordWrap/>
        <w:overflowPunct/>
        <w:topLinePunct w:val="0"/>
        <w:autoSpaceDE/>
        <w:autoSpaceDN/>
        <w:bidi w:val="0"/>
        <w:adjustRightInd/>
        <w:snapToGrid/>
        <w:spacing w:line="360" w:lineRule="exact"/>
        <w:rPr>
          <w:rFonts w:hint="eastAsia" w:ascii="黑体" w:hAnsi="黑体" w:eastAsia="黑体" w:cs="黑体"/>
          <w:b/>
          <w:bCs/>
          <w:color w:val="auto"/>
          <w:sz w:val="21"/>
          <w:szCs w:val="21"/>
          <w:highlight w:val="none"/>
          <w:lang w:eastAsia="zh-CN"/>
        </w:rPr>
      </w:pPr>
      <w:r>
        <w:rPr>
          <w:rFonts w:hint="eastAsia" w:ascii="黑体" w:hAnsi="黑体" w:eastAsia="黑体" w:cs="黑体"/>
          <w:b/>
          <w:bCs/>
          <w:color w:val="auto"/>
          <w:sz w:val="21"/>
          <w:szCs w:val="21"/>
          <w:highlight w:val="none"/>
          <w:lang w:val="en-US" w:eastAsia="zh-CN"/>
        </w:rPr>
        <w:t>四</w:t>
      </w:r>
      <w:r>
        <w:rPr>
          <w:rFonts w:hint="eastAsia" w:ascii="黑体" w:hAnsi="黑体" w:eastAsia="黑体" w:cs="黑体"/>
          <w:b/>
          <w:bCs/>
          <w:color w:val="auto"/>
          <w:sz w:val="21"/>
          <w:szCs w:val="21"/>
          <w:highlight w:val="none"/>
          <w:lang w:eastAsia="zh-CN"/>
        </w:rPr>
        <w:t>、主要建设内容</w:t>
      </w:r>
    </w:p>
    <w:p w14:paraId="3D11119A">
      <w:pPr>
        <w:pageBreakBefore w:val="0"/>
        <w:numPr>
          <w:ilvl w:val="0"/>
          <w:numId w:val="0"/>
        </w:numPr>
        <w:kinsoku/>
        <w:wordWrap/>
        <w:overflowPunct/>
        <w:topLinePunct w:val="0"/>
        <w:autoSpaceDE/>
        <w:autoSpaceDN/>
        <w:bidi w:val="0"/>
        <w:adjustRightInd/>
        <w:snapToGrid/>
        <w:spacing w:line="360" w:lineRule="exact"/>
        <w:ind w:left="0" w:leftChars="0" w:firstLine="420" w:firstLineChars="200"/>
        <w:rPr>
          <w:rFonts w:hint="eastAsia" w:ascii="黑体" w:hAnsi="黑体" w:eastAsia="黑体" w:cs="黑体"/>
          <w:color w:val="auto"/>
          <w:sz w:val="21"/>
          <w:szCs w:val="21"/>
          <w:highlight w:val="none"/>
          <w:lang w:eastAsia="zh-CN"/>
        </w:rPr>
      </w:pPr>
      <w:r>
        <w:rPr>
          <w:rFonts w:hint="eastAsia" w:ascii="黑体" w:hAnsi="黑体" w:eastAsia="黑体" w:cs="黑体"/>
          <w:color w:val="auto"/>
          <w:sz w:val="21"/>
          <w:szCs w:val="21"/>
          <w:highlight w:val="none"/>
          <w:lang w:eastAsia="zh-CN"/>
        </w:rPr>
        <w:t>1．物联网监测设备建设</w:t>
      </w:r>
    </w:p>
    <w:p w14:paraId="6E371744">
      <w:pPr>
        <w:pageBreakBefore w:val="0"/>
        <w:numPr>
          <w:ilvl w:val="0"/>
          <w:numId w:val="0"/>
        </w:numPr>
        <w:kinsoku/>
        <w:wordWrap/>
        <w:overflowPunct/>
        <w:topLinePunct w:val="0"/>
        <w:autoSpaceDE/>
        <w:autoSpaceDN/>
        <w:bidi w:val="0"/>
        <w:adjustRightInd/>
        <w:snapToGrid/>
        <w:spacing w:line="360" w:lineRule="exact"/>
        <w:ind w:left="0" w:leftChars="0" w:firstLine="420" w:firstLineChars="200"/>
        <w:rPr>
          <w:rFonts w:hint="eastAsia" w:ascii="黑体" w:hAnsi="黑体" w:eastAsia="黑体" w:cs="黑体"/>
          <w:color w:val="auto"/>
          <w:sz w:val="21"/>
          <w:szCs w:val="21"/>
          <w:highlight w:val="none"/>
          <w:lang w:eastAsia="zh-CN"/>
        </w:rPr>
      </w:pPr>
      <w:r>
        <w:rPr>
          <w:rFonts w:hint="eastAsia" w:ascii="黑体" w:hAnsi="黑体" w:eastAsia="黑体" w:cs="黑体"/>
          <w:color w:val="auto"/>
          <w:sz w:val="21"/>
          <w:szCs w:val="21"/>
          <w:highlight w:val="none"/>
          <w:lang w:eastAsia="zh-CN"/>
        </w:rPr>
        <w:t>根据城市基础设施生命线安全风险评估成果，结合龙山县实际监管需求，围绕燃气、供水、排水、桥梁等重点领域建设物联网监测感知体系。</w:t>
      </w:r>
    </w:p>
    <w:p w14:paraId="445FC400">
      <w:pPr>
        <w:pageBreakBefore w:val="0"/>
        <w:numPr>
          <w:ilvl w:val="0"/>
          <w:numId w:val="0"/>
        </w:numPr>
        <w:kinsoku/>
        <w:wordWrap/>
        <w:overflowPunct/>
        <w:topLinePunct w:val="0"/>
        <w:autoSpaceDE/>
        <w:autoSpaceDN/>
        <w:bidi w:val="0"/>
        <w:adjustRightInd/>
        <w:snapToGrid/>
        <w:spacing w:line="360" w:lineRule="exact"/>
        <w:ind w:left="0" w:leftChars="0" w:firstLine="420" w:firstLineChars="200"/>
        <w:rPr>
          <w:rFonts w:hint="eastAsia" w:ascii="黑体" w:hAnsi="黑体" w:eastAsia="黑体" w:cs="黑体"/>
          <w:color w:val="auto"/>
          <w:sz w:val="21"/>
          <w:szCs w:val="21"/>
          <w:highlight w:val="none"/>
          <w:lang w:eastAsia="zh-CN"/>
        </w:rPr>
      </w:pPr>
      <w:r>
        <w:rPr>
          <w:rFonts w:hint="eastAsia" w:ascii="黑体" w:hAnsi="黑体" w:eastAsia="黑体" w:cs="黑体"/>
          <w:color w:val="auto"/>
          <w:sz w:val="21"/>
          <w:szCs w:val="21"/>
          <w:highlight w:val="none"/>
          <w:lang w:eastAsia="zh-CN"/>
        </w:rPr>
        <w:t>主要建设内容包括：</w:t>
      </w:r>
    </w:p>
    <w:p w14:paraId="1FD6E0BC">
      <w:pPr>
        <w:pageBreakBefore w:val="0"/>
        <w:numPr>
          <w:ilvl w:val="0"/>
          <w:numId w:val="0"/>
        </w:numPr>
        <w:kinsoku/>
        <w:wordWrap/>
        <w:overflowPunct/>
        <w:topLinePunct w:val="0"/>
        <w:autoSpaceDE/>
        <w:autoSpaceDN/>
        <w:bidi w:val="0"/>
        <w:adjustRightInd/>
        <w:snapToGrid/>
        <w:spacing w:line="360" w:lineRule="exact"/>
        <w:ind w:left="0" w:leftChars="0" w:firstLine="420" w:firstLineChars="200"/>
        <w:rPr>
          <w:rFonts w:hint="eastAsia" w:ascii="黑体" w:hAnsi="黑体" w:eastAsia="黑体" w:cs="黑体"/>
          <w:color w:val="auto"/>
          <w:sz w:val="21"/>
          <w:szCs w:val="21"/>
          <w:highlight w:val="none"/>
          <w:lang w:eastAsia="zh-CN"/>
        </w:rPr>
      </w:pPr>
      <w:r>
        <w:rPr>
          <w:rFonts w:hint="eastAsia" w:ascii="黑体" w:hAnsi="黑体" w:eastAsia="黑体" w:cs="黑体"/>
          <w:color w:val="auto"/>
          <w:sz w:val="21"/>
          <w:szCs w:val="21"/>
          <w:highlight w:val="none"/>
          <w:lang w:eastAsia="zh-CN"/>
        </w:rPr>
        <w:t>(1)燃气安全监测</w:t>
      </w:r>
    </w:p>
    <w:p w14:paraId="297B2A4C">
      <w:pPr>
        <w:pageBreakBefore w:val="0"/>
        <w:numPr>
          <w:ilvl w:val="0"/>
          <w:numId w:val="0"/>
        </w:numPr>
        <w:kinsoku/>
        <w:wordWrap/>
        <w:overflowPunct/>
        <w:topLinePunct w:val="0"/>
        <w:autoSpaceDE/>
        <w:autoSpaceDN/>
        <w:bidi w:val="0"/>
        <w:adjustRightInd/>
        <w:snapToGrid/>
        <w:spacing w:line="360" w:lineRule="exact"/>
        <w:ind w:left="0" w:leftChars="0" w:firstLine="420" w:firstLineChars="200"/>
        <w:rPr>
          <w:rFonts w:hint="eastAsia" w:ascii="黑体" w:hAnsi="黑体" w:eastAsia="黑体" w:cs="黑体"/>
          <w:color w:val="auto"/>
          <w:sz w:val="21"/>
          <w:szCs w:val="21"/>
          <w:highlight w:val="none"/>
          <w:lang w:eastAsia="zh-CN"/>
        </w:rPr>
      </w:pPr>
      <w:r>
        <w:rPr>
          <w:rFonts w:hint="eastAsia" w:ascii="黑体" w:hAnsi="黑体" w:eastAsia="黑体" w:cs="黑体"/>
          <w:color w:val="auto"/>
          <w:sz w:val="21"/>
          <w:szCs w:val="21"/>
          <w:highlight w:val="none"/>
          <w:lang w:eastAsia="zh-CN"/>
        </w:rPr>
        <w:t>部署甲烷浓度监测设备，对重点燃气设施及风险区域开展可燃气体泄漏监测，实现燃气运行风险实时感知和异常报警。</w:t>
      </w:r>
    </w:p>
    <w:p w14:paraId="73D38B30">
      <w:pPr>
        <w:pageBreakBefore w:val="0"/>
        <w:numPr>
          <w:ilvl w:val="0"/>
          <w:numId w:val="0"/>
        </w:numPr>
        <w:kinsoku/>
        <w:wordWrap/>
        <w:overflowPunct/>
        <w:topLinePunct w:val="0"/>
        <w:autoSpaceDE/>
        <w:autoSpaceDN/>
        <w:bidi w:val="0"/>
        <w:adjustRightInd/>
        <w:snapToGrid/>
        <w:spacing w:line="360" w:lineRule="exact"/>
        <w:ind w:left="0" w:leftChars="0" w:firstLine="420" w:firstLineChars="200"/>
        <w:rPr>
          <w:rFonts w:hint="eastAsia" w:ascii="黑体" w:hAnsi="黑体" w:eastAsia="黑体" w:cs="黑体"/>
          <w:color w:val="auto"/>
          <w:sz w:val="21"/>
          <w:szCs w:val="21"/>
          <w:highlight w:val="none"/>
          <w:lang w:eastAsia="zh-CN"/>
        </w:rPr>
      </w:pPr>
      <w:r>
        <w:rPr>
          <w:rFonts w:hint="eastAsia" w:ascii="黑体" w:hAnsi="黑体" w:eastAsia="黑体" w:cs="黑体"/>
          <w:color w:val="auto"/>
          <w:sz w:val="21"/>
          <w:szCs w:val="21"/>
          <w:highlight w:val="none"/>
          <w:lang w:eastAsia="zh-CN"/>
        </w:rPr>
        <w:t>(2)供水安全监测</w:t>
      </w:r>
    </w:p>
    <w:p w14:paraId="1DB82E10">
      <w:pPr>
        <w:pageBreakBefore w:val="0"/>
        <w:numPr>
          <w:ilvl w:val="0"/>
          <w:numId w:val="0"/>
        </w:numPr>
        <w:kinsoku/>
        <w:wordWrap/>
        <w:overflowPunct/>
        <w:topLinePunct w:val="0"/>
        <w:autoSpaceDE/>
        <w:autoSpaceDN/>
        <w:bidi w:val="0"/>
        <w:adjustRightInd/>
        <w:snapToGrid/>
        <w:spacing w:line="360" w:lineRule="exact"/>
        <w:ind w:left="0" w:leftChars="0" w:firstLine="420" w:firstLineChars="200"/>
        <w:rPr>
          <w:rFonts w:hint="eastAsia" w:ascii="黑体" w:hAnsi="黑体" w:eastAsia="黑体" w:cs="黑体"/>
          <w:color w:val="auto"/>
          <w:sz w:val="21"/>
          <w:szCs w:val="21"/>
          <w:highlight w:val="none"/>
          <w:lang w:eastAsia="zh-CN"/>
        </w:rPr>
      </w:pPr>
      <w:r>
        <w:rPr>
          <w:rFonts w:hint="eastAsia" w:ascii="黑体" w:hAnsi="黑体" w:eastAsia="黑体" w:cs="黑体"/>
          <w:color w:val="auto"/>
          <w:sz w:val="21"/>
          <w:szCs w:val="21"/>
          <w:highlight w:val="none"/>
          <w:lang w:eastAsia="zh-CN"/>
        </w:rPr>
        <w:t>部署供水流量、压力监测设备，对重点供水管网运行状态进行实时监测，及时发现压力异常、流量异常等风险情况，提高供水安全保障能力。</w:t>
      </w:r>
    </w:p>
    <w:p w14:paraId="491B2224">
      <w:pPr>
        <w:pageBreakBefore w:val="0"/>
        <w:numPr>
          <w:ilvl w:val="0"/>
          <w:numId w:val="0"/>
        </w:numPr>
        <w:kinsoku/>
        <w:wordWrap/>
        <w:overflowPunct/>
        <w:topLinePunct w:val="0"/>
        <w:autoSpaceDE/>
        <w:autoSpaceDN/>
        <w:bidi w:val="0"/>
        <w:adjustRightInd/>
        <w:snapToGrid/>
        <w:spacing w:line="360" w:lineRule="exact"/>
        <w:ind w:left="0" w:leftChars="0" w:firstLine="420" w:firstLineChars="200"/>
        <w:rPr>
          <w:rFonts w:hint="eastAsia" w:ascii="黑体" w:hAnsi="黑体" w:eastAsia="黑体" w:cs="黑体"/>
          <w:color w:val="auto"/>
          <w:sz w:val="21"/>
          <w:szCs w:val="21"/>
          <w:highlight w:val="none"/>
          <w:lang w:eastAsia="zh-CN"/>
        </w:rPr>
      </w:pPr>
      <w:r>
        <w:rPr>
          <w:rFonts w:hint="eastAsia" w:ascii="黑体" w:hAnsi="黑体" w:eastAsia="黑体" w:cs="黑体"/>
          <w:color w:val="auto"/>
          <w:sz w:val="21"/>
          <w:szCs w:val="21"/>
          <w:highlight w:val="none"/>
          <w:lang w:eastAsia="zh-CN"/>
        </w:rPr>
        <w:t>(3)排水安全监测</w:t>
      </w:r>
    </w:p>
    <w:p w14:paraId="57027DB1">
      <w:pPr>
        <w:pageBreakBefore w:val="0"/>
        <w:numPr>
          <w:ilvl w:val="0"/>
          <w:numId w:val="0"/>
        </w:numPr>
        <w:kinsoku/>
        <w:wordWrap/>
        <w:overflowPunct/>
        <w:topLinePunct w:val="0"/>
        <w:autoSpaceDE/>
        <w:autoSpaceDN/>
        <w:bidi w:val="0"/>
        <w:adjustRightInd/>
        <w:snapToGrid/>
        <w:spacing w:line="360" w:lineRule="exact"/>
        <w:ind w:left="0" w:leftChars="0" w:firstLine="420" w:firstLineChars="200"/>
        <w:rPr>
          <w:rFonts w:hint="eastAsia" w:ascii="黑体" w:hAnsi="黑体" w:eastAsia="黑体" w:cs="黑体"/>
          <w:color w:val="auto"/>
          <w:sz w:val="21"/>
          <w:szCs w:val="21"/>
          <w:highlight w:val="none"/>
          <w:lang w:eastAsia="zh-CN"/>
        </w:rPr>
      </w:pPr>
      <w:r>
        <w:rPr>
          <w:rFonts w:hint="eastAsia" w:ascii="黑体" w:hAnsi="黑体" w:eastAsia="黑体" w:cs="黑体"/>
          <w:color w:val="auto"/>
          <w:sz w:val="21"/>
          <w:szCs w:val="21"/>
          <w:highlight w:val="none"/>
          <w:lang w:eastAsia="zh-CN"/>
        </w:rPr>
        <w:t>部署排水液位、水质监测设备，对重点排水节点及关键排水设施运行状态进行监测，为城市防汛排涝和水环境监管提供数据支撑。</w:t>
      </w:r>
    </w:p>
    <w:p w14:paraId="70801627">
      <w:pPr>
        <w:pageBreakBefore w:val="0"/>
        <w:numPr>
          <w:ilvl w:val="0"/>
          <w:numId w:val="0"/>
        </w:numPr>
        <w:kinsoku/>
        <w:wordWrap/>
        <w:overflowPunct/>
        <w:topLinePunct w:val="0"/>
        <w:autoSpaceDE/>
        <w:autoSpaceDN/>
        <w:bidi w:val="0"/>
        <w:adjustRightInd/>
        <w:snapToGrid/>
        <w:spacing w:line="360" w:lineRule="exact"/>
        <w:ind w:left="0" w:leftChars="0" w:firstLine="420" w:firstLineChars="200"/>
        <w:rPr>
          <w:rFonts w:hint="eastAsia" w:ascii="黑体" w:hAnsi="黑体" w:eastAsia="黑体" w:cs="黑体"/>
          <w:color w:val="auto"/>
          <w:sz w:val="21"/>
          <w:szCs w:val="21"/>
          <w:highlight w:val="none"/>
          <w:lang w:eastAsia="zh-CN"/>
        </w:rPr>
      </w:pPr>
      <w:r>
        <w:rPr>
          <w:rFonts w:hint="eastAsia" w:ascii="黑体" w:hAnsi="黑体" w:eastAsia="黑体" w:cs="黑体"/>
          <w:color w:val="auto"/>
          <w:sz w:val="21"/>
          <w:szCs w:val="21"/>
          <w:highlight w:val="none"/>
          <w:lang w:eastAsia="zh-CN"/>
        </w:rPr>
        <w:t>(4)桥梁安全监测</w:t>
      </w:r>
    </w:p>
    <w:p w14:paraId="4F283CAC">
      <w:pPr>
        <w:pageBreakBefore w:val="0"/>
        <w:numPr>
          <w:ilvl w:val="0"/>
          <w:numId w:val="0"/>
        </w:numPr>
        <w:kinsoku/>
        <w:wordWrap/>
        <w:overflowPunct/>
        <w:topLinePunct w:val="0"/>
        <w:autoSpaceDE/>
        <w:autoSpaceDN/>
        <w:bidi w:val="0"/>
        <w:adjustRightInd/>
        <w:snapToGrid/>
        <w:spacing w:line="360" w:lineRule="exact"/>
        <w:ind w:left="0" w:leftChars="0" w:firstLine="420" w:firstLineChars="200"/>
        <w:rPr>
          <w:rFonts w:hint="eastAsia" w:ascii="黑体" w:hAnsi="黑体" w:eastAsia="黑体" w:cs="黑体"/>
          <w:color w:val="auto"/>
          <w:sz w:val="21"/>
          <w:szCs w:val="21"/>
          <w:highlight w:val="none"/>
          <w:lang w:eastAsia="zh-CN"/>
        </w:rPr>
      </w:pPr>
      <w:r>
        <w:rPr>
          <w:rFonts w:hint="eastAsia" w:ascii="黑体" w:hAnsi="黑体" w:eastAsia="黑体" w:cs="黑体"/>
          <w:color w:val="auto"/>
          <w:sz w:val="21"/>
          <w:szCs w:val="21"/>
          <w:highlight w:val="none"/>
          <w:lang w:eastAsia="zh-CN"/>
        </w:rPr>
        <w:t>针对重点桥梁部署沉降、倾斜振动、应变等监测设备，实现桥梁结构运行状态动态监测，提升桥梁安全风险预警能力。</w:t>
      </w:r>
    </w:p>
    <w:p w14:paraId="70D664DB">
      <w:pPr>
        <w:pageBreakBefore w:val="0"/>
        <w:numPr>
          <w:ilvl w:val="0"/>
          <w:numId w:val="0"/>
        </w:numPr>
        <w:kinsoku/>
        <w:wordWrap/>
        <w:overflowPunct/>
        <w:topLinePunct w:val="0"/>
        <w:autoSpaceDE/>
        <w:autoSpaceDN/>
        <w:bidi w:val="0"/>
        <w:adjustRightInd/>
        <w:snapToGrid/>
        <w:spacing w:line="360" w:lineRule="exact"/>
        <w:ind w:left="0" w:leftChars="0" w:firstLine="420" w:firstLineChars="200"/>
        <w:rPr>
          <w:rFonts w:hint="eastAsia" w:ascii="黑体" w:hAnsi="黑体" w:eastAsia="黑体" w:cs="黑体"/>
          <w:color w:val="auto"/>
          <w:sz w:val="21"/>
          <w:szCs w:val="21"/>
          <w:highlight w:val="none"/>
          <w:lang w:eastAsia="zh-CN"/>
        </w:rPr>
      </w:pPr>
      <w:r>
        <w:rPr>
          <w:rFonts w:hint="eastAsia" w:ascii="黑体" w:hAnsi="黑体" w:eastAsia="黑体" w:cs="黑体"/>
          <w:color w:val="auto"/>
          <w:sz w:val="21"/>
          <w:szCs w:val="21"/>
          <w:highlight w:val="none"/>
          <w:lang w:eastAsia="zh-CN"/>
        </w:rPr>
        <w:t>本项目计划建设各类物联网监测设备共计98套，实现重点基础设施运行状态和关键风险指标实时采集。</w:t>
      </w:r>
    </w:p>
    <w:p w14:paraId="49637EF6">
      <w:pPr>
        <w:pageBreakBefore w:val="0"/>
        <w:numPr>
          <w:ilvl w:val="0"/>
          <w:numId w:val="0"/>
        </w:numPr>
        <w:kinsoku/>
        <w:wordWrap/>
        <w:overflowPunct/>
        <w:topLinePunct w:val="0"/>
        <w:autoSpaceDE/>
        <w:autoSpaceDN/>
        <w:bidi w:val="0"/>
        <w:adjustRightInd/>
        <w:snapToGrid/>
        <w:spacing w:line="360" w:lineRule="exact"/>
        <w:ind w:left="0" w:leftChars="0" w:firstLine="420" w:firstLineChars="200"/>
        <w:rPr>
          <w:rFonts w:hint="eastAsia" w:ascii="黑体" w:hAnsi="黑体" w:eastAsia="黑体" w:cs="黑体"/>
          <w:color w:val="auto"/>
          <w:sz w:val="21"/>
          <w:szCs w:val="21"/>
          <w:highlight w:val="none"/>
          <w:lang w:eastAsia="zh-CN"/>
        </w:rPr>
      </w:pPr>
      <w:r>
        <w:rPr>
          <w:rFonts w:hint="eastAsia" w:ascii="黑体" w:hAnsi="黑体" w:eastAsia="黑体" w:cs="黑体"/>
          <w:color w:val="auto"/>
          <w:sz w:val="21"/>
          <w:szCs w:val="21"/>
          <w:highlight w:val="none"/>
          <w:lang w:eastAsia="zh-CN"/>
        </w:rPr>
        <w:t>2．监测井建设</w:t>
      </w:r>
    </w:p>
    <w:p w14:paraId="7C2DA176">
      <w:pPr>
        <w:pageBreakBefore w:val="0"/>
        <w:numPr>
          <w:ilvl w:val="0"/>
          <w:numId w:val="0"/>
        </w:numPr>
        <w:kinsoku/>
        <w:wordWrap/>
        <w:overflowPunct/>
        <w:topLinePunct w:val="0"/>
        <w:autoSpaceDE/>
        <w:autoSpaceDN/>
        <w:bidi w:val="0"/>
        <w:adjustRightInd/>
        <w:snapToGrid/>
        <w:spacing w:line="360" w:lineRule="exact"/>
        <w:ind w:left="0" w:leftChars="0" w:firstLine="420" w:firstLineChars="200"/>
        <w:rPr>
          <w:rFonts w:hint="eastAsia" w:ascii="黑体" w:hAnsi="黑体" w:eastAsia="黑体" w:cs="黑体"/>
          <w:color w:val="auto"/>
          <w:sz w:val="21"/>
          <w:szCs w:val="21"/>
          <w:highlight w:val="none"/>
          <w:lang w:eastAsia="zh-CN"/>
        </w:rPr>
      </w:pPr>
      <w:r>
        <w:rPr>
          <w:rFonts w:hint="eastAsia" w:ascii="黑体" w:hAnsi="黑体" w:eastAsia="黑体" w:cs="黑体"/>
          <w:color w:val="auto"/>
          <w:sz w:val="21"/>
          <w:szCs w:val="21"/>
          <w:highlight w:val="none"/>
          <w:lang w:eastAsia="zh-CN"/>
        </w:rPr>
        <w:t>根据物联网设备安装需求，结合现场环境条件，开展监测井建设工作。</w:t>
      </w:r>
    </w:p>
    <w:p w14:paraId="645363A8">
      <w:pPr>
        <w:pageBreakBefore w:val="0"/>
        <w:numPr>
          <w:ilvl w:val="0"/>
          <w:numId w:val="0"/>
        </w:numPr>
        <w:kinsoku/>
        <w:wordWrap/>
        <w:overflowPunct/>
        <w:topLinePunct w:val="0"/>
        <w:autoSpaceDE/>
        <w:autoSpaceDN/>
        <w:bidi w:val="0"/>
        <w:adjustRightInd/>
        <w:snapToGrid/>
        <w:spacing w:line="360" w:lineRule="exact"/>
        <w:ind w:left="0" w:leftChars="0" w:firstLine="420" w:firstLineChars="200"/>
        <w:rPr>
          <w:rFonts w:hint="eastAsia" w:ascii="黑体" w:hAnsi="黑体" w:eastAsia="黑体" w:cs="黑体"/>
          <w:color w:val="auto"/>
          <w:sz w:val="21"/>
          <w:szCs w:val="21"/>
          <w:highlight w:val="none"/>
          <w:lang w:eastAsia="zh-CN"/>
        </w:rPr>
      </w:pPr>
      <w:r>
        <w:rPr>
          <w:rFonts w:hint="eastAsia" w:ascii="黑体" w:hAnsi="黑体" w:eastAsia="黑体" w:cs="黑体"/>
          <w:color w:val="auto"/>
          <w:sz w:val="21"/>
          <w:szCs w:val="21"/>
          <w:highlight w:val="none"/>
          <w:lang w:eastAsia="zh-CN"/>
        </w:rPr>
        <w:t>本项目计划新建监测井32座，为监测设备规范安装、稳定运行和后期维护提供基础条件。监测井建设应满足设备安装、防护、安全运行及日常维护要求，确保监测设备长期稳定运行。</w:t>
      </w:r>
    </w:p>
    <w:p w14:paraId="3CDC368B">
      <w:pPr>
        <w:pageBreakBefore w:val="0"/>
        <w:numPr>
          <w:ilvl w:val="0"/>
          <w:numId w:val="0"/>
        </w:numPr>
        <w:kinsoku/>
        <w:wordWrap/>
        <w:overflowPunct/>
        <w:topLinePunct w:val="0"/>
        <w:autoSpaceDE/>
        <w:autoSpaceDN/>
        <w:bidi w:val="0"/>
        <w:adjustRightInd/>
        <w:snapToGrid/>
        <w:spacing w:line="360" w:lineRule="exact"/>
        <w:ind w:left="0" w:leftChars="0" w:firstLine="420" w:firstLineChars="200"/>
        <w:rPr>
          <w:rFonts w:hint="eastAsia" w:ascii="黑体" w:hAnsi="黑体" w:eastAsia="黑体" w:cs="黑体"/>
          <w:color w:val="auto"/>
          <w:sz w:val="21"/>
          <w:szCs w:val="21"/>
          <w:highlight w:val="none"/>
          <w:lang w:eastAsia="zh-CN"/>
        </w:rPr>
      </w:pPr>
      <w:r>
        <w:rPr>
          <w:rFonts w:hint="eastAsia" w:ascii="黑体" w:hAnsi="黑体" w:eastAsia="黑体" w:cs="黑体"/>
          <w:color w:val="auto"/>
          <w:sz w:val="21"/>
          <w:szCs w:val="21"/>
          <w:highlight w:val="none"/>
          <w:lang w:eastAsia="zh-CN"/>
        </w:rPr>
        <w:t>3．设备安装与调试</w:t>
      </w:r>
    </w:p>
    <w:p w14:paraId="46B3AED8">
      <w:pPr>
        <w:pageBreakBefore w:val="0"/>
        <w:numPr>
          <w:ilvl w:val="0"/>
          <w:numId w:val="0"/>
        </w:numPr>
        <w:kinsoku/>
        <w:wordWrap/>
        <w:overflowPunct/>
        <w:topLinePunct w:val="0"/>
        <w:autoSpaceDE/>
        <w:autoSpaceDN/>
        <w:bidi w:val="0"/>
        <w:adjustRightInd/>
        <w:snapToGrid/>
        <w:spacing w:line="360" w:lineRule="exact"/>
        <w:ind w:left="0" w:leftChars="0" w:firstLine="420" w:firstLineChars="200"/>
        <w:rPr>
          <w:rFonts w:hint="eastAsia" w:ascii="黑体" w:hAnsi="黑体" w:eastAsia="黑体" w:cs="黑体"/>
          <w:color w:val="auto"/>
          <w:sz w:val="21"/>
          <w:szCs w:val="21"/>
          <w:highlight w:val="none"/>
          <w:lang w:eastAsia="zh-CN"/>
        </w:rPr>
      </w:pPr>
      <w:r>
        <w:rPr>
          <w:rFonts w:hint="eastAsia" w:ascii="黑体" w:hAnsi="黑体" w:eastAsia="黑体" w:cs="黑体"/>
          <w:color w:val="auto"/>
          <w:sz w:val="21"/>
          <w:szCs w:val="21"/>
          <w:highlight w:val="none"/>
          <w:lang w:eastAsia="zh-CN"/>
        </w:rPr>
        <w:t>完成物联网监测设备现场安装、设备调试、通信调试及运行测试工作，确保设备安装位置符合设计要求，设备运行稳定可靠。</w:t>
      </w:r>
    </w:p>
    <w:p w14:paraId="208F3219">
      <w:pPr>
        <w:pageBreakBefore w:val="0"/>
        <w:numPr>
          <w:ilvl w:val="0"/>
          <w:numId w:val="0"/>
        </w:numPr>
        <w:kinsoku/>
        <w:wordWrap/>
        <w:overflowPunct/>
        <w:topLinePunct w:val="0"/>
        <w:autoSpaceDE/>
        <w:autoSpaceDN/>
        <w:bidi w:val="0"/>
        <w:adjustRightInd/>
        <w:snapToGrid/>
        <w:spacing w:line="360" w:lineRule="exact"/>
        <w:ind w:left="0" w:leftChars="0" w:firstLine="420" w:firstLineChars="200"/>
        <w:rPr>
          <w:rFonts w:hint="eastAsia" w:ascii="黑体" w:hAnsi="黑体" w:eastAsia="黑体" w:cs="黑体"/>
          <w:color w:val="auto"/>
          <w:sz w:val="21"/>
          <w:szCs w:val="21"/>
          <w:highlight w:val="none"/>
          <w:lang w:eastAsia="zh-CN"/>
        </w:rPr>
      </w:pPr>
      <w:r>
        <w:rPr>
          <w:rFonts w:hint="eastAsia" w:ascii="黑体" w:hAnsi="黑体" w:eastAsia="黑体" w:cs="黑体"/>
          <w:color w:val="auto"/>
          <w:sz w:val="21"/>
          <w:szCs w:val="21"/>
          <w:highlight w:val="none"/>
          <w:lang w:eastAsia="zh-CN"/>
        </w:rPr>
        <w:t>主要包括：</w:t>
      </w:r>
    </w:p>
    <w:p w14:paraId="2E98481D">
      <w:pPr>
        <w:pageBreakBefore w:val="0"/>
        <w:numPr>
          <w:ilvl w:val="0"/>
          <w:numId w:val="0"/>
        </w:numPr>
        <w:kinsoku/>
        <w:wordWrap/>
        <w:overflowPunct/>
        <w:topLinePunct w:val="0"/>
        <w:autoSpaceDE/>
        <w:autoSpaceDN/>
        <w:bidi w:val="0"/>
        <w:adjustRightInd/>
        <w:snapToGrid/>
        <w:spacing w:line="360" w:lineRule="exact"/>
        <w:ind w:left="0" w:leftChars="0" w:firstLine="420" w:firstLineChars="200"/>
        <w:rPr>
          <w:rFonts w:hint="eastAsia" w:ascii="黑体" w:hAnsi="黑体" w:eastAsia="黑体" w:cs="黑体"/>
          <w:color w:val="auto"/>
          <w:sz w:val="21"/>
          <w:szCs w:val="21"/>
          <w:highlight w:val="none"/>
          <w:lang w:eastAsia="zh-CN"/>
        </w:rPr>
      </w:pPr>
      <w:r>
        <w:rPr>
          <w:rFonts w:hint="eastAsia" w:ascii="黑体" w:hAnsi="黑体" w:eastAsia="黑体" w:cs="黑体"/>
          <w:color w:val="auto"/>
          <w:sz w:val="21"/>
          <w:szCs w:val="21"/>
          <w:highlight w:val="none"/>
          <w:lang w:eastAsia="zh-CN"/>
        </w:rPr>
        <w:t>(1)完成监测设备安装部署；</w:t>
      </w:r>
    </w:p>
    <w:p w14:paraId="055D0EB7">
      <w:pPr>
        <w:pageBreakBefore w:val="0"/>
        <w:numPr>
          <w:ilvl w:val="0"/>
          <w:numId w:val="0"/>
        </w:numPr>
        <w:kinsoku/>
        <w:wordWrap/>
        <w:overflowPunct/>
        <w:topLinePunct w:val="0"/>
        <w:autoSpaceDE/>
        <w:autoSpaceDN/>
        <w:bidi w:val="0"/>
        <w:adjustRightInd/>
        <w:snapToGrid/>
        <w:spacing w:line="360" w:lineRule="exact"/>
        <w:ind w:left="0" w:leftChars="0" w:firstLine="420" w:firstLineChars="200"/>
        <w:rPr>
          <w:rFonts w:hint="eastAsia" w:ascii="黑体" w:hAnsi="黑体" w:eastAsia="黑体" w:cs="黑体"/>
          <w:color w:val="auto"/>
          <w:sz w:val="21"/>
          <w:szCs w:val="21"/>
          <w:highlight w:val="none"/>
          <w:lang w:eastAsia="zh-CN"/>
        </w:rPr>
      </w:pPr>
      <w:r>
        <w:rPr>
          <w:rFonts w:hint="eastAsia" w:ascii="黑体" w:hAnsi="黑体" w:eastAsia="黑体" w:cs="黑体"/>
          <w:color w:val="auto"/>
          <w:sz w:val="21"/>
          <w:szCs w:val="21"/>
          <w:highlight w:val="none"/>
          <w:lang w:eastAsia="zh-CN"/>
        </w:rPr>
        <w:t>(2)完成设备供电、通信网络配置；</w:t>
      </w:r>
    </w:p>
    <w:p w14:paraId="358F2AA6">
      <w:pPr>
        <w:pageBreakBefore w:val="0"/>
        <w:numPr>
          <w:ilvl w:val="0"/>
          <w:numId w:val="0"/>
        </w:numPr>
        <w:kinsoku/>
        <w:wordWrap/>
        <w:overflowPunct/>
        <w:topLinePunct w:val="0"/>
        <w:autoSpaceDE/>
        <w:autoSpaceDN/>
        <w:bidi w:val="0"/>
        <w:adjustRightInd/>
        <w:snapToGrid/>
        <w:spacing w:line="360" w:lineRule="exact"/>
        <w:ind w:left="0" w:leftChars="0" w:firstLine="420" w:firstLineChars="200"/>
        <w:rPr>
          <w:rFonts w:hint="eastAsia" w:ascii="黑体" w:hAnsi="黑体" w:eastAsia="黑体" w:cs="黑体"/>
          <w:color w:val="auto"/>
          <w:sz w:val="21"/>
          <w:szCs w:val="21"/>
          <w:highlight w:val="none"/>
          <w:lang w:eastAsia="zh-CN"/>
        </w:rPr>
      </w:pPr>
      <w:r>
        <w:rPr>
          <w:rFonts w:hint="eastAsia" w:ascii="黑体" w:hAnsi="黑体" w:eastAsia="黑体" w:cs="黑体"/>
          <w:color w:val="auto"/>
          <w:sz w:val="21"/>
          <w:szCs w:val="21"/>
          <w:highlight w:val="none"/>
          <w:lang w:eastAsia="zh-CN"/>
        </w:rPr>
        <w:t>(3)完成设备参数配置及运行调试；</w:t>
      </w:r>
    </w:p>
    <w:p w14:paraId="6FECD8EB">
      <w:pPr>
        <w:pageBreakBefore w:val="0"/>
        <w:numPr>
          <w:ilvl w:val="0"/>
          <w:numId w:val="0"/>
        </w:numPr>
        <w:kinsoku/>
        <w:wordWrap/>
        <w:overflowPunct/>
        <w:topLinePunct w:val="0"/>
        <w:autoSpaceDE/>
        <w:autoSpaceDN/>
        <w:bidi w:val="0"/>
        <w:adjustRightInd/>
        <w:snapToGrid/>
        <w:spacing w:line="360" w:lineRule="exact"/>
        <w:ind w:left="0" w:leftChars="0" w:firstLine="420" w:firstLineChars="200"/>
        <w:rPr>
          <w:rFonts w:hint="eastAsia" w:ascii="黑体" w:hAnsi="黑体" w:eastAsia="黑体" w:cs="黑体"/>
          <w:color w:val="auto"/>
          <w:sz w:val="21"/>
          <w:szCs w:val="21"/>
          <w:highlight w:val="none"/>
          <w:lang w:eastAsia="zh-CN"/>
        </w:rPr>
      </w:pPr>
      <w:r>
        <w:rPr>
          <w:rFonts w:hint="eastAsia" w:ascii="黑体" w:hAnsi="黑体" w:eastAsia="黑体" w:cs="黑体"/>
          <w:color w:val="auto"/>
          <w:sz w:val="21"/>
          <w:szCs w:val="21"/>
          <w:highlight w:val="none"/>
          <w:lang w:eastAsia="zh-CN"/>
        </w:rPr>
        <w:t>(4)完成监测数据采集、传输测试；</w:t>
      </w:r>
    </w:p>
    <w:p w14:paraId="65F9C13D">
      <w:pPr>
        <w:pageBreakBefore w:val="0"/>
        <w:numPr>
          <w:ilvl w:val="0"/>
          <w:numId w:val="0"/>
        </w:numPr>
        <w:kinsoku/>
        <w:wordWrap/>
        <w:overflowPunct/>
        <w:topLinePunct w:val="0"/>
        <w:autoSpaceDE/>
        <w:autoSpaceDN/>
        <w:bidi w:val="0"/>
        <w:adjustRightInd/>
        <w:snapToGrid/>
        <w:spacing w:line="360" w:lineRule="exact"/>
        <w:ind w:left="0" w:leftChars="0" w:firstLine="420" w:firstLineChars="200"/>
        <w:rPr>
          <w:rFonts w:hint="eastAsia" w:ascii="黑体" w:hAnsi="黑体" w:eastAsia="黑体" w:cs="黑体"/>
          <w:color w:val="auto"/>
          <w:sz w:val="21"/>
          <w:szCs w:val="21"/>
          <w:highlight w:val="none"/>
          <w:lang w:eastAsia="zh-CN"/>
        </w:rPr>
      </w:pPr>
      <w:r>
        <w:rPr>
          <w:rFonts w:hint="eastAsia" w:ascii="黑体" w:hAnsi="黑体" w:eastAsia="黑体" w:cs="黑体"/>
          <w:color w:val="auto"/>
          <w:sz w:val="21"/>
          <w:szCs w:val="21"/>
          <w:highlight w:val="none"/>
          <w:lang w:eastAsia="zh-CN"/>
        </w:rPr>
        <w:t>(5)配合完成监测数据接入城市生命线安全运行监测平台，实现设备数据统一管理和应用。</w:t>
      </w:r>
    </w:p>
    <w:p w14:paraId="2CBCEE4A">
      <w:pPr>
        <w:pageBreakBefore w:val="0"/>
        <w:numPr>
          <w:ilvl w:val="0"/>
          <w:numId w:val="0"/>
        </w:numPr>
        <w:kinsoku/>
        <w:wordWrap/>
        <w:overflowPunct/>
        <w:topLinePunct w:val="0"/>
        <w:autoSpaceDE/>
        <w:autoSpaceDN/>
        <w:bidi w:val="0"/>
        <w:adjustRightInd/>
        <w:snapToGrid/>
        <w:spacing w:line="360" w:lineRule="exact"/>
        <w:ind w:left="0" w:leftChars="0" w:firstLine="420" w:firstLineChars="200"/>
        <w:rPr>
          <w:rFonts w:hint="eastAsia" w:ascii="黑体" w:hAnsi="黑体" w:eastAsia="黑体" w:cs="黑体"/>
          <w:color w:val="auto"/>
          <w:sz w:val="21"/>
          <w:szCs w:val="21"/>
          <w:highlight w:val="none"/>
          <w:lang w:eastAsia="zh-CN"/>
        </w:rPr>
      </w:pPr>
      <w:r>
        <w:rPr>
          <w:rFonts w:hint="eastAsia" w:ascii="黑体" w:hAnsi="黑体" w:eastAsia="黑体" w:cs="黑体"/>
          <w:color w:val="auto"/>
          <w:sz w:val="21"/>
          <w:szCs w:val="21"/>
          <w:highlight w:val="none"/>
          <w:lang w:eastAsia="zh-CN"/>
        </w:rPr>
        <w:t>4．系统联调与运行测试</w:t>
      </w:r>
    </w:p>
    <w:p w14:paraId="5C7CDF19">
      <w:pPr>
        <w:pageBreakBefore w:val="0"/>
        <w:numPr>
          <w:ilvl w:val="0"/>
          <w:numId w:val="0"/>
        </w:numPr>
        <w:kinsoku/>
        <w:wordWrap/>
        <w:overflowPunct/>
        <w:topLinePunct w:val="0"/>
        <w:autoSpaceDE/>
        <w:autoSpaceDN/>
        <w:bidi w:val="0"/>
        <w:adjustRightInd/>
        <w:snapToGrid/>
        <w:spacing w:line="360" w:lineRule="exact"/>
        <w:ind w:left="0" w:leftChars="0" w:firstLine="420" w:firstLineChars="200"/>
        <w:rPr>
          <w:rFonts w:hint="eastAsia" w:ascii="黑体" w:hAnsi="黑体" w:eastAsia="黑体" w:cs="黑体"/>
          <w:color w:val="auto"/>
          <w:sz w:val="21"/>
          <w:szCs w:val="21"/>
          <w:highlight w:val="none"/>
          <w:lang w:eastAsia="zh-CN"/>
        </w:rPr>
      </w:pPr>
      <w:r>
        <w:rPr>
          <w:rFonts w:hint="eastAsia" w:ascii="黑体" w:hAnsi="黑体" w:eastAsia="黑体" w:cs="黑体"/>
          <w:color w:val="auto"/>
          <w:sz w:val="21"/>
          <w:szCs w:val="21"/>
          <w:highlight w:val="none"/>
          <w:lang w:eastAsia="zh-CN"/>
        </w:rPr>
        <w:t>配合平台建设单位开展物联网设备与城市生命线安全运行监测平台联调工作，确保监测数据能够正常上传，实现设备状态查看、实时数据展示、异常报警等功能。</w:t>
      </w:r>
    </w:p>
    <w:p w14:paraId="522067F3">
      <w:pPr>
        <w:pageBreakBefore w:val="0"/>
        <w:numPr>
          <w:ilvl w:val="0"/>
          <w:numId w:val="0"/>
        </w:numPr>
        <w:kinsoku/>
        <w:wordWrap/>
        <w:overflowPunct/>
        <w:topLinePunct w:val="0"/>
        <w:autoSpaceDE/>
        <w:autoSpaceDN/>
        <w:bidi w:val="0"/>
        <w:adjustRightInd/>
        <w:snapToGrid/>
        <w:spacing w:line="360" w:lineRule="exact"/>
        <w:ind w:left="0" w:leftChars="0" w:firstLine="420" w:firstLineChars="200"/>
        <w:rPr>
          <w:rFonts w:hint="eastAsia" w:ascii="黑体" w:hAnsi="黑体" w:eastAsia="黑体" w:cs="黑体"/>
          <w:color w:val="auto"/>
          <w:sz w:val="21"/>
          <w:szCs w:val="21"/>
          <w:highlight w:val="none"/>
          <w:lang w:eastAsia="zh-CN"/>
        </w:rPr>
      </w:pPr>
      <w:r>
        <w:rPr>
          <w:rFonts w:hint="eastAsia" w:ascii="黑体" w:hAnsi="黑体" w:eastAsia="黑体" w:cs="黑体"/>
          <w:color w:val="auto"/>
          <w:sz w:val="21"/>
          <w:szCs w:val="21"/>
          <w:highlight w:val="none"/>
          <w:lang w:eastAsia="zh-CN"/>
        </w:rPr>
        <w:t>完成系统试运行测试，形成设备安装调试记录、测试报告等相关成果资料，为项目验收提供依据。</w:t>
      </w:r>
    </w:p>
    <w:p w14:paraId="07B1DF23">
      <w:pPr>
        <w:keepNext/>
        <w:keepLines/>
        <w:pageBreakBefore w:val="0"/>
        <w:widowControl w:val="0"/>
        <w:numPr>
          <w:ilvl w:val="0"/>
          <w:numId w:val="2"/>
        </w:numPr>
        <w:kinsoku/>
        <w:wordWrap/>
        <w:overflowPunct/>
        <w:topLinePunct w:val="0"/>
        <w:autoSpaceDE/>
        <w:autoSpaceDN/>
        <w:bidi w:val="0"/>
        <w:adjustRightInd/>
        <w:snapToGrid/>
        <w:spacing w:line="360" w:lineRule="exact"/>
        <w:jc w:val="both"/>
        <w:outlineLvl w:val="1"/>
        <w:rPr>
          <w:rFonts w:hint="eastAsia" w:ascii="黑体" w:hAnsi="黑体" w:eastAsia="黑体" w:cs="黑体"/>
          <w:b/>
          <w:bCs/>
          <w:color w:val="auto"/>
          <w:kern w:val="2"/>
          <w:sz w:val="21"/>
          <w:szCs w:val="21"/>
          <w:highlight w:val="none"/>
          <w:lang w:val="en-US" w:eastAsia="zh-CN" w:bidi="ar-SA"/>
        </w:rPr>
      </w:pPr>
      <w:r>
        <w:rPr>
          <w:rFonts w:hint="eastAsia" w:ascii="黑体" w:hAnsi="黑体" w:eastAsia="黑体" w:cs="黑体"/>
          <w:b/>
          <w:bCs/>
          <w:color w:val="auto"/>
          <w:kern w:val="2"/>
          <w:sz w:val="21"/>
          <w:szCs w:val="21"/>
          <w:highlight w:val="none"/>
          <w:lang w:val="en-US" w:eastAsia="zh-CN" w:bidi="ar-SA"/>
        </w:rPr>
        <w:t xml:space="preserve">项目清单 </w:t>
      </w:r>
    </w:p>
    <w:tbl>
      <w:tblPr>
        <w:tblStyle w:val="5"/>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9"/>
        <w:gridCol w:w="911"/>
        <w:gridCol w:w="2125"/>
        <w:gridCol w:w="3670"/>
        <w:gridCol w:w="526"/>
        <w:gridCol w:w="623"/>
        <w:gridCol w:w="992"/>
      </w:tblGrid>
      <w:tr w14:paraId="4FE84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509" w:type="dxa"/>
            <w:noWrap w:val="0"/>
            <w:vAlign w:val="center"/>
          </w:tcPr>
          <w:p w14:paraId="415EB790">
            <w:pPr>
              <w:widowControl/>
              <w:wordWrap w:val="0"/>
              <w:autoSpaceDE/>
              <w:autoSpaceDN/>
              <w:jc w:val="center"/>
              <w:rPr>
                <w:rFonts w:hint="eastAsia" w:ascii="黑体" w:hAnsi="黑体" w:eastAsia="黑体" w:cs="黑体"/>
                <w:b/>
                <w:bCs/>
                <w:color w:val="auto"/>
                <w:kern w:val="0"/>
                <w:sz w:val="21"/>
                <w:szCs w:val="21"/>
                <w:highlight w:val="none"/>
                <w:lang w:eastAsia="zh-CN"/>
              </w:rPr>
            </w:pPr>
            <w:r>
              <w:rPr>
                <w:rFonts w:hint="eastAsia" w:ascii="黑体" w:hAnsi="黑体" w:eastAsia="黑体" w:cs="黑体"/>
                <w:b/>
                <w:bCs/>
                <w:color w:val="auto"/>
                <w:kern w:val="0"/>
                <w:sz w:val="21"/>
                <w:szCs w:val="21"/>
                <w:highlight w:val="none"/>
                <w:lang w:eastAsia="zh-CN"/>
              </w:rPr>
              <w:t>序号</w:t>
            </w:r>
          </w:p>
        </w:tc>
        <w:tc>
          <w:tcPr>
            <w:tcW w:w="911" w:type="dxa"/>
            <w:noWrap w:val="0"/>
            <w:vAlign w:val="center"/>
          </w:tcPr>
          <w:p w14:paraId="71B24F2C">
            <w:pPr>
              <w:widowControl/>
              <w:wordWrap w:val="0"/>
              <w:autoSpaceDE/>
              <w:autoSpaceDN/>
              <w:jc w:val="center"/>
              <w:rPr>
                <w:rFonts w:hint="eastAsia" w:ascii="黑体" w:hAnsi="黑体" w:eastAsia="黑体" w:cs="黑体"/>
                <w:b/>
                <w:bCs/>
                <w:color w:val="auto"/>
                <w:kern w:val="0"/>
                <w:sz w:val="21"/>
                <w:szCs w:val="21"/>
                <w:highlight w:val="none"/>
                <w:lang w:eastAsia="zh-CN"/>
              </w:rPr>
            </w:pPr>
            <w:r>
              <w:rPr>
                <w:rFonts w:hint="eastAsia" w:ascii="黑体" w:hAnsi="黑体" w:eastAsia="黑体" w:cs="黑体"/>
                <w:b/>
                <w:bCs/>
                <w:color w:val="auto"/>
                <w:kern w:val="0"/>
                <w:sz w:val="21"/>
                <w:szCs w:val="21"/>
                <w:highlight w:val="none"/>
                <w:lang w:eastAsia="zh-CN"/>
              </w:rPr>
              <w:t>内容</w:t>
            </w:r>
          </w:p>
        </w:tc>
        <w:tc>
          <w:tcPr>
            <w:tcW w:w="2125" w:type="dxa"/>
            <w:noWrap w:val="0"/>
            <w:vAlign w:val="center"/>
          </w:tcPr>
          <w:p w14:paraId="256A5C43">
            <w:pPr>
              <w:widowControl/>
              <w:wordWrap w:val="0"/>
              <w:autoSpaceDE/>
              <w:autoSpaceDN/>
              <w:jc w:val="center"/>
              <w:rPr>
                <w:rFonts w:hint="eastAsia" w:ascii="黑体" w:hAnsi="黑体" w:eastAsia="黑体" w:cs="黑体"/>
                <w:b/>
                <w:bCs/>
                <w:color w:val="auto"/>
                <w:kern w:val="0"/>
                <w:sz w:val="21"/>
                <w:szCs w:val="21"/>
                <w:highlight w:val="none"/>
                <w:lang w:eastAsia="zh-CN"/>
              </w:rPr>
            </w:pPr>
            <w:r>
              <w:rPr>
                <w:rFonts w:hint="eastAsia" w:ascii="黑体" w:hAnsi="黑体" w:eastAsia="黑体" w:cs="黑体"/>
                <w:b/>
                <w:bCs/>
                <w:color w:val="auto"/>
                <w:kern w:val="0"/>
                <w:sz w:val="21"/>
                <w:szCs w:val="21"/>
                <w:highlight w:val="none"/>
                <w:lang w:eastAsia="zh-CN"/>
              </w:rPr>
              <w:t>标的名称</w:t>
            </w:r>
          </w:p>
        </w:tc>
        <w:tc>
          <w:tcPr>
            <w:tcW w:w="3670" w:type="dxa"/>
            <w:noWrap w:val="0"/>
            <w:vAlign w:val="center"/>
          </w:tcPr>
          <w:p w14:paraId="09327EF4">
            <w:pPr>
              <w:widowControl/>
              <w:wordWrap w:val="0"/>
              <w:autoSpaceDE/>
              <w:autoSpaceDN/>
              <w:jc w:val="center"/>
              <w:rPr>
                <w:rFonts w:hint="eastAsia" w:ascii="黑体" w:hAnsi="黑体" w:eastAsia="黑体" w:cs="黑体"/>
                <w:b/>
                <w:bCs/>
                <w:color w:val="auto"/>
                <w:kern w:val="0"/>
                <w:sz w:val="21"/>
                <w:szCs w:val="21"/>
                <w:highlight w:val="none"/>
                <w:lang w:eastAsia="zh-CN"/>
              </w:rPr>
            </w:pPr>
            <w:r>
              <w:rPr>
                <w:rFonts w:hint="eastAsia" w:ascii="黑体" w:hAnsi="黑体" w:eastAsia="黑体" w:cs="黑体"/>
                <w:b/>
                <w:bCs/>
                <w:color w:val="auto"/>
                <w:kern w:val="0"/>
                <w:sz w:val="21"/>
                <w:szCs w:val="21"/>
                <w:highlight w:val="none"/>
                <w:lang w:eastAsia="zh-CN"/>
              </w:rPr>
              <w:t>详细描述</w:t>
            </w:r>
          </w:p>
        </w:tc>
        <w:tc>
          <w:tcPr>
            <w:tcW w:w="526" w:type="dxa"/>
            <w:noWrap w:val="0"/>
            <w:vAlign w:val="center"/>
          </w:tcPr>
          <w:p w14:paraId="5CFBF560">
            <w:pPr>
              <w:widowControl/>
              <w:wordWrap w:val="0"/>
              <w:autoSpaceDE/>
              <w:autoSpaceDN/>
              <w:jc w:val="center"/>
              <w:rPr>
                <w:rFonts w:hint="eastAsia" w:ascii="黑体" w:hAnsi="黑体" w:eastAsia="黑体" w:cs="黑体"/>
                <w:b/>
                <w:bCs/>
                <w:color w:val="auto"/>
                <w:kern w:val="0"/>
                <w:sz w:val="21"/>
                <w:szCs w:val="21"/>
                <w:highlight w:val="none"/>
                <w:lang w:eastAsia="zh-CN"/>
              </w:rPr>
            </w:pPr>
            <w:r>
              <w:rPr>
                <w:rFonts w:hint="eastAsia" w:ascii="黑体" w:hAnsi="黑体" w:eastAsia="黑体" w:cs="黑体"/>
                <w:b/>
                <w:bCs/>
                <w:color w:val="auto"/>
                <w:kern w:val="0"/>
                <w:sz w:val="21"/>
                <w:szCs w:val="21"/>
                <w:highlight w:val="none"/>
                <w:lang w:eastAsia="zh-CN"/>
              </w:rPr>
              <w:t>单位</w:t>
            </w:r>
          </w:p>
        </w:tc>
        <w:tc>
          <w:tcPr>
            <w:tcW w:w="623" w:type="dxa"/>
            <w:noWrap w:val="0"/>
            <w:vAlign w:val="center"/>
          </w:tcPr>
          <w:p w14:paraId="72C2C277">
            <w:pPr>
              <w:widowControl/>
              <w:wordWrap w:val="0"/>
              <w:autoSpaceDE/>
              <w:autoSpaceDN/>
              <w:jc w:val="center"/>
              <w:rPr>
                <w:rFonts w:hint="eastAsia" w:ascii="黑体" w:hAnsi="黑体" w:eastAsia="黑体" w:cs="黑体"/>
                <w:b/>
                <w:bCs/>
                <w:color w:val="auto"/>
                <w:kern w:val="0"/>
                <w:sz w:val="21"/>
                <w:szCs w:val="21"/>
                <w:highlight w:val="none"/>
                <w:lang w:eastAsia="zh-CN"/>
              </w:rPr>
            </w:pPr>
            <w:r>
              <w:rPr>
                <w:rFonts w:hint="eastAsia" w:ascii="黑体" w:hAnsi="黑体" w:eastAsia="黑体" w:cs="黑体"/>
                <w:b/>
                <w:bCs/>
                <w:color w:val="auto"/>
                <w:kern w:val="0"/>
                <w:sz w:val="21"/>
                <w:szCs w:val="21"/>
                <w:highlight w:val="none"/>
                <w:lang w:eastAsia="zh-CN"/>
              </w:rPr>
              <w:t>数量</w:t>
            </w:r>
          </w:p>
        </w:tc>
        <w:tc>
          <w:tcPr>
            <w:tcW w:w="992" w:type="dxa"/>
            <w:noWrap w:val="0"/>
            <w:vAlign w:val="center"/>
          </w:tcPr>
          <w:p w14:paraId="0F714B8A">
            <w:pPr>
              <w:widowControl/>
              <w:wordWrap w:val="0"/>
              <w:autoSpaceDE/>
              <w:autoSpaceDN/>
              <w:jc w:val="center"/>
              <w:rPr>
                <w:rFonts w:hint="eastAsia" w:ascii="黑体" w:hAnsi="黑体" w:eastAsia="黑体" w:cs="黑体"/>
                <w:b/>
                <w:bCs/>
                <w:color w:val="auto"/>
                <w:kern w:val="0"/>
                <w:sz w:val="21"/>
                <w:szCs w:val="21"/>
                <w:highlight w:val="none"/>
                <w:lang w:eastAsia="zh-CN"/>
              </w:rPr>
            </w:pPr>
            <w:r>
              <w:rPr>
                <w:rFonts w:hint="eastAsia" w:ascii="黑体" w:hAnsi="黑体" w:eastAsia="黑体" w:cs="黑体"/>
                <w:b/>
                <w:bCs/>
                <w:color w:val="auto"/>
                <w:kern w:val="0"/>
                <w:sz w:val="21"/>
                <w:szCs w:val="21"/>
                <w:highlight w:val="none"/>
                <w:lang w:eastAsia="zh-CN"/>
              </w:rPr>
              <w:t>备注</w:t>
            </w:r>
          </w:p>
        </w:tc>
      </w:tr>
      <w:tr w14:paraId="2E8C3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509" w:type="dxa"/>
            <w:noWrap/>
            <w:vAlign w:val="center"/>
          </w:tcPr>
          <w:p w14:paraId="6325AE50">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w:t>
            </w:r>
          </w:p>
        </w:tc>
        <w:tc>
          <w:tcPr>
            <w:tcW w:w="911" w:type="dxa"/>
            <w:vMerge w:val="restart"/>
            <w:noWrap/>
            <w:vAlign w:val="center"/>
          </w:tcPr>
          <w:p w14:paraId="2B22E9E6">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燃气管网监测</w:t>
            </w:r>
          </w:p>
        </w:tc>
        <w:tc>
          <w:tcPr>
            <w:tcW w:w="2125" w:type="dxa"/>
            <w:noWrap w:val="0"/>
            <w:vAlign w:val="center"/>
          </w:tcPr>
          <w:p w14:paraId="4A8538D9">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燃气泄漏监测仪</w:t>
            </w:r>
          </w:p>
        </w:tc>
        <w:tc>
          <w:tcPr>
            <w:tcW w:w="3670" w:type="dxa"/>
            <w:noWrap w:val="0"/>
            <w:vAlign w:val="center"/>
          </w:tcPr>
          <w:p w14:paraId="108AB997">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1.外壳材质：外壳材质:316不锈钢；</w:t>
            </w:r>
          </w:p>
          <w:p w14:paraId="4A4736B5">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2.采样方式：扩散式；</w:t>
            </w:r>
          </w:p>
          <w:p w14:paraId="1AE5BE5D">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3.传感器：激光甲烷传感器</w:t>
            </w:r>
          </w:p>
          <w:p w14:paraId="043DAE04">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4.安装方式：壁挂式；</w:t>
            </w:r>
          </w:p>
          <w:p w14:paraId="7889BFC9">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5、量程：0-100%LEL/0-20%VOL</w:t>
            </w:r>
          </w:p>
          <w:p w14:paraId="7069C951">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6、精度：±2.5%F.S/±0.1%VOL</w:t>
            </w:r>
          </w:p>
          <w:p w14:paraId="11840CA0">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7、示值误差：±0.1%VOL</w:t>
            </w:r>
          </w:p>
          <w:p w14:paraId="659F3F12">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8、工作温度：（-10～60）℃</w:t>
            </w:r>
          </w:p>
          <w:p w14:paraId="5F772E05">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9、防爆执行标准：GB/T 3836.1-2021、GB/T 3836.4-2021</w:t>
            </w:r>
          </w:p>
          <w:p w14:paraId="04CEB731">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10、防爆等级：Ex ia IIC T4 Ga</w:t>
            </w:r>
          </w:p>
          <w:p w14:paraId="1CC55A6F">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11、传输方式：NB-IoT或4G；</w:t>
            </w:r>
          </w:p>
          <w:p w14:paraId="621F6CE1">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12、电池容量：3.6V 38Ah</w:t>
            </w:r>
          </w:p>
          <w:p w14:paraId="1537A3EC">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13、电池寿命：3-5年（15分钟采样，24小时传输）</w:t>
            </w:r>
          </w:p>
          <w:p w14:paraId="5F739FA6">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14、防护等级：IP68（1m,1h）</w:t>
            </w:r>
          </w:p>
          <w:p w14:paraId="66BC082B">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15、遥测终端防护能力：GB/T17626.2-2018</w:t>
            </w:r>
          </w:p>
          <w:p w14:paraId="764ED6F0">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16 、采用低功耗设计，大容量锂亚电池使用寿命长达5年；</w:t>
            </w:r>
          </w:p>
          <w:p w14:paraId="6EBE5D3B">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17、 采用先进的激光测量原理：响应快,不受甲烷以外的气体干扰影响，具有检测精度高、无误报等优点；</w:t>
            </w:r>
          </w:p>
          <w:p w14:paraId="630E06BF">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18、 NB-IoT/4G数据传输：免布线，安装简单，信号稳定。</w:t>
            </w:r>
          </w:p>
          <w:p w14:paraId="535871EA">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19、支持水浸、北斗定位功能。</w:t>
            </w:r>
          </w:p>
        </w:tc>
        <w:tc>
          <w:tcPr>
            <w:tcW w:w="526" w:type="dxa"/>
            <w:noWrap w:val="0"/>
            <w:vAlign w:val="center"/>
          </w:tcPr>
          <w:p w14:paraId="2BCC082E">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套</w:t>
            </w:r>
          </w:p>
        </w:tc>
        <w:tc>
          <w:tcPr>
            <w:tcW w:w="623" w:type="dxa"/>
            <w:noWrap/>
            <w:vAlign w:val="center"/>
          </w:tcPr>
          <w:p w14:paraId="0F64833C">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11</w:t>
            </w:r>
          </w:p>
        </w:tc>
        <w:tc>
          <w:tcPr>
            <w:tcW w:w="992" w:type="dxa"/>
            <w:noWrap w:val="0"/>
            <w:vAlign w:val="center"/>
          </w:tcPr>
          <w:p w14:paraId="6BA44AED">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　</w:t>
            </w:r>
          </w:p>
        </w:tc>
      </w:tr>
      <w:tr w14:paraId="79ADA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509" w:type="dxa"/>
            <w:noWrap/>
            <w:vAlign w:val="center"/>
          </w:tcPr>
          <w:p w14:paraId="5C09F162">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2</w:t>
            </w:r>
          </w:p>
        </w:tc>
        <w:tc>
          <w:tcPr>
            <w:tcW w:w="911" w:type="dxa"/>
            <w:vMerge w:val="continue"/>
            <w:noWrap w:val="0"/>
            <w:vAlign w:val="center"/>
          </w:tcPr>
          <w:p w14:paraId="6604CCF0">
            <w:pPr>
              <w:widowControl/>
              <w:wordWrap w:val="0"/>
              <w:autoSpaceDE/>
              <w:autoSpaceDN/>
              <w:jc w:val="left"/>
              <w:rPr>
                <w:rFonts w:hint="eastAsia" w:ascii="黑体" w:hAnsi="黑体" w:eastAsia="黑体" w:cs="黑体"/>
                <w:color w:val="auto"/>
                <w:kern w:val="0"/>
                <w:sz w:val="21"/>
                <w:szCs w:val="21"/>
                <w:highlight w:val="none"/>
                <w:lang w:eastAsia="zh-CN"/>
              </w:rPr>
            </w:pPr>
          </w:p>
        </w:tc>
        <w:tc>
          <w:tcPr>
            <w:tcW w:w="2125" w:type="dxa"/>
            <w:noWrap w:val="0"/>
            <w:vAlign w:val="center"/>
          </w:tcPr>
          <w:p w14:paraId="388A5966">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燃气泄漏监测仪施工安装</w:t>
            </w:r>
          </w:p>
        </w:tc>
        <w:tc>
          <w:tcPr>
            <w:tcW w:w="3670" w:type="dxa"/>
            <w:noWrap w:val="0"/>
            <w:vAlign w:val="center"/>
          </w:tcPr>
          <w:p w14:paraId="631455E4">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协调开井、壁内安装、设备调试等</w:t>
            </w:r>
          </w:p>
        </w:tc>
        <w:tc>
          <w:tcPr>
            <w:tcW w:w="526" w:type="dxa"/>
            <w:noWrap w:val="0"/>
            <w:vAlign w:val="center"/>
          </w:tcPr>
          <w:p w14:paraId="7431DBFA">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套</w:t>
            </w:r>
          </w:p>
        </w:tc>
        <w:tc>
          <w:tcPr>
            <w:tcW w:w="623" w:type="dxa"/>
            <w:noWrap/>
            <w:vAlign w:val="center"/>
          </w:tcPr>
          <w:p w14:paraId="2FBE0B60">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11</w:t>
            </w:r>
          </w:p>
        </w:tc>
        <w:tc>
          <w:tcPr>
            <w:tcW w:w="992" w:type="dxa"/>
            <w:noWrap w:val="0"/>
            <w:vAlign w:val="center"/>
          </w:tcPr>
          <w:p w14:paraId="08041B29">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　</w:t>
            </w:r>
          </w:p>
        </w:tc>
      </w:tr>
      <w:tr w14:paraId="333F8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509" w:type="dxa"/>
            <w:shd w:val="clear" w:color="auto" w:fill="auto"/>
            <w:noWrap/>
            <w:vAlign w:val="center"/>
          </w:tcPr>
          <w:p w14:paraId="15A24A2F">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3</w:t>
            </w:r>
          </w:p>
        </w:tc>
        <w:tc>
          <w:tcPr>
            <w:tcW w:w="911" w:type="dxa"/>
            <w:vMerge w:val="restart"/>
            <w:shd w:val="clear" w:color="auto" w:fill="auto"/>
            <w:noWrap/>
            <w:vAlign w:val="center"/>
          </w:tcPr>
          <w:p w14:paraId="1BA12FF4">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供水管网监测</w:t>
            </w:r>
          </w:p>
        </w:tc>
        <w:tc>
          <w:tcPr>
            <w:tcW w:w="2125" w:type="dxa"/>
            <w:shd w:val="clear" w:color="auto" w:fill="auto"/>
            <w:noWrap w:val="0"/>
            <w:vAlign w:val="center"/>
          </w:tcPr>
          <w:p w14:paraId="7219F972">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电磁流量计（插入式）</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（110-500管径）</w:t>
            </w:r>
          </w:p>
        </w:tc>
        <w:tc>
          <w:tcPr>
            <w:tcW w:w="3670" w:type="dxa"/>
            <w:shd w:val="clear" w:color="000000" w:fill="FFFFFF"/>
            <w:noWrap w:val="0"/>
            <w:vAlign w:val="center"/>
          </w:tcPr>
          <w:p w14:paraId="7E734039">
            <w:pPr>
              <w:widowControl/>
              <w:tabs>
                <w:tab w:val="left" w:pos="312"/>
              </w:tabs>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1、公称通径：</w:t>
            </w:r>
          </w:p>
          <w:p w14:paraId="1666CE9A">
            <w:pPr>
              <w:widowControl/>
              <w:tabs>
                <w:tab w:val="left" w:pos="312"/>
              </w:tabs>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DN100~DN400、DN400~DN600DN600~DN900、DN900以上</w:t>
            </w:r>
          </w:p>
          <w:p w14:paraId="134AA6A2">
            <w:pPr>
              <w:widowControl/>
              <w:tabs>
                <w:tab w:val="left" w:pos="312"/>
              </w:tabs>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2、通信方式：4G；</w:t>
            </w:r>
          </w:p>
          <w:p w14:paraId="7B5B6E31">
            <w:pPr>
              <w:widowControl/>
              <w:tabs>
                <w:tab w:val="left" w:pos="312"/>
              </w:tabs>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3、通信协议：MQTT或TCP/IP；</w:t>
            </w:r>
          </w:p>
          <w:p w14:paraId="4CE63756">
            <w:pPr>
              <w:widowControl/>
              <w:tabs>
                <w:tab w:val="left" w:pos="312"/>
              </w:tabs>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4、供电方式：电池供电不少于3年；</w:t>
            </w:r>
          </w:p>
          <w:p w14:paraId="46103BD7">
            <w:pPr>
              <w:widowControl/>
              <w:tabs>
                <w:tab w:val="left" w:pos="312"/>
              </w:tabs>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 xml:space="preserve">5、电池容量:不低于ER341245,3.6V,152Ah </w:t>
            </w:r>
          </w:p>
          <w:p w14:paraId="298F2B13">
            <w:pPr>
              <w:widowControl/>
              <w:tabs>
                <w:tab w:val="left" w:pos="312"/>
              </w:tabs>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6、公称压力：1.6Mpa；</w:t>
            </w:r>
          </w:p>
          <w:p w14:paraId="66D53A4C">
            <w:pPr>
              <w:widowControl/>
              <w:tabs>
                <w:tab w:val="left" w:pos="312"/>
              </w:tabs>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7、测量量程：0.5～5m/s；</w:t>
            </w:r>
          </w:p>
          <w:p w14:paraId="698ED0EA">
            <w:pPr>
              <w:widowControl/>
              <w:tabs>
                <w:tab w:val="left" w:pos="312"/>
              </w:tabs>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8、精度：±2%FS</w:t>
            </w:r>
          </w:p>
          <w:p w14:paraId="1D5A1F64">
            <w:pPr>
              <w:widowControl/>
              <w:tabs>
                <w:tab w:val="left" w:pos="312"/>
              </w:tabs>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9、防护等级：IP68(主机)/IP65(传感器)</w:t>
            </w:r>
          </w:p>
          <w:p w14:paraId="66ED73BE">
            <w:pPr>
              <w:widowControl/>
              <w:tabs>
                <w:tab w:val="left" w:pos="312"/>
              </w:tabs>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10、具备远程升级、远程配置、运维管理等；</w:t>
            </w:r>
          </w:p>
          <w:p w14:paraId="31948751">
            <w:pPr>
              <w:widowControl/>
              <w:tabs>
                <w:tab w:val="left" w:pos="312"/>
              </w:tabs>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11、具备电池组、采集传输终端等；</w:t>
            </w:r>
          </w:p>
          <w:p w14:paraId="3D22DAAB">
            <w:pPr>
              <w:widowControl/>
              <w:tabs>
                <w:tab w:val="left" w:pos="312"/>
              </w:tabs>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12、GNSS定位：北斗/GPS(可选)</w:t>
            </w:r>
          </w:p>
          <w:p w14:paraId="60F70964">
            <w:pPr>
              <w:widowControl/>
              <w:tabs>
                <w:tab w:val="left" w:pos="312"/>
              </w:tabs>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13、工作温度：主机-30~+70°C;传感器0~+60°C</w:t>
            </w:r>
          </w:p>
          <w:p w14:paraId="41BA26F3">
            <w:pPr>
              <w:widowControl/>
              <w:tabs>
                <w:tab w:val="left" w:pos="312"/>
              </w:tabs>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14、遥测终端防护能力：GB/T17626.2-2018《电磁兼容 试验和测量技术静电放电抗扰度试验》</w:t>
            </w:r>
          </w:p>
          <w:p w14:paraId="50050E96">
            <w:pPr>
              <w:widowControl/>
              <w:tabs>
                <w:tab w:val="left" w:pos="312"/>
              </w:tabs>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15、采用低功耗设计，电池使用寿命长，性能稳定;流量高精度、长期稳定性好;</w:t>
            </w:r>
          </w:p>
          <w:p w14:paraId="191E21B2">
            <w:pPr>
              <w:widowControl/>
              <w:tabs>
                <w:tab w:val="left" w:pos="312"/>
              </w:tabs>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16、无线数据传输，免布线，安装简单，信号稳定;</w:t>
            </w:r>
          </w:p>
          <w:p w14:paraId="588C3DB5">
            <w:pPr>
              <w:widowControl/>
              <w:tabs>
                <w:tab w:val="left" w:pos="312"/>
              </w:tabs>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17、本地数据保存及支持断点续传功能，多重数据安全保障。</w:t>
            </w:r>
          </w:p>
        </w:tc>
        <w:tc>
          <w:tcPr>
            <w:tcW w:w="526" w:type="dxa"/>
            <w:noWrap w:val="0"/>
            <w:vAlign w:val="center"/>
          </w:tcPr>
          <w:p w14:paraId="2F8CF325">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套</w:t>
            </w:r>
          </w:p>
        </w:tc>
        <w:tc>
          <w:tcPr>
            <w:tcW w:w="623" w:type="dxa"/>
            <w:noWrap/>
            <w:vAlign w:val="center"/>
          </w:tcPr>
          <w:p w14:paraId="71909712">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26</w:t>
            </w:r>
          </w:p>
        </w:tc>
        <w:tc>
          <w:tcPr>
            <w:tcW w:w="992" w:type="dxa"/>
            <w:noWrap w:val="0"/>
            <w:vAlign w:val="center"/>
          </w:tcPr>
          <w:p w14:paraId="3C927792">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　</w:t>
            </w:r>
          </w:p>
        </w:tc>
      </w:tr>
      <w:tr w14:paraId="01020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509" w:type="dxa"/>
            <w:noWrap/>
            <w:vAlign w:val="center"/>
          </w:tcPr>
          <w:p w14:paraId="4E07CEE0">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4</w:t>
            </w:r>
          </w:p>
        </w:tc>
        <w:tc>
          <w:tcPr>
            <w:tcW w:w="911" w:type="dxa"/>
            <w:vMerge w:val="continue"/>
            <w:noWrap w:val="0"/>
            <w:vAlign w:val="center"/>
          </w:tcPr>
          <w:p w14:paraId="45D17DFC">
            <w:pPr>
              <w:widowControl/>
              <w:wordWrap w:val="0"/>
              <w:autoSpaceDE/>
              <w:autoSpaceDN/>
              <w:jc w:val="left"/>
              <w:rPr>
                <w:rFonts w:hint="eastAsia" w:ascii="黑体" w:hAnsi="黑体" w:eastAsia="黑体" w:cs="黑体"/>
                <w:color w:val="auto"/>
                <w:kern w:val="0"/>
                <w:sz w:val="21"/>
                <w:szCs w:val="21"/>
                <w:highlight w:val="none"/>
                <w:lang w:eastAsia="zh-CN"/>
              </w:rPr>
            </w:pPr>
          </w:p>
        </w:tc>
        <w:tc>
          <w:tcPr>
            <w:tcW w:w="2125" w:type="dxa"/>
            <w:noWrap w:val="0"/>
            <w:vAlign w:val="center"/>
          </w:tcPr>
          <w:p w14:paraId="7C6B8476">
            <w:pPr>
              <w:widowControl/>
              <w:wordWrap w:val="0"/>
              <w:autoSpaceDE/>
              <w:autoSpaceDN/>
              <w:jc w:val="center"/>
              <w:rPr>
                <w:rFonts w:hint="default" w:ascii="黑体" w:hAnsi="黑体" w:eastAsia="黑体" w:cs="黑体"/>
                <w:color w:val="auto"/>
                <w:kern w:val="0"/>
                <w:sz w:val="21"/>
                <w:szCs w:val="21"/>
                <w:highlight w:val="none"/>
                <w:lang w:val="en-US" w:eastAsia="zh-CN"/>
              </w:rPr>
            </w:pPr>
            <w:r>
              <w:rPr>
                <w:rFonts w:hint="eastAsia" w:ascii="黑体" w:hAnsi="黑体" w:eastAsia="黑体" w:cs="黑体"/>
                <w:color w:val="auto"/>
                <w:kern w:val="0"/>
                <w:sz w:val="21"/>
                <w:szCs w:val="21"/>
                <w:highlight w:val="none"/>
                <w:lang w:val="en-US" w:eastAsia="zh-CN"/>
              </w:rPr>
              <w:t>无线</w:t>
            </w:r>
            <w:r>
              <w:rPr>
                <w:rFonts w:hint="eastAsia" w:ascii="黑体" w:hAnsi="黑体" w:eastAsia="黑体" w:cs="黑体"/>
                <w:color w:val="auto"/>
                <w:kern w:val="0"/>
                <w:sz w:val="21"/>
                <w:szCs w:val="21"/>
                <w:highlight w:val="none"/>
                <w:lang w:eastAsia="zh-CN"/>
              </w:rPr>
              <w:t>压力计</w:t>
            </w:r>
            <w:r>
              <w:rPr>
                <w:rFonts w:hint="eastAsia" w:ascii="黑体" w:hAnsi="黑体" w:eastAsia="黑体" w:cs="黑体"/>
                <w:color w:val="auto"/>
                <w:kern w:val="0"/>
                <w:sz w:val="21"/>
                <w:szCs w:val="21"/>
                <w:highlight w:val="none"/>
                <w:lang w:val="en-US" w:eastAsia="zh-CN"/>
              </w:rPr>
              <w:t>传感器</w:t>
            </w:r>
          </w:p>
        </w:tc>
        <w:tc>
          <w:tcPr>
            <w:tcW w:w="3670" w:type="dxa"/>
            <w:noWrap w:val="0"/>
            <w:vAlign w:val="center"/>
          </w:tcPr>
          <w:p w14:paraId="64B1E0A7">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1、测量量程：0-1.6Mpa；</w:t>
            </w:r>
          </w:p>
          <w:p w14:paraId="32FE20B2">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2、测量精度：±0.5%FS；</w:t>
            </w:r>
          </w:p>
          <w:p w14:paraId="6B990FDF">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3、输出方式：4-20mA或RS485通信；</w:t>
            </w:r>
          </w:p>
          <w:p w14:paraId="046ED66F">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4、防护等级：IP68；</w:t>
            </w:r>
          </w:p>
          <w:p w14:paraId="4D3F60E0">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5、工作温度：0~60℃；</w:t>
            </w:r>
          </w:p>
          <w:p w14:paraId="7102E137">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6、卓越的防爆性以及抗冲击、抗过载、抗振动、耐腐蚀；</w:t>
            </w:r>
          </w:p>
          <w:p w14:paraId="06BC454D">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7、高效防雷击、强抗射频和电磁干扰保护；</w:t>
            </w:r>
          </w:p>
          <w:p w14:paraId="3556D8FA">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 xml:space="preserve"> 8、 先进的温度数字补偿功能，工作温度范围宽；</w:t>
            </w:r>
          </w:p>
          <w:p w14:paraId="70259F09">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9、具有本地和远程参数（零点、量程）调校功能；</w:t>
            </w:r>
          </w:p>
        </w:tc>
        <w:tc>
          <w:tcPr>
            <w:tcW w:w="526" w:type="dxa"/>
            <w:noWrap w:val="0"/>
            <w:vAlign w:val="center"/>
          </w:tcPr>
          <w:p w14:paraId="4E3D1E4C">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套</w:t>
            </w:r>
          </w:p>
        </w:tc>
        <w:tc>
          <w:tcPr>
            <w:tcW w:w="623" w:type="dxa"/>
            <w:noWrap/>
            <w:vAlign w:val="center"/>
          </w:tcPr>
          <w:p w14:paraId="310946DB">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12</w:t>
            </w:r>
          </w:p>
        </w:tc>
        <w:tc>
          <w:tcPr>
            <w:tcW w:w="992" w:type="dxa"/>
            <w:noWrap w:val="0"/>
            <w:vAlign w:val="center"/>
          </w:tcPr>
          <w:p w14:paraId="39D92B9D">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　</w:t>
            </w:r>
          </w:p>
        </w:tc>
      </w:tr>
      <w:tr w14:paraId="629C4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509" w:type="dxa"/>
            <w:noWrap/>
            <w:vAlign w:val="center"/>
          </w:tcPr>
          <w:p w14:paraId="49FB9005">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5</w:t>
            </w:r>
          </w:p>
        </w:tc>
        <w:tc>
          <w:tcPr>
            <w:tcW w:w="911" w:type="dxa"/>
            <w:vMerge w:val="continue"/>
            <w:noWrap w:val="0"/>
            <w:vAlign w:val="center"/>
          </w:tcPr>
          <w:p w14:paraId="70B19C2F">
            <w:pPr>
              <w:widowControl/>
              <w:wordWrap w:val="0"/>
              <w:autoSpaceDE/>
              <w:autoSpaceDN/>
              <w:jc w:val="left"/>
              <w:rPr>
                <w:rFonts w:hint="eastAsia" w:ascii="黑体" w:hAnsi="黑体" w:eastAsia="黑体" w:cs="黑体"/>
                <w:color w:val="auto"/>
                <w:kern w:val="0"/>
                <w:sz w:val="21"/>
                <w:szCs w:val="21"/>
                <w:highlight w:val="none"/>
                <w:lang w:eastAsia="zh-CN"/>
              </w:rPr>
            </w:pPr>
          </w:p>
        </w:tc>
        <w:tc>
          <w:tcPr>
            <w:tcW w:w="2125" w:type="dxa"/>
            <w:noWrap w:val="0"/>
            <w:vAlign w:val="center"/>
          </w:tcPr>
          <w:p w14:paraId="7EB60DC2">
            <w:pPr>
              <w:widowControl/>
              <w:wordWrap w:val="0"/>
              <w:autoSpaceDE/>
              <w:autoSpaceDN/>
              <w:jc w:val="center"/>
              <w:rPr>
                <w:rFonts w:hint="eastAsia" w:ascii="黑体" w:hAnsi="黑体" w:eastAsia="黑体" w:cs="黑体"/>
                <w:color w:val="auto"/>
                <w:kern w:val="0"/>
                <w:sz w:val="21"/>
                <w:szCs w:val="21"/>
                <w:highlight w:val="none"/>
                <w:lang w:eastAsia="zh-CN"/>
              </w:rPr>
            </w:pPr>
            <w:r>
              <w:rPr>
                <w:rFonts w:ascii="黑体" w:hAnsi="黑体" w:eastAsia="黑体" w:cs="黑体"/>
                <w:color w:val="auto"/>
                <w:kern w:val="0"/>
                <w:sz w:val="21"/>
                <w:szCs w:val="21"/>
                <w:highlight w:val="none"/>
                <w:lang w:eastAsia="zh-CN"/>
              </w:rPr>
              <w:t>遥测终端机</w:t>
            </w:r>
          </w:p>
        </w:tc>
        <w:tc>
          <w:tcPr>
            <w:tcW w:w="3670" w:type="dxa"/>
            <w:noWrap w:val="0"/>
            <w:vAlign w:val="center"/>
          </w:tcPr>
          <w:p w14:paraId="2C0E8794">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传输方式：NB-IoT</w:t>
            </w:r>
          </w:p>
          <w:p w14:paraId="5712995E">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1、电池容量：3.6V 38Ah</w:t>
            </w:r>
          </w:p>
          <w:p w14:paraId="4A9D41BE">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2、电池寿命：5年（15分钟采样，24小时传输）</w:t>
            </w:r>
          </w:p>
          <w:p w14:paraId="59B4BD28">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3、防护等级：IP68（1m,1h）</w:t>
            </w:r>
          </w:p>
          <w:p w14:paraId="4F6BD58B">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4、遥测终端防护能力：GB/T17626.2-2018《电磁兼容 试验和测量技术静电放电抗扰度试验》</w:t>
            </w:r>
          </w:p>
        </w:tc>
        <w:tc>
          <w:tcPr>
            <w:tcW w:w="526" w:type="dxa"/>
            <w:noWrap w:val="0"/>
            <w:vAlign w:val="center"/>
          </w:tcPr>
          <w:p w14:paraId="68ADD2BB">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套</w:t>
            </w:r>
          </w:p>
        </w:tc>
        <w:tc>
          <w:tcPr>
            <w:tcW w:w="623" w:type="dxa"/>
            <w:noWrap/>
            <w:vAlign w:val="center"/>
          </w:tcPr>
          <w:p w14:paraId="1711AED8">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6</w:t>
            </w:r>
          </w:p>
        </w:tc>
        <w:tc>
          <w:tcPr>
            <w:tcW w:w="992" w:type="dxa"/>
            <w:noWrap w:val="0"/>
            <w:vAlign w:val="center"/>
          </w:tcPr>
          <w:p w14:paraId="7E83FEEF">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　</w:t>
            </w:r>
          </w:p>
        </w:tc>
      </w:tr>
      <w:tr w14:paraId="55069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509" w:type="dxa"/>
            <w:noWrap/>
            <w:vAlign w:val="center"/>
          </w:tcPr>
          <w:p w14:paraId="2D1CB761">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6</w:t>
            </w:r>
          </w:p>
        </w:tc>
        <w:tc>
          <w:tcPr>
            <w:tcW w:w="911" w:type="dxa"/>
            <w:vMerge w:val="continue"/>
            <w:noWrap w:val="0"/>
            <w:vAlign w:val="center"/>
          </w:tcPr>
          <w:p w14:paraId="03D568AF">
            <w:pPr>
              <w:widowControl/>
              <w:wordWrap w:val="0"/>
              <w:autoSpaceDE/>
              <w:autoSpaceDN/>
              <w:jc w:val="left"/>
              <w:rPr>
                <w:rFonts w:hint="eastAsia" w:ascii="黑体" w:hAnsi="黑体" w:eastAsia="黑体" w:cs="黑体"/>
                <w:color w:val="auto"/>
                <w:kern w:val="0"/>
                <w:sz w:val="21"/>
                <w:szCs w:val="21"/>
                <w:highlight w:val="none"/>
                <w:lang w:eastAsia="zh-CN"/>
              </w:rPr>
            </w:pPr>
          </w:p>
        </w:tc>
        <w:tc>
          <w:tcPr>
            <w:tcW w:w="2125" w:type="dxa"/>
            <w:noWrap w:val="0"/>
            <w:vAlign w:val="center"/>
          </w:tcPr>
          <w:p w14:paraId="62427143">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减压阀DN500</w:t>
            </w:r>
          </w:p>
        </w:tc>
        <w:tc>
          <w:tcPr>
            <w:tcW w:w="3670" w:type="dxa"/>
            <w:noWrap w:val="0"/>
            <w:vAlign w:val="center"/>
          </w:tcPr>
          <w:p w14:paraId="5CE13622">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连接方式：法兰；</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阀体材质：QT450；</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密封材质：EPDM；</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结构形式：膜片式；</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公称压力:1.0MPa。</w:t>
            </w:r>
          </w:p>
        </w:tc>
        <w:tc>
          <w:tcPr>
            <w:tcW w:w="526" w:type="dxa"/>
            <w:noWrap w:val="0"/>
            <w:vAlign w:val="center"/>
          </w:tcPr>
          <w:p w14:paraId="3EED3A2B">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套</w:t>
            </w:r>
          </w:p>
        </w:tc>
        <w:tc>
          <w:tcPr>
            <w:tcW w:w="623" w:type="dxa"/>
            <w:noWrap/>
            <w:vAlign w:val="center"/>
          </w:tcPr>
          <w:p w14:paraId="10DE5F30">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w:t>
            </w:r>
          </w:p>
        </w:tc>
        <w:tc>
          <w:tcPr>
            <w:tcW w:w="992" w:type="dxa"/>
            <w:noWrap w:val="0"/>
            <w:vAlign w:val="center"/>
          </w:tcPr>
          <w:p w14:paraId="2680E6E2">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　</w:t>
            </w:r>
          </w:p>
        </w:tc>
      </w:tr>
      <w:tr w14:paraId="26F79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509" w:type="dxa"/>
            <w:noWrap/>
            <w:vAlign w:val="center"/>
          </w:tcPr>
          <w:p w14:paraId="25BBB36B">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7</w:t>
            </w:r>
          </w:p>
        </w:tc>
        <w:tc>
          <w:tcPr>
            <w:tcW w:w="911" w:type="dxa"/>
            <w:vMerge w:val="continue"/>
            <w:noWrap w:val="0"/>
            <w:vAlign w:val="center"/>
          </w:tcPr>
          <w:p w14:paraId="44E03ACE">
            <w:pPr>
              <w:widowControl/>
              <w:wordWrap w:val="0"/>
              <w:autoSpaceDE/>
              <w:autoSpaceDN/>
              <w:jc w:val="left"/>
              <w:rPr>
                <w:rFonts w:hint="eastAsia" w:ascii="黑体" w:hAnsi="黑体" w:eastAsia="黑体" w:cs="黑体"/>
                <w:color w:val="auto"/>
                <w:kern w:val="0"/>
                <w:sz w:val="21"/>
                <w:szCs w:val="21"/>
                <w:highlight w:val="none"/>
                <w:lang w:eastAsia="zh-CN"/>
              </w:rPr>
            </w:pPr>
          </w:p>
        </w:tc>
        <w:tc>
          <w:tcPr>
            <w:tcW w:w="2125" w:type="dxa"/>
            <w:noWrap w:val="0"/>
            <w:vAlign w:val="center"/>
          </w:tcPr>
          <w:p w14:paraId="064579BB">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减压阀DN300</w:t>
            </w:r>
          </w:p>
        </w:tc>
        <w:tc>
          <w:tcPr>
            <w:tcW w:w="3670" w:type="dxa"/>
            <w:noWrap w:val="0"/>
            <w:vAlign w:val="center"/>
          </w:tcPr>
          <w:p w14:paraId="48532A64">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连接方式：法兰；</w:t>
            </w:r>
            <w:r>
              <w:rPr>
                <w:rFonts w:hint="eastAsia" w:ascii="黑体" w:hAnsi="黑体" w:eastAsia="黑体" w:cs="黑体"/>
                <w:color w:val="auto"/>
                <w:kern w:val="0"/>
                <w:sz w:val="21"/>
                <w:szCs w:val="21"/>
                <w:highlight w:val="none"/>
                <w:lang w:eastAsia="zh-CN"/>
              </w:rPr>
              <w:br w:type="page"/>
            </w:r>
            <w:r>
              <w:rPr>
                <w:rFonts w:hint="eastAsia" w:ascii="黑体" w:hAnsi="黑体" w:eastAsia="黑体" w:cs="黑体"/>
                <w:color w:val="auto"/>
                <w:kern w:val="0"/>
                <w:sz w:val="21"/>
                <w:szCs w:val="21"/>
                <w:highlight w:val="none"/>
                <w:lang w:eastAsia="zh-CN"/>
              </w:rPr>
              <w:t>阀体材质：QT450；</w:t>
            </w:r>
            <w:r>
              <w:rPr>
                <w:rFonts w:hint="eastAsia" w:ascii="黑体" w:hAnsi="黑体" w:eastAsia="黑体" w:cs="黑体"/>
                <w:color w:val="auto"/>
                <w:kern w:val="0"/>
                <w:sz w:val="21"/>
                <w:szCs w:val="21"/>
                <w:highlight w:val="none"/>
                <w:lang w:eastAsia="zh-CN"/>
              </w:rPr>
              <w:br w:type="page"/>
            </w:r>
            <w:r>
              <w:rPr>
                <w:rFonts w:hint="eastAsia" w:ascii="黑体" w:hAnsi="黑体" w:eastAsia="黑体" w:cs="黑体"/>
                <w:color w:val="auto"/>
                <w:kern w:val="0"/>
                <w:sz w:val="21"/>
                <w:szCs w:val="21"/>
                <w:highlight w:val="none"/>
                <w:lang w:eastAsia="zh-CN"/>
              </w:rPr>
              <w:t>密封材质：EPDM；</w:t>
            </w:r>
            <w:r>
              <w:rPr>
                <w:rFonts w:hint="eastAsia" w:ascii="黑体" w:hAnsi="黑体" w:eastAsia="黑体" w:cs="黑体"/>
                <w:color w:val="auto"/>
                <w:kern w:val="0"/>
                <w:sz w:val="21"/>
                <w:szCs w:val="21"/>
                <w:highlight w:val="none"/>
                <w:lang w:eastAsia="zh-CN"/>
              </w:rPr>
              <w:br w:type="page"/>
            </w:r>
            <w:r>
              <w:rPr>
                <w:rFonts w:hint="eastAsia" w:ascii="黑体" w:hAnsi="黑体" w:eastAsia="黑体" w:cs="黑体"/>
                <w:color w:val="auto"/>
                <w:kern w:val="0"/>
                <w:sz w:val="21"/>
                <w:szCs w:val="21"/>
                <w:highlight w:val="none"/>
                <w:lang w:eastAsia="zh-CN"/>
              </w:rPr>
              <w:t>结构形式：膜片式；</w:t>
            </w:r>
            <w:r>
              <w:rPr>
                <w:rFonts w:hint="eastAsia" w:ascii="黑体" w:hAnsi="黑体" w:eastAsia="黑体" w:cs="黑体"/>
                <w:color w:val="auto"/>
                <w:kern w:val="0"/>
                <w:sz w:val="21"/>
                <w:szCs w:val="21"/>
                <w:highlight w:val="none"/>
                <w:lang w:eastAsia="zh-CN"/>
              </w:rPr>
              <w:br w:type="page"/>
            </w:r>
            <w:r>
              <w:rPr>
                <w:rFonts w:hint="eastAsia" w:ascii="黑体" w:hAnsi="黑体" w:eastAsia="黑体" w:cs="黑体"/>
                <w:color w:val="auto"/>
                <w:kern w:val="0"/>
                <w:sz w:val="21"/>
                <w:szCs w:val="21"/>
                <w:highlight w:val="none"/>
                <w:lang w:eastAsia="zh-CN"/>
              </w:rPr>
              <w:t>公称压力:1.0MPa。</w:t>
            </w:r>
          </w:p>
        </w:tc>
        <w:tc>
          <w:tcPr>
            <w:tcW w:w="526" w:type="dxa"/>
            <w:noWrap w:val="0"/>
            <w:vAlign w:val="center"/>
          </w:tcPr>
          <w:p w14:paraId="58CC3618">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套</w:t>
            </w:r>
          </w:p>
        </w:tc>
        <w:tc>
          <w:tcPr>
            <w:tcW w:w="623" w:type="dxa"/>
            <w:noWrap/>
            <w:vAlign w:val="center"/>
          </w:tcPr>
          <w:p w14:paraId="26A7F029">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4</w:t>
            </w:r>
          </w:p>
        </w:tc>
        <w:tc>
          <w:tcPr>
            <w:tcW w:w="992" w:type="dxa"/>
            <w:noWrap w:val="0"/>
            <w:vAlign w:val="center"/>
          </w:tcPr>
          <w:p w14:paraId="7A180638">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　</w:t>
            </w:r>
          </w:p>
        </w:tc>
      </w:tr>
      <w:tr w14:paraId="30963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509" w:type="dxa"/>
            <w:noWrap/>
            <w:vAlign w:val="center"/>
          </w:tcPr>
          <w:p w14:paraId="7EBEE63E">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8</w:t>
            </w:r>
          </w:p>
        </w:tc>
        <w:tc>
          <w:tcPr>
            <w:tcW w:w="911" w:type="dxa"/>
            <w:vMerge w:val="continue"/>
            <w:noWrap w:val="0"/>
            <w:vAlign w:val="center"/>
          </w:tcPr>
          <w:p w14:paraId="7D8F56BD">
            <w:pPr>
              <w:widowControl/>
              <w:wordWrap w:val="0"/>
              <w:autoSpaceDE/>
              <w:autoSpaceDN/>
              <w:jc w:val="left"/>
              <w:rPr>
                <w:rFonts w:hint="eastAsia" w:ascii="黑体" w:hAnsi="黑体" w:eastAsia="黑体" w:cs="黑体"/>
                <w:color w:val="auto"/>
                <w:kern w:val="0"/>
                <w:sz w:val="21"/>
                <w:szCs w:val="21"/>
                <w:highlight w:val="none"/>
                <w:lang w:eastAsia="zh-CN"/>
              </w:rPr>
            </w:pPr>
          </w:p>
        </w:tc>
        <w:tc>
          <w:tcPr>
            <w:tcW w:w="2125" w:type="dxa"/>
            <w:noWrap w:val="0"/>
            <w:vAlign w:val="center"/>
          </w:tcPr>
          <w:p w14:paraId="44D57180">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减压阀DN200</w:t>
            </w:r>
          </w:p>
        </w:tc>
        <w:tc>
          <w:tcPr>
            <w:tcW w:w="3670" w:type="dxa"/>
            <w:noWrap w:val="0"/>
            <w:vAlign w:val="center"/>
          </w:tcPr>
          <w:p w14:paraId="224A86CC">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连接方式：法兰；</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阀体材质：QT450；</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密封材质：EPDM；</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结构形式：膜片式；</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公称压力:1.0MPa。</w:t>
            </w:r>
          </w:p>
        </w:tc>
        <w:tc>
          <w:tcPr>
            <w:tcW w:w="526" w:type="dxa"/>
            <w:noWrap w:val="0"/>
            <w:vAlign w:val="center"/>
          </w:tcPr>
          <w:p w14:paraId="746BBF9B">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套</w:t>
            </w:r>
          </w:p>
        </w:tc>
        <w:tc>
          <w:tcPr>
            <w:tcW w:w="623" w:type="dxa"/>
            <w:noWrap/>
            <w:vAlign w:val="center"/>
          </w:tcPr>
          <w:p w14:paraId="77105C4F">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w:t>
            </w:r>
          </w:p>
        </w:tc>
        <w:tc>
          <w:tcPr>
            <w:tcW w:w="992" w:type="dxa"/>
            <w:noWrap w:val="0"/>
            <w:vAlign w:val="center"/>
          </w:tcPr>
          <w:p w14:paraId="18E5299D">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　</w:t>
            </w:r>
          </w:p>
        </w:tc>
      </w:tr>
      <w:tr w14:paraId="2BCA4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509" w:type="dxa"/>
            <w:noWrap/>
            <w:vAlign w:val="center"/>
          </w:tcPr>
          <w:p w14:paraId="6CDDEC93">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9</w:t>
            </w:r>
          </w:p>
        </w:tc>
        <w:tc>
          <w:tcPr>
            <w:tcW w:w="911" w:type="dxa"/>
            <w:vMerge w:val="continue"/>
            <w:noWrap w:val="0"/>
            <w:vAlign w:val="center"/>
          </w:tcPr>
          <w:p w14:paraId="2A210313">
            <w:pPr>
              <w:widowControl/>
              <w:wordWrap w:val="0"/>
              <w:autoSpaceDE/>
              <w:autoSpaceDN/>
              <w:jc w:val="left"/>
              <w:rPr>
                <w:rFonts w:hint="eastAsia" w:ascii="黑体" w:hAnsi="黑体" w:eastAsia="黑体" w:cs="黑体"/>
                <w:color w:val="auto"/>
                <w:kern w:val="0"/>
                <w:sz w:val="21"/>
                <w:szCs w:val="21"/>
                <w:highlight w:val="none"/>
                <w:lang w:eastAsia="zh-CN"/>
              </w:rPr>
            </w:pPr>
          </w:p>
        </w:tc>
        <w:tc>
          <w:tcPr>
            <w:tcW w:w="2125" w:type="dxa"/>
            <w:noWrap w:val="0"/>
            <w:vAlign w:val="center"/>
          </w:tcPr>
          <w:p w14:paraId="511177B8">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供水管网感知设备施工安装</w:t>
            </w:r>
          </w:p>
        </w:tc>
        <w:tc>
          <w:tcPr>
            <w:tcW w:w="3670" w:type="dxa"/>
            <w:noWrap w:val="0"/>
            <w:vAlign w:val="center"/>
          </w:tcPr>
          <w:p w14:paraId="6EBCFCD6">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协调开井、壁内安装、设备调试等</w:t>
            </w:r>
          </w:p>
        </w:tc>
        <w:tc>
          <w:tcPr>
            <w:tcW w:w="526" w:type="dxa"/>
            <w:noWrap w:val="0"/>
            <w:vAlign w:val="center"/>
          </w:tcPr>
          <w:p w14:paraId="15F8BDB2">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套</w:t>
            </w:r>
          </w:p>
        </w:tc>
        <w:tc>
          <w:tcPr>
            <w:tcW w:w="623" w:type="dxa"/>
            <w:noWrap/>
            <w:vAlign w:val="center"/>
          </w:tcPr>
          <w:p w14:paraId="03AF943A">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50</w:t>
            </w:r>
          </w:p>
        </w:tc>
        <w:tc>
          <w:tcPr>
            <w:tcW w:w="992" w:type="dxa"/>
            <w:noWrap w:val="0"/>
            <w:vAlign w:val="center"/>
          </w:tcPr>
          <w:p w14:paraId="50208538">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　</w:t>
            </w:r>
          </w:p>
        </w:tc>
      </w:tr>
      <w:tr w14:paraId="0D389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509" w:type="dxa"/>
            <w:noWrap/>
            <w:vAlign w:val="center"/>
          </w:tcPr>
          <w:p w14:paraId="21A4CD02">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10</w:t>
            </w:r>
          </w:p>
        </w:tc>
        <w:tc>
          <w:tcPr>
            <w:tcW w:w="911" w:type="dxa"/>
            <w:vMerge w:val="restart"/>
            <w:noWrap/>
            <w:vAlign w:val="center"/>
          </w:tcPr>
          <w:p w14:paraId="34765448">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排水管网监测</w:t>
            </w:r>
          </w:p>
        </w:tc>
        <w:tc>
          <w:tcPr>
            <w:tcW w:w="2125" w:type="dxa"/>
            <w:noWrap w:val="0"/>
            <w:vAlign w:val="center"/>
          </w:tcPr>
          <w:p w14:paraId="4BA36672">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窨井水位计（雷达+压力计 ）</w:t>
            </w:r>
          </w:p>
        </w:tc>
        <w:tc>
          <w:tcPr>
            <w:tcW w:w="3670" w:type="dxa"/>
            <w:noWrap w:val="0"/>
            <w:vAlign w:val="center"/>
          </w:tcPr>
          <w:p w14:paraId="7969D5CA">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雷达液位参数：</w:t>
            </w:r>
          </w:p>
          <w:p w14:paraId="21FD29F4">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1、测量范围：0.1m~40m</w:t>
            </w:r>
          </w:p>
          <w:p w14:paraId="4B5C35F1">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2、测量精度：±1mm</w:t>
            </w:r>
          </w:p>
          <w:p w14:paraId="09FCF837">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3、供电范围 ：电池供电，不低于三年</w:t>
            </w:r>
          </w:p>
          <w:p w14:paraId="0F668D22">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5、通讯方式：RS485，4~20mA</w:t>
            </w:r>
          </w:p>
          <w:p w14:paraId="594E0362">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 xml:space="preserve">4、工作温度：-30~75℃ </w:t>
            </w:r>
          </w:p>
          <w:p w14:paraId="5EFA945A">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 xml:space="preserve">5、外壳材质：不锈钢/PP </w:t>
            </w:r>
          </w:p>
          <w:p w14:paraId="5F5FA8AE">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 xml:space="preserve">6、天线类型：透镜天线 </w:t>
            </w:r>
          </w:p>
          <w:p w14:paraId="0A0CFE5D">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7、防护等级：IP68</w:t>
            </w:r>
          </w:p>
          <w:p w14:paraId="596FBA88">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8、安装方式：支架/螺纹</w:t>
            </w:r>
          </w:p>
          <w:p w14:paraId="17ED21ED">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9、毫米波射频芯片，实现更紧凑的射频架构，更高的信噪比，盲区小至10cm；</w:t>
            </w:r>
          </w:p>
          <w:p w14:paraId="58FC6F44">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 xml:space="preserve"> 10、 5GHz 工作带宽，使产品拥有更高的测量分辨率与测量精度；</w:t>
            </w:r>
          </w:p>
          <w:p w14:paraId="361653F5">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 xml:space="preserve"> 11、最窄 6°天线波束角，安装环境中的干扰对仪表的影响更小，安装更为便捷；</w:t>
            </w:r>
          </w:p>
          <w:p w14:paraId="51DE0376">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 xml:space="preserve"> 12、 一体化透镜设计，体积精巧。</w:t>
            </w:r>
          </w:p>
          <w:p w14:paraId="5ED255F9">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13、核心液位部件：雷达液位传感器须提供盐雾试验报告</w:t>
            </w:r>
          </w:p>
          <w:p w14:paraId="5C3418B3">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投入式液位参数：量程：0-10米</w:t>
            </w:r>
          </w:p>
          <w:p w14:paraId="381B9A19">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1、量程：0~1m...10m</w:t>
            </w:r>
          </w:p>
          <w:p w14:paraId="60F09E1E">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2、精度：±0.5%FS</w:t>
            </w:r>
          </w:p>
          <w:p w14:paraId="58ABD0EB">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3、传输方式：NB-IoT</w:t>
            </w:r>
          </w:p>
          <w:p w14:paraId="7A994E6C">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4、工作温度：-30~60℃</w:t>
            </w:r>
          </w:p>
          <w:p w14:paraId="2661978E">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5、防护等级 IP68</w:t>
            </w:r>
          </w:p>
          <w:p w14:paraId="768E112C">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6、低功耗设计；</w:t>
            </w:r>
          </w:p>
          <w:p w14:paraId="33D2DC74">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7、 防潮、防结露、防渗漏、触液部件防护等级IP68；</w:t>
            </w:r>
          </w:p>
          <w:p w14:paraId="14C8BF4A">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8、卓越的抗冲击、抗过载、抗振动、耐腐蚀；</w:t>
            </w:r>
          </w:p>
          <w:p w14:paraId="3A10B810">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 xml:space="preserve"> 9、内置看门狗提升产品稳定性能；</w:t>
            </w:r>
          </w:p>
          <w:p w14:paraId="080C2B66">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10、 具备无线远程固件升级功能，方便固件升级，远程维护</w:t>
            </w:r>
          </w:p>
          <w:p w14:paraId="3987D227">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终端主机</w:t>
            </w:r>
          </w:p>
          <w:p w14:paraId="2DE77B0E">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1、传输方式：4G；</w:t>
            </w:r>
          </w:p>
          <w:p w14:paraId="142B1B99">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2、供电方式：电池供电，不低于3年</w:t>
            </w:r>
          </w:p>
          <w:p w14:paraId="2CADC14C">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3、防护等级：IP68；</w:t>
            </w:r>
          </w:p>
          <w:p w14:paraId="3FED831C">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4、放电电压:：接触放电±8kV 空气放电:+15kV</w:t>
            </w:r>
          </w:p>
          <w:p w14:paraId="705880D5">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5、放电次数:每个点至少正负极性各10次</w:t>
            </w:r>
          </w:p>
          <w:p w14:paraId="14CDC6BE">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6、放电模式:单个放电，间隔1s</w:t>
            </w:r>
          </w:p>
          <w:p w14:paraId="49E49383">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7、遥测终端防护能力GB/T17626.2-2018《电磁兼容 试验和测量技术静电放电抗扰度试验》</w:t>
            </w:r>
          </w:p>
        </w:tc>
        <w:tc>
          <w:tcPr>
            <w:tcW w:w="526" w:type="dxa"/>
            <w:noWrap w:val="0"/>
            <w:vAlign w:val="center"/>
          </w:tcPr>
          <w:p w14:paraId="506B574E">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套</w:t>
            </w:r>
          </w:p>
        </w:tc>
        <w:tc>
          <w:tcPr>
            <w:tcW w:w="623" w:type="dxa"/>
            <w:noWrap/>
            <w:vAlign w:val="center"/>
          </w:tcPr>
          <w:p w14:paraId="2F6D0E21">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20</w:t>
            </w:r>
          </w:p>
        </w:tc>
        <w:tc>
          <w:tcPr>
            <w:tcW w:w="992" w:type="dxa"/>
            <w:noWrap w:val="0"/>
            <w:vAlign w:val="center"/>
          </w:tcPr>
          <w:p w14:paraId="615BCC04">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　</w:t>
            </w:r>
          </w:p>
        </w:tc>
      </w:tr>
      <w:tr w14:paraId="699CF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509" w:type="dxa"/>
            <w:shd w:val="clear" w:color="auto" w:fill="auto"/>
            <w:noWrap/>
            <w:vAlign w:val="center"/>
          </w:tcPr>
          <w:p w14:paraId="32159773">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11</w:t>
            </w:r>
          </w:p>
        </w:tc>
        <w:tc>
          <w:tcPr>
            <w:tcW w:w="911" w:type="dxa"/>
            <w:vMerge w:val="continue"/>
            <w:shd w:val="clear" w:color="auto" w:fill="auto"/>
            <w:noWrap w:val="0"/>
            <w:vAlign w:val="center"/>
          </w:tcPr>
          <w:p w14:paraId="3A8B231C">
            <w:pPr>
              <w:widowControl/>
              <w:wordWrap w:val="0"/>
              <w:autoSpaceDE/>
              <w:autoSpaceDN/>
              <w:jc w:val="left"/>
              <w:rPr>
                <w:rFonts w:hint="eastAsia" w:ascii="黑体" w:hAnsi="黑体" w:eastAsia="黑体" w:cs="黑体"/>
                <w:color w:val="auto"/>
                <w:kern w:val="0"/>
                <w:sz w:val="21"/>
                <w:szCs w:val="21"/>
                <w:highlight w:val="none"/>
                <w:lang w:eastAsia="zh-CN"/>
              </w:rPr>
            </w:pPr>
          </w:p>
        </w:tc>
        <w:tc>
          <w:tcPr>
            <w:tcW w:w="2125" w:type="dxa"/>
            <w:shd w:val="clear" w:color="auto" w:fill="auto"/>
            <w:noWrap w:val="0"/>
            <w:vAlign w:val="center"/>
          </w:tcPr>
          <w:p w14:paraId="36150FC9">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水质+流量三合一检测仪（COD +氨氮|多普勒流量计|遥测终端机）</w:t>
            </w:r>
          </w:p>
        </w:tc>
        <w:tc>
          <w:tcPr>
            <w:tcW w:w="3670" w:type="dxa"/>
            <w:shd w:val="clear" w:color="000000" w:fill="FFFFFF"/>
            <w:noWrap w:val="0"/>
            <w:vAlign w:val="center"/>
          </w:tcPr>
          <w:p w14:paraId="7744FC41">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氨氮：</w:t>
            </w:r>
          </w:p>
          <w:p w14:paraId="64A90CCE">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1、量程：0~100.00mg/L；</w:t>
            </w:r>
          </w:p>
          <w:p w14:paraId="54BCD210">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2、分辨率： 0.01mg/L；</w:t>
            </w:r>
          </w:p>
          <w:p w14:paraId="1DA3F511">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3、防护等级：IP68；</w:t>
            </w:r>
          </w:p>
          <w:p w14:paraId="60D1C763">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4、氨氮传感器符合ISO/IEC17025:2017标准的要求，校准结果均可溯源至国际单位制(SI)单位。</w:t>
            </w:r>
          </w:p>
          <w:p w14:paraId="3EAEA0CE">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 xml:space="preserve">COD： </w:t>
            </w:r>
          </w:p>
          <w:p w14:paraId="0565C894">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1、量程 0-500mg/L；</w:t>
            </w:r>
          </w:p>
          <w:p w14:paraId="1F7C5F6B">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2、分辨率：0.1mg/L；</w:t>
            </w:r>
          </w:p>
          <w:p w14:paraId="2A20397E">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3、防护等级：IP68；</w:t>
            </w:r>
          </w:p>
          <w:p w14:paraId="7F67C14F">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4、COD传感器符合ISO/IEC17025:2017标准的要求，校准结果均可溯源至国际单位制(SI)单位。</w:t>
            </w:r>
          </w:p>
          <w:p w14:paraId="5FF5B40A">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多普勒流量计</w:t>
            </w:r>
          </w:p>
          <w:p w14:paraId="67C0F979">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1、测量量程：</w:t>
            </w:r>
          </w:p>
          <w:p w14:paraId="55C1C027">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2、流量 0~0.021m/s...10m/s</w:t>
            </w:r>
          </w:p>
          <w:p w14:paraId="2D141F52">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3、液位 0.02~10m</w:t>
            </w:r>
          </w:p>
          <w:p w14:paraId="6A5FA4F0">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4、温度 -40~70℃</w:t>
            </w:r>
          </w:p>
          <w:p w14:paraId="14BE6B98">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5、测量精度：流量 ±1%FS</w:t>
            </w:r>
          </w:p>
          <w:p w14:paraId="5EEAF06F">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6、液位 ±0.5%FS</w:t>
            </w:r>
          </w:p>
          <w:p w14:paraId="3D7DFF67">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7、电池容量 152Ah</w:t>
            </w:r>
          </w:p>
          <w:p w14:paraId="1880A9F2">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8、电池寿命 &gt;3年(15分钟采样，24小时传输)</w:t>
            </w:r>
          </w:p>
          <w:p w14:paraId="5201DEC0">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9、防护等级 IP68</w:t>
            </w:r>
          </w:p>
          <w:p w14:paraId="5E86A2DA">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10、工作温度 -40~+70℃(主机)/0~+60℃(传感器)</w:t>
            </w:r>
          </w:p>
          <w:p w14:paraId="352737F2">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终端机</w:t>
            </w:r>
          </w:p>
          <w:p w14:paraId="501D2C49">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1、传输方式：4G；</w:t>
            </w:r>
          </w:p>
          <w:p w14:paraId="2E4364D0">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2、供电方式：电池供电，不低于3年</w:t>
            </w:r>
          </w:p>
          <w:p w14:paraId="7D576EA4">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3、防护等级：IP68；</w:t>
            </w:r>
          </w:p>
          <w:p w14:paraId="710F64F1">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4、放电电压:：接触放电±8kV 空气放电:+15kV</w:t>
            </w:r>
          </w:p>
          <w:p w14:paraId="717BA73F">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5、放电次数:每个点至少正负极性各10次</w:t>
            </w:r>
          </w:p>
          <w:p w14:paraId="7DF6FBB1">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6、放电模式:单个放电，间隔1s</w:t>
            </w:r>
          </w:p>
        </w:tc>
        <w:tc>
          <w:tcPr>
            <w:tcW w:w="526" w:type="dxa"/>
            <w:noWrap w:val="0"/>
            <w:vAlign w:val="center"/>
          </w:tcPr>
          <w:p w14:paraId="061524C0">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套</w:t>
            </w:r>
          </w:p>
        </w:tc>
        <w:tc>
          <w:tcPr>
            <w:tcW w:w="623" w:type="dxa"/>
            <w:noWrap/>
            <w:vAlign w:val="center"/>
          </w:tcPr>
          <w:p w14:paraId="767A7CB0">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8</w:t>
            </w:r>
          </w:p>
        </w:tc>
        <w:tc>
          <w:tcPr>
            <w:tcW w:w="992" w:type="dxa"/>
            <w:noWrap w:val="0"/>
            <w:vAlign w:val="center"/>
          </w:tcPr>
          <w:p w14:paraId="5CD92ACF">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　</w:t>
            </w:r>
          </w:p>
        </w:tc>
      </w:tr>
      <w:tr w14:paraId="59D35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509" w:type="dxa"/>
            <w:noWrap/>
            <w:vAlign w:val="center"/>
          </w:tcPr>
          <w:p w14:paraId="0DEDAC13">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12</w:t>
            </w:r>
          </w:p>
        </w:tc>
        <w:tc>
          <w:tcPr>
            <w:tcW w:w="911" w:type="dxa"/>
            <w:vMerge w:val="continue"/>
            <w:noWrap w:val="0"/>
            <w:vAlign w:val="center"/>
          </w:tcPr>
          <w:p w14:paraId="2F6EDD1F">
            <w:pPr>
              <w:widowControl/>
              <w:wordWrap w:val="0"/>
              <w:autoSpaceDE/>
              <w:autoSpaceDN/>
              <w:jc w:val="left"/>
              <w:rPr>
                <w:rFonts w:hint="eastAsia" w:ascii="黑体" w:hAnsi="黑体" w:eastAsia="黑体" w:cs="黑体"/>
                <w:color w:val="auto"/>
                <w:kern w:val="0"/>
                <w:sz w:val="21"/>
                <w:szCs w:val="21"/>
                <w:highlight w:val="none"/>
                <w:lang w:eastAsia="zh-CN"/>
              </w:rPr>
            </w:pPr>
          </w:p>
        </w:tc>
        <w:tc>
          <w:tcPr>
            <w:tcW w:w="2125" w:type="dxa"/>
            <w:vMerge w:val="restart"/>
            <w:noWrap w:val="0"/>
            <w:vAlign w:val="center"/>
          </w:tcPr>
          <w:p w14:paraId="62EEA29E">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排水管网感知设备施工安装</w:t>
            </w:r>
          </w:p>
        </w:tc>
        <w:tc>
          <w:tcPr>
            <w:tcW w:w="3670" w:type="dxa"/>
            <w:noWrap w:val="0"/>
            <w:vAlign w:val="center"/>
          </w:tcPr>
          <w:p w14:paraId="4226C35C">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协调开井、壁内安装、设备调试等（水位计）</w:t>
            </w:r>
          </w:p>
        </w:tc>
        <w:tc>
          <w:tcPr>
            <w:tcW w:w="526" w:type="dxa"/>
            <w:noWrap w:val="0"/>
            <w:vAlign w:val="center"/>
          </w:tcPr>
          <w:p w14:paraId="3B39C9D1">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套</w:t>
            </w:r>
          </w:p>
        </w:tc>
        <w:tc>
          <w:tcPr>
            <w:tcW w:w="623" w:type="dxa"/>
            <w:noWrap/>
            <w:vAlign w:val="center"/>
          </w:tcPr>
          <w:p w14:paraId="6B9E9E82">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20</w:t>
            </w:r>
          </w:p>
        </w:tc>
        <w:tc>
          <w:tcPr>
            <w:tcW w:w="992" w:type="dxa"/>
            <w:noWrap w:val="0"/>
            <w:vAlign w:val="center"/>
          </w:tcPr>
          <w:p w14:paraId="07A52519">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　</w:t>
            </w:r>
          </w:p>
        </w:tc>
      </w:tr>
      <w:tr w14:paraId="5F575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509" w:type="dxa"/>
            <w:noWrap/>
            <w:vAlign w:val="center"/>
          </w:tcPr>
          <w:p w14:paraId="6A5EB0AB">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13</w:t>
            </w:r>
          </w:p>
        </w:tc>
        <w:tc>
          <w:tcPr>
            <w:tcW w:w="911" w:type="dxa"/>
            <w:vMerge w:val="continue"/>
            <w:noWrap w:val="0"/>
            <w:vAlign w:val="center"/>
          </w:tcPr>
          <w:p w14:paraId="2551D2D3">
            <w:pPr>
              <w:widowControl/>
              <w:wordWrap w:val="0"/>
              <w:autoSpaceDE/>
              <w:autoSpaceDN/>
              <w:jc w:val="left"/>
              <w:rPr>
                <w:rFonts w:hint="eastAsia" w:ascii="黑体" w:hAnsi="黑体" w:eastAsia="黑体" w:cs="黑体"/>
                <w:color w:val="auto"/>
                <w:kern w:val="0"/>
                <w:sz w:val="21"/>
                <w:szCs w:val="21"/>
                <w:highlight w:val="none"/>
                <w:lang w:eastAsia="zh-CN"/>
              </w:rPr>
            </w:pPr>
          </w:p>
        </w:tc>
        <w:tc>
          <w:tcPr>
            <w:tcW w:w="2125" w:type="dxa"/>
            <w:vMerge w:val="continue"/>
            <w:noWrap w:val="0"/>
            <w:vAlign w:val="center"/>
          </w:tcPr>
          <w:p w14:paraId="463C9541">
            <w:pPr>
              <w:widowControl/>
              <w:wordWrap w:val="0"/>
              <w:autoSpaceDE/>
              <w:autoSpaceDN/>
              <w:jc w:val="left"/>
              <w:rPr>
                <w:rFonts w:hint="eastAsia" w:ascii="黑体" w:hAnsi="黑体" w:eastAsia="黑体" w:cs="黑体"/>
                <w:color w:val="auto"/>
                <w:kern w:val="0"/>
                <w:sz w:val="21"/>
                <w:szCs w:val="21"/>
                <w:highlight w:val="none"/>
                <w:lang w:eastAsia="zh-CN"/>
              </w:rPr>
            </w:pPr>
          </w:p>
        </w:tc>
        <w:tc>
          <w:tcPr>
            <w:tcW w:w="3670" w:type="dxa"/>
            <w:noWrap w:val="0"/>
            <w:vAlign w:val="center"/>
          </w:tcPr>
          <w:p w14:paraId="043D9F11">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协调开井、壁内安装、设备调试等（COD+氨氮+多普勒)</w:t>
            </w:r>
          </w:p>
        </w:tc>
        <w:tc>
          <w:tcPr>
            <w:tcW w:w="526" w:type="dxa"/>
            <w:noWrap w:val="0"/>
            <w:vAlign w:val="center"/>
          </w:tcPr>
          <w:p w14:paraId="5732AE95">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套</w:t>
            </w:r>
          </w:p>
        </w:tc>
        <w:tc>
          <w:tcPr>
            <w:tcW w:w="623" w:type="dxa"/>
            <w:noWrap/>
            <w:vAlign w:val="center"/>
          </w:tcPr>
          <w:p w14:paraId="1E4B62AE">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8</w:t>
            </w:r>
          </w:p>
        </w:tc>
        <w:tc>
          <w:tcPr>
            <w:tcW w:w="992" w:type="dxa"/>
            <w:noWrap w:val="0"/>
            <w:vAlign w:val="center"/>
          </w:tcPr>
          <w:p w14:paraId="2DB4C9D2">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　</w:t>
            </w:r>
          </w:p>
        </w:tc>
      </w:tr>
      <w:tr w14:paraId="76319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509" w:type="dxa"/>
            <w:noWrap/>
            <w:vAlign w:val="center"/>
          </w:tcPr>
          <w:p w14:paraId="3990F649">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14</w:t>
            </w:r>
          </w:p>
        </w:tc>
        <w:tc>
          <w:tcPr>
            <w:tcW w:w="911" w:type="dxa"/>
            <w:vMerge w:val="restart"/>
            <w:noWrap/>
            <w:vAlign w:val="center"/>
          </w:tcPr>
          <w:p w14:paraId="1DEC7E9D">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桥梁结构监测</w:t>
            </w:r>
          </w:p>
        </w:tc>
        <w:tc>
          <w:tcPr>
            <w:tcW w:w="2125" w:type="dxa"/>
            <w:noWrap/>
            <w:vAlign w:val="center"/>
          </w:tcPr>
          <w:p w14:paraId="3E01CA89">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梁体沉降</w:t>
            </w:r>
            <w:r>
              <w:rPr>
                <w:rFonts w:hint="eastAsia" w:ascii="黑体" w:hAnsi="黑体" w:eastAsia="黑体" w:cs="黑体"/>
                <w:color w:val="auto"/>
                <w:kern w:val="0"/>
                <w:sz w:val="21"/>
                <w:szCs w:val="21"/>
                <w:highlight w:val="none"/>
                <w:lang w:eastAsia="zh-CN"/>
              </w:rPr>
              <w:br w:type="page"/>
            </w:r>
            <w:r>
              <w:rPr>
                <w:rFonts w:hint="eastAsia" w:ascii="黑体" w:hAnsi="黑体" w:eastAsia="黑体" w:cs="黑体"/>
                <w:color w:val="auto"/>
                <w:kern w:val="0"/>
                <w:sz w:val="21"/>
                <w:szCs w:val="21"/>
                <w:highlight w:val="none"/>
                <w:lang w:eastAsia="zh-CN"/>
              </w:rPr>
              <w:t>静力水准仪（南门桥）</w:t>
            </w:r>
          </w:p>
        </w:tc>
        <w:tc>
          <w:tcPr>
            <w:tcW w:w="3670" w:type="dxa"/>
            <w:noWrap w:val="0"/>
            <w:vAlign w:val="center"/>
          </w:tcPr>
          <w:p w14:paraId="5246FACF">
            <w:pPr>
              <w:widowControl/>
              <w:wordWrap w:val="0"/>
              <w:autoSpaceDE/>
              <w:autoSpaceDN/>
              <w:contextualSpacing/>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一、梁体沉降</w:t>
            </w:r>
            <w:r>
              <w:rPr>
                <w:rFonts w:hint="eastAsia" w:ascii="黑体" w:hAnsi="黑体" w:eastAsia="黑体" w:cs="黑体"/>
                <w:color w:val="auto"/>
                <w:kern w:val="0"/>
                <w:sz w:val="21"/>
                <w:szCs w:val="21"/>
                <w:highlight w:val="none"/>
                <w:lang w:eastAsia="zh-CN"/>
              </w:rPr>
              <w:br w:type="page"/>
            </w:r>
            <w:r>
              <w:rPr>
                <w:rFonts w:hint="eastAsia" w:ascii="黑体" w:hAnsi="黑体" w:eastAsia="黑体" w:cs="黑体"/>
                <w:color w:val="auto"/>
                <w:kern w:val="0"/>
                <w:sz w:val="21"/>
                <w:szCs w:val="21"/>
                <w:highlight w:val="none"/>
                <w:lang w:eastAsia="zh-CN"/>
              </w:rPr>
              <w:t>静力水准仪（7个）</w:t>
            </w:r>
          </w:p>
          <w:p w14:paraId="4026516E">
            <w:pPr>
              <w:widowControl/>
              <w:wordWrap w:val="0"/>
              <w:autoSpaceDE/>
              <w:autoSpaceDN/>
              <w:contextualSpacing/>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1、差压静力水准仪（7个）</w:t>
            </w:r>
            <w:r>
              <w:rPr>
                <w:rFonts w:hint="eastAsia" w:ascii="黑体" w:hAnsi="黑体" w:eastAsia="黑体" w:cs="黑体"/>
                <w:color w:val="auto"/>
                <w:kern w:val="0"/>
                <w:sz w:val="21"/>
                <w:szCs w:val="21"/>
                <w:highlight w:val="none"/>
                <w:lang w:eastAsia="zh-CN"/>
              </w:rPr>
              <w:br w:type="page"/>
            </w:r>
          </w:p>
          <w:p w14:paraId="70B2E0FC">
            <w:pPr>
              <w:widowControl/>
              <w:wordWrap w:val="0"/>
              <w:autoSpaceDE/>
              <w:autoSpaceDN/>
              <w:contextualSpacing/>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量程2m，精度0.2mm</w:t>
            </w:r>
            <w:r>
              <w:rPr>
                <w:rFonts w:hint="eastAsia" w:ascii="黑体" w:hAnsi="黑体" w:eastAsia="黑体" w:cs="黑体"/>
                <w:color w:val="auto"/>
                <w:kern w:val="0"/>
                <w:sz w:val="21"/>
                <w:szCs w:val="21"/>
                <w:highlight w:val="none"/>
                <w:lang w:eastAsia="zh-CN"/>
              </w:rPr>
              <w:br w:type="page"/>
            </w:r>
          </w:p>
          <w:p w14:paraId="13339558">
            <w:pPr>
              <w:widowControl/>
              <w:wordWrap w:val="0"/>
              <w:autoSpaceDE/>
              <w:autoSpaceDN/>
              <w:contextualSpacing/>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2、储液罐，1.5L（1个）</w:t>
            </w:r>
          </w:p>
          <w:p w14:paraId="2C6F3C9C">
            <w:pPr>
              <w:widowControl/>
              <w:wordWrap w:val="0"/>
              <w:autoSpaceDE/>
              <w:autoSpaceDN/>
              <w:contextualSpacing/>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br w:type="page"/>
            </w:r>
            <w:r>
              <w:rPr>
                <w:rFonts w:hint="eastAsia" w:ascii="黑体" w:hAnsi="黑体" w:eastAsia="黑体" w:cs="黑体"/>
                <w:color w:val="auto"/>
                <w:kern w:val="0"/>
                <w:sz w:val="21"/>
                <w:szCs w:val="21"/>
                <w:highlight w:val="none"/>
                <w:lang w:eastAsia="zh-CN"/>
              </w:rPr>
              <w:t>3、防冻液，4L装（2桶）</w:t>
            </w:r>
          </w:p>
          <w:p w14:paraId="257BECC2">
            <w:pPr>
              <w:widowControl/>
              <w:wordWrap w:val="0"/>
              <w:autoSpaceDE/>
              <w:autoSpaceDN/>
              <w:contextualSpacing/>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br w:type="page"/>
            </w:r>
            <w:r>
              <w:rPr>
                <w:rFonts w:hint="eastAsia" w:ascii="黑体" w:hAnsi="黑体" w:eastAsia="黑体" w:cs="黑体"/>
                <w:color w:val="auto"/>
                <w:kern w:val="0"/>
                <w:sz w:val="21"/>
                <w:szCs w:val="21"/>
                <w:highlight w:val="none"/>
                <w:lang w:eastAsia="zh-CN"/>
              </w:rPr>
              <w:t>4、水管，规格10*6.5mm，</w:t>
            </w:r>
          </w:p>
          <w:p w14:paraId="0B9871A4">
            <w:pPr>
              <w:widowControl/>
              <w:wordWrap w:val="0"/>
              <w:autoSpaceDE/>
              <w:autoSpaceDN/>
              <w:contextualSpacing/>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br w:type="page"/>
            </w:r>
            <w:r>
              <w:rPr>
                <w:rFonts w:hint="eastAsia" w:ascii="黑体" w:hAnsi="黑体" w:eastAsia="黑体" w:cs="黑体"/>
                <w:color w:val="auto"/>
                <w:kern w:val="0"/>
                <w:sz w:val="21"/>
                <w:szCs w:val="21"/>
                <w:highlight w:val="none"/>
                <w:lang w:eastAsia="zh-CN"/>
              </w:rPr>
              <w:t>5、气管，规格8*5mm</w:t>
            </w:r>
            <w:r>
              <w:rPr>
                <w:rFonts w:hint="eastAsia" w:ascii="黑体" w:hAnsi="黑体" w:eastAsia="黑体" w:cs="黑体"/>
                <w:color w:val="auto"/>
                <w:kern w:val="0"/>
                <w:sz w:val="21"/>
                <w:szCs w:val="21"/>
                <w:highlight w:val="none"/>
                <w:lang w:eastAsia="zh-CN"/>
              </w:rPr>
              <w:br w:type="page"/>
            </w:r>
          </w:p>
          <w:p w14:paraId="12FA798D">
            <w:pPr>
              <w:widowControl/>
              <w:wordWrap w:val="0"/>
              <w:autoSpaceDE/>
              <w:autoSpaceDN/>
              <w:contextualSpacing/>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6、线缆，RVVSP4*0.5</w:t>
            </w:r>
            <w:r>
              <w:rPr>
                <w:rFonts w:hint="eastAsia" w:ascii="黑体" w:hAnsi="黑体" w:eastAsia="黑体" w:cs="黑体"/>
                <w:color w:val="auto"/>
                <w:kern w:val="0"/>
                <w:sz w:val="21"/>
                <w:szCs w:val="21"/>
                <w:highlight w:val="none"/>
                <w:lang w:eastAsia="zh-CN"/>
              </w:rPr>
              <w:br w:type="page"/>
            </w:r>
          </w:p>
          <w:p w14:paraId="5426D6A0">
            <w:pPr>
              <w:widowControl/>
              <w:wordWrap w:val="0"/>
              <w:autoSpaceDE/>
              <w:autoSpaceDN/>
              <w:contextualSpacing/>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7、线管，PVC管</w:t>
            </w:r>
          </w:p>
          <w:p w14:paraId="2EF01BA1">
            <w:pPr>
              <w:widowControl/>
              <w:wordWrap w:val="0"/>
              <w:autoSpaceDE/>
              <w:autoSpaceDN/>
              <w:contextualSpacing/>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br w:type="page"/>
            </w:r>
            <w:r>
              <w:rPr>
                <w:rFonts w:hint="eastAsia" w:ascii="黑体" w:hAnsi="黑体" w:eastAsia="黑体" w:cs="黑体"/>
                <w:color w:val="auto"/>
                <w:kern w:val="0"/>
                <w:sz w:val="21"/>
                <w:szCs w:val="21"/>
                <w:highlight w:val="none"/>
                <w:lang w:eastAsia="zh-CN"/>
              </w:rPr>
              <w:t>8、传感器保护罩7个；</w:t>
            </w:r>
            <w:r>
              <w:rPr>
                <w:rFonts w:hint="eastAsia" w:ascii="黑体" w:hAnsi="黑体" w:eastAsia="黑体" w:cs="黑体"/>
                <w:color w:val="auto"/>
                <w:kern w:val="0"/>
                <w:sz w:val="21"/>
                <w:szCs w:val="21"/>
                <w:highlight w:val="none"/>
                <w:lang w:eastAsia="zh-CN"/>
              </w:rPr>
              <w:br w:type="page"/>
            </w:r>
          </w:p>
          <w:p w14:paraId="33F52122">
            <w:pPr>
              <w:widowControl/>
              <w:wordWrap w:val="0"/>
              <w:autoSpaceDE/>
              <w:autoSpaceDN/>
              <w:contextualSpacing/>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9、采集仪1台</w:t>
            </w:r>
          </w:p>
        </w:tc>
        <w:tc>
          <w:tcPr>
            <w:tcW w:w="526" w:type="dxa"/>
            <w:noWrap w:val="0"/>
            <w:vAlign w:val="center"/>
          </w:tcPr>
          <w:p w14:paraId="51AC0F81">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套</w:t>
            </w:r>
          </w:p>
        </w:tc>
        <w:tc>
          <w:tcPr>
            <w:tcW w:w="623" w:type="dxa"/>
            <w:noWrap/>
            <w:vAlign w:val="center"/>
          </w:tcPr>
          <w:p w14:paraId="7C7FA78A">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w:t>
            </w:r>
          </w:p>
        </w:tc>
        <w:tc>
          <w:tcPr>
            <w:tcW w:w="992" w:type="dxa"/>
            <w:noWrap w:val="0"/>
            <w:vAlign w:val="center"/>
          </w:tcPr>
          <w:p w14:paraId="0995CD02">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含传感、采集设备及辅材（6测点+1基准点）</w:t>
            </w:r>
          </w:p>
        </w:tc>
      </w:tr>
      <w:tr w14:paraId="3DBBF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509" w:type="dxa"/>
            <w:noWrap/>
            <w:vAlign w:val="center"/>
          </w:tcPr>
          <w:p w14:paraId="2351FF13">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15</w:t>
            </w:r>
          </w:p>
        </w:tc>
        <w:tc>
          <w:tcPr>
            <w:tcW w:w="911" w:type="dxa"/>
            <w:vMerge w:val="continue"/>
            <w:noWrap w:val="0"/>
            <w:vAlign w:val="center"/>
          </w:tcPr>
          <w:p w14:paraId="0B9547F4">
            <w:pPr>
              <w:widowControl/>
              <w:wordWrap w:val="0"/>
              <w:autoSpaceDE/>
              <w:autoSpaceDN/>
              <w:jc w:val="left"/>
              <w:rPr>
                <w:rFonts w:hint="eastAsia" w:ascii="黑体" w:hAnsi="黑体" w:eastAsia="黑体" w:cs="黑体"/>
                <w:color w:val="auto"/>
                <w:kern w:val="0"/>
                <w:sz w:val="21"/>
                <w:szCs w:val="21"/>
                <w:highlight w:val="none"/>
                <w:lang w:eastAsia="zh-CN"/>
              </w:rPr>
            </w:pPr>
          </w:p>
        </w:tc>
        <w:tc>
          <w:tcPr>
            <w:tcW w:w="2125" w:type="dxa"/>
            <w:noWrap w:val="0"/>
            <w:vAlign w:val="center"/>
          </w:tcPr>
          <w:p w14:paraId="5D975E31">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桥墩倾斜振动一体化监测设备</w:t>
            </w:r>
          </w:p>
          <w:p w14:paraId="2E70CECF">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（南门桥）</w:t>
            </w:r>
          </w:p>
        </w:tc>
        <w:tc>
          <w:tcPr>
            <w:tcW w:w="3670" w:type="dxa"/>
            <w:noWrap w:val="0"/>
            <w:vAlign w:val="center"/>
          </w:tcPr>
          <w:p w14:paraId="61AA0FBF">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二、桥墩倾斜振动一体化监测设备</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1、测量功能：倾角、加速度、振动频率、振幅</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2、倾角指标：</w:t>
            </w:r>
          </w:p>
          <w:p w14:paraId="5E25A89C">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倾角量程 ±90°、±15°（可选）</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倾角分辨率≤0.001°</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倾角精度：≤0.01°</w:t>
            </w:r>
          </w:p>
          <w:p w14:paraId="5091D3F6">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温漂 ＜0.01°（-20～+50℃）</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3、加速度指标：</w:t>
            </w:r>
          </w:p>
          <w:p w14:paraId="2B9472A1">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量程≥±2g</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加速度分辨率≤0.01mg</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加速度精度≤0.1mg</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4、振动指标</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分辨率:≤1Hz</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量程:1～128Hz</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5、定位功能：具备定位功能，用于设备位置标识，定位精度满足实际监测需求即可</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6、数据采集：定时采集+触发式上报</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7、通信方式：支持4G无线通信</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8、供电方式：内置电池供电</w:t>
            </w:r>
          </w:p>
          <w:p w14:paraId="642A204E">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续航能力不低于3年（标准采集周期下）</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9、产品材质：高强度、耐老化材质</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10、工作温度：-20℃～+85℃</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11、防护等级：IP68</w:t>
            </w:r>
          </w:p>
        </w:tc>
        <w:tc>
          <w:tcPr>
            <w:tcW w:w="526" w:type="dxa"/>
            <w:noWrap w:val="0"/>
            <w:vAlign w:val="center"/>
          </w:tcPr>
          <w:p w14:paraId="76AEC68D">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台</w:t>
            </w:r>
          </w:p>
        </w:tc>
        <w:tc>
          <w:tcPr>
            <w:tcW w:w="623" w:type="dxa"/>
            <w:noWrap/>
            <w:vAlign w:val="center"/>
          </w:tcPr>
          <w:p w14:paraId="43F1118C">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2</w:t>
            </w:r>
          </w:p>
        </w:tc>
        <w:tc>
          <w:tcPr>
            <w:tcW w:w="992" w:type="dxa"/>
            <w:noWrap w:val="0"/>
            <w:vAlign w:val="center"/>
          </w:tcPr>
          <w:p w14:paraId="6E7B99F5">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含安装支架</w:t>
            </w:r>
          </w:p>
        </w:tc>
      </w:tr>
      <w:tr w14:paraId="61680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509" w:type="dxa"/>
            <w:noWrap/>
            <w:vAlign w:val="center"/>
          </w:tcPr>
          <w:p w14:paraId="377636C7">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16</w:t>
            </w:r>
          </w:p>
        </w:tc>
        <w:tc>
          <w:tcPr>
            <w:tcW w:w="911" w:type="dxa"/>
            <w:vMerge w:val="continue"/>
            <w:noWrap w:val="0"/>
            <w:vAlign w:val="center"/>
          </w:tcPr>
          <w:p w14:paraId="12269E65">
            <w:pPr>
              <w:widowControl/>
              <w:wordWrap w:val="0"/>
              <w:autoSpaceDE/>
              <w:autoSpaceDN/>
              <w:jc w:val="left"/>
              <w:rPr>
                <w:rFonts w:hint="eastAsia" w:ascii="黑体" w:hAnsi="黑体" w:eastAsia="黑体" w:cs="黑体"/>
                <w:color w:val="auto"/>
                <w:kern w:val="0"/>
                <w:sz w:val="21"/>
                <w:szCs w:val="21"/>
                <w:highlight w:val="none"/>
                <w:lang w:eastAsia="zh-CN"/>
              </w:rPr>
            </w:pPr>
          </w:p>
        </w:tc>
        <w:tc>
          <w:tcPr>
            <w:tcW w:w="2125" w:type="dxa"/>
            <w:noWrap w:val="0"/>
            <w:vAlign w:val="center"/>
          </w:tcPr>
          <w:p w14:paraId="4DE14BB2">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应变监测</w:t>
            </w:r>
          </w:p>
          <w:p w14:paraId="3D376983">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（南门桥）</w:t>
            </w:r>
          </w:p>
        </w:tc>
        <w:tc>
          <w:tcPr>
            <w:tcW w:w="3670" w:type="dxa"/>
            <w:noWrap w:val="0"/>
            <w:vAlign w:val="center"/>
          </w:tcPr>
          <w:p w14:paraId="3C10E4CD">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三、应变监测</w:t>
            </w:r>
            <w:r>
              <w:rPr>
                <w:rFonts w:hint="eastAsia" w:ascii="黑体" w:hAnsi="黑体" w:eastAsia="黑体" w:cs="黑体"/>
                <w:color w:val="auto"/>
                <w:kern w:val="0"/>
                <w:sz w:val="21"/>
                <w:szCs w:val="21"/>
                <w:highlight w:val="none"/>
                <w:lang w:eastAsia="zh-CN"/>
              </w:rPr>
              <w:br w:type="textWrapping"/>
            </w:r>
            <w:bookmarkStart w:id="4" w:name="OLE_LINK2"/>
            <w:r>
              <w:rPr>
                <w:rFonts w:hint="eastAsia" w:ascii="黑体" w:hAnsi="黑体" w:eastAsia="黑体" w:cs="黑体"/>
                <w:color w:val="auto"/>
                <w:kern w:val="0"/>
                <w:sz w:val="21"/>
                <w:szCs w:val="21"/>
                <w:highlight w:val="none"/>
                <w:lang w:eastAsia="zh-CN"/>
              </w:rPr>
              <w:t>1、表面应变计（6个）</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 xml:space="preserve">   量程：±1500με；</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 xml:space="preserve">   分辨率≤0.2%F.S</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 xml:space="preserve">   温度测量范围：-20～+70℃</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2、智能数据采集仪（2台）</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 xml:space="preserve"> 采集指标：4通道振弦、4G传输、供电方式：太阳能+市电（可选），不低于3年  </w:t>
            </w:r>
          </w:p>
          <w:p w14:paraId="0C52ECE5">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 xml:space="preserve">3、RVVSP 4*0.5  </w:t>
            </w:r>
          </w:p>
          <w:p w14:paraId="1675CB13">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4、线管，PVC管</w:t>
            </w:r>
            <w:bookmarkEnd w:id="4"/>
          </w:p>
        </w:tc>
        <w:tc>
          <w:tcPr>
            <w:tcW w:w="526" w:type="dxa"/>
            <w:noWrap w:val="0"/>
            <w:vAlign w:val="center"/>
          </w:tcPr>
          <w:p w14:paraId="205B2074">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套</w:t>
            </w:r>
          </w:p>
        </w:tc>
        <w:tc>
          <w:tcPr>
            <w:tcW w:w="623" w:type="dxa"/>
            <w:noWrap/>
            <w:vAlign w:val="center"/>
          </w:tcPr>
          <w:p w14:paraId="2469A768">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w:t>
            </w:r>
          </w:p>
        </w:tc>
        <w:tc>
          <w:tcPr>
            <w:tcW w:w="992" w:type="dxa"/>
            <w:noWrap w:val="0"/>
            <w:vAlign w:val="center"/>
          </w:tcPr>
          <w:p w14:paraId="3E1FC305">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含传感、采集设备及辅材</w:t>
            </w:r>
          </w:p>
        </w:tc>
      </w:tr>
      <w:tr w14:paraId="0DAD5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509" w:type="dxa"/>
            <w:noWrap/>
            <w:vAlign w:val="center"/>
          </w:tcPr>
          <w:p w14:paraId="43E3081A">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17</w:t>
            </w:r>
          </w:p>
        </w:tc>
        <w:tc>
          <w:tcPr>
            <w:tcW w:w="911" w:type="dxa"/>
            <w:vMerge w:val="continue"/>
            <w:noWrap w:val="0"/>
            <w:vAlign w:val="center"/>
          </w:tcPr>
          <w:p w14:paraId="15122FEA">
            <w:pPr>
              <w:widowControl/>
              <w:wordWrap w:val="0"/>
              <w:autoSpaceDE/>
              <w:autoSpaceDN/>
              <w:jc w:val="left"/>
              <w:rPr>
                <w:rFonts w:hint="eastAsia" w:ascii="黑体" w:hAnsi="黑体" w:eastAsia="黑体" w:cs="黑体"/>
                <w:color w:val="auto"/>
                <w:kern w:val="0"/>
                <w:sz w:val="21"/>
                <w:szCs w:val="21"/>
                <w:highlight w:val="none"/>
                <w:lang w:eastAsia="zh-CN"/>
              </w:rPr>
            </w:pPr>
          </w:p>
        </w:tc>
        <w:tc>
          <w:tcPr>
            <w:tcW w:w="2125" w:type="dxa"/>
            <w:noWrap/>
            <w:vAlign w:val="center"/>
          </w:tcPr>
          <w:p w14:paraId="624F0D4A">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梁体沉降</w:t>
            </w:r>
          </w:p>
          <w:p w14:paraId="18C27911">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（长沙大桥）</w:t>
            </w:r>
          </w:p>
        </w:tc>
        <w:tc>
          <w:tcPr>
            <w:tcW w:w="3670" w:type="dxa"/>
            <w:noWrap w:val="0"/>
            <w:vAlign w:val="center"/>
          </w:tcPr>
          <w:p w14:paraId="28C8D16B">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一、梁体沉降</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静力水准仪（10个）</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1、差压静力水准仪10个</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 xml:space="preserve"> 量程2米，精度0.2mm</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2、储液罐，1.5L（1个）</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3、防冻液，4L装（3桶）</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4、水管，规格10*6.5mm，</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5、气管，规格8*5mm</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6、线缆，RVVSP 4*0.5</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7、线管，PVC管</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8、传感器保护罩10个；</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9、采集仪1台</w:t>
            </w:r>
          </w:p>
        </w:tc>
        <w:tc>
          <w:tcPr>
            <w:tcW w:w="526" w:type="dxa"/>
            <w:noWrap w:val="0"/>
            <w:vAlign w:val="center"/>
          </w:tcPr>
          <w:p w14:paraId="6FDB7119">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套</w:t>
            </w:r>
          </w:p>
        </w:tc>
        <w:tc>
          <w:tcPr>
            <w:tcW w:w="623" w:type="dxa"/>
            <w:noWrap/>
            <w:vAlign w:val="center"/>
          </w:tcPr>
          <w:p w14:paraId="252F6ADB">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w:t>
            </w:r>
          </w:p>
        </w:tc>
        <w:tc>
          <w:tcPr>
            <w:tcW w:w="992" w:type="dxa"/>
            <w:noWrap w:val="0"/>
            <w:vAlign w:val="center"/>
          </w:tcPr>
          <w:p w14:paraId="1BAF54A2">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含传感、采集设备及辅材（9测点+1基准点）</w:t>
            </w:r>
          </w:p>
        </w:tc>
      </w:tr>
      <w:tr w14:paraId="4EB69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509" w:type="dxa"/>
            <w:noWrap/>
            <w:vAlign w:val="center"/>
          </w:tcPr>
          <w:p w14:paraId="0ED27BD9">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18</w:t>
            </w:r>
          </w:p>
        </w:tc>
        <w:tc>
          <w:tcPr>
            <w:tcW w:w="911" w:type="dxa"/>
            <w:vMerge w:val="continue"/>
            <w:noWrap w:val="0"/>
            <w:vAlign w:val="center"/>
          </w:tcPr>
          <w:p w14:paraId="7AEFDC7B">
            <w:pPr>
              <w:widowControl/>
              <w:wordWrap w:val="0"/>
              <w:autoSpaceDE/>
              <w:autoSpaceDN/>
              <w:jc w:val="left"/>
              <w:rPr>
                <w:rFonts w:hint="eastAsia" w:ascii="黑体" w:hAnsi="黑体" w:eastAsia="黑体" w:cs="黑体"/>
                <w:color w:val="auto"/>
                <w:kern w:val="0"/>
                <w:sz w:val="21"/>
                <w:szCs w:val="21"/>
                <w:highlight w:val="none"/>
                <w:lang w:eastAsia="zh-CN"/>
              </w:rPr>
            </w:pPr>
          </w:p>
        </w:tc>
        <w:tc>
          <w:tcPr>
            <w:tcW w:w="2125" w:type="dxa"/>
            <w:noWrap w:val="0"/>
            <w:vAlign w:val="center"/>
          </w:tcPr>
          <w:p w14:paraId="051E3204">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桥墩倾斜振动一体化监测设备</w:t>
            </w:r>
          </w:p>
          <w:p w14:paraId="76EA6265">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（长沙大桥）</w:t>
            </w:r>
          </w:p>
        </w:tc>
        <w:tc>
          <w:tcPr>
            <w:tcW w:w="3670" w:type="dxa"/>
            <w:noWrap w:val="0"/>
            <w:vAlign w:val="center"/>
          </w:tcPr>
          <w:p w14:paraId="1EA28421">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二、桥墩倾斜振动一体化监测设备</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1、测量要素：倾角、加速度、振动频率、振幅</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2、倾角量程 ±90°、±15°（可选）</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3、倾角分辨率 0.001°</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4、倾角精度：90度或15度两种规格可选。对应的精度为0.01°和0.005°。</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5、温漂 ＜0.01°（-20～+50℃）</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6、加速度指标</w:t>
            </w:r>
          </w:p>
          <w:p w14:paraId="44A73886">
            <w:pPr>
              <w:widowControl/>
              <w:wordWrap w:val="0"/>
              <w:autoSpaceDE/>
              <w:autoSpaceDN/>
              <w:jc w:val="left"/>
              <w:rPr>
                <w:rFonts w:hint="eastAsia" w:ascii="黑体" w:hAnsi="黑体" w:eastAsia="黑体" w:cs="黑体"/>
                <w:b/>
                <w:bCs/>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量程 ±2g</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加速度分辨率 0.01mg</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加速度精度 0.1mg</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7、振动指标</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分辨率:1Hz</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量程:1～128Hz</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振幅分辨率 1mg，精度 3mg</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8、LBS 定位 精度 150m</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9、采集模式：定时采集+触发式上报</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10、通信方式:无线通信（2/3/4G 全网通）</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11、供电方式：内置76AH锂亚电池 ，可持续工作 60个月(采集上报周期 2 小时)</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12、产品材质 高强度、耐老化工程聚氨酯</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13、工作温度 -20℃～+85℃</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14、防护等级 IP68</w:t>
            </w:r>
          </w:p>
        </w:tc>
        <w:tc>
          <w:tcPr>
            <w:tcW w:w="526" w:type="dxa"/>
            <w:noWrap w:val="0"/>
            <w:vAlign w:val="center"/>
          </w:tcPr>
          <w:p w14:paraId="4818D4FE">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套</w:t>
            </w:r>
          </w:p>
        </w:tc>
        <w:tc>
          <w:tcPr>
            <w:tcW w:w="623" w:type="dxa"/>
            <w:noWrap/>
            <w:vAlign w:val="center"/>
          </w:tcPr>
          <w:p w14:paraId="1FAC0D85">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2</w:t>
            </w:r>
          </w:p>
        </w:tc>
        <w:tc>
          <w:tcPr>
            <w:tcW w:w="992" w:type="dxa"/>
            <w:noWrap w:val="0"/>
            <w:vAlign w:val="center"/>
          </w:tcPr>
          <w:p w14:paraId="705460CE">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含安装支架</w:t>
            </w:r>
          </w:p>
        </w:tc>
      </w:tr>
      <w:tr w14:paraId="0155E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509" w:type="dxa"/>
            <w:noWrap/>
            <w:vAlign w:val="center"/>
          </w:tcPr>
          <w:p w14:paraId="355C6F1B">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19</w:t>
            </w:r>
          </w:p>
        </w:tc>
        <w:tc>
          <w:tcPr>
            <w:tcW w:w="911" w:type="dxa"/>
            <w:vMerge w:val="continue"/>
            <w:noWrap w:val="0"/>
            <w:vAlign w:val="center"/>
          </w:tcPr>
          <w:p w14:paraId="68F3E805">
            <w:pPr>
              <w:widowControl/>
              <w:wordWrap w:val="0"/>
              <w:autoSpaceDE/>
              <w:autoSpaceDN/>
              <w:jc w:val="left"/>
              <w:rPr>
                <w:rFonts w:hint="eastAsia" w:ascii="黑体" w:hAnsi="黑体" w:eastAsia="黑体" w:cs="黑体"/>
                <w:color w:val="auto"/>
                <w:kern w:val="0"/>
                <w:sz w:val="21"/>
                <w:szCs w:val="21"/>
                <w:highlight w:val="none"/>
                <w:lang w:eastAsia="zh-CN"/>
              </w:rPr>
            </w:pPr>
          </w:p>
        </w:tc>
        <w:tc>
          <w:tcPr>
            <w:tcW w:w="2125" w:type="dxa"/>
            <w:noWrap w:val="0"/>
            <w:vAlign w:val="center"/>
          </w:tcPr>
          <w:p w14:paraId="631B0928">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应变监测</w:t>
            </w:r>
          </w:p>
          <w:p w14:paraId="5C7D21EF">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（长沙大桥）</w:t>
            </w:r>
          </w:p>
        </w:tc>
        <w:tc>
          <w:tcPr>
            <w:tcW w:w="3670" w:type="dxa"/>
            <w:noWrap w:val="0"/>
            <w:vAlign w:val="center"/>
          </w:tcPr>
          <w:p w14:paraId="5FA6D698">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三、应变监测</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1、表面应变计（8个）</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 xml:space="preserve">   量程：±1500με；</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 xml:space="preserve">   分辨率≤0.2%F.S</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 xml:space="preserve">   温度测量范围：-20～+70℃</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2、智能数据采集仪（2台）</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 xml:space="preserve">   采集指标：4通道振弦、4G传输、供电方式：太阳能+市电，不低于3年  </w:t>
            </w:r>
          </w:p>
          <w:p w14:paraId="0AF11A24">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 xml:space="preserve">3、RVVSP 4*0.5  </w:t>
            </w:r>
          </w:p>
          <w:p w14:paraId="31D1ED5C">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4、线管，PVC管</w:t>
            </w:r>
          </w:p>
        </w:tc>
        <w:tc>
          <w:tcPr>
            <w:tcW w:w="526" w:type="dxa"/>
            <w:noWrap w:val="0"/>
            <w:vAlign w:val="center"/>
          </w:tcPr>
          <w:p w14:paraId="6E9B86D5">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套</w:t>
            </w:r>
          </w:p>
        </w:tc>
        <w:tc>
          <w:tcPr>
            <w:tcW w:w="623" w:type="dxa"/>
            <w:noWrap/>
            <w:vAlign w:val="center"/>
          </w:tcPr>
          <w:p w14:paraId="605674A3">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w:t>
            </w:r>
          </w:p>
        </w:tc>
        <w:tc>
          <w:tcPr>
            <w:tcW w:w="992" w:type="dxa"/>
            <w:noWrap w:val="0"/>
            <w:vAlign w:val="center"/>
          </w:tcPr>
          <w:p w14:paraId="471A1C66">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含传感、采集设备及辅材</w:t>
            </w:r>
          </w:p>
        </w:tc>
      </w:tr>
      <w:tr w14:paraId="30DFF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509" w:type="dxa"/>
            <w:noWrap/>
            <w:vAlign w:val="center"/>
          </w:tcPr>
          <w:p w14:paraId="22AC2AD4">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20</w:t>
            </w:r>
          </w:p>
        </w:tc>
        <w:tc>
          <w:tcPr>
            <w:tcW w:w="911" w:type="dxa"/>
            <w:vMerge w:val="continue"/>
            <w:noWrap w:val="0"/>
            <w:vAlign w:val="center"/>
          </w:tcPr>
          <w:p w14:paraId="1B3A980B">
            <w:pPr>
              <w:widowControl/>
              <w:wordWrap w:val="0"/>
              <w:autoSpaceDE/>
              <w:autoSpaceDN/>
              <w:jc w:val="left"/>
              <w:rPr>
                <w:rFonts w:hint="eastAsia" w:ascii="黑体" w:hAnsi="黑体" w:eastAsia="黑体" w:cs="黑体"/>
                <w:color w:val="auto"/>
                <w:kern w:val="0"/>
                <w:sz w:val="21"/>
                <w:szCs w:val="21"/>
                <w:highlight w:val="none"/>
                <w:lang w:eastAsia="zh-CN"/>
              </w:rPr>
            </w:pPr>
          </w:p>
        </w:tc>
        <w:tc>
          <w:tcPr>
            <w:tcW w:w="2125" w:type="dxa"/>
            <w:noWrap/>
            <w:vAlign w:val="center"/>
          </w:tcPr>
          <w:p w14:paraId="46289651">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桥墩、梁体水平位移、竖向位移监测（瓦拱桥）</w:t>
            </w:r>
          </w:p>
        </w:tc>
        <w:tc>
          <w:tcPr>
            <w:tcW w:w="3670" w:type="dxa"/>
            <w:noWrap w:val="0"/>
            <w:vAlign w:val="center"/>
          </w:tcPr>
          <w:p w14:paraId="453F0B4A">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一、桥墩、梁体水平位移、竖向位移监测</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1、机器视觉位移监测仪</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测量距离：5-150m；</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精度：</w:t>
            </w:r>
            <w:r>
              <w:rPr>
                <w:rFonts w:hint="eastAsia" w:ascii="黑体" w:hAnsi="黑体" w:eastAsia="黑体" w:cs="黑体"/>
                <w:color w:val="auto"/>
                <w:kern w:val="0"/>
                <w:sz w:val="21"/>
                <w:szCs w:val="21"/>
                <w:highlight w:val="none"/>
                <w:lang w:val="en" w:eastAsia="zh-CN"/>
              </w:rPr>
              <w:t>≤</w:t>
            </w:r>
            <w:r>
              <w:rPr>
                <w:rFonts w:hint="eastAsia" w:ascii="黑体" w:hAnsi="黑体" w:eastAsia="黑体" w:cs="黑体"/>
                <w:color w:val="auto"/>
                <w:kern w:val="0"/>
                <w:sz w:val="21"/>
                <w:szCs w:val="21"/>
                <w:highlight w:val="none"/>
                <w:lang w:eastAsia="zh-CN"/>
              </w:rPr>
              <w:t>±0.35mm@100m</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镜头参数：12mm：水平24°，垂直13.7°25mm：水平20°，垂直15°</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测量点数：无限制</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具备扩展功能：一主一从</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最小采样间隔 ：可配置</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存储容量：≥4GB</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 xml:space="preserve">供电方式：市电供电/太阳能 </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红外反射靶标（5个）：20cm*20cm</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流量卡1张：含3年4G流量</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安装方式：定制墙壁安装支架</w:t>
            </w:r>
          </w:p>
        </w:tc>
        <w:tc>
          <w:tcPr>
            <w:tcW w:w="526" w:type="dxa"/>
            <w:noWrap w:val="0"/>
            <w:vAlign w:val="center"/>
          </w:tcPr>
          <w:p w14:paraId="157DF909">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套</w:t>
            </w:r>
          </w:p>
        </w:tc>
        <w:tc>
          <w:tcPr>
            <w:tcW w:w="623" w:type="dxa"/>
            <w:noWrap/>
            <w:vAlign w:val="center"/>
          </w:tcPr>
          <w:p w14:paraId="73215A83">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w:t>
            </w:r>
          </w:p>
        </w:tc>
        <w:tc>
          <w:tcPr>
            <w:tcW w:w="992" w:type="dxa"/>
            <w:noWrap w:val="0"/>
            <w:vAlign w:val="center"/>
          </w:tcPr>
          <w:p w14:paraId="4BC2076B">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包辅材</w:t>
            </w:r>
          </w:p>
        </w:tc>
      </w:tr>
      <w:tr w14:paraId="02565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509" w:type="dxa"/>
            <w:noWrap/>
            <w:vAlign w:val="center"/>
          </w:tcPr>
          <w:p w14:paraId="36026E0D">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21</w:t>
            </w:r>
          </w:p>
        </w:tc>
        <w:tc>
          <w:tcPr>
            <w:tcW w:w="911" w:type="dxa"/>
            <w:vMerge w:val="continue"/>
            <w:noWrap w:val="0"/>
            <w:vAlign w:val="center"/>
          </w:tcPr>
          <w:p w14:paraId="14CE8B26">
            <w:pPr>
              <w:widowControl/>
              <w:wordWrap w:val="0"/>
              <w:autoSpaceDE/>
              <w:autoSpaceDN/>
              <w:jc w:val="left"/>
              <w:rPr>
                <w:rFonts w:hint="eastAsia" w:ascii="黑体" w:hAnsi="黑体" w:eastAsia="黑体" w:cs="黑体"/>
                <w:color w:val="auto"/>
                <w:kern w:val="0"/>
                <w:sz w:val="21"/>
                <w:szCs w:val="21"/>
                <w:highlight w:val="none"/>
                <w:lang w:eastAsia="zh-CN"/>
              </w:rPr>
            </w:pPr>
          </w:p>
        </w:tc>
        <w:tc>
          <w:tcPr>
            <w:tcW w:w="2125" w:type="dxa"/>
            <w:noWrap w:val="0"/>
            <w:vAlign w:val="center"/>
          </w:tcPr>
          <w:p w14:paraId="7F786F1A">
            <w:pPr>
              <w:widowControl/>
              <w:wordWrap w:val="0"/>
              <w:autoSpaceDE/>
              <w:autoSpaceDN/>
              <w:jc w:val="left"/>
              <w:rPr>
                <w:rFonts w:hint="eastAsia" w:ascii="黑体" w:hAnsi="黑体" w:eastAsia="黑体" w:cs="黑体"/>
                <w:color w:val="auto"/>
                <w:kern w:val="0"/>
                <w:sz w:val="21"/>
                <w:szCs w:val="21"/>
                <w:highlight w:val="none"/>
                <w:lang w:eastAsia="zh-CN"/>
              </w:rPr>
            </w:pPr>
          </w:p>
        </w:tc>
        <w:tc>
          <w:tcPr>
            <w:tcW w:w="3670" w:type="dxa"/>
            <w:noWrap w:val="0"/>
            <w:vAlign w:val="center"/>
          </w:tcPr>
          <w:p w14:paraId="2D3232D3">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二、应变监测</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1、表面应变计（4个）</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 xml:space="preserve">   量程：±1500με；</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 xml:space="preserve">   分辨率≤0.2%F.S</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 xml:space="preserve">   温度测量范围：-20～+70℃</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2、智能数据采集仪（1台）</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 xml:space="preserve"> 采集指标：4通道振弦、4G传输、供电方式：太阳能+市电，不低于3年  </w:t>
            </w:r>
          </w:p>
          <w:p w14:paraId="230907CF">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 xml:space="preserve">3、RVVSP 4*0.5  </w:t>
            </w:r>
          </w:p>
          <w:p w14:paraId="27648E1D">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4、线管，PVC管</w:t>
            </w:r>
          </w:p>
        </w:tc>
        <w:tc>
          <w:tcPr>
            <w:tcW w:w="526" w:type="dxa"/>
            <w:noWrap w:val="0"/>
            <w:vAlign w:val="center"/>
          </w:tcPr>
          <w:p w14:paraId="5BF29C31">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套</w:t>
            </w:r>
          </w:p>
        </w:tc>
        <w:tc>
          <w:tcPr>
            <w:tcW w:w="623" w:type="dxa"/>
            <w:noWrap/>
            <w:vAlign w:val="center"/>
          </w:tcPr>
          <w:p w14:paraId="4EFFAD12">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1</w:t>
            </w:r>
          </w:p>
        </w:tc>
        <w:tc>
          <w:tcPr>
            <w:tcW w:w="992" w:type="dxa"/>
            <w:noWrap w:val="0"/>
            <w:vAlign w:val="center"/>
          </w:tcPr>
          <w:p w14:paraId="31369E2F">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含传感、采集设备及辅材</w:t>
            </w:r>
          </w:p>
        </w:tc>
      </w:tr>
      <w:tr w14:paraId="11498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509" w:type="dxa"/>
            <w:noWrap/>
            <w:vAlign w:val="center"/>
          </w:tcPr>
          <w:p w14:paraId="1B1DF108">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22</w:t>
            </w:r>
          </w:p>
        </w:tc>
        <w:tc>
          <w:tcPr>
            <w:tcW w:w="911" w:type="dxa"/>
            <w:vMerge w:val="continue"/>
            <w:noWrap w:val="0"/>
            <w:vAlign w:val="center"/>
          </w:tcPr>
          <w:p w14:paraId="0DEF6AD5">
            <w:pPr>
              <w:widowControl/>
              <w:wordWrap w:val="0"/>
              <w:autoSpaceDE/>
              <w:autoSpaceDN/>
              <w:jc w:val="left"/>
              <w:rPr>
                <w:rFonts w:hint="eastAsia" w:ascii="黑体" w:hAnsi="黑体" w:eastAsia="黑体" w:cs="黑体"/>
                <w:color w:val="auto"/>
                <w:kern w:val="0"/>
                <w:sz w:val="21"/>
                <w:szCs w:val="21"/>
                <w:highlight w:val="none"/>
                <w:lang w:eastAsia="zh-CN"/>
              </w:rPr>
            </w:pPr>
          </w:p>
        </w:tc>
        <w:tc>
          <w:tcPr>
            <w:tcW w:w="2125" w:type="dxa"/>
            <w:noWrap/>
            <w:vAlign w:val="center"/>
          </w:tcPr>
          <w:p w14:paraId="1F3EB19E">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桥梁监测设备安装费</w:t>
            </w:r>
          </w:p>
        </w:tc>
        <w:tc>
          <w:tcPr>
            <w:tcW w:w="3670" w:type="dxa"/>
            <w:noWrap w:val="0"/>
            <w:vAlign w:val="center"/>
          </w:tcPr>
          <w:p w14:paraId="767B66F7">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设备安装与调试，人工及辅助设备</w:t>
            </w:r>
          </w:p>
        </w:tc>
        <w:tc>
          <w:tcPr>
            <w:tcW w:w="526" w:type="dxa"/>
            <w:noWrap w:val="0"/>
            <w:vAlign w:val="center"/>
          </w:tcPr>
          <w:p w14:paraId="640E3799">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处</w:t>
            </w:r>
          </w:p>
        </w:tc>
        <w:tc>
          <w:tcPr>
            <w:tcW w:w="623" w:type="dxa"/>
            <w:noWrap/>
            <w:vAlign w:val="center"/>
          </w:tcPr>
          <w:p w14:paraId="38655DCD">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3</w:t>
            </w:r>
          </w:p>
        </w:tc>
        <w:tc>
          <w:tcPr>
            <w:tcW w:w="992" w:type="dxa"/>
            <w:noWrap w:val="0"/>
            <w:vAlign w:val="center"/>
          </w:tcPr>
          <w:p w14:paraId="52525CCC">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　</w:t>
            </w:r>
          </w:p>
        </w:tc>
      </w:tr>
      <w:tr w14:paraId="1B795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509" w:type="dxa"/>
            <w:noWrap/>
            <w:vAlign w:val="center"/>
          </w:tcPr>
          <w:p w14:paraId="6A006E7E">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23</w:t>
            </w:r>
          </w:p>
        </w:tc>
        <w:tc>
          <w:tcPr>
            <w:tcW w:w="911" w:type="dxa"/>
            <w:noWrap/>
            <w:vAlign w:val="center"/>
          </w:tcPr>
          <w:p w14:paraId="0020284D">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供水井</w:t>
            </w:r>
          </w:p>
        </w:tc>
        <w:tc>
          <w:tcPr>
            <w:tcW w:w="2125" w:type="dxa"/>
            <w:noWrap/>
            <w:vAlign w:val="center"/>
          </w:tcPr>
          <w:p w14:paraId="1E10651F">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新建井</w:t>
            </w:r>
          </w:p>
        </w:tc>
        <w:tc>
          <w:tcPr>
            <w:tcW w:w="3670" w:type="dxa"/>
            <w:noWrap w:val="0"/>
            <w:vAlign w:val="center"/>
          </w:tcPr>
          <w:p w14:paraId="478F3F93">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供水管网设备安装新井开挖，施工及井盖等</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1、土方开挖：Φ2.1m × 1.8m，约 6.24 m³</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2、土方回填：约 4.00 m³</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3、C15混凝土垫层：Φ1.7m × 0.1m，约 0.23 m³</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4、砌砖工程量：约 1.05 m³</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5、水泥砂浆抹面：约 17.0 ㎡</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6、井圈、井盖Φ1000：1 套</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7、爬梯：1 套</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8、余方弃运：约 2.24 m³</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9、施工围挡（彩钢围挡 + 基础 + 拆除）</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10、安全文明施工费（警示牌、锥桶、警示灯、扬尘覆盖）</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11、占道 / 破路审批费（市政、城管、交警报备）</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12、路面破除与恢复</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13、土方外运及弃土场费（5KM以上）</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14、夜间施工 / 交通疏导</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15、抽水、排水</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16、顶部承重盖板配合井盖1.7m*1.7m，C30,20cm厚，配筋φ12，间距15cm；预留井盖孔；</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17、井口配备防跌落防护网</w:t>
            </w:r>
          </w:p>
        </w:tc>
        <w:tc>
          <w:tcPr>
            <w:tcW w:w="526" w:type="dxa"/>
            <w:noWrap w:val="0"/>
            <w:vAlign w:val="center"/>
          </w:tcPr>
          <w:p w14:paraId="5E222D30">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个</w:t>
            </w:r>
          </w:p>
        </w:tc>
        <w:tc>
          <w:tcPr>
            <w:tcW w:w="623" w:type="dxa"/>
            <w:noWrap/>
            <w:vAlign w:val="center"/>
          </w:tcPr>
          <w:p w14:paraId="77F67668">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32</w:t>
            </w:r>
          </w:p>
        </w:tc>
        <w:tc>
          <w:tcPr>
            <w:tcW w:w="992" w:type="dxa"/>
            <w:noWrap w:val="0"/>
            <w:vAlign w:val="center"/>
          </w:tcPr>
          <w:p w14:paraId="0F07A085">
            <w:pPr>
              <w:widowControl/>
              <w:wordWrap w:val="0"/>
              <w:autoSpaceDE/>
              <w:autoSpaceDN/>
              <w:jc w:val="left"/>
              <w:rPr>
                <w:rFonts w:hint="eastAsia" w:ascii="黑体" w:hAnsi="黑体" w:eastAsia="黑体" w:cs="黑体"/>
                <w:color w:val="auto"/>
                <w:kern w:val="0"/>
                <w:sz w:val="21"/>
                <w:szCs w:val="21"/>
                <w:highlight w:val="none"/>
                <w:lang w:eastAsia="zh-CN"/>
              </w:rPr>
            </w:pPr>
            <w:r>
              <w:rPr>
                <w:rFonts w:hint="eastAsia" w:ascii="黑体" w:hAnsi="黑体" w:eastAsia="黑体" w:cs="黑体"/>
                <w:color w:val="auto"/>
                <w:kern w:val="0"/>
                <w:sz w:val="21"/>
                <w:szCs w:val="21"/>
                <w:highlight w:val="none"/>
                <w:lang w:eastAsia="zh-CN"/>
              </w:rPr>
              <w:t>含井盖</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2个DN500</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13个DN300</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8个DN200</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7个DN110</w:t>
            </w:r>
            <w:r>
              <w:rPr>
                <w:rFonts w:hint="eastAsia" w:ascii="黑体" w:hAnsi="黑体" w:eastAsia="黑体" w:cs="黑体"/>
                <w:color w:val="auto"/>
                <w:kern w:val="0"/>
                <w:sz w:val="21"/>
                <w:szCs w:val="21"/>
                <w:highlight w:val="none"/>
                <w:lang w:eastAsia="zh-CN"/>
              </w:rPr>
              <w:br w:type="textWrapping"/>
            </w:r>
            <w:r>
              <w:rPr>
                <w:rFonts w:hint="eastAsia" w:ascii="黑体" w:hAnsi="黑体" w:eastAsia="黑体" w:cs="黑体"/>
                <w:color w:val="auto"/>
                <w:kern w:val="0"/>
                <w:sz w:val="21"/>
                <w:szCs w:val="21"/>
                <w:highlight w:val="none"/>
                <w:lang w:eastAsia="zh-CN"/>
              </w:rPr>
              <w:t>2个DN160</w:t>
            </w:r>
          </w:p>
        </w:tc>
      </w:tr>
      <w:tr w14:paraId="74743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509" w:type="dxa"/>
            <w:noWrap/>
            <w:vAlign w:val="center"/>
          </w:tcPr>
          <w:p w14:paraId="0B4B12CE">
            <w:pPr>
              <w:widowControl/>
              <w:wordWrap w:val="0"/>
              <w:autoSpaceDE/>
              <w:autoSpaceDN/>
              <w:jc w:val="center"/>
              <w:rPr>
                <w:rFonts w:hint="default" w:ascii="黑体" w:hAnsi="黑体" w:eastAsia="黑体" w:cs="黑体"/>
                <w:color w:val="auto"/>
                <w:kern w:val="0"/>
                <w:sz w:val="21"/>
                <w:szCs w:val="21"/>
                <w:highlight w:val="none"/>
                <w:lang w:val="en-US" w:eastAsia="zh-CN"/>
              </w:rPr>
            </w:pPr>
            <w:r>
              <w:rPr>
                <w:rFonts w:hint="eastAsia" w:ascii="黑体" w:hAnsi="黑体" w:eastAsia="黑体" w:cs="黑体"/>
                <w:color w:val="auto"/>
                <w:kern w:val="0"/>
                <w:sz w:val="21"/>
                <w:szCs w:val="21"/>
                <w:highlight w:val="none"/>
                <w:lang w:val="en-US" w:eastAsia="zh-CN"/>
              </w:rPr>
              <w:t>24</w:t>
            </w:r>
          </w:p>
        </w:tc>
        <w:tc>
          <w:tcPr>
            <w:tcW w:w="911" w:type="dxa"/>
            <w:noWrap/>
            <w:vAlign w:val="center"/>
          </w:tcPr>
          <w:p w14:paraId="66F6A44B">
            <w:pPr>
              <w:widowControl/>
              <w:wordWrap w:val="0"/>
              <w:autoSpaceDE/>
              <w:autoSpaceDN/>
              <w:jc w:val="center"/>
              <w:rPr>
                <w:rFonts w:hint="eastAsia" w:ascii="黑体" w:hAnsi="黑体" w:eastAsia="黑体" w:cs="黑体"/>
                <w:color w:val="auto"/>
                <w:kern w:val="0"/>
                <w:sz w:val="21"/>
                <w:szCs w:val="21"/>
                <w:highlight w:val="none"/>
                <w:lang w:eastAsia="zh-CN"/>
              </w:rPr>
            </w:pPr>
            <w:r>
              <w:rPr>
                <w:rFonts w:hint="eastAsia" w:ascii="黑体" w:hAnsi="黑体" w:eastAsia="黑体" w:cs="黑体"/>
                <w:i w:val="0"/>
                <w:iCs w:val="0"/>
                <w:color w:val="000000"/>
                <w:sz w:val="21"/>
                <w:szCs w:val="21"/>
                <w:highlight w:val="none"/>
                <w:u w:val="none"/>
                <w:lang w:eastAsia="zh-CN"/>
              </w:rPr>
              <w:t>不可预见费</w:t>
            </w:r>
            <w:r>
              <w:rPr>
                <w:rFonts w:hint="eastAsia" w:ascii="黑体" w:hAnsi="黑体" w:eastAsia="黑体" w:cs="黑体"/>
                <w:i w:val="0"/>
                <w:iCs w:val="0"/>
                <w:color w:val="000000"/>
                <w:kern w:val="0"/>
                <w:sz w:val="21"/>
                <w:szCs w:val="21"/>
                <w:highlight w:val="none"/>
                <w:u w:val="none"/>
                <w:lang w:val="en-US" w:eastAsia="zh-CN" w:bidi="ar"/>
              </w:rPr>
              <w:t>用</w:t>
            </w:r>
          </w:p>
        </w:tc>
        <w:tc>
          <w:tcPr>
            <w:tcW w:w="2125" w:type="dxa"/>
            <w:noWrap/>
            <w:vAlign w:val="center"/>
          </w:tcPr>
          <w:p w14:paraId="6DB7485F">
            <w:pPr>
              <w:widowControl/>
              <w:wordWrap w:val="0"/>
              <w:autoSpaceDE/>
              <w:autoSpaceDN/>
              <w:jc w:val="center"/>
              <w:rPr>
                <w:rFonts w:hint="eastAsia" w:ascii="黑体" w:hAnsi="黑体" w:eastAsia="黑体" w:cs="黑体"/>
                <w:color w:val="auto"/>
                <w:kern w:val="0"/>
                <w:sz w:val="21"/>
                <w:szCs w:val="21"/>
                <w:highlight w:val="none"/>
                <w:lang w:eastAsia="zh-CN"/>
              </w:rPr>
            </w:pPr>
          </w:p>
        </w:tc>
        <w:tc>
          <w:tcPr>
            <w:tcW w:w="3670" w:type="dxa"/>
            <w:noWrap w:val="0"/>
            <w:vAlign w:val="center"/>
          </w:tcPr>
          <w:p w14:paraId="25E26BCB">
            <w:pPr>
              <w:widowControl/>
              <w:wordWrap w:val="0"/>
              <w:autoSpaceDE/>
              <w:autoSpaceDN/>
              <w:jc w:val="left"/>
              <w:rPr>
                <w:rFonts w:hint="eastAsia" w:ascii="黑体" w:hAnsi="黑体" w:eastAsia="黑体" w:cs="黑体"/>
                <w:color w:val="auto"/>
                <w:kern w:val="0"/>
                <w:sz w:val="21"/>
                <w:szCs w:val="21"/>
                <w:highlight w:val="none"/>
                <w:lang w:eastAsia="zh-CN"/>
              </w:rPr>
            </w:pPr>
          </w:p>
        </w:tc>
        <w:tc>
          <w:tcPr>
            <w:tcW w:w="526" w:type="dxa"/>
            <w:noWrap w:val="0"/>
            <w:vAlign w:val="center"/>
          </w:tcPr>
          <w:p w14:paraId="1CD6C673">
            <w:pPr>
              <w:widowControl/>
              <w:wordWrap w:val="0"/>
              <w:autoSpaceDE/>
              <w:autoSpaceDN/>
              <w:jc w:val="center"/>
              <w:rPr>
                <w:rFonts w:hint="default" w:ascii="黑体" w:hAnsi="黑体" w:eastAsia="黑体" w:cs="黑体"/>
                <w:color w:val="auto"/>
                <w:kern w:val="0"/>
                <w:sz w:val="21"/>
                <w:szCs w:val="21"/>
                <w:highlight w:val="none"/>
                <w:lang w:val="en-US" w:eastAsia="zh-CN"/>
              </w:rPr>
            </w:pPr>
            <w:r>
              <w:rPr>
                <w:rFonts w:hint="eastAsia" w:ascii="黑体" w:hAnsi="黑体" w:eastAsia="黑体" w:cs="黑体"/>
                <w:color w:val="auto"/>
                <w:kern w:val="0"/>
                <w:sz w:val="21"/>
                <w:szCs w:val="21"/>
                <w:highlight w:val="none"/>
                <w:lang w:val="en-US" w:eastAsia="zh-CN"/>
              </w:rPr>
              <w:t>项</w:t>
            </w:r>
          </w:p>
        </w:tc>
        <w:tc>
          <w:tcPr>
            <w:tcW w:w="623" w:type="dxa"/>
            <w:noWrap/>
            <w:vAlign w:val="center"/>
          </w:tcPr>
          <w:p w14:paraId="5FF4D720">
            <w:pPr>
              <w:widowControl/>
              <w:wordWrap w:val="0"/>
              <w:autoSpaceDE/>
              <w:autoSpaceDN/>
              <w:jc w:val="center"/>
              <w:rPr>
                <w:rFonts w:hint="default" w:ascii="黑体" w:hAnsi="黑体" w:eastAsia="黑体" w:cs="黑体"/>
                <w:color w:val="auto"/>
                <w:kern w:val="0"/>
                <w:sz w:val="21"/>
                <w:szCs w:val="21"/>
                <w:highlight w:val="none"/>
                <w:lang w:val="en-US" w:eastAsia="zh-CN"/>
              </w:rPr>
            </w:pPr>
            <w:r>
              <w:rPr>
                <w:rFonts w:hint="eastAsia" w:ascii="黑体" w:hAnsi="黑体" w:eastAsia="黑体" w:cs="黑体"/>
                <w:color w:val="auto"/>
                <w:kern w:val="0"/>
                <w:sz w:val="21"/>
                <w:szCs w:val="21"/>
                <w:highlight w:val="none"/>
                <w:lang w:val="en-US" w:eastAsia="zh-CN"/>
              </w:rPr>
              <w:t>1</w:t>
            </w:r>
          </w:p>
        </w:tc>
        <w:tc>
          <w:tcPr>
            <w:tcW w:w="992" w:type="dxa"/>
            <w:noWrap w:val="0"/>
            <w:vAlign w:val="center"/>
          </w:tcPr>
          <w:p w14:paraId="18396D4C">
            <w:pPr>
              <w:widowControl/>
              <w:wordWrap w:val="0"/>
              <w:autoSpaceDE/>
              <w:autoSpaceDN/>
              <w:jc w:val="left"/>
              <w:rPr>
                <w:rFonts w:hint="default" w:ascii="黑体" w:hAnsi="黑体" w:eastAsia="黑体" w:cs="黑体"/>
                <w:color w:val="auto"/>
                <w:kern w:val="0"/>
                <w:sz w:val="21"/>
                <w:szCs w:val="21"/>
                <w:highlight w:val="none"/>
                <w:lang w:val="en-US" w:eastAsia="zh-CN"/>
              </w:rPr>
            </w:pPr>
            <w:r>
              <w:rPr>
                <w:rFonts w:hint="eastAsia" w:ascii="黑体" w:hAnsi="黑体" w:eastAsia="黑体" w:cs="黑体"/>
                <w:i w:val="0"/>
                <w:iCs w:val="0"/>
                <w:color w:val="000000"/>
                <w:sz w:val="21"/>
                <w:szCs w:val="21"/>
                <w:highlight w:val="none"/>
                <w:u w:val="none"/>
                <w:lang w:eastAsia="zh-CN"/>
              </w:rPr>
              <w:t>不可预见费</w:t>
            </w:r>
            <w:r>
              <w:rPr>
                <w:rFonts w:hint="eastAsia" w:ascii="黑体" w:hAnsi="黑体" w:eastAsia="黑体" w:cs="黑体"/>
                <w:i w:val="0"/>
                <w:iCs w:val="0"/>
                <w:color w:val="000000"/>
                <w:kern w:val="0"/>
                <w:sz w:val="21"/>
                <w:szCs w:val="21"/>
                <w:highlight w:val="none"/>
                <w:u w:val="none"/>
                <w:lang w:val="en-US" w:eastAsia="zh-CN" w:bidi="ar"/>
              </w:rPr>
              <w:t>用为</w:t>
            </w:r>
            <w:r>
              <w:rPr>
                <w:rFonts w:hint="eastAsia" w:ascii="黑体" w:hAnsi="黑体" w:eastAsia="黑体" w:cs="黑体"/>
                <w:color w:val="auto"/>
                <w:kern w:val="0"/>
                <w:sz w:val="21"/>
                <w:szCs w:val="21"/>
                <w:highlight w:val="none"/>
                <w:lang w:eastAsia="zh-CN"/>
              </w:rPr>
              <w:t>61602</w:t>
            </w:r>
            <w:r>
              <w:rPr>
                <w:rFonts w:hint="eastAsia" w:ascii="黑体" w:hAnsi="黑体" w:eastAsia="黑体" w:cs="黑体"/>
                <w:color w:val="auto"/>
                <w:kern w:val="0"/>
                <w:sz w:val="21"/>
                <w:szCs w:val="21"/>
                <w:highlight w:val="none"/>
                <w:lang w:val="en-US" w:eastAsia="zh-CN"/>
              </w:rPr>
              <w:t>.00元</w:t>
            </w:r>
            <w:r>
              <w:rPr>
                <w:rFonts w:hint="eastAsia" w:ascii="黑体" w:hAnsi="黑体" w:eastAsia="黑体" w:cs="黑体"/>
                <w:i w:val="0"/>
                <w:iCs w:val="0"/>
                <w:color w:val="000000"/>
                <w:kern w:val="0"/>
                <w:sz w:val="21"/>
                <w:szCs w:val="21"/>
                <w:highlight w:val="none"/>
                <w:u w:val="none"/>
                <w:lang w:val="en-US" w:eastAsia="zh-CN" w:bidi="ar"/>
              </w:rPr>
              <w:t>元，为不可竞争费用。</w:t>
            </w:r>
          </w:p>
        </w:tc>
      </w:tr>
    </w:tbl>
    <w:p w14:paraId="4183B6D1">
      <w:pPr>
        <w:keepNext/>
        <w:keepLines/>
        <w:pageBreakBefore w:val="0"/>
        <w:widowControl w:val="0"/>
        <w:numPr>
          <w:ilvl w:val="0"/>
          <w:numId w:val="0"/>
        </w:numPr>
        <w:kinsoku/>
        <w:wordWrap/>
        <w:overflowPunct/>
        <w:topLinePunct w:val="0"/>
        <w:autoSpaceDE/>
        <w:autoSpaceDN/>
        <w:bidi w:val="0"/>
        <w:adjustRightInd/>
        <w:snapToGrid/>
        <w:spacing w:line="360" w:lineRule="exact"/>
        <w:jc w:val="both"/>
        <w:outlineLvl w:val="1"/>
        <w:rPr>
          <w:rFonts w:hint="eastAsia" w:ascii="黑体" w:hAnsi="黑体" w:eastAsia="黑体" w:cs="黑体"/>
          <w:b/>
          <w:bCs/>
          <w:color w:val="auto"/>
          <w:kern w:val="2"/>
          <w:sz w:val="21"/>
          <w:szCs w:val="21"/>
          <w:highlight w:val="none"/>
          <w:lang w:val="en-US" w:eastAsia="zh-CN" w:bidi="ar-SA"/>
        </w:rPr>
      </w:pPr>
      <w:r>
        <w:rPr>
          <w:rFonts w:hint="eastAsia" w:ascii="黑体" w:hAnsi="黑体" w:eastAsia="黑体" w:cs="黑体"/>
          <w:b/>
          <w:bCs/>
          <w:color w:val="auto"/>
          <w:kern w:val="2"/>
          <w:sz w:val="21"/>
          <w:szCs w:val="21"/>
          <w:highlight w:val="none"/>
          <w:lang w:val="en-US" w:eastAsia="zh-CN" w:bidi="ar-SA"/>
        </w:rPr>
        <w:t xml:space="preserve">六、服务要求 </w:t>
      </w:r>
    </w:p>
    <w:p w14:paraId="1867A1A5">
      <w:pPr>
        <w:keepNext w:val="0"/>
        <w:keepLines w:val="0"/>
        <w:pageBreakBefore w:val="0"/>
        <w:widowControl w:val="0"/>
        <w:numPr>
          <w:ilvl w:val="0"/>
          <w:numId w:val="0"/>
        </w:numPr>
        <w:kinsoku/>
        <w:wordWrap/>
        <w:overflowPunct/>
        <w:topLinePunct w:val="0"/>
        <w:autoSpaceDE/>
        <w:autoSpaceDN/>
        <w:bidi w:val="0"/>
        <w:adjustRightInd/>
        <w:snapToGrid/>
        <w:spacing w:after="0" w:afterLines="0" w:line="380" w:lineRule="exact"/>
        <w:ind w:firstLine="420" w:firstLineChars="200"/>
        <w:jc w:val="both"/>
        <w:textAlignment w:val="auto"/>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kern w:val="2"/>
          <w:sz w:val="21"/>
          <w:szCs w:val="21"/>
          <w:highlight w:val="none"/>
          <w:lang w:val="en-US" w:eastAsia="zh-CN" w:bidi="ar-SA"/>
        </w:rPr>
        <w:t>1.工期：自合同签订之日起60天（日历日）内完成设备采购、安装部署、调试联通及系统联调工作。</w:t>
      </w:r>
    </w:p>
    <w:p w14:paraId="7024DA0A">
      <w:pPr>
        <w:pageBreakBefore w:val="0"/>
        <w:kinsoku/>
        <w:wordWrap/>
        <w:overflowPunct/>
        <w:topLinePunct w:val="0"/>
        <w:autoSpaceDE/>
        <w:autoSpaceDN/>
        <w:bidi w:val="0"/>
        <w:adjustRightInd/>
        <w:snapToGrid/>
        <w:spacing w:line="360" w:lineRule="exact"/>
        <w:ind w:firstLine="420" w:firstLineChars="200"/>
        <w:rPr>
          <w:rFonts w:hint="eastAsia" w:ascii="黑体" w:hAnsi="黑体" w:eastAsia="黑体" w:cs="黑体"/>
          <w:color w:val="auto"/>
          <w:sz w:val="21"/>
          <w:szCs w:val="21"/>
          <w:highlight w:val="none"/>
          <w:lang w:val="en-US" w:eastAsia="zh-CN"/>
        </w:rPr>
      </w:pPr>
      <w:r>
        <w:rPr>
          <w:rFonts w:hint="eastAsia" w:ascii="黑体" w:hAnsi="黑体" w:eastAsia="黑体" w:cs="黑体"/>
          <w:color w:val="auto"/>
          <w:sz w:val="21"/>
          <w:szCs w:val="21"/>
          <w:highlight w:val="none"/>
          <w:lang w:val="en-US" w:eastAsia="zh-CN"/>
        </w:rPr>
        <w:t xml:space="preserve">2.付款方式：合同签订时约定。 </w:t>
      </w:r>
    </w:p>
    <w:p w14:paraId="70188704">
      <w:pPr>
        <w:pageBreakBefore w:val="0"/>
        <w:kinsoku/>
        <w:wordWrap/>
        <w:overflowPunct/>
        <w:topLinePunct w:val="0"/>
        <w:autoSpaceDE/>
        <w:autoSpaceDN/>
        <w:bidi w:val="0"/>
        <w:adjustRightInd/>
        <w:snapToGrid/>
        <w:spacing w:line="360" w:lineRule="exact"/>
        <w:ind w:firstLine="420" w:firstLineChars="200"/>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sz w:val="21"/>
          <w:szCs w:val="21"/>
          <w:highlight w:val="none"/>
          <w:lang w:val="en-US" w:eastAsia="zh-CN"/>
        </w:rPr>
        <w:t>3.质量要求：供应商提供的监测设备应符合国家及行业相关技术标准要求，设备性能稳定可靠，满足城市生命线安全工程长期运行需求。</w:t>
      </w:r>
    </w:p>
    <w:p w14:paraId="504847AE">
      <w:pPr>
        <w:keepNext w:val="0"/>
        <w:keepLines w:val="0"/>
        <w:pageBreakBefore w:val="0"/>
        <w:widowControl w:val="0"/>
        <w:numPr>
          <w:ilvl w:val="0"/>
          <w:numId w:val="0"/>
        </w:numPr>
        <w:kinsoku/>
        <w:wordWrap/>
        <w:overflowPunct/>
        <w:topLinePunct w:val="0"/>
        <w:autoSpaceDE/>
        <w:autoSpaceDN/>
        <w:bidi w:val="0"/>
        <w:adjustRightInd/>
        <w:snapToGrid/>
        <w:spacing w:after="0" w:afterLines="0" w:line="380" w:lineRule="exact"/>
        <w:ind w:firstLine="420" w:firstLineChars="200"/>
        <w:jc w:val="both"/>
        <w:textAlignment w:val="auto"/>
        <w:rPr>
          <w:rFonts w:hint="eastAsia" w:ascii="黑体" w:hAnsi="黑体" w:eastAsia="黑体" w:cs="黑体"/>
          <w:i w:val="0"/>
          <w:iCs w:val="0"/>
          <w:color w:val="auto"/>
          <w:kern w:val="0"/>
          <w:sz w:val="21"/>
          <w:szCs w:val="21"/>
          <w:highlight w:val="none"/>
          <w:u w:val="none"/>
          <w:lang w:val="en-US" w:eastAsia="zh-CN" w:bidi="ar"/>
        </w:rPr>
      </w:pPr>
      <w:r>
        <w:rPr>
          <w:rFonts w:hint="eastAsia" w:ascii="黑体" w:hAnsi="黑体" w:eastAsia="黑体" w:cs="黑体"/>
          <w:color w:val="auto"/>
          <w:kern w:val="2"/>
          <w:sz w:val="21"/>
          <w:szCs w:val="21"/>
          <w:highlight w:val="none"/>
          <w:lang w:val="en-US" w:eastAsia="zh-CN" w:bidi="ar-SA"/>
        </w:rPr>
        <w:t>4.</w:t>
      </w:r>
      <w:r>
        <w:rPr>
          <w:rFonts w:hint="eastAsia" w:ascii="黑体" w:hAnsi="黑体" w:eastAsia="黑体" w:cs="黑体"/>
          <w:i w:val="0"/>
          <w:iCs w:val="0"/>
          <w:color w:val="auto"/>
          <w:kern w:val="0"/>
          <w:sz w:val="21"/>
          <w:szCs w:val="21"/>
          <w:highlight w:val="none"/>
          <w:u w:val="none"/>
          <w:lang w:val="en-US" w:eastAsia="zh-CN" w:bidi="ar"/>
        </w:rPr>
        <w:t>报价要求：（1）供应商的报价应包含为完成本采购文件提出的货物或服务等全部相关工作所有可能发生的费用，即投标报价为全费用单价。若合价计算有误，按全费用单价修改合价。对在合同实施过程中可能发生的其他费用，采购人概不负责。（2）对本文件未列明，而供应商认为必需的费用也需列入投标总报价。在合同实施时，采购人将不予支付成交供应商没有列入的项目费用，并认为此项目的费用已包含在响应总报价中。</w:t>
      </w:r>
    </w:p>
    <w:p w14:paraId="36AB1DCE">
      <w:pPr>
        <w:keepNext w:val="0"/>
        <w:keepLines w:val="0"/>
        <w:widowControl/>
        <w:suppressLineNumbers w:val="0"/>
        <w:wordWrap/>
        <w:autoSpaceDE/>
        <w:autoSpaceDN/>
        <w:spacing w:before="0" w:beforeAutospacing="0" w:after="0" w:afterAutospacing="0" w:line="440" w:lineRule="exact"/>
        <w:ind w:left="0" w:leftChars="0" w:right="0" w:rightChars="0" w:firstLine="420" w:firstLineChars="0"/>
        <w:jc w:val="left"/>
        <w:textAlignment w:val="center"/>
        <w:rPr>
          <w:rFonts w:hint="eastAsia" w:ascii="黑体" w:hAnsi="黑体" w:eastAsia="黑体" w:cs="黑体"/>
          <w:i w:val="0"/>
          <w:iCs w:val="0"/>
          <w:color w:val="auto"/>
          <w:kern w:val="0"/>
          <w:sz w:val="21"/>
          <w:szCs w:val="21"/>
          <w:highlight w:val="none"/>
          <w:u w:val="none"/>
          <w:lang w:val="en-US" w:eastAsia="zh-CN" w:bidi="ar"/>
        </w:rPr>
      </w:pPr>
      <w:r>
        <w:rPr>
          <w:rFonts w:hint="eastAsia" w:ascii="黑体" w:hAnsi="黑体" w:eastAsia="黑体" w:cs="黑体"/>
          <w:i w:val="0"/>
          <w:iCs w:val="0"/>
          <w:color w:val="auto"/>
          <w:kern w:val="0"/>
          <w:sz w:val="21"/>
          <w:szCs w:val="21"/>
          <w:highlight w:val="none"/>
          <w:u w:val="none"/>
          <w:lang w:val="en-US" w:eastAsia="zh-CN" w:bidi="ar"/>
        </w:rPr>
        <w:t xml:space="preserve">5.验收要求：（1）在发货前，供应商应对货物的质量、规格、参数、性能、数量等进行准确而全面的检验，并出具证明货物符合合同规定的证明文件（含合格证、技术参数说明书、有效期内的出厂检验报告等）。该证明文件将作为提交付款单据的一部分，但有关质量、规格、参数、性能、数量或重量的检验不应视为最终检验。检验的结果和细节应附在检验证书后面。（2）货物交付时，须经采购人现场检验。供应商应准备好相关初步验收资料，验收内容包括：产地、货号、规格、参数、数量、外观质量及设备是否完好等，产品到货及安装验收、功能验收、文档的完整性验收、数据对接全面性验收。（3）货物交付后，在安装前应仔细检查货物自身无缺陷后方可安装，如果存在货物破损、自身材质、规格等质量缺陷，采购人有权要求将货物退场，由此引起的一切后果由供应商承担。（4）货物进场后供应商自行负责设备看管工作，如因看管不善所造成的一切损失均由供应商自行承担。 </w:t>
      </w:r>
    </w:p>
    <w:p w14:paraId="674DCAEE">
      <w:pPr>
        <w:widowControl w:val="0"/>
        <w:ind w:left="0" w:leftChars="0" w:firstLine="420" w:firstLineChars="0"/>
        <w:jc w:val="both"/>
        <w:rPr>
          <w:rFonts w:hint="eastAsia" w:ascii="黑体" w:hAnsi="黑体" w:eastAsia="黑体" w:cs="黑体"/>
          <w:i w:val="0"/>
          <w:iCs w:val="0"/>
          <w:color w:val="auto"/>
          <w:kern w:val="0"/>
          <w:sz w:val="21"/>
          <w:szCs w:val="21"/>
          <w:highlight w:val="none"/>
          <w:u w:val="none"/>
          <w:lang w:val="en-US" w:eastAsia="zh-CN" w:bidi="ar"/>
        </w:rPr>
      </w:pPr>
      <w:r>
        <w:rPr>
          <w:rFonts w:hint="eastAsia" w:ascii="黑体" w:hAnsi="黑体" w:eastAsia="黑体" w:cs="黑体"/>
          <w:i w:val="0"/>
          <w:iCs w:val="0"/>
          <w:color w:val="auto"/>
          <w:kern w:val="0"/>
          <w:sz w:val="21"/>
          <w:szCs w:val="21"/>
          <w:highlight w:val="none"/>
          <w:u w:val="none"/>
          <w:lang w:val="en-US" w:eastAsia="zh-CN" w:bidi="ar"/>
        </w:rPr>
        <w:t>6.质保期：本项目质量保证期为一年（从验收合格之日开始计算）。</w:t>
      </w:r>
    </w:p>
    <w:p w14:paraId="72ECFB77">
      <w:pPr>
        <w:widowControl w:val="0"/>
        <w:ind w:left="0" w:leftChars="0" w:firstLine="420" w:firstLineChars="0"/>
        <w:jc w:val="both"/>
        <w:rPr>
          <w:rFonts w:hint="default" w:ascii="黑体" w:hAnsi="黑体" w:eastAsia="黑体" w:cs="黑体"/>
          <w:i w:val="0"/>
          <w:iCs w:val="0"/>
          <w:color w:val="auto"/>
          <w:kern w:val="0"/>
          <w:sz w:val="21"/>
          <w:szCs w:val="21"/>
          <w:highlight w:val="none"/>
          <w:u w:val="none"/>
          <w:lang w:val="en-US" w:eastAsia="zh-CN" w:bidi="ar"/>
        </w:rPr>
      </w:pPr>
      <w:r>
        <w:rPr>
          <w:rFonts w:hint="eastAsia" w:ascii="黑体" w:hAnsi="黑体" w:eastAsia="黑体" w:cs="黑体"/>
          <w:i w:val="0"/>
          <w:iCs w:val="0"/>
          <w:color w:val="auto"/>
          <w:kern w:val="0"/>
          <w:sz w:val="21"/>
          <w:szCs w:val="21"/>
          <w:highlight w:val="none"/>
          <w:u w:val="none"/>
          <w:lang w:val="en-US" w:eastAsia="zh-CN" w:bidi="ar"/>
        </w:rPr>
        <w:t>7.售后服务要求：（1） 在质保期内必须为最终用户提供全天候的技术服务支持，负责解答用户在产品使用中遇到的问题，并及时提出解决问题的建议和操作方法。（2） 所投的产品在质量保证期内使用发生故障时，成交供应商在接到采购人故障通知后应及时响应（1小时响应，24小时内解决问题），不得影响正常使用（如果不能及时解决，应及时提供备件替代直至问题解决），所发生的一切费用由成交供应商承担。（3）质保期内出现任何质量问题（人为破坏或自然灾害等不可抗力除外），由成交供应商负责全免费（免全部工时费、材料费、管理费、财务费等等）更换或维修。质保期满后，无论采购人是否另行选择维保供应商，成交供应商应及时优惠提供所需的备品备件。</w:t>
      </w:r>
    </w:p>
    <w:p w14:paraId="7A7CE012">
      <w:pPr>
        <w:keepNext w:val="0"/>
        <w:keepLines w:val="0"/>
        <w:pageBreakBefore w:val="0"/>
        <w:widowControl w:val="0"/>
        <w:numPr>
          <w:ilvl w:val="0"/>
          <w:numId w:val="0"/>
        </w:numPr>
        <w:kinsoku/>
        <w:wordWrap/>
        <w:overflowPunct/>
        <w:topLinePunct w:val="0"/>
        <w:autoSpaceDE/>
        <w:autoSpaceDN/>
        <w:bidi w:val="0"/>
        <w:adjustRightInd/>
        <w:snapToGrid/>
        <w:spacing w:after="0" w:afterLines="0" w:line="380" w:lineRule="exact"/>
        <w:ind w:firstLine="420" w:firstLineChars="200"/>
        <w:jc w:val="both"/>
        <w:textAlignment w:val="auto"/>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kern w:val="2"/>
          <w:sz w:val="21"/>
          <w:szCs w:val="21"/>
          <w:highlight w:val="none"/>
          <w:lang w:val="en-US" w:eastAsia="zh-CN" w:bidi="ar-SA"/>
        </w:rPr>
        <w:t>8.数据接入要求：完成物联网监测设备与城市生命线安全运行监测平台的数据接入，实现监测数据实时上传和统一管理。</w:t>
      </w:r>
    </w:p>
    <w:p w14:paraId="4966E07C">
      <w:pPr>
        <w:keepNext w:val="0"/>
        <w:keepLines w:val="0"/>
        <w:pageBreakBefore w:val="0"/>
        <w:widowControl w:val="0"/>
        <w:numPr>
          <w:ilvl w:val="0"/>
          <w:numId w:val="0"/>
        </w:numPr>
        <w:kinsoku/>
        <w:wordWrap/>
        <w:overflowPunct/>
        <w:topLinePunct w:val="0"/>
        <w:autoSpaceDE/>
        <w:autoSpaceDN/>
        <w:bidi w:val="0"/>
        <w:adjustRightInd/>
        <w:snapToGrid/>
        <w:spacing w:after="0" w:afterLines="0" w:line="380" w:lineRule="exact"/>
        <w:ind w:firstLine="420" w:firstLineChars="200"/>
        <w:jc w:val="both"/>
        <w:textAlignment w:val="auto"/>
        <w:rPr>
          <w:rFonts w:hint="eastAsia" w:ascii="黑体" w:hAnsi="黑体" w:eastAsia="黑体" w:cs="黑体"/>
          <w:b w:val="0"/>
          <w:bCs w:val="0"/>
          <w:color w:val="auto"/>
          <w:kern w:val="2"/>
          <w:sz w:val="24"/>
          <w:szCs w:val="24"/>
          <w:highlight w:val="none"/>
          <w:lang w:val="en-US" w:eastAsia="zh-CN" w:bidi="ar-SA"/>
        </w:rPr>
      </w:pPr>
      <w:r>
        <w:rPr>
          <w:rFonts w:hint="eastAsia" w:ascii="黑体" w:hAnsi="黑体" w:eastAsia="黑体" w:cs="黑体"/>
          <w:color w:val="auto"/>
          <w:kern w:val="2"/>
          <w:sz w:val="21"/>
          <w:szCs w:val="21"/>
          <w:highlight w:val="none"/>
          <w:lang w:val="en-US" w:eastAsia="zh-CN" w:bidi="ar-SA"/>
        </w:rPr>
        <w:t>9.运维服务要求：提供不少于一年的免费运行维护服务，运行维护期自项目竣工验收合格之日起计算。服务期内负责设备运行保障、故障处理及系统运行支持。</w:t>
      </w:r>
    </w:p>
    <w:p w14:paraId="56FB5527">
      <w:r>
        <w:rPr>
          <w:rFonts w:hint="eastAsia" w:ascii="黑体" w:hAnsi="黑体" w:eastAsia="黑体" w:cs="黑体"/>
          <w:color w:val="auto"/>
          <w:kern w:val="2"/>
          <w:sz w:val="21"/>
          <w:szCs w:val="21"/>
          <w:highlight w:val="none"/>
          <w:lang w:val="en-US" w:eastAsia="zh-CN" w:bidi="ar-SA"/>
        </w:rPr>
        <w:t>10：其他要求：（1）供应商所提供的技术说明文件应与货物相对应一致，并尽可能完整清晰，且应为原件。合同技术文件应与每批货物共同包装送交，费用应包含于货物的报价中。货物的技术说明文件应为中文。文字应简单易懂。硬件的技术文件应附详尽图表以便安装和纠错指导。供应商应提供产品使用技术手册或操作规程，其内容至少包括：相关硬件的安装指导、安装手册、使用说明书、设备保养、维护手册（包含错误诊断、测试程序）等；（2）供应商在施工前应做好原有建筑物、设备、水管、绿化、道路等成品保护工作，不得野蛮施工，不得损坏、破坏原有建筑物、设备、水管、绿化、道路，如损坏或破坏原有建筑物、设备、水管、绿化、道路的，供应商应负责修复完善。如供应商未及时修复或修复成果达不到相关要求的，供应商应继续修复完善，同时造成一切损失由供应商自行负责。</w:t>
      </w:r>
    </w:p>
    <w:sectPr>
      <w:pgSz w:w="11906" w:h="16838"/>
      <w:pgMar w:top="1440" w:right="1440" w:bottom="144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modern"/>
    <w:pitch w:val="default"/>
    <w:sig w:usb0="E0002EFF" w:usb1="C000785B" w:usb2="00000009" w:usb3="00000000" w:csb0="400001FF" w:csb1="FFFF0000"/>
  </w:font>
  <w:font w:name="宋体">
    <w:panose1 w:val="02010600030101010101"/>
    <w:charset w:val="81"/>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BECE3C"/>
    <w:multiLevelType w:val="singleLevel"/>
    <w:tmpl w:val="A7BECE3C"/>
    <w:lvl w:ilvl="0" w:tentative="0">
      <w:start w:val="5"/>
      <w:numFmt w:val="chineseCounting"/>
      <w:suff w:val="nothing"/>
      <w:lvlText w:val="%1、"/>
      <w:lvlJc w:val="left"/>
      <w:rPr>
        <w:rFonts w:hint="eastAsia"/>
      </w:rPr>
    </w:lvl>
  </w:abstractNum>
  <w:abstractNum w:abstractNumId="1">
    <w:nsid w:val="5557B1DA"/>
    <w:multiLevelType w:val="singleLevel"/>
    <w:tmpl w:val="5557B1DA"/>
    <w:lvl w:ilvl="0" w:tentative="0">
      <w:start w:val="1"/>
      <w:numFmt w:val="decimal"/>
      <w:suff w:val="nothing"/>
      <w:lvlText w:val="%1．"/>
      <w:lvlJc w:val="left"/>
      <w:pPr>
        <w:ind w:left="0" w:firstLine="4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3847A8"/>
    <w:rsid w:val="0A821DCB"/>
    <w:rsid w:val="0E326F92"/>
    <w:rsid w:val="1B6F2B0E"/>
    <w:rsid w:val="383847A8"/>
    <w:rsid w:val="5E43438F"/>
    <w:rsid w:val="743C3D8D"/>
    <w:rsid w:val="78541EFF"/>
    <w:rsid w:val="794C3581"/>
    <w:rsid w:val="7C1B3D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wordWrap w:val="0"/>
      <w:autoSpaceDE w:val="0"/>
      <w:autoSpaceDN w:val="0"/>
      <w:jc w:val="both"/>
    </w:pPr>
    <w:rPr>
      <w:rFonts w:ascii="楷体" w:hAnsi="Times New Roman" w:eastAsia="宋体" w:cs="Times New Roman"/>
      <w:kern w:val="2"/>
      <w:szCs w:val="24"/>
      <w:lang w:val="en-US" w:eastAsia="ko-KR" w:bidi="ar-SA"/>
    </w:rPr>
  </w:style>
  <w:style w:type="paragraph" w:styleId="2">
    <w:name w:val="heading 1"/>
    <w:next w:val="1"/>
    <w:qFormat/>
    <w:uiPriority w:val="0"/>
    <w:pPr>
      <w:keepNext/>
      <w:keepLines/>
      <w:widowControl w:val="0"/>
      <w:wordWrap w:val="0"/>
      <w:autoSpaceDE/>
      <w:autoSpaceDN/>
      <w:spacing w:beforeLines="0" w:afterLines="0" w:line="500" w:lineRule="exact"/>
      <w:jc w:val="center"/>
      <w:outlineLvl w:val="0"/>
    </w:pPr>
    <w:rPr>
      <w:rFonts w:ascii="楷体" w:hAnsi="楷体" w:eastAsia="黑体" w:cs="Times New Roman"/>
      <w:b/>
      <w:bCs/>
      <w:kern w:val="44"/>
      <w:sz w:val="32"/>
      <w:szCs w:val="44"/>
      <w:lang w:val="en-US" w:eastAsia="ko-KR"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qFormat/>
    <w:uiPriority w:val="0"/>
    <w:pPr>
      <w:widowControl w:val="0"/>
      <w:wordWrap/>
      <w:autoSpaceDE/>
      <w:autoSpaceDN/>
      <w:spacing w:after="120" w:afterLines="0"/>
      <w:jc w:val="both"/>
    </w:pPr>
    <w:rPr>
      <w:rFonts w:ascii="宋体" w:hAnsi="Times New Roman" w:eastAsia="宋体" w:cs="Times New Roman"/>
      <w:kern w:val="2"/>
      <w:sz w:val="21"/>
      <w:szCs w:val="24"/>
      <w:lang w:val="en-US" w:eastAsia="zh-CN" w:bidi="ar-SA"/>
    </w:rPr>
  </w:style>
  <w:style w:type="paragraph" w:styleId="4">
    <w:name w:val="Body Text First Indent"/>
    <w:qFormat/>
    <w:uiPriority w:val="0"/>
    <w:pPr>
      <w:widowControl w:val="0"/>
      <w:wordWrap/>
      <w:autoSpaceDE/>
      <w:autoSpaceDN/>
      <w:spacing w:after="120" w:afterLines="0"/>
      <w:ind w:firstLine="420" w:firstLineChars="100"/>
      <w:jc w:val="both"/>
    </w:pPr>
    <w:rPr>
      <w:rFonts w:ascii="宋体" w:hAnsi="Times New Roman" w:eastAsia="宋体" w:cs="Times New Roman"/>
      <w:kern w:val="2"/>
      <w:sz w:val="21"/>
      <w:szCs w:val="24"/>
      <w:lang w:val="en-US" w:eastAsia="zh-CN" w:bidi="ar-SA"/>
    </w:rPr>
  </w:style>
  <w:style w:type="paragraph" w:customStyle="1" w:styleId="7">
    <w:name w:val="样式 小四 行距: 1.5 倍行距"/>
    <w:qFormat/>
    <w:uiPriority w:val="0"/>
    <w:pPr>
      <w:widowControl w:val="0"/>
      <w:ind w:firstLine="480"/>
      <w:jc w:val="both"/>
    </w:pPr>
    <w:rPr>
      <w:rFonts w:ascii="Times New Roman" w:hAnsi="Times New Roman" w:eastAsia="宋体" w:cs="宋体"/>
      <w:kern w:val="2"/>
      <w:sz w:val="21"/>
      <w:szCs w:val="20"/>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12063</Words>
  <Characters>13232</Characters>
  <Lines>0</Lines>
  <Paragraphs>0</Paragraphs>
  <TotalTime>0</TotalTime>
  <ScaleCrop>false</ScaleCrop>
  <LinksUpToDate>false</LinksUpToDate>
  <CharactersWithSpaces>13413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2026-09-08T01:18:00Z</dcterms:created>
  <dc:creator>sunny</dc:creator>
  <cp:lastModifiedBy>sunny</cp:lastModifiedBy>
  <dcterms:modified xsi:type="dcterms:W3CDTF">2026-09-23T04:11:18Z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C48F3DF8AB4743F8A1B3C1975F73A900_11</vt:lpwstr>
  </property>
  <property fmtid="{D5CDD505-2E9C-101B-9397-08002B2CF9AE}" pid="4" name="KSOTemplateDocerSaveRecord">
    <vt:lpwstr>eyJoZGlkIjoiMWMxYTBmM2ExNDA5MTI5NmEwNjA4YTk5MmRmY2Y2MzgiLCJ1c2VySWQiOiI1Nzg2NDQ2NDEifQ==</vt:lpwstr>
  </property>
</Properties>
</file>