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DFFA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黑体" w:hAnsi="黑体" w:eastAsia="黑体"/>
          <w:b/>
          <w:bCs/>
          <w:color w:val="auto"/>
          <w:sz w:val="32"/>
          <w:szCs w:val="32"/>
          <w:highlight w:val="none"/>
        </w:rPr>
      </w:pPr>
      <w:bookmarkStart w:id="0" w:name="_Toc15678"/>
      <w:r>
        <w:rPr>
          <w:rFonts w:hint="eastAsia" w:ascii="黑体" w:hAnsi="黑体" w:eastAsia="黑体"/>
          <w:b/>
          <w:bCs/>
          <w:color w:val="auto"/>
          <w:sz w:val="32"/>
          <w:szCs w:val="32"/>
          <w:highlight w:val="none"/>
        </w:rPr>
        <w:t>第三章 采购需求</w:t>
      </w:r>
      <w:bookmarkEnd w:id="0"/>
    </w:p>
    <w:p w14:paraId="068B7B8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第一节 采购清单一览表</w:t>
      </w:r>
    </w:p>
    <w:tbl>
      <w:tblPr>
        <w:tblStyle w:val="5"/>
        <w:tblpPr w:leftFromText="180" w:rightFromText="180" w:vertAnchor="text" w:horzAnchor="page" w:tblpX="1472" w:tblpY="166"/>
        <w:tblOverlap w:val="never"/>
        <w:tblW w:w="9452" w:type="dxa"/>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738"/>
        <w:gridCol w:w="1062"/>
        <w:gridCol w:w="1714"/>
        <w:gridCol w:w="1378"/>
        <w:gridCol w:w="741"/>
        <w:gridCol w:w="1150"/>
        <w:gridCol w:w="1200"/>
        <w:gridCol w:w="750"/>
        <w:gridCol w:w="719"/>
      </w:tblGrid>
      <w:tr w14:paraId="5DB988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045" w:hRule="exact"/>
        </w:trPr>
        <w:tc>
          <w:tcPr>
            <w:tcW w:w="738" w:type="dxa"/>
            <w:tcBorders>
              <w:bottom w:val="single" w:color="000000" w:sz="6" w:space="0"/>
              <w:right w:val="single" w:color="000000" w:sz="6" w:space="0"/>
            </w:tcBorders>
          </w:tcPr>
          <w:p w14:paraId="1226A30D">
            <w:pPr>
              <w:pStyle w:val="7"/>
              <w:spacing w:before="9"/>
              <w:rPr>
                <w:rFonts w:hint="eastAsia" w:ascii="宋体" w:hAnsi="宋体" w:eastAsia="宋体" w:cs="宋体"/>
                <w:b/>
                <w:sz w:val="21"/>
                <w:szCs w:val="21"/>
                <w:highlight w:val="none"/>
              </w:rPr>
            </w:pPr>
          </w:p>
          <w:p w14:paraId="6F86D458">
            <w:pPr>
              <w:pStyle w:val="7"/>
              <w:spacing w:line="272" w:lineRule="exact"/>
              <w:ind w:right="163"/>
              <w:jc w:val="center"/>
              <w:rPr>
                <w:rFonts w:hint="eastAsia" w:ascii="宋体" w:hAnsi="宋体" w:eastAsia="宋体" w:cs="宋体"/>
                <w:sz w:val="21"/>
                <w:szCs w:val="21"/>
                <w:highlight w:val="none"/>
              </w:rPr>
            </w:pPr>
            <w:r>
              <w:rPr>
                <w:rFonts w:hint="eastAsia" w:ascii="宋体" w:hAnsi="宋体" w:eastAsia="宋体" w:cs="宋体"/>
                <w:w w:val="99"/>
                <w:sz w:val="21"/>
                <w:szCs w:val="21"/>
                <w:highlight w:val="none"/>
                <w:lang w:val="en-US" w:eastAsia="zh-CN"/>
              </w:rPr>
              <w:t xml:space="preserve"> </w:t>
            </w:r>
            <w:r>
              <w:rPr>
                <w:rFonts w:hint="eastAsia" w:ascii="宋体" w:hAnsi="宋体" w:eastAsia="宋体" w:cs="宋体"/>
                <w:w w:val="99"/>
                <w:sz w:val="21"/>
                <w:szCs w:val="21"/>
                <w:highlight w:val="none"/>
              </w:rPr>
              <w:t>包号</w:t>
            </w:r>
          </w:p>
        </w:tc>
        <w:tc>
          <w:tcPr>
            <w:tcW w:w="1062" w:type="dxa"/>
            <w:tcBorders>
              <w:left w:val="single" w:color="000000" w:sz="6" w:space="0"/>
              <w:bottom w:val="single" w:color="000000" w:sz="6" w:space="0"/>
              <w:right w:val="single" w:color="000000" w:sz="6" w:space="0"/>
            </w:tcBorders>
          </w:tcPr>
          <w:p w14:paraId="48DABF57">
            <w:pPr>
              <w:pStyle w:val="7"/>
              <w:spacing w:before="11"/>
              <w:rPr>
                <w:rFonts w:hint="eastAsia" w:ascii="宋体" w:hAnsi="宋体" w:eastAsia="宋体" w:cs="宋体"/>
                <w:b/>
                <w:sz w:val="21"/>
                <w:szCs w:val="21"/>
                <w:highlight w:val="none"/>
              </w:rPr>
            </w:pPr>
          </w:p>
          <w:p w14:paraId="3D51127B">
            <w:pPr>
              <w:pStyle w:val="7"/>
              <w:ind w:left="328"/>
              <w:rPr>
                <w:rFonts w:hint="eastAsia" w:ascii="宋体" w:hAnsi="宋体" w:eastAsia="宋体" w:cs="宋体"/>
                <w:sz w:val="21"/>
                <w:szCs w:val="21"/>
                <w:highlight w:val="none"/>
              </w:rPr>
            </w:pPr>
            <w:r>
              <w:rPr>
                <w:rFonts w:hint="eastAsia" w:ascii="宋体" w:hAnsi="宋体" w:eastAsia="宋体" w:cs="宋体"/>
                <w:sz w:val="21"/>
                <w:szCs w:val="21"/>
                <w:highlight w:val="none"/>
              </w:rPr>
              <w:t>包名称</w:t>
            </w:r>
          </w:p>
        </w:tc>
        <w:tc>
          <w:tcPr>
            <w:tcW w:w="1714" w:type="dxa"/>
            <w:tcBorders>
              <w:left w:val="single" w:color="000000" w:sz="6" w:space="0"/>
              <w:bottom w:val="single" w:color="000000" w:sz="6" w:space="0"/>
              <w:right w:val="single" w:color="000000" w:sz="6" w:space="0"/>
            </w:tcBorders>
          </w:tcPr>
          <w:p w14:paraId="0AF3A67D">
            <w:pPr>
              <w:pStyle w:val="7"/>
              <w:spacing w:before="11"/>
              <w:rPr>
                <w:rFonts w:hint="eastAsia" w:ascii="宋体" w:hAnsi="宋体" w:eastAsia="宋体" w:cs="宋体"/>
                <w:b/>
                <w:sz w:val="21"/>
                <w:szCs w:val="21"/>
                <w:highlight w:val="none"/>
              </w:rPr>
            </w:pPr>
          </w:p>
          <w:p w14:paraId="3B68320A">
            <w:pPr>
              <w:pStyle w:val="7"/>
              <w:ind w:left="352"/>
              <w:rPr>
                <w:rFonts w:hint="eastAsia" w:ascii="宋体" w:hAnsi="宋体" w:eastAsia="宋体" w:cs="宋体"/>
                <w:sz w:val="21"/>
                <w:szCs w:val="21"/>
                <w:highlight w:val="none"/>
              </w:rPr>
            </w:pPr>
            <w:r>
              <w:rPr>
                <w:rFonts w:hint="eastAsia" w:ascii="宋体" w:hAnsi="宋体" w:eastAsia="宋体" w:cs="宋体"/>
                <w:sz w:val="21"/>
                <w:szCs w:val="21"/>
                <w:highlight w:val="none"/>
              </w:rPr>
              <w:t>标的名称</w:t>
            </w:r>
          </w:p>
        </w:tc>
        <w:tc>
          <w:tcPr>
            <w:tcW w:w="1378" w:type="dxa"/>
            <w:tcBorders>
              <w:left w:val="single" w:color="000000" w:sz="6" w:space="0"/>
              <w:bottom w:val="single" w:color="000000" w:sz="6" w:space="0"/>
              <w:right w:val="single" w:color="000000" w:sz="6" w:space="0"/>
            </w:tcBorders>
          </w:tcPr>
          <w:p w14:paraId="48170808">
            <w:pPr>
              <w:pStyle w:val="7"/>
              <w:spacing w:before="9"/>
              <w:rPr>
                <w:rFonts w:hint="eastAsia" w:ascii="宋体" w:hAnsi="宋体" w:eastAsia="宋体" w:cs="宋体"/>
                <w:b/>
                <w:sz w:val="21"/>
                <w:szCs w:val="21"/>
                <w:highlight w:val="none"/>
              </w:rPr>
            </w:pPr>
          </w:p>
          <w:p w14:paraId="14F9F5E4">
            <w:pPr>
              <w:pStyle w:val="7"/>
              <w:spacing w:line="272" w:lineRule="exact"/>
              <w:ind w:left="415" w:right="206" w:hanging="212"/>
              <w:rPr>
                <w:rFonts w:hint="eastAsia" w:ascii="宋体" w:hAnsi="宋体" w:eastAsia="宋体" w:cs="宋体"/>
                <w:sz w:val="21"/>
                <w:szCs w:val="21"/>
                <w:highlight w:val="none"/>
              </w:rPr>
            </w:pPr>
            <w:r>
              <w:rPr>
                <w:rFonts w:hint="eastAsia" w:ascii="宋体" w:hAnsi="宋体" w:eastAsia="宋体" w:cs="宋体"/>
                <w:spacing w:val="-1"/>
                <w:w w:val="99"/>
                <w:sz w:val="21"/>
                <w:szCs w:val="21"/>
                <w:highlight w:val="none"/>
              </w:rPr>
              <w:t>简</w:t>
            </w:r>
            <w:r>
              <w:rPr>
                <w:rFonts w:hint="eastAsia" w:ascii="宋体" w:hAnsi="宋体" w:eastAsia="宋体" w:cs="宋体"/>
                <w:spacing w:val="2"/>
                <w:w w:val="99"/>
                <w:sz w:val="21"/>
                <w:szCs w:val="21"/>
                <w:highlight w:val="none"/>
              </w:rPr>
              <w:t>要</w:t>
            </w:r>
            <w:r>
              <w:rPr>
                <w:rFonts w:hint="eastAsia" w:ascii="宋体" w:hAnsi="宋体" w:eastAsia="宋体" w:cs="宋体"/>
                <w:spacing w:val="-1"/>
                <w:w w:val="99"/>
                <w:sz w:val="21"/>
                <w:szCs w:val="21"/>
                <w:highlight w:val="none"/>
              </w:rPr>
              <w:t>技</w:t>
            </w:r>
            <w:r>
              <w:rPr>
                <w:rFonts w:hint="eastAsia" w:ascii="宋体" w:hAnsi="宋体" w:eastAsia="宋体" w:cs="宋体"/>
                <w:w w:val="99"/>
                <w:sz w:val="21"/>
                <w:szCs w:val="21"/>
                <w:highlight w:val="none"/>
              </w:rPr>
              <w:t>术</w:t>
            </w:r>
            <w:r>
              <w:rPr>
                <w:rFonts w:hint="eastAsia" w:ascii="宋体" w:hAnsi="宋体" w:eastAsia="宋体" w:cs="宋体"/>
                <w:spacing w:val="-1"/>
                <w:w w:val="99"/>
                <w:sz w:val="21"/>
                <w:szCs w:val="21"/>
                <w:highlight w:val="none"/>
              </w:rPr>
              <w:t>要</w:t>
            </w:r>
            <w:r>
              <w:rPr>
                <w:rFonts w:hint="eastAsia" w:ascii="宋体" w:hAnsi="宋体" w:eastAsia="宋体" w:cs="宋体"/>
                <w:w w:val="99"/>
                <w:sz w:val="21"/>
                <w:szCs w:val="21"/>
                <w:highlight w:val="none"/>
              </w:rPr>
              <w:t>求</w:t>
            </w:r>
          </w:p>
        </w:tc>
        <w:tc>
          <w:tcPr>
            <w:tcW w:w="741" w:type="dxa"/>
            <w:tcBorders>
              <w:left w:val="single" w:color="000000" w:sz="6" w:space="0"/>
              <w:bottom w:val="single" w:color="000000" w:sz="6" w:space="0"/>
              <w:right w:val="single" w:color="000000" w:sz="6" w:space="0"/>
            </w:tcBorders>
          </w:tcPr>
          <w:p w14:paraId="6777CC38">
            <w:pPr>
              <w:pStyle w:val="7"/>
              <w:spacing w:before="11"/>
              <w:rPr>
                <w:rFonts w:hint="eastAsia" w:ascii="宋体" w:hAnsi="宋体" w:eastAsia="宋体" w:cs="宋体"/>
                <w:b/>
                <w:sz w:val="21"/>
                <w:szCs w:val="21"/>
                <w:highlight w:val="none"/>
              </w:rPr>
            </w:pPr>
          </w:p>
          <w:p w14:paraId="7CE0C990">
            <w:pPr>
              <w:pStyle w:val="7"/>
              <w:ind w:left="165"/>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1150" w:type="dxa"/>
            <w:tcBorders>
              <w:left w:val="single" w:color="000000" w:sz="6" w:space="0"/>
              <w:bottom w:val="single" w:color="000000" w:sz="6" w:space="0"/>
              <w:right w:val="single" w:color="000000" w:sz="6" w:space="0"/>
            </w:tcBorders>
          </w:tcPr>
          <w:p w14:paraId="24E5A3E4">
            <w:pPr>
              <w:pStyle w:val="7"/>
              <w:spacing w:before="8"/>
              <w:rPr>
                <w:rFonts w:hint="eastAsia" w:ascii="宋体" w:hAnsi="宋体" w:eastAsia="宋体" w:cs="宋体"/>
                <w:b/>
                <w:sz w:val="21"/>
                <w:szCs w:val="21"/>
                <w:highlight w:val="none"/>
              </w:rPr>
            </w:pPr>
          </w:p>
          <w:p w14:paraId="0F607E48">
            <w:pPr>
              <w:pStyle w:val="7"/>
              <w:spacing w:line="273" w:lineRule="exact"/>
              <w:ind w:left="126" w:right="127"/>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标的预算</w:t>
            </w:r>
          </w:p>
          <w:p w14:paraId="22484240">
            <w:pPr>
              <w:pStyle w:val="7"/>
              <w:spacing w:line="273" w:lineRule="exact"/>
              <w:ind w:left="126" w:right="127"/>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c>
          <w:tcPr>
            <w:tcW w:w="1200" w:type="dxa"/>
            <w:tcBorders>
              <w:left w:val="single" w:color="000000" w:sz="6" w:space="0"/>
              <w:bottom w:val="single" w:color="000000" w:sz="6" w:space="0"/>
              <w:right w:val="single" w:color="000000" w:sz="6" w:space="0"/>
            </w:tcBorders>
          </w:tcPr>
          <w:p w14:paraId="48593538">
            <w:pPr>
              <w:pStyle w:val="7"/>
              <w:spacing w:before="8"/>
              <w:rPr>
                <w:rFonts w:hint="eastAsia" w:ascii="宋体" w:hAnsi="宋体" w:eastAsia="宋体" w:cs="宋体"/>
                <w:b/>
                <w:sz w:val="21"/>
                <w:szCs w:val="21"/>
                <w:highlight w:val="none"/>
              </w:rPr>
            </w:pPr>
          </w:p>
          <w:p w14:paraId="7E5EE4F4">
            <w:pPr>
              <w:pStyle w:val="7"/>
              <w:spacing w:line="273" w:lineRule="exact"/>
              <w:ind w:left="151" w:right="152"/>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最高限价</w:t>
            </w:r>
          </w:p>
          <w:p w14:paraId="5FE55563">
            <w:pPr>
              <w:pStyle w:val="7"/>
              <w:spacing w:line="273" w:lineRule="exact"/>
              <w:ind w:left="152" w:right="152"/>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（元）</w:t>
            </w:r>
          </w:p>
        </w:tc>
        <w:tc>
          <w:tcPr>
            <w:tcW w:w="750" w:type="dxa"/>
            <w:tcBorders>
              <w:left w:val="single" w:color="000000" w:sz="6" w:space="0"/>
              <w:bottom w:val="single" w:color="000000" w:sz="6" w:space="0"/>
              <w:right w:val="single" w:color="000000" w:sz="6" w:space="0"/>
            </w:tcBorders>
          </w:tcPr>
          <w:p w14:paraId="3E3C30E2">
            <w:pPr>
              <w:pStyle w:val="7"/>
              <w:spacing w:before="9"/>
              <w:rPr>
                <w:rFonts w:hint="eastAsia" w:ascii="宋体" w:hAnsi="宋体" w:eastAsia="宋体" w:cs="宋体"/>
                <w:b/>
                <w:sz w:val="21"/>
                <w:szCs w:val="21"/>
                <w:highlight w:val="none"/>
              </w:rPr>
            </w:pPr>
          </w:p>
          <w:p w14:paraId="6F2A31E7">
            <w:pPr>
              <w:pStyle w:val="7"/>
              <w:spacing w:line="272" w:lineRule="exact"/>
              <w:ind w:left="158" w:right="157"/>
              <w:rPr>
                <w:rFonts w:hint="eastAsia" w:ascii="宋体" w:hAnsi="宋体" w:eastAsia="宋体" w:cs="宋体"/>
                <w:sz w:val="21"/>
                <w:szCs w:val="21"/>
                <w:highlight w:val="none"/>
              </w:rPr>
            </w:pPr>
            <w:r>
              <w:rPr>
                <w:rFonts w:hint="eastAsia" w:ascii="宋体" w:hAnsi="宋体" w:eastAsia="宋体" w:cs="宋体"/>
                <w:spacing w:val="-1"/>
                <w:w w:val="99"/>
                <w:sz w:val="21"/>
                <w:szCs w:val="21"/>
                <w:highlight w:val="none"/>
              </w:rPr>
              <w:t>节</w:t>
            </w:r>
            <w:r>
              <w:rPr>
                <w:rFonts w:hint="eastAsia" w:ascii="宋体" w:hAnsi="宋体" w:eastAsia="宋体" w:cs="宋体"/>
                <w:w w:val="99"/>
                <w:sz w:val="21"/>
                <w:szCs w:val="21"/>
                <w:highlight w:val="none"/>
              </w:rPr>
              <w:t>能</w:t>
            </w:r>
            <w:r>
              <w:rPr>
                <w:rFonts w:hint="eastAsia" w:ascii="宋体" w:hAnsi="宋体" w:eastAsia="宋体" w:cs="宋体"/>
                <w:spacing w:val="-1"/>
                <w:w w:val="99"/>
                <w:sz w:val="21"/>
                <w:szCs w:val="21"/>
                <w:highlight w:val="none"/>
              </w:rPr>
              <w:t>产</w:t>
            </w:r>
            <w:r>
              <w:rPr>
                <w:rFonts w:hint="eastAsia" w:ascii="宋体" w:hAnsi="宋体" w:eastAsia="宋体" w:cs="宋体"/>
                <w:w w:val="99"/>
                <w:sz w:val="21"/>
                <w:szCs w:val="21"/>
                <w:highlight w:val="none"/>
              </w:rPr>
              <w:t>品</w:t>
            </w:r>
          </w:p>
        </w:tc>
        <w:tc>
          <w:tcPr>
            <w:tcW w:w="719" w:type="dxa"/>
            <w:tcBorders>
              <w:left w:val="single" w:color="000000" w:sz="6" w:space="0"/>
              <w:bottom w:val="single" w:color="000000" w:sz="6" w:space="0"/>
            </w:tcBorders>
          </w:tcPr>
          <w:p w14:paraId="321F925F">
            <w:pPr>
              <w:pStyle w:val="7"/>
              <w:spacing w:before="9"/>
              <w:rPr>
                <w:rFonts w:hint="eastAsia" w:ascii="宋体" w:hAnsi="宋体" w:eastAsia="宋体" w:cs="宋体"/>
                <w:b/>
                <w:sz w:val="21"/>
                <w:szCs w:val="21"/>
                <w:highlight w:val="none"/>
              </w:rPr>
            </w:pPr>
          </w:p>
          <w:p w14:paraId="0A04380E">
            <w:pPr>
              <w:pStyle w:val="7"/>
              <w:spacing w:line="272" w:lineRule="exact"/>
              <w:ind w:left="145" w:right="132"/>
              <w:rPr>
                <w:rFonts w:hint="eastAsia" w:ascii="宋体" w:hAnsi="宋体" w:eastAsia="宋体" w:cs="宋体"/>
                <w:sz w:val="21"/>
                <w:szCs w:val="21"/>
                <w:highlight w:val="none"/>
              </w:rPr>
            </w:pPr>
            <w:r>
              <w:rPr>
                <w:rFonts w:hint="eastAsia" w:ascii="宋体" w:hAnsi="宋体" w:eastAsia="宋体" w:cs="宋体"/>
                <w:spacing w:val="-1"/>
                <w:w w:val="99"/>
                <w:sz w:val="21"/>
                <w:szCs w:val="21"/>
                <w:highlight w:val="none"/>
              </w:rPr>
              <w:t>进</w:t>
            </w:r>
            <w:r>
              <w:rPr>
                <w:rFonts w:hint="eastAsia" w:ascii="宋体" w:hAnsi="宋体" w:eastAsia="宋体" w:cs="宋体"/>
                <w:w w:val="99"/>
                <w:sz w:val="21"/>
                <w:szCs w:val="21"/>
                <w:highlight w:val="none"/>
              </w:rPr>
              <w:t>口</w:t>
            </w:r>
            <w:r>
              <w:rPr>
                <w:rFonts w:hint="eastAsia" w:ascii="宋体" w:hAnsi="宋体" w:eastAsia="宋体" w:cs="宋体"/>
                <w:spacing w:val="-1"/>
                <w:w w:val="99"/>
                <w:sz w:val="21"/>
                <w:szCs w:val="21"/>
                <w:highlight w:val="none"/>
              </w:rPr>
              <w:t>产</w:t>
            </w:r>
            <w:r>
              <w:rPr>
                <w:rFonts w:hint="eastAsia" w:ascii="宋体" w:hAnsi="宋体" w:eastAsia="宋体" w:cs="宋体"/>
                <w:w w:val="99"/>
                <w:sz w:val="21"/>
                <w:szCs w:val="21"/>
                <w:highlight w:val="none"/>
              </w:rPr>
              <w:t>品</w:t>
            </w:r>
          </w:p>
        </w:tc>
      </w:tr>
      <w:tr w14:paraId="25B02C5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49" w:hRule="exact"/>
        </w:trPr>
        <w:tc>
          <w:tcPr>
            <w:tcW w:w="738" w:type="dxa"/>
            <w:vMerge w:val="restart"/>
            <w:tcBorders>
              <w:top w:val="single" w:color="000000" w:sz="6" w:space="0"/>
              <w:right w:val="single" w:color="000000" w:sz="6" w:space="0"/>
            </w:tcBorders>
            <w:vAlign w:val="center"/>
          </w:tcPr>
          <w:p w14:paraId="73571230">
            <w:pPr>
              <w:pStyle w:val="7"/>
              <w:spacing w:before="140" w:line="272" w:lineRule="exact"/>
              <w:ind w:right="163"/>
              <w:jc w:val="center"/>
              <w:rPr>
                <w:rFonts w:hint="eastAsia" w:ascii="宋体" w:hAnsi="宋体" w:eastAsia="宋体" w:cs="宋体"/>
                <w:sz w:val="21"/>
                <w:szCs w:val="21"/>
                <w:highlight w:val="none"/>
                <w:lang w:val="en-US" w:eastAsia="zh-CN"/>
              </w:rPr>
            </w:pPr>
            <w:r>
              <w:rPr>
                <w:rFonts w:hint="eastAsia" w:cs="宋体"/>
                <w:sz w:val="18"/>
                <w:szCs w:val="18"/>
                <w:highlight w:val="none"/>
                <w:lang w:val="en-US" w:eastAsia="zh-CN"/>
              </w:rPr>
              <w:t xml:space="preserve"> 包一</w:t>
            </w:r>
          </w:p>
        </w:tc>
        <w:tc>
          <w:tcPr>
            <w:tcW w:w="1062" w:type="dxa"/>
            <w:vMerge w:val="restart"/>
            <w:tcBorders>
              <w:top w:val="single" w:color="000000" w:sz="6" w:space="0"/>
              <w:left w:val="single" w:color="000000" w:sz="6" w:space="0"/>
              <w:right w:val="single" w:color="000000" w:sz="6" w:space="0"/>
            </w:tcBorders>
            <w:vAlign w:val="center"/>
          </w:tcPr>
          <w:p w14:paraId="7EAAC7BC">
            <w:pPr>
              <w:pStyle w:val="7"/>
              <w:spacing w:line="237" w:lineRule="auto"/>
              <w:ind w:left="119" w:right="117"/>
              <w:jc w:val="center"/>
              <w:rPr>
                <w:rFonts w:hint="eastAsia" w:ascii="宋体" w:hAnsi="宋体" w:eastAsia="宋体" w:cs="宋体"/>
                <w:sz w:val="21"/>
                <w:szCs w:val="21"/>
                <w:highlight w:val="none"/>
              </w:rPr>
            </w:pPr>
            <w:r>
              <w:rPr>
                <w:rFonts w:hint="eastAsia" w:cs="宋体"/>
                <w:spacing w:val="-1"/>
                <w:w w:val="99"/>
                <w:sz w:val="21"/>
                <w:szCs w:val="21"/>
                <w:highlight w:val="none"/>
                <w:lang w:eastAsia="zh-CN"/>
              </w:rPr>
              <w:t>添置班班通设备、课桌椅和学生床品</w:t>
            </w:r>
          </w:p>
        </w:tc>
        <w:tc>
          <w:tcPr>
            <w:tcW w:w="1714" w:type="dxa"/>
            <w:tcBorders>
              <w:top w:val="single" w:color="000000" w:sz="6" w:space="0"/>
              <w:left w:val="single" w:color="000000" w:sz="6" w:space="0"/>
              <w:bottom w:val="single" w:color="000000" w:sz="6" w:space="0"/>
              <w:right w:val="single" w:color="000000" w:sz="6" w:space="0"/>
            </w:tcBorders>
            <w:vAlign w:val="center"/>
          </w:tcPr>
          <w:p w14:paraId="2C18DB56">
            <w:pPr>
              <w:pStyle w:val="7"/>
              <w:spacing w:before="103" w:line="237" w:lineRule="auto"/>
              <w:ind w:left="141" w:right="144"/>
              <w:jc w:val="center"/>
              <w:rPr>
                <w:rFonts w:hint="eastAsia" w:ascii="宋体" w:hAnsi="宋体" w:eastAsia="宋体" w:cs="宋体"/>
                <w:sz w:val="21"/>
                <w:szCs w:val="21"/>
                <w:highlight w:val="none"/>
                <w:lang w:eastAsia="zh-CN"/>
              </w:rPr>
            </w:pPr>
            <w:r>
              <w:rPr>
                <w:rFonts w:hint="eastAsia" w:ascii="宋体" w:hAnsi="宋体" w:eastAsia="宋体" w:cs="宋体"/>
                <w:spacing w:val="-1"/>
                <w:w w:val="99"/>
                <w:sz w:val="21"/>
                <w:szCs w:val="21"/>
                <w:highlight w:val="none"/>
                <w:lang w:eastAsia="zh-CN"/>
              </w:rPr>
              <w:t>钢木课桌椅</w:t>
            </w:r>
          </w:p>
        </w:tc>
        <w:tc>
          <w:tcPr>
            <w:tcW w:w="1378" w:type="dxa"/>
            <w:vMerge w:val="restart"/>
            <w:tcBorders>
              <w:top w:val="single" w:color="000000" w:sz="6" w:space="0"/>
              <w:left w:val="single" w:color="000000" w:sz="6" w:space="0"/>
              <w:right w:val="single" w:color="000000" w:sz="6" w:space="0"/>
            </w:tcBorders>
            <w:vAlign w:val="center"/>
          </w:tcPr>
          <w:p w14:paraId="2E3668FF">
            <w:pPr>
              <w:pStyle w:val="7"/>
              <w:spacing w:line="272" w:lineRule="exact"/>
              <w:ind w:right="98"/>
              <w:jc w:val="center"/>
              <w:rPr>
                <w:rFonts w:hint="eastAsia" w:ascii="宋体" w:hAnsi="宋体" w:eastAsia="宋体" w:cs="宋体"/>
                <w:spacing w:val="-1"/>
                <w:w w:val="99"/>
                <w:sz w:val="21"/>
                <w:szCs w:val="21"/>
                <w:highlight w:val="none"/>
              </w:rPr>
            </w:pPr>
            <w:r>
              <w:rPr>
                <w:rFonts w:hint="eastAsia" w:ascii="宋体" w:hAnsi="宋体" w:eastAsia="宋体" w:cs="宋体"/>
                <w:spacing w:val="-1"/>
                <w:w w:val="99"/>
                <w:sz w:val="21"/>
                <w:szCs w:val="21"/>
                <w:highlight w:val="none"/>
              </w:rPr>
              <w:t>详</w:t>
            </w:r>
            <w:r>
              <w:rPr>
                <w:rFonts w:hint="eastAsia" w:ascii="宋体" w:hAnsi="宋体" w:eastAsia="宋体" w:cs="宋体"/>
                <w:spacing w:val="2"/>
                <w:w w:val="99"/>
                <w:sz w:val="21"/>
                <w:szCs w:val="21"/>
                <w:highlight w:val="none"/>
              </w:rPr>
              <w:t>见</w:t>
            </w:r>
            <w:r>
              <w:rPr>
                <w:rFonts w:hint="eastAsia" w:ascii="宋体" w:hAnsi="宋体" w:eastAsia="宋体" w:cs="宋体"/>
                <w:spacing w:val="-1"/>
                <w:w w:val="99"/>
                <w:sz w:val="21"/>
                <w:szCs w:val="21"/>
                <w:highlight w:val="none"/>
              </w:rPr>
              <w:t>第</w:t>
            </w:r>
            <w:r>
              <w:rPr>
                <w:rFonts w:hint="eastAsia" w:ascii="宋体" w:hAnsi="宋体" w:eastAsia="宋体" w:cs="宋体"/>
                <w:w w:val="99"/>
                <w:sz w:val="21"/>
                <w:szCs w:val="21"/>
                <w:highlight w:val="none"/>
              </w:rPr>
              <w:t>三</w:t>
            </w:r>
            <w:r>
              <w:rPr>
                <w:rFonts w:hint="eastAsia" w:ascii="宋体" w:hAnsi="宋体" w:eastAsia="宋体" w:cs="宋体"/>
                <w:spacing w:val="-1"/>
                <w:w w:val="99"/>
                <w:sz w:val="21"/>
                <w:szCs w:val="21"/>
                <w:highlight w:val="none"/>
              </w:rPr>
              <w:t>章</w:t>
            </w:r>
          </w:p>
          <w:p w14:paraId="023C23C2">
            <w:pPr>
              <w:pStyle w:val="7"/>
              <w:spacing w:line="272" w:lineRule="exact"/>
              <w:ind w:right="98"/>
              <w:jc w:val="center"/>
              <w:rPr>
                <w:rFonts w:hint="eastAsia" w:ascii="宋体" w:hAnsi="宋体" w:eastAsia="宋体" w:cs="宋体"/>
                <w:sz w:val="21"/>
                <w:szCs w:val="21"/>
                <w:highlight w:val="none"/>
              </w:rPr>
            </w:pPr>
            <w:r>
              <w:rPr>
                <w:rFonts w:hint="eastAsia" w:ascii="宋体" w:hAnsi="宋体" w:eastAsia="宋体" w:cs="宋体"/>
                <w:spacing w:val="2"/>
                <w:w w:val="99"/>
                <w:sz w:val="21"/>
                <w:szCs w:val="21"/>
                <w:highlight w:val="none"/>
              </w:rPr>
              <w:t>《</w:t>
            </w:r>
            <w:r>
              <w:rPr>
                <w:rFonts w:hint="eastAsia" w:ascii="宋体" w:hAnsi="宋体" w:eastAsia="宋体" w:cs="宋体"/>
                <w:spacing w:val="-1"/>
                <w:w w:val="99"/>
                <w:sz w:val="21"/>
                <w:szCs w:val="21"/>
                <w:highlight w:val="none"/>
              </w:rPr>
              <w:t>采</w:t>
            </w:r>
            <w:r>
              <w:rPr>
                <w:rFonts w:hint="eastAsia" w:ascii="宋体" w:hAnsi="宋体" w:eastAsia="宋体" w:cs="宋体"/>
                <w:spacing w:val="2"/>
                <w:w w:val="99"/>
                <w:sz w:val="21"/>
                <w:szCs w:val="21"/>
                <w:highlight w:val="none"/>
              </w:rPr>
              <w:t>购</w:t>
            </w:r>
            <w:r>
              <w:rPr>
                <w:rFonts w:hint="eastAsia" w:ascii="宋体" w:hAnsi="宋体" w:eastAsia="宋体" w:cs="宋体"/>
                <w:w w:val="99"/>
                <w:sz w:val="21"/>
                <w:szCs w:val="21"/>
                <w:highlight w:val="none"/>
              </w:rPr>
              <w:t>需</w:t>
            </w:r>
            <w:r>
              <w:rPr>
                <w:rFonts w:hint="eastAsia" w:ascii="宋体" w:hAnsi="宋体" w:eastAsia="宋体" w:cs="宋体"/>
                <w:spacing w:val="-1"/>
                <w:w w:val="99"/>
                <w:sz w:val="21"/>
                <w:szCs w:val="21"/>
                <w:highlight w:val="none"/>
              </w:rPr>
              <w:t>求</w:t>
            </w:r>
            <w:r>
              <w:rPr>
                <w:rFonts w:hint="eastAsia" w:ascii="宋体" w:hAnsi="宋体" w:eastAsia="宋体" w:cs="宋体"/>
                <w:w w:val="99"/>
                <w:sz w:val="21"/>
                <w:szCs w:val="21"/>
                <w:highlight w:val="none"/>
              </w:rPr>
              <w:t>》</w:t>
            </w:r>
          </w:p>
        </w:tc>
        <w:tc>
          <w:tcPr>
            <w:tcW w:w="741" w:type="dxa"/>
            <w:tcBorders>
              <w:top w:val="single" w:color="000000" w:sz="6" w:space="0"/>
              <w:left w:val="single" w:color="000000" w:sz="6" w:space="0"/>
              <w:bottom w:val="single" w:color="000000" w:sz="6" w:space="0"/>
              <w:right w:val="single" w:color="000000" w:sz="6" w:space="0"/>
            </w:tcBorders>
            <w:vAlign w:val="center"/>
          </w:tcPr>
          <w:p w14:paraId="03E375D9">
            <w:pPr>
              <w:pStyle w:val="7"/>
              <w:spacing w:line="273" w:lineRule="exact"/>
              <w:ind w:right="1"/>
              <w:jc w:val="center"/>
              <w:rPr>
                <w:rFonts w:hint="default" w:ascii="宋体" w:hAnsi="宋体" w:eastAsia="宋体" w:cs="宋体"/>
                <w:sz w:val="21"/>
                <w:szCs w:val="21"/>
                <w:highlight w:val="none"/>
                <w:lang w:val="en-US" w:eastAsia="zh-CN"/>
              </w:rPr>
            </w:pPr>
            <w:r>
              <w:rPr>
                <w:rFonts w:hint="eastAsia" w:cs="宋体"/>
                <w:b w:val="0"/>
                <w:bCs/>
                <w:sz w:val="21"/>
                <w:szCs w:val="21"/>
                <w:highlight w:val="none"/>
                <w:lang w:val="en-US" w:eastAsia="zh-CN"/>
              </w:rPr>
              <w:t>900套</w:t>
            </w:r>
          </w:p>
        </w:tc>
        <w:tc>
          <w:tcPr>
            <w:tcW w:w="1150" w:type="dxa"/>
            <w:vMerge w:val="restart"/>
            <w:tcBorders>
              <w:top w:val="single" w:color="000000" w:sz="6" w:space="0"/>
              <w:left w:val="single" w:color="000000" w:sz="6" w:space="0"/>
              <w:right w:val="single" w:color="000000" w:sz="6" w:space="0"/>
            </w:tcBorders>
            <w:vAlign w:val="center"/>
          </w:tcPr>
          <w:p w14:paraId="5007DCAC">
            <w:pPr>
              <w:pStyle w:val="7"/>
              <w:tabs>
                <w:tab w:val="left" w:pos="495"/>
              </w:tabs>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990000.00</w:t>
            </w:r>
          </w:p>
        </w:tc>
        <w:tc>
          <w:tcPr>
            <w:tcW w:w="1200" w:type="dxa"/>
            <w:vMerge w:val="restart"/>
            <w:tcBorders>
              <w:top w:val="single" w:color="000000" w:sz="6" w:space="0"/>
              <w:left w:val="single" w:color="000000" w:sz="6" w:space="0"/>
              <w:right w:val="single" w:color="000000" w:sz="6" w:space="0"/>
            </w:tcBorders>
            <w:vAlign w:val="center"/>
          </w:tcPr>
          <w:p w14:paraId="324B2E30">
            <w:pPr>
              <w:pStyle w:val="7"/>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990000.00</w:t>
            </w:r>
          </w:p>
        </w:tc>
        <w:tc>
          <w:tcPr>
            <w:tcW w:w="750" w:type="dxa"/>
            <w:vMerge w:val="restart"/>
            <w:tcBorders>
              <w:top w:val="single" w:color="000000" w:sz="6" w:space="0"/>
              <w:left w:val="single" w:color="000000" w:sz="6" w:space="0"/>
              <w:right w:val="single" w:color="000000" w:sz="6" w:space="0"/>
            </w:tcBorders>
            <w:vAlign w:val="center"/>
          </w:tcPr>
          <w:p w14:paraId="3F2395E4">
            <w:pPr>
              <w:ind w:right="1"/>
              <w:jc w:val="center"/>
              <w:rPr>
                <w:rFonts w:ascii="Wingdings" w:hAnsi="Wingdings" w:eastAsia="Wingdings"/>
                <w:highlight w:val="none"/>
              </w:rPr>
            </w:pPr>
            <w:r>
              <w:rPr>
                <w:rFonts w:ascii="Wingdings" w:hAnsi="Wingdings" w:eastAsia="Wingdings"/>
                <w:highlight w:val="none"/>
              </w:rPr>
              <w:t></w:t>
            </w:r>
          </w:p>
        </w:tc>
        <w:tc>
          <w:tcPr>
            <w:tcW w:w="719" w:type="dxa"/>
            <w:vMerge w:val="restart"/>
            <w:tcBorders>
              <w:top w:val="single" w:color="000000" w:sz="6" w:space="0"/>
              <w:left w:val="single" w:color="000000" w:sz="6" w:space="0"/>
            </w:tcBorders>
            <w:vAlign w:val="center"/>
          </w:tcPr>
          <w:p w14:paraId="67CA2D58">
            <w:pPr>
              <w:jc w:val="center"/>
              <w:rPr>
                <w:rFonts w:ascii="Wingdings" w:hAnsi="Wingdings" w:eastAsia="Wingdings"/>
                <w:highlight w:val="none"/>
              </w:rPr>
            </w:pPr>
            <w:r>
              <w:rPr>
                <w:rFonts w:ascii="Wingdings" w:hAnsi="Wingdings" w:eastAsia="Wingdings"/>
                <w:highlight w:val="none"/>
              </w:rPr>
              <w:t></w:t>
            </w:r>
          </w:p>
        </w:tc>
      </w:tr>
      <w:tr w14:paraId="1E5291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74" w:hRule="exact"/>
        </w:trPr>
        <w:tc>
          <w:tcPr>
            <w:tcW w:w="738" w:type="dxa"/>
            <w:vMerge w:val="continue"/>
            <w:tcBorders>
              <w:right w:val="single" w:color="000000" w:sz="6" w:space="0"/>
            </w:tcBorders>
            <w:vAlign w:val="center"/>
          </w:tcPr>
          <w:p w14:paraId="7CCF8871">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60A521A4">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bottom w:val="single" w:color="000000" w:sz="6" w:space="0"/>
              <w:right w:val="single" w:color="000000" w:sz="6" w:space="0"/>
            </w:tcBorders>
            <w:vAlign w:val="center"/>
          </w:tcPr>
          <w:p w14:paraId="57C14F9E">
            <w:pPr>
              <w:pStyle w:val="7"/>
              <w:spacing w:before="103" w:line="237" w:lineRule="auto"/>
              <w:ind w:left="141" w:right="144"/>
              <w:jc w:val="center"/>
              <w:rPr>
                <w:rFonts w:hint="eastAsia" w:ascii="宋体" w:hAnsi="宋体" w:eastAsia="宋体" w:cs="宋体"/>
                <w:spacing w:val="-1"/>
                <w:w w:val="99"/>
                <w:sz w:val="21"/>
                <w:szCs w:val="21"/>
                <w:highlight w:val="none"/>
                <w:lang w:eastAsia="zh-CN"/>
              </w:rPr>
            </w:pPr>
            <w:r>
              <w:rPr>
                <w:rFonts w:hint="eastAsia" w:ascii="宋体" w:hAnsi="宋体" w:eastAsia="宋体" w:cs="宋体"/>
                <w:spacing w:val="-1"/>
                <w:w w:val="99"/>
                <w:sz w:val="21"/>
                <w:szCs w:val="21"/>
                <w:highlight w:val="none"/>
                <w:lang w:eastAsia="zh-CN"/>
              </w:rPr>
              <w:t>学生上下床</w:t>
            </w:r>
          </w:p>
        </w:tc>
        <w:tc>
          <w:tcPr>
            <w:tcW w:w="1378" w:type="dxa"/>
            <w:vMerge w:val="continue"/>
            <w:tcBorders>
              <w:left w:val="single" w:color="000000" w:sz="6" w:space="0"/>
              <w:right w:val="single" w:color="000000" w:sz="6" w:space="0"/>
            </w:tcBorders>
            <w:vAlign w:val="center"/>
          </w:tcPr>
          <w:p w14:paraId="7662B704">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bottom w:val="single" w:color="000000" w:sz="6" w:space="0"/>
              <w:right w:val="single" w:color="000000" w:sz="6" w:space="0"/>
            </w:tcBorders>
            <w:vAlign w:val="center"/>
          </w:tcPr>
          <w:p w14:paraId="07E608AF">
            <w:pPr>
              <w:pStyle w:val="7"/>
              <w:spacing w:line="273" w:lineRule="exact"/>
              <w:ind w:right="1"/>
              <w:jc w:val="center"/>
              <w:rPr>
                <w:rFonts w:hint="eastAsia" w:cs="宋体"/>
                <w:b w:val="0"/>
                <w:bCs/>
                <w:sz w:val="21"/>
                <w:szCs w:val="21"/>
                <w:highlight w:val="none"/>
                <w:lang w:val="en-US" w:eastAsia="zh-CN"/>
              </w:rPr>
            </w:pPr>
            <w:r>
              <w:rPr>
                <w:rFonts w:hint="eastAsia" w:cs="宋体"/>
                <w:b w:val="0"/>
                <w:bCs/>
                <w:sz w:val="21"/>
                <w:szCs w:val="21"/>
                <w:highlight w:val="none"/>
                <w:lang w:val="en-US" w:eastAsia="zh-CN"/>
              </w:rPr>
              <w:t>305套</w:t>
            </w:r>
          </w:p>
        </w:tc>
        <w:tc>
          <w:tcPr>
            <w:tcW w:w="1150" w:type="dxa"/>
            <w:vMerge w:val="continue"/>
            <w:tcBorders>
              <w:left w:val="single" w:color="000000" w:sz="6" w:space="0"/>
              <w:right w:val="single" w:color="000000" w:sz="6" w:space="0"/>
            </w:tcBorders>
            <w:vAlign w:val="center"/>
          </w:tcPr>
          <w:p w14:paraId="6D41F90D">
            <w:pPr>
              <w:pStyle w:val="7"/>
              <w:tabs>
                <w:tab w:val="left" w:pos="495"/>
              </w:tabs>
              <w:jc w:val="center"/>
              <w:rPr>
                <w:rFonts w:hint="eastAsia"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37CFC29D">
            <w:pPr>
              <w:pStyle w:val="7"/>
              <w:jc w:val="center"/>
              <w:rPr>
                <w:rFonts w:hint="eastAsia"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7777C53D">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3F3BC051">
            <w:pPr>
              <w:jc w:val="center"/>
              <w:rPr>
                <w:rFonts w:ascii="Wingdings" w:hAnsi="Wingdings" w:eastAsia="Wingdings"/>
                <w:highlight w:val="none"/>
              </w:rPr>
            </w:pPr>
          </w:p>
        </w:tc>
      </w:tr>
      <w:tr w14:paraId="28B2E04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49" w:hRule="exact"/>
        </w:trPr>
        <w:tc>
          <w:tcPr>
            <w:tcW w:w="738" w:type="dxa"/>
            <w:vMerge w:val="continue"/>
            <w:tcBorders>
              <w:right w:val="single" w:color="000000" w:sz="6" w:space="0"/>
            </w:tcBorders>
            <w:vAlign w:val="center"/>
          </w:tcPr>
          <w:p w14:paraId="15FC4698">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687478D1">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bottom w:val="single" w:color="000000" w:sz="6" w:space="0"/>
              <w:right w:val="single" w:color="000000" w:sz="6" w:space="0"/>
            </w:tcBorders>
            <w:vAlign w:val="center"/>
          </w:tcPr>
          <w:p w14:paraId="4181694C">
            <w:pPr>
              <w:pStyle w:val="7"/>
              <w:spacing w:before="103" w:line="237" w:lineRule="auto"/>
              <w:ind w:right="144"/>
              <w:jc w:val="center"/>
              <w:rPr>
                <w:rFonts w:hint="eastAsia" w:ascii="宋体" w:hAnsi="宋体" w:eastAsia="宋体" w:cs="宋体"/>
                <w:spacing w:val="-1"/>
                <w:w w:val="99"/>
                <w:sz w:val="21"/>
                <w:szCs w:val="21"/>
                <w:highlight w:val="none"/>
                <w:lang w:eastAsia="zh-CN"/>
              </w:rPr>
            </w:pPr>
            <w:r>
              <w:rPr>
                <w:rFonts w:hint="eastAsia" w:cs="宋体"/>
                <w:spacing w:val="-1"/>
                <w:w w:val="99"/>
                <w:sz w:val="21"/>
                <w:szCs w:val="21"/>
                <w:highlight w:val="none"/>
                <w:lang w:val="en-US" w:eastAsia="zh-CN"/>
              </w:rPr>
              <w:t xml:space="preserve"> </w:t>
            </w:r>
            <w:r>
              <w:rPr>
                <w:rFonts w:hint="eastAsia" w:ascii="宋体" w:hAnsi="宋体" w:eastAsia="宋体" w:cs="宋体"/>
                <w:spacing w:val="-1"/>
                <w:w w:val="99"/>
                <w:sz w:val="21"/>
                <w:szCs w:val="21"/>
                <w:highlight w:val="none"/>
                <w:lang w:eastAsia="zh-CN"/>
              </w:rPr>
              <w:t>更换床板</w:t>
            </w:r>
          </w:p>
        </w:tc>
        <w:tc>
          <w:tcPr>
            <w:tcW w:w="1378" w:type="dxa"/>
            <w:vMerge w:val="continue"/>
            <w:tcBorders>
              <w:left w:val="single" w:color="000000" w:sz="6" w:space="0"/>
              <w:right w:val="single" w:color="000000" w:sz="6" w:space="0"/>
            </w:tcBorders>
            <w:vAlign w:val="center"/>
          </w:tcPr>
          <w:p w14:paraId="01290C0D">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bottom w:val="single" w:color="000000" w:sz="6" w:space="0"/>
              <w:right w:val="single" w:color="000000" w:sz="6" w:space="0"/>
            </w:tcBorders>
            <w:vAlign w:val="center"/>
          </w:tcPr>
          <w:p w14:paraId="52EC0E5A">
            <w:pPr>
              <w:pStyle w:val="7"/>
              <w:spacing w:line="273" w:lineRule="exact"/>
              <w:ind w:right="1"/>
              <w:jc w:val="center"/>
              <w:rPr>
                <w:rFonts w:hint="eastAsia" w:ascii="宋体" w:hAnsi="宋体" w:eastAsia="宋体" w:cs="宋体"/>
                <w:b w:val="0"/>
                <w:bCs/>
                <w:sz w:val="21"/>
                <w:szCs w:val="21"/>
                <w:highlight w:val="none"/>
                <w:lang w:val="en-US" w:eastAsia="zh-CN"/>
              </w:rPr>
            </w:pPr>
            <w:r>
              <w:rPr>
                <w:rFonts w:hint="eastAsia" w:cs="宋体"/>
                <w:b w:val="0"/>
                <w:bCs/>
                <w:sz w:val="21"/>
                <w:szCs w:val="21"/>
                <w:highlight w:val="none"/>
                <w:lang w:val="en-US" w:eastAsia="zh-CN"/>
              </w:rPr>
              <w:t>800张</w:t>
            </w:r>
          </w:p>
        </w:tc>
        <w:tc>
          <w:tcPr>
            <w:tcW w:w="1150" w:type="dxa"/>
            <w:vMerge w:val="continue"/>
            <w:tcBorders>
              <w:left w:val="single" w:color="000000" w:sz="6" w:space="0"/>
              <w:right w:val="single" w:color="000000" w:sz="6" w:space="0"/>
            </w:tcBorders>
            <w:vAlign w:val="center"/>
          </w:tcPr>
          <w:p w14:paraId="13C4CE8E">
            <w:pPr>
              <w:pStyle w:val="7"/>
              <w:jc w:val="center"/>
              <w:rPr>
                <w:rFonts w:hint="default" w:ascii="宋体" w:hAnsi="宋体" w:eastAsia="宋体"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70C34723">
            <w:pPr>
              <w:pStyle w:val="7"/>
              <w:jc w:val="center"/>
              <w:rPr>
                <w:rFonts w:hint="default" w:ascii="宋体" w:hAnsi="宋体" w:eastAsia="宋体"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3EB60A4F">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724849FE">
            <w:pPr>
              <w:jc w:val="center"/>
              <w:rPr>
                <w:rFonts w:ascii="Wingdings" w:hAnsi="Wingdings" w:eastAsia="Wingdings"/>
                <w:highlight w:val="none"/>
              </w:rPr>
            </w:pPr>
          </w:p>
        </w:tc>
      </w:tr>
      <w:tr w14:paraId="0BC66F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754" w:hRule="exact"/>
        </w:trPr>
        <w:tc>
          <w:tcPr>
            <w:tcW w:w="738" w:type="dxa"/>
            <w:vMerge w:val="continue"/>
            <w:tcBorders>
              <w:right w:val="single" w:color="000000" w:sz="6" w:space="0"/>
            </w:tcBorders>
            <w:vAlign w:val="center"/>
          </w:tcPr>
          <w:p w14:paraId="27B83308">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583C6218">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bottom w:val="single" w:color="000000" w:sz="6" w:space="0"/>
              <w:right w:val="single" w:color="000000" w:sz="6" w:space="0"/>
            </w:tcBorders>
            <w:vAlign w:val="center"/>
          </w:tcPr>
          <w:p w14:paraId="7AFE37FC">
            <w:pPr>
              <w:pStyle w:val="7"/>
              <w:spacing w:before="103" w:line="237" w:lineRule="auto"/>
              <w:ind w:left="141" w:right="144"/>
              <w:jc w:val="center"/>
              <w:rPr>
                <w:rFonts w:hint="eastAsia" w:ascii="宋体" w:hAnsi="宋体" w:eastAsia="宋体" w:cs="宋体"/>
                <w:spacing w:val="-1"/>
                <w:w w:val="99"/>
                <w:sz w:val="21"/>
                <w:szCs w:val="21"/>
                <w:highlight w:val="none"/>
                <w:lang w:eastAsia="zh-CN"/>
              </w:rPr>
            </w:pPr>
            <w:r>
              <w:rPr>
                <w:rFonts w:hint="eastAsia" w:ascii="宋体" w:hAnsi="宋体" w:eastAsia="宋体" w:cs="宋体"/>
                <w:spacing w:val="-1"/>
                <w:w w:val="99"/>
                <w:sz w:val="21"/>
                <w:szCs w:val="21"/>
                <w:highlight w:val="none"/>
                <w:lang w:eastAsia="zh-CN"/>
              </w:rPr>
              <w:t>86英寸一体机</w:t>
            </w:r>
          </w:p>
        </w:tc>
        <w:tc>
          <w:tcPr>
            <w:tcW w:w="1378" w:type="dxa"/>
            <w:vMerge w:val="continue"/>
            <w:tcBorders>
              <w:left w:val="single" w:color="000000" w:sz="6" w:space="0"/>
              <w:right w:val="single" w:color="000000" w:sz="6" w:space="0"/>
            </w:tcBorders>
            <w:vAlign w:val="center"/>
          </w:tcPr>
          <w:p w14:paraId="77D10F87">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bottom w:val="single" w:color="000000" w:sz="6" w:space="0"/>
              <w:right w:val="single" w:color="000000" w:sz="6" w:space="0"/>
            </w:tcBorders>
            <w:vAlign w:val="center"/>
          </w:tcPr>
          <w:p w14:paraId="3F51638E">
            <w:pPr>
              <w:pStyle w:val="7"/>
              <w:spacing w:line="273" w:lineRule="exact"/>
              <w:ind w:right="1"/>
              <w:jc w:val="center"/>
              <w:rPr>
                <w:rFonts w:hint="default" w:ascii="宋体" w:hAnsi="宋体" w:eastAsia="宋体" w:cs="宋体"/>
                <w:b w:val="0"/>
                <w:bCs/>
                <w:sz w:val="21"/>
                <w:szCs w:val="21"/>
                <w:highlight w:val="none"/>
                <w:lang w:val="en-US" w:eastAsia="zh-CN"/>
              </w:rPr>
            </w:pPr>
            <w:r>
              <w:rPr>
                <w:rFonts w:hint="eastAsia" w:cs="宋体"/>
                <w:b w:val="0"/>
                <w:bCs/>
                <w:sz w:val="21"/>
                <w:szCs w:val="21"/>
                <w:highlight w:val="none"/>
                <w:lang w:val="en-US" w:eastAsia="zh-CN"/>
              </w:rPr>
              <w:t>30套</w:t>
            </w:r>
          </w:p>
        </w:tc>
        <w:tc>
          <w:tcPr>
            <w:tcW w:w="1150" w:type="dxa"/>
            <w:vMerge w:val="continue"/>
            <w:tcBorders>
              <w:left w:val="single" w:color="000000" w:sz="6" w:space="0"/>
              <w:right w:val="single" w:color="000000" w:sz="6" w:space="0"/>
            </w:tcBorders>
            <w:vAlign w:val="center"/>
          </w:tcPr>
          <w:p w14:paraId="17926320">
            <w:pPr>
              <w:pStyle w:val="7"/>
              <w:jc w:val="center"/>
              <w:rPr>
                <w:rFonts w:hint="default" w:ascii="宋体" w:hAnsi="宋体" w:eastAsia="宋体"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4765A6BD">
            <w:pPr>
              <w:pStyle w:val="7"/>
              <w:jc w:val="center"/>
              <w:rPr>
                <w:rFonts w:hint="default" w:ascii="宋体" w:hAnsi="宋体" w:eastAsia="宋体"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1D623B78">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2442D2C8">
            <w:pPr>
              <w:jc w:val="center"/>
              <w:rPr>
                <w:rFonts w:ascii="Wingdings" w:hAnsi="Wingdings" w:eastAsia="Wingdings"/>
                <w:highlight w:val="none"/>
              </w:rPr>
            </w:pPr>
          </w:p>
        </w:tc>
      </w:tr>
      <w:tr w14:paraId="08E1F0F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exact"/>
        </w:trPr>
        <w:tc>
          <w:tcPr>
            <w:tcW w:w="738" w:type="dxa"/>
            <w:vMerge w:val="continue"/>
            <w:tcBorders>
              <w:right w:val="single" w:color="000000" w:sz="6" w:space="0"/>
            </w:tcBorders>
            <w:vAlign w:val="center"/>
          </w:tcPr>
          <w:p w14:paraId="5885FB7A">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10653A28">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bottom w:val="single" w:color="000000" w:sz="6" w:space="0"/>
              <w:right w:val="single" w:color="000000" w:sz="6" w:space="0"/>
            </w:tcBorders>
            <w:vAlign w:val="center"/>
          </w:tcPr>
          <w:p w14:paraId="04EF80A8">
            <w:pPr>
              <w:pStyle w:val="7"/>
              <w:spacing w:before="103" w:line="237" w:lineRule="auto"/>
              <w:ind w:left="141" w:right="144"/>
              <w:jc w:val="center"/>
              <w:rPr>
                <w:rFonts w:hint="eastAsia" w:ascii="宋体" w:hAnsi="宋体" w:eastAsia="宋体" w:cs="宋体"/>
                <w:spacing w:val="-1"/>
                <w:w w:val="99"/>
                <w:sz w:val="21"/>
                <w:szCs w:val="21"/>
                <w:highlight w:val="none"/>
                <w:lang w:eastAsia="zh-CN"/>
              </w:rPr>
            </w:pPr>
            <w:r>
              <w:rPr>
                <w:rFonts w:hint="eastAsia" w:ascii="宋体" w:hAnsi="宋体" w:eastAsia="宋体" w:cs="宋体"/>
                <w:spacing w:val="-1"/>
                <w:w w:val="99"/>
                <w:sz w:val="21"/>
                <w:szCs w:val="21"/>
                <w:highlight w:val="none"/>
                <w:lang w:eastAsia="zh-CN"/>
              </w:rPr>
              <w:t>讲台</w:t>
            </w:r>
          </w:p>
        </w:tc>
        <w:tc>
          <w:tcPr>
            <w:tcW w:w="1378" w:type="dxa"/>
            <w:vMerge w:val="continue"/>
            <w:tcBorders>
              <w:left w:val="single" w:color="000000" w:sz="6" w:space="0"/>
              <w:right w:val="single" w:color="000000" w:sz="6" w:space="0"/>
            </w:tcBorders>
            <w:vAlign w:val="center"/>
          </w:tcPr>
          <w:p w14:paraId="4143E8EE">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bottom w:val="single" w:color="000000" w:sz="6" w:space="0"/>
              <w:right w:val="single" w:color="000000" w:sz="6" w:space="0"/>
            </w:tcBorders>
            <w:vAlign w:val="center"/>
          </w:tcPr>
          <w:p w14:paraId="30DBF6A7">
            <w:pPr>
              <w:pStyle w:val="7"/>
              <w:spacing w:line="273" w:lineRule="exact"/>
              <w:ind w:right="1"/>
              <w:jc w:val="center"/>
              <w:rPr>
                <w:rFonts w:hint="default" w:ascii="宋体" w:hAnsi="宋体" w:eastAsia="宋体" w:cs="宋体"/>
                <w:b w:val="0"/>
                <w:bCs/>
                <w:sz w:val="21"/>
                <w:szCs w:val="21"/>
                <w:highlight w:val="none"/>
                <w:lang w:val="en-US" w:eastAsia="zh-CN"/>
              </w:rPr>
            </w:pPr>
            <w:r>
              <w:rPr>
                <w:rFonts w:hint="eastAsia" w:cs="宋体"/>
                <w:b w:val="0"/>
                <w:bCs/>
                <w:sz w:val="21"/>
                <w:szCs w:val="21"/>
                <w:highlight w:val="none"/>
                <w:lang w:val="en-US" w:eastAsia="zh-CN"/>
              </w:rPr>
              <w:t>30台</w:t>
            </w:r>
          </w:p>
        </w:tc>
        <w:tc>
          <w:tcPr>
            <w:tcW w:w="1150" w:type="dxa"/>
            <w:vMerge w:val="continue"/>
            <w:tcBorders>
              <w:left w:val="single" w:color="000000" w:sz="6" w:space="0"/>
              <w:right w:val="single" w:color="000000" w:sz="6" w:space="0"/>
            </w:tcBorders>
            <w:vAlign w:val="center"/>
          </w:tcPr>
          <w:p w14:paraId="1C9C41D0">
            <w:pPr>
              <w:pStyle w:val="7"/>
              <w:jc w:val="center"/>
              <w:rPr>
                <w:rFonts w:hint="default" w:ascii="宋体" w:hAnsi="宋体" w:eastAsia="宋体"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399D0340">
            <w:pPr>
              <w:pStyle w:val="7"/>
              <w:jc w:val="center"/>
              <w:rPr>
                <w:rFonts w:hint="default" w:ascii="宋体" w:hAnsi="宋体" w:eastAsia="宋体"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71986E63">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49A55B7C">
            <w:pPr>
              <w:jc w:val="center"/>
              <w:rPr>
                <w:rFonts w:ascii="Wingdings" w:hAnsi="Wingdings" w:eastAsia="Wingdings"/>
                <w:highlight w:val="none"/>
              </w:rPr>
            </w:pPr>
          </w:p>
        </w:tc>
      </w:tr>
      <w:tr w14:paraId="56022E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9" w:hRule="exact"/>
        </w:trPr>
        <w:tc>
          <w:tcPr>
            <w:tcW w:w="738" w:type="dxa"/>
            <w:vMerge w:val="continue"/>
            <w:tcBorders>
              <w:right w:val="single" w:color="000000" w:sz="6" w:space="0"/>
            </w:tcBorders>
            <w:vAlign w:val="center"/>
          </w:tcPr>
          <w:p w14:paraId="5257BAFE">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25404587">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bottom w:val="single" w:color="000000" w:sz="6" w:space="0"/>
              <w:right w:val="single" w:color="000000" w:sz="6" w:space="0"/>
            </w:tcBorders>
            <w:vAlign w:val="center"/>
          </w:tcPr>
          <w:p w14:paraId="61844E6D">
            <w:pPr>
              <w:pStyle w:val="7"/>
              <w:spacing w:before="103" w:line="237" w:lineRule="auto"/>
              <w:ind w:right="144" w:rightChars="0"/>
              <w:jc w:val="center"/>
              <w:rPr>
                <w:rFonts w:hint="eastAsia" w:ascii="宋体" w:hAnsi="宋体" w:eastAsia="宋体" w:cs="宋体"/>
                <w:spacing w:val="-1"/>
                <w:w w:val="99"/>
                <w:sz w:val="21"/>
                <w:szCs w:val="21"/>
                <w:highlight w:val="none"/>
                <w:lang w:eastAsia="zh-CN"/>
              </w:rPr>
            </w:pPr>
            <w:r>
              <w:rPr>
                <w:rFonts w:hint="eastAsia" w:cs="宋体"/>
                <w:spacing w:val="-1"/>
                <w:w w:val="99"/>
                <w:sz w:val="21"/>
                <w:szCs w:val="21"/>
                <w:highlight w:val="none"/>
                <w:lang w:val="en-US" w:eastAsia="zh-CN"/>
              </w:rPr>
              <w:t xml:space="preserve"> </w:t>
            </w:r>
            <w:r>
              <w:rPr>
                <w:rFonts w:hint="eastAsia" w:ascii="宋体" w:hAnsi="宋体" w:eastAsia="宋体" w:cs="宋体"/>
                <w:spacing w:val="-1"/>
                <w:w w:val="99"/>
                <w:sz w:val="21"/>
                <w:szCs w:val="21"/>
                <w:highlight w:val="none"/>
                <w:lang w:eastAsia="zh-CN"/>
              </w:rPr>
              <w:t>组合推拉书写板</w:t>
            </w:r>
          </w:p>
        </w:tc>
        <w:tc>
          <w:tcPr>
            <w:tcW w:w="1378" w:type="dxa"/>
            <w:vMerge w:val="continue"/>
            <w:tcBorders>
              <w:left w:val="single" w:color="000000" w:sz="6" w:space="0"/>
              <w:right w:val="single" w:color="000000" w:sz="6" w:space="0"/>
            </w:tcBorders>
            <w:vAlign w:val="center"/>
          </w:tcPr>
          <w:p w14:paraId="7A85BD6E">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bottom w:val="single" w:color="000000" w:sz="6" w:space="0"/>
              <w:right w:val="single" w:color="000000" w:sz="6" w:space="0"/>
            </w:tcBorders>
            <w:vAlign w:val="center"/>
          </w:tcPr>
          <w:p w14:paraId="78B4B60C">
            <w:pPr>
              <w:pStyle w:val="7"/>
              <w:spacing w:line="273" w:lineRule="exact"/>
              <w:ind w:right="1"/>
              <w:jc w:val="center"/>
              <w:rPr>
                <w:rFonts w:hint="default" w:ascii="宋体" w:hAnsi="宋体" w:eastAsia="宋体" w:cs="宋体"/>
                <w:b w:val="0"/>
                <w:bCs/>
                <w:sz w:val="21"/>
                <w:szCs w:val="21"/>
                <w:highlight w:val="none"/>
                <w:lang w:val="en-US" w:eastAsia="zh-CN"/>
              </w:rPr>
            </w:pPr>
            <w:r>
              <w:rPr>
                <w:rFonts w:hint="eastAsia" w:cs="宋体"/>
                <w:b w:val="0"/>
                <w:bCs/>
                <w:sz w:val="21"/>
                <w:szCs w:val="21"/>
                <w:highlight w:val="none"/>
                <w:lang w:val="en-US" w:eastAsia="zh-CN"/>
              </w:rPr>
              <w:t>30块</w:t>
            </w:r>
          </w:p>
        </w:tc>
        <w:tc>
          <w:tcPr>
            <w:tcW w:w="1150" w:type="dxa"/>
            <w:vMerge w:val="continue"/>
            <w:tcBorders>
              <w:left w:val="single" w:color="000000" w:sz="6" w:space="0"/>
              <w:right w:val="single" w:color="000000" w:sz="6" w:space="0"/>
            </w:tcBorders>
            <w:vAlign w:val="center"/>
          </w:tcPr>
          <w:p w14:paraId="4BB358D5">
            <w:pPr>
              <w:pStyle w:val="7"/>
              <w:tabs>
                <w:tab w:val="left" w:pos="495"/>
              </w:tabs>
              <w:jc w:val="center"/>
              <w:rPr>
                <w:rFonts w:hint="default" w:ascii="宋体" w:hAnsi="宋体" w:eastAsia="宋体"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4E17AB16">
            <w:pPr>
              <w:pStyle w:val="7"/>
              <w:jc w:val="center"/>
              <w:rPr>
                <w:rFonts w:hint="default" w:ascii="宋体" w:hAnsi="宋体" w:eastAsia="宋体"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3BC15492">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03BCA015">
            <w:pPr>
              <w:jc w:val="center"/>
              <w:rPr>
                <w:rFonts w:ascii="Wingdings" w:hAnsi="Wingdings" w:eastAsia="Wingdings"/>
                <w:highlight w:val="none"/>
              </w:rPr>
            </w:pPr>
          </w:p>
        </w:tc>
      </w:tr>
      <w:tr w14:paraId="3EF22F8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9" w:hRule="exact"/>
        </w:trPr>
        <w:tc>
          <w:tcPr>
            <w:tcW w:w="738" w:type="dxa"/>
            <w:vMerge w:val="continue"/>
            <w:tcBorders>
              <w:right w:val="single" w:color="000000" w:sz="6" w:space="0"/>
            </w:tcBorders>
            <w:vAlign w:val="center"/>
          </w:tcPr>
          <w:p w14:paraId="778FC275">
            <w:pPr>
              <w:pStyle w:val="7"/>
              <w:spacing w:before="140" w:line="272" w:lineRule="exact"/>
              <w:ind w:right="163"/>
              <w:jc w:val="center"/>
              <w:rPr>
                <w:rFonts w:hint="eastAsia" w:cs="宋体"/>
                <w:sz w:val="18"/>
                <w:szCs w:val="18"/>
                <w:highlight w:val="none"/>
                <w:lang w:val="en-US" w:eastAsia="zh-CN"/>
              </w:rPr>
            </w:pPr>
          </w:p>
        </w:tc>
        <w:tc>
          <w:tcPr>
            <w:tcW w:w="1062" w:type="dxa"/>
            <w:vMerge w:val="continue"/>
            <w:tcBorders>
              <w:left w:val="single" w:color="000000" w:sz="6" w:space="0"/>
              <w:right w:val="single" w:color="000000" w:sz="6" w:space="0"/>
            </w:tcBorders>
            <w:vAlign w:val="center"/>
          </w:tcPr>
          <w:p w14:paraId="26196650">
            <w:pPr>
              <w:pStyle w:val="7"/>
              <w:spacing w:line="237" w:lineRule="auto"/>
              <w:ind w:left="119" w:right="117"/>
              <w:jc w:val="center"/>
              <w:rPr>
                <w:rFonts w:hint="eastAsia" w:ascii="宋体" w:hAnsi="宋体" w:eastAsia="宋体" w:cs="宋体"/>
                <w:spacing w:val="-1"/>
                <w:w w:val="99"/>
                <w:sz w:val="21"/>
                <w:szCs w:val="21"/>
                <w:highlight w:val="none"/>
                <w:lang w:eastAsia="zh-CN"/>
              </w:rPr>
            </w:pPr>
          </w:p>
        </w:tc>
        <w:tc>
          <w:tcPr>
            <w:tcW w:w="1714" w:type="dxa"/>
            <w:tcBorders>
              <w:top w:val="single" w:color="000000" w:sz="6" w:space="0"/>
              <w:left w:val="single" w:color="000000" w:sz="6" w:space="0"/>
              <w:right w:val="single" w:color="000000" w:sz="6" w:space="0"/>
            </w:tcBorders>
            <w:vAlign w:val="center"/>
          </w:tcPr>
          <w:p w14:paraId="5791B43A">
            <w:pPr>
              <w:pStyle w:val="7"/>
              <w:spacing w:before="103" w:line="237" w:lineRule="auto"/>
              <w:ind w:right="144" w:rightChars="0"/>
              <w:jc w:val="center"/>
              <w:rPr>
                <w:rFonts w:hint="eastAsia" w:ascii="宋体" w:hAnsi="宋体" w:eastAsia="宋体" w:cs="宋体"/>
                <w:spacing w:val="-1"/>
                <w:w w:val="99"/>
                <w:sz w:val="21"/>
                <w:szCs w:val="21"/>
                <w:highlight w:val="none"/>
                <w:lang w:eastAsia="zh-CN"/>
              </w:rPr>
            </w:pPr>
            <w:r>
              <w:rPr>
                <w:rFonts w:hint="eastAsia" w:ascii="宋体" w:hAnsi="宋体" w:eastAsia="宋体" w:cs="宋体"/>
                <w:spacing w:val="-1"/>
                <w:w w:val="99"/>
                <w:sz w:val="21"/>
                <w:szCs w:val="21"/>
                <w:highlight w:val="none"/>
                <w:lang w:eastAsia="zh-CN"/>
              </w:rPr>
              <w:t>视频展台</w:t>
            </w:r>
          </w:p>
        </w:tc>
        <w:tc>
          <w:tcPr>
            <w:tcW w:w="1378" w:type="dxa"/>
            <w:vMerge w:val="continue"/>
            <w:tcBorders>
              <w:left w:val="single" w:color="000000" w:sz="6" w:space="0"/>
              <w:right w:val="single" w:color="000000" w:sz="6" w:space="0"/>
            </w:tcBorders>
            <w:vAlign w:val="center"/>
          </w:tcPr>
          <w:p w14:paraId="478F3D5B">
            <w:pPr>
              <w:pStyle w:val="7"/>
              <w:spacing w:line="272" w:lineRule="exact"/>
              <w:ind w:right="98"/>
              <w:jc w:val="center"/>
              <w:rPr>
                <w:rFonts w:hint="eastAsia" w:ascii="宋体" w:hAnsi="宋体" w:eastAsia="宋体" w:cs="宋体"/>
                <w:spacing w:val="2"/>
                <w:w w:val="99"/>
                <w:sz w:val="21"/>
                <w:szCs w:val="21"/>
                <w:highlight w:val="none"/>
              </w:rPr>
            </w:pPr>
          </w:p>
        </w:tc>
        <w:tc>
          <w:tcPr>
            <w:tcW w:w="741" w:type="dxa"/>
            <w:tcBorders>
              <w:top w:val="single" w:color="000000" w:sz="6" w:space="0"/>
              <w:left w:val="single" w:color="000000" w:sz="6" w:space="0"/>
              <w:right w:val="single" w:color="000000" w:sz="6" w:space="0"/>
            </w:tcBorders>
            <w:vAlign w:val="center"/>
          </w:tcPr>
          <w:p w14:paraId="04012499">
            <w:pPr>
              <w:pStyle w:val="7"/>
              <w:spacing w:line="273" w:lineRule="exact"/>
              <w:ind w:right="1"/>
              <w:jc w:val="center"/>
              <w:rPr>
                <w:rFonts w:hint="default" w:ascii="宋体" w:hAnsi="宋体" w:eastAsia="宋体" w:cs="宋体"/>
                <w:b w:val="0"/>
                <w:bCs/>
                <w:sz w:val="21"/>
                <w:szCs w:val="21"/>
                <w:highlight w:val="none"/>
                <w:lang w:val="en-US" w:eastAsia="zh-CN"/>
              </w:rPr>
            </w:pPr>
            <w:r>
              <w:rPr>
                <w:rFonts w:hint="eastAsia" w:cs="宋体"/>
                <w:b w:val="0"/>
                <w:bCs/>
                <w:sz w:val="21"/>
                <w:szCs w:val="21"/>
                <w:highlight w:val="none"/>
                <w:lang w:val="en-US" w:eastAsia="zh-CN"/>
              </w:rPr>
              <w:t>30台</w:t>
            </w:r>
          </w:p>
        </w:tc>
        <w:tc>
          <w:tcPr>
            <w:tcW w:w="1150" w:type="dxa"/>
            <w:vMerge w:val="continue"/>
            <w:tcBorders>
              <w:left w:val="single" w:color="000000" w:sz="6" w:space="0"/>
              <w:right w:val="single" w:color="000000" w:sz="6" w:space="0"/>
            </w:tcBorders>
            <w:vAlign w:val="center"/>
          </w:tcPr>
          <w:p w14:paraId="285EFE17">
            <w:pPr>
              <w:pStyle w:val="7"/>
              <w:tabs>
                <w:tab w:val="left" w:pos="495"/>
              </w:tabs>
              <w:jc w:val="center"/>
              <w:rPr>
                <w:rFonts w:hint="default" w:ascii="宋体" w:hAnsi="宋体" w:eastAsia="宋体" w:cs="宋体"/>
                <w:sz w:val="21"/>
                <w:szCs w:val="21"/>
                <w:highlight w:val="none"/>
                <w:lang w:val="en-US" w:eastAsia="zh-CN"/>
              </w:rPr>
            </w:pPr>
          </w:p>
        </w:tc>
        <w:tc>
          <w:tcPr>
            <w:tcW w:w="1200" w:type="dxa"/>
            <w:vMerge w:val="continue"/>
            <w:tcBorders>
              <w:left w:val="single" w:color="000000" w:sz="6" w:space="0"/>
              <w:right w:val="single" w:color="000000" w:sz="6" w:space="0"/>
            </w:tcBorders>
            <w:vAlign w:val="center"/>
          </w:tcPr>
          <w:p w14:paraId="5B2785A3">
            <w:pPr>
              <w:pStyle w:val="7"/>
              <w:jc w:val="center"/>
              <w:rPr>
                <w:rFonts w:hint="default" w:ascii="宋体" w:hAnsi="宋体" w:eastAsia="宋体" w:cs="宋体"/>
                <w:sz w:val="21"/>
                <w:szCs w:val="21"/>
                <w:highlight w:val="none"/>
                <w:lang w:val="en-US" w:eastAsia="zh-CN"/>
              </w:rPr>
            </w:pPr>
          </w:p>
        </w:tc>
        <w:tc>
          <w:tcPr>
            <w:tcW w:w="750" w:type="dxa"/>
            <w:vMerge w:val="continue"/>
            <w:tcBorders>
              <w:left w:val="single" w:color="000000" w:sz="6" w:space="0"/>
              <w:right w:val="single" w:color="000000" w:sz="6" w:space="0"/>
            </w:tcBorders>
            <w:vAlign w:val="center"/>
          </w:tcPr>
          <w:p w14:paraId="24A8D9E5">
            <w:pPr>
              <w:ind w:right="1"/>
              <w:jc w:val="center"/>
              <w:rPr>
                <w:rFonts w:ascii="Wingdings" w:hAnsi="Wingdings" w:eastAsia="Wingdings"/>
                <w:highlight w:val="none"/>
              </w:rPr>
            </w:pPr>
          </w:p>
        </w:tc>
        <w:tc>
          <w:tcPr>
            <w:tcW w:w="719" w:type="dxa"/>
            <w:vMerge w:val="continue"/>
            <w:tcBorders>
              <w:left w:val="single" w:color="000000" w:sz="6" w:space="0"/>
            </w:tcBorders>
            <w:vAlign w:val="center"/>
          </w:tcPr>
          <w:p w14:paraId="3CD2A523">
            <w:pPr>
              <w:jc w:val="center"/>
              <w:rPr>
                <w:rFonts w:ascii="Wingdings" w:hAnsi="Wingdings" w:eastAsia="Wingdings"/>
                <w:highlight w:val="none"/>
              </w:rPr>
            </w:pPr>
          </w:p>
        </w:tc>
      </w:tr>
    </w:tbl>
    <w:p w14:paraId="405211F9">
      <w:pPr>
        <w:adjustRightInd w:val="0"/>
        <w:snapToGrid w:val="0"/>
        <w:spacing w:line="360" w:lineRule="auto"/>
        <w:rPr>
          <w:rFonts w:hint="eastAsia" w:ascii="宋体" w:hAnsi="宋体"/>
          <w:color w:val="auto"/>
          <w:szCs w:val="21"/>
          <w:highlight w:val="none"/>
        </w:rPr>
      </w:pPr>
    </w:p>
    <w:p w14:paraId="503809B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注：1、“包”为最小合同单位。每“包”内容应细化到“品目”（如果分品目的）。</w:t>
      </w:r>
    </w:p>
    <w:p w14:paraId="4AF9A0FC">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2、货物的主要技术参数或规格：</w:t>
      </w:r>
      <w:r>
        <w:rPr>
          <w:rFonts w:ascii="宋体" w:hAnsi="宋体" w:cs="宋体"/>
          <w:color w:val="auto"/>
          <w:kern w:val="0"/>
          <w:szCs w:val="21"/>
          <w:highlight w:val="none"/>
        </w:rPr>
        <w:t>详见“技术要求”中的具体技术参数</w:t>
      </w:r>
      <w:r>
        <w:rPr>
          <w:rFonts w:hint="eastAsia" w:ascii="宋体" w:hAnsi="宋体" w:cs="宋体"/>
          <w:color w:val="auto"/>
          <w:kern w:val="0"/>
          <w:szCs w:val="21"/>
          <w:highlight w:val="none"/>
        </w:rPr>
        <w:t>。</w:t>
      </w:r>
    </w:p>
    <w:p w14:paraId="1EB06708">
      <w:pPr>
        <w:adjustRightInd w:val="0"/>
        <w:snapToGrid w:val="0"/>
        <w:spacing w:line="360" w:lineRule="auto"/>
        <w:ind w:firstLine="420" w:firstLineChars="200"/>
        <w:rPr>
          <w:rFonts w:hint="eastAsia" w:ascii="宋体" w:hAnsi="宋体" w:cs="宋体"/>
          <w:color w:val="auto"/>
          <w:kern w:val="0"/>
          <w:szCs w:val="21"/>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bCs/>
          <w:color w:val="auto"/>
          <w:kern w:val="0"/>
          <w:szCs w:val="21"/>
          <w:highlight w:val="none"/>
        </w:rPr>
        <w:t>3、供应商应</w:t>
      </w:r>
      <w:r>
        <w:rPr>
          <w:rFonts w:hint="eastAsia" w:ascii="宋体" w:hAnsi="宋体" w:cs="宋体"/>
          <w:color w:val="auto"/>
          <w:kern w:val="0"/>
          <w:szCs w:val="21"/>
          <w:highlight w:val="none"/>
        </w:rPr>
        <w:t>在响应文件</w:t>
      </w:r>
      <w:r>
        <w:rPr>
          <w:rFonts w:hint="eastAsia" w:ascii="华文中宋" w:hAnsi="华文中宋" w:eastAsia="华文中宋" w:cs="宋体"/>
          <w:color w:val="auto"/>
          <w:kern w:val="0"/>
          <w:szCs w:val="21"/>
          <w:highlight w:val="none"/>
        </w:rPr>
        <w:t>“</w:t>
      </w:r>
      <w:r>
        <w:rPr>
          <w:rFonts w:hint="eastAsia" w:ascii="宋体" w:hAnsi="宋体" w:cs="宋体"/>
          <w:color w:val="auto"/>
          <w:kern w:val="0"/>
          <w:szCs w:val="21"/>
          <w:highlight w:val="none"/>
        </w:rPr>
        <w:t>分项报价明细表</w:t>
      </w:r>
      <w:r>
        <w:rPr>
          <w:rFonts w:hint="eastAsia" w:ascii="华文中宋" w:hAnsi="华文中宋" w:eastAsia="华文中宋" w:cs="宋体"/>
          <w:color w:val="auto"/>
          <w:kern w:val="0"/>
          <w:szCs w:val="21"/>
          <w:highlight w:val="none"/>
        </w:rPr>
        <w:t>”</w:t>
      </w:r>
      <w:r>
        <w:rPr>
          <w:rFonts w:hint="eastAsia" w:ascii="宋体" w:hAnsi="宋体" w:cs="宋体"/>
          <w:color w:val="auto"/>
          <w:kern w:val="0"/>
          <w:szCs w:val="21"/>
          <w:highlight w:val="none"/>
        </w:rPr>
        <w:t>中按</w:t>
      </w:r>
      <w:r>
        <w:rPr>
          <w:rFonts w:hint="eastAsia" w:ascii="宋体" w:hAnsi="宋体"/>
          <w:color w:val="auto"/>
          <w:szCs w:val="21"/>
          <w:highlight w:val="none"/>
        </w:rPr>
        <w:t>分项项目名称（包括</w:t>
      </w:r>
      <w:r>
        <w:rPr>
          <w:rFonts w:hint="eastAsia" w:ascii="宋体" w:hAnsi="宋体" w:cs="宋体"/>
          <w:color w:val="auto"/>
          <w:kern w:val="0"/>
          <w:szCs w:val="21"/>
          <w:highlight w:val="none"/>
        </w:rPr>
        <w:t>条目号/品目名称）顺序逐项填写，且每个品目中的条目均需按谈判文件规定报价。如有缺项、漏项，其</w:t>
      </w:r>
      <w:r>
        <w:rPr>
          <w:rFonts w:hint="eastAsia" w:ascii="宋体" w:hAnsi="宋体" w:cs="宋体"/>
          <w:b/>
          <w:color w:val="auto"/>
          <w:kern w:val="0"/>
          <w:szCs w:val="21"/>
          <w:highlight w:val="none"/>
        </w:rPr>
        <w:t>响应无效</w:t>
      </w:r>
      <w:r>
        <w:rPr>
          <w:rFonts w:hint="eastAsia" w:ascii="宋体" w:hAnsi="宋体" w:cs="宋体"/>
          <w:color w:val="auto"/>
          <w:kern w:val="0"/>
          <w:szCs w:val="21"/>
          <w:highlight w:val="none"/>
        </w:rPr>
        <w:t>。</w:t>
      </w:r>
    </w:p>
    <w:p w14:paraId="13E84F21">
      <w:pPr>
        <w:pStyle w:val="4"/>
        <w:spacing w:line="360" w:lineRule="auto"/>
        <w:jc w:val="center"/>
        <w:rPr>
          <w:rFonts w:hint="eastAsia" w:ascii="宋体" w:hAnsi="宋体" w:eastAsia="宋体" w:cs="宋体"/>
          <w:highlight w:val="none"/>
        </w:rPr>
      </w:pPr>
      <w:r>
        <w:rPr>
          <w:rFonts w:hint="eastAsia" w:ascii="宋体" w:hAnsi="宋体" w:eastAsia="宋体" w:cs="宋体"/>
          <w:b/>
          <w:bCs/>
          <w:sz w:val="28"/>
          <w:szCs w:val="28"/>
          <w:highlight w:val="none"/>
        </w:rPr>
        <w:t>第二节 技术及商务要求</w:t>
      </w:r>
    </w:p>
    <w:p w14:paraId="6DEFD229">
      <w:pPr>
        <w:pStyle w:val="4"/>
        <w:spacing w:line="360" w:lineRule="auto"/>
        <w:ind w:firstLine="482" w:firstLineChars="20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一、采购货物</w:t>
      </w:r>
      <w:r>
        <w:rPr>
          <w:rFonts w:hint="eastAsia" w:ascii="宋体" w:hAnsi="宋体" w:eastAsia="宋体" w:cs="宋体"/>
          <w:b/>
          <w:bCs/>
          <w:sz w:val="24"/>
          <w:szCs w:val="24"/>
          <w:highlight w:val="none"/>
          <w:lang w:val="en-US" w:eastAsia="zh-CN"/>
        </w:rPr>
        <w:t>主要</w:t>
      </w:r>
      <w:r>
        <w:rPr>
          <w:rFonts w:hint="eastAsia" w:ascii="宋体" w:hAnsi="宋体" w:eastAsia="宋体" w:cs="宋体"/>
          <w:b/>
          <w:bCs/>
          <w:sz w:val="24"/>
          <w:szCs w:val="24"/>
          <w:highlight w:val="none"/>
        </w:rPr>
        <w:t>技术参数要求</w:t>
      </w:r>
    </w:p>
    <w:p w14:paraId="5FCA94AA">
      <w:pPr>
        <w:numPr>
          <w:ilvl w:val="0"/>
          <w:numId w:val="0"/>
        </w:numPr>
        <w:spacing w:line="360" w:lineRule="auto"/>
        <w:ind w:firstLine="482" w:firstLineChars="200"/>
        <w:rPr>
          <w:rFonts w:hint="eastAsia"/>
          <w:b/>
          <w:bCs/>
          <w:sz w:val="24"/>
          <w:szCs w:val="24"/>
          <w:highlight w:val="none"/>
          <w:lang w:val="en-US" w:eastAsia="zh-CN"/>
        </w:rPr>
      </w:pPr>
      <w:r>
        <w:rPr>
          <w:rFonts w:hint="eastAsia" w:ascii="Arial" w:eastAsia="宋体"/>
          <w:b/>
          <w:bCs/>
          <w:sz w:val="24"/>
          <w:szCs w:val="24"/>
          <w:highlight w:val="none"/>
          <w:lang w:val="en-US" w:eastAsia="zh-CN"/>
        </w:rPr>
        <w:t>1、钢木课桌椅（900套）</w:t>
      </w:r>
    </w:p>
    <w:p w14:paraId="0CF97574">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1.1、桌椅规格：</w:t>
      </w:r>
    </w:p>
    <w:p w14:paraId="73E92F62">
      <w:pPr>
        <w:numPr>
          <w:ilvl w:val="0"/>
          <w:numId w:val="0"/>
        </w:numPr>
        <w:spacing w:line="360" w:lineRule="auto"/>
        <w:ind w:firstLine="480" w:firstLineChars="200"/>
        <w:rPr>
          <w:rFonts w:hint="default"/>
          <w:b w:val="0"/>
          <w:bCs w:val="0"/>
          <w:sz w:val="24"/>
          <w:szCs w:val="24"/>
          <w:highlight w:val="none"/>
          <w:lang w:val="en-US" w:eastAsia="zh-CN"/>
        </w:rPr>
      </w:pPr>
      <w:r>
        <w:rPr>
          <w:rFonts w:hint="eastAsia" w:ascii="Arial" w:eastAsia="宋体"/>
          <w:b w:val="0"/>
          <w:bCs w:val="0"/>
          <w:sz w:val="24"/>
          <w:szCs w:val="24"/>
          <w:highlight w:val="none"/>
          <w:lang w:val="en-US" w:eastAsia="zh-CN"/>
        </w:rPr>
        <w:t>桌：长600mm*宽400mm*高750mm椅：坐垫长400mm*宽355mm，靠背长405mm*宽180mm。</w:t>
      </w:r>
    </w:p>
    <w:p w14:paraId="3501CDB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1.2、升降课桌技术要求：</w:t>
      </w:r>
    </w:p>
    <w:p w14:paraId="251ACDE9">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桌面尺寸：采用E1级环保密度板，经PP工程塑料一次性注塑封边，无接头，抗压、耐磨、耐冲击，规格：长600mm*宽400mm*厚18mm，桌面带有笔槽长220mm*宽16mm，桌面与书箱之间用自攻螺丝固定。（外观尺寸偏差范围允许±2mm，材料厚度不允许负偏离）</w:t>
      </w:r>
    </w:p>
    <w:p w14:paraId="2E0CFC5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（2）课桌管材：要求采用20*50（毫米）椭圆管，壁厚≥0.9毫米（去漆层净厚度）；两腿落地采用20*50（毫米）椭圆管，壁厚≥0.9毫米（去漆层净厚度）。</w:t>
      </w:r>
    </w:p>
    <w:p w14:paraId="65DD4BC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（3）桌升降片材质尺寸：升降片采用0.8mm 厚冷轧钢板，斗板0.6mm厚冷轧钢板，单层桌斗板均设臵折边加强筋，总高370mm，上宽340mm，上层斗高170mm，下层高200mm，下宽 235mm，升降片必须具有两列调节升降孔，两列孔间距90mm，具有凹凸状，升降片不得拼接，无任何焊点，一次冲压成型。（外观尺寸偏差范围允许±2mm,材料厚度不允许负偏离）</w:t>
      </w:r>
    </w:p>
    <w:p w14:paraId="5251D49F">
      <w:pPr>
        <w:numPr>
          <w:ilvl w:val="0"/>
          <w:numId w:val="0"/>
        </w:numPr>
        <w:tabs>
          <w:tab w:val="left" w:pos="6826"/>
        </w:tabs>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1.3、升降椅技术要求：</w:t>
      </w:r>
      <w:r>
        <w:rPr>
          <w:rFonts w:hint="eastAsia" w:ascii="Arial" w:eastAsia="宋体"/>
          <w:b w:val="0"/>
          <w:bCs w:val="0"/>
          <w:sz w:val="24"/>
          <w:szCs w:val="24"/>
          <w:highlight w:val="none"/>
          <w:lang w:val="en-US" w:eastAsia="zh-CN"/>
        </w:rPr>
        <w:tab/>
      </w:r>
    </w:p>
    <w:p w14:paraId="160E8DA4">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椅面尺寸：采用E1级环保密度板，经PP工程塑料一次性注塑封边，无接头，抗压、耐磨、耐冲击，坐板：长400mm*宽355mm*厚18mm，靠背：长405mm*宽180*厚18mm，（外观尺寸偏差范围允许±2mm,材料厚度不允许负偏离）。</w:t>
      </w:r>
    </w:p>
    <w:p w14:paraId="3DF6436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（2）椅管材：采用20*50（毫米）椭圆管，壁厚≥0.9毫米（去漆层净厚度），两腿落地采用20*50（毫米）椭圆管，壁厚≥0.9毫米（去漆层净厚度），靠背弯采用20mm方管，壁厚0.9mm。</w:t>
      </w:r>
    </w:p>
    <w:p w14:paraId="56C382D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（3）椅升降片：采用0.9mm 厚冷轧板，总高180mm，上宽215 mm，下宽185mm，升降片必须具有两列调节升降孔，两列孔间距100mm，不得修补与拼接，无任何焊点，一次冲压成型，升降片开口处需折边处理。（外观尺寸偏差范</w:t>
      </w:r>
    </w:p>
    <w:p w14:paraId="45126DD0">
      <w:pPr>
        <w:numPr>
          <w:ilvl w:val="0"/>
          <w:numId w:val="0"/>
        </w:numPr>
        <w:spacing w:line="360" w:lineRule="auto"/>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围允许±2mm,材料厚度不允许负偏离）</w:t>
      </w:r>
    </w:p>
    <w:p w14:paraId="6D442033">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1.4、工艺要求：</w:t>
      </w:r>
    </w:p>
    <w:p w14:paraId="315A87A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（1）采用灰色烤漆，型材表面经除油，去锈，磷化静电喷粉高温固化而成，热固性粉末喷塑。</w:t>
      </w:r>
    </w:p>
    <w:p w14:paraId="1F92F6FD">
      <w:pPr>
        <w:numPr>
          <w:ilvl w:val="0"/>
          <w:numId w:val="0"/>
        </w:numPr>
        <w:spacing w:line="360" w:lineRule="auto"/>
        <w:ind w:firstLine="480" w:firstLineChars="200"/>
        <w:rPr>
          <w:rFonts w:hint="eastAsia"/>
          <w:b w:val="0"/>
          <w:bCs w:val="0"/>
          <w:sz w:val="24"/>
          <w:szCs w:val="24"/>
          <w:highlight w:val="none"/>
        </w:rPr>
      </w:pPr>
      <w:r>
        <w:rPr>
          <w:rFonts w:hint="eastAsia" w:ascii="Arial" w:eastAsia="宋体"/>
          <w:b w:val="0"/>
          <w:bCs w:val="0"/>
          <w:sz w:val="24"/>
          <w:szCs w:val="24"/>
          <w:highlight w:val="none"/>
          <w:lang w:val="en-US" w:eastAsia="zh-CN"/>
        </w:rPr>
        <w:t>（2）所有材质（含塑粉、板材等）均需达到环保要求。</w:t>
      </w:r>
    </w:p>
    <w:p w14:paraId="1E8F31DC">
      <w:pPr>
        <w:numPr>
          <w:ilvl w:val="0"/>
          <w:numId w:val="0"/>
        </w:numPr>
        <w:spacing w:line="360" w:lineRule="auto"/>
        <w:ind w:firstLine="420" w:firstLineChars="200"/>
        <w:rPr>
          <w:rFonts w:hint="eastAsia"/>
          <w:b/>
          <w:bCs/>
          <w:sz w:val="24"/>
          <w:szCs w:val="24"/>
          <w:highlight w:val="none"/>
          <w:lang w:val="en-US" w:eastAsia="zh-CN"/>
        </w:rPr>
      </w:pPr>
      <w:r>
        <w:rPr>
          <w:highlight w:val="none"/>
        </w:rPr>
        <w:drawing>
          <wp:anchor distT="0" distB="0" distL="114300" distR="114300" simplePos="0" relativeHeight="251659264" behindDoc="0" locked="0" layoutInCell="1" allowOverlap="1">
            <wp:simplePos x="0" y="0"/>
            <wp:positionH relativeFrom="column">
              <wp:posOffset>929640</wp:posOffset>
            </wp:positionH>
            <wp:positionV relativeFrom="paragraph">
              <wp:posOffset>15240</wp:posOffset>
            </wp:positionV>
            <wp:extent cx="3230245" cy="2425065"/>
            <wp:effectExtent l="0" t="0" r="8255" b="635"/>
            <wp:wrapNone/>
            <wp:docPr id="3" name="图片 2" descr="YJ-KZ022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YJ-KZ022 (3)"/>
                    <pic:cNvPicPr>
                      <a:picLocks noChangeAspect="1"/>
                    </pic:cNvPicPr>
                  </pic:nvPicPr>
                  <pic:blipFill>
                    <a:blip r:embed="rId4"/>
                    <a:stretch>
                      <a:fillRect/>
                    </a:stretch>
                  </pic:blipFill>
                  <pic:spPr>
                    <a:xfrm>
                      <a:off x="0" y="0"/>
                      <a:ext cx="3230245" cy="2425065"/>
                    </a:xfrm>
                    <a:prstGeom prst="rect">
                      <a:avLst/>
                    </a:prstGeom>
                    <a:noFill/>
                    <a:ln>
                      <a:noFill/>
                    </a:ln>
                  </pic:spPr>
                </pic:pic>
              </a:graphicData>
            </a:graphic>
          </wp:anchor>
        </w:drawing>
      </w:r>
    </w:p>
    <w:p w14:paraId="1BFAA7F7">
      <w:pPr>
        <w:numPr>
          <w:ilvl w:val="0"/>
          <w:numId w:val="0"/>
        </w:numPr>
        <w:spacing w:line="360" w:lineRule="auto"/>
        <w:ind w:firstLine="482" w:firstLineChars="200"/>
        <w:rPr>
          <w:rFonts w:hint="eastAsia"/>
          <w:b/>
          <w:bCs/>
          <w:sz w:val="24"/>
          <w:szCs w:val="24"/>
          <w:highlight w:val="none"/>
          <w:lang w:val="en-US" w:eastAsia="zh-CN"/>
        </w:rPr>
      </w:pPr>
    </w:p>
    <w:p w14:paraId="0EB5DC84">
      <w:pPr>
        <w:numPr>
          <w:ilvl w:val="0"/>
          <w:numId w:val="0"/>
        </w:numPr>
        <w:spacing w:line="360" w:lineRule="auto"/>
        <w:ind w:firstLine="482" w:firstLineChars="200"/>
        <w:rPr>
          <w:rFonts w:hint="eastAsia"/>
          <w:b/>
          <w:bCs/>
          <w:sz w:val="24"/>
          <w:szCs w:val="24"/>
          <w:highlight w:val="none"/>
          <w:lang w:val="en-US" w:eastAsia="zh-CN"/>
        </w:rPr>
      </w:pPr>
    </w:p>
    <w:p w14:paraId="02144211">
      <w:pPr>
        <w:numPr>
          <w:ilvl w:val="0"/>
          <w:numId w:val="0"/>
        </w:numPr>
        <w:spacing w:line="360" w:lineRule="auto"/>
        <w:ind w:firstLine="482" w:firstLineChars="200"/>
        <w:rPr>
          <w:rFonts w:hint="eastAsia"/>
          <w:b/>
          <w:bCs/>
          <w:sz w:val="24"/>
          <w:szCs w:val="24"/>
          <w:highlight w:val="none"/>
          <w:lang w:val="en-US" w:eastAsia="zh-CN"/>
        </w:rPr>
      </w:pPr>
    </w:p>
    <w:p w14:paraId="48DDCF6B">
      <w:pPr>
        <w:numPr>
          <w:ilvl w:val="0"/>
          <w:numId w:val="0"/>
        </w:numPr>
        <w:spacing w:line="360" w:lineRule="auto"/>
        <w:ind w:firstLine="482" w:firstLineChars="200"/>
        <w:rPr>
          <w:rFonts w:hint="eastAsia"/>
          <w:b/>
          <w:bCs/>
          <w:sz w:val="24"/>
          <w:szCs w:val="24"/>
          <w:highlight w:val="none"/>
          <w:lang w:val="en-US" w:eastAsia="zh-CN"/>
        </w:rPr>
      </w:pPr>
    </w:p>
    <w:p w14:paraId="01E1E326">
      <w:pPr>
        <w:numPr>
          <w:ilvl w:val="0"/>
          <w:numId w:val="0"/>
        </w:numPr>
        <w:spacing w:line="360" w:lineRule="auto"/>
        <w:ind w:firstLine="482" w:firstLineChars="200"/>
        <w:rPr>
          <w:rFonts w:hint="eastAsia"/>
          <w:b/>
          <w:bCs/>
          <w:sz w:val="24"/>
          <w:szCs w:val="24"/>
          <w:highlight w:val="none"/>
          <w:lang w:val="en-US" w:eastAsia="zh-CN"/>
        </w:rPr>
      </w:pPr>
    </w:p>
    <w:p w14:paraId="5E071CEC">
      <w:pPr>
        <w:numPr>
          <w:ilvl w:val="0"/>
          <w:numId w:val="0"/>
        </w:numPr>
        <w:spacing w:line="360" w:lineRule="auto"/>
        <w:ind w:firstLine="482" w:firstLineChars="200"/>
        <w:rPr>
          <w:rFonts w:hint="eastAsia"/>
          <w:b/>
          <w:bCs/>
          <w:sz w:val="24"/>
          <w:szCs w:val="24"/>
          <w:highlight w:val="none"/>
          <w:lang w:val="en-US" w:eastAsia="zh-CN"/>
        </w:rPr>
      </w:pPr>
    </w:p>
    <w:p w14:paraId="591251E4">
      <w:pPr>
        <w:numPr>
          <w:ilvl w:val="0"/>
          <w:numId w:val="0"/>
        </w:numPr>
        <w:spacing w:line="360" w:lineRule="auto"/>
        <w:ind w:firstLine="482" w:firstLineChars="200"/>
        <w:rPr>
          <w:rFonts w:hint="eastAsia"/>
          <w:b/>
          <w:bCs/>
          <w:sz w:val="24"/>
          <w:szCs w:val="24"/>
          <w:highlight w:val="none"/>
          <w:lang w:val="en-US" w:eastAsia="zh-CN"/>
        </w:rPr>
      </w:pPr>
    </w:p>
    <w:p w14:paraId="22ED0AF2">
      <w:pPr>
        <w:numPr>
          <w:ilvl w:val="0"/>
          <w:numId w:val="0"/>
        </w:numPr>
        <w:spacing w:line="360" w:lineRule="auto"/>
        <w:ind w:firstLine="482" w:firstLineChars="200"/>
        <w:rPr>
          <w:rFonts w:hint="eastAsia"/>
          <w:b/>
          <w:bCs/>
          <w:sz w:val="24"/>
          <w:szCs w:val="24"/>
          <w:highlight w:val="none"/>
          <w:lang w:val="en-US" w:eastAsia="zh-CN"/>
        </w:rPr>
      </w:pPr>
    </w:p>
    <w:p w14:paraId="231F3630">
      <w:pPr>
        <w:numPr>
          <w:ilvl w:val="0"/>
          <w:numId w:val="0"/>
        </w:numPr>
        <w:spacing w:line="360" w:lineRule="auto"/>
        <w:ind w:firstLine="482" w:firstLineChars="200"/>
        <w:rPr>
          <w:rFonts w:hint="eastAsia"/>
          <w:b/>
          <w:bCs/>
          <w:sz w:val="24"/>
          <w:szCs w:val="24"/>
          <w:highlight w:val="none"/>
          <w:lang w:val="en-US" w:eastAsia="zh-CN"/>
        </w:rPr>
      </w:pPr>
    </w:p>
    <w:p w14:paraId="725FB006">
      <w:pPr>
        <w:numPr>
          <w:ilvl w:val="0"/>
          <w:numId w:val="0"/>
        </w:numPr>
        <w:spacing w:line="360" w:lineRule="auto"/>
        <w:ind w:firstLine="482" w:firstLineChars="200"/>
        <w:rPr>
          <w:rFonts w:hint="eastAsia"/>
          <w:b/>
          <w:bCs/>
          <w:sz w:val="24"/>
          <w:szCs w:val="24"/>
          <w:highlight w:val="none"/>
          <w:lang w:val="en-US" w:eastAsia="zh-CN"/>
        </w:rPr>
      </w:pPr>
      <w:r>
        <w:rPr>
          <w:rFonts w:hint="eastAsia" w:ascii="Arial" w:eastAsia="宋体"/>
          <w:b/>
          <w:bCs/>
          <w:sz w:val="24"/>
          <w:szCs w:val="24"/>
          <w:highlight w:val="none"/>
          <w:lang w:val="en-US" w:eastAsia="zh-CN"/>
        </w:rPr>
        <w:t>2、学生上下床（305套），更换床板800张</w:t>
      </w:r>
    </w:p>
    <w:p w14:paraId="615A01C0">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2.1、铁床规格：长2000mm*900mm*1750mm（长*宽*高）。</w:t>
      </w:r>
    </w:p>
    <w:p w14:paraId="4B817592">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2.2、立柱：床立柱采用40mm*40mm*1.2mm的方管。</w:t>
      </w:r>
    </w:p>
    <w:p w14:paraId="0C901661">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2.3、横梁：前后横梁采用25mm*50mm*1.2mm的方管，侧面横梁25mm*50mm*1.0mm方管。</w:t>
      </w:r>
    </w:p>
    <w:p w14:paraId="15411109">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2.4、护栏：护栏采用20mm*20mm*1.2方管，护栏竖管不少于3根，规格为19mm*1.0圆管。</w:t>
      </w:r>
    </w:p>
    <w:p w14:paraId="6D3C7B5D">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2.5、楼梯：楼梯支架采用20mm*20mm*1.2mm方管， 踏步采用冷扎钢板冲压成型，踏板表面设有凹凸纹路,起到加固和防滑作用。</w:t>
      </w:r>
    </w:p>
    <w:p w14:paraId="4B443A96">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2.6、床板横撑：25mm *25mm*1.2mm方管，横撑数量不少于五根。</w:t>
      </w:r>
    </w:p>
    <w:p w14:paraId="3FA5ADA7">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2.7、脚套：床立柱脚套为内嵌式蓝色脚套，采用高分子量PE材料制作，脚套与床脚应结合紧密、牢靠、不脱落。</w:t>
      </w:r>
    </w:p>
    <w:p w14:paraId="4419673C">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2.8、床板：床板采用14mm厚杉木无缝直拼板。防止上层灰尘掉落，（不允许使用指接板，所用木材须进行防虫、除脂、干燥处理，木材含水率不高于12%）制作加钉4根杉木横条, 铺板应双面刨光打磨。</w:t>
      </w:r>
    </w:p>
    <w:p w14:paraId="214C6ED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2.9、生产工艺：各钢件经除油，除锈，磷化，酸洗等工序，经防锈、钝化</w:t>
      </w:r>
    </w:p>
    <w:p w14:paraId="5C6BEEE6">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处理，高频焊接，焊接表面波纹均匀，无脱焊、虚焊、焊穿等现象，所以焊缝全部是满焊；表面采用奶白色环氧聚酯粉末锤纹涂料静电喷塑，楼梯踏板防滑成型制作。</w:t>
      </w:r>
    </w:p>
    <w:p w14:paraId="00C379DB">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jc w:val="center"/>
        <w:textAlignment w:val="baseline"/>
        <w:rPr>
          <w:rFonts w:hint="eastAsia"/>
          <w:b w:val="0"/>
          <w:bCs w:val="0"/>
          <w:sz w:val="24"/>
          <w:szCs w:val="24"/>
          <w:highlight w:val="none"/>
          <w:lang w:val="en-US" w:eastAsia="zh-CN"/>
        </w:rPr>
      </w:pPr>
      <w:r>
        <w:rPr>
          <w:rFonts w:hint="eastAsia" w:eastAsia="宋体"/>
          <w:highlight w:val="none"/>
          <w:lang w:eastAsia="zh-CN"/>
        </w:rPr>
        <w:drawing>
          <wp:inline distT="0" distB="0" distL="114300" distR="114300">
            <wp:extent cx="2366645" cy="2564765"/>
            <wp:effectExtent l="0" t="0" r="8255" b="635"/>
            <wp:docPr id="2" name="图片 1" descr="2828868e8fd719bf89797fba442c59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828868e8fd719bf89797fba442c590a"/>
                    <pic:cNvPicPr>
                      <a:picLocks noChangeAspect="1"/>
                    </pic:cNvPicPr>
                  </pic:nvPicPr>
                  <pic:blipFill>
                    <a:blip r:embed="rId5"/>
                    <a:stretch>
                      <a:fillRect/>
                    </a:stretch>
                  </pic:blipFill>
                  <pic:spPr>
                    <a:xfrm>
                      <a:off x="0" y="0"/>
                      <a:ext cx="2366645" cy="2564765"/>
                    </a:xfrm>
                    <a:prstGeom prst="rect">
                      <a:avLst/>
                    </a:prstGeom>
                    <a:noFill/>
                    <a:ln>
                      <a:noFill/>
                    </a:ln>
                  </pic:spPr>
                </pic:pic>
              </a:graphicData>
            </a:graphic>
          </wp:inline>
        </w:drawing>
      </w:r>
    </w:p>
    <w:p w14:paraId="0A00EE77">
      <w:pPr>
        <w:numPr>
          <w:ilvl w:val="0"/>
          <w:numId w:val="0"/>
        </w:numPr>
        <w:spacing w:line="360" w:lineRule="auto"/>
        <w:ind w:firstLine="482" w:firstLineChars="200"/>
        <w:rPr>
          <w:rFonts w:hint="eastAsia"/>
          <w:b/>
          <w:bCs/>
          <w:sz w:val="24"/>
          <w:szCs w:val="24"/>
          <w:highlight w:val="none"/>
          <w:lang w:val="en-US" w:eastAsia="zh-CN"/>
        </w:rPr>
      </w:pPr>
      <w:r>
        <w:rPr>
          <w:rFonts w:hint="eastAsia" w:ascii="Arial" w:eastAsia="宋体"/>
          <w:b/>
          <w:bCs/>
          <w:sz w:val="24"/>
          <w:szCs w:val="24"/>
          <w:highlight w:val="none"/>
          <w:lang w:val="en-US" w:eastAsia="zh-CN"/>
        </w:rPr>
        <w:t>3、86英寸一体机（30套）</w:t>
      </w:r>
    </w:p>
    <w:p w14:paraId="23BD75F1">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3.1、整机设计参数要求：</w:t>
      </w:r>
    </w:p>
    <w:p w14:paraId="4098905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（1）整机采用一体设计，外部无任何可见内部功能模块连接线。整机采用全金属外壳设计，边角采用弧形设计，表面无尖锐边缘或凸起，产品须符合现行 国家、教育行业标准：GB 4943.1-2022。</w:t>
      </w:r>
    </w:p>
    <w:p w14:paraId="6056A58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（2）整机屏幕采用≥86 英寸UHD超高清LED液晶屏，显示比例16:9，屏幕图 像分辨率≥3840*2160，具备防眩光效果。</w:t>
      </w:r>
    </w:p>
    <w:p w14:paraId="05C64AA1">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（3）采用红外触控方式，整机系统中进行40点或以上触控。</w:t>
      </w:r>
    </w:p>
    <w:p w14:paraId="6EAE2C5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（4）整机内置扬声器，位于设备下边框出音，总功率≥70W，语言清晰度0. 75≤(STI-PA)≤1。（需提供第三方检测机构出具的带有CMA资质标识的完整检测  报告扫描件并加盖投标人公章）</w:t>
      </w:r>
    </w:p>
    <w:p w14:paraId="3E4DA6C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（5）整机需具备智能书写护眼模式，可做到屏幕书写过程中逐步降低整机 背光亮度至50%，降低色温≤6500K。（需提供第三方检测机构出具的带有CMA资 质标识的完整检测报告扫描件并加盖投标人公章）</w:t>
      </w:r>
    </w:p>
    <w:p w14:paraId="53AF3A6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（6）整机屏体需支持无需操作即可实现蓝光防护，具备物理防蓝光（过滤  蓝光）功能，有效抗蓝光、防眩光，蓝光占比（有害蓝光 415～455nm能量综合） /（整体蓝光 400～500nm能量综合）≤50%，低蓝光保护显示不偏色、不泛黄。</w:t>
      </w:r>
    </w:p>
    <w:p w14:paraId="52F8699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（7）整机需具备不少于两处磁吸区域，可吸附具备磁吸功能的书写笔。</w:t>
      </w:r>
    </w:p>
    <w:p w14:paraId="0B4046E8">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（8）整机支持前置物理接口≥5个，所有接口均采用非转接方式，包含≥1 路HDMI接口、 ≥2路双通道USB3.0 接口、 ≥1路Type-C接口、 ≥1路USB-Type-B 接口。（需提供第三方检测机构出具的带有CMA资质标识的完整检测报告扫描件 并加盖投标人公章）</w:t>
      </w:r>
    </w:p>
    <w:p w14:paraId="15F6980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3.2、硬件功能模块参数要求：</w:t>
      </w:r>
    </w:p>
    <w:p w14:paraId="217CB99C">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（1）整机具备前置按键，可通过自定义设置实现前置面板功能一键启用小 工具或快捷功能（主页，截屏，倒计时，屏幕下移，日历，白板，计算器，聚光 灯，投票器，自动亮度，触摸锁，音量，录课）。（需提供第三方检测机构出具 的带有CMA资质标识的完整检测报告扫描件并加盖投标人公章）</w:t>
      </w:r>
    </w:p>
    <w:p w14:paraId="4CA92F69">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（2）内置无线传屏接收端，无需外接接收部件，无线传屏发射器与整机匹 配后即可实现传屏功能，将外部电脑的屏幕画面通过无线方式传输到整机上显示。</w:t>
      </w:r>
    </w:p>
    <w:p w14:paraId="3F0C4864">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（3）整机具备≥8 阵列麦克风，可用于对教室环境音频进行采集，拾音距 离≥12m。</w:t>
      </w:r>
    </w:p>
    <w:p w14:paraId="067D8705">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（4）设备支持自定义功能设置，可通过自定义设置常用功能一键启用任一 全局小工具（批注、截屏、计时、降半屏、放大镜）。</w:t>
      </w:r>
    </w:p>
    <w:p w14:paraId="58A8BFE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（5）整机支持蓝牙功能，可外接蓝牙设备。</w:t>
      </w:r>
    </w:p>
    <w:p w14:paraId="287B958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（6）整机具备摄像头，摄像头需具备下倾设计，下倾角度≥10 °, 拍摄画 面全面，拍摄照片像素数≥4800 万，需支持输出 8000×6000pix的照片，对角视 场角≥135 °, 水平视场角≥120 °, 垂直视场角≥80 °。（需提供第三方检测机 构出具的带有CMA资质标识的完整检测报告扫描件并加盖投标人公章）</w:t>
      </w:r>
    </w:p>
    <w:p w14:paraId="78E8D9D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（7）整机需具备远程巡课、识别人像功能。</w:t>
      </w:r>
    </w:p>
    <w:p w14:paraId="4A48E1C4">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3.3、系统参数要求：</w:t>
      </w:r>
    </w:p>
    <w:p w14:paraId="38E800C0">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（1）整机自带≥八核处理器，内存≥4GB，存储空间≥32GB。</w:t>
      </w:r>
    </w:p>
    <w:p w14:paraId="54C272B8">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（2）整机操作系统下，白板支持对书写的笔迹和形状的颜色进行更换。</w:t>
      </w:r>
    </w:p>
    <w:p w14:paraId="75D611D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（3）需具备供电保护模块，支持在内置电脑未锁定的情况下，不给内置电 脑供电。</w:t>
      </w:r>
    </w:p>
    <w:p w14:paraId="151E5AFD">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（4）需支持自检功能，可检测整机内存，存储使用情况；可检测内置电脑， 触控系统、光感系统，屏体温度相关硬件状态，可判断硬件是否正常工作。</w:t>
      </w:r>
    </w:p>
    <w:p w14:paraId="4710D89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3.4、内置电脑模块参数要求：</w:t>
      </w:r>
    </w:p>
    <w:p w14:paraId="177F049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（1）CPU处理器：≥8 核12线程，主频≥2GHz，内存≥8G，硬盘≥256G SSD 。</w:t>
      </w:r>
    </w:p>
    <w:p w14:paraId="3BCC599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（2）采用按压式卡扣，可快速拆卸电脑模块。</w:t>
      </w:r>
    </w:p>
    <w:p w14:paraId="148342C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（3）具有独立非外扩展的视频输出接口：≥1 路HDMI，USB接口：≥3 路USB。</w:t>
      </w:r>
    </w:p>
    <w:p w14:paraId="4B4D55B8">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（4）内置无线网卡，支持 802.11a/b/g/n/ac/ax协议。</w:t>
      </w:r>
    </w:p>
    <w:p w14:paraId="2F6090E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3.5、课堂管家软件</w:t>
      </w:r>
    </w:p>
    <w:p w14:paraId="6D07D948">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（1）系统瘦身：需支持对系统磁盘进行深度清理，能够根据选择一键快速 清理系统回收站文件、临时文件、 日志文件，释放自由空间保障设备性能；</w:t>
      </w:r>
    </w:p>
    <w:p w14:paraId="2C6FE5B3">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（2）需支持将系统磁盘中的个人文件一键迁移至非系统盘的指定位置，保 护个人文件安全。</w:t>
      </w:r>
    </w:p>
    <w:p w14:paraId="59E1513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 xml:space="preserve">（3）需支持病毒查杀功能，需提供U盘查杀功能，能够对U盘中的恶意病毒 </w:t>
      </w:r>
    </w:p>
    <w:p w14:paraId="52A8D9F9">
      <w:pPr>
        <w:numPr>
          <w:ilvl w:val="0"/>
          <w:numId w:val="0"/>
        </w:numPr>
        <w:spacing w:line="360" w:lineRule="auto"/>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软件进行有效防护隔离。</w:t>
      </w:r>
    </w:p>
    <w:p w14:paraId="6903A4B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（4）需支持对各种广告弹窗、新闻弹窗进行一键拦截，维护课堂秩序，净化课堂环境。</w:t>
      </w:r>
    </w:p>
    <w:p w14:paraId="7DB7E28D">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（5）需支持手动拦截、截图拦截、超级拦截3种方式，可以及时快捷地将 发现的广告弹窗添加至拦截列表进行管控。</w:t>
      </w:r>
    </w:p>
    <w:p w14:paraId="241F96E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（6）需支持冰点还原功能，支持设置冰点穿透白名单，在白名单内应用将 默认不受冰点还原的影响，重启设备之后相应安装、卸载和更新内容操作仍然保 留。</w:t>
      </w:r>
    </w:p>
    <w:p w14:paraId="761BB4C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（7）需支持收集并展示单个终端的硬件信息，包括系统版本、CPU、内存、 硬盘，同时支持实时监控CPU使用率、CPU温度、内存使用率、硬盘使用率等信息； 软件管理模块可提供软件名称、软件类型、内存占用大小及安装时间。</w:t>
      </w:r>
    </w:p>
    <w:p w14:paraId="7A50DF79">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（8）需支持检测设备软硬件状态：包括但不限于一键检测、摄像头检测、 网络检测、声音检测、系统资源、系统设置、软件检测、工具软件。</w:t>
      </w:r>
    </w:p>
    <w:p w14:paraId="4FABE72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3.6、课堂教学系统</w:t>
      </w:r>
    </w:p>
    <w:p w14:paraId="6E854DA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（1）需支持一键开机后即刻进入教学应用系统界面，无需额外点击操作运 行应用系统；支持教师通过二维码扫描、账密输入、人脸识别登录方式进入教学 应用系统。</w:t>
      </w:r>
    </w:p>
    <w:p w14:paraId="11134E7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（2）需提供学科应用入口：教学桌面需最少预置语文、数学、英语3个学科的学科应用入口，需支持教师直接下载并按照学科筛选学科应用。</w:t>
      </w:r>
    </w:p>
    <w:p w14:paraId="2CF6531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（3）电子白板教学：需提供书写工具，需支持实现教学过程中选择内容、书写、擦除操作。需支持≥10个白板主题模板，包括：五线谱、篮球场、点阵 格、足球场等。</w:t>
      </w:r>
    </w:p>
    <w:p w14:paraId="191726F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（4）提供罗盘工具，需支持五指点击屏幕调出罗盘工具，需支持在一体机 屏幕任意位置停留或左右侧边隐藏；常见应用工具≥2 层功能调取如选择、擦除 等；</w:t>
      </w:r>
    </w:p>
    <w:p w14:paraId="14C0D094">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（5）在系统界面下，内置侧边栏快捷菜单，支持≥10种快捷入口，如主页、 文件、课本、白板、展台、讲评、智能笔等；需支持在系统界面下实现上课/下课，并自动登录/退出教师账号，登录后自动进入上次授课班级及教学进度；</w:t>
      </w:r>
    </w:p>
    <w:p w14:paraId="664EE645">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（6）需支持≥7种智能手势操作功能，便捷教师应用操作，提升人机交互  效率，如调用系统菜单、召唤全局工具栏、窗口最小化、多窗口管理、亮/息屏、 降半屏等手势操作功能；</w:t>
      </w:r>
    </w:p>
    <w:p w14:paraId="786C9865">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 xml:space="preserve">（7）需支持录课功能，需支持≥2 种调取方式，如前置物理按键一键调取 </w:t>
      </w:r>
    </w:p>
    <w:p w14:paraId="0D8B7DB0">
      <w:pPr>
        <w:numPr>
          <w:ilvl w:val="0"/>
          <w:numId w:val="0"/>
        </w:numPr>
        <w:spacing w:line="360" w:lineRule="auto"/>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或罗盘工具调取；支持对微课内容（PPT、电子课本、网页、文档）进行关键帧 提取；</w:t>
      </w:r>
    </w:p>
    <w:p w14:paraId="11B4EF3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（8）备授课同步：</w:t>
      </w:r>
    </w:p>
    <w:p w14:paraId="208948D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1）备课资源：支持从云端、校本资源库、个人网盘获取资源。</w:t>
      </w:r>
    </w:p>
    <w:p w14:paraId="4385A278">
      <w:pPr>
        <w:keepNext w:val="0"/>
        <w:keepLines w:val="0"/>
        <w:pageBreakBefore w:val="0"/>
        <w:widowControl/>
        <w:numPr>
          <w:ilvl w:val="0"/>
          <w:numId w:val="0"/>
        </w:numPr>
        <w:kinsoku w:val="0"/>
        <w:wordWrap w:val="0"/>
        <w:overflowPunct/>
        <w:topLinePunct w:val="0"/>
        <w:autoSpaceDE w:val="0"/>
        <w:autoSpaceDN w:val="0"/>
        <w:bidi w:val="0"/>
        <w:adjustRightInd w:val="0"/>
        <w:snapToGrid w:val="0"/>
        <w:spacing w:line="360" w:lineRule="auto"/>
        <w:ind w:firstLine="480" w:firstLineChars="200"/>
        <w:textAlignment w:val="baseline"/>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2）添加本地资源：支持教师备课过程中从本地添加教学资源，资源格式支  持文本（.txt/.docx/.doc/.pdf）、表格（.xlsx/.xls）、演示胶片（.pptx/.ppt）、 图片（ .jpg/.png/.dmp/.gif）、视频（ .mp4/.avi/.rmvb/.wmv）及音频（.mp3/.wma/.wav）。</w:t>
      </w:r>
    </w:p>
    <w:p w14:paraId="3332E70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3）备课本管理：需支持教师在网盘存储与管理个人新建课件、课堂活动内 容；需支持按照章节目录存储备课资源。</w:t>
      </w:r>
    </w:p>
    <w:p w14:paraId="4A250458">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（9）需支持制作课件时可插入教学互动活动，如分类、连线、选词填空、 翻翻卡课堂活动、支持插入素材资源、课件资源、试题资源；需支持直接引用与 课程相关的云端、校本资源库、个人资源库资源；</w:t>
      </w:r>
    </w:p>
    <w:p w14:paraId="266381B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（10）教学工具</w:t>
      </w:r>
    </w:p>
    <w:p w14:paraId="2CAA1D29">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1）中英文识别：需支持手写中文直接转写为印刷体，且识别为印刷体后支 持</w:t>
      </w:r>
    </w:p>
    <w:p w14:paraId="22BE1A23">
      <w:pPr>
        <w:numPr>
          <w:ilvl w:val="0"/>
          <w:numId w:val="0"/>
        </w:numPr>
        <w:spacing w:line="360" w:lineRule="auto"/>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朗读、评测、生成卡片等功能；</w:t>
      </w:r>
    </w:p>
    <w:p w14:paraId="6451998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2）中文划词：需支持对手写中文或英文进行圈画，推荐相关卡片资料，中 文卡片包括拼音、笔顺、部首和结构，英文卡片包括发音、翻译和例句等；</w:t>
      </w:r>
    </w:p>
    <w:p w14:paraId="186CE331">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3）英文划词：需支持对手写英文进行圈画，推荐相关卡片资料，英文卡片 包括发音、翻译、例句；</w:t>
      </w:r>
    </w:p>
    <w:p w14:paraId="4D641C8D">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3.7、集控平台</w:t>
      </w:r>
    </w:p>
    <w:p w14:paraId="6A774B1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（1）管理平台需采用B/S混合云架构设计，无需本地额外部署服务器等设备 即可实现对教学信息化设备运行数据的监测。</w:t>
      </w:r>
    </w:p>
    <w:p w14:paraId="67FF2BC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 Windows、 Linux、 Android、I0S等多种操作系统通过网页浏览器登 陆操作，需提供2种身份识别方式：支持通过账号登录、手机扫码登录方式。</w:t>
      </w:r>
    </w:p>
    <w:p w14:paraId="7C602F7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（3）支持设备使用数据监控：实时查看当前管控设备数、开机设备数、设 备异常数；查看设备和软件使用情况。</w:t>
      </w:r>
    </w:p>
    <w:p w14:paraId="3A669B50">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（4）实时监测已连接的交互智能设备状态，需支持显示至少10台设备使用 的缩略预览以及单设备全屏查看；需支持远程监测交互智能设备开关机状态、CPU状态、硬盘使用状况、内存使用状况等设备数据。</w:t>
      </w:r>
    </w:p>
    <w:p w14:paraId="15558A4C">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（5）需支持对广域网内的交互智能终端进行远程实时控制：监测设备当前 运行界面，开关机、切换通道、更改图像、打铃及解锁屏等功能，并需支持自定 义日循环执行，预约定时执行；选定的交互智能设备远程推送动态文字动公告； 远程下发文件。</w:t>
      </w:r>
    </w:p>
    <w:p w14:paraId="22BA2E83">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（6）需提供教学专用弹窗屏蔽工具：支持对软件应用弹窗进行屏蔽拦截； 支持自定义应用广告弹窗过滤屏蔽，可屏蔽拦截指定应用的广告弹窗。</w:t>
      </w:r>
    </w:p>
    <w:p w14:paraId="3C20FEA7">
      <w:pPr>
        <w:numPr>
          <w:ilvl w:val="0"/>
          <w:numId w:val="0"/>
        </w:numPr>
        <w:spacing w:line="360" w:lineRule="auto"/>
        <w:ind w:firstLine="480" w:firstLineChars="200"/>
        <w:rPr>
          <w:rFonts w:hint="eastAsia"/>
          <w:b w:val="0"/>
          <w:bCs w:val="0"/>
          <w:sz w:val="24"/>
          <w:szCs w:val="24"/>
          <w:highlight w:val="none"/>
        </w:rPr>
      </w:pPr>
      <w:r>
        <w:rPr>
          <w:rFonts w:hint="eastAsia" w:ascii="Arial" w:eastAsia="宋体"/>
          <w:b w:val="0"/>
          <w:bCs w:val="0"/>
          <w:sz w:val="24"/>
          <w:szCs w:val="24"/>
          <w:highlight w:val="none"/>
          <w:lang w:val="en-US" w:eastAsia="zh-CN"/>
        </w:rPr>
        <w:t>（7）需支持多层级权限管理，支持按建筑、按班级将设备管理权限分配给 多个管理员，由多个管理员共同管理：需支持校级管理员添加普通管理员并修改 普通管理员的页面权限和设备范围权限。</w:t>
      </w:r>
    </w:p>
    <w:p w14:paraId="5468B236">
      <w:pPr>
        <w:numPr>
          <w:ilvl w:val="0"/>
          <w:numId w:val="0"/>
        </w:numPr>
        <w:spacing w:line="360" w:lineRule="auto"/>
        <w:ind w:firstLine="482" w:firstLineChars="200"/>
        <w:rPr>
          <w:rFonts w:hint="eastAsia"/>
          <w:b/>
          <w:bCs/>
          <w:sz w:val="24"/>
          <w:szCs w:val="24"/>
          <w:highlight w:val="none"/>
        </w:rPr>
      </w:pPr>
      <w:r>
        <w:rPr>
          <w:rFonts w:hint="eastAsia"/>
          <w:b/>
          <w:bCs/>
          <w:sz w:val="24"/>
          <w:szCs w:val="24"/>
          <w:highlight w:val="none"/>
        </w:rPr>
        <w:t>4</w:t>
      </w:r>
      <w:r>
        <w:rPr>
          <w:rFonts w:hint="eastAsia" w:eastAsia="宋体"/>
          <w:b/>
          <w:bCs/>
          <w:sz w:val="24"/>
          <w:szCs w:val="24"/>
          <w:highlight w:val="none"/>
          <w:lang w:eastAsia="zh-CN"/>
        </w:rPr>
        <w:t>、</w:t>
      </w:r>
      <w:r>
        <w:rPr>
          <w:rFonts w:hint="eastAsia"/>
          <w:b/>
          <w:bCs/>
          <w:sz w:val="24"/>
          <w:szCs w:val="24"/>
          <w:highlight w:val="none"/>
        </w:rPr>
        <w:t>讲台（30台）</w:t>
      </w:r>
    </w:p>
    <w:p w14:paraId="798425AA">
      <w:pPr>
        <w:numPr>
          <w:ilvl w:val="0"/>
          <w:numId w:val="0"/>
        </w:numPr>
        <w:spacing w:line="360" w:lineRule="auto"/>
        <w:ind w:firstLine="480" w:firstLineChars="200"/>
        <w:rPr>
          <w:rFonts w:hint="eastAsia"/>
          <w:b w:val="0"/>
          <w:bCs w:val="0"/>
          <w:sz w:val="24"/>
          <w:szCs w:val="24"/>
          <w:highlight w:val="none"/>
          <w:lang w:eastAsia="zh-CN"/>
        </w:rPr>
      </w:pPr>
      <w:r>
        <w:rPr>
          <w:rFonts w:hint="eastAsia" w:eastAsia="宋体"/>
          <w:b w:val="0"/>
          <w:bCs w:val="0"/>
          <w:sz w:val="24"/>
          <w:szCs w:val="24"/>
          <w:highlight w:val="none"/>
          <w:lang w:eastAsia="zh-CN"/>
        </w:rPr>
        <w:t>（</w:t>
      </w:r>
      <w:r>
        <w:rPr>
          <w:rFonts w:hint="eastAsia" w:ascii="Arial" w:eastAsia="宋体"/>
          <w:b w:val="0"/>
          <w:bCs w:val="0"/>
          <w:sz w:val="24"/>
          <w:szCs w:val="24"/>
          <w:highlight w:val="none"/>
          <w:lang w:val="en-US" w:eastAsia="zh-CN"/>
        </w:rPr>
        <w:t>1</w:t>
      </w:r>
      <w:r>
        <w:rPr>
          <w:rFonts w:hint="eastAsia" w:eastAsia="宋体"/>
          <w:b w:val="0"/>
          <w:bCs w:val="0"/>
          <w:sz w:val="24"/>
          <w:szCs w:val="24"/>
          <w:highlight w:val="none"/>
          <w:lang w:eastAsia="zh-CN"/>
        </w:rPr>
        <w:t>）外形尺寸:总体尺寸≥800*600*940mm；</w:t>
      </w:r>
    </w:p>
    <w:p w14:paraId="222ECD9F">
      <w:pPr>
        <w:numPr>
          <w:ilvl w:val="0"/>
          <w:numId w:val="0"/>
        </w:numPr>
        <w:spacing w:line="360" w:lineRule="auto"/>
        <w:ind w:firstLine="480" w:firstLineChars="200"/>
        <w:rPr>
          <w:rFonts w:hint="eastAsia"/>
          <w:b w:val="0"/>
          <w:bCs w:val="0"/>
          <w:sz w:val="24"/>
          <w:szCs w:val="24"/>
          <w:highlight w:val="none"/>
          <w:lang w:eastAsia="zh-CN"/>
        </w:rPr>
      </w:pPr>
      <w:r>
        <w:rPr>
          <w:rFonts w:hint="eastAsia" w:eastAsia="宋体"/>
          <w:b w:val="0"/>
          <w:bCs w:val="0"/>
          <w:sz w:val="24"/>
          <w:szCs w:val="24"/>
          <w:highlight w:val="none"/>
          <w:lang w:eastAsia="zh-CN"/>
        </w:rPr>
        <w:t>（</w:t>
      </w:r>
      <w:r>
        <w:rPr>
          <w:rFonts w:hint="eastAsia" w:ascii="Arial" w:eastAsia="宋体"/>
          <w:b w:val="0"/>
          <w:bCs w:val="0"/>
          <w:sz w:val="24"/>
          <w:szCs w:val="24"/>
          <w:highlight w:val="none"/>
          <w:lang w:val="en-US" w:eastAsia="zh-CN"/>
        </w:rPr>
        <w:t>2</w:t>
      </w:r>
      <w:r>
        <w:rPr>
          <w:rFonts w:hint="eastAsia" w:eastAsia="宋体"/>
          <w:b w:val="0"/>
          <w:bCs w:val="0"/>
          <w:sz w:val="24"/>
          <w:szCs w:val="24"/>
          <w:highlight w:val="none"/>
          <w:lang w:eastAsia="zh-CN"/>
        </w:rPr>
        <w:t>）通体采用裸板≥0.7mm冷轧钢板，讲台桌面采用平面设计，可以放置不同型号笔记本电脑，桌面四周半包围结构;讲台前面设置隐藏式抽拉储物盒，可放置笔记本电脑、键盘鼠标、板擦、粉笔等教学用具；</w:t>
      </w:r>
    </w:p>
    <w:p w14:paraId="24C60234">
      <w:pPr>
        <w:numPr>
          <w:ilvl w:val="0"/>
          <w:numId w:val="0"/>
        </w:numPr>
        <w:spacing w:line="360" w:lineRule="auto"/>
        <w:ind w:firstLine="480" w:firstLineChars="200"/>
        <w:rPr>
          <w:rFonts w:hint="eastAsia"/>
          <w:b w:val="0"/>
          <w:bCs w:val="0"/>
          <w:sz w:val="24"/>
          <w:szCs w:val="24"/>
          <w:highlight w:val="none"/>
          <w:lang w:eastAsia="zh-CN"/>
        </w:rPr>
      </w:pPr>
      <w:r>
        <w:rPr>
          <w:rFonts w:hint="eastAsia" w:eastAsia="宋体"/>
          <w:b w:val="0"/>
          <w:bCs w:val="0"/>
          <w:sz w:val="24"/>
          <w:szCs w:val="24"/>
          <w:highlight w:val="none"/>
          <w:lang w:eastAsia="zh-CN"/>
        </w:rPr>
        <w:t>（</w:t>
      </w:r>
      <w:r>
        <w:rPr>
          <w:rFonts w:hint="eastAsia" w:ascii="Arial" w:eastAsia="宋体"/>
          <w:b w:val="0"/>
          <w:bCs w:val="0"/>
          <w:sz w:val="24"/>
          <w:szCs w:val="24"/>
          <w:highlight w:val="none"/>
          <w:lang w:val="en-US" w:eastAsia="zh-CN"/>
        </w:rPr>
        <w:t>3</w:t>
      </w:r>
      <w:r>
        <w:rPr>
          <w:rFonts w:hint="eastAsia" w:eastAsia="宋体"/>
          <w:b w:val="0"/>
          <w:bCs w:val="0"/>
          <w:sz w:val="24"/>
          <w:szCs w:val="24"/>
          <w:highlight w:val="none"/>
          <w:lang w:eastAsia="zh-CN"/>
        </w:rPr>
        <w:t>）讲台扶手采用实木制成，表面喷防滑漆，桌面采用木纹色三聚氰胺板</w:t>
      </w:r>
    </w:p>
    <w:p w14:paraId="39D97DB4">
      <w:pPr>
        <w:numPr>
          <w:ilvl w:val="0"/>
          <w:numId w:val="0"/>
        </w:numPr>
        <w:spacing w:line="360" w:lineRule="auto"/>
        <w:ind w:firstLine="480" w:firstLineChars="200"/>
        <w:rPr>
          <w:rFonts w:hint="eastAsia"/>
          <w:b w:val="0"/>
          <w:bCs w:val="0"/>
          <w:sz w:val="24"/>
          <w:szCs w:val="24"/>
          <w:highlight w:val="none"/>
          <w:lang w:eastAsia="zh-CN"/>
        </w:rPr>
      </w:pPr>
      <w:r>
        <w:rPr>
          <w:rFonts w:hint="eastAsia" w:eastAsia="宋体"/>
          <w:b w:val="0"/>
          <w:bCs w:val="0"/>
          <w:sz w:val="24"/>
          <w:szCs w:val="24"/>
          <w:highlight w:val="none"/>
          <w:lang w:eastAsia="zh-CN"/>
        </w:rPr>
        <w:t>（</w:t>
      </w:r>
      <w:r>
        <w:rPr>
          <w:rFonts w:hint="eastAsia" w:ascii="Arial" w:eastAsia="宋体"/>
          <w:b w:val="0"/>
          <w:bCs w:val="0"/>
          <w:sz w:val="24"/>
          <w:szCs w:val="24"/>
          <w:highlight w:val="none"/>
          <w:lang w:val="en-US" w:eastAsia="zh-CN"/>
        </w:rPr>
        <w:t>4</w:t>
      </w:r>
      <w:r>
        <w:rPr>
          <w:rFonts w:hint="eastAsia" w:eastAsia="宋体"/>
          <w:b w:val="0"/>
          <w:bCs w:val="0"/>
          <w:sz w:val="24"/>
          <w:szCs w:val="24"/>
          <w:highlight w:val="none"/>
          <w:lang w:eastAsia="zh-CN"/>
        </w:rPr>
        <w:t>）整体冲压成型；</w:t>
      </w:r>
    </w:p>
    <w:p w14:paraId="6866191C">
      <w:pPr>
        <w:numPr>
          <w:ilvl w:val="0"/>
          <w:numId w:val="0"/>
        </w:numPr>
        <w:spacing w:line="360" w:lineRule="auto"/>
        <w:ind w:firstLine="480" w:firstLineChars="200"/>
        <w:rPr>
          <w:rFonts w:hint="eastAsia"/>
          <w:b w:val="0"/>
          <w:bCs w:val="0"/>
          <w:sz w:val="24"/>
          <w:szCs w:val="24"/>
          <w:highlight w:val="none"/>
        </w:rPr>
      </w:pPr>
      <w:r>
        <w:rPr>
          <w:rFonts w:hint="eastAsia" w:eastAsia="宋体"/>
          <w:b w:val="0"/>
          <w:bCs w:val="0"/>
          <w:sz w:val="24"/>
          <w:szCs w:val="24"/>
          <w:highlight w:val="none"/>
          <w:lang w:eastAsia="zh-CN"/>
        </w:rPr>
        <w:t>（</w:t>
      </w:r>
      <w:r>
        <w:rPr>
          <w:rFonts w:hint="eastAsia" w:ascii="Arial" w:eastAsia="宋体"/>
          <w:b w:val="0"/>
          <w:bCs w:val="0"/>
          <w:sz w:val="24"/>
          <w:szCs w:val="24"/>
          <w:highlight w:val="none"/>
          <w:lang w:val="en-US" w:eastAsia="zh-CN"/>
        </w:rPr>
        <w:t>5</w:t>
      </w:r>
      <w:r>
        <w:rPr>
          <w:rFonts w:hint="eastAsia" w:eastAsia="宋体"/>
          <w:b w:val="0"/>
          <w:bCs w:val="0"/>
          <w:sz w:val="24"/>
          <w:szCs w:val="24"/>
          <w:highlight w:val="none"/>
          <w:lang w:eastAsia="zh-CN"/>
        </w:rPr>
        <w:t>）全部的加工件需采用模具成型，整个讲台采用上下分体，拼装组成</w:t>
      </w:r>
      <w:r>
        <w:rPr>
          <w:rFonts w:hint="eastAsia"/>
          <w:b w:val="0"/>
          <w:bCs w:val="0"/>
          <w:sz w:val="24"/>
          <w:szCs w:val="24"/>
          <w:highlight w:val="none"/>
        </w:rPr>
        <w:t>。</w:t>
      </w:r>
    </w:p>
    <w:p w14:paraId="450993FD">
      <w:pPr>
        <w:numPr>
          <w:ilvl w:val="0"/>
          <w:numId w:val="0"/>
        </w:numPr>
        <w:spacing w:line="360" w:lineRule="auto"/>
        <w:jc w:val="center"/>
        <w:rPr>
          <w:rFonts w:hint="eastAsia"/>
          <w:b/>
          <w:bCs/>
          <w:sz w:val="24"/>
          <w:szCs w:val="24"/>
          <w:highlight w:val="none"/>
        </w:rPr>
      </w:pPr>
      <w:r>
        <w:rPr>
          <w:rFonts w:hint="default"/>
          <w:highlight w:val="none"/>
          <w:lang w:val="en-US" w:eastAsia="zh-CN"/>
        </w:rPr>
        <w:drawing>
          <wp:inline distT="0" distB="0" distL="114300" distR="114300">
            <wp:extent cx="3195955" cy="3195955"/>
            <wp:effectExtent l="0" t="0" r="4445" b="4445"/>
            <wp:docPr id="1" name="图片 1" descr="8a1bbbb0836b16fc41b2188935a19f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a1bbbb0836b16fc41b2188935a19f84"/>
                    <pic:cNvPicPr>
                      <a:picLocks noChangeAspect="1"/>
                    </pic:cNvPicPr>
                  </pic:nvPicPr>
                  <pic:blipFill>
                    <a:blip r:embed="rId6"/>
                    <a:stretch>
                      <a:fillRect/>
                    </a:stretch>
                  </pic:blipFill>
                  <pic:spPr>
                    <a:xfrm>
                      <a:off x="0" y="0"/>
                      <a:ext cx="3195955" cy="3195955"/>
                    </a:xfrm>
                    <a:prstGeom prst="rect">
                      <a:avLst/>
                    </a:prstGeom>
                  </pic:spPr>
                </pic:pic>
              </a:graphicData>
            </a:graphic>
          </wp:inline>
        </w:drawing>
      </w:r>
    </w:p>
    <w:p w14:paraId="6D009741">
      <w:pPr>
        <w:numPr>
          <w:ilvl w:val="0"/>
          <w:numId w:val="0"/>
        </w:numPr>
        <w:spacing w:line="360" w:lineRule="auto"/>
        <w:jc w:val="center"/>
        <w:rPr>
          <w:rFonts w:hint="eastAsia"/>
          <w:highlight w:val="none"/>
          <w:lang w:val="en-US" w:eastAsia="zh-CN"/>
        </w:rPr>
      </w:pPr>
      <w:r>
        <w:rPr>
          <w:rFonts w:hint="eastAsia" w:ascii="Arial" w:eastAsia="宋体"/>
          <w:highlight w:val="none"/>
          <w:lang w:val="en-US" w:eastAsia="zh-CN"/>
        </w:rPr>
        <w:t>（讲台参考设计图）</w:t>
      </w:r>
    </w:p>
    <w:p w14:paraId="27E3CF2C">
      <w:pPr>
        <w:numPr>
          <w:ilvl w:val="0"/>
          <w:numId w:val="0"/>
        </w:numPr>
        <w:spacing w:line="360" w:lineRule="auto"/>
        <w:ind w:firstLine="482" w:firstLineChars="200"/>
        <w:rPr>
          <w:rFonts w:hint="eastAsia" w:eastAsia="宋体"/>
          <w:b/>
          <w:bCs/>
          <w:sz w:val="24"/>
          <w:szCs w:val="24"/>
          <w:highlight w:val="none"/>
          <w:lang w:eastAsia="zh-CN"/>
        </w:rPr>
      </w:pPr>
      <w:r>
        <w:rPr>
          <w:rFonts w:hint="eastAsia"/>
          <w:b/>
          <w:bCs/>
          <w:sz w:val="24"/>
          <w:szCs w:val="24"/>
          <w:highlight w:val="none"/>
        </w:rPr>
        <w:t>5</w:t>
      </w:r>
      <w:r>
        <w:rPr>
          <w:rFonts w:hint="eastAsia" w:eastAsia="宋体"/>
          <w:b/>
          <w:bCs/>
          <w:sz w:val="24"/>
          <w:szCs w:val="24"/>
          <w:highlight w:val="none"/>
          <w:lang w:eastAsia="zh-CN"/>
        </w:rPr>
        <w:t>、</w:t>
      </w:r>
      <w:r>
        <w:rPr>
          <w:rFonts w:hint="eastAsia"/>
          <w:b/>
          <w:bCs/>
          <w:sz w:val="24"/>
          <w:szCs w:val="24"/>
          <w:highlight w:val="none"/>
        </w:rPr>
        <w:t>组合推拉书写板</w:t>
      </w:r>
      <w:r>
        <w:rPr>
          <w:rFonts w:hint="eastAsia" w:eastAsia="宋体"/>
          <w:b/>
          <w:bCs/>
          <w:sz w:val="24"/>
          <w:szCs w:val="24"/>
          <w:highlight w:val="none"/>
          <w:lang w:eastAsia="zh-CN"/>
        </w:rPr>
        <w:t>（</w:t>
      </w:r>
      <w:r>
        <w:rPr>
          <w:rFonts w:hint="eastAsia" w:ascii="Arial" w:eastAsia="宋体"/>
          <w:b/>
          <w:bCs/>
          <w:sz w:val="24"/>
          <w:szCs w:val="24"/>
          <w:highlight w:val="none"/>
          <w:lang w:val="en-US" w:eastAsia="zh-CN"/>
        </w:rPr>
        <w:t>30块</w:t>
      </w:r>
      <w:r>
        <w:rPr>
          <w:rFonts w:hint="eastAsia" w:eastAsia="宋体"/>
          <w:b/>
          <w:bCs/>
          <w:sz w:val="24"/>
          <w:szCs w:val="24"/>
          <w:highlight w:val="none"/>
          <w:lang w:eastAsia="zh-CN"/>
        </w:rPr>
        <w:t>）</w:t>
      </w:r>
    </w:p>
    <w:p w14:paraId="60B8A90D">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5.1、整体结构：组合黑板由固定黑板与活动黑板、上下滑轨、立柱等部件组成，活动黑板可沿滑轨左右移动，活动黑板后面放置显示设备，可选择中置或侧置。</w:t>
      </w:r>
    </w:p>
    <w:p w14:paraId="62F2FBAE">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5.2、结构特点：</w:t>
      </w:r>
    </w:p>
    <w:p w14:paraId="4291FC5C">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黑板结构为全新设计的超薄开放式导轨，活动黑板打开或关闭时，可自行减速后缓慢移动至预定位置，消除黑板的撞击声；黑板上下边框采用银白色超窄铝合金边框，左右立边采用无边框设计，有效增大书写面积黑板，并可增强教师书写的流畅性及连贯性，增加学生的感观舒适度；</w:t>
      </w:r>
    </w:p>
    <w:p w14:paraId="690BCF90">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（2）活动黑板上下采用四组滑轮导向部件，引导活动黑板在导轨内滑行，运行安静无噪音；</w:t>
      </w:r>
    </w:p>
    <w:p w14:paraId="5CD22A1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（3）下滑轨采用向下安装的结构设计，防止粉尘和其它杂物堵塞滑轨；</w:t>
      </w:r>
    </w:p>
    <w:p w14:paraId="7C4FA819">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（4）黑板下方采用通长的开放式粉笔槽，方便放置粉笔板擦等；</w:t>
      </w:r>
    </w:p>
    <w:p w14:paraId="41FB293B">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5.3、外型尺寸：长4200mm*高1268mm，也可根据配套多媒体显示屏尺寸适当调整或根据教室情况定制。</w:t>
      </w:r>
    </w:p>
    <w:p w14:paraId="4B268ED1">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5.4、黑板材质：</w:t>
      </w:r>
    </w:p>
    <w:p w14:paraId="1B1504FC">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（1）书写面板采用墨绿色烤漆面板，覆有透明保护膜，整块无拼接，厚度≥0.3mm，面板耐酸、碱性溶剂符合GB 9274-1988《色漆和清漆 耐液体介质的测定》标准要求；面板表面漆膜硬度≥7H，光泽度在12以下，灯光下没有明显眩光；用粉笔书写时手感流畅，笔迹均匀，线条明显，好写易擦；漆膜硬度、表面粗糙度、耐磨性、书写板外观质量、结构等指标符合GB 28231-2011《书写板安全卫生要求》以及GB/T 6739-2022《色漆和清漆 铅笔法测定漆膜硬度》的标准要求；</w:t>
      </w:r>
    </w:p>
    <w:p w14:paraId="12FE61FC">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（2）夹层采用聚苯乙烯板，软硬适中，厚度为≥14mm，平整不变形，整张无拼接；</w:t>
      </w:r>
    </w:p>
    <w:p w14:paraId="7124B997">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（3）背板采用整块防锈镀锌板，厚度≥0.20mm，与面板、夹层用自动生产线高压一次成型，粘合牢固耐冲击，防水防锈，板面平整不开胶。</w:t>
      </w:r>
    </w:p>
    <w:p w14:paraId="4DE07961">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（4）滑轮推拉测试≥10万次，黑板结构寿命、黑板本体的甲醛释放量、总挥发性有机合化物（TVOC)等指标符合GB/T 35607-2017《绿色产品评价 家具》标准 要求。</w:t>
      </w:r>
    </w:p>
    <w:p w14:paraId="450DD8D0">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5.5、外框滑轨及黑板边框：黑板边框及滑轨、立柱采用高精级磨砂银白铝合金型材，灯光下无明显眩光；型材断面有ABS包角材料全包覆，边缘无毛刺；上滑轨两端及中间内置有阻尼缓冲器，防止拉动黑板时撞击产生噪音；滑轨采用上U型单槽单空腔设计，增强滑轨强度，并使滑轮保持合理的滑动阻尼，防止擦写黑板时晃动；上滑轨外型尺寸为≥44*21mm；下滑轨采用一体式设计，外型尺寸为≥46.5*52mm，粉笔槽有效宽度≥34mm，方便放置粉笔板擦等；上下边框可视面为≥12.4mm，立边采用二次折弯工艺，无边框设计，有效增加黑板书写面积；活动黑板下方安装铝拉手，方便使用。</w:t>
      </w:r>
    </w:p>
    <w:p w14:paraId="6BB72143">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5.6、安装要求：隐形安装，无外露安装件，连接部位无工具不可拆卸，安全可靠。</w:t>
      </w:r>
    </w:p>
    <w:p w14:paraId="666099D3">
      <w:pPr>
        <w:numPr>
          <w:ilvl w:val="0"/>
          <w:numId w:val="0"/>
        </w:numPr>
        <w:spacing w:line="360" w:lineRule="auto"/>
        <w:ind w:firstLine="482" w:firstLineChars="200"/>
        <w:rPr>
          <w:rFonts w:hint="eastAsia"/>
          <w:b/>
          <w:bCs/>
          <w:sz w:val="24"/>
          <w:szCs w:val="24"/>
          <w:highlight w:val="none"/>
          <w:lang w:val="en-US" w:eastAsia="zh-CN"/>
        </w:rPr>
      </w:pPr>
      <w:r>
        <w:rPr>
          <w:rFonts w:hint="eastAsia" w:ascii="Arial" w:eastAsia="宋体"/>
          <w:b/>
          <w:bCs/>
          <w:sz w:val="24"/>
          <w:szCs w:val="24"/>
          <w:highlight w:val="none"/>
          <w:lang w:val="en-US" w:eastAsia="zh-CN"/>
        </w:rPr>
        <w:t>6、视频展台（30台）</w:t>
      </w:r>
    </w:p>
    <w:p w14:paraId="613E6DAF">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（1）整机采用USB方式供电，支持壁挂和桌面两种安装方式。</w:t>
      </w:r>
    </w:p>
    <w:p w14:paraId="2286849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（2）整机采用高清摄像头设计，不小于1600万像素，分辨率≥4600*3400。</w:t>
      </w:r>
    </w:p>
    <w:p w14:paraId="01C88EF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（3）变焦：12倍数字变焦。</w:t>
      </w:r>
    </w:p>
    <w:p w14:paraId="474FDD9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（4）拍摄幅面：A4及以上。</w:t>
      </w:r>
    </w:p>
    <w:p w14:paraId="23AEB340">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（5）输出格式：图片JPG，视频MP4</w:t>
      </w:r>
    </w:p>
    <w:p w14:paraId="0FE6BB72">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（6）光源补偿：LED多级光源补偿。</w:t>
      </w:r>
    </w:p>
    <w:p w14:paraId="1F22FEF3">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（7）整机内置麦克风。</w:t>
      </w:r>
    </w:p>
    <w:p w14:paraId="698A03FA">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（8）使用过程中可进行缩放、手背擦除等操作。支持多图同屏对比。</w:t>
      </w:r>
    </w:p>
    <w:p w14:paraId="3C8EB0A6">
      <w:pPr>
        <w:numPr>
          <w:ilvl w:val="0"/>
          <w:numId w:val="0"/>
        </w:numPr>
        <w:spacing w:line="360" w:lineRule="auto"/>
        <w:ind w:firstLine="480" w:firstLineChars="200"/>
        <w:rPr>
          <w:rFonts w:hint="eastAsia"/>
          <w:b w:val="0"/>
          <w:bCs w:val="0"/>
          <w:sz w:val="24"/>
          <w:szCs w:val="24"/>
          <w:highlight w:val="none"/>
          <w:lang w:val="en-US" w:eastAsia="zh-CN"/>
        </w:rPr>
      </w:pPr>
      <w:r>
        <w:rPr>
          <w:rFonts w:hint="eastAsia" w:ascii="Arial" w:eastAsia="宋体"/>
          <w:b w:val="0"/>
          <w:bCs w:val="0"/>
          <w:sz w:val="24"/>
          <w:szCs w:val="24"/>
          <w:highlight w:val="none"/>
          <w:lang w:val="en-US" w:eastAsia="zh-CN"/>
        </w:rPr>
        <w:t>（9）展台托板采用磁吸结构，闭合状态下吸附在上盖，托板承重≥3kg物体时无倾斜。</w:t>
      </w:r>
    </w:p>
    <w:p w14:paraId="526A033C">
      <w:pPr>
        <w:numPr>
          <w:ilvl w:val="0"/>
          <w:numId w:val="0"/>
        </w:numPr>
        <w:spacing w:line="360" w:lineRule="auto"/>
        <w:ind w:firstLine="480" w:firstLineChars="200"/>
        <w:rPr>
          <w:rFonts w:hint="eastAsia"/>
          <w:b w:val="0"/>
          <w:bCs w:val="0"/>
          <w:sz w:val="24"/>
          <w:szCs w:val="24"/>
          <w:highlight w:val="none"/>
        </w:rPr>
      </w:pPr>
      <w:r>
        <w:rPr>
          <w:rFonts w:hint="eastAsia" w:ascii="Arial" w:eastAsia="宋体"/>
          <w:b w:val="0"/>
          <w:bCs w:val="0"/>
          <w:sz w:val="24"/>
          <w:szCs w:val="24"/>
          <w:highlight w:val="none"/>
          <w:lang w:val="en-US" w:eastAsia="zh-CN"/>
        </w:rPr>
        <w:t>（10）具备两个实体按键，1个拍照按键和一个补光灯按键。</w:t>
      </w:r>
    </w:p>
    <w:p w14:paraId="58084BC5">
      <w:pPr>
        <w:numPr>
          <w:ilvl w:val="0"/>
          <w:numId w:val="0"/>
        </w:numPr>
        <w:spacing w:line="360" w:lineRule="auto"/>
        <w:ind w:firstLine="482" w:firstLineChars="200"/>
        <w:rPr>
          <w:rFonts w:hint="eastAsia"/>
          <w:b/>
          <w:bCs/>
          <w:sz w:val="24"/>
          <w:szCs w:val="24"/>
          <w:highlight w:val="none"/>
        </w:rPr>
      </w:pPr>
      <w:r>
        <w:rPr>
          <w:rFonts w:hint="eastAsia"/>
          <w:b/>
          <w:bCs/>
          <w:sz w:val="24"/>
          <w:szCs w:val="24"/>
          <w:highlight w:val="none"/>
        </w:rPr>
        <w:t>二、供货范围</w:t>
      </w:r>
    </w:p>
    <w:p w14:paraId="6EB252DA">
      <w:pPr>
        <w:spacing w:line="360" w:lineRule="auto"/>
        <w:ind w:firstLine="480" w:firstLineChars="200"/>
        <w:rPr>
          <w:rFonts w:hint="eastAsia"/>
          <w:sz w:val="24"/>
          <w:szCs w:val="24"/>
          <w:highlight w:val="none"/>
        </w:rPr>
      </w:pPr>
      <w:r>
        <w:rPr>
          <w:rFonts w:hint="eastAsia"/>
          <w:sz w:val="24"/>
          <w:szCs w:val="24"/>
          <w:highlight w:val="none"/>
        </w:rPr>
        <w:t>1、供货范围包括采购内容的全部服务，包含但不仅限于设备供货、安装、验收、售后服务、培训等。</w:t>
      </w:r>
    </w:p>
    <w:p w14:paraId="4C811452">
      <w:pPr>
        <w:spacing w:line="360" w:lineRule="auto"/>
        <w:ind w:firstLine="480" w:firstLineChars="200"/>
        <w:rPr>
          <w:rFonts w:hint="eastAsia"/>
          <w:sz w:val="24"/>
          <w:szCs w:val="24"/>
          <w:highlight w:val="none"/>
        </w:rPr>
      </w:pPr>
      <w:r>
        <w:rPr>
          <w:rFonts w:hint="eastAsia"/>
          <w:sz w:val="24"/>
          <w:szCs w:val="24"/>
          <w:highlight w:val="none"/>
        </w:rPr>
        <w:t>2、产品运输、保险及保管</w:t>
      </w:r>
    </w:p>
    <w:p w14:paraId="68FF7C70">
      <w:pPr>
        <w:spacing w:line="360" w:lineRule="auto"/>
        <w:ind w:firstLine="480" w:firstLineChars="200"/>
        <w:rPr>
          <w:rFonts w:hint="eastAsia"/>
          <w:sz w:val="24"/>
          <w:szCs w:val="24"/>
          <w:highlight w:val="none"/>
        </w:rPr>
      </w:pPr>
      <w:r>
        <w:rPr>
          <w:rFonts w:hint="eastAsia"/>
          <w:sz w:val="24"/>
          <w:szCs w:val="24"/>
          <w:highlight w:val="none"/>
        </w:rPr>
        <w:t>2.1</w:t>
      </w:r>
      <w:r>
        <w:rPr>
          <w:rFonts w:hint="eastAsia" w:eastAsia="宋体"/>
          <w:sz w:val="24"/>
          <w:szCs w:val="24"/>
          <w:highlight w:val="none"/>
          <w:lang w:eastAsia="zh-CN"/>
        </w:rPr>
        <w:t>、</w:t>
      </w:r>
      <w:r>
        <w:rPr>
          <w:rFonts w:hint="eastAsia"/>
          <w:sz w:val="24"/>
          <w:szCs w:val="24"/>
          <w:highlight w:val="none"/>
        </w:rPr>
        <w:t>成交供应商负责产品到采购人指定地点的全部运输，包括装卸及现场搬运等。</w:t>
      </w:r>
    </w:p>
    <w:p w14:paraId="22A78C3E">
      <w:pPr>
        <w:spacing w:line="360" w:lineRule="auto"/>
        <w:ind w:firstLine="480" w:firstLineChars="200"/>
        <w:rPr>
          <w:rFonts w:hint="eastAsia"/>
          <w:sz w:val="24"/>
          <w:szCs w:val="24"/>
          <w:highlight w:val="none"/>
        </w:rPr>
      </w:pPr>
      <w:r>
        <w:rPr>
          <w:rFonts w:hint="eastAsia"/>
          <w:sz w:val="24"/>
          <w:szCs w:val="24"/>
          <w:highlight w:val="none"/>
        </w:rPr>
        <w:t>2.2</w:t>
      </w:r>
      <w:r>
        <w:rPr>
          <w:rFonts w:hint="eastAsia" w:eastAsia="宋体"/>
          <w:sz w:val="24"/>
          <w:szCs w:val="24"/>
          <w:highlight w:val="none"/>
          <w:lang w:eastAsia="zh-CN"/>
        </w:rPr>
        <w:t>、</w:t>
      </w:r>
      <w:r>
        <w:rPr>
          <w:rFonts w:hint="eastAsia"/>
          <w:sz w:val="24"/>
          <w:szCs w:val="24"/>
          <w:highlight w:val="none"/>
        </w:rPr>
        <w:t>成交供应商负责产品在采购人指定地点的保管、安装，直至项目验收合格。</w:t>
      </w:r>
    </w:p>
    <w:p w14:paraId="5CF0E486">
      <w:pPr>
        <w:spacing w:line="360" w:lineRule="auto"/>
        <w:ind w:firstLine="480" w:firstLineChars="200"/>
        <w:rPr>
          <w:rFonts w:hint="eastAsia"/>
          <w:sz w:val="24"/>
          <w:szCs w:val="24"/>
          <w:highlight w:val="none"/>
        </w:rPr>
      </w:pPr>
      <w:r>
        <w:rPr>
          <w:rFonts w:hint="eastAsia"/>
          <w:sz w:val="24"/>
          <w:szCs w:val="24"/>
          <w:highlight w:val="none"/>
        </w:rPr>
        <w:t>2.3</w:t>
      </w:r>
      <w:r>
        <w:rPr>
          <w:rFonts w:hint="eastAsia" w:eastAsia="宋体"/>
          <w:sz w:val="24"/>
          <w:szCs w:val="24"/>
          <w:highlight w:val="none"/>
          <w:lang w:eastAsia="zh-CN"/>
        </w:rPr>
        <w:t>、</w:t>
      </w:r>
      <w:r>
        <w:rPr>
          <w:rFonts w:hint="eastAsia"/>
          <w:sz w:val="24"/>
          <w:szCs w:val="24"/>
          <w:highlight w:val="none"/>
        </w:rPr>
        <w:t>成交供应商负责其派出人员的人身意外保险。</w:t>
      </w:r>
    </w:p>
    <w:p w14:paraId="0CB5EF68">
      <w:pPr>
        <w:spacing w:line="360" w:lineRule="auto"/>
        <w:ind w:firstLine="480" w:firstLineChars="200"/>
        <w:rPr>
          <w:rFonts w:hint="eastAsia"/>
          <w:sz w:val="24"/>
          <w:szCs w:val="24"/>
          <w:highlight w:val="none"/>
        </w:rPr>
      </w:pPr>
      <w:r>
        <w:rPr>
          <w:rFonts w:hint="eastAsia"/>
          <w:sz w:val="24"/>
          <w:szCs w:val="24"/>
          <w:highlight w:val="none"/>
        </w:rPr>
        <w:t>3、质量保证</w:t>
      </w:r>
    </w:p>
    <w:p w14:paraId="16AC2E3E">
      <w:pPr>
        <w:spacing w:line="360" w:lineRule="auto"/>
        <w:ind w:firstLine="480" w:firstLineChars="200"/>
        <w:rPr>
          <w:rFonts w:hint="eastAsia"/>
          <w:sz w:val="24"/>
          <w:szCs w:val="24"/>
          <w:highlight w:val="none"/>
        </w:rPr>
      </w:pPr>
      <w:r>
        <w:rPr>
          <w:rFonts w:hint="eastAsia"/>
          <w:sz w:val="24"/>
          <w:szCs w:val="24"/>
          <w:highlight w:val="none"/>
        </w:rPr>
        <w:t>3.1</w:t>
      </w:r>
      <w:r>
        <w:rPr>
          <w:rFonts w:hint="eastAsia" w:eastAsia="宋体"/>
          <w:sz w:val="24"/>
          <w:szCs w:val="24"/>
          <w:highlight w:val="none"/>
          <w:lang w:eastAsia="zh-CN"/>
        </w:rPr>
        <w:t>、</w:t>
      </w:r>
      <w:r>
        <w:rPr>
          <w:rFonts w:hint="eastAsia"/>
          <w:sz w:val="24"/>
          <w:szCs w:val="24"/>
          <w:highlight w:val="none"/>
        </w:rPr>
        <w:t>成交供应商提供的产品应具有出厂检验证书、生产许可证、出厂合格证或国家鉴定合格证及复印件。</w:t>
      </w:r>
    </w:p>
    <w:p w14:paraId="528AF372">
      <w:pPr>
        <w:spacing w:line="360" w:lineRule="auto"/>
        <w:ind w:firstLine="480" w:firstLineChars="200"/>
        <w:rPr>
          <w:rFonts w:hint="eastAsia"/>
          <w:sz w:val="24"/>
          <w:szCs w:val="24"/>
          <w:highlight w:val="none"/>
        </w:rPr>
      </w:pPr>
      <w:r>
        <w:rPr>
          <w:rFonts w:hint="eastAsia"/>
          <w:sz w:val="24"/>
          <w:szCs w:val="24"/>
          <w:highlight w:val="none"/>
        </w:rPr>
        <w:t>3.2</w:t>
      </w:r>
      <w:r>
        <w:rPr>
          <w:rFonts w:hint="eastAsia" w:eastAsia="宋体"/>
          <w:sz w:val="24"/>
          <w:szCs w:val="24"/>
          <w:highlight w:val="none"/>
          <w:lang w:eastAsia="zh-CN"/>
        </w:rPr>
        <w:t>、</w:t>
      </w:r>
      <w:r>
        <w:rPr>
          <w:rFonts w:hint="eastAsia"/>
          <w:sz w:val="24"/>
          <w:szCs w:val="24"/>
          <w:highlight w:val="none"/>
        </w:rPr>
        <w:t>查验合格证和随带技术文件，实行生产许可证和安全认证制度的产品，有许可证编号和安全认证标志。</w:t>
      </w:r>
    </w:p>
    <w:p w14:paraId="303CD62A">
      <w:pPr>
        <w:spacing w:line="360" w:lineRule="auto"/>
        <w:ind w:firstLine="482" w:firstLineChars="200"/>
        <w:rPr>
          <w:rFonts w:hint="eastAsia"/>
          <w:sz w:val="24"/>
          <w:szCs w:val="24"/>
          <w:highlight w:val="none"/>
        </w:rPr>
      </w:pPr>
      <w:r>
        <w:rPr>
          <w:rFonts w:hint="eastAsia"/>
          <w:b/>
          <w:bCs/>
          <w:sz w:val="24"/>
          <w:szCs w:val="24"/>
          <w:highlight w:val="none"/>
        </w:rPr>
        <w:t>三、附件及零配件、备品备件的要求</w:t>
      </w:r>
    </w:p>
    <w:p w14:paraId="4BAA8972">
      <w:pPr>
        <w:spacing w:line="360" w:lineRule="auto"/>
        <w:ind w:firstLine="480" w:firstLineChars="200"/>
        <w:rPr>
          <w:rFonts w:hint="eastAsia"/>
          <w:sz w:val="24"/>
          <w:szCs w:val="24"/>
          <w:highlight w:val="none"/>
        </w:rPr>
      </w:pPr>
      <w:r>
        <w:rPr>
          <w:rFonts w:hint="eastAsia"/>
          <w:sz w:val="24"/>
          <w:szCs w:val="24"/>
          <w:highlight w:val="none"/>
        </w:rPr>
        <w:t>1、提供随机标准附件、专用工具。</w:t>
      </w:r>
    </w:p>
    <w:p w14:paraId="5C1B5352">
      <w:pPr>
        <w:spacing w:line="360" w:lineRule="auto"/>
        <w:ind w:firstLine="480" w:firstLineChars="200"/>
        <w:rPr>
          <w:rFonts w:hint="eastAsia"/>
          <w:sz w:val="24"/>
          <w:szCs w:val="24"/>
          <w:highlight w:val="none"/>
        </w:rPr>
      </w:pPr>
      <w:r>
        <w:rPr>
          <w:rFonts w:hint="eastAsia"/>
          <w:sz w:val="24"/>
          <w:szCs w:val="24"/>
          <w:highlight w:val="none"/>
        </w:rPr>
        <w:t>2、供应商若中标，应提供系统正常运行所需的备品备件、易损件</w:t>
      </w:r>
      <w:r>
        <w:rPr>
          <w:rFonts w:hint="eastAsia" w:ascii="Arial" w:eastAsia="宋体"/>
          <w:sz w:val="24"/>
          <w:szCs w:val="24"/>
          <w:highlight w:val="none"/>
          <w:lang w:val="en-US" w:eastAsia="zh-CN"/>
        </w:rPr>
        <w:t>/</w:t>
      </w:r>
      <w:r>
        <w:rPr>
          <w:rFonts w:hint="eastAsia"/>
          <w:sz w:val="24"/>
          <w:szCs w:val="24"/>
          <w:highlight w:val="none"/>
        </w:rPr>
        <w:t>消耗性材</w:t>
      </w:r>
    </w:p>
    <w:p w14:paraId="700CB3EE">
      <w:pPr>
        <w:spacing w:line="360" w:lineRule="auto"/>
        <w:rPr>
          <w:rFonts w:hint="eastAsia"/>
          <w:sz w:val="24"/>
          <w:szCs w:val="24"/>
          <w:highlight w:val="none"/>
        </w:rPr>
      </w:pPr>
      <w:r>
        <w:rPr>
          <w:rFonts w:hint="eastAsia"/>
          <w:sz w:val="24"/>
          <w:szCs w:val="24"/>
          <w:highlight w:val="none"/>
        </w:rPr>
        <w:t>料。</w:t>
      </w:r>
    </w:p>
    <w:p w14:paraId="4F47762B">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3、</w:t>
      </w:r>
      <w:r>
        <w:rPr>
          <w:rFonts w:hint="eastAsia"/>
          <w:sz w:val="24"/>
          <w:szCs w:val="24"/>
          <w:highlight w:val="none"/>
        </w:rPr>
        <w:t>需强调说明的事项：成交供应商提供产品的附件及零配件（包括专用工</w:t>
      </w:r>
    </w:p>
    <w:p w14:paraId="09010599">
      <w:pPr>
        <w:spacing w:line="360" w:lineRule="auto"/>
        <w:rPr>
          <w:rFonts w:hint="eastAsia"/>
          <w:sz w:val="24"/>
          <w:szCs w:val="24"/>
          <w:highlight w:val="none"/>
        </w:rPr>
      </w:pPr>
      <w:r>
        <w:rPr>
          <w:rFonts w:hint="eastAsia"/>
          <w:sz w:val="24"/>
          <w:szCs w:val="24"/>
          <w:highlight w:val="none"/>
        </w:rPr>
        <w:t>具）、备品备件应具有出厂合格证或国家鉴定合格证。</w:t>
      </w:r>
    </w:p>
    <w:p w14:paraId="12E0F73A">
      <w:pPr>
        <w:spacing w:line="360" w:lineRule="auto"/>
        <w:ind w:firstLine="482" w:firstLineChars="200"/>
        <w:rPr>
          <w:rFonts w:hint="eastAsia"/>
          <w:b/>
          <w:bCs/>
          <w:sz w:val="24"/>
          <w:szCs w:val="24"/>
          <w:highlight w:val="none"/>
        </w:rPr>
      </w:pPr>
      <w:r>
        <w:rPr>
          <w:rFonts w:hint="eastAsia"/>
          <w:b/>
          <w:bCs/>
          <w:sz w:val="24"/>
          <w:szCs w:val="24"/>
          <w:highlight w:val="none"/>
        </w:rPr>
        <w:t>四、验收标准和方法</w:t>
      </w:r>
    </w:p>
    <w:p w14:paraId="73CF4A8F">
      <w:pPr>
        <w:spacing w:line="360" w:lineRule="auto"/>
        <w:ind w:firstLine="480" w:firstLineChars="200"/>
        <w:rPr>
          <w:rFonts w:hint="eastAsia" w:eastAsia="宋体"/>
          <w:sz w:val="24"/>
          <w:szCs w:val="24"/>
          <w:highlight w:val="none"/>
          <w:lang w:eastAsia="zh-CN"/>
        </w:rPr>
      </w:pPr>
      <w:r>
        <w:rPr>
          <w:rFonts w:hint="eastAsia"/>
          <w:sz w:val="24"/>
          <w:szCs w:val="24"/>
          <w:highlight w:val="none"/>
        </w:rPr>
        <w:t>1、本项目施工完成并达到使用标准后，成交供应商向采购人提出验收申请，由采购人组织有关部门的工作人员，按响应文件中的技术参数要求、国家相应设备质量验收规范要求进行验收。项目验收如有国家、省、市、县有强制性规定的，按国家、省、市、县规定执行，验收费用由成交供应商承担，验收报告作为申请付款的凭证之一</w:t>
      </w:r>
      <w:r>
        <w:rPr>
          <w:rFonts w:hint="eastAsia" w:eastAsia="宋体"/>
          <w:sz w:val="24"/>
          <w:szCs w:val="24"/>
          <w:highlight w:val="none"/>
          <w:lang w:eastAsia="zh-CN"/>
        </w:rPr>
        <w:t>；</w:t>
      </w:r>
      <w:r>
        <w:rPr>
          <w:rFonts w:hint="eastAsia" w:ascii="Arial" w:eastAsia="宋体"/>
          <w:sz w:val="24"/>
          <w:szCs w:val="24"/>
          <w:highlight w:val="none"/>
          <w:lang w:val="en-US" w:eastAsia="zh-CN"/>
        </w:rPr>
        <w:t>验收时</w:t>
      </w:r>
      <w:r>
        <w:rPr>
          <w:rFonts w:hint="eastAsia"/>
          <w:sz w:val="24"/>
          <w:szCs w:val="24"/>
          <w:highlight w:val="none"/>
        </w:rPr>
        <w:t>成交供应商需向采购人提交所投产品相关证书及材料，若未提供或者经现场检测达不到要求视为成交供应商违约，采购人上报上级主管部门，将之列入不良名单，同时要求成交供应商赔偿由此次造成的</w:t>
      </w:r>
      <w:r>
        <w:rPr>
          <w:rFonts w:hint="eastAsia" w:ascii="Arial" w:eastAsia="宋体"/>
          <w:sz w:val="24"/>
          <w:szCs w:val="24"/>
          <w:highlight w:val="none"/>
          <w:lang w:val="en-US" w:eastAsia="zh-CN"/>
        </w:rPr>
        <w:t>直接经济</w:t>
      </w:r>
      <w:r>
        <w:rPr>
          <w:rFonts w:hint="eastAsia"/>
          <w:sz w:val="24"/>
          <w:szCs w:val="24"/>
          <w:highlight w:val="none"/>
        </w:rPr>
        <w:t>损失并追究相关法律责任（成交供应商需对本项出具书面承诺函并加盖公章）</w:t>
      </w:r>
      <w:r>
        <w:rPr>
          <w:rFonts w:hint="eastAsia" w:eastAsia="宋体"/>
          <w:sz w:val="24"/>
          <w:szCs w:val="24"/>
          <w:highlight w:val="none"/>
          <w:lang w:eastAsia="zh-CN"/>
        </w:rPr>
        <w:t>。</w:t>
      </w:r>
    </w:p>
    <w:p w14:paraId="5EC0088C">
      <w:pPr>
        <w:numPr>
          <w:ilvl w:val="0"/>
          <w:numId w:val="0"/>
        </w:num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2、</w:t>
      </w:r>
      <w:r>
        <w:rPr>
          <w:rFonts w:hint="eastAsia"/>
          <w:sz w:val="24"/>
          <w:szCs w:val="24"/>
          <w:highlight w:val="none"/>
        </w:rPr>
        <w:t>验收方法</w:t>
      </w:r>
    </w:p>
    <w:p w14:paraId="21183072">
      <w:pPr>
        <w:numPr>
          <w:ilvl w:val="0"/>
          <w:numId w:val="0"/>
        </w:num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2.1、</w:t>
      </w:r>
      <w:r>
        <w:rPr>
          <w:rFonts w:hint="eastAsia"/>
          <w:sz w:val="24"/>
          <w:szCs w:val="24"/>
          <w:highlight w:val="none"/>
        </w:rPr>
        <w:t>货物验收须按国家相关标准和规范及合同要求进行。</w:t>
      </w:r>
    </w:p>
    <w:p w14:paraId="244CB21E">
      <w:pPr>
        <w:spacing w:line="360" w:lineRule="auto"/>
        <w:ind w:firstLine="480" w:firstLineChars="200"/>
        <w:rPr>
          <w:rFonts w:hint="eastAsia"/>
          <w:sz w:val="24"/>
          <w:szCs w:val="24"/>
          <w:highlight w:val="none"/>
        </w:rPr>
      </w:pPr>
      <w:r>
        <w:rPr>
          <w:rFonts w:hint="eastAsia"/>
          <w:sz w:val="24"/>
          <w:szCs w:val="24"/>
          <w:highlight w:val="none"/>
        </w:rPr>
        <w:t>2.2</w:t>
      </w:r>
      <w:r>
        <w:rPr>
          <w:rFonts w:hint="eastAsia" w:eastAsia="宋体"/>
          <w:sz w:val="24"/>
          <w:szCs w:val="24"/>
          <w:highlight w:val="none"/>
          <w:lang w:eastAsia="zh-CN"/>
        </w:rPr>
        <w:t>、</w:t>
      </w:r>
      <w:r>
        <w:rPr>
          <w:rFonts w:hint="eastAsia"/>
          <w:sz w:val="24"/>
          <w:szCs w:val="24"/>
          <w:highlight w:val="none"/>
        </w:rPr>
        <w:t>货物及其材料的各项技术性能必须达到合同和相关技术文件规定的要求，必须符合国家和行业的有关规定和标准。</w:t>
      </w:r>
    </w:p>
    <w:p w14:paraId="7C031E37">
      <w:pPr>
        <w:spacing w:line="360" w:lineRule="auto"/>
        <w:ind w:firstLine="480" w:firstLineChars="200"/>
        <w:rPr>
          <w:rFonts w:hint="eastAsia"/>
          <w:sz w:val="24"/>
          <w:szCs w:val="24"/>
          <w:highlight w:val="none"/>
        </w:rPr>
      </w:pPr>
      <w:r>
        <w:rPr>
          <w:rFonts w:hint="eastAsia"/>
          <w:sz w:val="24"/>
          <w:szCs w:val="24"/>
          <w:highlight w:val="none"/>
        </w:rPr>
        <w:t>2.3</w:t>
      </w:r>
      <w:r>
        <w:rPr>
          <w:rFonts w:hint="eastAsia" w:eastAsia="宋体"/>
          <w:sz w:val="24"/>
          <w:szCs w:val="24"/>
          <w:highlight w:val="none"/>
          <w:lang w:eastAsia="zh-CN"/>
        </w:rPr>
        <w:t>、</w:t>
      </w:r>
      <w:r>
        <w:rPr>
          <w:rFonts w:hint="eastAsia"/>
          <w:sz w:val="24"/>
          <w:szCs w:val="24"/>
          <w:highlight w:val="none"/>
        </w:rPr>
        <w:t>验收费用由成交供应商承担，验收报告作为申请付款的凭证之一。</w:t>
      </w:r>
    </w:p>
    <w:p w14:paraId="268C0219">
      <w:pPr>
        <w:spacing w:line="360" w:lineRule="auto"/>
        <w:ind w:firstLine="480" w:firstLineChars="200"/>
        <w:rPr>
          <w:rFonts w:hint="eastAsia"/>
          <w:sz w:val="24"/>
          <w:szCs w:val="24"/>
          <w:highlight w:val="none"/>
        </w:rPr>
      </w:pPr>
      <w:r>
        <w:rPr>
          <w:rFonts w:hint="eastAsia"/>
          <w:sz w:val="24"/>
          <w:szCs w:val="24"/>
          <w:highlight w:val="none"/>
        </w:rPr>
        <w:t>2.4</w:t>
      </w:r>
      <w:r>
        <w:rPr>
          <w:rFonts w:hint="eastAsia" w:eastAsia="宋体"/>
          <w:sz w:val="24"/>
          <w:szCs w:val="24"/>
          <w:highlight w:val="none"/>
          <w:lang w:eastAsia="zh-CN"/>
        </w:rPr>
        <w:t>、</w:t>
      </w:r>
      <w:r>
        <w:rPr>
          <w:rFonts w:hint="eastAsia"/>
          <w:sz w:val="24"/>
          <w:szCs w:val="24"/>
          <w:highlight w:val="none"/>
        </w:rPr>
        <w:t>验收过程中产生纠纷的，由质量技术监督部门认定的检测机构检测,如为成交供应商原因造成的，由成交供应商承担检测费用；否则，由采购人承担。</w:t>
      </w:r>
    </w:p>
    <w:p w14:paraId="019BE2B9">
      <w:pPr>
        <w:spacing w:line="360" w:lineRule="auto"/>
        <w:ind w:firstLine="480" w:firstLineChars="200"/>
        <w:rPr>
          <w:rFonts w:hint="eastAsia"/>
          <w:sz w:val="24"/>
          <w:szCs w:val="24"/>
          <w:highlight w:val="none"/>
        </w:rPr>
      </w:pPr>
      <w:r>
        <w:rPr>
          <w:rFonts w:hint="eastAsia"/>
          <w:sz w:val="24"/>
          <w:szCs w:val="24"/>
          <w:highlight w:val="none"/>
        </w:rPr>
        <w:t>2.5</w:t>
      </w:r>
      <w:r>
        <w:rPr>
          <w:rFonts w:hint="eastAsia" w:eastAsia="宋体"/>
          <w:sz w:val="24"/>
          <w:szCs w:val="24"/>
          <w:highlight w:val="none"/>
          <w:lang w:eastAsia="zh-CN"/>
        </w:rPr>
        <w:t>、</w:t>
      </w:r>
      <w:r>
        <w:rPr>
          <w:rFonts w:hint="eastAsia"/>
          <w:sz w:val="24"/>
          <w:szCs w:val="24"/>
          <w:highlight w:val="none"/>
        </w:rPr>
        <w:t>成交供应商</w:t>
      </w:r>
      <w:r>
        <w:rPr>
          <w:rFonts w:hint="eastAsia" w:ascii="Arial" w:eastAsia="宋体"/>
          <w:sz w:val="24"/>
          <w:szCs w:val="24"/>
          <w:highlight w:val="none"/>
          <w:lang w:val="en-US" w:eastAsia="zh-CN"/>
        </w:rPr>
        <w:t>原因导致</w:t>
      </w:r>
      <w:r>
        <w:rPr>
          <w:rFonts w:hint="eastAsia"/>
          <w:sz w:val="24"/>
          <w:szCs w:val="24"/>
          <w:highlight w:val="none"/>
        </w:rPr>
        <w:t>项目验收不合格</w:t>
      </w:r>
      <w:r>
        <w:rPr>
          <w:rFonts w:hint="eastAsia" w:eastAsia="宋体"/>
          <w:sz w:val="24"/>
          <w:szCs w:val="24"/>
          <w:highlight w:val="none"/>
          <w:lang w:eastAsia="zh-CN"/>
        </w:rPr>
        <w:t>的</w:t>
      </w:r>
      <w:r>
        <w:rPr>
          <w:rFonts w:hint="eastAsia"/>
          <w:sz w:val="24"/>
          <w:szCs w:val="24"/>
          <w:highlight w:val="none"/>
        </w:rPr>
        <w:t>，由成交供应商返工直至合格，有关返工、再行验收，给采购人造成的损失等费用由成交供应商承担。</w:t>
      </w:r>
      <w:r>
        <w:rPr>
          <w:rFonts w:hint="eastAsia" w:ascii="Arial" w:eastAsia="宋体"/>
          <w:sz w:val="24"/>
          <w:szCs w:val="24"/>
          <w:highlight w:val="none"/>
          <w:lang w:val="en-US" w:eastAsia="zh-CN"/>
        </w:rPr>
        <w:t>经采购人催告后，供应商在合理期限内仍未整改合格，采购人可单方解除合同</w:t>
      </w:r>
      <w:r>
        <w:rPr>
          <w:rFonts w:hint="eastAsia"/>
          <w:sz w:val="24"/>
          <w:szCs w:val="24"/>
          <w:highlight w:val="none"/>
        </w:rPr>
        <w:t>，由此带来的损失由成交供应商承担。</w:t>
      </w:r>
    </w:p>
    <w:p w14:paraId="139A410F">
      <w:pPr>
        <w:spacing w:line="360" w:lineRule="auto"/>
        <w:ind w:firstLine="482" w:firstLineChars="200"/>
        <w:rPr>
          <w:rFonts w:hint="eastAsia"/>
          <w:sz w:val="24"/>
          <w:szCs w:val="24"/>
          <w:highlight w:val="none"/>
        </w:rPr>
      </w:pPr>
      <w:r>
        <w:rPr>
          <w:rFonts w:hint="eastAsia"/>
          <w:b/>
          <w:bCs/>
          <w:sz w:val="24"/>
          <w:szCs w:val="24"/>
          <w:highlight w:val="none"/>
        </w:rPr>
        <w:t>五、安装及技术服务要求</w:t>
      </w:r>
    </w:p>
    <w:p w14:paraId="3BAF9221">
      <w:pPr>
        <w:spacing w:line="360" w:lineRule="auto"/>
        <w:ind w:firstLine="480" w:firstLineChars="200"/>
        <w:rPr>
          <w:rFonts w:hint="eastAsia"/>
          <w:sz w:val="24"/>
          <w:szCs w:val="24"/>
          <w:highlight w:val="none"/>
        </w:rPr>
      </w:pPr>
      <w:r>
        <w:rPr>
          <w:rFonts w:hint="eastAsia"/>
          <w:sz w:val="24"/>
          <w:szCs w:val="24"/>
          <w:highlight w:val="none"/>
        </w:rPr>
        <w:t>1、产品运输、保管及保险</w:t>
      </w:r>
    </w:p>
    <w:p w14:paraId="30A53C5B">
      <w:pPr>
        <w:spacing w:line="360" w:lineRule="auto"/>
        <w:ind w:firstLine="480" w:firstLineChars="200"/>
        <w:rPr>
          <w:rFonts w:hint="eastAsia"/>
          <w:sz w:val="24"/>
          <w:szCs w:val="24"/>
          <w:highlight w:val="none"/>
        </w:rPr>
      </w:pPr>
      <w:r>
        <w:rPr>
          <w:rFonts w:hint="eastAsia"/>
          <w:sz w:val="24"/>
          <w:szCs w:val="24"/>
          <w:highlight w:val="none"/>
        </w:rPr>
        <w:t>1.1</w:t>
      </w:r>
      <w:r>
        <w:rPr>
          <w:rFonts w:hint="eastAsia" w:eastAsia="宋体"/>
          <w:sz w:val="24"/>
          <w:szCs w:val="24"/>
          <w:highlight w:val="none"/>
          <w:lang w:eastAsia="zh-CN"/>
        </w:rPr>
        <w:t>、</w:t>
      </w:r>
      <w:r>
        <w:rPr>
          <w:rFonts w:hint="eastAsia"/>
          <w:sz w:val="24"/>
          <w:szCs w:val="24"/>
          <w:highlight w:val="none"/>
        </w:rPr>
        <w:t>成交供应商负责保证货物在没有任何损坏和腐蚀的情况下安全运抵合同规定的交货地点，应承担由于其包装或防护措施不妥而起货物锈蚀、损坏和丢</w:t>
      </w:r>
    </w:p>
    <w:p w14:paraId="775B79A1">
      <w:pPr>
        <w:spacing w:line="360" w:lineRule="auto"/>
        <w:rPr>
          <w:rFonts w:hint="eastAsia"/>
          <w:sz w:val="24"/>
          <w:szCs w:val="24"/>
          <w:highlight w:val="none"/>
        </w:rPr>
      </w:pPr>
      <w:r>
        <w:rPr>
          <w:rFonts w:hint="eastAsia"/>
          <w:sz w:val="24"/>
          <w:szCs w:val="24"/>
          <w:highlight w:val="none"/>
        </w:rPr>
        <w:t>失的任何责任或费用。</w:t>
      </w:r>
    </w:p>
    <w:p w14:paraId="5E817590">
      <w:pPr>
        <w:spacing w:line="360" w:lineRule="auto"/>
        <w:ind w:firstLine="480" w:firstLineChars="200"/>
        <w:rPr>
          <w:rFonts w:hint="eastAsia"/>
          <w:sz w:val="24"/>
          <w:szCs w:val="24"/>
          <w:highlight w:val="none"/>
        </w:rPr>
      </w:pPr>
      <w:r>
        <w:rPr>
          <w:rFonts w:hint="eastAsia"/>
          <w:sz w:val="24"/>
          <w:szCs w:val="24"/>
          <w:highlight w:val="none"/>
        </w:rPr>
        <w:t>1.2</w:t>
      </w:r>
      <w:r>
        <w:rPr>
          <w:rFonts w:hint="eastAsia" w:eastAsia="宋体"/>
          <w:sz w:val="24"/>
          <w:szCs w:val="24"/>
          <w:highlight w:val="none"/>
          <w:lang w:eastAsia="zh-CN"/>
        </w:rPr>
        <w:t>、</w:t>
      </w:r>
      <w:r>
        <w:rPr>
          <w:rFonts w:hint="eastAsia"/>
          <w:sz w:val="24"/>
          <w:szCs w:val="24"/>
          <w:highlight w:val="none"/>
        </w:rPr>
        <w:t>成交供应商负责货物在施工地点的保管，直至项目验收合格。</w:t>
      </w:r>
    </w:p>
    <w:p w14:paraId="5EFB29AB">
      <w:pPr>
        <w:spacing w:line="360" w:lineRule="auto"/>
        <w:ind w:firstLine="480" w:firstLineChars="200"/>
        <w:rPr>
          <w:rFonts w:hint="eastAsia"/>
          <w:sz w:val="24"/>
          <w:szCs w:val="24"/>
          <w:highlight w:val="none"/>
        </w:rPr>
      </w:pPr>
      <w:r>
        <w:rPr>
          <w:rFonts w:hint="eastAsia"/>
          <w:sz w:val="24"/>
          <w:szCs w:val="24"/>
          <w:highlight w:val="none"/>
        </w:rPr>
        <w:t>1.3</w:t>
      </w:r>
      <w:r>
        <w:rPr>
          <w:rFonts w:hint="eastAsia" w:eastAsia="宋体"/>
          <w:sz w:val="24"/>
          <w:szCs w:val="24"/>
          <w:highlight w:val="none"/>
          <w:lang w:eastAsia="zh-CN"/>
        </w:rPr>
        <w:t>、</w:t>
      </w:r>
      <w:r>
        <w:rPr>
          <w:rFonts w:hint="eastAsia"/>
          <w:sz w:val="24"/>
          <w:szCs w:val="24"/>
          <w:highlight w:val="none"/>
        </w:rPr>
        <w:t>成交供应商应对提供的货物在运输、存放及交货过程中的毁损或遗失</w:t>
      </w:r>
    </w:p>
    <w:p w14:paraId="1AC6521E">
      <w:pPr>
        <w:spacing w:line="360" w:lineRule="auto"/>
        <w:rPr>
          <w:rFonts w:hint="eastAsia"/>
          <w:sz w:val="24"/>
          <w:szCs w:val="24"/>
          <w:highlight w:val="none"/>
        </w:rPr>
      </w:pPr>
      <w:r>
        <w:rPr>
          <w:rFonts w:hint="eastAsia"/>
          <w:sz w:val="24"/>
          <w:szCs w:val="24"/>
          <w:highlight w:val="none"/>
        </w:rPr>
        <w:t>进行保险投保，负责对其派出的安装、服务人员在施工期间的人身意外保险。</w:t>
      </w:r>
    </w:p>
    <w:p w14:paraId="4A70FA6A">
      <w:pPr>
        <w:spacing w:line="360" w:lineRule="auto"/>
        <w:ind w:firstLine="480" w:firstLineChars="200"/>
        <w:rPr>
          <w:rFonts w:hint="eastAsia"/>
          <w:sz w:val="24"/>
          <w:szCs w:val="24"/>
          <w:highlight w:val="none"/>
        </w:rPr>
      </w:pPr>
      <w:r>
        <w:rPr>
          <w:rFonts w:hint="eastAsia"/>
          <w:sz w:val="24"/>
          <w:szCs w:val="24"/>
          <w:highlight w:val="none"/>
        </w:rPr>
        <w:t>1.4</w:t>
      </w:r>
      <w:r>
        <w:rPr>
          <w:rFonts w:hint="eastAsia" w:eastAsia="宋体"/>
          <w:sz w:val="24"/>
          <w:szCs w:val="24"/>
          <w:highlight w:val="none"/>
          <w:lang w:eastAsia="zh-CN"/>
        </w:rPr>
        <w:t>、</w:t>
      </w:r>
      <w:r>
        <w:rPr>
          <w:rFonts w:hint="eastAsia"/>
          <w:sz w:val="24"/>
          <w:szCs w:val="24"/>
          <w:highlight w:val="none"/>
        </w:rPr>
        <w:t>货物包装采用符合中国免疫标准的材料，适于长途运输，做到防潮、</w:t>
      </w:r>
    </w:p>
    <w:p w14:paraId="4F4D6721">
      <w:pPr>
        <w:spacing w:line="360" w:lineRule="auto"/>
        <w:rPr>
          <w:rFonts w:hint="eastAsia"/>
          <w:sz w:val="24"/>
          <w:szCs w:val="24"/>
          <w:highlight w:val="none"/>
        </w:rPr>
      </w:pPr>
      <w:r>
        <w:rPr>
          <w:rFonts w:hint="eastAsia"/>
          <w:sz w:val="24"/>
          <w:szCs w:val="24"/>
          <w:highlight w:val="none"/>
        </w:rPr>
        <w:t>防雨、防锈、防震，包装箱上应用中文标出装运标记。</w:t>
      </w:r>
    </w:p>
    <w:p w14:paraId="4E1AED68">
      <w:pPr>
        <w:spacing w:line="360" w:lineRule="auto"/>
        <w:ind w:firstLine="480" w:firstLineChars="200"/>
        <w:rPr>
          <w:rFonts w:hint="eastAsia"/>
          <w:sz w:val="24"/>
          <w:szCs w:val="24"/>
          <w:highlight w:val="none"/>
        </w:rPr>
      </w:pPr>
      <w:r>
        <w:rPr>
          <w:rFonts w:hint="eastAsia"/>
          <w:sz w:val="24"/>
          <w:szCs w:val="24"/>
          <w:highlight w:val="none"/>
        </w:rPr>
        <w:t>1.5</w:t>
      </w:r>
      <w:r>
        <w:rPr>
          <w:rFonts w:hint="eastAsia" w:eastAsia="宋体"/>
          <w:sz w:val="24"/>
          <w:szCs w:val="24"/>
          <w:highlight w:val="none"/>
          <w:lang w:eastAsia="zh-CN"/>
        </w:rPr>
        <w:t>、</w:t>
      </w:r>
      <w:r>
        <w:rPr>
          <w:rFonts w:hint="eastAsia"/>
          <w:sz w:val="24"/>
          <w:szCs w:val="24"/>
          <w:highlight w:val="none"/>
        </w:rPr>
        <w:t>每个包装箱的外部应附有一套详细的装箱单正本。每个包装箱的内部应附有装箱单、质量证明书，有关的技术文件，说明书，产品合格证等。</w:t>
      </w:r>
    </w:p>
    <w:p w14:paraId="043C6F18">
      <w:pPr>
        <w:spacing w:line="360" w:lineRule="auto"/>
        <w:ind w:firstLine="480" w:firstLineChars="200"/>
        <w:rPr>
          <w:rFonts w:hint="eastAsia"/>
          <w:sz w:val="24"/>
          <w:szCs w:val="24"/>
          <w:highlight w:val="none"/>
        </w:rPr>
      </w:pPr>
      <w:r>
        <w:rPr>
          <w:rFonts w:hint="eastAsia"/>
          <w:sz w:val="24"/>
          <w:szCs w:val="24"/>
          <w:highlight w:val="none"/>
        </w:rPr>
        <w:t>2、安装</w:t>
      </w:r>
    </w:p>
    <w:p w14:paraId="240A5157">
      <w:pPr>
        <w:spacing w:line="360" w:lineRule="auto"/>
        <w:ind w:firstLine="480" w:firstLineChars="200"/>
        <w:rPr>
          <w:rFonts w:hint="eastAsia"/>
          <w:sz w:val="24"/>
          <w:szCs w:val="24"/>
          <w:highlight w:val="none"/>
        </w:rPr>
      </w:pPr>
      <w:r>
        <w:rPr>
          <w:rFonts w:hint="eastAsia"/>
          <w:sz w:val="24"/>
          <w:szCs w:val="24"/>
          <w:highlight w:val="none"/>
        </w:rPr>
        <w:t>2.1</w:t>
      </w:r>
      <w:r>
        <w:rPr>
          <w:rFonts w:hint="eastAsia" w:eastAsia="宋体"/>
          <w:sz w:val="24"/>
          <w:szCs w:val="24"/>
          <w:highlight w:val="none"/>
          <w:lang w:eastAsia="zh-CN"/>
        </w:rPr>
        <w:t>、</w:t>
      </w:r>
      <w:r>
        <w:rPr>
          <w:rFonts w:hint="eastAsia"/>
          <w:sz w:val="24"/>
          <w:szCs w:val="24"/>
          <w:highlight w:val="none"/>
        </w:rPr>
        <w:t>主要货物到达采购人现场后，按照在采购人确定的时间在采购人所在地现场免费进行开箱查验。</w:t>
      </w:r>
    </w:p>
    <w:p w14:paraId="60250DC5">
      <w:pPr>
        <w:spacing w:line="360" w:lineRule="auto"/>
        <w:ind w:firstLine="480" w:firstLineChars="200"/>
        <w:rPr>
          <w:rFonts w:hint="eastAsia"/>
          <w:sz w:val="24"/>
          <w:szCs w:val="24"/>
          <w:highlight w:val="none"/>
        </w:rPr>
      </w:pPr>
      <w:r>
        <w:rPr>
          <w:rFonts w:hint="eastAsia"/>
          <w:sz w:val="24"/>
          <w:szCs w:val="24"/>
          <w:highlight w:val="none"/>
        </w:rPr>
        <w:t>2.2</w:t>
      </w:r>
      <w:r>
        <w:rPr>
          <w:rFonts w:hint="eastAsia" w:eastAsia="宋体"/>
          <w:sz w:val="24"/>
          <w:szCs w:val="24"/>
          <w:highlight w:val="none"/>
          <w:lang w:eastAsia="zh-CN"/>
        </w:rPr>
        <w:t>、</w:t>
      </w:r>
      <w:r>
        <w:rPr>
          <w:rFonts w:hint="eastAsia"/>
          <w:sz w:val="24"/>
          <w:szCs w:val="24"/>
          <w:highlight w:val="none"/>
        </w:rPr>
        <w:t>成交供应商应派有经验的技术人员到现场安装，其费用由成交供应商负担，费用计入投标总价。</w:t>
      </w:r>
    </w:p>
    <w:p w14:paraId="242E5E93">
      <w:pPr>
        <w:spacing w:line="360" w:lineRule="auto"/>
        <w:ind w:firstLine="480" w:firstLineChars="200"/>
        <w:rPr>
          <w:rFonts w:hint="eastAsia"/>
          <w:sz w:val="24"/>
          <w:szCs w:val="24"/>
          <w:highlight w:val="none"/>
        </w:rPr>
      </w:pPr>
      <w:r>
        <w:rPr>
          <w:rFonts w:hint="eastAsia"/>
          <w:sz w:val="24"/>
          <w:szCs w:val="24"/>
          <w:highlight w:val="none"/>
        </w:rPr>
        <w:t>2.3</w:t>
      </w:r>
      <w:r>
        <w:rPr>
          <w:rFonts w:hint="eastAsia" w:eastAsia="宋体"/>
          <w:sz w:val="24"/>
          <w:szCs w:val="24"/>
          <w:highlight w:val="none"/>
          <w:lang w:eastAsia="zh-CN"/>
        </w:rPr>
        <w:t>、</w:t>
      </w:r>
      <w:r>
        <w:rPr>
          <w:rFonts w:hint="eastAsia"/>
          <w:sz w:val="24"/>
          <w:szCs w:val="24"/>
          <w:highlight w:val="none"/>
        </w:rPr>
        <w:t>在开始安装以前，成交供应商必须向采购人提供完整的图纸及技术资</w:t>
      </w:r>
    </w:p>
    <w:p w14:paraId="23BEFF1D">
      <w:pPr>
        <w:spacing w:line="360" w:lineRule="auto"/>
        <w:rPr>
          <w:rFonts w:hint="eastAsia"/>
          <w:sz w:val="24"/>
          <w:szCs w:val="24"/>
          <w:highlight w:val="none"/>
        </w:rPr>
      </w:pPr>
      <w:r>
        <w:rPr>
          <w:rFonts w:hint="eastAsia"/>
          <w:sz w:val="24"/>
          <w:szCs w:val="24"/>
          <w:highlight w:val="none"/>
        </w:rPr>
        <w:t>料。</w:t>
      </w:r>
    </w:p>
    <w:p w14:paraId="63F3C05E">
      <w:pPr>
        <w:spacing w:line="360" w:lineRule="auto"/>
        <w:ind w:firstLine="480" w:firstLineChars="200"/>
        <w:rPr>
          <w:rFonts w:hint="eastAsia"/>
          <w:sz w:val="24"/>
          <w:szCs w:val="24"/>
          <w:highlight w:val="none"/>
        </w:rPr>
      </w:pPr>
      <w:r>
        <w:rPr>
          <w:rFonts w:hint="eastAsia"/>
          <w:sz w:val="24"/>
          <w:szCs w:val="24"/>
          <w:highlight w:val="none"/>
        </w:rPr>
        <w:t>2.4</w:t>
      </w:r>
      <w:r>
        <w:rPr>
          <w:rFonts w:hint="eastAsia" w:eastAsia="宋体"/>
          <w:sz w:val="24"/>
          <w:szCs w:val="24"/>
          <w:highlight w:val="none"/>
          <w:lang w:eastAsia="zh-CN"/>
        </w:rPr>
        <w:t>、</w:t>
      </w:r>
      <w:r>
        <w:rPr>
          <w:rFonts w:hint="eastAsia"/>
          <w:sz w:val="24"/>
          <w:szCs w:val="24"/>
          <w:highlight w:val="none"/>
        </w:rPr>
        <w:t>安装施工期间成交供应商人员的食宿由成交供应商负责，采购人尽可能为成交供应商提供方便。</w:t>
      </w:r>
    </w:p>
    <w:p w14:paraId="06E32C45">
      <w:pPr>
        <w:spacing w:line="360" w:lineRule="auto"/>
        <w:ind w:firstLine="480" w:firstLineChars="200"/>
        <w:rPr>
          <w:rFonts w:hint="eastAsia"/>
          <w:sz w:val="24"/>
          <w:szCs w:val="24"/>
          <w:highlight w:val="none"/>
        </w:rPr>
      </w:pPr>
      <w:r>
        <w:rPr>
          <w:rFonts w:hint="eastAsia"/>
          <w:sz w:val="24"/>
          <w:szCs w:val="24"/>
          <w:highlight w:val="none"/>
        </w:rPr>
        <w:t>2.5</w:t>
      </w:r>
      <w:r>
        <w:rPr>
          <w:rFonts w:hint="eastAsia" w:eastAsia="宋体"/>
          <w:sz w:val="24"/>
          <w:szCs w:val="24"/>
          <w:highlight w:val="none"/>
          <w:lang w:eastAsia="zh-CN"/>
        </w:rPr>
        <w:t>、</w:t>
      </w:r>
      <w:r>
        <w:rPr>
          <w:rFonts w:hint="eastAsia"/>
          <w:sz w:val="24"/>
          <w:szCs w:val="24"/>
          <w:highlight w:val="none"/>
        </w:rPr>
        <w:t>如果因成交供应商的原因发生的人身伤害等责任事故，一切责任由成交供应商负责。</w:t>
      </w:r>
    </w:p>
    <w:p w14:paraId="7BA921A4">
      <w:pPr>
        <w:spacing w:line="360" w:lineRule="auto"/>
        <w:ind w:firstLine="480" w:firstLineChars="200"/>
        <w:rPr>
          <w:rFonts w:hint="eastAsia"/>
          <w:sz w:val="24"/>
          <w:szCs w:val="24"/>
          <w:highlight w:val="none"/>
        </w:rPr>
      </w:pPr>
      <w:r>
        <w:rPr>
          <w:rFonts w:hint="eastAsia"/>
          <w:sz w:val="24"/>
          <w:szCs w:val="24"/>
          <w:highlight w:val="none"/>
        </w:rPr>
        <w:t>2.6</w:t>
      </w:r>
      <w:r>
        <w:rPr>
          <w:rFonts w:hint="eastAsia" w:eastAsia="宋体"/>
          <w:sz w:val="24"/>
          <w:szCs w:val="24"/>
          <w:highlight w:val="none"/>
          <w:lang w:eastAsia="zh-CN"/>
        </w:rPr>
        <w:t>、</w:t>
      </w:r>
      <w:r>
        <w:rPr>
          <w:rFonts w:hint="eastAsia"/>
          <w:sz w:val="24"/>
          <w:szCs w:val="24"/>
          <w:highlight w:val="none"/>
        </w:rPr>
        <w:t>在货物安装过程中如发生货物质量问题，成交供应商应派人员免费提供现场更换或维修服务，由此发生的费用由成交供应商承担。</w:t>
      </w:r>
    </w:p>
    <w:p w14:paraId="64CBB1D0">
      <w:pPr>
        <w:spacing w:line="360" w:lineRule="auto"/>
        <w:ind w:firstLine="482" w:firstLineChars="200"/>
        <w:rPr>
          <w:rFonts w:hint="eastAsia"/>
          <w:b/>
          <w:bCs/>
          <w:sz w:val="24"/>
          <w:szCs w:val="24"/>
          <w:highlight w:val="none"/>
        </w:rPr>
      </w:pPr>
      <w:r>
        <w:rPr>
          <w:rFonts w:hint="eastAsia"/>
          <w:b/>
          <w:bCs/>
          <w:sz w:val="24"/>
          <w:szCs w:val="24"/>
          <w:highlight w:val="none"/>
        </w:rPr>
        <w:t>六、售后服务的要求</w:t>
      </w:r>
    </w:p>
    <w:p w14:paraId="4EB74D0C">
      <w:pPr>
        <w:spacing w:line="360" w:lineRule="auto"/>
        <w:ind w:firstLine="480" w:firstLineChars="200"/>
        <w:rPr>
          <w:rFonts w:hint="eastAsia" w:eastAsia="宋体"/>
          <w:sz w:val="24"/>
          <w:szCs w:val="24"/>
          <w:highlight w:val="none"/>
          <w:lang w:eastAsia="zh-CN"/>
        </w:rPr>
      </w:pPr>
      <w:r>
        <w:rPr>
          <w:rFonts w:hint="eastAsia"/>
          <w:sz w:val="24"/>
          <w:szCs w:val="24"/>
          <w:highlight w:val="none"/>
        </w:rPr>
        <w:t>1、本项目整体质量保证期不少于</w:t>
      </w:r>
      <w:r>
        <w:rPr>
          <w:rFonts w:hint="eastAsia" w:ascii="Arial" w:eastAsia="宋体"/>
          <w:sz w:val="24"/>
          <w:szCs w:val="24"/>
          <w:highlight w:val="none"/>
          <w:lang w:val="en-US" w:eastAsia="zh-CN"/>
        </w:rPr>
        <w:t>3</w:t>
      </w:r>
      <w:r>
        <w:rPr>
          <w:rFonts w:hint="eastAsia"/>
          <w:sz w:val="24"/>
          <w:szCs w:val="24"/>
          <w:highlight w:val="none"/>
        </w:rPr>
        <w:t>年（包含硬件设备免费质保不少于</w:t>
      </w:r>
      <w:r>
        <w:rPr>
          <w:rFonts w:hint="eastAsia" w:ascii="Arial" w:eastAsia="宋体"/>
          <w:sz w:val="24"/>
          <w:szCs w:val="24"/>
          <w:highlight w:val="none"/>
          <w:lang w:val="en-US" w:eastAsia="zh-CN"/>
        </w:rPr>
        <w:t>3</w:t>
      </w:r>
    </w:p>
    <w:p w14:paraId="22CB39F6">
      <w:pPr>
        <w:spacing w:line="360" w:lineRule="auto"/>
        <w:rPr>
          <w:rFonts w:hint="eastAsia"/>
          <w:sz w:val="24"/>
          <w:szCs w:val="24"/>
          <w:highlight w:val="none"/>
        </w:rPr>
      </w:pPr>
      <w:r>
        <w:rPr>
          <w:rFonts w:hint="eastAsia"/>
          <w:sz w:val="24"/>
          <w:szCs w:val="24"/>
          <w:highlight w:val="none"/>
        </w:rPr>
        <w:t>年、软件系统不少于</w:t>
      </w:r>
      <w:r>
        <w:rPr>
          <w:rFonts w:hint="eastAsia" w:ascii="Arial" w:eastAsia="宋体"/>
          <w:sz w:val="24"/>
          <w:szCs w:val="24"/>
          <w:highlight w:val="none"/>
          <w:lang w:val="en-US" w:eastAsia="zh-CN"/>
        </w:rPr>
        <w:t>3</w:t>
      </w:r>
      <w:r>
        <w:rPr>
          <w:rFonts w:hint="eastAsia"/>
          <w:sz w:val="24"/>
          <w:szCs w:val="24"/>
          <w:highlight w:val="none"/>
        </w:rPr>
        <w:t>年免费升级）；</w:t>
      </w:r>
    </w:p>
    <w:p w14:paraId="167AFCCA">
      <w:pPr>
        <w:spacing w:line="360" w:lineRule="auto"/>
        <w:ind w:firstLine="480" w:firstLineChars="200"/>
        <w:rPr>
          <w:rFonts w:hint="eastAsia"/>
          <w:sz w:val="24"/>
          <w:szCs w:val="24"/>
          <w:highlight w:val="none"/>
        </w:rPr>
      </w:pPr>
      <w:r>
        <w:rPr>
          <w:rFonts w:hint="eastAsia"/>
          <w:sz w:val="24"/>
          <w:szCs w:val="24"/>
          <w:highlight w:val="none"/>
        </w:rPr>
        <w:t>（1）成交供应商承诺的质保期长于采购文件规定时，以成交供应商的响应文件为准；质保期内，成交供应商应当免费提供维修服务，由此产生的费用均不再另行收取；质量保证期结束后，供应商应按照本项目特点提供长期良好的售后服务，对所供货物的维修服务，成交供应商应只收取相关设备配件的成本费和人工费；并在响应文件中提供售后服务承诺书等相关资料。</w:t>
      </w:r>
    </w:p>
    <w:p w14:paraId="173A43E4">
      <w:pPr>
        <w:spacing w:line="360" w:lineRule="auto"/>
        <w:ind w:firstLine="480" w:firstLineChars="200"/>
        <w:rPr>
          <w:rFonts w:hint="eastAsia"/>
          <w:sz w:val="24"/>
          <w:szCs w:val="24"/>
          <w:highlight w:val="none"/>
        </w:rPr>
      </w:pPr>
      <w:r>
        <w:rPr>
          <w:rFonts w:hint="eastAsia"/>
          <w:sz w:val="24"/>
          <w:szCs w:val="24"/>
          <w:highlight w:val="none"/>
        </w:rPr>
        <w:t>（2）项目整体质保期从整体项目终验合格交付使用之日起计算。响应文件</w:t>
      </w:r>
    </w:p>
    <w:p w14:paraId="3F48DA91">
      <w:pPr>
        <w:spacing w:line="360" w:lineRule="auto"/>
        <w:rPr>
          <w:rFonts w:hint="eastAsia"/>
          <w:sz w:val="24"/>
          <w:szCs w:val="24"/>
          <w:highlight w:val="none"/>
        </w:rPr>
      </w:pPr>
      <w:r>
        <w:rPr>
          <w:rFonts w:hint="eastAsia"/>
          <w:sz w:val="24"/>
          <w:szCs w:val="24"/>
          <w:highlight w:val="none"/>
        </w:rPr>
        <w:t>中须提供针对本项目质量保证的承诺书，承诺书内容应包含质保期。</w:t>
      </w:r>
    </w:p>
    <w:p w14:paraId="763B325D">
      <w:pPr>
        <w:spacing w:line="360" w:lineRule="auto"/>
        <w:ind w:firstLine="480" w:firstLineChars="200"/>
        <w:rPr>
          <w:rFonts w:hint="eastAsia"/>
          <w:sz w:val="24"/>
          <w:szCs w:val="24"/>
          <w:highlight w:val="none"/>
        </w:rPr>
      </w:pPr>
      <w:r>
        <w:rPr>
          <w:rFonts w:hint="eastAsia"/>
          <w:sz w:val="24"/>
          <w:szCs w:val="24"/>
          <w:highlight w:val="none"/>
        </w:rPr>
        <w:t>2、维护措施</w:t>
      </w:r>
    </w:p>
    <w:p w14:paraId="2B5749D8">
      <w:pPr>
        <w:spacing w:line="360" w:lineRule="auto"/>
        <w:ind w:firstLine="480" w:firstLineChars="200"/>
        <w:rPr>
          <w:rFonts w:hint="eastAsia"/>
          <w:sz w:val="24"/>
          <w:szCs w:val="24"/>
          <w:highlight w:val="none"/>
        </w:rPr>
      </w:pPr>
      <w:r>
        <w:rPr>
          <w:rFonts w:hint="eastAsia"/>
          <w:sz w:val="24"/>
          <w:szCs w:val="24"/>
          <w:highlight w:val="none"/>
        </w:rPr>
        <w:t>2.1</w:t>
      </w:r>
      <w:r>
        <w:rPr>
          <w:rFonts w:hint="eastAsia" w:eastAsia="宋体"/>
          <w:sz w:val="24"/>
          <w:szCs w:val="24"/>
          <w:highlight w:val="none"/>
          <w:lang w:eastAsia="zh-CN"/>
        </w:rPr>
        <w:t>、</w:t>
      </w:r>
      <w:r>
        <w:rPr>
          <w:rFonts w:hint="eastAsia"/>
          <w:sz w:val="24"/>
          <w:szCs w:val="24"/>
          <w:highlight w:val="none"/>
        </w:rPr>
        <w:t>定期维护计划</w:t>
      </w:r>
    </w:p>
    <w:p w14:paraId="4EC50E04">
      <w:pPr>
        <w:spacing w:line="360" w:lineRule="auto"/>
        <w:ind w:firstLine="480" w:firstLineChars="200"/>
        <w:rPr>
          <w:rFonts w:hint="eastAsia"/>
          <w:sz w:val="24"/>
          <w:szCs w:val="24"/>
          <w:highlight w:val="none"/>
        </w:rPr>
      </w:pPr>
      <w:r>
        <w:rPr>
          <w:rFonts w:hint="eastAsia"/>
          <w:sz w:val="24"/>
          <w:szCs w:val="24"/>
          <w:highlight w:val="none"/>
        </w:rPr>
        <w:t>2.2</w:t>
      </w:r>
      <w:r>
        <w:rPr>
          <w:rFonts w:hint="eastAsia" w:eastAsia="宋体"/>
          <w:sz w:val="24"/>
          <w:szCs w:val="24"/>
          <w:highlight w:val="none"/>
          <w:lang w:eastAsia="zh-CN"/>
        </w:rPr>
        <w:t>、</w:t>
      </w:r>
      <w:r>
        <w:rPr>
          <w:rFonts w:hint="eastAsia"/>
          <w:sz w:val="24"/>
          <w:szCs w:val="24"/>
          <w:highlight w:val="none"/>
        </w:rPr>
        <w:t>对采购人不定期维护要求的响应措施</w:t>
      </w:r>
    </w:p>
    <w:p w14:paraId="20CD4D3E">
      <w:pPr>
        <w:spacing w:line="360" w:lineRule="auto"/>
        <w:ind w:firstLine="480" w:firstLineChars="200"/>
        <w:rPr>
          <w:rFonts w:hint="eastAsia"/>
          <w:sz w:val="24"/>
          <w:szCs w:val="24"/>
          <w:highlight w:val="none"/>
        </w:rPr>
      </w:pPr>
      <w:r>
        <w:rPr>
          <w:rFonts w:hint="eastAsia"/>
          <w:sz w:val="24"/>
          <w:szCs w:val="24"/>
          <w:highlight w:val="none"/>
        </w:rPr>
        <w:t>2.3</w:t>
      </w:r>
      <w:r>
        <w:rPr>
          <w:rFonts w:hint="eastAsia" w:eastAsia="宋体"/>
          <w:sz w:val="24"/>
          <w:szCs w:val="24"/>
          <w:highlight w:val="none"/>
          <w:lang w:eastAsia="zh-CN"/>
        </w:rPr>
        <w:t>、</w:t>
      </w:r>
      <w:r>
        <w:rPr>
          <w:rFonts w:hint="eastAsia"/>
          <w:sz w:val="24"/>
          <w:szCs w:val="24"/>
          <w:highlight w:val="none"/>
        </w:rPr>
        <w:t>故障响应时间</w:t>
      </w:r>
    </w:p>
    <w:p w14:paraId="43D12B25">
      <w:pPr>
        <w:spacing w:line="360" w:lineRule="auto"/>
        <w:ind w:firstLine="480" w:firstLineChars="200"/>
        <w:rPr>
          <w:rFonts w:hint="eastAsia"/>
          <w:sz w:val="24"/>
          <w:szCs w:val="24"/>
          <w:highlight w:val="none"/>
        </w:rPr>
      </w:pPr>
      <w:r>
        <w:rPr>
          <w:rFonts w:hint="eastAsia"/>
          <w:sz w:val="24"/>
          <w:szCs w:val="24"/>
          <w:highlight w:val="none"/>
        </w:rPr>
        <w:t>在接到用户报修通知后电话不能解决的，按合同要求时间到达用户现场进行维修，并应在收到用户信息后8小时内排除之并交付使用。若8小时不能排除故障，货物的质保期自然顺延。</w:t>
      </w:r>
    </w:p>
    <w:p w14:paraId="4550C08F">
      <w:pPr>
        <w:spacing w:line="360" w:lineRule="auto"/>
        <w:ind w:firstLine="482" w:firstLineChars="200"/>
        <w:rPr>
          <w:rFonts w:hint="eastAsia"/>
          <w:sz w:val="24"/>
          <w:szCs w:val="24"/>
          <w:highlight w:val="none"/>
        </w:rPr>
      </w:pPr>
      <w:r>
        <w:rPr>
          <w:rFonts w:hint="eastAsia"/>
          <w:b/>
          <w:bCs/>
          <w:sz w:val="24"/>
          <w:szCs w:val="24"/>
          <w:highlight w:val="none"/>
        </w:rPr>
        <w:t>七、其它需要说明的事项</w:t>
      </w:r>
    </w:p>
    <w:p w14:paraId="482404F7">
      <w:pPr>
        <w:spacing w:line="360" w:lineRule="auto"/>
        <w:ind w:firstLine="480" w:firstLineChars="200"/>
        <w:rPr>
          <w:rFonts w:hint="eastAsia"/>
          <w:sz w:val="24"/>
          <w:szCs w:val="24"/>
          <w:highlight w:val="none"/>
        </w:rPr>
      </w:pPr>
      <w:r>
        <w:rPr>
          <w:rFonts w:hint="eastAsia"/>
          <w:sz w:val="24"/>
          <w:szCs w:val="24"/>
          <w:highlight w:val="none"/>
        </w:rPr>
        <w:t>1、本项目为“交钥匙工程”，供应商应根据项目要求和现场情况，详细列</w:t>
      </w:r>
    </w:p>
    <w:p w14:paraId="194BD099">
      <w:pPr>
        <w:spacing w:line="360" w:lineRule="auto"/>
        <w:rPr>
          <w:rFonts w:hint="eastAsia"/>
          <w:sz w:val="24"/>
          <w:szCs w:val="24"/>
          <w:highlight w:val="none"/>
        </w:rPr>
      </w:pPr>
      <w:r>
        <w:rPr>
          <w:rFonts w:hint="eastAsia"/>
          <w:sz w:val="24"/>
          <w:szCs w:val="24"/>
          <w:highlight w:val="none"/>
        </w:rPr>
        <w:t>明项目产品运输保险保管、项目安装调试、试运行测试通过验收、培训、质保期</w:t>
      </w:r>
    </w:p>
    <w:p w14:paraId="7C94821D">
      <w:pPr>
        <w:spacing w:line="360" w:lineRule="auto"/>
        <w:rPr>
          <w:rFonts w:hint="eastAsia"/>
          <w:sz w:val="24"/>
          <w:szCs w:val="24"/>
          <w:highlight w:val="none"/>
        </w:rPr>
      </w:pPr>
      <w:r>
        <w:rPr>
          <w:rFonts w:hint="eastAsia"/>
          <w:sz w:val="24"/>
          <w:szCs w:val="24"/>
          <w:highlight w:val="none"/>
        </w:rPr>
        <w:t>免费保修维护等所有人工、管理、财务等所有费用，如一旦中标，在项目实施中</w:t>
      </w:r>
      <w:r>
        <w:rPr>
          <w:rFonts w:hint="eastAsia" w:ascii="Arial" w:eastAsia="宋体"/>
          <w:sz w:val="24"/>
          <w:szCs w:val="24"/>
          <w:highlight w:val="none"/>
          <w:lang w:val="en-US" w:eastAsia="zh-CN"/>
        </w:rPr>
        <w:t>因</w:t>
      </w:r>
      <w:r>
        <w:rPr>
          <w:rFonts w:hint="eastAsia"/>
          <w:sz w:val="24"/>
          <w:szCs w:val="24"/>
          <w:highlight w:val="none"/>
        </w:rPr>
        <w:t>供应商自身报价疏忽产生的漏项，均由供应商免费提供，采购不再支</w:t>
      </w:r>
      <w:r>
        <w:rPr>
          <w:rFonts w:hint="eastAsia" w:ascii="Arial" w:eastAsia="宋体"/>
          <w:sz w:val="24"/>
          <w:szCs w:val="24"/>
          <w:highlight w:val="none"/>
          <w:lang w:val="en-US" w:eastAsia="zh-CN"/>
        </w:rPr>
        <w:t>该项</w:t>
      </w:r>
      <w:r>
        <w:rPr>
          <w:rFonts w:hint="eastAsia"/>
          <w:sz w:val="24"/>
          <w:szCs w:val="24"/>
          <w:highlight w:val="none"/>
        </w:rPr>
        <w:t>何费用</w:t>
      </w:r>
      <w:r>
        <w:rPr>
          <w:rFonts w:hint="eastAsia" w:eastAsia="宋体"/>
          <w:sz w:val="24"/>
          <w:szCs w:val="24"/>
          <w:highlight w:val="none"/>
          <w:lang w:eastAsia="zh-CN"/>
        </w:rPr>
        <w:t>（采购人需求缺失、描述不清产生的新增工作另行计价）</w:t>
      </w:r>
      <w:r>
        <w:rPr>
          <w:rFonts w:hint="eastAsia"/>
          <w:sz w:val="24"/>
          <w:szCs w:val="24"/>
          <w:highlight w:val="none"/>
        </w:rPr>
        <w:t>。项目验收不合格，由成交供应商返工直至合格，有关返工、再行验收，以及给采购人造成的</w:t>
      </w:r>
      <w:r>
        <w:rPr>
          <w:rFonts w:hint="eastAsia" w:ascii="Arial" w:eastAsia="宋体"/>
          <w:sz w:val="24"/>
          <w:szCs w:val="24"/>
          <w:highlight w:val="none"/>
          <w:lang w:val="en-US" w:eastAsia="zh-CN"/>
        </w:rPr>
        <w:t>直接经济</w:t>
      </w:r>
      <w:r>
        <w:rPr>
          <w:rFonts w:hint="eastAsia"/>
          <w:sz w:val="24"/>
          <w:szCs w:val="24"/>
          <w:highlight w:val="none"/>
        </w:rPr>
        <w:t>损失等费用由成交供应商承担。</w:t>
      </w:r>
    </w:p>
    <w:p w14:paraId="05B80968">
      <w:pPr>
        <w:spacing w:line="360" w:lineRule="auto"/>
        <w:ind w:firstLine="480" w:firstLineChars="200"/>
        <w:rPr>
          <w:rFonts w:hint="eastAsia"/>
          <w:sz w:val="24"/>
          <w:szCs w:val="24"/>
          <w:highlight w:val="none"/>
        </w:rPr>
      </w:pPr>
      <w:r>
        <w:rPr>
          <w:rFonts w:hint="eastAsia"/>
          <w:sz w:val="24"/>
          <w:szCs w:val="24"/>
          <w:highlight w:val="none"/>
        </w:rPr>
        <w:t>2</w:t>
      </w:r>
      <w:r>
        <w:rPr>
          <w:rFonts w:hint="eastAsia" w:eastAsia="宋体"/>
          <w:sz w:val="24"/>
          <w:szCs w:val="24"/>
          <w:highlight w:val="none"/>
          <w:lang w:eastAsia="zh-CN"/>
        </w:rPr>
        <w:t>、</w:t>
      </w:r>
      <w:r>
        <w:rPr>
          <w:rFonts w:hint="eastAsia"/>
          <w:sz w:val="24"/>
          <w:szCs w:val="24"/>
          <w:highlight w:val="none"/>
        </w:rPr>
        <w:t>质保期内出现任何问题（人为破坏或自然灾害等不可抗力除外），由成交供应商负责免费更换或维修。质保期满后，无论采购人是否另行选择维保供应商，成交供应商应及时优惠提供所需的备品备件。</w:t>
      </w:r>
    </w:p>
    <w:p w14:paraId="400987BB">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3、</w:t>
      </w:r>
      <w:r>
        <w:rPr>
          <w:rFonts w:hint="eastAsia"/>
          <w:sz w:val="24"/>
          <w:szCs w:val="24"/>
          <w:highlight w:val="none"/>
        </w:rPr>
        <w:t>付款方式</w:t>
      </w:r>
    </w:p>
    <w:p w14:paraId="4CAC5AB3">
      <w:pPr>
        <w:spacing w:line="360" w:lineRule="auto"/>
        <w:rPr>
          <w:rFonts w:hint="eastAsia"/>
          <w:sz w:val="24"/>
          <w:szCs w:val="24"/>
          <w:highlight w:val="none"/>
        </w:rPr>
      </w:pPr>
      <w:r>
        <w:rPr>
          <w:rFonts w:hint="eastAsia"/>
          <w:sz w:val="24"/>
          <w:szCs w:val="24"/>
          <w:highlight w:val="none"/>
        </w:rPr>
        <w:t>1.1付款方式：</w:t>
      </w:r>
      <w:r>
        <w:rPr>
          <w:rFonts w:hint="eastAsia"/>
          <w:sz w:val="24"/>
          <w:szCs w:val="24"/>
          <w:highlight w:val="none"/>
        </w:rPr>
        <w:t>全部货物到达指定地点并安装完成且经采购人验收合格后，供应商提供全额正规增值税发票后</w:t>
      </w:r>
      <w:r>
        <w:rPr>
          <w:rFonts w:hint="eastAsia" w:ascii="Arial" w:eastAsia="宋体"/>
          <w:sz w:val="24"/>
          <w:szCs w:val="24"/>
          <w:highlight w:val="none"/>
          <w:lang w:val="en-US" w:eastAsia="zh-CN"/>
        </w:rPr>
        <w:t>7</w:t>
      </w:r>
      <w:r>
        <w:rPr>
          <w:rFonts w:hint="eastAsia"/>
          <w:sz w:val="24"/>
          <w:szCs w:val="24"/>
          <w:highlight w:val="none"/>
        </w:rPr>
        <w:t>个工作日内一次性支付100%合同货款。</w:t>
      </w:r>
    </w:p>
    <w:p w14:paraId="278FAF9E">
      <w:pPr>
        <w:spacing w:line="360" w:lineRule="auto"/>
        <w:ind w:firstLine="480" w:firstLineChars="200"/>
        <w:rPr>
          <w:rFonts w:hint="eastAsia"/>
          <w:sz w:val="24"/>
          <w:szCs w:val="24"/>
          <w:highlight w:val="none"/>
        </w:rPr>
      </w:pPr>
      <w:r>
        <w:rPr>
          <w:rFonts w:hint="eastAsia"/>
          <w:sz w:val="24"/>
          <w:szCs w:val="24"/>
          <w:highlight w:val="none"/>
        </w:rPr>
        <w:t>1.2</w:t>
      </w:r>
      <w:r>
        <w:rPr>
          <w:rFonts w:hint="eastAsia" w:eastAsia="宋体"/>
          <w:sz w:val="24"/>
          <w:szCs w:val="24"/>
          <w:highlight w:val="none"/>
          <w:lang w:eastAsia="zh-CN"/>
        </w:rPr>
        <w:t>、</w:t>
      </w:r>
      <w:r>
        <w:rPr>
          <w:rFonts w:hint="eastAsia"/>
          <w:sz w:val="24"/>
          <w:szCs w:val="24"/>
          <w:highlight w:val="none"/>
        </w:rPr>
        <w:t>付款</w:t>
      </w:r>
      <w:r>
        <w:rPr>
          <w:rFonts w:hint="eastAsia" w:ascii="Arial" w:eastAsia="宋体"/>
          <w:sz w:val="24"/>
          <w:szCs w:val="24"/>
          <w:highlight w:val="none"/>
          <w:lang w:val="en-US" w:eastAsia="zh-CN"/>
        </w:rPr>
        <w:t>需</w:t>
      </w:r>
      <w:r>
        <w:rPr>
          <w:rFonts w:hint="eastAsia"/>
          <w:sz w:val="24"/>
          <w:szCs w:val="24"/>
          <w:highlight w:val="none"/>
        </w:rPr>
        <w:t>凭正式税务发票，发票须由成交供应商开具</w:t>
      </w:r>
      <w:r>
        <w:rPr>
          <w:rFonts w:hint="eastAsia" w:eastAsia="宋体"/>
          <w:sz w:val="24"/>
          <w:szCs w:val="24"/>
          <w:highlight w:val="none"/>
          <w:lang w:eastAsia="zh-CN"/>
        </w:rPr>
        <w:t>；</w:t>
      </w:r>
      <w:r>
        <w:rPr>
          <w:rFonts w:hint="eastAsia"/>
          <w:sz w:val="24"/>
          <w:szCs w:val="24"/>
          <w:highlight w:val="none"/>
        </w:rPr>
        <w:t>采用银行转账方式</w:t>
      </w:r>
      <w:r>
        <w:rPr>
          <w:rFonts w:hint="eastAsia" w:ascii="Arial" w:eastAsia="宋体"/>
          <w:sz w:val="24"/>
          <w:szCs w:val="24"/>
          <w:highlight w:val="none"/>
          <w:lang w:val="en-US" w:eastAsia="zh-CN"/>
        </w:rPr>
        <w:t>支付</w:t>
      </w:r>
      <w:r>
        <w:rPr>
          <w:rFonts w:hint="eastAsia"/>
          <w:sz w:val="24"/>
          <w:szCs w:val="24"/>
          <w:highlight w:val="none"/>
        </w:rPr>
        <w:t>。</w:t>
      </w:r>
    </w:p>
    <w:p w14:paraId="59068A81">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4</w:t>
      </w:r>
      <w:r>
        <w:rPr>
          <w:rFonts w:hint="eastAsia"/>
          <w:sz w:val="24"/>
          <w:szCs w:val="24"/>
          <w:highlight w:val="none"/>
        </w:rPr>
        <w:t>、履行合同的时间、地点及方式</w:t>
      </w:r>
    </w:p>
    <w:p w14:paraId="1380C389">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4</w:t>
      </w:r>
      <w:r>
        <w:rPr>
          <w:rFonts w:hint="eastAsia"/>
          <w:sz w:val="24"/>
          <w:szCs w:val="24"/>
          <w:highlight w:val="none"/>
        </w:rPr>
        <w:t>.1</w:t>
      </w:r>
      <w:r>
        <w:rPr>
          <w:rFonts w:hint="eastAsia" w:eastAsia="宋体"/>
          <w:sz w:val="24"/>
          <w:szCs w:val="24"/>
          <w:highlight w:val="none"/>
          <w:lang w:eastAsia="zh-CN"/>
        </w:rPr>
        <w:t>、</w:t>
      </w:r>
      <w:r>
        <w:rPr>
          <w:rFonts w:hint="eastAsia"/>
          <w:sz w:val="24"/>
          <w:szCs w:val="24"/>
          <w:highlight w:val="none"/>
        </w:rPr>
        <w:t>项目完成时间：</w:t>
      </w:r>
      <w:r>
        <w:rPr>
          <w:rFonts w:hint="eastAsia"/>
          <w:sz w:val="24"/>
          <w:szCs w:val="24"/>
          <w:highlight w:val="none"/>
        </w:rPr>
        <w:t>签订合同之日起</w:t>
      </w:r>
      <w:r>
        <w:rPr>
          <w:rFonts w:hint="eastAsia" w:ascii="Arial" w:eastAsia="宋体"/>
          <w:sz w:val="24"/>
          <w:szCs w:val="24"/>
          <w:highlight w:val="none"/>
          <w:lang w:val="en-US" w:eastAsia="zh-CN"/>
        </w:rPr>
        <w:t>20</w:t>
      </w:r>
      <w:r>
        <w:rPr>
          <w:rFonts w:hint="eastAsia"/>
          <w:sz w:val="24"/>
          <w:szCs w:val="24"/>
          <w:highlight w:val="none"/>
        </w:rPr>
        <w:t>天内完成全部供货</w:t>
      </w:r>
      <w:r>
        <w:rPr>
          <w:rFonts w:hint="eastAsia"/>
          <w:sz w:val="24"/>
          <w:szCs w:val="24"/>
          <w:highlight w:val="none"/>
        </w:rPr>
        <w:t>，安装完成并经验收合格。</w:t>
      </w:r>
    </w:p>
    <w:p w14:paraId="6A7732D5">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4</w:t>
      </w:r>
      <w:r>
        <w:rPr>
          <w:rFonts w:hint="eastAsia"/>
          <w:sz w:val="24"/>
          <w:szCs w:val="24"/>
          <w:highlight w:val="none"/>
        </w:rPr>
        <w:t>.2</w:t>
      </w:r>
      <w:r>
        <w:rPr>
          <w:rFonts w:hint="eastAsia" w:eastAsia="宋体"/>
          <w:sz w:val="24"/>
          <w:szCs w:val="24"/>
          <w:highlight w:val="none"/>
          <w:lang w:eastAsia="zh-CN"/>
        </w:rPr>
        <w:t>、</w:t>
      </w:r>
      <w:r>
        <w:rPr>
          <w:rFonts w:hint="eastAsia"/>
          <w:sz w:val="24"/>
          <w:szCs w:val="24"/>
          <w:highlight w:val="none"/>
        </w:rPr>
        <w:t>履行合同及交货地点：货到采购人指定安装位置。</w:t>
      </w:r>
    </w:p>
    <w:p w14:paraId="337DF265">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4</w:t>
      </w:r>
      <w:r>
        <w:rPr>
          <w:rFonts w:hint="eastAsia"/>
          <w:sz w:val="24"/>
          <w:szCs w:val="24"/>
          <w:highlight w:val="none"/>
        </w:rPr>
        <w:t>.3</w:t>
      </w:r>
      <w:r>
        <w:rPr>
          <w:rFonts w:hint="eastAsia" w:eastAsia="宋体"/>
          <w:sz w:val="24"/>
          <w:szCs w:val="24"/>
          <w:highlight w:val="none"/>
          <w:lang w:eastAsia="zh-CN"/>
        </w:rPr>
        <w:t>、</w:t>
      </w:r>
      <w:r>
        <w:rPr>
          <w:rFonts w:hint="eastAsia"/>
          <w:sz w:val="24"/>
          <w:szCs w:val="24"/>
          <w:highlight w:val="none"/>
        </w:rPr>
        <w:t>履行合同方式：货到采购人指定安装位置，并负责货物安装、调试、验收完毕。</w:t>
      </w:r>
    </w:p>
    <w:p w14:paraId="39BDC3D1">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5</w:t>
      </w:r>
      <w:r>
        <w:rPr>
          <w:rFonts w:hint="eastAsia"/>
          <w:sz w:val="24"/>
          <w:szCs w:val="24"/>
          <w:highlight w:val="none"/>
        </w:rPr>
        <w:t>、成交供应商负责采购人原有班班通（一体机，讲台，黑板）</w:t>
      </w:r>
      <w:r>
        <w:rPr>
          <w:rFonts w:hint="eastAsia" w:eastAsia="宋体"/>
          <w:sz w:val="24"/>
          <w:szCs w:val="24"/>
          <w:highlight w:val="none"/>
          <w:lang w:eastAsia="zh-CN"/>
        </w:rPr>
        <w:t>、</w:t>
      </w:r>
      <w:r>
        <w:rPr>
          <w:rFonts w:hint="eastAsia"/>
          <w:sz w:val="24"/>
          <w:szCs w:val="24"/>
          <w:highlight w:val="none"/>
        </w:rPr>
        <w:t>旧床</w:t>
      </w:r>
      <w:r>
        <w:rPr>
          <w:rFonts w:hint="eastAsia" w:eastAsia="宋体"/>
          <w:sz w:val="24"/>
          <w:szCs w:val="24"/>
          <w:highlight w:val="none"/>
          <w:lang w:eastAsia="zh-CN"/>
        </w:rPr>
        <w:t>、课桌椅等设备</w:t>
      </w:r>
      <w:r>
        <w:rPr>
          <w:rFonts w:hint="eastAsia"/>
          <w:sz w:val="24"/>
          <w:szCs w:val="24"/>
          <w:highlight w:val="none"/>
        </w:rPr>
        <w:t>拆除工作，并</w:t>
      </w:r>
      <w:r>
        <w:rPr>
          <w:rFonts w:hint="eastAsia" w:ascii="Arial" w:eastAsia="宋体"/>
          <w:sz w:val="24"/>
          <w:szCs w:val="24"/>
          <w:highlight w:val="none"/>
          <w:lang w:val="en-US" w:eastAsia="zh-CN"/>
        </w:rPr>
        <w:t>搬运</w:t>
      </w:r>
      <w:r>
        <w:rPr>
          <w:rFonts w:hint="eastAsia"/>
          <w:sz w:val="24"/>
          <w:szCs w:val="24"/>
          <w:highlight w:val="none"/>
        </w:rPr>
        <w:t>至校内指定地点，采购人不另外支付费用。</w:t>
      </w:r>
    </w:p>
    <w:p w14:paraId="024AEEC7">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6</w:t>
      </w:r>
      <w:r>
        <w:rPr>
          <w:rFonts w:hint="eastAsia"/>
          <w:sz w:val="24"/>
          <w:szCs w:val="24"/>
          <w:highlight w:val="none"/>
        </w:rPr>
        <w:t>、项目完成后，成交供应商应将项目有关的全部资料，包括产品资料、图</w:t>
      </w:r>
    </w:p>
    <w:p w14:paraId="74282DD9">
      <w:pPr>
        <w:spacing w:line="360" w:lineRule="auto"/>
        <w:rPr>
          <w:rFonts w:hint="eastAsia"/>
          <w:sz w:val="24"/>
          <w:szCs w:val="24"/>
          <w:highlight w:val="none"/>
        </w:rPr>
      </w:pPr>
      <w:r>
        <w:rPr>
          <w:rFonts w:hint="eastAsia"/>
          <w:sz w:val="24"/>
          <w:szCs w:val="24"/>
          <w:highlight w:val="none"/>
        </w:rPr>
        <w:t>纸、使用说明书等，移交采购人。</w:t>
      </w:r>
    </w:p>
    <w:p w14:paraId="4C517E00">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7</w:t>
      </w:r>
      <w:r>
        <w:rPr>
          <w:rFonts w:hint="eastAsia"/>
          <w:sz w:val="24"/>
          <w:szCs w:val="24"/>
          <w:highlight w:val="none"/>
        </w:rPr>
        <w:t>、供应商在谈判前应充分了解施工现场，施工过程中材料安排、施工安排、施工给周边带来的影响及沟通与协调等事项全部由施工单位自行负责解决，并不得影响施工质量及进度。</w:t>
      </w:r>
    </w:p>
    <w:p w14:paraId="0BC21C93">
      <w:pPr>
        <w:spacing w:line="360" w:lineRule="auto"/>
        <w:ind w:firstLine="480" w:firstLineChars="200"/>
        <w:rPr>
          <w:rFonts w:hint="eastAsia"/>
          <w:sz w:val="24"/>
          <w:szCs w:val="24"/>
          <w:highlight w:val="none"/>
        </w:rPr>
      </w:pPr>
      <w:r>
        <w:rPr>
          <w:rFonts w:hint="eastAsia"/>
          <w:sz w:val="24"/>
          <w:szCs w:val="24"/>
          <w:highlight w:val="none"/>
        </w:rPr>
        <w:t>8、成交供应商在成交公示后3个工作日内，采购方要求中标人提交所投标货物的检测报告、资质证明文件原件，以便采购人验收查验。投标人所投产品技术参数须符合采购需求技术要求中相应国家标准，如有不符合采购需求或不能完全响应技术参数（采购需求）的情况，导致后续不能诚信履约的，视为虚假应标</w:t>
      </w:r>
    </w:p>
    <w:p w14:paraId="2A14B7DE">
      <w:pPr>
        <w:spacing w:line="360" w:lineRule="auto"/>
        <w:rPr>
          <w:rFonts w:hint="eastAsia" w:eastAsia="宋体"/>
          <w:sz w:val="24"/>
          <w:szCs w:val="24"/>
          <w:highlight w:val="none"/>
          <w:lang w:eastAsia="zh-CN"/>
        </w:rPr>
      </w:pPr>
      <w:r>
        <w:rPr>
          <w:rFonts w:hint="eastAsia"/>
          <w:sz w:val="24"/>
          <w:szCs w:val="24"/>
          <w:highlight w:val="none"/>
        </w:rPr>
        <w:t>，采购人将依法汇报本级政府采购监督部门（须提供承诺书，承诺书格式自拟）</w:t>
      </w:r>
      <w:r>
        <w:rPr>
          <w:rFonts w:hint="eastAsia" w:eastAsia="宋体"/>
          <w:sz w:val="24"/>
          <w:szCs w:val="24"/>
          <w:highlight w:val="none"/>
          <w:lang w:eastAsia="zh-CN"/>
        </w:rPr>
        <w:t>。</w:t>
      </w:r>
    </w:p>
    <w:p w14:paraId="7600FAD1">
      <w:pPr>
        <w:spacing w:line="360" w:lineRule="auto"/>
        <w:ind w:firstLine="480" w:firstLineChars="200"/>
        <w:rPr>
          <w:rFonts w:hint="default"/>
          <w:sz w:val="24"/>
          <w:szCs w:val="24"/>
          <w:highlight w:val="none"/>
          <w:lang w:val="en-US" w:eastAsia="zh-CN"/>
        </w:rPr>
      </w:pPr>
      <w:r>
        <w:rPr>
          <w:rFonts w:hint="eastAsia" w:ascii="Arial" w:eastAsia="宋体"/>
          <w:sz w:val="24"/>
          <w:szCs w:val="24"/>
          <w:highlight w:val="none"/>
          <w:lang w:val="en-US" w:eastAsia="zh-CN"/>
        </w:rPr>
        <w:t>9、</w:t>
      </w:r>
      <w:r>
        <w:rPr>
          <w:rFonts w:hint="eastAsia"/>
          <w:sz w:val="24"/>
          <w:szCs w:val="24"/>
          <w:highlight w:val="none"/>
        </w:rPr>
        <w:t>成交供应商在</w:t>
      </w:r>
      <w:r>
        <w:rPr>
          <w:rFonts w:hint="eastAsia" w:ascii="Arial" w:eastAsia="宋体"/>
          <w:sz w:val="24"/>
          <w:szCs w:val="24"/>
          <w:highlight w:val="none"/>
          <w:lang w:val="en-US" w:eastAsia="zh-CN"/>
        </w:rPr>
        <w:t>采购合同签订前需提供符合</w:t>
      </w:r>
      <w:r>
        <w:rPr>
          <w:rFonts w:hint="eastAsia"/>
          <w:sz w:val="24"/>
          <w:szCs w:val="24"/>
          <w:highlight w:val="none"/>
        </w:rPr>
        <w:t>技术参数（采购需求）</w:t>
      </w:r>
      <w:r>
        <w:rPr>
          <w:rFonts w:hint="eastAsia" w:ascii="Arial" w:eastAsia="宋体"/>
          <w:sz w:val="24"/>
          <w:szCs w:val="24"/>
          <w:highlight w:val="none"/>
          <w:lang w:val="en-US" w:eastAsia="zh-CN"/>
        </w:rPr>
        <w:t>要求的交互智能平板，视频展台，推拉绿板，讲台等物品，经安装调试后，采购人组织相应单位人员，依据技术参数，相应检测报告进行核准，所供货物与招投标文件确认无误后签署合同，否则采购人有权取消其中标资格并</w:t>
      </w:r>
      <w:r>
        <w:rPr>
          <w:rFonts w:hint="eastAsia"/>
          <w:sz w:val="24"/>
          <w:szCs w:val="24"/>
          <w:highlight w:val="none"/>
        </w:rPr>
        <w:t>依法</w:t>
      </w:r>
      <w:r>
        <w:rPr>
          <w:rFonts w:hint="eastAsia" w:ascii="Arial" w:eastAsia="宋体"/>
          <w:sz w:val="24"/>
          <w:szCs w:val="24"/>
          <w:highlight w:val="none"/>
          <w:lang w:val="en-US" w:eastAsia="zh-CN"/>
        </w:rPr>
        <w:t>上</w:t>
      </w:r>
      <w:r>
        <w:rPr>
          <w:rFonts w:hint="eastAsia"/>
          <w:sz w:val="24"/>
          <w:szCs w:val="24"/>
          <w:highlight w:val="none"/>
        </w:rPr>
        <w:t>报本级政府采购监督部门（须提供承诺书，承诺书格式自拟）</w:t>
      </w:r>
      <w:r>
        <w:rPr>
          <w:rFonts w:hint="eastAsia" w:ascii="Arial" w:eastAsia="宋体"/>
          <w:sz w:val="24"/>
          <w:szCs w:val="24"/>
          <w:highlight w:val="none"/>
          <w:lang w:val="en-US" w:eastAsia="zh-CN"/>
        </w:rPr>
        <w:t>。</w:t>
      </w:r>
    </w:p>
    <w:p w14:paraId="44C8A789">
      <w:pPr>
        <w:spacing w:line="360" w:lineRule="auto"/>
        <w:ind w:firstLine="480" w:firstLineChars="200"/>
        <w:rPr>
          <w:rFonts w:hint="eastAsia"/>
          <w:sz w:val="24"/>
          <w:szCs w:val="24"/>
          <w:highlight w:val="none"/>
          <w:lang w:eastAsia="zh-CN"/>
        </w:rPr>
      </w:pPr>
      <w:r>
        <w:rPr>
          <w:rFonts w:hint="eastAsia" w:ascii="Arial" w:eastAsia="宋体"/>
          <w:sz w:val="24"/>
          <w:szCs w:val="24"/>
          <w:highlight w:val="none"/>
          <w:lang w:val="en-US" w:eastAsia="zh-CN"/>
        </w:rPr>
        <w:t>10、</w:t>
      </w:r>
      <w:r>
        <w:rPr>
          <w:rFonts w:hint="eastAsia"/>
          <w:sz w:val="24"/>
          <w:szCs w:val="24"/>
          <w:highlight w:val="none"/>
        </w:rPr>
        <w:t>本采购需求中未尽事宜，在签订合同时供需双方直接协商确定，并必须满足需方提出的技术要求</w:t>
      </w:r>
      <w:r>
        <w:rPr>
          <w:rFonts w:hint="eastAsia" w:eastAsia="宋体"/>
          <w:sz w:val="24"/>
          <w:szCs w:val="24"/>
          <w:highlight w:val="none"/>
          <w:lang w:eastAsia="zh-CN"/>
        </w:rPr>
        <w:t>。</w:t>
      </w:r>
    </w:p>
    <w:p w14:paraId="5860D941">
      <w:pPr>
        <w:spacing w:line="360" w:lineRule="auto"/>
        <w:ind w:firstLine="480" w:firstLineChars="200"/>
        <w:rPr>
          <w:rFonts w:hint="eastAsia"/>
          <w:sz w:val="24"/>
          <w:szCs w:val="24"/>
          <w:highlight w:val="none"/>
        </w:rPr>
      </w:pPr>
      <w:r>
        <w:rPr>
          <w:rFonts w:hint="eastAsia" w:ascii="Arial" w:eastAsia="宋体"/>
          <w:sz w:val="24"/>
          <w:szCs w:val="24"/>
          <w:highlight w:val="none"/>
          <w:lang w:val="en-US" w:eastAsia="zh-CN"/>
        </w:rPr>
        <w:t>11、</w:t>
      </w:r>
      <w:r>
        <w:rPr>
          <w:rFonts w:hint="eastAsia"/>
          <w:sz w:val="24"/>
          <w:szCs w:val="24"/>
          <w:highlight w:val="none"/>
        </w:rPr>
        <w:t>本章所有要求</w:t>
      </w:r>
      <w:r>
        <w:rPr>
          <w:rFonts w:hint="eastAsia" w:ascii="Arial" w:eastAsia="宋体"/>
          <w:sz w:val="24"/>
          <w:szCs w:val="24"/>
          <w:highlight w:val="none"/>
          <w:lang w:val="en-US" w:eastAsia="zh-CN"/>
        </w:rPr>
        <w:t>均为实质性要求不允许偏离</w:t>
      </w:r>
      <w:r>
        <w:rPr>
          <w:rFonts w:hint="eastAsia"/>
          <w:sz w:val="24"/>
          <w:szCs w:val="24"/>
          <w:highlight w:val="none"/>
        </w:rPr>
        <w:t>，供应商应在响应文件中进行回应，作出承诺及说明，如有负偏离的，其响应文件按无效处理。</w:t>
      </w:r>
    </w:p>
    <w:p w14:paraId="01E06CCF">
      <w:pPr>
        <w:spacing w:line="360" w:lineRule="auto"/>
        <w:ind w:firstLine="482" w:firstLineChars="200"/>
        <w:rPr>
          <w:rFonts w:hint="eastAsia"/>
          <w:b/>
          <w:bCs/>
          <w:sz w:val="24"/>
          <w:szCs w:val="24"/>
          <w:highlight w:val="none"/>
        </w:rPr>
      </w:pPr>
      <w:r>
        <w:rPr>
          <w:rFonts w:hint="eastAsia"/>
          <w:b/>
          <w:bCs/>
          <w:sz w:val="24"/>
          <w:szCs w:val="24"/>
          <w:highlight w:val="none"/>
        </w:rPr>
        <w:t>注：在谈判过程中，谈判小组根据与供应商谈判情况可能实质性变动的内容（包括采购需求中的技术、服务要求以及合同条款）由谈判小组采用书面形</w:t>
      </w:r>
    </w:p>
    <w:p w14:paraId="03017394">
      <w:pPr>
        <w:spacing w:line="360" w:lineRule="auto"/>
        <w:rPr>
          <w:highlight w:val="none"/>
        </w:rPr>
      </w:pPr>
      <w:r>
        <w:rPr>
          <w:rFonts w:hint="eastAsia"/>
          <w:b/>
          <w:bCs/>
          <w:sz w:val="24"/>
          <w:szCs w:val="24"/>
          <w:highlight w:val="none"/>
        </w:rPr>
        <w:t>式，并由谈判小组全体成员签字确认，成为谈判文件的组成部分。</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40F09"/>
    <w:rsid w:val="1AE9320B"/>
    <w:rsid w:val="1CEB326A"/>
    <w:rsid w:val="1F971487"/>
    <w:rsid w:val="21E65A04"/>
    <w:rsid w:val="281B3AD2"/>
    <w:rsid w:val="2DEC6E42"/>
    <w:rsid w:val="3B0752BB"/>
    <w:rsid w:val="52854FEC"/>
    <w:rsid w:val="560C77D2"/>
    <w:rsid w:val="5886386C"/>
    <w:rsid w:val="729606F7"/>
    <w:rsid w:val="78B307E8"/>
    <w:rsid w:val="7F797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1"/>
      <w:szCs w:val="21"/>
      <w:lang w:val="en-US" w:eastAsia="en-US" w:bidi="ar-SA"/>
    </w:rPr>
  </w:style>
  <w:style w:type="paragraph" w:styleId="2">
    <w:name w:val="heading 2"/>
    <w:basedOn w:val="1"/>
    <w:next w:val="1"/>
    <w:semiHidden/>
    <w:unhideWhenUsed/>
    <w:qFormat/>
    <w:uiPriority w:val="0"/>
    <w:pPr>
      <w:keepNext/>
      <w:keepLines/>
      <w:ind w:firstLine="0" w:firstLineChars="0"/>
      <w:jc w:val="left"/>
      <w:outlineLvl w:val="1"/>
    </w:pPr>
    <w:rPr>
      <w:rFonts w:ascii="Times New Roman" w:hAnsi="Times New Roman" w:eastAsia="宋体" w:cs="Times New Roman"/>
      <w:b/>
      <w:bCs/>
      <w:sz w:val="32"/>
      <w:szCs w:val="32"/>
    </w:rPr>
  </w:style>
  <w:style w:type="paragraph" w:styleId="3">
    <w:name w:val="heading 4"/>
    <w:basedOn w:val="1"/>
    <w:next w:val="1"/>
    <w:semiHidden/>
    <w:unhideWhenUsed/>
    <w:qFormat/>
    <w:uiPriority w:val="0"/>
    <w:pPr>
      <w:keepNext/>
      <w:keepLines/>
      <w:spacing w:beforeLines="0" w:beforeAutospacing="0" w:afterLines="0" w:afterAutospacing="0" w:line="360" w:lineRule="auto"/>
      <w:ind w:firstLine="0" w:firstLineChars="0"/>
      <w:jc w:val="center"/>
      <w:outlineLvl w:val="3"/>
    </w:pPr>
    <w:rPr>
      <w:rFonts w:ascii="Arial" w:hAnsi="Arial" w:eastAsia="宋体" w:cs="Times New Roman"/>
      <w:b/>
      <w:sz w:val="28"/>
      <w:szCs w:val="2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Body Text"/>
    <w:qFormat/>
    <w:uiPriority w:val="1"/>
    <w:pPr>
      <w:kinsoku w:val="0"/>
      <w:autoSpaceDE w:val="0"/>
      <w:autoSpaceDN w:val="0"/>
      <w:adjustRightInd w:val="0"/>
      <w:snapToGrid w:val="0"/>
      <w:textAlignment w:val="baseline"/>
    </w:pPr>
    <w:rPr>
      <w:rFonts w:ascii="宋体" w:hAnsi="宋体" w:eastAsia="宋体" w:cs="宋体"/>
      <w:snapToGrid w:val="0"/>
      <w:color w:val="000000"/>
      <w:sz w:val="21"/>
      <w:szCs w:val="21"/>
      <w:lang w:val="en-US" w:eastAsia="en-US" w:bidi="ar-SA"/>
    </w:rPr>
  </w:style>
  <w:style w:type="paragraph" w:customStyle="1" w:styleId="7">
    <w:name w:val="Table Paragraph"/>
    <w:qFormat/>
    <w:uiPriority w:val="1"/>
    <w:pPr>
      <w:kinsoku w:val="0"/>
      <w:autoSpaceDE w:val="0"/>
      <w:autoSpaceDN w:val="0"/>
      <w:adjustRightInd w:val="0"/>
      <w:snapToGrid w:val="0"/>
      <w:textAlignment w:val="baseline"/>
    </w:pPr>
    <w:rPr>
      <w:rFonts w:ascii="宋体" w:hAnsi="宋体" w:eastAsia="宋体" w:cs="宋体"/>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2026-02-02T04:52:00Z</dcterms:created>
  <dc:creator>89795</dc:creator>
  <cp:lastModifiedBy>果子</cp:lastModifiedBy>
  <dcterms:modified xsi:type="dcterms:W3CDTF">2026-07-27T08:36:28Z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8641B2C83F004159B6725EA8D4431260_12</vt:lpwstr>
  </property>
  <property fmtid="{D5CDD505-2E9C-101B-9397-08002B2CF9AE}" pid="4" name="KSOTemplateDocerSaveRecord">
    <vt:lpwstr>eyJoZGlkIjoiNzIyNWZkNzJkMjljN2Y5NzVhZjk5MmIyMjFhNzMyNTMiLCJ1c2VySWQiOiI5ODk4Njk1NDcifQ==</vt:lpwstr>
  </property>
</Properties>
</file>