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0EAEB">
      <w:pPr>
        <w:shd w:val="clear" w:color="auto" w:fill="auto"/>
        <w:spacing w:before="120" w:beforeLines="50" w:after="240" w:afterLines="100" w:line="440" w:lineRule="atLeast"/>
        <w:jc w:val="center"/>
        <w:outlineLvl w:val="0"/>
        <w:rPr>
          <w:rFonts w:hint="eastAsia" w:ascii="黑体" w:hAnsi="黑体" w:eastAsia="黑体" w:cs="黑体"/>
          <w:b/>
          <w:color w:val="auto"/>
          <w:sz w:val="36"/>
          <w:szCs w:val="36"/>
          <w:highlight w:val="none"/>
        </w:rPr>
      </w:pPr>
      <w:bookmarkStart w:id="0" w:name="_Toc17997"/>
      <w:bookmarkStart w:id="1" w:name="_Toc472022200"/>
      <w:bookmarkStart w:id="2" w:name="_Toc423010625"/>
      <w:bookmarkStart w:id="16" w:name="_GoBack"/>
      <w:bookmarkEnd w:id="16"/>
      <w:r>
        <w:rPr>
          <w:rFonts w:hint="eastAsia" w:ascii="黑体" w:hAnsi="黑体" w:eastAsia="黑体" w:cs="黑体"/>
          <w:b/>
          <w:color w:val="auto"/>
          <w:sz w:val="36"/>
          <w:szCs w:val="36"/>
          <w:highlight w:val="none"/>
        </w:rPr>
        <w:t xml:space="preserve"> 采购需求</w:t>
      </w:r>
      <w:bookmarkEnd w:id="0"/>
      <w:bookmarkEnd w:id="1"/>
      <w:bookmarkEnd w:id="2"/>
    </w:p>
    <w:p w14:paraId="723BC5F6">
      <w:pPr>
        <w:shd w:val="clear" w:color="auto" w:fill="auto"/>
        <w:adjustRightInd w:val="0"/>
        <w:snapToGrid w:val="0"/>
        <w:spacing w:before="240" w:beforeLines="100" w:line="320" w:lineRule="exact"/>
        <w:ind w:right="63" w:rightChars="30"/>
        <w:rPr>
          <w:rFonts w:hint="eastAsia" w:ascii="黑体" w:hAnsi="黑体" w:eastAsia="黑体" w:cs="黑体"/>
          <w:color w:val="auto"/>
          <w:highlight w:val="none"/>
        </w:rPr>
      </w:pPr>
    </w:p>
    <w:p w14:paraId="0FA7A44A">
      <w:pPr>
        <w:shd w:val="clear" w:color="auto" w:fill="auto"/>
        <w:adjustRightInd w:val="0"/>
        <w:snapToGrid w:val="0"/>
        <w:spacing w:line="360" w:lineRule="auto"/>
        <w:outlineLvl w:val="1"/>
        <w:rPr>
          <w:rFonts w:hint="eastAsia" w:ascii="黑体" w:hAnsi="黑体" w:eastAsia="黑体" w:cs="黑体"/>
          <w:color w:val="auto"/>
          <w:highlight w:val="none"/>
          <w:lang w:eastAsia="zh-CN"/>
        </w:rPr>
      </w:pPr>
      <w:bookmarkStart w:id="3" w:name="_Toc17012"/>
      <w:bookmarkStart w:id="4" w:name="_Toc535275228"/>
      <w:bookmarkStart w:id="5" w:name="_Toc24271"/>
      <w:r>
        <w:rPr>
          <w:rFonts w:hint="eastAsia" w:ascii="黑体" w:hAnsi="黑体" w:eastAsia="黑体" w:cs="黑体"/>
          <w:b/>
          <w:bCs/>
          <w:color w:val="auto"/>
          <w:sz w:val="24"/>
          <w:highlight w:val="none"/>
        </w:rPr>
        <w:t>一、采购项目名称</w:t>
      </w:r>
      <w:bookmarkEnd w:id="3"/>
      <w:bookmarkEnd w:id="4"/>
      <w:bookmarkEnd w:id="5"/>
      <w:r>
        <w:rPr>
          <w:rFonts w:hint="eastAsia" w:ascii="黑体" w:hAnsi="黑体" w:eastAsia="黑体" w:cs="黑体"/>
          <w:b/>
          <w:bCs/>
          <w:color w:val="auto"/>
          <w:sz w:val="24"/>
          <w:highlight w:val="none"/>
          <w:lang w:eastAsia="zh-CN"/>
        </w:rPr>
        <w:t>：</w:t>
      </w:r>
      <w:r>
        <w:rPr>
          <w:rFonts w:hint="eastAsia" w:ascii="黑体" w:hAnsi="黑体" w:eastAsia="黑体" w:cs="黑体"/>
          <w:color w:val="auto"/>
          <w:highlight w:val="none"/>
          <w:lang w:eastAsia="zh-CN"/>
        </w:rPr>
        <w:t>古阳镇且茶村产业路建设项目</w:t>
      </w:r>
    </w:p>
    <w:p w14:paraId="0C40A096">
      <w:pPr>
        <w:shd w:val="clear" w:color="auto" w:fill="auto"/>
        <w:spacing w:line="360" w:lineRule="auto"/>
        <w:rPr>
          <w:rFonts w:hint="eastAsia" w:ascii="黑体" w:hAnsi="黑体" w:eastAsia="黑体" w:cs="黑体"/>
          <w:color w:val="auto"/>
          <w:highlight w:val="none"/>
          <w:lang w:val="en-US" w:eastAsia="zh-CN"/>
        </w:rPr>
      </w:pPr>
      <w:r>
        <w:rPr>
          <w:rFonts w:hint="eastAsia" w:ascii="黑体" w:hAnsi="黑体" w:eastAsia="黑体" w:cs="黑体"/>
          <w:b/>
          <w:bCs/>
          <w:color w:val="auto"/>
          <w:sz w:val="24"/>
          <w:highlight w:val="none"/>
        </w:rPr>
        <w:t>二、采购预算：</w:t>
      </w:r>
      <w:r>
        <w:rPr>
          <w:rFonts w:hint="eastAsia" w:ascii="黑体" w:hAnsi="黑体" w:eastAsia="黑体" w:cs="黑体"/>
          <w:color w:val="auto"/>
          <w:highlight w:val="none"/>
          <w:lang w:val="en-US" w:eastAsia="zh-CN"/>
        </w:rPr>
        <w:t>1046687.00元</w:t>
      </w:r>
    </w:p>
    <w:p w14:paraId="155FF345">
      <w:pPr>
        <w:shd w:val="clear" w:color="auto" w:fill="auto"/>
        <w:spacing w:line="360" w:lineRule="auto"/>
        <w:rPr>
          <w:rFonts w:hint="eastAsia" w:ascii="黑体" w:hAnsi="黑体" w:eastAsia="黑体" w:cs="黑体"/>
          <w:color w:val="auto"/>
          <w:highlight w:val="none"/>
          <w:lang w:eastAsia="zh-CN"/>
        </w:rPr>
      </w:pPr>
      <w:r>
        <w:rPr>
          <w:rFonts w:hint="eastAsia" w:ascii="黑体" w:hAnsi="黑体" w:eastAsia="黑体" w:cs="黑体"/>
          <w:b/>
          <w:bCs/>
          <w:color w:val="auto"/>
          <w:sz w:val="24"/>
          <w:highlight w:val="none"/>
        </w:rPr>
        <w:t>三、</w:t>
      </w:r>
      <w:r>
        <w:rPr>
          <w:rFonts w:hint="eastAsia" w:ascii="黑体" w:hAnsi="黑体" w:eastAsia="黑体" w:cs="黑体"/>
          <w:b/>
          <w:bCs/>
          <w:color w:val="auto"/>
          <w:sz w:val="24"/>
          <w:highlight w:val="none"/>
          <w:lang w:val="en-US" w:eastAsia="zh-CN"/>
        </w:rPr>
        <w:t>建设内容：</w:t>
      </w:r>
      <w:r>
        <w:rPr>
          <w:rFonts w:hint="eastAsia" w:ascii="黑体" w:hAnsi="黑体" w:eastAsia="黑体" w:cs="黑体"/>
          <w:color w:val="auto"/>
          <w:highlight w:val="none"/>
          <w:lang w:val="en-US" w:eastAsia="zh-CN"/>
        </w:rPr>
        <w:t>新建2.2km长机耕道，以及相关配套设施。</w:t>
      </w:r>
      <w:r>
        <w:rPr>
          <w:rFonts w:hint="eastAsia" w:ascii="黑体" w:hAnsi="黑体" w:eastAsia="黑体" w:cs="黑体"/>
          <w:color w:val="auto"/>
          <w:highlight w:val="none"/>
          <w:lang w:eastAsia="zh-CN"/>
        </w:rPr>
        <w:t>（具体内容以施工图纸及工程量清单为准）</w:t>
      </w:r>
      <w:r>
        <w:rPr>
          <w:rFonts w:hint="eastAsia" w:ascii="黑体" w:hAnsi="黑体" w:eastAsia="黑体" w:cs="黑体"/>
          <w:color w:val="auto"/>
          <w:highlight w:val="none"/>
          <w:lang w:val="en-US" w:eastAsia="zh-CN"/>
        </w:rPr>
        <w:t>。</w:t>
      </w:r>
    </w:p>
    <w:p w14:paraId="1549EDAA">
      <w:pPr>
        <w:shd w:val="clear" w:color="auto" w:fill="auto"/>
        <w:adjustRightInd w:val="0"/>
        <w:snapToGrid w:val="0"/>
        <w:spacing w:line="360" w:lineRule="auto"/>
        <w:rPr>
          <w:rFonts w:hint="eastAsia" w:ascii="黑体" w:hAnsi="黑体" w:eastAsia="黑体" w:cs="黑体"/>
          <w:color w:val="auto"/>
          <w:highlight w:val="none"/>
          <w:lang w:val="zh-CN"/>
        </w:rPr>
      </w:pPr>
      <w:r>
        <w:rPr>
          <w:rFonts w:hint="eastAsia" w:ascii="黑体" w:hAnsi="黑体" w:eastAsia="黑体" w:cs="黑体"/>
          <w:b/>
          <w:bCs/>
          <w:color w:val="auto"/>
          <w:sz w:val="24"/>
          <w:highlight w:val="none"/>
        </w:rPr>
        <w:t>四、工程量清单：</w:t>
      </w:r>
      <w:r>
        <w:rPr>
          <w:rFonts w:hint="eastAsia" w:ascii="黑体" w:hAnsi="黑体" w:eastAsia="黑体" w:cs="黑体"/>
          <w:color w:val="auto"/>
          <w:highlight w:val="none"/>
          <w:lang w:val="zh-CN"/>
        </w:rPr>
        <w:t>详见附件；</w:t>
      </w:r>
    </w:p>
    <w:p w14:paraId="2F061E1C">
      <w:pPr>
        <w:pStyle w:val="2"/>
        <w:spacing w:line="360" w:lineRule="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五、图纸：</w:t>
      </w:r>
      <w:r>
        <w:rPr>
          <w:rFonts w:hint="eastAsia" w:ascii="黑体" w:hAnsi="黑体" w:eastAsia="黑体" w:cs="黑体"/>
          <w:color w:val="auto"/>
          <w:kern w:val="2"/>
          <w:sz w:val="21"/>
          <w:szCs w:val="24"/>
          <w:highlight w:val="none"/>
          <w:lang w:val="en-US" w:eastAsia="zh-CN" w:bidi="ar-SA"/>
        </w:rPr>
        <w:t>另册。</w:t>
      </w:r>
    </w:p>
    <w:p w14:paraId="166030EA">
      <w:pPr>
        <w:shd w:val="clear" w:color="auto" w:fill="auto"/>
        <w:spacing w:line="360" w:lineRule="auto"/>
        <w:outlineLvl w:val="1"/>
        <w:rPr>
          <w:rFonts w:hint="eastAsia" w:ascii="黑体" w:hAnsi="黑体" w:eastAsia="黑体" w:cs="黑体"/>
          <w:b/>
          <w:color w:val="auto"/>
          <w:szCs w:val="21"/>
          <w:highlight w:val="none"/>
        </w:rPr>
      </w:pPr>
      <w:r>
        <w:rPr>
          <w:rFonts w:hint="eastAsia" w:ascii="黑体" w:hAnsi="黑体" w:eastAsia="黑体" w:cs="黑体"/>
          <w:b/>
          <w:bCs/>
          <w:color w:val="auto"/>
          <w:sz w:val="24"/>
          <w:highlight w:val="none"/>
          <w:lang w:val="en-US" w:eastAsia="zh-CN"/>
        </w:rPr>
        <w:t>六</w:t>
      </w:r>
      <w:r>
        <w:rPr>
          <w:rFonts w:hint="eastAsia" w:ascii="黑体" w:hAnsi="黑体" w:eastAsia="黑体" w:cs="黑体"/>
          <w:b/>
          <w:bCs/>
          <w:color w:val="auto"/>
          <w:sz w:val="24"/>
          <w:highlight w:val="none"/>
        </w:rPr>
        <w:t>、</w:t>
      </w:r>
      <w:r>
        <w:rPr>
          <w:rFonts w:hint="eastAsia" w:ascii="黑体" w:hAnsi="黑体" w:eastAsia="黑体" w:cs="黑体"/>
          <w:b/>
          <w:bCs/>
          <w:color w:val="auto"/>
          <w:sz w:val="24"/>
          <w:highlight w:val="none"/>
          <w:lang w:val="en-US" w:eastAsia="zh-CN"/>
        </w:rPr>
        <w:t>投标</w:t>
      </w:r>
      <w:r>
        <w:rPr>
          <w:rFonts w:hint="eastAsia" w:ascii="黑体" w:hAnsi="黑体" w:eastAsia="黑体" w:cs="黑体"/>
          <w:b/>
          <w:bCs/>
          <w:color w:val="auto"/>
          <w:sz w:val="24"/>
          <w:highlight w:val="none"/>
        </w:rPr>
        <w:t>报价：</w:t>
      </w:r>
    </w:p>
    <w:p w14:paraId="090565F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bookmarkStart w:id="6" w:name="_Toc11341"/>
      <w:bookmarkStart w:id="7" w:name="_Toc17485"/>
      <w:r>
        <w:rPr>
          <w:rFonts w:hint="eastAsia" w:ascii="黑体" w:hAnsi="黑体" w:eastAsia="黑体" w:cs="黑体"/>
          <w:color w:val="auto"/>
          <w:highlight w:val="none"/>
          <w:lang w:val="zh-CN"/>
        </w:rPr>
        <w:t>1、</w:t>
      </w:r>
      <w:r>
        <w:rPr>
          <w:rFonts w:hint="eastAsia" w:ascii="黑体" w:hAnsi="黑体" w:eastAsia="黑体" w:cs="黑体"/>
          <w:color w:val="auto"/>
          <w:highlight w:val="none"/>
          <w:lang w:val="en-US" w:eastAsia="zh-CN"/>
        </w:rPr>
        <w:t>投标人</w:t>
      </w:r>
      <w:r>
        <w:rPr>
          <w:rFonts w:hint="eastAsia" w:ascii="黑体" w:hAnsi="黑体" w:eastAsia="黑体" w:cs="黑体"/>
          <w:color w:val="auto"/>
          <w:highlight w:val="none"/>
          <w:lang w:val="zh-CN"/>
        </w:rPr>
        <w:t>对本项目的总报价最高不超过预算价</w:t>
      </w:r>
      <w:r>
        <w:rPr>
          <w:rFonts w:hint="eastAsia" w:ascii="黑体" w:hAnsi="黑体" w:eastAsia="黑体" w:cs="黑体"/>
          <w:color w:val="auto"/>
          <w:highlight w:val="none"/>
          <w:lang w:val="en-US" w:eastAsia="zh-CN"/>
        </w:rPr>
        <w:t>和最高限价</w:t>
      </w:r>
      <w:r>
        <w:rPr>
          <w:rFonts w:hint="eastAsia" w:ascii="黑体" w:hAnsi="黑体" w:eastAsia="黑体" w:cs="黑体"/>
          <w:color w:val="auto"/>
          <w:highlight w:val="none"/>
          <w:lang w:val="zh-CN"/>
        </w:rPr>
        <w:t>，否则其投标将被视为无效投标；评标委员会认为</w:t>
      </w:r>
      <w:r>
        <w:rPr>
          <w:rFonts w:hint="eastAsia" w:ascii="黑体" w:hAnsi="黑体" w:eastAsia="黑体" w:cs="黑体"/>
          <w:color w:val="auto"/>
          <w:highlight w:val="none"/>
          <w:lang w:val="zh-CN" w:eastAsia="zh-CN"/>
        </w:rPr>
        <w:t>投标人</w:t>
      </w:r>
      <w:r>
        <w:rPr>
          <w:rFonts w:hint="eastAsia" w:ascii="黑体" w:hAnsi="黑体" w:eastAsia="黑体" w:cs="黑体"/>
          <w:color w:val="auto"/>
          <w:highlight w:val="none"/>
          <w:lang w:val="zh-CN"/>
        </w:rPr>
        <w:t>的报价明显低于其他通过资格审查</w:t>
      </w:r>
      <w:r>
        <w:rPr>
          <w:rFonts w:hint="eastAsia" w:ascii="黑体" w:hAnsi="黑体" w:eastAsia="黑体" w:cs="黑体"/>
          <w:color w:val="auto"/>
          <w:highlight w:val="none"/>
          <w:lang w:val="zh-CN" w:eastAsia="zh-CN"/>
        </w:rPr>
        <w:t>投标人</w:t>
      </w:r>
      <w:r>
        <w:rPr>
          <w:rFonts w:hint="eastAsia" w:ascii="黑体" w:hAnsi="黑体" w:eastAsia="黑体" w:cs="黑体"/>
          <w:color w:val="auto"/>
          <w:highlight w:val="none"/>
          <w:lang w:val="zh-CN"/>
        </w:rPr>
        <w:t>的报价，有可能影响</w:t>
      </w:r>
      <w:r>
        <w:rPr>
          <w:rFonts w:hint="eastAsia" w:ascii="黑体" w:hAnsi="黑体" w:eastAsia="黑体" w:cs="黑体"/>
          <w:color w:val="auto"/>
          <w:highlight w:val="none"/>
          <w:lang w:val="en-US" w:eastAsia="zh-CN"/>
        </w:rPr>
        <w:t>工程</w:t>
      </w:r>
      <w:r>
        <w:rPr>
          <w:rFonts w:hint="eastAsia" w:ascii="黑体" w:hAnsi="黑体" w:eastAsia="黑体" w:cs="黑体"/>
          <w:color w:val="auto"/>
          <w:highlight w:val="none"/>
          <w:lang w:val="zh-CN"/>
        </w:rPr>
        <w:t>质量或者不能诚信履约</w:t>
      </w:r>
      <w:r>
        <w:rPr>
          <w:rFonts w:hint="eastAsia" w:ascii="黑体" w:hAnsi="黑体" w:eastAsia="黑体" w:cs="黑体"/>
          <w:color w:val="auto"/>
          <w:highlight w:val="none"/>
          <w:lang w:val="zh-CN" w:eastAsia="zh-CN"/>
        </w:rPr>
        <w:t>，</w:t>
      </w:r>
      <w:r>
        <w:rPr>
          <w:rFonts w:hint="eastAsia" w:ascii="黑体" w:hAnsi="黑体" w:eastAsia="黑体" w:cs="黑体"/>
          <w:color w:val="auto"/>
          <w:highlight w:val="none"/>
          <w:lang w:val="en-US" w:eastAsia="zh-CN"/>
        </w:rPr>
        <w:t>应启动以下程序</w:t>
      </w:r>
      <w:r>
        <w:rPr>
          <w:rFonts w:hint="eastAsia" w:ascii="黑体" w:hAnsi="黑体" w:eastAsia="黑体" w:cs="黑体"/>
          <w:color w:val="auto"/>
          <w:highlight w:val="none"/>
          <w:lang w:val="zh-CN"/>
        </w:rPr>
        <w:t>。</w:t>
      </w:r>
      <w:bookmarkEnd w:id="6"/>
      <w:bookmarkEnd w:id="7"/>
      <w:bookmarkStart w:id="8" w:name="_Toc25872"/>
      <w:bookmarkStart w:id="9" w:name="_Toc15401"/>
    </w:p>
    <w:p w14:paraId="4E43B73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（1）若投标供应商的报价超过最高限价，则为无效报价，按无效投标处理；</w:t>
      </w:r>
    </w:p>
    <w:p w14:paraId="76782D6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2）评标委员会认为投标供应商的报价明显低于其他通过资格审查投标供应商的报价，有可能影响产品质量或者不能诚信履约的，应当要求其在评标现场合理的时间内提供书面说明，必要时提交相关证明材料；投标供应商不能证明其报价合理性的，评标委员会应当将其作为无效投标处理。</w:t>
      </w:r>
    </w:p>
    <w:p w14:paraId="5A9708D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（3）评审中出现下列情形之一的，评审委员会应当启动异常低价投标（响应）审查程序：</w:t>
      </w:r>
    </w:p>
    <w:p w14:paraId="468A7EC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①投标（响应）报价低于全部通过符合性审查供应商投标（响应）报价平均值50%的，即投标（响应）报价小于全部通过符合性审查供应商投标（响应）报价平均值×50%；</w:t>
      </w:r>
    </w:p>
    <w:p w14:paraId="5C56614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②投标（响应）报价低于通过符合性审查的次低报价供应商投标（响应）报价50%的，即投标（响应）报价小于通过符合性审查的次低报价供应商投标（响应）报价×50%；</w:t>
      </w:r>
    </w:p>
    <w:p w14:paraId="6736E8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③投标（响应）报价低于采购项目最高限价50%的，即投标（响应）报价小于采购项目最高限价×50%；</w:t>
      </w:r>
    </w:p>
    <w:p w14:paraId="5D2332D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④评审委员会基于专业判断，认为供应商报价过低，有可能影响产品质量或者不能诚信履约的其他情形。</w:t>
      </w:r>
    </w:p>
    <w:p w14:paraId="6B8554E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C761DF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8D9D8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5F29CC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2、总报价包括所需项目的所有材料费、税费、运输费、安装及调试费、建人工费、装卸费、保险费、付款方式导致的资金占用利息费、产品质量验收检测所需的一切费用、其它相关服务及售后服务费等，如一旦成交，在项目实施中出现任何遗漏，均由成交供应商免费提供，采购人不再另行支付任何费用。</w:t>
      </w:r>
      <w:bookmarkEnd w:id="8"/>
      <w:bookmarkEnd w:id="9"/>
    </w:p>
    <w:p w14:paraId="77C7E49E">
      <w:pPr>
        <w:shd w:val="clear" w:color="auto" w:fill="auto"/>
        <w:adjustRightInd w:val="0"/>
        <w:snapToGrid w:val="0"/>
        <w:spacing w:line="360" w:lineRule="auto"/>
        <w:rPr>
          <w:rFonts w:hint="eastAsia" w:ascii="黑体" w:hAnsi="黑体" w:eastAsia="黑体" w:cs="黑体"/>
          <w:b/>
          <w:bCs/>
          <w:color w:val="auto"/>
          <w:sz w:val="24"/>
          <w:highlight w:val="none"/>
        </w:rPr>
      </w:pPr>
      <w:r>
        <w:rPr>
          <w:rFonts w:hint="eastAsia" w:ascii="黑体" w:hAnsi="黑体" w:eastAsia="黑体" w:cs="黑体"/>
          <w:b/>
          <w:bCs/>
          <w:color w:val="auto"/>
          <w:sz w:val="24"/>
          <w:highlight w:val="none"/>
          <w:lang w:val="en-US" w:eastAsia="zh-CN"/>
        </w:rPr>
        <w:t>七</w:t>
      </w:r>
      <w:r>
        <w:rPr>
          <w:rFonts w:hint="eastAsia" w:ascii="黑体" w:hAnsi="黑体" w:eastAsia="黑体" w:cs="黑体"/>
          <w:b/>
          <w:bCs/>
          <w:color w:val="auto"/>
          <w:sz w:val="24"/>
          <w:highlight w:val="none"/>
        </w:rPr>
        <w:t>、工期及质量要求</w:t>
      </w:r>
    </w:p>
    <w:p w14:paraId="2DE9B13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bookmarkStart w:id="10" w:name="_Toc4296"/>
      <w:bookmarkStart w:id="11" w:name="_Toc17380"/>
      <w:bookmarkStart w:id="12" w:name="_Toc8278"/>
      <w:r>
        <w:rPr>
          <w:rFonts w:hint="eastAsia" w:ascii="黑体" w:hAnsi="黑体" w:eastAsia="黑体" w:cs="黑体"/>
          <w:color w:val="auto"/>
          <w:highlight w:val="none"/>
          <w:lang w:val="zh-CN"/>
        </w:rPr>
        <w:t>1、工期</w:t>
      </w:r>
      <w:r>
        <w:rPr>
          <w:rFonts w:hint="eastAsia" w:ascii="黑体" w:hAnsi="黑体" w:eastAsia="黑体" w:cs="黑体"/>
          <w:color w:val="auto"/>
          <w:highlight w:val="none"/>
          <w:lang w:val="en-US" w:eastAsia="zh-CN"/>
        </w:rPr>
        <w:t>要求</w:t>
      </w:r>
      <w:r>
        <w:rPr>
          <w:rFonts w:hint="eastAsia" w:ascii="黑体" w:hAnsi="黑体" w:eastAsia="黑体" w:cs="黑体"/>
          <w:color w:val="auto"/>
          <w:highlight w:val="none"/>
          <w:lang w:val="zh-CN"/>
        </w:rPr>
        <w:t>：</w:t>
      </w:r>
      <w:r>
        <w:rPr>
          <w:rFonts w:hint="eastAsia" w:ascii="黑体" w:hAnsi="黑体" w:eastAsia="黑体" w:cs="黑体"/>
          <w:color w:val="auto"/>
          <w:highlight w:val="none"/>
          <w:lang w:val="zh-CN" w:eastAsia="zh-CN"/>
        </w:rPr>
        <w:t>采购合同签订起45日历天工程竣工验收备案</w:t>
      </w:r>
      <w:r>
        <w:rPr>
          <w:rFonts w:hint="eastAsia" w:ascii="黑体" w:hAnsi="黑体" w:eastAsia="黑体" w:cs="黑体"/>
          <w:color w:val="auto"/>
          <w:highlight w:val="none"/>
          <w:lang w:val="zh-CN"/>
        </w:rPr>
        <w:t>。</w:t>
      </w:r>
      <w:bookmarkEnd w:id="10"/>
      <w:bookmarkEnd w:id="11"/>
      <w:bookmarkEnd w:id="12"/>
    </w:p>
    <w:p w14:paraId="5BC2DFB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eastAsia="zh-CN"/>
        </w:rPr>
      </w:pPr>
      <w:bookmarkStart w:id="13" w:name="_Toc5911"/>
      <w:bookmarkStart w:id="14" w:name="_Toc871"/>
      <w:bookmarkStart w:id="15" w:name="_Toc1824"/>
      <w:r>
        <w:rPr>
          <w:rFonts w:hint="eastAsia" w:ascii="黑体" w:hAnsi="黑体" w:eastAsia="黑体" w:cs="黑体"/>
          <w:color w:val="auto"/>
          <w:highlight w:val="none"/>
          <w:lang w:val="en-US" w:eastAsia="zh-CN"/>
        </w:rPr>
        <w:t>2</w:t>
      </w:r>
      <w:r>
        <w:rPr>
          <w:rFonts w:hint="eastAsia" w:ascii="黑体" w:hAnsi="黑体" w:eastAsia="黑体" w:cs="黑体"/>
          <w:color w:val="auto"/>
          <w:highlight w:val="none"/>
          <w:lang w:val="zh-CN" w:eastAsia="zh-CN"/>
        </w:rPr>
        <w:t>、质量标准：符合《工程施工质量验收规范》要求验收合格。</w:t>
      </w:r>
      <w:bookmarkEnd w:id="13"/>
      <w:bookmarkEnd w:id="14"/>
      <w:bookmarkEnd w:id="15"/>
    </w:p>
    <w:p w14:paraId="3CCEEF0D">
      <w:pPr>
        <w:shd w:val="clear" w:color="auto" w:fill="auto"/>
        <w:adjustRightInd w:val="0"/>
        <w:snapToGrid w:val="0"/>
        <w:spacing w:line="360" w:lineRule="auto"/>
        <w:outlineLvl w:val="1"/>
        <w:rPr>
          <w:rFonts w:hint="eastAsia" w:ascii="黑体" w:hAnsi="黑体" w:eastAsia="黑体" w:cs="黑体"/>
          <w:b/>
          <w:bCs/>
          <w:color w:val="auto"/>
          <w:sz w:val="24"/>
          <w:highlight w:val="none"/>
        </w:rPr>
      </w:pPr>
      <w:r>
        <w:rPr>
          <w:rFonts w:hint="eastAsia" w:ascii="黑体" w:hAnsi="黑体" w:eastAsia="黑体" w:cs="黑体"/>
          <w:b/>
          <w:bCs/>
          <w:color w:val="auto"/>
          <w:sz w:val="24"/>
          <w:highlight w:val="none"/>
          <w:lang w:val="en-US" w:eastAsia="zh-CN"/>
        </w:rPr>
        <w:t>八</w:t>
      </w:r>
      <w:r>
        <w:rPr>
          <w:rFonts w:hint="eastAsia" w:ascii="黑体" w:hAnsi="黑体" w:eastAsia="黑体" w:cs="黑体"/>
          <w:b/>
          <w:bCs/>
          <w:color w:val="auto"/>
          <w:sz w:val="24"/>
          <w:highlight w:val="none"/>
        </w:rPr>
        <w:t>、项目实施要求</w:t>
      </w:r>
    </w:p>
    <w:p w14:paraId="1E8C2059">
      <w:pPr>
        <w:widowControl w:val="0"/>
        <w:spacing w:after="120" w:line="360" w:lineRule="auto"/>
        <w:ind w:firstLine="420" w:firstLineChars="200"/>
        <w:jc w:val="both"/>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1、项目人员配置：待项目成交后，成交供应商需按照湘建建〔2020〕208号文件要求配备建设工程施工项目部关键岗位人员，施工项目部关键岗位人员不得同时在其他建设工程项目中任职。</w:t>
      </w:r>
    </w:p>
    <w:p w14:paraId="33EC1338">
      <w:pPr>
        <w:spacing w:line="360" w:lineRule="auto"/>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w:t>
      </w:r>
      <w:r>
        <w:rPr>
          <w:rFonts w:hint="eastAsia" w:ascii="黑体" w:hAnsi="黑体" w:eastAsia="黑体" w:cs="黑体"/>
          <w:b/>
          <w:bCs/>
          <w:color w:val="auto"/>
          <w:sz w:val="21"/>
          <w:szCs w:val="21"/>
          <w:highlight w:val="none"/>
          <w:lang w:val="en-US" w:eastAsia="zh-CN"/>
        </w:rPr>
        <w:t>项目负责人、技术负责人、专职安全员原则上不得更换人员，如因特殊情况需要更换人员的，必须经过采购人的同意方可更换。</w:t>
      </w:r>
    </w:p>
    <w:p w14:paraId="3225378D">
      <w:pPr>
        <w:spacing w:line="360" w:lineRule="auto"/>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3</w:t>
      </w:r>
      <w:r>
        <w:rPr>
          <w:rFonts w:hint="eastAsia" w:ascii="黑体" w:hAnsi="黑体" w:eastAsia="黑体" w:cs="黑体"/>
          <w:b/>
          <w:bCs/>
          <w:color w:val="auto"/>
          <w:sz w:val="21"/>
          <w:szCs w:val="21"/>
          <w:highlight w:val="none"/>
        </w:rPr>
        <w:t>、建筑材料运输、保管及保险：</w:t>
      </w:r>
    </w:p>
    <w:p w14:paraId="55D7E0DB">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.1成交供应商负责建筑材料到施工地点的全部运输，包括装卸及现场搬运等。</w:t>
      </w:r>
    </w:p>
    <w:p w14:paraId="3B478C95">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.2成交供应商负责建筑材料在施工地点的保管，直至项目验收合格。</w:t>
      </w:r>
    </w:p>
    <w:p w14:paraId="344FF9B7">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.3成交供应商负责其派出的施工人员的人身意外保险。</w:t>
      </w:r>
    </w:p>
    <w:p w14:paraId="73895703">
      <w:pPr>
        <w:spacing w:line="400" w:lineRule="exact"/>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4</w:t>
      </w:r>
      <w:r>
        <w:rPr>
          <w:rFonts w:hint="eastAsia" w:ascii="黑体" w:hAnsi="黑体" w:eastAsia="黑体" w:cs="黑体"/>
          <w:b/>
          <w:bCs/>
          <w:color w:val="auto"/>
          <w:sz w:val="21"/>
          <w:szCs w:val="21"/>
          <w:highlight w:val="none"/>
        </w:rPr>
        <w:t>、施工要求：</w:t>
      </w:r>
    </w:p>
    <w:p w14:paraId="09276362">
      <w:pPr>
        <w:spacing w:line="400" w:lineRule="exact"/>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4</w:t>
      </w:r>
      <w:r>
        <w:rPr>
          <w:rFonts w:hint="eastAsia" w:ascii="黑体" w:hAnsi="黑体" w:eastAsia="黑体" w:cs="黑体"/>
          <w:color w:val="auto"/>
          <w:sz w:val="21"/>
          <w:szCs w:val="21"/>
          <w:highlight w:val="none"/>
        </w:rPr>
        <w:t>.1成交供应商须加强施工的组织管理，所有施工人员须遵守文明安全施工的有关规章制度，持证上岗。</w:t>
      </w:r>
    </w:p>
    <w:p w14:paraId="400BB57D">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4</w:t>
      </w:r>
      <w:r>
        <w:rPr>
          <w:rFonts w:hint="eastAsia" w:ascii="黑体" w:hAnsi="黑体" w:eastAsia="黑体" w:cs="黑体"/>
          <w:color w:val="auto"/>
          <w:sz w:val="21"/>
          <w:szCs w:val="21"/>
          <w:highlight w:val="none"/>
        </w:rPr>
        <w:t>.2项目实施具体地点和范围及相关资料由采购人提供和确认。</w:t>
      </w:r>
    </w:p>
    <w:p w14:paraId="53CE9BA1">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b/>
          <w:bCs/>
          <w:color w:val="auto"/>
          <w:sz w:val="21"/>
          <w:szCs w:val="21"/>
          <w:highlight w:val="none"/>
          <w:lang w:val="en-US" w:eastAsia="zh-CN"/>
        </w:rPr>
        <w:t>5</w:t>
      </w:r>
      <w:r>
        <w:rPr>
          <w:rFonts w:hint="eastAsia" w:ascii="黑体" w:hAnsi="黑体" w:eastAsia="黑体" w:cs="黑体"/>
          <w:b/>
          <w:bCs/>
          <w:color w:val="auto"/>
          <w:sz w:val="21"/>
          <w:szCs w:val="21"/>
          <w:highlight w:val="none"/>
        </w:rPr>
        <w:t>、验收要求：</w:t>
      </w:r>
      <w:r>
        <w:rPr>
          <w:rFonts w:hint="eastAsia" w:ascii="黑体" w:hAnsi="黑体" w:eastAsia="黑体" w:cs="黑体"/>
          <w:color w:val="auto"/>
          <w:sz w:val="21"/>
          <w:szCs w:val="21"/>
          <w:highlight w:val="none"/>
        </w:rPr>
        <w:t>由采购人组织验收。</w:t>
      </w:r>
    </w:p>
    <w:p w14:paraId="512E2FF6">
      <w:pPr>
        <w:spacing w:line="360" w:lineRule="auto"/>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6</w:t>
      </w:r>
      <w:r>
        <w:rPr>
          <w:rFonts w:hint="eastAsia" w:ascii="黑体" w:hAnsi="黑体" w:eastAsia="黑体" w:cs="黑体"/>
          <w:b/>
          <w:bCs/>
          <w:color w:val="auto"/>
          <w:sz w:val="21"/>
          <w:szCs w:val="21"/>
          <w:highlight w:val="none"/>
        </w:rPr>
        <w:t>、质量要求：</w:t>
      </w:r>
    </w:p>
    <w:p w14:paraId="14A0B6B8">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.1本工程质量符合《工程施工质量验收规范》要求验收合格。</w:t>
      </w:r>
    </w:p>
    <w:p w14:paraId="54BE4333">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.2施工期间，应接受采购人的监督管理，遵守有关规定。</w:t>
      </w:r>
    </w:p>
    <w:p w14:paraId="7752F948">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.3质量保修：</w:t>
      </w:r>
      <w:r>
        <w:rPr>
          <w:rFonts w:hint="eastAsia" w:ascii="黑体" w:hAnsi="黑体" w:eastAsia="黑体" w:cs="黑体"/>
          <w:b/>
          <w:bCs/>
          <w:color w:val="auto"/>
          <w:sz w:val="21"/>
          <w:szCs w:val="21"/>
          <w:highlight w:val="none"/>
          <w:u w:val="single"/>
        </w:rPr>
        <w:t>保修期一年</w:t>
      </w:r>
      <w:r>
        <w:rPr>
          <w:rFonts w:hint="eastAsia" w:ascii="黑体" w:hAnsi="黑体" w:eastAsia="黑体" w:cs="黑体"/>
          <w:color w:val="auto"/>
          <w:sz w:val="21"/>
          <w:szCs w:val="21"/>
          <w:highlight w:val="none"/>
        </w:rPr>
        <w:t>，保修期间进场维修，保证无偿修理完好，否则，由采购人安排维修，维修费在质保金中双倍扣除。</w:t>
      </w:r>
    </w:p>
    <w:p w14:paraId="2E706924">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6.4工程质量保修期内，从接到业主保修通知之时起，总承包单位维修人员8小时内到达现场检查情况；在业主发出要求修补指示后，24小时内进行并完成修补；对生命财产有危险的紧急事件以及涉及结构安全或严重影响使用功能及运行操作的紧急抢修事故，在接到保修通知后，应立即到达现场抢修处理；保修工作以业主满意为原则。</w:t>
      </w:r>
    </w:p>
    <w:p w14:paraId="5225DEED">
      <w:pPr>
        <w:spacing w:line="360" w:lineRule="auto"/>
        <w:ind w:right="23" w:rightChars="11" w:firstLine="420"/>
        <w:rPr>
          <w:rFonts w:hint="eastAsia" w:ascii="黑体" w:hAnsi="黑体" w:eastAsia="黑体" w:cs="黑体"/>
          <w:b/>
          <w:bCs/>
          <w:color w:val="auto"/>
          <w:sz w:val="21"/>
          <w:szCs w:val="21"/>
          <w:highlight w:val="none"/>
          <w:lang w:val="en-US" w:eastAsia="zh-CN"/>
        </w:rPr>
      </w:pPr>
      <w:r>
        <w:rPr>
          <w:rFonts w:hint="eastAsia" w:ascii="黑体" w:hAnsi="黑体" w:eastAsia="黑体" w:cs="黑体"/>
          <w:b/>
          <w:bCs/>
          <w:color w:val="auto"/>
          <w:sz w:val="21"/>
          <w:szCs w:val="21"/>
          <w:highlight w:val="none"/>
          <w:lang w:val="en-US" w:eastAsia="zh-CN"/>
        </w:rPr>
        <w:t>7、逾期交工：</w:t>
      </w:r>
      <w:r>
        <w:rPr>
          <w:rFonts w:hint="eastAsia" w:ascii="黑体" w:hAnsi="黑体" w:eastAsia="黑体" w:cs="黑体"/>
          <w:color w:val="auto"/>
          <w:sz w:val="21"/>
          <w:szCs w:val="21"/>
          <w:highlight w:val="none"/>
          <w:u w:val="single"/>
          <w:lang w:val="en-US" w:eastAsia="zh-CN"/>
        </w:rPr>
        <w:t>按合同约定</w:t>
      </w:r>
      <w:r>
        <w:rPr>
          <w:rFonts w:hint="eastAsia" w:ascii="黑体" w:hAnsi="黑体" w:eastAsia="黑体" w:cs="黑体"/>
          <w:color w:val="auto"/>
          <w:sz w:val="21"/>
          <w:szCs w:val="21"/>
          <w:highlight w:val="none"/>
          <w:lang w:val="en-US" w:eastAsia="zh-CN"/>
        </w:rPr>
        <w:t>。</w:t>
      </w:r>
    </w:p>
    <w:p w14:paraId="00DADE69">
      <w:pPr>
        <w:shd w:val="clear" w:color="auto" w:fill="auto"/>
        <w:adjustRightInd w:val="0"/>
        <w:snapToGrid w:val="0"/>
        <w:spacing w:line="360" w:lineRule="auto"/>
        <w:outlineLvl w:val="1"/>
        <w:rPr>
          <w:rFonts w:hint="eastAsia" w:ascii="黑体" w:hAnsi="黑体" w:eastAsia="黑体" w:cs="黑体"/>
          <w:b/>
          <w:bCs/>
          <w:color w:val="auto"/>
          <w:sz w:val="24"/>
          <w:highlight w:val="none"/>
          <w:u w:val="none"/>
        </w:rPr>
      </w:pPr>
      <w:r>
        <w:rPr>
          <w:rFonts w:hint="eastAsia" w:ascii="黑体" w:hAnsi="黑体" w:eastAsia="黑体" w:cs="黑体"/>
          <w:b/>
          <w:bCs/>
          <w:color w:val="auto"/>
          <w:sz w:val="24"/>
          <w:highlight w:val="none"/>
          <w:u w:val="none"/>
          <w:lang w:val="en-US" w:eastAsia="zh-CN"/>
        </w:rPr>
        <w:t>九</w:t>
      </w:r>
      <w:r>
        <w:rPr>
          <w:rFonts w:hint="eastAsia" w:ascii="黑体" w:hAnsi="黑体" w:eastAsia="黑体" w:cs="黑体"/>
          <w:b/>
          <w:bCs/>
          <w:color w:val="auto"/>
          <w:sz w:val="24"/>
          <w:highlight w:val="none"/>
          <w:u w:val="none"/>
        </w:rPr>
        <w:t>、结算方式</w:t>
      </w:r>
    </w:p>
    <w:p w14:paraId="2CD7EEBA">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1、支付方式：银行电汇。</w:t>
      </w:r>
    </w:p>
    <w:p w14:paraId="5A977DA2">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付款方式：整体工程实施完成70%可支付进度款，支付进度款比例以完成工程量的80%，支付合同总金额的30％，审计结算完成后支付至合同总金额的97％，预留3%作为质保金，待工程交付使用保修期完成后（无质量及其他经济法律纠纷）不计息付清。</w:t>
      </w:r>
    </w:p>
    <w:p w14:paraId="20139609">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3、本项目中标金额不能作为总价包干依据，最终结算价以审定金额为准。成交供应商应根据项目要求和现场情况，应详细列明项目所需的设备、材料以及人工、管理、财务等所有费用，采购人不再另行支付任何费用。</w:t>
      </w:r>
    </w:p>
    <w:p w14:paraId="1D090D37">
      <w:pPr>
        <w:shd w:val="clear" w:color="auto" w:fill="auto"/>
        <w:adjustRightInd w:val="0"/>
        <w:snapToGrid w:val="0"/>
        <w:spacing w:line="360" w:lineRule="auto"/>
        <w:outlineLvl w:val="1"/>
        <w:rPr>
          <w:rFonts w:hint="eastAsia" w:ascii="黑体" w:hAnsi="黑体" w:eastAsia="黑体" w:cs="黑体"/>
          <w:b/>
          <w:bCs/>
          <w:color w:val="auto"/>
          <w:sz w:val="24"/>
          <w:highlight w:val="none"/>
          <w:lang w:val="en-US" w:eastAsia="zh-CN"/>
        </w:rPr>
      </w:pPr>
      <w:r>
        <w:rPr>
          <w:rFonts w:hint="eastAsia" w:ascii="黑体" w:hAnsi="黑体" w:eastAsia="黑体" w:cs="黑体"/>
          <w:b/>
          <w:bCs/>
          <w:color w:val="auto"/>
          <w:sz w:val="24"/>
          <w:highlight w:val="none"/>
          <w:lang w:val="en-US" w:eastAsia="zh-CN"/>
        </w:rPr>
        <w:t>十、工程变更及其他</w:t>
      </w:r>
    </w:p>
    <w:p w14:paraId="2829F68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1、当发生工程变更、工程量增减时，由采购人进行审核。</w:t>
      </w:r>
    </w:p>
    <w:p w14:paraId="3403A06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2、工程竣工结算：工程竣工后双方应及时办理工程结算，未办理完结算不再支付剩余工程款。</w:t>
      </w:r>
    </w:p>
    <w:p w14:paraId="0579805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3、工程竣工资料移交：工程竣工验收后，成交供应商应在10天内提交完整齐备的工程竣工资料和验收资料装订成册交采购人四套存档，并必须保证所有归档资料的真实性。</w:t>
      </w:r>
    </w:p>
    <w:p w14:paraId="3D066AF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4、现场踏勘：采购人不另行组织现场踏勘，有关踏勘事宜由供应商与采购人联系，自行处理。</w:t>
      </w:r>
    </w:p>
    <w:p w14:paraId="77A14AA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p>
    <w:p w14:paraId="29C346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060A1F"/>
    <w:rsid w:val="76060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next w:val="1"/>
    <w:uiPriority w:val="0"/>
    <w:pPr>
      <w:widowControl w:val="0"/>
      <w:spacing w:after="12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2026-10-15T06:52:00Z</dcterms:created>
  <dc:creator>Administrator</dc:creator>
  <cp:lastModifiedBy>Administrator</cp:lastModifiedBy>
  <dcterms:modified xsi:type="dcterms:W3CDTF">2026-10-15T06:53:13Z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DF00F132A99B445AAA405E35F98D853D_11</vt:lpwstr>
  </property>
  <property fmtid="{D5CDD505-2E9C-101B-9397-08002B2CF9AE}" pid="4" name="KSOTemplateDocerSaveRecord">
    <vt:lpwstr>eyJoZGlkIjoiZmJiMjVkNDRlYTQwZGQ3ZDQzZTVlMmQ2YTJkNTY0N2EiLCJ1c2VySWQiOiIzNDExMjg5MDIifQ==</vt:lpwstr>
  </property>
</Properties>
</file>