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6D2C8">
      <w:pPr>
        <w:pStyle w:val="2"/>
        <w:spacing w:before="120" w:after="120"/>
        <w:rPr>
          <w:rFonts w:eastAsia="宋体" w:cs="Times New Roman"/>
        </w:rPr>
      </w:pPr>
      <w:r>
        <w:rPr>
          <w:rFonts w:hint="eastAsia" w:eastAsia="宋体" w:cs="Times New Roman"/>
          <w:highlight w:val="white"/>
        </w:rPr>
        <w:t>采购内容与要求</w:t>
      </w:r>
    </w:p>
    <w:p w14:paraId="504FD6D2">
      <w:pPr>
        <w:widowControl/>
        <w:kinsoku w:val="0"/>
        <w:autoSpaceDE w:val="0"/>
        <w:autoSpaceDN w:val="0"/>
        <w:adjustRightInd w:val="0"/>
        <w:snapToGrid w:val="0"/>
        <w:spacing w:before="91" w:line="220" w:lineRule="auto"/>
        <w:ind w:left="231"/>
        <w:jc w:val="center"/>
        <w:textAlignment w:val="baseline"/>
        <w:outlineLvl w:val="1"/>
        <w:rPr>
          <w:rFonts w:hint="eastAsia" w:ascii="宋体" w:hAnsi="宋体" w:eastAsia="宋体" w:cs="宋体"/>
          <w:snapToGrid w:val="0"/>
          <w:color w:val="auto"/>
          <w:kern w:val="0"/>
          <w:sz w:val="28"/>
          <w:szCs w:val="28"/>
          <w:lang w:eastAsia="en-US"/>
        </w:rPr>
      </w:pPr>
      <w:bookmarkStart w:id="0" w:name="_Toc256000014"/>
      <w:bookmarkStart w:id="1" w:name="_Toc5944"/>
      <w:bookmarkStart w:id="2" w:name="EB2abee0c6e69a40ebb288e666823f7368"/>
      <w:r>
        <w:rPr>
          <w:rFonts w:hint="eastAsia"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  <w:t>第一节</w:t>
      </w:r>
      <w:r>
        <w:rPr>
          <w:rFonts w:hint="eastAsia" w:ascii="宋体" w:hAnsi="宋体" w:eastAsia="宋体" w:cs="宋体"/>
          <w:snapToGrid w:val="0"/>
          <w:color w:val="auto"/>
          <w:spacing w:val="108"/>
          <w:kern w:val="0"/>
          <w:sz w:val="28"/>
          <w:szCs w:val="28"/>
          <w:lang w:eastAsia="en-US"/>
        </w:rPr>
        <w:t xml:space="preserve">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  <w:t>服务要求</w:t>
      </w:r>
      <w:bookmarkEnd w:id="0"/>
      <w:bookmarkEnd w:id="1"/>
    </w:p>
    <w:p w14:paraId="1AED0CC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bookmarkStart w:id="3" w:name="_Toc256000015"/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（一）养护范围</w:t>
      </w:r>
    </w:p>
    <w:p w14:paraId="3F532B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衡阳市地方航道养护里程共计518公里。具体包括：耒水航道148公里；洣水航道75公里；舂陵水航道65公里；蒸水航道139公里；永乐江航道13公里；淝江航道10公里；11座水库航道68公里。</w:t>
      </w:r>
    </w:p>
    <w:p w14:paraId="494792F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（二）养护内容</w:t>
      </w:r>
    </w:p>
    <w:p w14:paraId="3864AF8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根据衡阳市交通运输局发布的《衡阳市2026年度地方航道养护计划》（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详见附件，如后续有新规定按新规定执行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）开展常规性航道养护活动，包括航道航标巡查、航道养护观测、航标养护、航道整治建筑物检查、航道扫床、航道信息报送等。</w:t>
      </w:r>
    </w:p>
    <w:p w14:paraId="168E6D66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1.航道航标巡查：对全线航道、航标、滩险、整治建筑物开展常态化巡查，及时发现移位、损坏、丢失、遮挡、失常、碍航物等情况，及时处置并记录。</w:t>
      </w:r>
    </w:p>
    <w:p w14:paraId="4F666A0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2.航道养护观测：航道水深及航道宽度观测，建立观测台账，确保航道维护尺度达标。</w:t>
      </w:r>
    </w:p>
    <w:p w14:paraId="7DAC906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3.航标养护：布设航标303座，其中PE700浮标不少于255座，竹竿标不少于48座，航标养护工作量110595座/天。航标养护内容包括航标布设；航标、标链、标锚（标石）养护；建立养护台账及资料整理等。</w:t>
      </w:r>
    </w:p>
    <w:p w14:paraId="38C984BC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4.航道整治建筑物检查：负责九州滩至遥田水电站27座航道整治建筑物每年4次定期检查（结合一次检测）、隐患上报、简易维护。</w:t>
      </w:r>
    </w:p>
    <w:p w14:paraId="0D66CB0E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5.航道扫床：每年枯水期对重点滩险航道开展全面扫床，清除水下碍航物，保障通航水深。</w:t>
      </w:r>
    </w:p>
    <w:p w14:paraId="1CC131F8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6.航道信息报送：按甲方要求及时报送巡查记录、观测数据、养护台账、隐患整改、应急信息等。</w:t>
      </w:r>
    </w:p>
    <w:p w14:paraId="2AEDD5E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7.应急抢通：参与甲方组织的因自然灾害或事故灾难等突发事件造成航道损坏、阻塞等应急抢通工作，确保航道快速恢复通行。</w:t>
      </w:r>
    </w:p>
    <w:p w14:paraId="1AD406CD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8.投标人须具备专业技术力量人员、必要设备、船只等。</w:t>
      </w:r>
    </w:p>
    <w:p w14:paraId="4BC7854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（三）综合服务</w:t>
      </w:r>
    </w:p>
    <w:p w14:paraId="056D4F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1. 宣贯执行航道相关法律法规与技术标准。</w:t>
      </w:r>
    </w:p>
    <w:p w14:paraId="0191E35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2. 制定企业航道养护规章制度、操作规程。</w:t>
      </w:r>
    </w:p>
    <w:p w14:paraId="21C060A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3. 落实安全生产制度，完成安全生产目标，杜绝安全责任事故。</w:t>
      </w:r>
    </w:p>
    <w:p w14:paraId="264E4A5B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4. 整理、归档养护作业记录、巡查日志、维修档案、观测资料等。</w:t>
      </w:r>
    </w:p>
    <w:p w14:paraId="0EAEE877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5. 完成航道管理部门交办的其他与航道相关的工作。</w:t>
      </w:r>
    </w:p>
    <w:p w14:paraId="73A90882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6.落实航道养护生态环保及应急保障工作要求，严格执行水域生态保护、扬尘噪声管控、废弃物合规处置等环保作业规范，建立健全航道突发险情、自然灾害、作业事故等应急处置机制。</w:t>
      </w:r>
    </w:p>
    <w:p w14:paraId="1560D31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2" w:firstLineChars="200"/>
        <w:jc w:val="both"/>
        <w:textAlignment w:val="auto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（四）考核要求</w:t>
      </w:r>
    </w:p>
    <w:p w14:paraId="22B01BE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按</w:t>
      </w:r>
      <w:r>
        <w:rPr>
          <w:rFonts w:hint="default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《航道养护技术核查指南》</w:t>
      </w: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（详见附件）相关要求进行考核，具体合同中约定。</w:t>
      </w:r>
    </w:p>
    <w:p w14:paraId="7E5EAEC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80" w:firstLineChars="200"/>
        <w:jc w:val="both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"/>
        </w:rPr>
      </w:pPr>
    </w:p>
    <w:p w14:paraId="2A096A18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 w:firstLine="480" w:firstLineChars="200"/>
        <w:jc w:val="both"/>
        <w:rPr>
          <w:rFonts w:hint="default" w:eastAsia="宋体" w:cs="Times New Roman"/>
          <w:b w:val="0"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"/>
        </w:rPr>
        <w:t>注：投标人应在响应文件中进行响应，并对第一节服务要求作出承诺，承诺函格式自拟。</w:t>
      </w:r>
    </w:p>
    <w:p w14:paraId="120F847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jc w:val="both"/>
        <w:textAlignment w:val="auto"/>
        <w:rPr>
          <w:rFonts w:hint="default" w:ascii="宋体" w:hAnsi="宋体" w:eastAsia="宋体" w:cs="宋体"/>
          <w:b w:val="0"/>
          <w:bCs w:val="0"/>
          <w:sz w:val="28"/>
          <w:szCs w:val="28"/>
          <w:highlight w:val="yellow"/>
          <w:lang w:val="en-US" w:eastAsia="zh-CN"/>
        </w:rPr>
      </w:pPr>
    </w:p>
    <w:p w14:paraId="5A041648">
      <w:pPr>
        <w:keepNext w:val="0"/>
        <w:keepLines w:val="0"/>
        <w:pageBreakBefore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line="221" w:lineRule="auto"/>
        <w:ind w:left="232"/>
        <w:jc w:val="center"/>
        <w:textAlignment w:val="baseline"/>
        <w:outlineLvl w:val="1"/>
        <w:rPr>
          <w:rFonts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</w:pPr>
      <w:r>
        <w:rPr>
          <w:rFonts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  <w:t>第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val="en-US" w:eastAsia="zh-CN"/>
        </w:rPr>
        <w:t>二</w:t>
      </w:r>
      <w:r>
        <w:rPr>
          <w:rFonts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  <w:t xml:space="preserve">节 </w:t>
      </w:r>
      <w:r>
        <w:rPr>
          <w:rFonts w:hint="eastAsia"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val="en-US" w:eastAsia="zh-CN"/>
        </w:rPr>
        <w:t>商务</w:t>
      </w:r>
      <w:r>
        <w:rPr>
          <w:rFonts w:ascii="宋体" w:hAnsi="宋体" w:eastAsia="宋体" w:cs="宋体"/>
          <w:b/>
          <w:bCs/>
          <w:snapToGrid w:val="0"/>
          <w:color w:val="auto"/>
          <w:spacing w:val="-6"/>
          <w:kern w:val="0"/>
          <w:sz w:val="28"/>
          <w:szCs w:val="28"/>
          <w:lang w:eastAsia="en-US"/>
        </w:rPr>
        <w:t>要求</w:t>
      </w:r>
      <w:bookmarkEnd w:id="3"/>
    </w:p>
    <w:p w14:paraId="652E4A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  <w:t xml:space="preserve"> </w:t>
      </w:r>
    </w:p>
    <w:p w14:paraId="4F4861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  <w:t>一、 主要商务要求</w:t>
      </w:r>
    </w:p>
    <w:tbl>
      <w:tblPr>
        <w:tblStyle w:val="4"/>
        <w:tblW w:w="8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4"/>
        <w:gridCol w:w="4956"/>
      </w:tblGrid>
      <w:tr w14:paraId="6BAD0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84" w:type="dxa"/>
            <w:noWrap w:val="0"/>
            <w:vAlign w:val="center"/>
          </w:tcPr>
          <w:p w14:paraId="2B3B2F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履行合同的时间、地点及方式</w:t>
            </w:r>
          </w:p>
        </w:tc>
        <w:tc>
          <w:tcPr>
            <w:tcW w:w="4956" w:type="dxa"/>
            <w:noWrap w:val="0"/>
            <w:vAlign w:val="center"/>
          </w:tcPr>
          <w:p w14:paraId="0929CE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履行合同的时间：3年，具体起止时间合同签订时约定。</w:t>
            </w:r>
          </w:p>
          <w:p w14:paraId="108ECF4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地点：采购人指定地点</w:t>
            </w:r>
          </w:p>
          <w:p w14:paraId="605274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方式：直接履行</w:t>
            </w:r>
          </w:p>
        </w:tc>
      </w:tr>
      <w:tr w14:paraId="7388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84" w:type="dxa"/>
            <w:noWrap w:val="0"/>
            <w:vAlign w:val="center"/>
          </w:tcPr>
          <w:p w14:paraId="5B0C13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服务期限</w:t>
            </w:r>
          </w:p>
        </w:tc>
        <w:tc>
          <w:tcPr>
            <w:tcW w:w="4956" w:type="dxa"/>
            <w:noWrap w:val="0"/>
            <w:vAlign w:val="center"/>
          </w:tcPr>
          <w:p w14:paraId="744F64B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  <w:t>3年</w:t>
            </w:r>
          </w:p>
        </w:tc>
      </w:tr>
      <w:tr w14:paraId="6BFC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84" w:type="dxa"/>
            <w:noWrap w:val="0"/>
            <w:vAlign w:val="center"/>
          </w:tcPr>
          <w:p w14:paraId="6F56B63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响应时间</w:t>
            </w:r>
          </w:p>
        </w:tc>
        <w:tc>
          <w:tcPr>
            <w:tcW w:w="4956" w:type="dxa"/>
            <w:noWrap w:val="0"/>
            <w:vAlign w:val="center"/>
          </w:tcPr>
          <w:p w14:paraId="17D2EAF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FF"/>
                <w:kern w:val="2"/>
                <w:sz w:val="24"/>
                <w:szCs w:val="24"/>
                <w:vertAlign w:val="baseline"/>
                <w:lang w:val="en-US" w:eastAsia="zh-CN"/>
              </w:rPr>
              <w:t>供应商需要在4小时内将辖区航道任何1处需布设的航标布设完毕。在1小时内赶到辖区内航道任何1处现场进行应急处置。</w:t>
            </w:r>
          </w:p>
        </w:tc>
      </w:tr>
      <w:tr w14:paraId="7CC0C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84" w:type="dxa"/>
            <w:noWrap w:val="0"/>
            <w:vAlign w:val="center"/>
          </w:tcPr>
          <w:p w14:paraId="7DE60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0000FF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FF"/>
                <w:kern w:val="2"/>
                <w:sz w:val="24"/>
                <w:szCs w:val="24"/>
                <w:lang w:val="en-US" w:eastAsia="zh-CN"/>
              </w:rPr>
              <w:t>合同价款支付方式和条件</w:t>
            </w:r>
          </w:p>
        </w:tc>
        <w:tc>
          <w:tcPr>
            <w:tcW w:w="4956" w:type="dxa"/>
            <w:noWrap w:val="0"/>
            <w:vAlign w:val="center"/>
          </w:tcPr>
          <w:p w14:paraId="19D9D52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宋体" w:hAnsi="宋体" w:eastAsia="宋体" w:cs="宋体"/>
                <w:snapToGrid/>
                <w:color w:val="0000FF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0000FF"/>
                <w:kern w:val="2"/>
                <w:sz w:val="24"/>
                <w:szCs w:val="24"/>
                <w:vertAlign w:val="baseline"/>
                <w:lang w:val="en-US" w:eastAsia="zh-CN"/>
              </w:rPr>
              <w:t>按合同约定和考核情况，按季度拨付。乙方需开具符合甲方财务要求的正规有效发票。</w:t>
            </w:r>
          </w:p>
        </w:tc>
      </w:tr>
      <w:tr w14:paraId="077895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684" w:type="dxa"/>
            <w:noWrap w:val="0"/>
            <w:vAlign w:val="center"/>
          </w:tcPr>
          <w:p w14:paraId="15FC01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解决争议的方式</w:t>
            </w:r>
          </w:p>
        </w:tc>
        <w:tc>
          <w:tcPr>
            <w:tcW w:w="4956" w:type="dxa"/>
            <w:noWrap w:val="0"/>
            <w:vAlign w:val="center"/>
          </w:tcPr>
          <w:p w14:paraId="521E6C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Wingdings" w:hAnsi="Wingdings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 xml:space="preserve">仲裁  </w:t>
            </w:r>
            <w:r>
              <w:rPr>
                <w:rFonts w:hint="eastAsia" w:ascii="Wingdings" w:hAnsi="Wingdings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þ</w:t>
            </w:r>
            <w:r>
              <w:rPr>
                <w:rFonts w:hint="eastAsia" w:ascii="宋体" w:hAnsi="宋体" w:eastAsia="宋体" w:cs="宋体"/>
                <w:snapToGrid/>
                <w:color w:val="auto"/>
                <w:kern w:val="2"/>
                <w:sz w:val="24"/>
                <w:szCs w:val="24"/>
                <w:lang w:val="en-US" w:eastAsia="zh-CN"/>
              </w:rPr>
              <w:t>诉讼、</w:t>
            </w:r>
          </w:p>
        </w:tc>
      </w:tr>
    </w:tbl>
    <w:p w14:paraId="42FDFA90">
      <w:pPr>
        <w:rPr>
          <w:rFonts w:hint="eastAsia" w:eastAsia="宋体" w:cs="Times New Roman"/>
          <w:color w:val="000080"/>
          <w:highlight w:val="white"/>
        </w:rPr>
      </w:pPr>
      <w:r>
        <w:rPr>
          <w:rFonts w:hint="eastAsia" w:eastAsia="宋体" w:cs="Times New Roman"/>
          <w:color w:val="000080"/>
          <w:highlight w:val="white"/>
        </w:rPr>
        <w:t xml:space="preserve"> </w:t>
      </w:r>
      <w:bookmarkEnd w:id="2"/>
    </w:p>
    <w:p w14:paraId="53935D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</w:pPr>
    </w:p>
    <w:p w14:paraId="317909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napToGrid/>
          <w:color w:val="auto"/>
          <w:kern w:val="2"/>
          <w:sz w:val="24"/>
          <w:szCs w:val="24"/>
          <w:lang w:val="en-US" w:eastAsia="zh-CN"/>
        </w:rPr>
        <w:t>二、其他要求</w:t>
      </w:r>
    </w:p>
    <w:p w14:paraId="46C2814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本项目为固定总价合同，投标人报价须包含但不限于人工费、车船使用费、油料、耗材、维修、保险、管理、税费等所有可能发生的费用，实行总价包干。乙方每季度向甲方提交上季度《服务验收申请报告》（含巡查记录、航标养护台账、问题整改证明、影响资料等）。投标人需对于第二节商务要求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"/>
        </w:rPr>
        <w:t>求作出承诺，承诺函格式自拟。</w:t>
      </w:r>
    </w:p>
    <w:p w14:paraId="6A1CBA07">
      <w:bookmarkStart w:id="4" w:name="_GoBack"/>
      <w:bookmarkEnd w:id="4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DF7567"/>
    <w:rsid w:val="57DF7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6" w:lineRule="auto"/>
      <w:jc w:val="center"/>
      <w:outlineLvl w:val="0"/>
    </w:pPr>
    <w:rPr>
      <w:rFonts w:ascii="Calibri" w:hAnsi="Calibri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2026-10-12T02:39:00Z</dcterms:created>
  <dc:creator>Administrator</dc:creator>
  <cp:lastModifiedBy>Administrator</cp:lastModifiedBy>
  <dcterms:modified xsi:type="dcterms:W3CDTF">2026-10-12T02:39:44Z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4271E459E0A14A2585E0BA3DC45BBE53_11</vt:lpwstr>
  </property>
  <property fmtid="{D5CDD505-2E9C-101B-9397-08002B2CF9AE}" pid="4" name="KSOTemplateDocerSaveRecord">
    <vt:lpwstr>eyJoZGlkIjoiYTk1OThmMDhjYzE0YzkwYmY0N2NhYTU4ODE2OTZkOTAiLCJ1c2VySWQiOiI2ODc5NjA5NDAifQ==</vt:lpwstr>
  </property>
</Properties>
</file>