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B07A4">
      <w:pPr>
        <w:keepNext/>
        <w:numPr>
          <w:ilvl w:val="0"/>
          <w:numId w:val="2"/>
        </w:numPr>
        <w:shd w:val="clear" w:color="auto" w:fill="auto"/>
        <w:jc w:val="center"/>
        <w:outlineLvl w:val="0"/>
        <w:rPr>
          <w:rFonts w:hint="eastAsia" w:ascii="黑体" w:hAnsi="黑体" w:eastAsia="黑体" w:cs="Times New Roman"/>
          <w:b/>
          <w:bCs/>
          <w:color w:val="auto"/>
          <w:sz w:val="32"/>
          <w:szCs w:val="32"/>
          <w:highlight w:val="none"/>
        </w:rPr>
      </w:pPr>
      <w:bookmarkStart w:id="0" w:name="_Toc10793"/>
      <w:r>
        <w:rPr>
          <w:rFonts w:hint="eastAsia" w:ascii="黑体" w:hAnsi="黑体" w:eastAsia="黑体" w:cs="Times New Roman"/>
          <w:b/>
          <w:bCs/>
          <w:color w:val="auto"/>
          <w:sz w:val="32"/>
          <w:szCs w:val="32"/>
          <w:highlight w:val="none"/>
        </w:rPr>
        <w:t>采购需求</w:t>
      </w:r>
      <w:bookmarkEnd w:id="0"/>
    </w:p>
    <w:p w14:paraId="09FAD25D">
      <w:pPr>
        <w:pStyle w:val="3"/>
        <w:numPr>
          <w:ilvl w:val="0"/>
          <w:numId w:val="3"/>
        </w:numPr>
        <w:spacing w:line="440" w:lineRule="exact"/>
        <w:ind w:firstLine="562" w:firstLineChars="200"/>
        <w:rPr>
          <w:rFonts w:ascii="Times New Roman" w:hAnsi="Times New Roman" w:eastAsia="宋体" w:cs="Times New Roman"/>
          <w:color w:val="auto"/>
          <w:highlight w:val="none"/>
        </w:rPr>
      </w:pPr>
      <w:bookmarkStart w:id="1" w:name="_Toc5734"/>
      <w:bookmarkStart w:id="5" w:name="_GoBack"/>
      <w:bookmarkEnd w:id="5"/>
      <w:r>
        <w:rPr>
          <w:rFonts w:hint="eastAsia" w:ascii="Times New Roman" w:hAnsi="Times New Roman" w:eastAsia="宋体" w:cs="Times New Roman"/>
          <w:color w:val="auto"/>
          <w:highlight w:val="none"/>
        </w:rPr>
        <w:t>项目概况</w:t>
      </w:r>
      <w:bookmarkEnd w:id="1"/>
    </w:p>
    <w:p w14:paraId="61FE3925">
      <w:pPr>
        <w:pStyle w:val="9"/>
        <w:spacing w:before="312"/>
        <w:ind w:firstLine="420"/>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rPr>
        <w:t>本项目涉及14个乡镇共202户重度残疾人家庭无障碍改造，在楼梯、走廊等室外落差较大地区安装防护栏，改造室外坡道和室内坡化。改造卫生间和浴室，安装抓手、防滑垫等。厨房位置安装低位灶台、调整厨房设施高度等。配发无障碍用品多功能护理床、坐便器、闪光门铃、轮椅、语音式电饭煲、语音式电磁炉等</w:t>
      </w:r>
      <w:r>
        <w:rPr>
          <w:rFonts w:hint="eastAsia" w:ascii="Times New Roman" w:hAnsi="Times New Roman" w:eastAsia="宋体" w:cs="Times New Roman"/>
          <w:color w:val="auto"/>
          <w:sz w:val="21"/>
          <w:szCs w:val="21"/>
          <w:highlight w:val="none"/>
          <w:lang w:val="en-US" w:eastAsia="zh-CN"/>
        </w:rPr>
        <w:t>。</w:t>
      </w:r>
    </w:p>
    <w:p w14:paraId="694865F6">
      <w:pPr>
        <w:pStyle w:val="3"/>
        <w:numPr>
          <w:ilvl w:val="0"/>
          <w:numId w:val="3"/>
        </w:numPr>
        <w:spacing w:line="440" w:lineRule="exact"/>
        <w:ind w:firstLine="562" w:firstLineChars="200"/>
        <w:rPr>
          <w:rFonts w:ascii="Times New Roman" w:hAnsi="Times New Roman" w:eastAsia="宋体" w:cs="Times New Roman"/>
          <w:color w:val="auto"/>
          <w:highlight w:val="none"/>
        </w:rPr>
      </w:pPr>
      <w:bookmarkStart w:id="2" w:name="_Toc23714"/>
      <w:r>
        <w:rPr>
          <w:rFonts w:hint="eastAsia" w:ascii="Times New Roman" w:hAnsi="Times New Roman" w:eastAsia="宋体" w:cs="Times New Roman"/>
          <w:color w:val="auto"/>
          <w:highlight w:val="none"/>
        </w:rPr>
        <w:t>采购项目预（概）算</w:t>
      </w:r>
      <w:bookmarkEnd w:id="2"/>
    </w:p>
    <w:p w14:paraId="4E0B34D2">
      <w:pPr>
        <w:pStyle w:val="10"/>
        <w:spacing w:line="440" w:lineRule="exact"/>
        <w:ind w:firstLine="480"/>
        <w:rPr>
          <w:rFonts w:cs="Times New Roman"/>
          <w:color w:val="auto"/>
          <w:highlight w:val="none"/>
          <w:u w:val="single"/>
        </w:rPr>
      </w:pPr>
      <w:r>
        <w:rPr>
          <w:rFonts w:hint="eastAsia" w:cs="Times New Roman"/>
          <w:color w:val="auto"/>
          <w:highlight w:val="none"/>
        </w:rPr>
        <w:t>预 算∶</w:t>
      </w:r>
      <w:r>
        <w:rPr>
          <w:rFonts w:hint="eastAsia" w:cs="Times New Roman"/>
          <w:color w:val="auto"/>
          <w:highlight w:val="none"/>
          <w:lang w:eastAsia="zh-CN"/>
        </w:rPr>
        <w:t>1139015.82</w:t>
      </w:r>
      <w:r>
        <w:rPr>
          <w:rFonts w:hint="eastAsia" w:cs="Times New Roman"/>
          <w:color w:val="auto"/>
          <w:highlight w:val="none"/>
        </w:rPr>
        <w:t>元</w:t>
      </w:r>
    </w:p>
    <w:p w14:paraId="1FD471D5">
      <w:pPr>
        <w:pStyle w:val="3"/>
        <w:numPr>
          <w:ilvl w:val="0"/>
          <w:numId w:val="3"/>
        </w:numPr>
        <w:ind w:firstLine="562" w:firstLineChars="200"/>
        <w:rPr>
          <w:rFonts w:ascii="Times New Roman" w:hAnsi="Times New Roman" w:eastAsia="宋体" w:cs="Times New Roman"/>
          <w:color w:val="auto"/>
          <w:highlight w:val="none"/>
        </w:rPr>
      </w:pPr>
      <w:bookmarkStart w:id="3" w:name="_Toc4938"/>
      <w:r>
        <w:rPr>
          <w:rFonts w:hint="eastAsia" w:ascii="Times New Roman" w:hAnsi="Times New Roman" w:eastAsia="宋体" w:cs="Times New Roman"/>
          <w:color w:val="auto"/>
          <w:highlight w:val="none"/>
        </w:rPr>
        <w:t>采购标的汇总表</w:t>
      </w:r>
      <w:bookmarkEnd w:id="3"/>
    </w:p>
    <w:tbl>
      <w:tblPr>
        <w:tblStyle w:val="7"/>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687"/>
        <w:gridCol w:w="2289"/>
        <w:gridCol w:w="1755"/>
        <w:gridCol w:w="1032"/>
        <w:gridCol w:w="737"/>
        <w:gridCol w:w="1158"/>
      </w:tblGrid>
      <w:tr w14:paraId="7AE1C59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22" w:type="dxa"/>
            <w:tcBorders>
              <w:tl2br w:val="nil"/>
              <w:tr2bl w:val="nil"/>
            </w:tcBorders>
            <w:noWrap w:val="0"/>
            <w:vAlign w:val="center"/>
          </w:tcPr>
          <w:p w14:paraId="1F0306E8">
            <w:pPr>
              <w:spacing w:line="300" w:lineRule="exact"/>
              <w:jc w:val="center"/>
              <w:rPr>
                <w:rFonts w:ascii="微软雅黑" w:hAnsi="微软雅黑" w:eastAsia="微软雅黑" w:cs="微软雅黑"/>
                <w:b/>
                <w:bCs/>
                <w:color w:val="auto"/>
                <w:sz w:val="22"/>
                <w:highlight w:val="none"/>
              </w:rPr>
            </w:pPr>
            <w:r>
              <w:rPr>
                <w:rFonts w:hint="eastAsia" w:ascii="微软雅黑" w:hAnsi="微软雅黑" w:eastAsia="微软雅黑" w:cs="微软雅黑"/>
                <w:b/>
                <w:bCs/>
                <w:color w:val="auto"/>
                <w:sz w:val="22"/>
                <w:highlight w:val="none"/>
              </w:rPr>
              <w:t>包号</w:t>
            </w:r>
          </w:p>
        </w:tc>
        <w:tc>
          <w:tcPr>
            <w:tcW w:w="780" w:type="dxa"/>
            <w:tcBorders>
              <w:tl2br w:val="nil"/>
              <w:tr2bl w:val="nil"/>
            </w:tcBorders>
            <w:noWrap w:val="0"/>
            <w:vAlign w:val="center"/>
          </w:tcPr>
          <w:p w14:paraId="35D8CD7C">
            <w:pPr>
              <w:spacing w:line="300" w:lineRule="exact"/>
              <w:jc w:val="center"/>
              <w:rPr>
                <w:rFonts w:ascii="微软雅黑" w:hAnsi="微软雅黑" w:eastAsia="微软雅黑" w:cs="微软雅黑"/>
                <w:b/>
                <w:bCs/>
                <w:color w:val="auto"/>
                <w:sz w:val="22"/>
                <w:highlight w:val="none"/>
              </w:rPr>
            </w:pPr>
            <w:r>
              <w:rPr>
                <w:rFonts w:hint="eastAsia" w:ascii="微软雅黑" w:hAnsi="微软雅黑" w:eastAsia="微软雅黑" w:cs="微软雅黑"/>
                <w:b/>
                <w:bCs/>
                <w:color w:val="auto"/>
                <w:sz w:val="22"/>
                <w:highlight w:val="none"/>
              </w:rPr>
              <w:t>序号</w:t>
            </w:r>
          </w:p>
        </w:tc>
        <w:tc>
          <w:tcPr>
            <w:tcW w:w="2820" w:type="dxa"/>
            <w:tcBorders>
              <w:tl2br w:val="nil"/>
              <w:tr2bl w:val="nil"/>
            </w:tcBorders>
            <w:noWrap w:val="0"/>
            <w:vAlign w:val="center"/>
          </w:tcPr>
          <w:p w14:paraId="1F0F0A19">
            <w:pPr>
              <w:spacing w:line="300" w:lineRule="exact"/>
              <w:jc w:val="center"/>
              <w:rPr>
                <w:rFonts w:ascii="微软雅黑" w:hAnsi="微软雅黑" w:eastAsia="微软雅黑" w:cs="微软雅黑"/>
                <w:b/>
                <w:bCs/>
                <w:color w:val="auto"/>
                <w:sz w:val="22"/>
                <w:highlight w:val="none"/>
              </w:rPr>
            </w:pPr>
            <w:r>
              <w:rPr>
                <w:rFonts w:hint="eastAsia" w:ascii="微软雅黑" w:hAnsi="微软雅黑" w:eastAsia="微软雅黑" w:cs="微软雅黑"/>
                <w:b/>
                <w:bCs/>
                <w:color w:val="auto"/>
                <w:sz w:val="22"/>
                <w:highlight w:val="none"/>
              </w:rPr>
              <w:t>标的名称</w:t>
            </w:r>
          </w:p>
        </w:tc>
        <w:tc>
          <w:tcPr>
            <w:tcW w:w="1838" w:type="dxa"/>
            <w:tcBorders>
              <w:tl2br w:val="nil"/>
              <w:tr2bl w:val="nil"/>
            </w:tcBorders>
            <w:noWrap w:val="0"/>
            <w:vAlign w:val="center"/>
          </w:tcPr>
          <w:p w14:paraId="4265E5DE">
            <w:pPr>
              <w:spacing w:line="300" w:lineRule="exact"/>
              <w:jc w:val="center"/>
              <w:rPr>
                <w:rFonts w:ascii="微软雅黑" w:hAnsi="微软雅黑" w:eastAsia="微软雅黑" w:cs="微软雅黑"/>
                <w:b/>
                <w:bCs/>
                <w:color w:val="auto"/>
                <w:sz w:val="22"/>
                <w:highlight w:val="none"/>
              </w:rPr>
            </w:pPr>
            <w:r>
              <w:rPr>
                <w:rFonts w:hint="eastAsia" w:ascii="微软雅黑" w:hAnsi="微软雅黑" w:eastAsia="微软雅黑" w:cs="微软雅黑"/>
                <w:b/>
                <w:bCs/>
                <w:color w:val="auto"/>
                <w:sz w:val="22"/>
                <w:highlight w:val="none"/>
              </w:rPr>
              <w:t>品目分类编码</w:t>
            </w:r>
          </w:p>
        </w:tc>
        <w:tc>
          <w:tcPr>
            <w:tcW w:w="1252" w:type="dxa"/>
            <w:tcBorders>
              <w:tl2br w:val="nil"/>
              <w:tr2bl w:val="nil"/>
            </w:tcBorders>
            <w:noWrap w:val="0"/>
            <w:vAlign w:val="center"/>
          </w:tcPr>
          <w:p w14:paraId="1FDF6055">
            <w:pPr>
              <w:spacing w:line="300" w:lineRule="exact"/>
              <w:jc w:val="center"/>
              <w:rPr>
                <w:rFonts w:ascii="微软雅黑" w:hAnsi="微软雅黑" w:eastAsia="微软雅黑" w:cs="微软雅黑"/>
                <w:b/>
                <w:bCs/>
                <w:color w:val="auto"/>
                <w:sz w:val="22"/>
                <w:highlight w:val="none"/>
              </w:rPr>
            </w:pPr>
            <w:r>
              <w:rPr>
                <w:rFonts w:hint="eastAsia" w:ascii="微软雅黑" w:hAnsi="微软雅黑" w:eastAsia="微软雅黑" w:cs="微软雅黑"/>
                <w:b/>
                <w:bCs/>
                <w:color w:val="auto"/>
                <w:sz w:val="22"/>
                <w:highlight w:val="none"/>
              </w:rPr>
              <w:t>计量单位</w:t>
            </w:r>
          </w:p>
        </w:tc>
        <w:tc>
          <w:tcPr>
            <w:tcW w:w="826" w:type="dxa"/>
            <w:tcBorders>
              <w:tl2br w:val="nil"/>
              <w:tr2bl w:val="nil"/>
            </w:tcBorders>
            <w:noWrap w:val="0"/>
            <w:vAlign w:val="center"/>
          </w:tcPr>
          <w:p w14:paraId="7F822ABA">
            <w:pPr>
              <w:spacing w:line="300" w:lineRule="exact"/>
              <w:jc w:val="center"/>
              <w:rPr>
                <w:rFonts w:ascii="微软雅黑" w:hAnsi="微软雅黑" w:eastAsia="微软雅黑" w:cs="微软雅黑"/>
                <w:b/>
                <w:bCs/>
                <w:color w:val="auto"/>
                <w:sz w:val="22"/>
                <w:highlight w:val="none"/>
              </w:rPr>
            </w:pPr>
            <w:r>
              <w:rPr>
                <w:rFonts w:hint="eastAsia" w:ascii="微软雅黑" w:hAnsi="微软雅黑" w:eastAsia="微软雅黑" w:cs="微软雅黑"/>
                <w:b/>
                <w:bCs/>
                <w:color w:val="auto"/>
                <w:sz w:val="22"/>
                <w:highlight w:val="none"/>
              </w:rPr>
              <w:t>数量</w:t>
            </w:r>
          </w:p>
        </w:tc>
        <w:tc>
          <w:tcPr>
            <w:tcW w:w="1424" w:type="dxa"/>
            <w:tcBorders>
              <w:tl2br w:val="nil"/>
              <w:tr2bl w:val="nil"/>
            </w:tcBorders>
            <w:noWrap w:val="0"/>
            <w:vAlign w:val="center"/>
          </w:tcPr>
          <w:p w14:paraId="0E5C5256">
            <w:pPr>
              <w:spacing w:line="300" w:lineRule="exact"/>
              <w:jc w:val="center"/>
              <w:rPr>
                <w:rFonts w:ascii="微软雅黑" w:hAnsi="微软雅黑" w:eastAsia="微软雅黑" w:cs="微软雅黑"/>
                <w:b/>
                <w:bCs/>
                <w:color w:val="auto"/>
                <w:sz w:val="22"/>
                <w:highlight w:val="none"/>
              </w:rPr>
            </w:pPr>
            <w:r>
              <w:rPr>
                <w:rFonts w:hint="eastAsia" w:ascii="微软雅黑" w:hAnsi="微软雅黑" w:eastAsia="微软雅黑" w:cs="微软雅黑"/>
                <w:b/>
                <w:bCs/>
                <w:color w:val="auto"/>
                <w:sz w:val="22"/>
                <w:highlight w:val="none"/>
              </w:rPr>
              <w:t>是否进口</w:t>
            </w:r>
          </w:p>
        </w:tc>
      </w:tr>
      <w:tr w14:paraId="69D896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22" w:type="dxa"/>
            <w:tcBorders>
              <w:tl2br w:val="nil"/>
              <w:tr2bl w:val="nil"/>
            </w:tcBorders>
            <w:noWrap w:val="0"/>
            <w:vAlign w:val="center"/>
          </w:tcPr>
          <w:p w14:paraId="7B980C95">
            <w:pPr>
              <w:pStyle w:val="10"/>
              <w:spacing w:line="480" w:lineRule="auto"/>
              <w:ind w:firstLine="0" w:firstLineChars="0"/>
              <w:jc w:val="center"/>
              <w:rPr>
                <w:rFonts w:ascii="微软雅黑" w:hAnsi="微软雅黑" w:eastAsia="微软雅黑" w:cs="微软雅黑"/>
                <w:color w:val="auto"/>
                <w:kern w:val="2"/>
                <w:sz w:val="22"/>
                <w:szCs w:val="21"/>
                <w:highlight w:val="none"/>
                <w:lang w:val="en-US" w:eastAsia="zh-CN" w:bidi="ar-SA"/>
              </w:rPr>
            </w:pPr>
            <w:r>
              <w:rPr>
                <w:rFonts w:hint="eastAsia" w:ascii="微软雅黑" w:hAnsi="微软雅黑" w:eastAsia="微软雅黑" w:cs="微软雅黑"/>
                <w:color w:val="auto"/>
                <w:sz w:val="22"/>
                <w:szCs w:val="21"/>
                <w:highlight w:val="none"/>
              </w:rPr>
              <w:t>/</w:t>
            </w:r>
          </w:p>
        </w:tc>
        <w:tc>
          <w:tcPr>
            <w:tcW w:w="780" w:type="dxa"/>
            <w:tcBorders>
              <w:tl2br w:val="nil"/>
              <w:tr2bl w:val="nil"/>
            </w:tcBorders>
            <w:noWrap w:val="0"/>
            <w:vAlign w:val="center"/>
          </w:tcPr>
          <w:p w14:paraId="1A96AE8A">
            <w:pPr>
              <w:pStyle w:val="10"/>
              <w:numPr>
                <w:ilvl w:val="0"/>
                <w:numId w:val="4"/>
              </w:numPr>
              <w:spacing w:line="480" w:lineRule="auto"/>
              <w:ind w:left="0" w:leftChars="0" w:firstLine="0" w:firstLineChars="0"/>
              <w:jc w:val="center"/>
              <w:rPr>
                <w:rFonts w:ascii="微软雅黑" w:hAnsi="微软雅黑" w:eastAsia="微软雅黑" w:cs="微软雅黑"/>
                <w:color w:val="auto"/>
                <w:kern w:val="2"/>
                <w:sz w:val="22"/>
                <w:szCs w:val="21"/>
                <w:highlight w:val="none"/>
                <w:lang w:val="en-US" w:eastAsia="zh-CN" w:bidi="ar-SA"/>
              </w:rPr>
            </w:pPr>
          </w:p>
        </w:tc>
        <w:tc>
          <w:tcPr>
            <w:tcW w:w="2820" w:type="dxa"/>
            <w:tcBorders>
              <w:tl2br w:val="nil"/>
              <w:tr2bl w:val="nil"/>
            </w:tcBorders>
            <w:noWrap w:val="0"/>
            <w:vAlign w:val="center"/>
          </w:tcPr>
          <w:p w14:paraId="53A17BF0">
            <w:pPr>
              <w:pStyle w:val="11"/>
              <w:numPr>
                <w:ilvl w:val="0"/>
                <w:numId w:val="0"/>
              </w:numPr>
              <w:spacing w:line="300" w:lineRule="exact"/>
              <w:ind w:left="210" w:leftChars="100" w:firstLine="0" w:firstLineChars="0"/>
              <w:jc w:val="center"/>
              <w:rPr>
                <w:rFonts w:hint="eastAsia" w:ascii="微软雅黑" w:hAnsi="微软雅黑" w:eastAsia="微软雅黑" w:cs="微软雅黑"/>
                <w:i/>
                <w:iCs/>
                <w:color w:val="auto"/>
                <w:kern w:val="2"/>
                <w:sz w:val="20"/>
                <w:szCs w:val="24"/>
                <w:highlight w:val="none"/>
                <w:lang w:val="en-US" w:eastAsia="zh-CN" w:bidi="ar-SA"/>
              </w:rPr>
            </w:pPr>
            <w:r>
              <w:rPr>
                <w:rFonts w:hint="eastAsia" w:ascii="微软雅黑" w:hAnsi="微软雅黑" w:cs="微软雅黑"/>
                <w:color w:val="auto"/>
                <w:highlight w:val="none"/>
                <w:lang w:eastAsia="zh-CN"/>
              </w:rPr>
              <w:t>桑植县2026年困难重度残疾人家庭无障碍改造工程</w:t>
            </w:r>
          </w:p>
        </w:tc>
        <w:tc>
          <w:tcPr>
            <w:tcW w:w="1838" w:type="dxa"/>
            <w:tcBorders>
              <w:tl2br w:val="nil"/>
              <w:tr2bl w:val="nil"/>
            </w:tcBorders>
            <w:noWrap w:val="0"/>
            <w:vAlign w:val="center"/>
          </w:tcPr>
          <w:p w14:paraId="6BC69F1F">
            <w:pPr>
              <w:pStyle w:val="11"/>
              <w:numPr>
                <w:ilvl w:val="0"/>
                <w:numId w:val="0"/>
              </w:numPr>
              <w:ind w:left="210" w:leftChars="100" w:firstLine="0" w:firstLineChars="0"/>
              <w:jc w:val="center"/>
              <w:rPr>
                <w:rFonts w:hint="eastAsia" w:ascii="微软雅黑" w:hAnsi="微软雅黑" w:eastAsia="微软雅黑" w:cs="微软雅黑"/>
                <w:color w:val="auto"/>
                <w:kern w:val="2"/>
                <w:sz w:val="20"/>
                <w:szCs w:val="24"/>
                <w:highlight w:val="none"/>
                <w:lang w:val="en-US" w:eastAsia="zh-CN" w:bidi="ar-SA"/>
              </w:rPr>
            </w:pPr>
            <w:r>
              <w:rPr>
                <w:rFonts w:hint="eastAsia" w:ascii="微软雅黑" w:hAnsi="微软雅黑" w:cs="微软雅黑"/>
                <w:color w:val="auto"/>
                <w:highlight w:val="none"/>
                <w:lang w:eastAsia="zh-CN"/>
              </w:rPr>
              <w:t>B01990000-其他房屋施工</w:t>
            </w:r>
          </w:p>
        </w:tc>
        <w:tc>
          <w:tcPr>
            <w:tcW w:w="1252" w:type="dxa"/>
            <w:tcBorders>
              <w:tl2br w:val="nil"/>
              <w:tr2bl w:val="nil"/>
            </w:tcBorders>
            <w:noWrap w:val="0"/>
            <w:vAlign w:val="center"/>
          </w:tcPr>
          <w:p w14:paraId="25E3C5C0">
            <w:pPr>
              <w:pStyle w:val="11"/>
              <w:numPr>
                <w:ilvl w:val="0"/>
                <w:numId w:val="0"/>
              </w:numPr>
              <w:ind w:left="0" w:leftChars="0" w:firstLine="0" w:firstLineChars="0"/>
              <w:jc w:val="center"/>
              <w:rPr>
                <w:rFonts w:ascii="微软雅黑" w:hAnsi="微软雅黑" w:eastAsia="微软雅黑" w:cs="微软雅黑"/>
                <w:color w:val="auto"/>
                <w:kern w:val="2"/>
                <w:sz w:val="20"/>
                <w:szCs w:val="24"/>
                <w:highlight w:val="none"/>
                <w:lang w:val="en-US" w:eastAsia="zh-CN" w:bidi="ar-SA"/>
              </w:rPr>
            </w:pPr>
            <w:r>
              <w:rPr>
                <w:rFonts w:hint="eastAsia" w:ascii="微软雅黑" w:hAnsi="微软雅黑" w:cs="微软雅黑"/>
                <w:color w:val="auto"/>
                <w:highlight w:val="none"/>
              </w:rPr>
              <w:t>项</w:t>
            </w:r>
          </w:p>
        </w:tc>
        <w:tc>
          <w:tcPr>
            <w:tcW w:w="826" w:type="dxa"/>
            <w:tcBorders>
              <w:tl2br w:val="nil"/>
              <w:tr2bl w:val="nil"/>
            </w:tcBorders>
            <w:noWrap w:val="0"/>
            <w:vAlign w:val="center"/>
          </w:tcPr>
          <w:p w14:paraId="1A83610F">
            <w:pPr>
              <w:pStyle w:val="11"/>
              <w:numPr>
                <w:ilvl w:val="0"/>
                <w:numId w:val="0"/>
              </w:numPr>
              <w:ind w:left="210" w:leftChars="100" w:firstLine="0" w:firstLineChars="0"/>
              <w:rPr>
                <w:rFonts w:ascii="微软雅黑" w:hAnsi="微软雅黑" w:eastAsia="微软雅黑" w:cs="微软雅黑"/>
                <w:i/>
                <w:iCs/>
                <w:color w:val="auto"/>
                <w:kern w:val="2"/>
                <w:sz w:val="20"/>
                <w:szCs w:val="24"/>
                <w:highlight w:val="none"/>
                <w:lang w:val="en-US" w:eastAsia="zh-CN" w:bidi="ar-SA"/>
              </w:rPr>
            </w:pPr>
            <w:r>
              <w:rPr>
                <w:rFonts w:hint="eastAsia" w:ascii="微软雅黑" w:hAnsi="微软雅黑" w:cs="微软雅黑"/>
                <w:color w:val="auto"/>
                <w:highlight w:val="none"/>
              </w:rPr>
              <w:t>1</w:t>
            </w:r>
          </w:p>
        </w:tc>
        <w:tc>
          <w:tcPr>
            <w:tcW w:w="1424" w:type="dxa"/>
            <w:tcBorders>
              <w:tl2br w:val="nil"/>
              <w:tr2bl w:val="nil"/>
            </w:tcBorders>
            <w:noWrap w:val="0"/>
            <w:vAlign w:val="center"/>
          </w:tcPr>
          <w:p w14:paraId="606D722D">
            <w:pPr>
              <w:pStyle w:val="11"/>
              <w:numPr>
                <w:ilvl w:val="0"/>
                <w:numId w:val="0"/>
              </w:numPr>
              <w:ind w:left="0" w:leftChars="0" w:firstLine="0" w:firstLineChars="0"/>
              <w:jc w:val="center"/>
              <w:rPr>
                <w:rFonts w:ascii="微软雅黑" w:hAnsi="微软雅黑" w:eastAsia="微软雅黑" w:cs="微软雅黑"/>
                <w:i/>
                <w:iCs/>
                <w:color w:val="auto"/>
                <w:kern w:val="2"/>
                <w:sz w:val="20"/>
                <w:szCs w:val="24"/>
                <w:highlight w:val="none"/>
                <w:lang w:val="en-US" w:eastAsia="zh-CN" w:bidi="ar-SA"/>
              </w:rPr>
            </w:pPr>
            <w:r>
              <w:rPr>
                <w:rFonts w:hint="eastAsia" w:ascii="微软雅黑" w:hAnsi="微软雅黑" w:cs="微软雅黑"/>
                <w:color w:val="auto"/>
                <w:highlight w:val="none"/>
              </w:rPr>
              <w:t>否</w:t>
            </w:r>
          </w:p>
        </w:tc>
      </w:tr>
    </w:tbl>
    <w:p w14:paraId="4B6CF8FB">
      <w:pPr>
        <w:pStyle w:val="3"/>
        <w:numPr>
          <w:ilvl w:val="0"/>
          <w:numId w:val="3"/>
        </w:numPr>
        <w:ind w:firstLine="562" w:firstLineChars="200"/>
        <w:rPr>
          <w:rFonts w:ascii="Times New Roman" w:hAnsi="Times New Roman" w:eastAsia="宋体" w:cs="Times New Roman"/>
          <w:color w:val="auto"/>
          <w:highlight w:val="none"/>
        </w:rPr>
      </w:pPr>
      <w:bookmarkStart w:id="4" w:name="_Toc5867"/>
      <w:r>
        <w:rPr>
          <w:rFonts w:hint="eastAsia" w:ascii="Times New Roman" w:hAnsi="Times New Roman" w:eastAsia="宋体" w:cs="Times New Roman"/>
          <w:color w:val="auto"/>
          <w:highlight w:val="none"/>
        </w:rPr>
        <w:t>技术商务要求</w:t>
      </w:r>
      <w:bookmarkEnd w:id="4"/>
    </w:p>
    <w:p w14:paraId="60B16FB3">
      <w:pPr>
        <w:pStyle w:val="10"/>
        <w:ind w:firstLine="480"/>
        <w:rPr>
          <w:rFonts w:cs="Times New Roman"/>
          <w:b/>
          <w:bCs/>
          <w:color w:val="auto"/>
          <w:highlight w:val="none"/>
        </w:rPr>
      </w:pPr>
      <w:r>
        <w:rPr>
          <w:rFonts w:hint="eastAsia" w:cs="Times New Roman"/>
          <w:b/>
          <w:bCs/>
          <w:color w:val="auto"/>
          <w:highlight w:val="none"/>
        </w:rPr>
        <w:t>（1）技术要求</w:t>
      </w:r>
    </w:p>
    <w:p w14:paraId="3E0CADB6">
      <w:pPr>
        <w:pStyle w:val="9"/>
        <w:spacing w:before="312"/>
        <w:ind w:firstLine="420"/>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1.1以采购人提供的工程量清单为准，采购人提供的施工设计图仅作为计算工程量的参考依据，工程结算须经财政部门审计并以财政部门审定值为准；</w:t>
      </w:r>
    </w:p>
    <w:p w14:paraId="4EC0939A">
      <w:pPr>
        <w:pStyle w:val="9"/>
        <w:spacing w:before="312"/>
        <w:ind w:firstLine="420"/>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1.2建筑材料必须合格(有相应合格证)，施工符合相关工程规范要求，质量合格</w:t>
      </w:r>
      <w:r>
        <w:rPr>
          <w:rFonts w:ascii="Times New Roman" w:hAnsi="Times New Roman" w:eastAsia="宋体" w:cs="Times New Roman"/>
          <w:color w:val="auto"/>
          <w:sz w:val="21"/>
          <w:szCs w:val="21"/>
          <w:highlight w:val="none"/>
        </w:rPr>
        <w:t>；</w:t>
      </w:r>
    </w:p>
    <w:p w14:paraId="4751B30A">
      <w:pPr>
        <w:pStyle w:val="9"/>
        <w:spacing w:before="312"/>
        <w:ind w:firstLine="420"/>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1.3</w:t>
      </w:r>
      <w:r>
        <w:rPr>
          <w:rFonts w:ascii="Times New Roman" w:hAnsi="Times New Roman" w:eastAsia="宋体" w:cs="Times New Roman"/>
          <w:color w:val="auto"/>
          <w:sz w:val="21"/>
          <w:szCs w:val="21"/>
          <w:highlight w:val="none"/>
        </w:rPr>
        <w:t>质量标准∶达到国家施工验收规范合格标准</w:t>
      </w:r>
      <w:r>
        <w:rPr>
          <w:rFonts w:hint="eastAsia" w:ascii="Times New Roman" w:hAnsi="Times New Roman" w:eastAsia="宋体" w:cs="Times New Roman"/>
          <w:color w:val="auto"/>
          <w:sz w:val="21"/>
          <w:szCs w:val="21"/>
          <w:highlight w:val="none"/>
        </w:rPr>
        <w:t>；</w:t>
      </w:r>
    </w:p>
    <w:p w14:paraId="0A7CEBEB">
      <w:pPr>
        <w:pStyle w:val="9"/>
        <w:spacing w:before="312"/>
        <w:ind w:firstLine="420"/>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1.4</w:t>
      </w:r>
      <w:r>
        <w:rPr>
          <w:rFonts w:ascii="Times New Roman" w:hAnsi="Times New Roman" w:eastAsia="宋体" w:cs="Times New Roman"/>
          <w:color w:val="auto"/>
          <w:sz w:val="21"/>
          <w:szCs w:val="21"/>
          <w:highlight w:val="none"/>
        </w:rPr>
        <w:t>施工材料设备实行用户控制（甲控），即施工材料设备只有在采购人认可后方可使用，中标</w:t>
      </w:r>
      <w:r>
        <w:rPr>
          <w:rFonts w:hint="eastAsia" w:ascii="Times New Roman" w:hAnsi="Times New Roman" w:eastAsia="宋体" w:cs="Times New Roman"/>
          <w:color w:val="auto"/>
          <w:sz w:val="21"/>
          <w:szCs w:val="21"/>
          <w:highlight w:val="none"/>
        </w:rPr>
        <w:t>供应商</w:t>
      </w:r>
      <w:r>
        <w:rPr>
          <w:rFonts w:ascii="Times New Roman" w:hAnsi="Times New Roman" w:eastAsia="宋体" w:cs="Times New Roman"/>
          <w:color w:val="auto"/>
          <w:sz w:val="21"/>
          <w:szCs w:val="21"/>
          <w:highlight w:val="none"/>
        </w:rPr>
        <w:t>负责材料设备的采购、运输、保管和退换等事项</w:t>
      </w:r>
      <w:r>
        <w:rPr>
          <w:rFonts w:hint="eastAsia" w:ascii="Times New Roman" w:hAnsi="Times New Roman" w:eastAsia="宋体" w:cs="Times New Roman"/>
          <w:color w:val="auto"/>
          <w:sz w:val="21"/>
          <w:szCs w:val="21"/>
          <w:highlight w:val="none"/>
        </w:rPr>
        <w:t>；</w:t>
      </w:r>
    </w:p>
    <w:p w14:paraId="52100367">
      <w:pPr>
        <w:pStyle w:val="9"/>
        <w:spacing w:before="312"/>
        <w:ind w:firstLine="420"/>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1.5</w:t>
      </w:r>
      <w:r>
        <w:rPr>
          <w:rFonts w:ascii="Times New Roman" w:hAnsi="Times New Roman" w:eastAsia="宋体" w:cs="Times New Roman"/>
          <w:color w:val="auto"/>
          <w:sz w:val="21"/>
          <w:szCs w:val="21"/>
          <w:highlight w:val="none"/>
        </w:rPr>
        <w:t>本项目的工程建设必须达到现行国家、省、市或行业的工程建设标准、规范及强制性条文的要求</w:t>
      </w:r>
      <w:r>
        <w:rPr>
          <w:rFonts w:hint="eastAsia" w:ascii="Times New Roman" w:hAnsi="Times New Roman" w:eastAsia="宋体" w:cs="Times New Roman"/>
          <w:color w:val="auto"/>
          <w:sz w:val="21"/>
          <w:szCs w:val="21"/>
          <w:highlight w:val="none"/>
        </w:rPr>
        <w:t>；</w:t>
      </w:r>
    </w:p>
    <w:p w14:paraId="25FD2AE3">
      <w:pPr>
        <w:pStyle w:val="9"/>
        <w:spacing w:before="312"/>
        <w:ind w:firstLine="420"/>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1.6响应</w:t>
      </w:r>
      <w:r>
        <w:rPr>
          <w:rFonts w:ascii="Times New Roman" w:hAnsi="Times New Roman" w:eastAsia="宋体" w:cs="Times New Roman"/>
          <w:color w:val="auto"/>
          <w:sz w:val="21"/>
          <w:szCs w:val="21"/>
          <w:highlight w:val="none"/>
        </w:rPr>
        <w:t>文件中提供详细的施工组织设计，包括工期、施工进度计划及保证措施、主要部位质量保证措施、施工安全保障措施、保证采购人正常办公环境的措施、主要部位的施工方法或方案和施工保证措施、工程交验后在约定的保修期内的保修措施及期后的服务维护措施、现场文明施工措施、成品保护措施等主要措施等内容</w:t>
      </w:r>
      <w:r>
        <w:rPr>
          <w:rFonts w:hint="eastAsia" w:ascii="Times New Roman" w:hAnsi="Times New Roman" w:eastAsia="宋体" w:cs="Times New Roman"/>
          <w:color w:val="auto"/>
          <w:sz w:val="21"/>
          <w:szCs w:val="21"/>
          <w:highlight w:val="none"/>
        </w:rPr>
        <w:t>；</w:t>
      </w:r>
    </w:p>
    <w:p w14:paraId="5E66FF68">
      <w:pPr>
        <w:pStyle w:val="9"/>
        <w:spacing w:before="312"/>
        <w:ind w:firstLine="420"/>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1.7</w:t>
      </w:r>
      <w:r>
        <w:rPr>
          <w:rFonts w:ascii="Times New Roman" w:hAnsi="Times New Roman" w:eastAsia="宋体" w:cs="Times New Roman"/>
          <w:color w:val="auto"/>
          <w:sz w:val="21"/>
          <w:szCs w:val="21"/>
          <w:highlight w:val="none"/>
        </w:rPr>
        <w:t>施工中应严格遵守有关环境保护的法律法规，并应采用有效措施控制施工现场各种粉尘、废气、废弃物噪声、振动等对周围环境造成的污染和危害</w:t>
      </w:r>
      <w:r>
        <w:rPr>
          <w:rFonts w:hint="eastAsia" w:ascii="Times New Roman" w:hAnsi="Times New Roman" w:eastAsia="宋体" w:cs="Times New Roman"/>
          <w:color w:val="auto"/>
          <w:sz w:val="21"/>
          <w:szCs w:val="21"/>
          <w:highlight w:val="none"/>
        </w:rPr>
        <w:t>；</w:t>
      </w:r>
    </w:p>
    <w:p w14:paraId="4DDAB40B">
      <w:pPr>
        <w:pStyle w:val="9"/>
        <w:spacing w:before="312"/>
        <w:ind w:firstLine="420"/>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1.8工程施工中余土及垃圾要及时外运，不得在工地存放。工程竣工后将施工垃圾全部清理完毕，做到工完、料净、地清；</w:t>
      </w:r>
    </w:p>
    <w:p w14:paraId="645D85F1">
      <w:pPr>
        <w:pStyle w:val="9"/>
        <w:spacing w:before="312"/>
        <w:ind w:firstLine="420"/>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1.9供应商</w:t>
      </w:r>
      <w:r>
        <w:rPr>
          <w:rFonts w:ascii="Times New Roman" w:hAnsi="Times New Roman" w:eastAsia="宋体" w:cs="Times New Roman"/>
          <w:color w:val="auto"/>
          <w:sz w:val="21"/>
          <w:szCs w:val="21"/>
          <w:highlight w:val="none"/>
        </w:rPr>
        <w:t>必须具有良好的资信和售后服务，服从采购人的管理，并能密切配合</w:t>
      </w:r>
      <w:r>
        <w:rPr>
          <w:rFonts w:hint="eastAsia" w:ascii="Times New Roman" w:hAnsi="Times New Roman" w:eastAsia="宋体" w:cs="Times New Roman"/>
          <w:color w:val="auto"/>
          <w:sz w:val="21"/>
          <w:szCs w:val="21"/>
          <w:highlight w:val="none"/>
        </w:rPr>
        <w:t>其他配套</w:t>
      </w:r>
      <w:r>
        <w:rPr>
          <w:rFonts w:ascii="Times New Roman" w:hAnsi="Times New Roman" w:eastAsia="宋体" w:cs="Times New Roman"/>
          <w:color w:val="auto"/>
          <w:sz w:val="21"/>
          <w:szCs w:val="21"/>
          <w:highlight w:val="none"/>
        </w:rPr>
        <w:t>施工项目</w:t>
      </w:r>
      <w:r>
        <w:rPr>
          <w:rFonts w:hint="eastAsia" w:ascii="Times New Roman" w:hAnsi="Times New Roman" w:eastAsia="宋体" w:cs="Times New Roman"/>
          <w:color w:val="auto"/>
          <w:sz w:val="21"/>
          <w:szCs w:val="21"/>
          <w:highlight w:val="none"/>
        </w:rPr>
        <w:t>；</w:t>
      </w:r>
    </w:p>
    <w:p w14:paraId="5494C4A3">
      <w:pPr>
        <w:pStyle w:val="9"/>
        <w:spacing w:before="312"/>
        <w:ind w:firstLine="420"/>
        <w:rPr>
          <w:rFonts w:hint="eastAsia" w:ascii="Times New Roman" w:hAnsi="Times New Roman" w:eastAsia="宋体" w:cs="Times New Roman"/>
          <w:i/>
          <w:iCs/>
          <w:color w:val="auto"/>
          <w:sz w:val="21"/>
          <w:szCs w:val="21"/>
          <w:highlight w:val="none"/>
          <w:u w:val="single"/>
        </w:rPr>
      </w:pPr>
      <w:r>
        <w:rPr>
          <w:rFonts w:hint="eastAsia" w:ascii="Times New Roman" w:hAnsi="Times New Roman" w:eastAsia="宋体" w:cs="Times New Roman"/>
          <w:color w:val="auto"/>
          <w:sz w:val="21"/>
          <w:szCs w:val="21"/>
          <w:highlight w:val="none"/>
        </w:rPr>
        <w:t>1.10供应商</w:t>
      </w:r>
      <w:r>
        <w:rPr>
          <w:rFonts w:ascii="Times New Roman" w:hAnsi="Times New Roman" w:eastAsia="宋体" w:cs="Times New Roman"/>
          <w:color w:val="auto"/>
          <w:sz w:val="21"/>
          <w:szCs w:val="21"/>
          <w:highlight w:val="none"/>
        </w:rPr>
        <w:t>应按照</w:t>
      </w:r>
      <w:r>
        <w:rPr>
          <w:rFonts w:hint="eastAsia" w:ascii="Times New Roman" w:hAnsi="Times New Roman" w:eastAsia="宋体" w:cs="Times New Roman"/>
          <w:color w:val="auto"/>
          <w:sz w:val="21"/>
          <w:szCs w:val="21"/>
          <w:highlight w:val="none"/>
        </w:rPr>
        <w:t>采购</w:t>
      </w:r>
      <w:r>
        <w:rPr>
          <w:rFonts w:ascii="Times New Roman" w:hAnsi="Times New Roman" w:eastAsia="宋体" w:cs="Times New Roman"/>
          <w:color w:val="auto"/>
          <w:sz w:val="21"/>
          <w:szCs w:val="21"/>
          <w:highlight w:val="none"/>
        </w:rPr>
        <w:t>文件要求对所提供的工程量清单和施工现场进行复核，若无异议则视同对</w:t>
      </w:r>
      <w:r>
        <w:rPr>
          <w:rFonts w:hint="eastAsia" w:ascii="Times New Roman" w:hAnsi="Times New Roman" w:eastAsia="宋体" w:cs="Times New Roman"/>
          <w:color w:val="auto"/>
          <w:sz w:val="21"/>
          <w:szCs w:val="21"/>
          <w:highlight w:val="none"/>
        </w:rPr>
        <w:t>响应</w:t>
      </w:r>
      <w:r>
        <w:rPr>
          <w:rFonts w:ascii="Times New Roman" w:hAnsi="Times New Roman" w:eastAsia="宋体" w:cs="Times New Roman"/>
          <w:color w:val="auto"/>
          <w:sz w:val="21"/>
          <w:szCs w:val="21"/>
          <w:highlight w:val="none"/>
        </w:rPr>
        <w:t>文件要求已确认，为交钥匙工程</w:t>
      </w:r>
      <w:r>
        <w:rPr>
          <w:rFonts w:hint="eastAsia" w:ascii="Times New Roman" w:hAnsi="Times New Roman" w:eastAsia="宋体" w:cs="Times New Roman"/>
          <w:color w:val="auto"/>
          <w:sz w:val="21"/>
          <w:szCs w:val="21"/>
          <w:highlight w:val="none"/>
        </w:rPr>
        <w:t>；</w:t>
      </w:r>
    </w:p>
    <w:p w14:paraId="756A7297">
      <w:pPr>
        <w:pStyle w:val="9"/>
        <w:spacing w:before="312"/>
        <w:ind w:firstLine="422"/>
        <w:rPr>
          <w:rFonts w:hint="eastAsia"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rPr>
        <w:t>1.11工程量清单详见附件。</w:t>
      </w:r>
    </w:p>
    <w:p w14:paraId="47F468C7">
      <w:pPr>
        <w:pStyle w:val="10"/>
        <w:ind w:firstLine="480"/>
        <w:rPr>
          <w:rFonts w:cs="Times New Roman"/>
          <w:b/>
          <w:bCs/>
          <w:color w:val="auto"/>
          <w:highlight w:val="none"/>
        </w:rPr>
      </w:pPr>
      <w:r>
        <w:rPr>
          <w:rFonts w:hint="eastAsia" w:cs="Times New Roman"/>
          <w:b/>
          <w:bCs/>
          <w:color w:val="auto"/>
          <w:highlight w:val="none"/>
        </w:rPr>
        <w:t>（2）商务要求</w:t>
      </w:r>
    </w:p>
    <w:tbl>
      <w:tblPr>
        <w:tblStyle w:val="6"/>
        <w:tblW w:w="0" w:type="auto"/>
        <w:tblInd w:w="221"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1100"/>
        <w:gridCol w:w="5626"/>
        <w:gridCol w:w="919"/>
      </w:tblGrid>
      <w:tr w14:paraId="2FB4FA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 w:type="dxa"/>
            <w:shd w:val="clear" w:color="8DB3E2" w:fill="FFFFFF"/>
            <w:noWrap w:val="0"/>
            <w:vAlign w:val="center"/>
          </w:tcPr>
          <w:p w14:paraId="77C28EE0">
            <w:pPr>
              <w:pStyle w:val="12"/>
              <w:rPr>
                <w:rFonts w:hint="default" w:cs="Times New Roman"/>
                <w:color w:val="auto"/>
                <w:highlight w:val="none"/>
              </w:rPr>
            </w:pPr>
            <w:r>
              <w:rPr>
                <w:rFonts w:cs="Times New Roman"/>
                <w:color w:val="auto"/>
                <w:highlight w:val="none"/>
              </w:rPr>
              <w:t>序号</w:t>
            </w:r>
          </w:p>
        </w:tc>
        <w:tc>
          <w:tcPr>
            <w:tcW w:w="1162" w:type="dxa"/>
            <w:shd w:val="clear" w:color="8DB3E2" w:fill="FFFFFF"/>
            <w:noWrap w:val="0"/>
            <w:vAlign w:val="center"/>
          </w:tcPr>
          <w:p w14:paraId="1CEAA4B2">
            <w:pPr>
              <w:pStyle w:val="12"/>
              <w:rPr>
                <w:rFonts w:hint="default" w:cs="Times New Roman"/>
                <w:color w:val="auto"/>
                <w:highlight w:val="none"/>
              </w:rPr>
            </w:pPr>
            <w:r>
              <w:rPr>
                <w:rFonts w:cs="Times New Roman"/>
                <w:color w:val="auto"/>
                <w:highlight w:val="none"/>
              </w:rPr>
              <w:t>商务条款</w:t>
            </w:r>
          </w:p>
        </w:tc>
        <w:tc>
          <w:tcPr>
            <w:tcW w:w="6037" w:type="dxa"/>
            <w:shd w:val="clear" w:color="8DB3E2" w:fill="FFFFFF"/>
            <w:noWrap w:val="0"/>
            <w:vAlign w:val="center"/>
          </w:tcPr>
          <w:p w14:paraId="24D129DE">
            <w:pPr>
              <w:pStyle w:val="12"/>
              <w:rPr>
                <w:rFonts w:hint="default" w:cs="Times New Roman"/>
                <w:color w:val="auto"/>
                <w:highlight w:val="none"/>
              </w:rPr>
            </w:pPr>
            <w:r>
              <w:rPr>
                <w:rFonts w:cs="Times New Roman"/>
                <w:color w:val="auto"/>
                <w:highlight w:val="none"/>
              </w:rPr>
              <w:t>内   　　 容</w:t>
            </w:r>
          </w:p>
        </w:tc>
        <w:tc>
          <w:tcPr>
            <w:tcW w:w="964" w:type="dxa"/>
            <w:shd w:val="clear" w:color="8DB3E2" w:fill="FFFFFF"/>
            <w:noWrap w:val="0"/>
            <w:vAlign w:val="center"/>
          </w:tcPr>
          <w:p w14:paraId="146F31A4">
            <w:pPr>
              <w:pStyle w:val="12"/>
              <w:rPr>
                <w:rFonts w:hint="default" w:eastAsia="黑体" w:cs="Times New Roman"/>
                <w:color w:val="auto"/>
                <w:highlight w:val="none"/>
              </w:rPr>
            </w:pPr>
            <w:r>
              <w:rPr>
                <w:rFonts w:cs="Times New Roman"/>
                <w:color w:val="auto"/>
                <w:highlight w:val="none"/>
              </w:rPr>
              <w:t>备注</w:t>
            </w:r>
          </w:p>
        </w:tc>
      </w:tr>
      <w:tr w14:paraId="1F1D1A8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center"/>
          </w:tcPr>
          <w:p w14:paraId="21184160">
            <w:pPr>
              <w:pStyle w:val="13"/>
              <w:numPr>
                <w:ilvl w:val="0"/>
                <w:numId w:val="5"/>
              </w:numPr>
              <w:jc w:val="center"/>
              <w:rPr>
                <w:rFonts w:ascii="Times New Roman" w:hAnsi="Times New Roman" w:cs="Times New Roman"/>
                <w:color w:val="auto"/>
                <w:highlight w:val="none"/>
              </w:rPr>
            </w:pPr>
          </w:p>
        </w:tc>
        <w:tc>
          <w:tcPr>
            <w:tcW w:w="1162" w:type="dxa"/>
            <w:noWrap w:val="0"/>
            <w:vAlign w:val="center"/>
          </w:tcPr>
          <w:p w14:paraId="338C0390">
            <w:pPr>
              <w:pStyle w:val="13"/>
              <w:jc w:val="center"/>
              <w:rPr>
                <w:rFonts w:ascii="Times New Roman" w:hAnsi="Times New Roman" w:cs="Times New Roman"/>
                <w:color w:val="auto"/>
                <w:highlight w:val="none"/>
              </w:rPr>
            </w:pPr>
            <w:r>
              <w:rPr>
                <w:rFonts w:hint="eastAsia" w:ascii="Times New Roman" w:hAnsi="Times New Roman" w:cs="Times New Roman"/>
                <w:color w:val="auto"/>
                <w:highlight w:val="none"/>
              </w:rPr>
              <w:t>工程地点</w:t>
            </w:r>
          </w:p>
        </w:tc>
        <w:tc>
          <w:tcPr>
            <w:tcW w:w="6037" w:type="dxa"/>
            <w:noWrap w:val="0"/>
            <w:vAlign w:val="center"/>
          </w:tcPr>
          <w:p w14:paraId="3424A70C">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张家界</w:t>
            </w:r>
            <w:r>
              <w:rPr>
                <w:rFonts w:hint="eastAsia" w:cs="Times New Roman"/>
                <w:color w:val="auto"/>
                <w:highlight w:val="none"/>
                <w:lang w:val="en-US" w:eastAsia="zh-CN"/>
              </w:rPr>
              <w:t>桑植县</w:t>
            </w:r>
            <w:r>
              <w:rPr>
                <w:rFonts w:hint="eastAsia" w:ascii="Times New Roman" w:hAnsi="Times New Roman" w:cs="Times New Roman"/>
                <w:color w:val="auto"/>
                <w:highlight w:val="none"/>
              </w:rPr>
              <w:t>，采购人指定地点。</w:t>
            </w:r>
          </w:p>
        </w:tc>
        <w:tc>
          <w:tcPr>
            <w:tcW w:w="964" w:type="dxa"/>
            <w:noWrap w:val="0"/>
            <w:vAlign w:val="top"/>
          </w:tcPr>
          <w:p w14:paraId="2F74CA35">
            <w:pPr>
              <w:pStyle w:val="9"/>
              <w:spacing w:before="312"/>
              <w:ind w:firstLine="480"/>
              <w:rPr>
                <w:rFonts w:ascii="Times New Roman" w:hAnsi="Times New Roman" w:eastAsia="宋体" w:cs="Times New Roman"/>
                <w:color w:val="auto"/>
                <w:highlight w:val="none"/>
              </w:rPr>
            </w:pPr>
          </w:p>
        </w:tc>
      </w:tr>
      <w:tr w14:paraId="5C742E9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center"/>
          </w:tcPr>
          <w:p w14:paraId="127BD70F">
            <w:pPr>
              <w:pStyle w:val="13"/>
              <w:numPr>
                <w:ilvl w:val="0"/>
                <w:numId w:val="5"/>
              </w:numPr>
              <w:jc w:val="center"/>
              <w:rPr>
                <w:rFonts w:ascii="Times New Roman" w:hAnsi="Times New Roman" w:cs="Times New Roman"/>
                <w:color w:val="auto"/>
                <w:highlight w:val="none"/>
              </w:rPr>
            </w:pPr>
          </w:p>
        </w:tc>
        <w:tc>
          <w:tcPr>
            <w:tcW w:w="1162" w:type="dxa"/>
            <w:noWrap w:val="0"/>
            <w:vAlign w:val="center"/>
          </w:tcPr>
          <w:p w14:paraId="36D07016">
            <w:pPr>
              <w:pStyle w:val="13"/>
              <w:jc w:val="center"/>
              <w:rPr>
                <w:rFonts w:ascii="Times New Roman" w:hAnsi="Times New Roman" w:cs="Times New Roman"/>
                <w:color w:val="auto"/>
                <w:highlight w:val="none"/>
              </w:rPr>
            </w:pPr>
            <w:r>
              <w:rPr>
                <w:rFonts w:hint="eastAsia" w:ascii="Times New Roman" w:hAnsi="Times New Roman" w:cs="Times New Roman"/>
                <w:color w:val="auto"/>
                <w:highlight w:val="none"/>
              </w:rPr>
              <w:t>工程内容</w:t>
            </w:r>
          </w:p>
        </w:tc>
        <w:tc>
          <w:tcPr>
            <w:tcW w:w="6037" w:type="dxa"/>
            <w:noWrap w:val="0"/>
            <w:vAlign w:val="center"/>
          </w:tcPr>
          <w:p w14:paraId="118B9BF0">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在楼梯、走廊等室外落差较大地区安装防护栏，改造室外坡道和室内坡化。改造卫生间和浴室，安装抓手、防滑垫等。厨房位置安装低位灶台、调整厨房设施高度等。配发无障碍用品多功能护理床、坐便器、闪光门铃、轮椅、语音式电饭煲、语音式电磁炉等。</w:t>
            </w:r>
          </w:p>
        </w:tc>
        <w:tc>
          <w:tcPr>
            <w:tcW w:w="964" w:type="dxa"/>
            <w:noWrap w:val="0"/>
            <w:vAlign w:val="top"/>
          </w:tcPr>
          <w:p w14:paraId="0AB96B5A">
            <w:pPr>
              <w:pStyle w:val="9"/>
              <w:spacing w:before="312"/>
              <w:ind w:firstLine="480"/>
              <w:rPr>
                <w:rFonts w:ascii="Times New Roman" w:hAnsi="Times New Roman" w:eastAsia="宋体" w:cs="Times New Roman"/>
                <w:color w:val="auto"/>
                <w:highlight w:val="none"/>
              </w:rPr>
            </w:pPr>
          </w:p>
        </w:tc>
      </w:tr>
      <w:tr w14:paraId="20C303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center"/>
          </w:tcPr>
          <w:p w14:paraId="1AE22C12">
            <w:pPr>
              <w:pStyle w:val="13"/>
              <w:numPr>
                <w:ilvl w:val="0"/>
                <w:numId w:val="5"/>
              </w:numPr>
              <w:jc w:val="center"/>
              <w:rPr>
                <w:rFonts w:ascii="Times New Roman" w:hAnsi="Times New Roman" w:cs="Times New Roman"/>
                <w:color w:val="auto"/>
                <w:highlight w:val="none"/>
              </w:rPr>
            </w:pPr>
          </w:p>
        </w:tc>
        <w:tc>
          <w:tcPr>
            <w:tcW w:w="1162" w:type="dxa"/>
            <w:noWrap w:val="0"/>
            <w:vAlign w:val="center"/>
          </w:tcPr>
          <w:p w14:paraId="55BC9037">
            <w:pPr>
              <w:pStyle w:val="13"/>
              <w:jc w:val="center"/>
              <w:rPr>
                <w:rFonts w:ascii="Times New Roman" w:hAnsi="Times New Roman" w:cs="Times New Roman"/>
                <w:color w:val="auto"/>
                <w:highlight w:val="none"/>
              </w:rPr>
            </w:pPr>
            <w:r>
              <w:rPr>
                <w:rFonts w:hint="eastAsia" w:ascii="Times New Roman" w:hAnsi="Times New Roman" w:cs="Times New Roman"/>
                <w:color w:val="auto"/>
                <w:highlight w:val="none"/>
              </w:rPr>
              <w:t>工程承包范围</w:t>
            </w:r>
          </w:p>
        </w:tc>
        <w:tc>
          <w:tcPr>
            <w:tcW w:w="6037" w:type="dxa"/>
            <w:noWrap w:val="0"/>
            <w:vAlign w:val="center"/>
          </w:tcPr>
          <w:p w14:paraId="75E934FF">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设计图纸、工程量清单及磋商文件中所含全部内容。</w:t>
            </w:r>
          </w:p>
        </w:tc>
        <w:tc>
          <w:tcPr>
            <w:tcW w:w="964" w:type="dxa"/>
            <w:noWrap w:val="0"/>
            <w:vAlign w:val="top"/>
          </w:tcPr>
          <w:p w14:paraId="7C81AF5E">
            <w:pPr>
              <w:pStyle w:val="9"/>
              <w:spacing w:before="312"/>
              <w:ind w:firstLine="480"/>
              <w:rPr>
                <w:rFonts w:ascii="Times New Roman" w:hAnsi="Times New Roman" w:eastAsia="宋体" w:cs="Times New Roman"/>
                <w:color w:val="auto"/>
                <w:highlight w:val="none"/>
              </w:rPr>
            </w:pPr>
          </w:p>
        </w:tc>
      </w:tr>
      <w:tr w14:paraId="2B03CB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center"/>
          </w:tcPr>
          <w:p w14:paraId="5442AD18">
            <w:pPr>
              <w:pStyle w:val="13"/>
              <w:numPr>
                <w:ilvl w:val="0"/>
                <w:numId w:val="5"/>
              </w:numPr>
              <w:jc w:val="center"/>
              <w:rPr>
                <w:rFonts w:ascii="Times New Roman" w:hAnsi="Times New Roman" w:cs="Times New Roman"/>
                <w:color w:val="auto"/>
                <w:highlight w:val="none"/>
              </w:rPr>
            </w:pPr>
          </w:p>
        </w:tc>
        <w:tc>
          <w:tcPr>
            <w:tcW w:w="1162" w:type="dxa"/>
            <w:noWrap w:val="0"/>
            <w:vAlign w:val="center"/>
          </w:tcPr>
          <w:p w14:paraId="791D048B">
            <w:pPr>
              <w:pStyle w:val="13"/>
              <w:jc w:val="center"/>
              <w:rPr>
                <w:rFonts w:ascii="Times New Roman" w:hAnsi="Times New Roman" w:cs="Times New Roman"/>
                <w:color w:val="auto"/>
                <w:highlight w:val="none"/>
              </w:rPr>
            </w:pPr>
            <w:r>
              <w:rPr>
                <w:rFonts w:hint="eastAsia" w:ascii="Times New Roman" w:hAnsi="Times New Roman" w:cs="Times New Roman"/>
                <w:color w:val="auto"/>
                <w:highlight w:val="none"/>
              </w:rPr>
              <w:t>质量保修</w:t>
            </w:r>
          </w:p>
        </w:tc>
        <w:tc>
          <w:tcPr>
            <w:tcW w:w="6037" w:type="dxa"/>
            <w:noWrap w:val="0"/>
            <w:vAlign w:val="center"/>
          </w:tcPr>
          <w:p w14:paraId="17B779C7">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按照国家法律规定。</w:t>
            </w:r>
          </w:p>
        </w:tc>
        <w:tc>
          <w:tcPr>
            <w:tcW w:w="964" w:type="dxa"/>
            <w:noWrap w:val="0"/>
            <w:vAlign w:val="top"/>
          </w:tcPr>
          <w:p w14:paraId="43955F9A">
            <w:pPr>
              <w:pStyle w:val="9"/>
              <w:spacing w:before="312"/>
              <w:ind w:firstLine="480"/>
              <w:rPr>
                <w:rFonts w:ascii="Times New Roman" w:hAnsi="Times New Roman" w:eastAsia="宋体" w:cs="Times New Roman"/>
                <w:color w:val="auto"/>
                <w:highlight w:val="none"/>
              </w:rPr>
            </w:pPr>
          </w:p>
        </w:tc>
      </w:tr>
      <w:tr w14:paraId="3BFCD9A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676" w:type="dxa"/>
            <w:noWrap w:val="0"/>
            <w:vAlign w:val="center"/>
          </w:tcPr>
          <w:p w14:paraId="16CBC719">
            <w:pPr>
              <w:pStyle w:val="13"/>
              <w:numPr>
                <w:ilvl w:val="0"/>
                <w:numId w:val="5"/>
              </w:numPr>
              <w:jc w:val="center"/>
              <w:rPr>
                <w:rFonts w:ascii="Times New Roman" w:hAnsi="Times New Roman" w:cs="Times New Roman"/>
                <w:color w:val="auto"/>
                <w:highlight w:val="none"/>
              </w:rPr>
            </w:pPr>
          </w:p>
        </w:tc>
        <w:tc>
          <w:tcPr>
            <w:tcW w:w="1162" w:type="dxa"/>
            <w:noWrap w:val="0"/>
            <w:vAlign w:val="center"/>
          </w:tcPr>
          <w:p w14:paraId="51246CC4">
            <w:pPr>
              <w:pStyle w:val="13"/>
              <w:jc w:val="center"/>
              <w:rPr>
                <w:rFonts w:ascii="Times New Roman" w:hAnsi="Times New Roman" w:cs="Times New Roman"/>
                <w:color w:val="auto"/>
                <w:highlight w:val="none"/>
              </w:rPr>
            </w:pPr>
            <w:r>
              <w:rPr>
                <w:rFonts w:hint="eastAsia" w:ascii="Times New Roman" w:hAnsi="Times New Roman" w:cs="Times New Roman"/>
                <w:color w:val="auto"/>
                <w:highlight w:val="none"/>
              </w:rPr>
              <w:t>工期</w:t>
            </w:r>
          </w:p>
        </w:tc>
        <w:tc>
          <w:tcPr>
            <w:tcW w:w="6037" w:type="dxa"/>
            <w:noWrap w:val="0"/>
            <w:vAlign w:val="center"/>
          </w:tcPr>
          <w:p w14:paraId="7C1F3433">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合同签订后，以开工令为准</w:t>
            </w:r>
            <w:r>
              <w:rPr>
                <w:rFonts w:hint="eastAsia" w:cs="Times New Roman"/>
                <w:color w:val="auto"/>
                <w:highlight w:val="none"/>
                <w:lang w:val="en-US" w:eastAsia="zh-CN"/>
              </w:rPr>
              <w:t>60</w:t>
            </w:r>
            <w:r>
              <w:rPr>
                <w:rFonts w:hint="eastAsia" w:ascii="Times New Roman" w:hAnsi="Times New Roman" w:cs="Times New Roman"/>
                <w:color w:val="auto"/>
                <w:highlight w:val="none"/>
              </w:rPr>
              <w:t>天内完工。</w:t>
            </w:r>
          </w:p>
        </w:tc>
        <w:tc>
          <w:tcPr>
            <w:tcW w:w="964" w:type="dxa"/>
            <w:noWrap w:val="0"/>
            <w:vAlign w:val="top"/>
          </w:tcPr>
          <w:p w14:paraId="66C7D96A">
            <w:pPr>
              <w:pStyle w:val="9"/>
              <w:spacing w:before="312"/>
              <w:ind w:firstLine="480"/>
              <w:rPr>
                <w:rFonts w:ascii="Times New Roman" w:hAnsi="Times New Roman" w:eastAsia="宋体" w:cs="Times New Roman"/>
                <w:color w:val="auto"/>
                <w:highlight w:val="none"/>
              </w:rPr>
            </w:pPr>
          </w:p>
        </w:tc>
      </w:tr>
      <w:tr w14:paraId="035071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center"/>
          </w:tcPr>
          <w:p w14:paraId="5E6DD058">
            <w:pPr>
              <w:pStyle w:val="13"/>
              <w:numPr>
                <w:ilvl w:val="0"/>
                <w:numId w:val="5"/>
              </w:numPr>
              <w:jc w:val="center"/>
              <w:rPr>
                <w:rFonts w:ascii="Times New Roman" w:hAnsi="Times New Roman" w:cs="Times New Roman"/>
                <w:color w:val="auto"/>
                <w:highlight w:val="none"/>
              </w:rPr>
            </w:pPr>
          </w:p>
        </w:tc>
        <w:tc>
          <w:tcPr>
            <w:tcW w:w="1162" w:type="dxa"/>
            <w:noWrap w:val="0"/>
            <w:vAlign w:val="center"/>
          </w:tcPr>
          <w:p w14:paraId="6B85707F">
            <w:pPr>
              <w:pStyle w:val="13"/>
              <w:jc w:val="center"/>
              <w:rPr>
                <w:rFonts w:ascii="Times New Roman" w:hAnsi="Times New Roman" w:cs="Times New Roman"/>
                <w:color w:val="auto"/>
                <w:highlight w:val="none"/>
              </w:rPr>
            </w:pPr>
            <w:r>
              <w:rPr>
                <w:rFonts w:hint="eastAsia" w:ascii="Times New Roman" w:hAnsi="Times New Roman" w:cs="Times New Roman"/>
                <w:color w:val="auto"/>
                <w:highlight w:val="none"/>
              </w:rPr>
              <w:t>本项目所属行业</w:t>
            </w:r>
          </w:p>
        </w:tc>
        <w:tc>
          <w:tcPr>
            <w:tcW w:w="6037" w:type="dxa"/>
            <w:noWrap w:val="0"/>
            <w:vAlign w:val="center"/>
          </w:tcPr>
          <w:p w14:paraId="2089B649">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建筑业</w:t>
            </w:r>
          </w:p>
        </w:tc>
        <w:tc>
          <w:tcPr>
            <w:tcW w:w="964" w:type="dxa"/>
            <w:noWrap w:val="0"/>
            <w:vAlign w:val="top"/>
          </w:tcPr>
          <w:p w14:paraId="7AFBF05E">
            <w:pPr>
              <w:pStyle w:val="9"/>
              <w:spacing w:before="312"/>
              <w:ind w:firstLine="480"/>
              <w:rPr>
                <w:rFonts w:ascii="Times New Roman" w:hAnsi="Times New Roman" w:eastAsia="宋体" w:cs="Times New Roman"/>
                <w:color w:val="auto"/>
                <w:highlight w:val="none"/>
              </w:rPr>
            </w:pPr>
          </w:p>
        </w:tc>
      </w:tr>
      <w:tr w14:paraId="6F0DF6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center"/>
          </w:tcPr>
          <w:p w14:paraId="22FCBE3E">
            <w:pPr>
              <w:pStyle w:val="13"/>
              <w:numPr>
                <w:ilvl w:val="0"/>
                <w:numId w:val="5"/>
              </w:numPr>
              <w:jc w:val="center"/>
              <w:rPr>
                <w:rFonts w:ascii="Times New Roman" w:hAnsi="Times New Roman" w:cs="Times New Roman"/>
                <w:color w:val="auto"/>
                <w:highlight w:val="none"/>
              </w:rPr>
            </w:pPr>
          </w:p>
        </w:tc>
        <w:tc>
          <w:tcPr>
            <w:tcW w:w="1162" w:type="dxa"/>
            <w:noWrap w:val="0"/>
            <w:vAlign w:val="center"/>
          </w:tcPr>
          <w:p w14:paraId="108C712C">
            <w:pPr>
              <w:pStyle w:val="13"/>
              <w:jc w:val="center"/>
              <w:rPr>
                <w:rFonts w:ascii="Times New Roman" w:hAnsi="Times New Roman" w:cs="Times New Roman"/>
                <w:color w:val="auto"/>
                <w:highlight w:val="none"/>
              </w:rPr>
            </w:pPr>
            <w:r>
              <w:rPr>
                <w:rFonts w:hint="eastAsia" w:ascii="Times New Roman" w:hAnsi="Times New Roman" w:cs="Times New Roman"/>
                <w:color w:val="auto"/>
                <w:highlight w:val="none"/>
              </w:rPr>
              <w:t>报价要求</w:t>
            </w:r>
          </w:p>
        </w:tc>
        <w:tc>
          <w:tcPr>
            <w:tcW w:w="6037" w:type="dxa"/>
            <w:noWrap w:val="0"/>
            <w:vAlign w:val="center"/>
          </w:tcPr>
          <w:p w14:paraId="458AC50D">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7.1响应文件报价中的单价和合价以及总报价全部采用人民币填列：</w:t>
            </w:r>
          </w:p>
          <w:p w14:paraId="33A06EB2">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1）具有标价的响应文件和报价汇总表，以及组成工程报价分专业的工程预算应包括施工设备、劳务、管理、材料、安装、维护、保险、利润、税金、政策性文件规定及合同包含的所有风险、责任等各项应有费用。</w:t>
            </w:r>
          </w:p>
          <w:p w14:paraId="35B9ABC8">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（2）供应商应根据采购人提供的项目需求书、工程量清单、答疑纪要和现场情况，填写报价，进行磋商响应。</w:t>
            </w:r>
          </w:p>
          <w:p w14:paraId="00A1B80C">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（3）供应商应当按照企业定额、材料市场价格信息以及相关法律法规，结合自身实力、施工经验、现场环境以及磋商文件的要求自主报价，具体标准详见本项目工程量清单。</w:t>
            </w:r>
          </w:p>
          <w:p w14:paraId="64EB8367">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7.2供应商应自行踏勘施工建设现场，如供应商因未及时踏勘现场而导致的报价缺项漏项废标或成交后无法完工，供应商自行承担一切后果。</w:t>
            </w:r>
          </w:p>
          <w:p w14:paraId="54E22163">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7.3响应报价均不包括施工过程中因施工图的重大设计变更（指结构、标准、规模）所发生的费用，不包括施工过程中遇到地下障碍物处理或地基处理所发生的费用。其上述费用供应商应执行磋商文件所采取的计价规则、标准计算工程量，待工程结算时根据该工程设计单位所出具的变更图纸或变更说明以及采购人、供应商双方认可实际单价的签证方可按实调整。（如因设计变更造成工程量费用增加部分不超过合同总金额的10%）。</w:t>
            </w:r>
          </w:p>
          <w:p w14:paraId="53F94BE8">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7.4验收及相关费用由供应商负责。</w:t>
            </w:r>
          </w:p>
        </w:tc>
        <w:tc>
          <w:tcPr>
            <w:tcW w:w="964" w:type="dxa"/>
            <w:noWrap w:val="0"/>
            <w:vAlign w:val="top"/>
          </w:tcPr>
          <w:p w14:paraId="05761375">
            <w:pPr>
              <w:pStyle w:val="9"/>
              <w:spacing w:before="312"/>
              <w:ind w:firstLine="480"/>
              <w:rPr>
                <w:rFonts w:ascii="Times New Roman" w:hAnsi="Times New Roman" w:eastAsia="宋体" w:cs="Times New Roman"/>
                <w:color w:val="auto"/>
                <w:highlight w:val="none"/>
              </w:rPr>
            </w:pPr>
          </w:p>
        </w:tc>
      </w:tr>
      <w:tr w14:paraId="39B26F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center"/>
          </w:tcPr>
          <w:p w14:paraId="36F3BEAD">
            <w:pPr>
              <w:pStyle w:val="13"/>
              <w:numPr>
                <w:ilvl w:val="0"/>
                <w:numId w:val="5"/>
              </w:numPr>
              <w:jc w:val="center"/>
              <w:rPr>
                <w:rFonts w:ascii="Times New Roman" w:hAnsi="Times New Roman" w:cs="Times New Roman"/>
                <w:color w:val="auto"/>
                <w:highlight w:val="none"/>
              </w:rPr>
            </w:pPr>
          </w:p>
        </w:tc>
        <w:tc>
          <w:tcPr>
            <w:tcW w:w="1162" w:type="dxa"/>
            <w:noWrap w:val="0"/>
            <w:vAlign w:val="center"/>
          </w:tcPr>
          <w:p w14:paraId="0D2CD8D5">
            <w:pPr>
              <w:pStyle w:val="13"/>
              <w:jc w:val="center"/>
              <w:rPr>
                <w:rFonts w:ascii="Times New Roman" w:hAnsi="Times New Roman" w:cs="Times New Roman"/>
                <w:color w:val="auto"/>
                <w:highlight w:val="none"/>
              </w:rPr>
            </w:pPr>
            <w:r>
              <w:rPr>
                <w:rFonts w:hint="eastAsia" w:ascii="Times New Roman" w:hAnsi="Times New Roman" w:cs="Times New Roman"/>
                <w:color w:val="auto"/>
                <w:highlight w:val="none"/>
              </w:rPr>
              <w:t>付款方式</w:t>
            </w:r>
          </w:p>
        </w:tc>
        <w:tc>
          <w:tcPr>
            <w:tcW w:w="6037" w:type="dxa"/>
            <w:noWrap w:val="0"/>
            <w:vAlign w:val="center"/>
          </w:tcPr>
          <w:p w14:paraId="73903CBE">
            <w:pPr>
              <w:pStyle w:val="14"/>
              <w:spacing w:before="34" w:line="240" w:lineRule="exact"/>
              <w:ind w:left="13" w:right="1" w:firstLine="420"/>
              <w:rPr>
                <w:rFonts w:ascii="Times New Roman" w:hAnsi="Times New Roman" w:eastAsia="微软雅黑" w:cs="Times New Roman"/>
                <w:color w:val="auto"/>
                <w:highlight w:val="none"/>
              </w:rPr>
            </w:pPr>
            <w:r>
              <w:rPr>
                <w:rFonts w:hint="eastAsia" w:ascii="Times New Roman" w:hAnsi="Times New Roman" w:eastAsia="微软雅黑" w:cs="Times New Roman"/>
                <w:color w:val="auto"/>
                <w:kern w:val="2"/>
                <w:sz w:val="21"/>
                <w:szCs w:val="24"/>
                <w:highlight w:val="none"/>
                <w:lang w:val="en-US" w:eastAsia="zh-CN" w:bidi="ar-SA"/>
              </w:rPr>
              <w:t>合同签订并取得开工令后7日内支付合同金额的10%预付款，工程完工竣工验收合格，经结算评审完成后付合同价款87%，余款3%的质保金待质保期满后无息付清。</w:t>
            </w:r>
          </w:p>
        </w:tc>
        <w:tc>
          <w:tcPr>
            <w:tcW w:w="964" w:type="dxa"/>
            <w:noWrap w:val="0"/>
            <w:vAlign w:val="top"/>
          </w:tcPr>
          <w:p w14:paraId="79145763">
            <w:pPr>
              <w:pStyle w:val="9"/>
              <w:spacing w:before="312"/>
              <w:ind w:firstLine="480"/>
              <w:rPr>
                <w:rFonts w:ascii="Times New Roman" w:hAnsi="Times New Roman" w:eastAsia="宋体" w:cs="Times New Roman"/>
                <w:color w:val="auto"/>
                <w:highlight w:val="none"/>
              </w:rPr>
            </w:pPr>
          </w:p>
        </w:tc>
      </w:tr>
      <w:tr w14:paraId="7ED7CCE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center"/>
          </w:tcPr>
          <w:p w14:paraId="00E37428">
            <w:pPr>
              <w:pStyle w:val="13"/>
              <w:numPr>
                <w:ilvl w:val="0"/>
                <w:numId w:val="5"/>
              </w:numPr>
              <w:jc w:val="center"/>
              <w:rPr>
                <w:rFonts w:ascii="Times New Roman" w:hAnsi="Times New Roman" w:cs="Times New Roman"/>
                <w:color w:val="auto"/>
                <w:highlight w:val="none"/>
              </w:rPr>
            </w:pPr>
          </w:p>
        </w:tc>
        <w:tc>
          <w:tcPr>
            <w:tcW w:w="1162" w:type="dxa"/>
            <w:noWrap w:val="0"/>
            <w:vAlign w:val="center"/>
          </w:tcPr>
          <w:p w14:paraId="3C9B2C6A">
            <w:pPr>
              <w:pStyle w:val="13"/>
              <w:jc w:val="center"/>
              <w:rPr>
                <w:rFonts w:ascii="Times New Roman" w:hAnsi="Times New Roman" w:cs="Times New Roman"/>
                <w:color w:val="auto"/>
                <w:highlight w:val="none"/>
              </w:rPr>
            </w:pPr>
            <w:r>
              <w:rPr>
                <w:rFonts w:hint="eastAsia" w:ascii="Times New Roman" w:hAnsi="Times New Roman" w:cs="Times New Roman"/>
                <w:color w:val="auto"/>
                <w:highlight w:val="none"/>
              </w:rPr>
              <w:t>验收要求及标准</w:t>
            </w:r>
          </w:p>
        </w:tc>
        <w:tc>
          <w:tcPr>
            <w:tcW w:w="6037" w:type="dxa"/>
            <w:noWrap w:val="0"/>
            <w:vAlign w:val="center"/>
          </w:tcPr>
          <w:p w14:paraId="0B86A08C">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9.1工程竣工验收依据：</w:t>
            </w:r>
          </w:p>
          <w:p w14:paraId="31A8D759">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本工程竣工验收的依据，除必须符合国家规定的竣工标准之外，在进行工程竣工验收和办理工程移交手续时，还应以下列文件（包括但不限于）为依据：</w:t>
            </w:r>
          </w:p>
          <w:p w14:paraId="6AE4E125">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工程相关文件（包括磋商文件、工程量清单、施工合同、设计图纸、图纸会审记录、设计变更洽商记录、各种设备说明书、技术核定单、设计施工要求等）；</w:t>
            </w:r>
          </w:p>
          <w:p w14:paraId="24E901E5">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分部分项工程的质量检验评定表；</w:t>
            </w:r>
          </w:p>
          <w:p w14:paraId="3BCC489A">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有关施工记录和构件、材料合格证明文件；</w:t>
            </w:r>
          </w:p>
          <w:p w14:paraId="391B11A7">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上级主管部门的有关工程竣工的文件和规定。</w:t>
            </w:r>
          </w:p>
          <w:p w14:paraId="0DE73627">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9.2验收程序</w:t>
            </w:r>
          </w:p>
          <w:p w14:paraId="0F64A672">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9.2.1竣工自验</w:t>
            </w:r>
          </w:p>
          <w:p w14:paraId="7BF98854">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9.2.1.1成交供应商首先自行组织预验收。一方面检查工程质量，发现问题及时补救；另一方面检查竣工图及技术资料是否齐全，并汇总、整理有关技术材料。</w:t>
            </w:r>
          </w:p>
          <w:p w14:paraId="6BBB1406">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9.2.1.2自验的依据应与正式验收相同。</w:t>
            </w:r>
          </w:p>
          <w:p w14:paraId="2DDD5241">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9.2.1.3参加自验的人员，应由项目经理组织施工、技术、质量、合同、预算及其他有关等共同参加。</w:t>
            </w:r>
          </w:p>
          <w:p w14:paraId="18D2BFB4">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9.2.1.4自验的方式，应分层分段、分房间地由上述人员按照自己主管的内容根据施工项目和工艺流程逐项进行检查，找出漏项和需修补工程，及时处理和返修．在检查中要做好记录，并指定专人负责，定期修理完毕，如发现较重大的工程质量问题，无论是设计原因或施工原因，均需在初验会议上研究并提出处理方案。</w:t>
            </w:r>
          </w:p>
          <w:p w14:paraId="3EB096C6">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9.2.1.5复验。在自验的基础上，并对查出的问题全部修补完毕以后，通过复验，解决全部遗留问题，为正式验收做好充分的准备。</w:t>
            </w:r>
          </w:p>
          <w:p w14:paraId="18C578FA">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9.2.2 竣工验收</w:t>
            </w:r>
          </w:p>
          <w:p w14:paraId="6CF52CA4">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9.2.</w:t>
            </w:r>
            <w:r>
              <w:rPr>
                <w:rFonts w:ascii="Times New Roman" w:hAnsi="Times New Roman" w:cs="Times New Roman"/>
                <w:color w:val="auto"/>
                <w:highlight w:val="none"/>
              </w:rPr>
              <w:t>2.1</w:t>
            </w:r>
            <w:r>
              <w:rPr>
                <w:rFonts w:hint="eastAsia" w:ascii="Times New Roman" w:hAnsi="Times New Roman" w:cs="Times New Roman"/>
                <w:color w:val="auto"/>
                <w:highlight w:val="none"/>
              </w:rPr>
              <w:t>成交供应商</w:t>
            </w:r>
            <w:r>
              <w:rPr>
                <w:rFonts w:ascii="Times New Roman" w:hAnsi="Times New Roman" w:cs="Times New Roman"/>
                <w:color w:val="auto"/>
                <w:highlight w:val="none"/>
              </w:rPr>
              <w:t>应于正式竣工验收前</w:t>
            </w:r>
            <w:r>
              <w:rPr>
                <w:rFonts w:hint="eastAsia" w:ascii="Times New Roman" w:hAnsi="Times New Roman" w:cs="Times New Roman"/>
                <w:color w:val="auto"/>
                <w:highlight w:val="none"/>
              </w:rPr>
              <w:t>5个工作日</w:t>
            </w:r>
            <w:r>
              <w:rPr>
                <w:rFonts w:ascii="Times New Roman" w:hAnsi="Times New Roman" w:cs="Times New Roman"/>
                <w:color w:val="auto"/>
                <w:highlight w:val="none"/>
              </w:rPr>
              <w:t>向</w:t>
            </w:r>
            <w:r>
              <w:rPr>
                <w:rFonts w:hint="eastAsia" w:ascii="Times New Roman" w:hAnsi="Times New Roman" w:cs="Times New Roman"/>
                <w:color w:val="auto"/>
                <w:highlight w:val="none"/>
              </w:rPr>
              <w:t>采购人</w:t>
            </w:r>
            <w:r>
              <w:rPr>
                <w:rFonts w:ascii="Times New Roman" w:hAnsi="Times New Roman" w:cs="Times New Roman"/>
                <w:color w:val="auto"/>
                <w:highlight w:val="none"/>
              </w:rPr>
              <w:t>发送《竣工验收通知书》</w:t>
            </w:r>
            <w:r>
              <w:rPr>
                <w:rFonts w:hint="eastAsia" w:ascii="Times New Roman" w:hAnsi="Times New Roman" w:cs="Times New Roman"/>
                <w:color w:val="auto"/>
                <w:highlight w:val="none"/>
              </w:rPr>
              <w:t>，采购人应自接到验收通知5个工作日内组织验收，并办理验收手续</w:t>
            </w:r>
            <w:r>
              <w:rPr>
                <w:rFonts w:ascii="Times New Roman" w:hAnsi="Times New Roman" w:cs="Times New Roman"/>
                <w:color w:val="auto"/>
                <w:highlight w:val="none"/>
              </w:rPr>
              <w:t>。</w:t>
            </w:r>
          </w:p>
          <w:p w14:paraId="73954C8C">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9.2.</w:t>
            </w:r>
            <w:r>
              <w:rPr>
                <w:rFonts w:ascii="Times New Roman" w:hAnsi="Times New Roman" w:cs="Times New Roman"/>
                <w:color w:val="auto"/>
                <w:highlight w:val="none"/>
              </w:rPr>
              <w:t>2.2</w:t>
            </w:r>
            <w:r>
              <w:rPr>
                <w:rFonts w:hint="eastAsia" w:ascii="Times New Roman" w:hAnsi="Times New Roman" w:cs="Times New Roman"/>
                <w:color w:val="auto"/>
                <w:highlight w:val="none"/>
              </w:rPr>
              <w:t>成交供应商</w:t>
            </w:r>
            <w:r>
              <w:rPr>
                <w:rFonts w:ascii="Times New Roman" w:hAnsi="Times New Roman" w:cs="Times New Roman"/>
                <w:color w:val="auto"/>
                <w:highlight w:val="none"/>
              </w:rPr>
              <w:t>向</w:t>
            </w:r>
            <w:r>
              <w:rPr>
                <w:rFonts w:hint="eastAsia" w:ascii="Times New Roman" w:hAnsi="Times New Roman" w:cs="Times New Roman"/>
                <w:color w:val="auto"/>
                <w:highlight w:val="none"/>
              </w:rPr>
              <w:t>采购人</w:t>
            </w:r>
            <w:r>
              <w:rPr>
                <w:rFonts w:ascii="Times New Roman" w:hAnsi="Times New Roman" w:cs="Times New Roman"/>
                <w:color w:val="auto"/>
                <w:highlight w:val="none"/>
              </w:rPr>
              <w:t>递交竣工资料。</w:t>
            </w:r>
          </w:p>
          <w:p w14:paraId="68789EDF">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9.2.</w:t>
            </w:r>
            <w:r>
              <w:rPr>
                <w:rFonts w:ascii="Times New Roman" w:hAnsi="Times New Roman" w:cs="Times New Roman"/>
                <w:color w:val="auto"/>
                <w:highlight w:val="none"/>
              </w:rPr>
              <w:t>2.3</w:t>
            </w:r>
            <w:r>
              <w:rPr>
                <w:rFonts w:hint="eastAsia" w:ascii="Times New Roman" w:hAnsi="Times New Roman" w:cs="Times New Roman"/>
                <w:color w:val="auto"/>
                <w:highlight w:val="none"/>
              </w:rPr>
              <w:t>采购人</w:t>
            </w:r>
            <w:r>
              <w:rPr>
                <w:rFonts w:ascii="Times New Roman" w:hAnsi="Times New Roman" w:cs="Times New Roman"/>
                <w:color w:val="auto"/>
                <w:highlight w:val="none"/>
              </w:rPr>
              <w:t>组织</w:t>
            </w:r>
            <w:r>
              <w:rPr>
                <w:rFonts w:hint="eastAsia" w:ascii="Times New Roman" w:hAnsi="Times New Roman" w:cs="Times New Roman"/>
                <w:color w:val="auto"/>
                <w:highlight w:val="none"/>
              </w:rPr>
              <w:t>成交供应商、设计</w:t>
            </w:r>
            <w:r>
              <w:rPr>
                <w:rFonts w:ascii="Times New Roman" w:hAnsi="Times New Roman" w:cs="Times New Roman"/>
                <w:color w:val="auto"/>
                <w:highlight w:val="none"/>
              </w:rPr>
              <w:t>单位</w:t>
            </w:r>
            <w:r>
              <w:rPr>
                <w:rFonts w:hint="eastAsia" w:ascii="Times New Roman" w:hAnsi="Times New Roman" w:cs="Times New Roman"/>
                <w:color w:val="auto"/>
                <w:highlight w:val="none"/>
              </w:rPr>
              <w:t>、监理单位及其他有关单位</w:t>
            </w:r>
            <w:r>
              <w:rPr>
                <w:rFonts w:ascii="Times New Roman" w:hAnsi="Times New Roman" w:cs="Times New Roman"/>
                <w:color w:val="auto"/>
                <w:highlight w:val="none"/>
              </w:rPr>
              <w:t>对工程质量进行检查验收。</w:t>
            </w:r>
          </w:p>
          <w:p w14:paraId="142B66BC">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9.2.</w:t>
            </w:r>
            <w:r>
              <w:rPr>
                <w:rFonts w:ascii="Times New Roman" w:hAnsi="Times New Roman" w:cs="Times New Roman"/>
                <w:color w:val="auto"/>
                <w:highlight w:val="none"/>
              </w:rPr>
              <w:t>2.4签发《竣工验收证明书》。在</w:t>
            </w:r>
            <w:r>
              <w:rPr>
                <w:rFonts w:hint="eastAsia" w:ascii="Times New Roman" w:hAnsi="Times New Roman" w:cs="Times New Roman"/>
                <w:color w:val="auto"/>
                <w:highlight w:val="none"/>
              </w:rPr>
              <w:t>采购人</w:t>
            </w:r>
            <w:r>
              <w:rPr>
                <w:rFonts w:ascii="Times New Roman" w:hAnsi="Times New Roman" w:cs="Times New Roman"/>
                <w:color w:val="auto"/>
                <w:highlight w:val="none"/>
              </w:rPr>
              <w:t>验收完毕并确认工程符合竣工标准和合同条款规定要求以后，即应向</w:t>
            </w:r>
            <w:r>
              <w:rPr>
                <w:rFonts w:hint="eastAsia" w:ascii="Times New Roman" w:hAnsi="Times New Roman" w:cs="Times New Roman"/>
                <w:color w:val="auto"/>
                <w:highlight w:val="none"/>
              </w:rPr>
              <w:t>成交供应商</w:t>
            </w:r>
            <w:r>
              <w:rPr>
                <w:rFonts w:ascii="Times New Roman" w:hAnsi="Times New Roman" w:cs="Times New Roman"/>
                <w:color w:val="auto"/>
                <w:highlight w:val="none"/>
              </w:rPr>
              <w:t>签发《竣工验收证明书》</w:t>
            </w:r>
            <w:r>
              <w:rPr>
                <w:rFonts w:hint="eastAsia" w:ascii="Times New Roman" w:hAnsi="Times New Roman" w:cs="Times New Roman"/>
                <w:color w:val="auto"/>
                <w:highlight w:val="none"/>
              </w:rPr>
              <w:t>。</w:t>
            </w:r>
            <w:r>
              <w:rPr>
                <w:rFonts w:ascii="Times New Roman" w:hAnsi="Times New Roman" w:cs="Times New Roman"/>
                <w:color w:val="auto"/>
                <w:highlight w:val="none"/>
              </w:rPr>
              <w:t>建设单位、设计单位、监理</w:t>
            </w:r>
            <w:r>
              <w:rPr>
                <w:rFonts w:hint="eastAsia" w:ascii="Times New Roman" w:hAnsi="Times New Roman" w:cs="Times New Roman"/>
                <w:color w:val="auto"/>
                <w:highlight w:val="none"/>
              </w:rPr>
              <w:t>单位及其他有关</w:t>
            </w:r>
            <w:r>
              <w:rPr>
                <w:rFonts w:ascii="Times New Roman" w:hAnsi="Times New Roman" w:cs="Times New Roman"/>
                <w:color w:val="auto"/>
                <w:highlight w:val="none"/>
              </w:rPr>
              <w:t>单位在《竣工验收证明书》上签字。</w:t>
            </w:r>
          </w:p>
          <w:p w14:paraId="362E64FD">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9.2.</w:t>
            </w:r>
            <w:r>
              <w:rPr>
                <w:rFonts w:ascii="Times New Roman" w:hAnsi="Times New Roman" w:cs="Times New Roman"/>
                <w:color w:val="auto"/>
                <w:highlight w:val="none"/>
              </w:rPr>
              <w:t>2.5在</w:t>
            </w:r>
            <w:r>
              <w:rPr>
                <w:rFonts w:hint="eastAsia" w:ascii="Times New Roman" w:hAnsi="Times New Roman" w:cs="Times New Roman"/>
                <w:color w:val="auto"/>
                <w:highlight w:val="none"/>
              </w:rPr>
              <w:t>交接</w:t>
            </w:r>
            <w:r>
              <w:rPr>
                <w:rFonts w:ascii="Times New Roman" w:hAnsi="Times New Roman" w:cs="Times New Roman"/>
                <w:color w:val="auto"/>
                <w:highlight w:val="none"/>
              </w:rPr>
              <w:t>过程中发现需返修或补做的项目，可在</w:t>
            </w:r>
            <w:r>
              <w:rPr>
                <w:rFonts w:hint="eastAsia" w:ascii="Times New Roman" w:hAnsi="Times New Roman" w:cs="Times New Roman"/>
                <w:color w:val="auto"/>
                <w:highlight w:val="none"/>
              </w:rPr>
              <w:t>竣工</w:t>
            </w:r>
            <w:r>
              <w:rPr>
                <w:rFonts w:ascii="Times New Roman" w:hAnsi="Times New Roman" w:cs="Times New Roman"/>
                <w:color w:val="auto"/>
                <w:highlight w:val="none"/>
              </w:rPr>
              <w:t>验收证明书或其附件上注明修竣期限。</w:t>
            </w:r>
          </w:p>
          <w:p w14:paraId="515F1EA8">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9.2.</w:t>
            </w:r>
            <w:r>
              <w:rPr>
                <w:rFonts w:ascii="Times New Roman" w:hAnsi="Times New Roman" w:cs="Times New Roman"/>
                <w:color w:val="auto"/>
                <w:highlight w:val="none"/>
              </w:rPr>
              <w:t>2.6进行工程质量评定。</w:t>
            </w:r>
          </w:p>
          <w:p w14:paraId="0FF63195">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9.2.</w:t>
            </w:r>
            <w:r>
              <w:rPr>
                <w:rFonts w:ascii="Times New Roman" w:hAnsi="Times New Roman" w:cs="Times New Roman"/>
                <w:color w:val="auto"/>
                <w:highlight w:val="none"/>
              </w:rPr>
              <w:t>2.7办理工程档案资料移交。</w:t>
            </w:r>
          </w:p>
          <w:p w14:paraId="45643850">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9.3其他要求</w:t>
            </w:r>
          </w:p>
          <w:p w14:paraId="468F6DB4">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9.3.1成交供应商施工前须经采购人确认后才能施工，否则相关损失和责任由成交供应商自行承担。</w:t>
            </w:r>
          </w:p>
          <w:p w14:paraId="1CAACF22">
            <w:pPr>
              <w:pStyle w:val="13"/>
              <w:ind w:firstLine="420" w:firstLineChars="200"/>
              <w:jc w:val="both"/>
              <w:rPr>
                <w:rFonts w:hint="eastAsia" w:ascii="Times New Roman" w:hAnsi="Times New Roman" w:cs="Times New Roman"/>
                <w:color w:val="auto"/>
                <w:highlight w:val="none"/>
              </w:rPr>
            </w:pPr>
            <w:r>
              <w:rPr>
                <w:rFonts w:hint="eastAsia" w:ascii="Times New Roman" w:hAnsi="Times New Roman" w:cs="Times New Roman"/>
                <w:color w:val="auto"/>
                <w:highlight w:val="none"/>
              </w:rPr>
              <w:t>9.3.2本工程质量应达到国家质量评定合格标准；</w:t>
            </w:r>
          </w:p>
          <w:p w14:paraId="550ADAD0">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9.3.3甲、乙双方应及时办理隐蔽工程和中间工程的检查与验收手续。首次验收合格的情况下，采购人要求复验时，成交供应商应按要求办理复验。若复验合格，采购人应承担复验费用，由此造成停工，工期顺延；若复验不合格，其复验及返工费用由成交供应商承担，工期不予顺延。</w:t>
            </w:r>
          </w:p>
          <w:p w14:paraId="139FBA6C">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9.3.4由于成交供应商原因造成质量事故，其返工费用由成交供应商承担，工期不顺延，同时，成交供应商还应赔偿因此给采购人造成的损失。同时，成交供应商承诺并保证其施工人员具备相关法律法规规定的条件，并承担其施工人员工资、社保等全部费用；成交供应商施工人员在本合同期内遭受人身伤害或者给他人造成人身、财产损害的，成交供应商应按照相关法律法规给予相应的赔偿，采购人不承担任何责任。</w:t>
            </w:r>
          </w:p>
          <w:p w14:paraId="70C88BF5">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9.3.5工程竣工后，成交供应商应及时通知采购人验收，并办理验收、移交手续。经采购人验收不合格的，成交供应商应在采购人规定的期限内进行修补返工，直至采购人验收合格，因此产生的费用责任由成交供应商承担。</w:t>
            </w:r>
          </w:p>
          <w:p w14:paraId="1F4ADCE9">
            <w:pPr>
              <w:pStyle w:val="13"/>
              <w:ind w:firstLine="42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9.3.6本工程质量保修期是从竣工验收合格之后即日起计算。成交供应商对本工程在保修范围和保修期限内发生的质量问题履行保修义务，并对造成的损失承担赔偿责任。</w:t>
            </w:r>
          </w:p>
        </w:tc>
        <w:tc>
          <w:tcPr>
            <w:tcW w:w="964" w:type="dxa"/>
            <w:noWrap w:val="0"/>
            <w:vAlign w:val="top"/>
          </w:tcPr>
          <w:p w14:paraId="6F5DDBFE">
            <w:pPr>
              <w:pStyle w:val="9"/>
              <w:spacing w:before="312"/>
              <w:ind w:firstLine="480"/>
              <w:rPr>
                <w:rFonts w:ascii="Times New Roman" w:hAnsi="Times New Roman" w:eastAsia="宋体" w:cs="Times New Roman"/>
                <w:color w:val="auto"/>
                <w:highlight w:val="none"/>
              </w:rPr>
            </w:pPr>
          </w:p>
        </w:tc>
      </w:tr>
    </w:tbl>
    <w:p w14:paraId="7A9480F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altName w:val="Arial"/>
    <w:panose1 w:val="020B0606020202030204"/>
    <w:charset w:val="00"/>
    <w:family w:val="swiss"/>
    <w:pitch w:val="default"/>
    <w:sig w:usb0="00000000" w:usb1="00000000" w:usb2="00000000" w:usb3="00000000" w:csb0="2000009F" w:csb1="DFD70000"/>
  </w:font>
  <w:font w:name="微软雅黑">
    <w:panose1 w:val="020B0503020204020204"/>
    <w:charset w:val="86"/>
    <w:family w:val="swiss"/>
    <w:pitch w:val="default"/>
    <w:sig w:usb0="80000287" w:usb1="2ACF3C50" w:usb2="00000016" w:usb3="00000000" w:csb0="0004001F" w:csb1="00000000"/>
  </w:font>
  <w:font w:name="KSOF3D47F291">
    <w:panose1 w:val="020B0604020202020204"/>
    <w:charset w:val="00"/>
    <w:family w:val="auto"/>
    <w:pitch w:val="default"/>
    <w:sig w:usb0="00000001" w:usb1="00000000" w:usb2="00000000" w:usb3="00000000" w:csb0="00000001" w:csb1="00000000"/>
  </w:font>
  <w:font w:name="KSOF722E2DD2">
    <w:panose1 w:val="020B07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017888"/>
    <w:multiLevelType w:val="singleLevel"/>
    <w:tmpl w:val="CC017888"/>
    <w:lvl w:ilvl="0" w:tentative="0">
      <w:start w:val="1"/>
      <w:numFmt w:val="decimal"/>
      <w:pStyle w:val="11"/>
      <w:suff w:val="nothing"/>
      <w:lvlText w:val="%1"/>
      <w:lvlJc w:val="center"/>
      <w:pPr>
        <w:ind w:left="0" w:firstLine="0"/>
      </w:pPr>
      <w:rPr>
        <w:rFonts w:hint="default"/>
      </w:rPr>
    </w:lvl>
  </w:abstractNum>
  <w:abstractNum w:abstractNumId="1">
    <w:nsid w:val="F6CB6B8C"/>
    <w:multiLevelType w:val="singleLevel"/>
    <w:tmpl w:val="F6CB6B8C"/>
    <w:lvl w:ilvl="0" w:tentative="0">
      <w:start w:val="1"/>
      <w:numFmt w:val="decimal"/>
      <w:suff w:val="nothing"/>
      <w:lvlText w:val="%1"/>
      <w:lvlJc w:val="center"/>
      <w:pPr>
        <w:ind w:left="0" w:firstLine="0"/>
      </w:pPr>
      <w:rPr>
        <w:rFonts w:hint="default"/>
      </w:rPr>
    </w:lvl>
  </w:abstractNum>
  <w:abstractNum w:abstractNumId="2">
    <w:nsid w:val="0D8AABEB"/>
    <w:multiLevelType w:val="singleLevel"/>
    <w:tmpl w:val="0D8AABEB"/>
    <w:lvl w:ilvl="0" w:tentative="0">
      <w:start w:val="1"/>
      <w:numFmt w:val="decimal"/>
      <w:suff w:val="nothing"/>
      <w:lvlText w:val="%1"/>
      <w:lvlJc w:val="center"/>
      <w:pPr>
        <w:ind w:left="0" w:firstLine="0"/>
      </w:pPr>
      <w:rPr>
        <w:rFonts w:hint="default"/>
      </w:rPr>
    </w:lvl>
  </w:abstractNum>
  <w:abstractNum w:abstractNumId="3">
    <w:nsid w:val="2618B967"/>
    <w:multiLevelType w:val="singleLevel"/>
    <w:tmpl w:val="2618B967"/>
    <w:lvl w:ilvl="0" w:tentative="0">
      <w:start w:val="1"/>
      <w:numFmt w:val="chineseCounting"/>
      <w:suff w:val="nothing"/>
      <w:lvlText w:val="（%1）"/>
      <w:lvlJc w:val="left"/>
      <w:pPr>
        <w:ind w:left="0" w:firstLine="420"/>
      </w:pPr>
      <w:rPr>
        <w:rFonts w:hint="eastAsia"/>
      </w:rPr>
    </w:lvl>
  </w:abstractNum>
  <w:abstractNum w:abstractNumId="4">
    <w:nsid w:val="6F4F1709"/>
    <w:multiLevelType w:val="singleLevel"/>
    <w:tmpl w:val="6F4F1709"/>
    <w:lvl w:ilvl="0" w:tentative="0">
      <w:start w:val="3"/>
      <w:numFmt w:val="chineseCounting"/>
      <w:suff w:val="space"/>
      <w:lvlText w:val="第%1章"/>
      <w:lvlJc w:val="left"/>
      <w:rPr>
        <w:rFonts w:hint="eastAsia"/>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AE51A6"/>
    <w:rsid w:val="00CB70D5"/>
    <w:rsid w:val="0A3208AE"/>
    <w:rsid w:val="1E360515"/>
    <w:rsid w:val="1EA731C1"/>
    <w:rsid w:val="215F7D83"/>
    <w:rsid w:val="3F143839"/>
    <w:rsid w:val="51C70EA9"/>
    <w:rsid w:val="573E39BB"/>
    <w:rsid w:val="59DD74BB"/>
    <w:rsid w:val="6AF33A43"/>
    <w:rsid w:val="6F6B6EC0"/>
    <w:rsid w:val="7294672D"/>
    <w:rsid w:val="78F9553C"/>
    <w:rsid w:val="7AAE5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5"/>
    <w:next w:val="1"/>
    <w:qFormat/>
    <w:uiPriority w:val="0"/>
    <w:pPr>
      <w:keepNext/>
      <w:keepLines/>
      <w:widowControl w:val="0"/>
      <w:adjustRightInd w:val="0"/>
      <w:spacing w:before="280" w:after="290" w:line="376" w:lineRule="atLeast"/>
      <w:jc w:val="left"/>
      <w:textAlignment w:val="baseline"/>
      <w:outlineLvl w:val="4"/>
    </w:pPr>
    <w:rPr>
      <w:rFonts w:ascii="Times New Roman" w:hAnsi="Times New Roman" w:eastAsia="宋体" w:cs="Times New Roman"/>
      <w:b/>
      <w:bCs/>
      <w:kern w:val="0"/>
      <w:sz w:val="28"/>
      <w:szCs w:val="28"/>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2"/>
    <w:qFormat/>
    <w:uiPriority w:val="0"/>
    <w:pPr>
      <w:widowControl w:val="0"/>
      <w:spacing w:after="120" w:line="480" w:lineRule="auto"/>
      <w:jc w:val="both"/>
    </w:pPr>
    <w:rPr>
      <w:rFonts w:ascii="Times New Roman" w:hAnsi="Times New Roman" w:eastAsia="宋体" w:cs="Times New Roman"/>
      <w:kern w:val="2"/>
      <w:sz w:val="21"/>
      <w:szCs w:val="24"/>
      <w:lang w:val="en-US" w:eastAsia="zh-CN" w:bidi="ar-SA"/>
    </w:rPr>
  </w:style>
  <w:style w:type="paragraph" w:styleId="4">
    <w:name w:val="caption"/>
    <w:next w:val="1"/>
    <w:qFormat/>
    <w:uiPriority w:val="99"/>
    <w:pPr>
      <w:widowControl w:val="0"/>
      <w:jc w:val="both"/>
    </w:pPr>
    <w:rPr>
      <w:rFonts w:ascii="Arial" w:hAnsi="Arial" w:eastAsia="黑体" w:cs="Times New Roman"/>
      <w:kern w:val="2"/>
      <w:sz w:val="20"/>
      <w:szCs w:val="20"/>
      <w:lang w:val="en-US" w:eastAsia="zh-CN" w:bidi="ar-SA"/>
    </w:rPr>
  </w:style>
  <w:style w:type="paragraph" w:styleId="5">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table" w:styleId="7">
    <w:name w:val="Table Grid"/>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文章正文"/>
    <w:qFormat/>
    <w:uiPriority w:val="0"/>
    <w:pPr>
      <w:widowControl w:val="0"/>
      <w:adjustRightInd w:val="0"/>
      <w:snapToGrid w:val="0"/>
      <w:spacing w:beforeLines="100"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10">
    <w:name w:val="正文(首行缩进)"/>
    <w:qFormat/>
    <w:uiPriority w:val="0"/>
    <w:pPr>
      <w:widowControl/>
      <w:spacing w:line="440" w:lineRule="exact"/>
      <w:ind w:firstLine="1840" w:firstLineChars="200"/>
      <w:jc w:val="left"/>
    </w:pPr>
    <w:rPr>
      <w:rFonts w:ascii="Arial Narrow" w:hAnsi="Arial Narrow" w:eastAsia="宋体" w:cs="Times New Roman"/>
      <w:kern w:val="2"/>
      <w:sz w:val="24"/>
      <w:szCs w:val="24"/>
      <w:lang w:val="en-US" w:eastAsia="zh-CN" w:bidi="ar-SA"/>
    </w:rPr>
  </w:style>
  <w:style w:type="paragraph" w:customStyle="1" w:styleId="11">
    <w:name w:val="表格内容左对齐"/>
    <w:qFormat/>
    <w:uiPriority w:val="0"/>
    <w:pPr>
      <w:widowControl/>
      <w:numPr>
        <w:ilvl w:val="0"/>
        <w:numId w:val="1"/>
      </w:numPr>
      <w:tabs>
        <w:tab w:val="left" w:pos="33"/>
      </w:tabs>
      <w:spacing w:line="260" w:lineRule="exact"/>
      <w:ind w:right="-48" w:rightChars="-23" w:firstLine="920" w:firstLineChars="100"/>
      <w:jc w:val="left"/>
    </w:pPr>
    <w:rPr>
      <w:rFonts w:ascii="宋体" w:hAnsi="宋体" w:eastAsia="微软雅黑" w:cs="Times New Roman"/>
      <w:kern w:val="2"/>
      <w:sz w:val="20"/>
      <w:szCs w:val="24"/>
      <w:lang w:val="en-US" w:eastAsia="zh-CN" w:bidi="ar-SA"/>
    </w:rPr>
  </w:style>
  <w:style w:type="paragraph" w:customStyle="1" w:styleId="12">
    <w:name w:val="表头"/>
    <w:qFormat/>
    <w:uiPriority w:val="0"/>
    <w:pPr>
      <w:widowControl w:val="0"/>
      <w:spacing w:line="360" w:lineRule="auto"/>
      <w:jc w:val="center"/>
    </w:pPr>
    <w:rPr>
      <w:rFonts w:hint="eastAsia" w:ascii="Times New Roman" w:hAnsi="Times New Roman" w:eastAsia="微软雅黑" w:cs="Times New Roman"/>
      <w:b/>
      <w:kern w:val="2"/>
      <w:sz w:val="22"/>
      <w:szCs w:val="22"/>
      <w:lang w:val="en-US" w:eastAsia="zh-CN" w:bidi="ar-SA"/>
    </w:rPr>
  </w:style>
  <w:style w:type="paragraph" w:customStyle="1" w:styleId="13">
    <w:name w:val="表格1"/>
    <w:qFormat/>
    <w:uiPriority w:val="0"/>
    <w:pPr>
      <w:widowControl w:val="0"/>
      <w:spacing w:line="300" w:lineRule="exact"/>
    </w:pPr>
    <w:rPr>
      <w:rFonts w:ascii="Times New Roman" w:hAnsi="Times New Roman" w:eastAsia="微软雅黑" w:cs="Times New Roman"/>
      <w:kern w:val="2"/>
      <w:sz w:val="21"/>
      <w:szCs w:val="24"/>
      <w:lang w:val="en-US" w:eastAsia="zh-CN" w:bidi="ar-SA"/>
    </w:rPr>
  </w:style>
  <w:style w:type="paragraph" w:customStyle="1" w:styleId="14">
    <w:name w:val="Table Paragraph"/>
    <w:qFormat/>
    <w:uiPriority w:val="0"/>
    <w:pPr>
      <w:widowControl w:val="0"/>
      <w:autoSpaceDE w:val="0"/>
      <w:autoSpaceDN w:val="0"/>
      <w:adjustRightInd w:val="0"/>
      <w:jc w:val="left"/>
    </w:pPr>
    <w:rPr>
      <w:rFonts w:ascii="Calibri" w:hAnsi="Calibri" w:eastAsia="宋体" w:cs="Times New Roman"/>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3033</Words>
  <Characters>3209</Characters>
  <Lines>0</Lines>
  <Paragraphs>0</Paragraphs>
  <TotalTime>5</TotalTime>
  <ScaleCrop>false</ScaleCrop>
  <LinksUpToDate>false</LinksUpToDate>
  <CharactersWithSpaces>3217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2026-06-24T00:19:00Z</dcterms:created>
  <dc:creator>user</dc:creator>
  <cp:lastModifiedBy>user</cp:lastModifiedBy>
  <dcterms:modified xsi:type="dcterms:W3CDTF">2026-06-24T03:23:58Z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5F8E1CAB56544CB5894BA72D3FCD3BF5_11</vt:lpwstr>
  </property>
  <property fmtid="{D5CDD505-2E9C-101B-9397-08002B2CF9AE}" pid="4" name="KSOTemplateDocerSaveRecord">
    <vt:lpwstr>eyJoZGlkIjoiYjM1N2Q0YmM2ZDE0OTg5MTQyZjI4ZDg0OWNhMWI3MDkiLCJ1c2VySWQiOiIxMTMyMTEyMjY1In0=</vt:lpwstr>
  </property>
</Properties>
</file>