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D7183">
      <w:pPr>
        <w:keepNext/>
        <w:jc w:val="center"/>
        <w:outlineLvl w:val="0"/>
        <w:rPr>
          <w:rFonts w:hint="eastAsia" w:ascii="宋体" w:hAnsi="宋体" w:cs="宋体"/>
          <w:b/>
          <w:bCs/>
          <w:color w:val="auto"/>
          <w:sz w:val="40"/>
          <w:szCs w:val="40"/>
        </w:rPr>
      </w:pPr>
      <w:bookmarkStart w:id="0" w:name="_Toc12679"/>
      <w:bookmarkStart w:id="1" w:name="_Toc31559"/>
      <w:r>
        <w:rPr>
          <w:rFonts w:hint="eastAsia" w:ascii="宋体" w:hAnsi="宋体" w:cs="宋体"/>
          <w:b/>
          <w:bCs/>
          <w:color w:val="auto"/>
          <w:sz w:val="40"/>
          <w:szCs w:val="40"/>
        </w:rPr>
        <w:t>采</w:t>
      </w:r>
      <w:r>
        <w:rPr>
          <w:rFonts w:hint="eastAsia" w:ascii="宋体" w:hAnsi="宋体" w:cs="宋体"/>
          <w:b/>
          <w:bCs/>
          <w:color w:val="auto"/>
          <w:sz w:val="40"/>
          <w:szCs w:val="40"/>
          <w:lang w:val="en-US" w:eastAsia="zh-CN"/>
        </w:rPr>
        <w:t xml:space="preserve"> </w:t>
      </w:r>
      <w:r>
        <w:rPr>
          <w:rFonts w:hint="eastAsia" w:ascii="宋体" w:hAnsi="宋体" w:cs="宋体"/>
          <w:b/>
          <w:bCs/>
          <w:color w:val="auto"/>
          <w:sz w:val="40"/>
          <w:szCs w:val="40"/>
        </w:rPr>
        <w:t>购</w:t>
      </w:r>
      <w:r>
        <w:rPr>
          <w:rFonts w:hint="eastAsia" w:ascii="宋体" w:hAnsi="宋体" w:cs="宋体"/>
          <w:b/>
          <w:bCs/>
          <w:color w:val="auto"/>
          <w:sz w:val="40"/>
          <w:szCs w:val="40"/>
          <w:lang w:val="en-US" w:eastAsia="zh-CN"/>
        </w:rPr>
        <w:t xml:space="preserve"> </w:t>
      </w:r>
      <w:r>
        <w:rPr>
          <w:rFonts w:hint="eastAsia" w:ascii="宋体" w:hAnsi="宋体" w:cs="宋体"/>
          <w:b/>
          <w:bCs/>
          <w:color w:val="auto"/>
          <w:sz w:val="40"/>
          <w:szCs w:val="40"/>
        </w:rPr>
        <w:t>需求</w:t>
      </w:r>
      <w:bookmarkEnd w:id="0"/>
    </w:p>
    <w:p w14:paraId="439AB19D">
      <w:pPr>
        <w:keepNext/>
        <w:keepLines/>
        <w:adjustRightInd w:val="0"/>
        <w:snapToGrid w:val="0"/>
        <w:spacing w:beforeLines="50" w:line="360" w:lineRule="auto"/>
        <w:jc w:val="center"/>
        <w:outlineLvl w:val="1"/>
        <w:rPr>
          <w:rFonts w:hint="eastAsia" w:ascii="宋体" w:hAnsi="宋体" w:cs="宋体"/>
          <w:b/>
          <w:bCs/>
          <w:color w:val="auto"/>
          <w:sz w:val="28"/>
          <w:szCs w:val="28"/>
        </w:rPr>
      </w:pPr>
      <w:bookmarkStart w:id="2" w:name="_Toc18757"/>
    </w:p>
    <w:p w14:paraId="40FFEAE1">
      <w:pPr>
        <w:keepNext/>
        <w:keepLines/>
        <w:adjustRightInd w:val="0"/>
        <w:snapToGrid w:val="0"/>
        <w:spacing w:beforeLines="50" w:line="360" w:lineRule="auto"/>
        <w:jc w:val="center"/>
        <w:outlineLvl w:val="1"/>
        <w:rPr>
          <w:rFonts w:hint="eastAsia" w:ascii="宋体" w:hAnsi="宋体" w:cs="宋体"/>
          <w:b/>
          <w:bCs/>
          <w:color w:val="auto"/>
          <w:sz w:val="28"/>
          <w:szCs w:val="28"/>
        </w:rPr>
      </w:pPr>
      <w:r>
        <w:rPr>
          <w:rFonts w:hint="eastAsia" w:ascii="宋体" w:hAnsi="宋体" w:cs="宋体"/>
          <w:b/>
          <w:bCs/>
          <w:color w:val="auto"/>
          <w:sz w:val="28"/>
          <w:szCs w:val="28"/>
        </w:rPr>
        <w:t>第一节 采购清单一览表</w:t>
      </w:r>
      <w:bookmarkEnd w:id="2"/>
    </w:p>
    <w:tbl>
      <w:tblPr>
        <w:tblStyle w:val="8"/>
        <w:tblW w:w="919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0"/>
        <w:gridCol w:w="2544"/>
        <w:gridCol w:w="3150"/>
        <w:gridCol w:w="806"/>
        <w:gridCol w:w="787"/>
        <w:gridCol w:w="1209"/>
      </w:tblGrid>
      <w:tr w14:paraId="6777A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5" w:hRule="atLeast"/>
        </w:trPr>
        <w:tc>
          <w:tcPr>
            <w:tcW w:w="700" w:type="dxa"/>
            <w:vAlign w:val="center"/>
          </w:tcPr>
          <w:p w14:paraId="37608821">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 xml:space="preserve">包号 </w:t>
            </w:r>
          </w:p>
        </w:tc>
        <w:tc>
          <w:tcPr>
            <w:tcW w:w="2544" w:type="dxa"/>
            <w:vAlign w:val="center"/>
          </w:tcPr>
          <w:p w14:paraId="7C57B409">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包名称</w:t>
            </w:r>
          </w:p>
        </w:tc>
        <w:tc>
          <w:tcPr>
            <w:tcW w:w="3150" w:type="dxa"/>
            <w:vAlign w:val="center"/>
          </w:tcPr>
          <w:p w14:paraId="46F0F820">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标的名称</w:t>
            </w:r>
          </w:p>
        </w:tc>
        <w:tc>
          <w:tcPr>
            <w:tcW w:w="806" w:type="dxa"/>
            <w:tcBorders>
              <w:left w:val="single" w:color="auto" w:sz="4" w:space="0"/>
            </w:tcBorders>
            <w:vAlign w:val="center"/>
          </w:tcPr>
          <w:p w14:paraId="092D7733">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rPr>
            </w:pPr>
            <w:r>
              <w:rPr>
                <w:rFonts w:hint="eastAsia" w:ascii="宋体" w:hAnsi="宋体" w:cs="宋体"/>
                <w:color w:val="auto"/>
                <w:szCs w:val="21"/>
              </w:rPr>
              <w:t>数量</w:t>
            </w:r>
          </w:p>
        </w:tc>
        <w:tc>
          <w:tcPr>
            <w:tcW w:w="787" w:type="dxa"/>
            <w:vAlign w:val="center"/>
          </w:tcPr>
          <w:p w14:paraId="41385C21">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节能</w:t>
            </w:r>
          </w:p>
          <w:p w14:paraId="45020CCE">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产品</w:t>
            </w:r>
          </w:p>
        </w:tc>
        <w:tc>
          <w:tcPr>
            <w:tcW w:w="1209" w:type="dxa"/>
            <w:vAlign w:val="center"/>
          </w:tcPr>
          <w:p w14:paraId="1279740F">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进口</w:t>
            </w:r>
          </w:p>
          <w:p w14:paraId="1A7C8CEC">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szCs w:val="21"/>
              </w:rPr>
            </w:pPr>
            <w:r>
              <w:rPr>
                <w:rFonts w:hint="eastAsia" w:ascii="宋体" w:hAnsi="宋体" w:cs="宋体"/>
                <w:color w:val="auto"/>
                <w:szCs w:val="21"/>
              </w:rPr>
              <w:t>产品</w:t>
            </w:r>
          </w:p>
        </w:tc>
      </w:tr>
      <w:tr w14:paraId="14C77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78" w:hRule="atLeast"/>
        </w:trPr>
        <w:tc>
          <w:tcPr>
            <w:tcW w:w="700" w:type="dxa"/>
          </w:tcPr>
          <w:p w14:paraId="651B2206">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cs="宋体"/>
                <w:color w:val="auto"/>
                <w:szCs w:val="21"/>
              </w:rPr>
            </w:pPr>
            <w:r>
              <w:rPr>
                <w:rFonts w:hint="eastAsia" w:ascii="宋体" w:hAnsi="宋体" w:cs="宋体"/>
                <w:color w:val="auto"/>
                <w:szCs w:val="21"/>
              </w:rPr>
              <w:t>1</w:t>
            </w:r>
          </w:p>
        </w:tc>
        <w:tc>
          <w:tcPr>
            <w:tcW w:w="2544" w:type="dxa"/>
          </w:tcPr>
          <w:p w14:paraId="70E39C1B">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color w:val="auto"/>
                <w:szCs w:val="21"/>
                <w:lang w:eastAsia="zh-CN"/>
              </w:rPr>
            </w:pPr>
            <w:r>
              <w:rPr>
                <w:rFonts w:hint="eastAsia" w:ascii="宋体" w:hAnsi="宋体" w:cs="宋体"/>
                <w:color w:val="auto"/>
                <w:szCs w:val="21"/>
                <w:lang w:eastAsia="zh-CN"/>
              </w:rPr>
              <w:t>宜章县骑田国有林场2026年度森林可持续经营项目</w:t>
            </w:r>
          </w:p>
        </w:tc>
        <w:tc>
          <w:tcPr>
            <w:tcW w:w="3150" w:type="dxa"/>
          </w:tcPr>
          <w:p w14:paraId="56AFBBB5">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color w:val="auto"/>
                <w:szCs w:val="21"/>
                <w:lang w:eastAsia="zh-CN"/>
              </w:rPr>
            </w:pPr>
            <w:r>
              <w:rPr>
                <w:rFonts w:hint="eastAsia" w:ascii="宋体" w:hAnsi="宋体" w:cs="宋体"/>
                <w:color w:val="auto"/>
                <w:szCs w:val="21"/>
                <w:lang w:eastAsia="zh-CN"/>
              </w:rPr>
              <w:t>宜章县骑田国有林场2026年度森林可持续经营项目</w:t>
            </w:r>
          </w:p>
        </w:tc>
        <w:tc>
          <w:tcPr>
            <w:tcW w:w="806" w:type="dxa"/>
            <w:tcBorders>
              <w:left w:val="single" w:color="auto" w:sz="4" w:space="0"/>
            </w:tcBorders>
          </w:tcPr>
          <w:p w14:paraId="5CDE1ED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color w:val="auto"/>
                <w:szCs w:val="21"/>
              </w:rPr>
            </w:pPr>
            <w:r>
              <w:rPr>
                <w:rFonts w:hint="eastAsia" w:ascii="宋体" w:hAnsi="宋体" w:cs="宋体"/>
                <w:color w:val="auto"/>
                <w:szCs w:val="21"/>
              </w:rPr>
              <w:t>1项</w:t>
            </w:r>
          </w:p>
        </w:tc>
        <w:tc>
          <w:tcPr>
            <w:tcW w:w="787" w:type="dxa"/>
          </w:tcPr>
          <w:p w14:paraId="49B23F4F">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cs="宋体"/>
                <w:color w:val="auto"/>
                <w:szCs w:val="21"/>
              </w:rPr>
            </w:pPr>
            <w:r>
              <w:rPr>
                <w:rFonts w:hint="eastAsia" w:ascii="宋体" w:hAnsi="宋体" w:cs="宋体"/>
                <w:iCs/>
                <w:color w:val="auto"/>
                <w:szCs w:val="21"/>
              </w:rPr>
              <w:t>/</w:t>
            </w:r>
          </w:p>
        </w:tc>
        <w:tc>
          <w:tcPr>
            <w:tcW w:w="1209" w:type="dxa"/>
          </w:tcPr>
          <w:p w14:paraId="78F348A1">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cs="宋体"/>
                <w:color w:val="auto"/>
                <w:szCs w:val="21"/>
              </w:rPr>
            </w:pPr>
            <w:r>
              <w:rPr>
                <w:rFonts w:hint="eastAsia" w:ascii="宋体" w:hAnsi="宋体" w:cs="宋体"/>
                <w:color w:val="auto"/>
                <w:szCs w:val="21"/>
              </w:rPr>
              <w:t>/</w:t>
            </w:r>
          </w:p>
        </w:tc>
      </w:tr>
    </w:tbl>
    <w:p w14:paraId="32899AB2">
      <w:pPr>
        <w:adjustRightInd w:val="0"/>
        <w:snapToGrid w:val="0"/>
        <w:spacing w:beforeLines="50" w:line="360" w:lineRule="auto"/>
        <w:rPr>
          <w:rFonts w:hint="eastAsia" w:ascii="宋体" w:hAnsi="宋体" w:cs="宋体"/>
          <w:color w:val="auto"/>
          <w:szCs w:val="21"/>
        </w:rPr>
      </w:pPr>
      <w:r>
        <w:rPr>
          <w:rFonts w:hint="eastAsia" w:ascii="宋体" w:hAnsi="宋体" w:cs="宋体"/>
          <w:color w:val="auto"/>
          <w:szCs w:val="21"/>
        </w:rPr>
        <w:t>注：1.“包”为最小合同单位。每“包”内容应细化到具体的标的。</w:t>
      </w:r>
    </w:p>
    <w:p w14:paraId="3973EBCD">
      <w:pPr>
        <w:adjustRightInd w:val="0"/>
        <w:snapToGrid w:val="0"/>
        <w:spacing w:beforeLines="50" w:line="360" w:lineRule="auto"/>
        <w:ind w:firstLine="420" w:firstLineChars="200"/>
        <w:rPr>
          <w:rFonts w:hint="eastAsia" w:ascii="宋体" w:hAnsi="宋体" w:cs="宋体"/>
          <w:color w:val="auto"/>
          <w:kern w:val="0"/>
          <w:szCs w:val="21"/>
        </w:rPr>
      </w:pPr>
      <w:r>
        <w:rPr>
          <w:rFonts w:hint="eastAsia" w:ascii="宋体" w:hAnsi="宋体" w:cs="宋体"/>
          <w:color w:val="auto"/>
          <w:szCs w:val="21"/>
        </w:rPr>
        <w:t>2.主要技术参数或规格：</w:t>
      </w:r>
      <w:r>
        <w:rPr>
          <w:rFonts w:hint="eastAsia" w:ascii="宋体" w:hAnsi="宋体" w:cs="宋体"/>
          <w:color w:val="auto"/>
          <w:kern w:val="0"/>
          <w:szCs w:val="21"/>
        </w:rPr>
        <w:t>详见“技术要求”中的具体技术参数。</w:t>
      </w:r>
    </w:p>
    <w:p w14:paraId="478D31B5">
      <w:pPr>
        <w:adjustRightInd w:val="0"/>
        <w:snapToGrid w:val="0"/>
        <w:spacing w:beforeLines="50" w:line="360" w:lineRule="auto"/>
        <w:ind w:firstLine="420" w:firstLineChars="200"/>
        <w:rPr>
          <w:rFonts w:hint="eastAsia" w:ascii="宋体" w:hAnsi="宋体" w:cs="宋体"/>
          <w:color w:val="auto"/>
          <w:kern w:val="0"/>
          <w:szCs w:val="21"/>
        </w:rPr>
      </w:pPr>
      <w:r>
        <w:rPr>
          <w:rFonts w:hint="eastAsia" w:ascii="宋体" w:hAnsi="宋体" w:cs="宋体"/>
          <w:bCs/>
          <w:color w:val="auto"/>
          <w:kern w:val="0"/>
          <w:szCs w:val="21"/>
        </w:rPr>
        <w:t>3.供应商应</w:t>
      </w:r>
      <w:r>
        <w:rPr>
          <w:rFonts w:hint="eastAsia" w:ascii="宋体" w:hAnsi="宋体" w:cs="宋体"/>
          <w:color w:val="auto"/>
          <w:kern w:val="0"/>
          <w:szCs w:val="21"/>
        </w:rPr>
        <w:t>在响应文件“分项报价明细表”中按</w:t>
      </w:r>
      <w:r>
        <w:rPr>
          <w:rFonts w:hint="eastAsia" w:ascii="宋体" w:hAnsi="宋体" w:cs="宋体"/>
          <w:color w:val="auto"/>
          <w:szCs w:val="21"/>
        </w:rPr>
        <w:t>标的名称</w:t>
      </w:r>
      <w:r>
        <w:rPr>
          <w:rFonts w:hint="eastAsia" w:ascii="宋体" w:hAnsi="宋体" w:cs="宋体"/>
          <w:color w:val="auto"/>
          <w:kern w:val="0"/>
          <w:szCs w:val="21"/>
        </w:rPr>
        <w:t>顺序逐项填写，且每个标的均需按磋商文件规定报价。如有缺项、漏项，其</w:t>
      </w:r>
      <w:r>
        <w:rPr>
          <w:rFonts w:hint="eastAsia" w:ascii="宋体" w:hAnsi="宋体" w:cs="宋体"/>
          <w:b/>
          <w:color w:val="auto"/>
          <w:kern w:val="0"/>
          <w:szCs w:val="21"/>
        </w:rPr>
        <w:t>响应无效</w:t>
      </w:r>
      <w:r>
        <w:rPr>
          <w:rFonts w:hint="eastAsia" w:ascii="宋体" w:hAnsi="宋体" w:cs="宋体"/>
          <w:color w:val="auto"/>
          <w:kern w:val="0"/>
          <w:szCs w:val="21"/>
        </w:rPr>
        <w:t>。</w:t>
      </w:r>
    </w:p>
    <w:p w14:paraId="2716655E">
      <w:pPr>
        <w:adjustRightInd w:val="0"/>
        <w:snapToGrid w:val="0"/>
        <w:spacing w:beforeLines="50" w:line="360" w:lineRule="auto"/>
        <w:ind w:firstLine="420" w:firstLineChars="200"/>
        <w:rPr>
          <w:rFonts w:hint="eastAsia" w:ascii="宋体" w:hAnsi="宋体" w:cs="宋体"/>
          <w:color w:val="auto"/>
          <w:kern w:val="0"/>
          <w:szCs w:val="21"/>
        </w:rPr>
      </w:pPr>
    </w:p>
    <w:p w14:paraId="3BEC0E7E">
      <w:pPr>
        <w:pStyle w:val="7"/>
        <w:rPr>
          <w:rFonts w:hint="eastAsia"/>
          <w:color w:val="auto"/>
        </w:rPr>
      </w:pPr>
    </w:p>
    <w:p w14:paraId="3F25A0FB">
      <w:pPr>
        <w:pStyle w:val="2"/>
        <w:rPr>
          <w:rFonts w:hint="eastAsia"/>
          <w:color w:val="auto"/>
        </w:rPr>
      </w:pPr>
    </w:p>
    <w:p w14:paraId="01E92254">
      <w:pPr>
        <w:keepNext/>
        <w:keepLines/>
        <w:adjustRightInd w:val="0"/>
        <w:snapToGrid w:val="0"/>
        <w:spacing w:beforeLines="50" w:line="360" w:lineRule="auto"/>
        <w:jc w:val="center"/>
        <w:outlineLvl w:val="1"/>
        <w:rPr>
          <w:rFonts w:hint="eastAsia" w:ascii="宋体" w:hAnsi="宋体" w:cs="宋体"/>
          <w:b/>
          <w:bCs/>
          <w:color w:val="auto"/>
          <w:sz w:val="28"/>
          <w:szCs w:val="28"/>
        </w:rPr>
      </w:pPr>
      <w:bookmarkStart w:id="3" w:name="_Toc29848"/>
      <w:r>
        <w:rPr>
          <w:rFonts w:hint="eastAsia" w:ascii="宋体" w:hAnsi="宋体" w:cs="宋体"/>
          <w:b/>
          <w:bCs/>
          <w:color w:val="auto"/>
          <w:sz w:val="28"/>
          <w:szCs w:val="28"/>
        </w:rPr>
        <w:t xml:space="preserve">第二节 </w:t>
      </w:r>
      <w:r>
        <w:rPr>
          <w:rFonts w:hint="eastAsia" w:ascii="宋体" w:hAnsi="宋体" w:cs="宋体"/>
          <w:b/>
          <w:bCs/>
          <w:color w:val="auto"/>
          <w:sz w:val="28"/>
          <w:szCs w:val="28"/>
          <w:lang w:val="en-US" w:eastAsia="zh-CN"/>
        </w:rPr>
        <w:t>商务、</w:t>
      </w:r>
      <w:r>
        <w:rPr>
          <w:rFonts w:hint="eastAsia" w:ascii="宋体" w:hAnsi="宋体" w:cs="宋体"/>
          <w:b/>
          <w:bCs/>
          <w:color w:val="auto"/>
          <w:sz w:val="28"/>
          <w:szCs w:val="28"/>
        </w:rPr>
        <w:t>技术要求</w:t>
      </w:r>
      <w:bookmarkStart w:id="4" w:name="_GoBack"/>
      <w:bookmarkEnd w:id="4"/>
    </w:p>
    <w:bookmarkEnd w:id="3"/>
    <w:p w14:paraId="3AD2FE14">
      <w:pPr>
        <w:autoSpaceDE w:val="0"/>
        <w:autoSpaceDN w:val="0"/>
        <w:adjustRightInd w:val="0"/>
        <w:snapToGrid w:val="0"/>
        <w:spacing w:line="360" w:lineRule="auto"/>
        <w:ind w:right="32"/>
        <w:jc w:val="left"/>
        <w:rPr>
          <w:rFonts w:hint="eastAsia" w:ascii="宋体" w:hAnsi="宋体" w:cs="宋体"/>
          <w:iCs/>
          <w:color w:val="auto"/>
          <w:szCs w:val="21"/>
        </w:rPr>
      </w:pPr>
    </w:p>
    <w:p w14:paraId="3ED8BF91">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eastAsia="宋体" w:cs="宋体"/>
          <w:color w:val="auto"/>
          <w:szCs w:val="21"/>
          <w:lang w:eastAsia="zh-CN"/>
        </w:rPr>
      </w:pPr>
      <w:r>
        <w:rPr>
          <w:rFonts w:hint="eastAsia" w:ascii="宋体" w:hAnsi="宋体" w:cs="宋体"/>
          <w:b/>
          <w:bCs/>
          <w:color w:val="auto"/>
          <w:szCs w:val="21"/>
        </w:rPr>
        <w:t>一、采购项目名称：</w:t>
      </w:r>
      <w:r>
        <w:rPr>
          <w:rFonts w:hint="eastAsia" w:ascii="宋体" w:hAnsi="宋体" w:cs="宋体"/>
          <w:color w:val="auto"/>
          <w:szCs w:val="21"/>
          <w:lang w:eastAsia="zh-CN"/>
        </w:rPr>
        <w:t>宜章县骑田国有林场2026年度森林可持续经营项目</w:t>
      </w:r>
    </w:p>
    <w:p w14:paraId="2F0DCEB0">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color w:val="auto"/>
          <w:szCs w:val="21"/>
        </w:rPr>
      </w:pPr>
      <w:r>
        <w:rPr>
          <w:rFonts w:hint="eastAsia" w:ascii="宋体" w:hAnsi="宋体" w:cs="宋体"/>
          <w:b/>
          <w:bCs/>
          <w:color w:val="auto"/>
          <w:szCs w:val="21"/>
        </w:rPr>
        <w:t>二、采购项目预算</w:t>
      </w:r>
      <w:r>
        <w:rPr>
          <w:rFonts w:hint="eastAsia" w:ascii="宋体" w:hAnsi="宋体" w:cs="宋体"/>
          <w:b/>
          <w:bCs/>
          <w:color w:val="auto"/>
          <w:szCs w:val="21"/>
          <w:lang w:eastAsia="zh-CN"/>
        </w:rPr>
        <w:t>：</w:t>
      </w:r>
      <w:r>
        <w:rPr>
          <w:rFonts w:hint="eastAsia" w:ascii="宋体" w:hAnsi="宋体" w:cs="宋体"/>
          <w:color w:val="auto"/>
          <w:szCs w:val="21"/>
          <w:lang w:eastAsia="zh-CN"/>
        </w:rPr>
        <w:t>¥1903200</w:t>
      </w:r>
      <w:r>
        <w:rPr>
          <w:rFonts w:hint="eastAsia" w:ascii="宋体" w:hAnsi="宋体" w:cs="宋体"/>
          <w:color w:val="auto"/>
          <w:szCs w:val="21"/>
          <w:lang w:val="en-US" w:eastAsia="zh-CN"/>
        </w:rPr>
        <w:t>.00</w:t>
      </w:r>
      <w:r>
        <w:rPr>
          <w:rFonts w:hint="eastAsia" w:ascii="宋体" w:hAnsi="宋体" w:cs="宋体"/>
          <w:color w:val="auto"/>
          <w:szCs w:val="21"/>
          <w:lang w:eastAsia="zh-CN"/>
        </w:rPr>
        <w:t>元</w:t>
      </w:r>
    </w:p>
    <w:p w14:paraId="20A59261">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color w:val="auto"/>
          <w:szCs w:val="21"/>
        </w:rPr>
      </w:pPr>
      <w:r>
        <w:rPr>
          <w:rFonts w:hint="eastAsia" w:ascii="宋体" w:hAnsi="宋体" w:cs="宋体"/>
          <w:b/>
          <w:bCs/>
          <w:color w:val="auto"/>
          <w:szCs w:val="21"/>
        </w:rPr>
        <w:t>三、项目</w:t>
      </w:r>
      <w:r>
        <w:rPr>
          <w:rFonts w:hint="eastAsia" w:ascii="宋体" w:hAnsi="宋体" w:cs="宋体"/>
          <w:b/>
          <w:bCs/>
          <w:color w:val="auto"/>
          <w:szCs w:val="21"/>
          <w:lang w:eastAsia="zh-CN"/>
        </w:rPr>
        <w:t>服务</w:t>
      </w:r>
      <w:r>
        <w:rPr>
          <w:rFonts w:hint="eastAsia" w:ascii="宋体" w:hAnsi="宋体" w:cs="宋体"/>
          <w:b/>
          <w:bCs/>
          <w:color w:val="auto"/>
          <w:szCs w:val="21"/>
        </w:rPr>
        <w:t>地点：</w:t>
      </w:r>
      <w:r>
        <w:rPr>
          <w:rFonts w:hint="eastAsia" w:ascii="宋体" w:hAnsi="宋体" w:cs="宋体"/>
          <w:color w:val="auto"/>
          <w:szCs w:val="21"/>
          <w:lang w:val="en-US" w:eastAsia="zh-CN"/>
        </w:rPr>
        <w:t>宜章县骑田国有林场</w:t>
      </w:r>
      <w:r>
        <w:rPr>
          <w:rFonts w:hint="eastAsia" w:ascii="宋体" w:hAnsi="宋体" w:cs="宋体"/>
          <w:color w:val="auto"/>
          <w:szCs w:val="21"/>
          <w:lang w:eastAsia="zh-CN"/>
        </w:rPr>
        <w:t xml:space="preserve"> </w:t>
      </w:r>
    </w:p>
    <w:p w14:paraId="1F37BD3C">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rPr>
        <w:t>四、</w:t>
      </w:r>
      <w:r>
        <w:rPr>
          <w:rFonts w:hint="eastAsia" w:ascii="宋体" w:hAnsi="宋体" w:cs="宋体"/>
          <w:b/>
          <w:bCs/>
          <w:color w:val="auto"/>
          <w:szCs w:val="21"/>
          <w:lang w:eastAsia="zh-CN"/>
        </w:rPr>
        <w:t>服务</w:t>
      </w:r>
      <w:r>
        <w:rPr>
          <w:rFonts w:hint="eastAsia" w:ascii="宋体" w:hAnsi="宋体" w:cs="宋体"/>
          <w:b/>
          <w:bCs/>
          <w:color w:val="auto"/>
          <w:szCs w:val="21"/>
        </w:rPr>
        <w:t>内容:</w:t>
      </w:r>
      <w:r>
        <w:rPr>
          <w:rFonts w:hint="eastAsia" w:ascii="宋体" w:hAnsi="宋体" w:cs="宋体"/>
          <w:b/>
          <w:bCs/>
          <w:color w:val="auto"/>
          <w:szCs w:val="21"/>
          <w:lang w:val="en-US" w:eastAsia="zh-CN"/>
        </w:rPr>
        <w:t xml:space="preserve"> </w:t>
      </w:r>
    </w:p>
    <w:p w14:paraId="3EFF9E35">
      <w:pPr>
        <w:pStyle w:val="3"/>
        <w:keepLines w:val="0"/>
        <w:pageBreakBefore w:val="0"/>
        <w:widowControl w:val="0"/>
        <w:kinsoku/>
        <w:wordWrap/>
        <w:overflowPunct/>
        <w:topLinePunct w:val="0"/>
        <w:bidi w:val="0"/>
        <w:spacing w:after="0" w:line="480" w:lineRule="exact"/>
        <w:ind w:left="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宜</w:t>
      </w:r>
      <w:r>
        <w:rPr>
          <w:rFonts w:hint="eastAsia" w:ascii="宋体" w:hAnsi="宋体" w:cs="宋体"/>
          <w:color w:val="auto"/>
          <w:kern w:val="2"/>
          <w:sz w:val="21"/>
          <w:szCs w:val="21"/>
          <w:lang w:val="en-US" w:eastAsia="zh-CN" w:bidi="ar-SA"/>
        </w:rPr>
        <w:t>章</w:t>
      </w:r>
      <w:r>
        <w:rPr>
          <w:rFonts w:hint="eastAsia" w:ascii="宋体" w:hAnsi="宋体" w:eastAsia="宋体" w:cs="宋体"/>
          <w:color w:val="auto"/>
          <w:kern w:val="2"/>
          <w:sz w:val="21"/>
          <w:szCs w:val="21"/>
          <w:lang w:val="en-US" w:eastAsia="zh-CN" w:bidi="ar-SA"/>
        </w:rPr>
        <w:t>县骑田国有林场2026年度森林可持续经营项目</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内容为幼龄林抚育，共21个小班， 面积4468亩。项目</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地点为新建工区、林烽工区。</w:t>
      </w:r>
    </w:p>
    <w:p w14:paraId="1F97139E">
      <w:pPr>
        <w:pStyle w:val="3"/>
        <w:keepLines w:val="0"/>
        <w:pageBreakBefore w:val="0"/>
        <w:widowControl w:val="0"/>
        <w:kinsoku/>
        <w:wordWrap/>
        <w:overflowPunct/>
        <w:topLinePunct w:val="0"/>
        <w:bidi w:val="0"/>
        <w:spacing w:after="0" w:line="480" w:lineRule="exact"/>
        <w:ind w:left="0" w:right="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目标：本项目立足骑田国有林场南岭山地生态区位核心定位，紧扣森林可持续经营与生态提质总要求，以4468亩天然幼龄林为作业载体，统筹生态防护、林木培育、生物多样性保护</w:t>
      </w:r>
      <w:r>
        <w:rPr>
          <w:rFonts w:hint="eastAsia" w:ascii="宋体" w:hAnsi="宋体" w:cs="宋体"/>
          <w:color w:val="auto"/>
          <w:kern w:val="2"/>
          <w:sz w:val="21"/>
          <w:szCs w:val="21"/>
          <w:lang w:val="en-US" w:eastAsia="zh-CN" w:bidi="ar-SA"/>
        </w:rPr>
        <w:t>多重</w:t>
      </w:r>
      <w:r>
        <w:rPr>
          <w:rFonts w:hint="eastAsia" w:ascii="宋体" w:hAnsi="宋体" w:eastAsia="宋体" w:cs="宋体"/>
          <w:color w:val="auto"/>
          <w:kern w:val="2"/>
          <w:sz w:val="21"/>
          <w:szCs w:val="21"/>
          <w:lang w:val="en-US" w:eastAsia="zh-CN" w:bidi="ar-SA"/>
        </w:rPr>
        <w:t>功能，构建适配本地的近</w:t>
      </w:r>
      <w:r>
        <w:rPr>
          <w:rFonts w:hint="eastAsia" w:ascii="宋体" w:hAnsi="宋体" w:cs="宋体"/>
          <w:color w:val="auto"/>
          <w:kern w:val="2"/>
          <w:sz w:val="21"/>
          <w:szCs w:val="21"/>
          <w:lang w:val="en-US" w:eastAsia="zh-CN" w:bidi="ar-SA"/>
        </w:rPr>
        <w:t>期</w:t>
      </w:r>
      <w:r>
        <w:rPr>
          <w:rFonts w:hint="eastAsia" w:ascii="宋体" w:hAnsi="宋体" w:eastAsia="宋体" w:cs="宋体"/>
          <w:color w:val="auto"/>
          <w:kern w:val="2"/>
          <w:sz w:val="21"/>
          <w:szCs w:val="21"/>
          <w:lang w:val="en-US" w:eastAsia="zh-CN" w:bidi="ar-SA"/>
        </w:rPr>
        <w:t>自然复层异龄林培育体系。短期通过标准化抚育、补植改良、水肥管控优化现有林分结构，合理调控郁闭度、林木密度与生长空间：长期推动单层纯林向多树种、异龄复层恒续林正向</w:t>
      </w:r>
      <w:r>
        <w:rPr>
          <w:rFonts w:hint="eastAsia" w:ascii="宋体" w:hAnsi="宋体" w:cs="宋体"/>
          <w:color w:val="auto"/>
          <w:kern w:val="2"/>
          <w:sz w:val="21"/>
          <w:szCs w:val="21"/>
          <w:lang w:val="en-US" w:eastAsia="zh-CN" w:bidi="ar-SA"/>
        </w:rPr>
        <w:t>演</w:t>
      </w:r>
      <w:r>
        <w:rPr>
          <w:rFonts w:hint="eastAsia" w:ascii="宋体" w:hAnsi="宋体" w:eastAsia="宋体" w:cs="宋体"/>
          <w:color w:val="auto"/>
          <w:kern w:val="2"/>
          <w:sz w:val="21"/>
          <w:szCs w:val="21"/>
          <w:lang w:val="en-US" w:eastAsia="zh-CN" w:bidi="ar-SA"/>
        </w:rPr>
        <w:t>替，同步形成可复制、可推广的国有林场幼林提质经营模式，兼顾生态、经济、社会效益协同提升。</w:t>
      </w:r>
    </w:p>
    <w:p w14:paraId="6D247652">
      <w:pPr>
        <w:pStyle w:val="3"/>
        <w:keepLines w:val="0"/>
        <w:pageBreakBefore w:val="0"/>
        <w:widowControl w:val="0"/>
        <w:kinsoku/>
        <w:wordWrap/>
        <w:overflowPunct/>
        <w:topLinePunct w:val="0"/>
        <w:bidi w:val="0"/>
        <w:spacing w:after="0" w:line="480" w:lineRule="exact"/>
        <w:ind w:left="0" w:right="0" w:firstLine="420" w:firstLineChars="200"/>
        <w:jc w:val="both"/>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期限：</w:t>
      </w:r>
      <w:r>
        <w:rPr>
          <w:rFonts w:hint="eastAsia" w:ascii="宋体" w:hAnsi="宋体" w:cs="宋体"/>
          <w:color w:val="auto"/>
          <w:kern w:val="2"/>
          <w:sz w:val="21"/>
          <w:szCs w:val="21"/>
          <w:lang w:val="en-US" w:eastAsia="zh-CN" w:bidi="ar-SA"/>
        </w:rPr>
        <w:t>7个月（2026年10月至2027年4月）</w:t>
      </w:r>
    </w:p>
    <w:p w14:paraId="14C99614">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五、服务内容及技术要求</w:t>
      </w:r>
    </w:p>
    <w:p w14:paraId="6BF3650F">
      <w:pPr>
        <w:pStyle w:val="10"/>
        <w:keepLines w:val="0"/>
        <w:pageBreakBefore w:val="0"/>
        <w:widowControl w:val="0"/>
        <w:numPr>
          <w:ilvl w:val="0"/>
          <w:numId w:val="1"/>
        </w:numPr>
        <w:tabs>
          <w:tab w:val="left" w:pos="923"/>
        </w:tabs>
        <w:kinsoku/>
        <w:wordWrap/>
        <w:overflowPunct/>
        <w:topLinePunct w:val="0"/>
        <w:bidi w:val="0"/>
        <w:spacing w:line="480" w:lineRule="exact"/>
        <w:ind w:left="0" w:right="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采购内容包含森林经营服务、检查验收等，具体服务内容、地点按作业设计方案要求和相应的</w:t>
      </w:r>
      <w:r>
        <w:rPr>
          <w:rFonts w:hint="eastAsia" w:ascii="宋体" w:hAnsi="宋体" w:cs="宋体"/>
          <w:color w:val="auto"/>
          <w:kern w:val="2"/>
          <w:sz w:val="21"/>
          <w:szCs w:val="21"/>
          <w:lang w:val="en-US" w:eastAsia="zh-CN" w:bidi="ar-SA"/>
        </w:rPr>
        <w:t>设计</w:t>
      </w:r>
      <w:r>
        <w:rPr>
          <w:rFonts w:hint="eastAsia" w:ascii="宋体" w:hAnsi="宋体" w:eastAsia="宋体" w:cs="宋体"/>
          <w:color w:val="auto"/>
          <w:kern w:val="2"/>
          <w:sz w:val="21"/>
          <w:szCs w:val="21"/>
          <w:lang w:val="en-US" w:eastAsia="zh-CN" w:bidi="ar-SA"/>
        </w:rPr>
        <w:t>图纸为准。</w:t>
      </w:r>
    </w:p>
    <w:p w14:paraId="54ED5589">
      <w:pPr>
        <w:pStyle w:val="10"/>
        <w:keepLines w:val="0"/>
        <w:pageBreakBefore w:val="0"/>
        <w:widowControl w:val="0"/>
        <w:numPr>
          <w:ilvl w:val="0"/>
          <w:numId w:val="1"/>
        </w:numPr>
        <w:tabs>
          <w:tab w:val="left" w:pos="920"/>
        </w:tabs>
        <w:kinsoku/>
        <w:wordWrap/>
        <w:overflowPunct/>
        <w:topLinePunct w:val="0"/>
        <w:bidi w:val="0"/>
        <w:spacing w:line="480" w:lineRule="exact"/>
        <w:ind w:left="0" w:right="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幼龄林抚育技术措施</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见附件宜章县骑田国有林场2026年度森林可持续经营项目作业设计及采伐作业设计。</w:t>
      </w:r>
    </w:p>
    <w:p w14:paraId="123E801F">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六、商务要求</w:t>
      </w:r>
    </w:p>
    <w:p w14:paraId="5131D576">
      <w:pPr>
        <w:pStyle w:val="10"/>
        <w:keepLines w:val="0"/>
        <w:pageBreakBefore w:val="0"/>
        <w:widowControl w:val="0"/>
        <w:numPr>
          <w:ilvl w:val="0"/>
          <w:numId w:val="0"/>
        </w:numPr>
        <w:tabs>
          <w:tab w:val="left" w:pos="921"/>
        </w:tabs>
        <w:kinsoku/>
        <w:wordWrap/>
        <w:overflowPunct/>
        <w:topLinePunct w:val="0"/>
        <w:bidi w:val="0"/>
        <w:spacing w:line="480" w:lineRule="exact"/>
        <w:ind w:left="0" w:leftChars="0"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1.</w:t>
      </w:r>
      <w:r>
        <w:rPr>
          <w:rFonts w:hint="eastAsia" w:ascii="宋体" w:hAnsi="宋体" w:cs="宋体"/>
          <w:color w:val="auto"/>
          <w:kern w:val="2"/>
          <w:sz w:val="21"/>
          <w:szCs w:val="21"/>
          <w:lang w:val="en-US" w:eastAsia="zh-CN" w:bidi="ar-SA"/>
        </w:rPr>
        <w:t>质量</w:t>
      </w:r>
      <w:r>
        <w:rPr>
          <w:rFonts w:hint="eastAsia" w:ascii="宋体" w:hAnsi="宋体" w:eastAsia="宋体" w:cs="宋体"/>
          <w:color w:val="auto"/>
          <w:kern w:val="2"/>
          <w:sz w:val="21"/>
          <w:szCs w:val="21"/>
          <w:lang w:val="en-US" w:eastAsia="zh-CN" w:bidi="ar-SA"/>
        </w:rPr>
        <w:t>要求：严格按照审批的作业设计组织施工作业，设计的主要技术措施开展作业，精心管理、科学</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，严格执行技术规范和</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规程，建立健全</w:t>
      </w:r>
      <w:r>
        <w:rPr>
          <w:rFonts w:hint="eastAsia" w:ascii="宋体" w:hAnsi="宋体" w:cs="宋体"/>
          <w:color w:val="auto"/>
          <w:kern w:val="2"/>
          <w:sz w:val="21"/>
          <w:szCs w:val="21"/>
          <w:lang w:val="en-US" w:eastAsia="zh-CN" w:bidi="ar-SA"/>
        </w:rPr>
        <w:t>质量保障</w:t>
      </w:r>
      <w:r>
        <w:rPr>
          <w:rFonts w:hint="eastAsia" w:ascii="宋体" w:hAnsi="宋体" w:eastAsia="宋体" w:cs="宋体"/>
          <w:color w:val="auto"/>
          <w:kern w:val="2"/>
          <w:sz w:val="21"/>
          <w:szCs w:val="21"/>
          <w:lang w:val="en-US" w:eastAsia="zh-CN" w:bidi="ar-SA"/>
        </w:rPr>
        <w:t>体系，实施全过程控制和</w:t>
      </w:r>
      <w:r>
        <w:rPr>
          <w:rFonts w:hint="eastAsia" w:ascii="宋体" w:hAnsi="宋体" w:cs="宋体"/>
          <w:color w:val="auto"/>
          <w:kern w:val="2"/>
          <w:sz w:val="21"/>
          <w:szCs w:val="21"/>
          <w:lang w:val="en-US" w:eastAsia="zh-CN" w:bidi="ar-SA"/>
        </w:rPr>
        <w:t>质量</w:t>
      </w:r>
      <w:r>
        <w:rPr>
          <w:rFonts w:hint="eastAsia" w:ascii="宋体" w:hAnsi="宋体" w:eastAsia="宋体" w:cs="宋体"/>
          <w:color w:val="auto"/>
          <w:kern w:val="2"/>
          <w:sz w:val="21"/>
          <w:szCs w:val="21"/>
          <w:lang w:val="en-US" w:eastAsia="zh-CN" w:bidi="ar-SA"/>
        </w:rPr>
        <w:t>验收，确保</w:t>
      </w:r>
      <w:r>
        <w:rPr>
          <w:rFonts w:hint="eastAsia" w:ascii="宋体" w:hAnsi="宋体" w:cs="宋体"/>
          <w:color w:val="auto"/>
          <w:kern w:val="2"/>
          <w:sz w:val="21"/>
          <w:szCs w:val="21"/>
          <w:lang w:val="en-US" w:eastAsia="zh-CN" w:bidi="ar-SA"/>
        </w:rPr>
        <w:t>服务质量</w:t>
      </w:r>
      <w:r>
        <w:rPr>
          <w:rFonts w:hint="eastAsia" w:ascii="宋体" w:hAnsi="宋体" w:eastAsia="宋体" w:cs="宋体"/>
          <w:color w:val="auto"/>
          <w:kern w:val="2"/>
          <w:sz w:val="21"/>
          <w:szCs w:val="21"/>
          <w:lang w:val="en-US" w:eastAsia="zh-CN" w:bidi="ar-SA"/>
        </w:rPr>
        <w:t>。项目应符合以下要求：</w:t>
      </w:r>
    </w:p>
    <w:p w14:paraId="41D3F8A6">
      <w:pPr>
        <w:pStyle w:val="3"/>
        <w:keepLines w:val="0"/>
        <w:pageBreakBefore w:val="0"/>
        <w:widowControl w:val="0"/>
        <w:kinsoku/>
        <w:wordWrap/>
        <w:overflowPunct/>
        <w:topLinePunct w:val="0"/>
        <w:bidi w:val="0"/>
        <w:spacing w:after="0" w:line="480" w:lineRule="exact"/>
        <w:ind w:left="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( 1 ) 严格按照作业设计的区划范围、作业面积开展施工，施工小班周界与图面基本吻合， 面积误差不超过±5%</w:t>
      </w:r>
    </w:p>
    <w:p w14:paraId="466DDD2D">
      <w:pPr>
        <w:pStyle w:val="3"/>
        <w:keepLines w:val="0"/>
        <w:pageBreakBefore w:val="0"/>
        <w:widowControl w:val="0"/>
        <w:kinsoku/>
        <w:wordWrap/>
        <w:overflowPunct/>
        <w:topLinePunct w:val="0"/>
        <w:bidi w:val="0"/>
        <w:spacing w:after="0" w:line="480" w:lineRule="exact"/>
        <w:ind w:left="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( 2 ) 小班按照作业设计的技术措施施工，间伐、择伐强度等内容应与作业设计一致：</w:t>
      </w:r>
    </w:p>
    <w:p w14:paraId="4C86359F">
      <w:pPr>
        <w:pStyle w:val="3"/>
        <w:keepNext w:val="0"/>
        <w:keepLines w:val="0"/>
        <w:pageBreakBefore w:val="0"/>
        <w:widowControl w:val="0"/>
        <w:kinsoku/>
        <w:wordWrap/>
        <w:overflowPunct/>
        <w:topLinePunct w:val="0"/>
        <w:autoSpaceDE/>
        <w:autoSpaceDN/>
        <w:bidi w:val="0"/>
        <w:adjustRightInd/>
        <w:snapToGrid/>
        <w:spacing w:after="0" w:line="480" w:lineRule="exact"/>
        <w:ind w:left="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( 3 ) 需要采伐林木的施工前必须依法依规办理林木采伐手续，不得以森林质址提升为名进行乱砍滥伐、破坏森林资源。</w:t>
      </w:r>
    </w:p>
    <w:p w14:paraId="3ABF01BB">
      <w:pPr>
        <w:keepLines w:val="0"/>
        <w:pageBreakBefore w:val="0"/>
        <w:widowControl w:val="0"/>
        <w:kinsoku/>
        <w:wordWrap/>
        <w:overflowPunct/>
        <w:topLinePunct w:val="0"/>
        <w:bidi w:val="0"/>
        <w:spacing w:line="480" w:lineRule="exact"/>
        <w:ind w:left="0" w:right="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( 4 ) 禁止放牧以及其他损毁林地的行为。</w:t>
      </w:r>
    </w:p>
    <w:p w14:paraId="166CF67B">
      <w:pPr>
        <w:keepLines w:val="0"/>
        <w:pageBreakBefore w:val="0"/>
        <w:widowControl w:val="0"/>
        <w:kinsoku/>
        <w:wordWrap/>
        <w:overflowPunct/>
        <w:topLinePunct w:val="0"/>
        <w:bidi w:val="0"/>
        <w:spacing w:line="480" w:lineRule="exact"/>
        <w:ind w:left="0" w:right="0" w:firstLine="420" w:firstLineChars="200"/>
        <w:jc w:val="left"/>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2.验收要求：中标供应商应严格按照《宜章县骑田国有林场2026年度森林可持续经营项目作业设计》及相关规范规程技术要求进行服务操作，按时间节点要求分阶段完成各项工作并进行验收。</w:t>
      </w:r>
    </w:p>
    <w:p w14:paraId="168FFA19">
      <w:pPr>
        <w:pStyle w:val="10"/>
        <w:keepLines w:val="0"/>
        <w:pageBreakBefore w:val="0"/>
        <w:widowControl w:val="0"/>
        <w:numPr>
          <w:ilvl w:val="0"/>
          <w:numId w:val="0"/>
        </w:numPr>
        <w:tabs>
          <w:tab w:val="left" w:pos="908"/>
        </w:tabs>
        <w:kinsoku/>
        <w:wordWrap/>
        <w:overflowPunct/>
        <w:topLinePunct w:val="0"/>
        <w:bidi w:val="0"/>
        <w:spacing w:line="480" w:lineRule="exact"/>
        <w:ind w:left="0" w:right="0" w:rightChars="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3.验收标准：符合相关技术规范规程要求，技术标准达到作业设计要求，并通过验收合格。</w:t>
      </w:r>
    </w:p>
    <w:p w14:paraId="7EBCC8F7">
      <w:pPr>
        <w:pStyle w:val="10"/>
        <w:keepLines w:val="0"/>
        <w:pageBreakBefore w:val="0"/>
        <w:widowControl w:val="0"/>
        <w:numPr>
          <w:ilvl w:val="0"/>
          <w:numId w:val="0"/>
        </w:numPr>
        <w:tabs>
          <w:tab w:val="left" w:pos="908"/>
        </w:tabs>
        <w:kinsoku/>
        <w:wordWrap/>
        <w:overflowPunct/>
        <w:topLinePunct w:val="0"/>
        <w:bidi w:val="0"/>
        <w:spacing w:line="480" w:lineRule="exact"/>
        <w:ind w:left="0" w:right="0" w:rightChars="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4.项目完工后，项目实施完成后中标供应商应组织项目自查，按照批复的项目实施方案和评审通过的作业设计，对项目实施</w:t>
      </w:r>
      <w:r>
        <w:rPr>
          <w:rFonts w:hint="eastAsia" w:ascii="宋体" w:hAnsi="宋体" w:cs="宋体"/>
          <w:color w:val="auto"/>
          <w:kern w:val="2"/>
          <w:sz w:val="21"/>
          <w:szCs w:val="21"/>
          <w:lang w:val="en-US" w:eastAsia="zh-CN" w:bidi="ar-SA"/>
        </w:rPr>
        <w:t>情况</w:t>
      </w:r>
      <w:r>
        <w:rPr>
          <w:rFonts w:hint="eastAsia" w:ascii="宋体" w:hAnsi="宋体" w:eastAsia="宋体" w:cs="宋体"/>
          <w:color w:val="auto"/>
          <w:kern w:val="2"/>
          <w:sz w:val="21"/>
          <w:szCs w:val="21"/>
          <w:lang w:val="en-US" w:eastAsia="zh-CN" w:bidi="ar-SA"/>
        </w:rPr>
        <w:t>进行全面检查，并及时组织相关验收小组进行项目验收。</w:t>
      </w:r>
    </w:p>
    <w:p w14:paraId="252FA076">
      <w:pPr>
        <w:keepLines w:val="0"/>
        <w:pageBreakBefore w:val="0"/>
        <w:widowControl w:val="0"/>
        <w:kinsoku/>
        <w:wordWrap/>
        <w:overflowPunct/>
        <w:topLinePunct w:val="0"/>
        <w:autoSpaceDE w:val="0"/>
        <w:autoSpaceDN w:val="0"/>
        <w:bidi w:val="0"/>
        <w:adjustRightInd w:val="0"/>
        <w:snapToGrid w:val="0"/>
        <w:spacing w:line="480" w:lineRule="exact"/>
        <w:ind w:left="0" w:right="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验收不合格，由中标供应商返工直至合格，返工后，再进行验收，给采购人造成的损失等费用由中标供应商承担。连续两次项目验收不合格的，采购人可终止合同，另行按规定选择其他单位实施，由此带来的一切损失由中标供应商承担。</w:t>
      </w:r>
    </w:p>
    <w:bookmarkEnd w:id="1"/>
    <w:p w14:paraId="1543ACC0">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七、其他服务要求</w:t>
      </w:r>
    </w:p>
    <w:p w14:paraId="6F8ADA75">
      <w:pPr>
        <w:pStyle w:val="3"/>
        <w:keepLines w:val="0"/>
        <w:pageBreakBefore w:val="0"/>
        <w:widowControl w:val="0"/>
        <w:kinsoku/>
        <w:wordWrap/>
        <w:overflowPunct/>
        <w:topLinePunct w:val="0"/>
        <w:bidi w:val="0"/>
        <w:spacing w:after="0" w:line="480" w:lineRule="exact"/>
        <w:ind w:left="0" w:right="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1.须严格按照相关要求、相关规范的规定进行工作</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中标方须对其派出工作人员的工作负责</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由千未遵守本招标文件规定，不服从采购人管理造成项目延误或</w:t>
      </w:r>
      <w:r>
        <w:rPr>
          <w:rFonts w:hint="eastAsia" w:ascii="宋体" w:hAnsi="宋体" w:cs="宋体"/>
          <w:color w:val="auto"/>
          <w:kern w:val="2"/>
          <w:sz w:val="21"/>
          <w:szCs w:val="21"/>
          <w:lang w:val="en-US" w:eastAsia="zh-CN" w:bidi="ar-SA"/>
        </w:rPr>
        <w:t>责任</w:t>
      </w:r>
      <w:r>
        <w:rPr>
          <w:rFonts w:hint="eastAsia" w:ascii="宋体" w:hAnsi="宋体" w:eastAsia="宋体" w:cs="宋体"/>
          <w:color w:val="auto"/>
          <w:kern w:val="2"/>
          <w:sz w:val="21"/>
          <w:szCs w:val="21"/>
          <w:lang w:val="en-US" w:eastAsia="zh-CN" w:bidi="ar-SA"/>
        </w:rPr>
        <w:t>事故，违反相关法律法规及国家规则制度的，所产生的一切法律责任和经济损失均由中标方承担，造成采购人负面影响的，采购人有权解除合同并追究中标方的违约</w:t>
      </w:r>
      <w:r>
        <w:rPr>
          <w:rFonts w:hint="eastAsia" w:ascii="宋体" w:hAnsi="宋体" w:cs="宋体"/>
          <w:color w:val="auto"/>
          <w:kern w:val="2"/>
          <w:sz w:val="21"/>
          <w:szCs w:val="21"/>
          <w:lang w:val="en-US" w:eastAsia="zh-CN" w:bidi="ar-SA"/>
        </w:rPr>
        <w:t>责任</w:t>
      </w:r>
      <w:r>
        <w:rPr>
          <w:rFonts w:hint="eastAsia" w:ascii="宋体" w:hAnsi="宋体" w:eastAsia="宋体" w:cs="宋体"/>
          <w:color w:val="auto"/>
          <w:kern w:val="2"/>
          <w:sz w:val="21"/>
          <w:szCs w:val="21"/>
          <w:lang w:val="en-US" w:eastAsia="zh-CN" w:bidi="ar-SA"/>
        </w:rPr>
        <w:t>。</w:t>
      </w:r>
    </w:p>
    <w:p w14:paraId="78EF5BAC">
      <w:pPr>
        <w:pStyle w:val="10"/>
        <w:keepLines w:val="0"/>
        <w:pageBreakBefore w:val="0"/>
        <w:widowControl w:val="0"/>
        <w:numPr>
          <w:ilvl w:val="0"/>
          <w:numId w:val="2"/>
        </w:numPr>
        <w:tabs>
          <w:tab w:val="left" w:pos="703"/>
        </w:tabs>
        <w:kinsoku/>
        <w:wordWrap/>
        <w:overflowPunct/>
        <w:topLinePunct w:val="0"/>
        <w:bidi w:val="0"/>
        <w:spacing w:line="480" w:lineRule="exact"/>
        <w:ind w:left="0" w:right="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工作人员须严格遵守相关的法律法规，若在本项目实施期内发生违法犯罪行为的，或因  工作人员的行为给采购人造成负面影响，一切后果均由中标方承担，采购人均有权解除合同并追究中标供应商的违约责任。</w:t>
      </w:r>
    </w:p>
    <w:p w14:paraId="7EECA825">
      <w:pPr>
        <w:pStyle w:val="10"/>
        <w:keepLines w:val="0"/>
        <w:pageBreakBefore w:val="0"/>
        <w:widowControl w:val="0"/>
        <w:numPr>
          <w:ilvl w:val="0"/>
          <w:numId w:val="2"/>
        </w:numPr>
        <w:tabs>
          <w:tab w:val="left" w:pos="707"/>
        </w:tabs>
        <w:kinsoku/>
        <w:wordWrap/>
        <w:overflowPunct/>
        <w:topLinePunct w:val="0"/>
        <w:bidi w:val="0"/>
        <w:spacing w:line="480" w:lineRule="exact"/>
        <w:ind w:left="0" w:right="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中标供应商必须在项目实施过程中注意自身及周边安全，</w:t>
      </w:r>
      <w:r>
        <w:rPr>
          <w:rFonts w:hint="eastAsia" w:ascii="宋体" w:hAnsi="宋体" w:cs="宋体"/>
          <w:color w:val="auto"/>
          <w:kern w:val="2"/>
          <w:sz w:val="21"/>
          <w:szCs w:val="21"/>
          <w:lang w:val="en-US" w:eastAsia="zh-CN" w:bidi="ar-SA"/>
        </w:rPr>
        <w:t>负责</w:t>
      </w:r>
      <w:r>
        <w:rPr>
          <w:rFonts w:hint="eastAsia" w:ascii="宋体" w:hAnsi="宋体" w:eastAsia="宋体" w:cs="宋体"/>
          <w:color w:val="auto"/>
          <w:kern w:val="2"/>
          <w:sz w:val="21"/>
          <w:szCs w:val="21"/>
          <w:lang w:val="en-US" w:eastAsia="zh-CN" w:bidi="ar-SA"/>
        </w:rPr>
        <w:t>项目实施过程中所有</w:t>
      </w:r>
      <w:r>
        <w:rPr>
          <w:rFonts w:hint="eastAsia" w:ascii="宋体" w:hAnsi="宋体" w:cs="宋体"/>
          <w:color w:val="auto"/>
          <w:kern w:val="2"/>
          <w:sz w:val="21"/>
          <w:szCs w:val="21"/>
          <w:lang w:val="en-US" w:eastAsia="zh-CN" w:bidi="ar-SA"/>
        </w:rPr>
        <w:t>事</w:t>
      </w:r>
      <w:r>
        <w:rPr>
          <w:rFonts w:hint="eastAsia" w:ascii="宋体" w:hAnsi="宋体" w:eastAsia="宋体" w:cs="宋体"/>
          <w:color w:val="auto"/>
          <w:kern w:val="2"/>
          <w:sz w:val="21"/>
          <w:szCs w:val="21"/>
          <w:lang w:val="en-US" w:eastAsia="zh-CN" w:bidi="ar-SA"/>
        </w:rPr>
        <w:t>故  的处理和费用。</w:t>
      </w:r>
    </w:p>
    <w:p w14:paraId="3627C0EE">
      <w:pPr>
        <w:pStyle w:val="10"/>
        <w:keepLines w:val="0"/>
        <w:pageBreakBefore w:val="0"/>
        <w:widowControl w:val="0"/>
        <w:numPr>
          <w:ilvl w:val="0"/>
          <w:numId w:val="2"/>
        </w:numPr>
        <w:tabs>
          <w:tab w:val="left" w:pos="707"/>
        </w:tabs>
        <w:kinsoku/>
        <w:wordWrap/>
        <w:overflowPunct/>
        <w:topLinePunct w:val="0"/>
        <w:bidi w:val="0"/>
        <w:spacing w:line="480" w:lineRule="exact"/>
        <w:ind w:left="0" w:right="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中标供应商在服务期限内，应严格遵守相关的法律法规，为服务人员购买人身意外伤害  保险。服务期间发生的一切安全</w:t>
      </w:r>
      <w:r>
        <w:rPr>
          <w:rFonts w:hint="eastAsia" w:ascii="宋体" w:hAnsi="宋体" w:cs="宋体"/>
          <w:color w:val="auto"/>
          <w:kern w:val="2"/>
          <w:sz w:val="21"/>
          <w:szCs w:val="21"/>
          <w:lang w:val="en-US" w:eastAsia="zh-CN" w:bidi="ar-SA"/>
        </w:rPr>
        <w:t>责</w:t>
      </w:r>
      <w:r>
        <w:rPr>
          <w:rFonts w:hint="eastAsia" w:ascii="宋体" w:hAnsi="宋体" w:eastAsia="宋体" w:cs="宋体"/>
          <w:color w:val="auto"/>
          <w:kern w:val="2"/>
          <w:sz w:val="21"/>
          <w:szCs w:val="21"/>
          <w:lang w:val="en-US" w:eastAsia="zh-CN" w:bidi="ar-SA"/>
        </w:rPr>
        <w:t>任事故及造成第三者伤害</w:t>
      </w:r>
      <w:r>
        <w:rPr>
          <w:rFonts w:hint="eastAsia" w:ascii="宋体" w:hAnsi="宋体" w:cs="宋体"/>
          <w:color w:val="auto"/>
          <w:kern w:val="2"/>
          <w:sz w:val="21"/>
          <w:szCs w:val="21"/>
          <w:lang w:val="en-US" w:eastAsia="zh-CN" w:bidi="ar-SA"/>
        </w:rPr>
        <w:t>责</w:t>
      </w:r>
      <w:r>
        <w:rPr>
          <w:rFonts w:hint="eastAsia" w:ascii="宋体" w:hAnsi="宋体" w:eastAsia="宋体" w:cs="宋体"/>
          <w:color w:val="auto"/>
          <w:kern w:val="2"/>
          <w:sz w:val="21"/>
          <w:szCs w:val="21"/>
          <w:lang w:val="en-US" w:eastAsia="zh-CN" w:bidi="ar-SA"/>
        </w:rPr>
        <w:t>任或涉及其他法律问题的，均由中标方承担所有责任并自行负</w:t>
      </w:r>
      <w:r>
        <w:rPr>
          <w:rFonts w:hint="eastAsia" w:ascii="宋体" w:hAnsi="宋体" w:cs="宋体"/>
          <w:color w:val="auto"/>
          <w:kern w:val="2"/>
          <w:sz w:val="21"/>
          <w:szCs w:val="21"/>
          <w:lang w:val="en-US" w:eastAsia="zh-CN" w:bidi="ar-SA"/>
        </w:rPr>
        <w:t>责</w:t>
      </w:r>
      <w:r>
        <w:rPr>
          <w:rFonts w:hint="eastAsia" w:ascii="宋体" w:hAnsi="宋体" w:eastAsia="宋体" w:cs="宋体"/>
          <w:color w:val="auto"/>
          <w:kern w:val="2"/>
          <w:sz w:val="21"/>
          <w:szCs w:val="21"/>
          <w:lang w:val="en-US" w:eastAsia="zh-CN" w:bidi="ar-SA"/>
        </w:rPr>
        <w:t>解决，采购人不承担任何法律责任和费用。</w:t>
      </w:r>
    </w:p>
    <w:p w14:paraId="575B264B">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八、结算方式及报价要求</w:t>
      </w:r>
    </w:p>
    <w:p w14:paraId="753EB9CF">
      <w:pPr>
        <w:pStyle w:val="3"/>
        <w:keepLines w:val="0"/>
        <w:pageBreakBefore w:val="0"/>
        <w:widowControl w:val="0"/>
        <w:numPr>
          <w:ilvl w:val="0"/>
          <w:numId w:val="0"/>
        </w:numPr>
        <w:kinsoku/>
        <w:wordWrap/>
        <w:overflowPunct/>
        <w:topLinePunct w:val="0"/>
        <w:bidi w:val="0"/>
        <w:spacing w:after="0" w:line="480" w:lineRule="exact"/>
        <w:ind w:left="0" w:leftChars="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1.付款人：</w:t>
      </w:r>
      <w:r>
        <w:rPr>
          <w:rFonts w:hint="eastAsia" w:ascii="宋体" w:hAnsi="宋体" w:cs="宋体"/>
          <w:color w:val="auto"/>
          <w:kern w:val="2"/>
          <w:sz w:val="21"/>
          <w:szCs w:val="21"/>
          <w:lang w:val="en-US" w:eastAsia="zh-CN" w:bidi="ar-SA"/>
        </w:rPr>
        <w:t>宜章县骑田国有林场</w:t>
      </w:r>
    </w:p>
    <w:p w14:paraId="323E1679">
      <w:pPr>
        <w:pStyle w:val="3"/>
        <w:keepLines w:val="0"/>
        <w:pageBreakBefore w:val="0"/>
        <w:widowControl w:val="0"/>
        <w:numPr>
          <w:ilvl w:val="0"/>
          <w:numId w:val="0"/>
        </w:numPr>
        <w:kinsoku/>
        <w:wordWrap/>
        <w:overflowPunct/>
        <w:topLinePunct w:val="0"/>
        <w:bidi w:val="0"/>
        <w:spacing w:after="0" w:line="480" w:lineRule="exact"/>
        <w:ind w:left="0" w:leftChars="0" w:right="0" w:firstLine="420" w:firstLineChars="200"/>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付款方式：</w:t>
      </w:r>
    </w:p>
    <w:p w14:paraId="5D87F604">
      <w:pPr>
        <w:keepLines w:val="0"/>
        <w:pageBreakBefore w:val="0"/>
        <w:widowControl w:val="0"/>
        <w:kinsoku/>
        <w:wordWrap/>
        <w:overflowPunct/>
        <w:topLinePunct w:val="0"/>
        <w:bidi w:val="0"/>
        <w:spacing w:line="480" w:lineRule="exact"/>
        <w:ind w:left="0" w:right="0" w:firstLine="420" w:firstLineChars="20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( 1 ) 按</w:t>
      </w:r>
      <w:r>
        <w:rPr>
          <w:rFonts w:hint="eastAsia" w:ascii="宋体" w:hAnsi="宋体" w:cs="宋体"/>
          <w:color w:val="auto"/>
          <w:kern w:val="2"/>
          <w:sz w:val="21"/>
          <w:szCs w:val="21"/>
          <w:lang w:val="en-US" w:eastAsia="zh-CN" w:bidi="ar-SA"/>
        </w:rPr>
        <w:t>宜章</w:t>
      </w:r>
      <w:r>
        <w:rPr>
          <w:rFonts w:hint="eastAsia" w:ascii="宋体" w:hAnsi="宋体" w:eastAsia="宋体" w:cs="宋体"/>
          <w:color w:val="auto"/>
          <w:kern w:val="2"/>
          <w:sz w:val="21"/>
          <w:szCs w:val="21"/>
          <w:lang w:val="en-US" w:eastAsia="zh-CN" w:bidi="ar-SA"/>
        </w:rPr>
        <w:t>县财政局拨付项目款支付进度款。</w:t>
      </w:r>
    </w:p>
    <w:p w14:paraId="5D7C2ED9">
      <w:pPr>
        <w:pStyle w:val="3"/>
        <w:keepLines w:val="0"/>
        <w:pageBreakBefore w:val="0"/>
        <w:widowControl w:val="0"/>
        <w:kinsoku/>
        <w:wordWrap/>
        <w:overflowPunct/>
        <w:topLinePunct w:val="0"/>
        <w:bidi w:val="0"/>
        <w:spacing w:after="0" w:line="480" w:lineRule="exact"/>
        <w:ind w:left="0" w:right="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( 2 ) 本项目原则上按进度付款。采购人不支付</w:t>
      </w:r>
      <w:r>
        <w:rPr>
          <w:rFonts w:hint="eastAsia" w:ascii="宋体" w:hAnsi="宋体" w:cs="宋体"/>
          <w:color w:val="auto"/>
          <w:kern w:val="2"/>
          <w:sz w:val="21"/>
          <w:szCs w:val="21"/>
          <w:lang w:val="en-US" w:eastAsia="zh-CN" w:bidi="ar-SA"/>
        </w:rPr>
        <w:t>服务</w:t>
      </w:r>
      <w:r>
        <w:rPr>
          <w:rFonts w:hint="eastAsia" w:ascii="宋体" w:hAnsi="宋体" w:eastAsia="宋体" w:cs="宋体"/>
          <w:color w:val="auto"/>
          <w:kern w:val="2"/>
          <w:sz w:val="21"/>
          <w:szCs w:val="21"/>
          <w:lang w:val="en-US" w:eastAsia="zh-CN" w:bidi="ar-SA"/>
        </w:rPr>
        <w:t>期、付款期的资金利息和投资回报给承包</w:t>
      </w:r>
      <w:r>
        <w:rPr>
          <w:rFonts w:hint="eastAsia" w:ascii="宋体" w:hAnsi="宋体" w:cs="宋体"/>
          <w:color w:val="auto"/>
          <w:kern w:val="2"/>
          <w:sz w:val="21"/>
          <w:szCs w:val="21"/>
          <w:lang w:val="en-US" w:eastAsia="zh-CN" w:bidi="ar-SA"/>
        </w:rPr>
        <w:t>人</w:t>
      </w:r>
      <w:r>
        <w:rPr>
          <w:rFonts w:hint="eastAsia" w:ascii="宋体" w:hAnsi="宋体" w:eastAsia="宋体" w:cs="宋体"/>
          <w:color w:val="auto"/>
          <w:kern w:val="2"/>
          <w:sz w:val="21"/>
          <w:szCs w:val="21"/>
          <w:lang w:val="en-US" w:eastAsia="zh-CN" w:bidi="ar-SA"/>
        </w:rPr>
        <w:t>。项目竣工验收前累计支付款项不得低千合同价款的 80%, 严禁超概算、超中标价、超合同价、超预算支付。剩余工程款依据财政部门对工程结算价款的审查结果进行资金安排，支付不超结</w:t>
      </w:r>
      <w:r>
        <w:rPr>
          <w:rFonts w:hint="eastAsia" w:ascii="宋体" w:hAnsi="宋体" w:cs="宋体"/>
          <w:color w:val="auto"/>
          <w:kern w:val="2"/>
          <w:sz w:val="21"/>
          <w:szCs w:val="21"/>
          <w:lang w:val="en-US" w:eastAsia="zh-CN" w:bidi="ar-SA"/>
        </w:rPr>
        <w:t>算</w:t>
      </w:r>
      <w:r>
        <w:rPr>
          <w:rFonts w:hint="eastAsia" w:ascii="宋体" w:hAnsi="宋体" w:eastAsia="宋体" w:cs="宋体"/>
          <w:color w:val="auto"/>
          <w:kern w:val="2"/>
          <w:sz w:val="21"/>
          <w:szCs w:val="21"/>
          <w:lang w:val="en-US" w:eastAsia="zh-CN" w:bidi="ar-SA"/>
        </w:rPr>
        <w:t>审计价款的97%, 预留3%</w:t>
      </w:r>
      <w:r>
        <w:rPr>
          <w:rFonts w:hint="eastAsia" w:ascii="宋体" w:hAnsi="宋体" w:cs="宋体"/>
          <w:color w:val="auto"/>
          <w:kern w:val="2"/>
          <w:sz w:val="21"/>
          <w:szCs w:val="21"/>
          <w:lang w:val="en-US" w:eastAsia="zh-CN" w:bidi="ar-SA"/>
        </w:rPr>
        <w:t>质量</w:t>
      </w:r>
      <w:r>
        <w:rPr>
          <w:rFonts w:hint="eastAsia" w:ascii="宋体" w:hAnsi="宋体" w:eastAsia="宋体" w:cs="宋体"/>
          <w:color w:val="auto"/>
          <w:kern w:val="2"/>
          <w:sz w:val="21"/>
          <w:szCs w:val="21"/>
          <w:lang w:val="en-US" w:eastAsia="zh-CN" w:bidi="ar-SA"/>
        </w:rPr>
        <w:t>保证金。承包人报送的结</w:t>
      </w:r>
      <w:r>
        <w:rPr>
          <w:rFonts w:hint="eastAsia" w:ascii="宋体" w:hAnsi="宋体" w:cs="宋体"/>
          <w:color w:val="auto"/>
          <w:kern w:val="2"/>
          <w:sz w:val="21"/>
          <w:szCs w:val="21"/>
          <w:lang w:val="en-US" w:eastAsia="zh-CN" w:bidi="ar-SA"/>
        </w:rPr>
        <w:t>算</w:t>
      </w:r>
      <w:r>
        <w:rPr>
          <w:rFonts w:hint="eastAsia" w:ascii="宋体" w:hAnsi="宋体" w:eastAsia="宋体" w:cs="宋体"/>
          <w:color w:val="auto"/>
          <w:kern w:val="2"/>
          <w:sz w:val="21"/>
          <w:szCs w:val="21"/>
          <w:lang w:val="en-US" w:eastAsia="zh-CN" w:bidi="ar-SA"/>
        </w:rPr>
        <w:t>金额不能超出合同价 ；承包人在报送结</w:t>
      </w:r>
      <w:r>
        <w:rPr>
          <w:rFonts w:hint="eastAsia" w:ascii="宋体" w:hAnsi="宋体" w:cs="宋体"/>
          <w:color w:val="auto"/>
          <w:kern w:val="2"/>
          <w:sz w:val="21"/>
          <w:szCs w:val="21"/>
          <w:lang w:val="en-US" w:eastAsia="zh-CN" w:bidi="ar-SA"/>
        </w:rPr>
        <w:t>算</w:t>
      </w:r>
      <w:r>
        <w:rPr>
          <w:rFonts w:hint="eastAsia" w:ascii="宋体" w:hAnsi="宋体" w:eastAsia="宋体" w:cs="宋体"/>
          <w:color w:val="auto"/>
          <w:kern w:val="2"/>
          <w:sz w:val="21"/>
          <w:szCs w:val="21"/>
          <w:lang w:val="en-US" w:eastAsia="zh-CN" w:bidi="ar-SA"/>
        </w:rPr>
        <w:t>金额至发包人后不再接受缺项、</w:t>
      </w:r>
      <w:r>
        <w:rPr>
          <w:rFonts w:hint="eastAsia" w:ascii="宋体" w:hAnsi="宋体" w:cs="宋体"/>
          <w:color w:val="auto"/>
          <w:kern w:val="2"/>
          <w:sz w:val="21"/>
          <w:szCs w:val="21"/>
          <w:lang w:val="en-US" w:eastAsia="zh-CN" w:bidi="ar-SA"/>
        </w:rPr>
        <w:t>漏</w:t>
      </w:r>
      <w:r>
        <w:rPr>
          <w:rFonts w:hint="eastAsia" w:ascii="宋体" w:hAnsi="宋体" w:eastAsia="宋体" w:cs="宋体"/>
          <w:color w:val="auto"/>
          <w:kern w:val="2"/>
          <w:sz w:val="21"/>
          <w:szCs w:val="21"/>
          <w:lang w:val="en-US" w:eastAsia="zh-CN" w:bidi="ar-SA"/>
        </w:rPr>
        <w:t>项的调整。 （具体以签订的采购合同为准）</w:t>
      </w:r>
    </w:p>
    <w:p w14:paraId="4312D0D3">
      <w:pPr>
        <w:pStyle w:val="10"/>
        <w:keepLines w:val="0"/>
        <w:pageBreakBefore w:val="0"/>
        <w:widowControl w:val="0"/>
        <w:numPr>
          <w:ilvl w:val="0"/>
          <w:numId w:val="0"/>
        </w:numPr>
        <w:tabs>
          <w:tab w:val="left" w:pos="712"/>
        </w:tabs>
        <w:kinsoku/>
        <w:wordWrap/>
        <w:overflowPunct/>
        <w:topLinePunct w:val="0"/>
        <w:bidi w:val="0"/>
        <w:spacing w:line="480" w:lineRule="exact"/>
        <w:ind w:left="0" w:leftChars="0"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报价要求：本项目包含完成合同范围的全部工作内容所发生的费用、管理费用、其他辅助费用等一切费用（含人员工资、设施设备、交通费、管理费用、利润、税金等），如一旦中标，在项目实施中出现任何遗</w:t>
      </w:r>
      <w:r>
        <w:rPr>
          <w:rFonts w:hint="eastAsia" w:ascii="宋体" w:hAnsi="宋体" w:cs="宋体"/>
          <w:color w:val="auto"/>
          <w:kern w:val="2"/>
          <w:sz w:val="21"/>
          <w:szCs w:val="21"/>
          <w:lang w:val="en-US" w:eastAsia="zh-CN" w:bidi="ar-SA"/>
        </w:rPr>
        <w:t>漏</w:t>
      </w:r>
      <w:r>
        <w:rPr>
          <w:rFonts w:hint="eastAsia" w:ascii="宋体" w:hAnsi="宋体" w:eastAsia="宋体" w:cs="宋体"/>
          <w:color w:val="auto"/>
          <w:kern w:val="2"/>
          <w:sz w:val="21"/>
          <w:szCs w:val="21"/>
          <w:lang w:val="en-US" w:eastAsia="zh-CN" w:bidi="ar-SA"/>
        </w:rPr>
        <w:t>，均由中标人免费提供，采购人不再支付任何费用。</w:t>
      </w:r>
    </w:p>
    <w:p w14:paraId="5A2091AE">
      <w:pPr>
        <w:keepLines w:val="0"/>
        <w:pageBreakBefore w:val="0"/>
        <w:widowControl w:val="0"/>
        <w:kinsoku/>
        <w:wordWrap/>
        <w:overflowPunct/>
        <w:topLinePunct w:val="0"/>
        <w:autoSpaceDE w:val="0"/>
        <w:autoSpaceDN w:val="0"/>
        <w:bidi w:val="0"/>
        <w:adjustRightInd w:val="0"/>
        <w:snapToGrid w:val="0"/>
        <w:spacing w:line="480" w:lineRule="exact"/>
        <w:ind w:left="0" w:right="0" w:firstLine="422" w:firstLineChars="200"/>
        <w:jc w:val="left"/>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九、其他说明：</w:t>
      </w:r>
    </w:p>
    <w:p w14:paraId="6DD3F8EE">
      <w:pPr>
        <w:keepNext/>
        <w:keepLines w:val="0"/>
        <w:pageBreakBefore w:val="0"/>
        <w:widowControl w:val="0"/>
        <w:kinsoku/>
        <w:wordWrap/>
        <w:overflowPunct/>
        <w:topLinePunct w:val="0"/>
        <w:bidi w:val="0"/>
        <w:adjustRightInd w:val="0"/>
        <w:snapToGrid w:val="0"/>
        <w:spacing w:line="480" w:lineRule="exact"/>
        <w:ind w:left="0" w:right="0" w:firstLine="420" w:firstLineChars="200"/>
        <w:jc w:val="both"/>
        <w:textAlignment w:val="auto"/>
        <w:outlineLv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 不合理报价：如果在评标过程中，评审委员会发现投标供应商的投标报价明显低于其他通过符合性审查投标人的综合报价或者有理由怀疑其投标综合报价可能低于其成本的，将要求该投标人在规定的时间内根据作业设计内容及</w:t>
      </w:r>
      <w:r>
        <w:rPr>
          <w:rFonts w:hint="eastAsia" w:ascii="宋体" w:hAnsi="宋体" w:cs="宋体"/>
          <w:color w:val="auto"/>
          <w:kern w:val="2"/>
          <w:sz w:val="21"/>
          <w:szCs w:val="21"/>
          <w:lang w:val="en-US" w:eastAsia="zh-CN" w:bidi="ar-SA"/>
        </w:rPr>
        <w:t>清</w:t>
      </w:r>
      <w:r>
        <w:rPr>
          <w:rFonts w:hint="eastAsia" w:ascii="宋体" w:hAnsi="宋体" w:eastAsia="宋体" w:cs="宋体"/>
          <w:color w:val="auto"/>
          <w:kern w:val="2"/>
          <w:sz w:val="21"/>
          <w:szCs w:val="21"/>
          <w:lang w:val="en-US" w:eastAsia="zh-CN" w:bidi="ar-SA"/>
        </w:rPr>
        <w:t>单出具详细的成本构成</w:t>
      </w:r>
      <w:r>
        <w:rPr>
          <w:rFonts w:hint="eastAsia" w:ascii="宋体" w:hAnsi="宋体" w:cs="宋体"/>
          <w:color w:val="auto"/>
          <w:kern w:val="2"/>
          <w:sz w:val="21"/>
          <w:szCs w:val="21"/>
          <w:lang w:val="en-US" w:eastAsia="zh-CN" w:bidi="ar-SA"/>
        </w:rPr>
        <w:t>清</w:t>
      </w:r>
      <w:r>
        <w:rPr>
          <w:rFonts w:hint="eastAsia" w:ascii="宋体" w:hAnsi="宋体" w:eastAsia="宋体" w:cs="宋体"/>
          <w:color w:val="auto"/>
          <w:kern w:val="2"/>
          <w:sz w:val="21"/>
          <w:szCs w:val="21"/>
          <w:lang w:val="en-US" w:eastAsia="zh-CN" w:bidi="ar-SA"/>
        </w:rPr>
        <w:t>单（加盖投标单位</w:t>
      </w:r>
      <w:r>
        <w:rPr>
          <w:rFonts w:hint="eastAsia" w:ascii="宋体" w:hAnsi="宋体" w:cs="宋体"/>
          <w:color w:val="auto"/>
          <w:kern w:val="2"/>
          <w:sz w:val="21"/>
          <w:szCs w:val="21"/>
          <w:lang w:val="en-US" w:eastAsia="zh-CN" w:bidi="ar-SA"/>
        </w:rPr>
        <w:t>公章</w:t>
      </w:r>
      <w:r>
        <w:rPr>
          <w:rFonts w:hint="eastAsia" w:ascii="宋体" w:hAnsi="宋体" w:eastAsia="宋体" w:cs="宋体"/>
          <w:color w:val="auto"/>
          <w:kern w:val="2"/>
          <w:sz w:val="21"/>
          <w:szCs w:val="21"/>
          <w:lang w:val="en-US" w:eastAsia="zh-CN" w:bidi="ar-SA"/>
        </w:rPr>
        <w:t>和授权代表签字）并提供相关证明材料</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相关证明材料： 提供与本次采购规模、服务内容类似的业绩，以合同复印件为准，并加盖投标单位公章）。投标人在规定的时间内不能出具详细的成本构成</w:t>
      </w:r>
      <w:r>
        <w:rPr>
          <w:rFonts w:hint="eastAsia" w:ascii="宋体" w:hAnsi="宋体" w:cs="宋体"/>
          <w:color w:val="auto"/>
          <w:kern w:val="2"/>
          <w:sz w:val="21"/>
          <w:szCs w:val="21"/>
          <w:lang w:val="en-US" w:eastAsia="zh-CN" w:bidi="ar-SA"/>
        </w:rPr>
        <w:t>清</w:t>
      </w:r>
      <w:r>
        <w:rPr>
          <w:rFonts w:hint="eastAsia" w:ascii="宋体" w:hAnsi="宋体" w:eastAsia="宋体" w:cs="宋体"/>
          <w:color w:val="auto"/>
          <w:kern w:val="2"/>
          <w:sz w:val="21"/>
          <w:szCs w:val="21"/>
          <w:lang w:val="en-US" w:eastAsia="zh-CN" w:bidi="ar-SA"/>
        </w:rPr>
        <w:t>单或不能提供相关证明材料的，视作该投标人以低于成本报价投标，其投标文件应作废标处理。</w:t>
      </w:r>
    </w:p>
    <w:p w14:paraId="30F5EF9F">
      <w:pPr>
        <w:keepNext/>
        <w:keepLines w:val="0"/>
        <w:pageBreakBefore w:val="0"/>
        <w:widowControl w:val="0"/>
        <w:kinsoku/>
        <w:wordWrap/>
        <w:overflowPunct/>
        <w:topLinePunct w:val="0"/>
        <w:bidi w:val="0"/>
        <w:adjustRightInd w:val="0"/>
        <w:snapToGrid w:val="0"/>
        <w:spacing w:line="480" w:lineRule="exact"/>
        <w:ind w:left="0" w:right="0" w:firstLine="420" w:firstLineChars="200"/>
        <w:jc w:val="both"/>
        <w:textAlignment w:val="auto"/>
        <w:outlineLv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2.违约</w:t>
      </w:r>
      <w:r>
        <w:rPr>
          <w:rFonts w:hint="eastAsia" w:ascii="宋体" w:hAnsi="宋体" w:cs="宋体"/>
          <w:color w:val="auto"/>
          <w:kern w:val="2"/>
          <w:sz w:val="21"/>
          <w:szCs w:val="21"/>
          <w:lang w:val="en-US" w:eastAsia="zh-CN" w:bidi="ar-SA"/>
        </w:rPr>
        <w:t>责</w:t>
      </w:r>
      <w:r>
        <w:rPr>
          <w:rFonts w:hint="eastAsia" w:ascii="宋体" w:hAnsi="宋体" w:eastAsia="宋体" w:cs="宋体"/>
          <w:color w:val="auto"/>
          <w:kern w:val="2"/>
          <w:sz w:val="21"/>
          <w:szCs w:val="21"/>
          <w:lang w:val="en-US" w:eastAsia="zh-CN" w:bidi="ar-SA"/>
        </w:rPr>
        <w:t>任：若中标供应商未按照合同约定的时间、质量标准完成任务，应按照合同总</w:t>
      </w:r>
      <w:r>
        <w:rPr>
          <w:rFonts w:hint="eastAsia" w:ascii="宋体" w:hAnsi="宋体" w:cs="宋体"/>
          <w:color w:val="auto"/>
          <w:kern w:val="2"/>
          <w:sz w:val="21"/>
          <w:szCs w:val="21"/>
          <w:lang w:val="en-US" w:eastAsia="zh-CN" w:bidi="ar-SA"/>
        </w:rPr>
        <w:t>金额</w:t>
      </w:r>
    </w:p>
    <w:p w14:paraId="41A930F7">
      <w:pPr>
        <w:keepNext/>
        <w:keepLines w:val="0"/>
        <w:pageBreakBefore w:val="0"/>
        <w:widowControl w:val="0"/>
        <w:kinsoku/>
        <w:wordWrap/>
        <w:overflowPunct/>
        <w:topLinePunct w:val="0"/>
        <w:bidi w:val="0"/>
        <w:adjustRightInd w:val="0"/>
        <w:snapToGrid w:val="0"/>
        <w:spacing w:line="480" w:lineRule="exact"/>
        <w:ind w:right="0"/>
        <w:jc w:val="both"/>
        <w:textAlignment w:val="auto"/>
        <w:outlineLv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的10%向采购方支付违约金，并承担因</w:t>
      </w:r>
      <w:r>
        <w:rPr>
          <w:rFonts w:hint="eastAsia" w:ascii="宋体" w:hAnsi="宋体" w:cs="宋体"/>
          <w:color w:val="auto"/>
          <w:kern w:val="2"/>
          <w:sz w:val="21"/>
          <w:szCs w:val="21"/>
          <w:lang w:val="en-US" w:eastAsia="zh-CN" w:bidi="ar-SA"/>
        </w:rPr>
        <w:t>违约</w:t>
      </w:r>
      <w:r>
        <w:rPr>
          <w:rFonts w:hint="eastAsia" w:ascii="宋体" w:hAnsi="宋体" w:eastAsia="宋体" w:cs="宋体"/>
          <w:color w:val="auto"/>
          <w:kern w:val="2"/>
          <w:sz w:val="21"/>
          <w:szCs w:val="21"/>
          <w:lang w:val="en-US" w:eastAsia="zh-CN" w:bidi="ar-SA"/>
        </w:rPr>
        <w:t>给采购方造成的全部损失；如因不可</w:t>
      </w:r>
      <w:r>
        <w:rPr>
          <w:rFonts w:hint="eastAsia" w:ascii="宋体" w:hAnsi="宋体" w:cs="宋体"/>
          <w:color w:val="auto"/>
          <w:kern w:val="2"/>
          <w:sz w:val="21"/>
          <w:szCs w:val="21"/>
          <w:lang w:val="en-US" w:eastAsia="zh-CN" w:bidi="ar-SA"/>
        </w:rPr>
        <w:t>抗</w:t>
      </w:r>
      <w:r>
        <w:rPr>
          <w:rFonts w:hint="eastAsia" w:ascii="宋体" w:hAnsi="宋体" w:eastAsia="宋体" w:cs="宋体"/>
          <w:color w:val="auto"/>
          <w:kern w:val="2"/>
          <w:sz w:val="21"/>
          <w:szCs w:val="21"/>
          <w:lang w:val="en-US" w:eastAsia="zh-CN" w:bidi="ar-SA"/>
        </w:rPr>
        <w:t>力导致</w:t>
      </w:r>
      <w:r>
        <w:rPr>
          <w:rFonts w:hint="eastAsia" w:ascii="宋体" w:hAnsi="宋体" w:cs="宋体"/>
          <w:color w:val="auto"/>
          <w:kern w:val="2"/>
          <w:sz w:val="21"/>
          <w:szCs w:val="21"/>
          <w:lang w:val="en-US" w:eastAsia="zh-CN" w:bidi="ar-SA"/>
        </w:rPr>
        <w:t>合</w:t>
      </w:r>
      <w:r>
        <w:rPr>
          <w:rFonts w:hint="eastAsia" w:ascii="宋体" w:hAnsi="宋体" w:eastAsia="宋体" w:cs="宋体"/>
          <w:color w:val="auto"/>
          <w:kern w:val="2"/>
          <w:sz w:val="21"/>
          <w:szCs w:val="21"/>
          <w:lang w:val="en-US" w:eastAsia="zh-CN" w:bidi="ar-SA"/>
        </w:rPr>
        <w:t>同无法</w:t>
      </w:r>
      <w:r>
        <w:rPr>
          <w:rFonts w:hint="eastAsia" w:ascii="宋体" w:hAnsi="宋体" w:cs="宋体"/>
          <w:color w:val="auto"/>
          <w:kern w:val="2"/>
          <w:sz w:val="21"/>
          <w:szCs w:val="21"/>
          <w:lang w:val="en-US" w:eastAsia="zh-CN" w:bidi="ar-SA"/>
        </w:rPr>
        <w:t>履</w:t>
      </w:r>
      <w:r>
        <w:rPr>
          <w:rFonts w:hint="eastAsia" w:ascii="宋体" w:hAnsi="宋体" w:eastAsia="宋体" w:cs="宋体"/>
          <w:color w:val="auto"/>
          <w:kern w:val="2"/>
          <w:sz w:val="21"/>
          <w:szCs w:val="21"/>
          <w:lang w:val="en-US" w:eastAsia="zh-CN" w:bidi="ar-SA"/>
        </w:rPr>
        <w:t>行或部分无法</w:t>
      </w:r>
      <w:r>
        <w:rPr>
          <w:rFonts w:hint="eastAsia" w:ascii="宋体" w:hAnsi="宋体" w:cs="宋体"/>
          <w:color w:val="auto"/>
          <w:kern w:val="2"/>
          <w:sz w:val="21"/>
          <w:szCs w:val="21"/>
          <w:lang w:val="en-US" w:eastAsia="zh-CN" w:bidi="ar-SA"/>
        </w:rPr>
        <w:t>履</w:t>
      </w:r>
      <w:r>
        <w:rPr>
          <w:rFonts w:hint="eastAsia" w:ascii="宋体" w:hAnsi="宋体" w:eastAsia="宋体" w:cs="宋体"/>
          <w:color w:val="auto"/>
          <w:kern w:val="2"/>
          <w:sz w:val="21"/>
          <w:szCs w:val="21"/>
          <w:lang w:val="en-US" w:eastAsia="zh-CN" w:bidi="ar-SA"/>
        </w:rPr>
        <w:t>行，双方互不承担违约</w:t>
      </w:r>
      <w:r>
        <w:rPr>
          <w:rFonts w:hint="eastAsia" w:ascii="宋体" w:hAnsi="宋体" w:cs="宋体"/>
          <w:color w:val="auto"/>
          <w:kern w:val="2"/>
          <w:sz w:val="21"/>
          <w:szCs w:val="21"/>
          <w:lang w:val="en-US" w:eastAsia="zh-CN" w:bidi="ar-SA"/>
        </w:rPr>
        <w:t>责</w:t>
      </w:r>
      <w:r>
        <w:rPr>
          <w:rFonts w:hint="eastAsia" w:ascii="宋体" w:hAnsi="宋体" w:eastAsia="宋体" w:cs="宋体"/>
          <w:color w:val="auto"/>
          <w:kern w:val="2"/>
          <w:sz w:val="21"/>
          <w:szCs w:val="21"/>
          <w:lang w:val="en-US" w:eastAsia="zh-CN" w:bidi="ar-SA"/>
        </w:rPr>
        <w:t>任，但应及时通知对方并提供相</w:t>
      </w:r>
      <w:r>
        <w:rPr>
          <w:rFonts w:hint="eastAsia" w:ascii="宋体" w:hAnsi="宋体" w:cs="宋体"/>
          <w:color w:val="auto"/>
          <w:kern w:val="2"/>
          <w:sz w:val="21"/>
          <w:szCs w:val="21"/>
          <w:lang w:val="en-US" w:eastAsia="zh-CN" w:bidi="ar-SA"/>
        </w:rPr>
        <w:t>关</w:t>
      </w:r>
      <w:r>
        <w:rPr>
          <w:rFonts w:hint="eastAsia" w:ascii="宋体" w:hAnsi="宋体" w:eastAsia="宋体" w:cs="宋体"/>
          <w:color w:val="auto"/>
          <w:kern w:val="2"/>
          <w:sz w:val="21"/>
          <w:szCs w:val="21"/>
          <w:lang w:val="en-US" w:eastAsia="zh-CN" w:bidi="ar-SA"/>
        </w:rPr>
        <w:t>证明。</w:t>
      </w:r>
    </w:p>
    <w:p w14:paraId="6BD2306C">
      <w:pPr>
        <w:keepNext/>
        <w:keepLines w:val="0"/>
        <w:pageBreakBefore w:val="0"/>
        <w:widowControl w:val="0"/>
        <w:kinsoku/>
        <w:wordWrap/>
        <w:overflowPunct/>
        <w:topLinePunct w:val="0"/>
        <w:bidi w:val="0"/>
        <w:adjustRightInd w:val="0"/>
        <w:snapToGrid w:val="0"/>
        <w:spacing w:line="480" w:lineRule="exact"/>
        <w:ind w:left="0" w:right="0" w:firstLine="420" w:firstLineChars="200"/>
        <w:jc w:val="both"/>
        <w:textAlignment w:val="auto"/>
        <w:outlineLvl w:val="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3.争议解决：在合同</w:t>
      </w:r>
      <w:r>
        <w:rPr>
          <w:rFonts w:hint="eastAsia" w:ascii="宋体" w:hAnsi="宋体" w:cs="宋体"/>
          <w:color w:val="auto"/>
          <w:kern w:val="2"/>
          <w:sz w:val="21"/>
          <w:szCs w:val="21"/>
          <w:lang w:val="en-US" w:eastAsia="zh-CN" w:bidi="ar-SA"/>
        </w:rPr>
        <w:t>履</w:t>
      </w:r>
      <w:r>
        <w:rPr>
          <w:rFonts w:hint="eastAsia" w:ascii="宋体" w:hAnsi="宋体" w:eastAsia="宋体" w:cs="宋体"/>
          <w:color w:val="auto"/>
          <w:kern w:val="2"/>
          <w:sz w:val="21"/>
          <w:szCs w:val="21"/>
          <w:lang w:val="en-US" w:eastAsia="zh-CN" w:bidi="ar-SA"/>
        </w:rPr>
        <w:t>行过程中如发生争议，双方应首先友好协商解决；协商不成的。任何一方均可向合同签订地有</w:t>
      </w:r>
      <w:r>
        <w:rPr>
          <w:rFonts w:hint="eastAsia" w:ascii="宋体" w:hAnsi="宋体" w:cs="宋体"/>
          <w:color w:val="auto"/>
          <w:kern w:val="2"/>
          <w:sz w:val="21"/>
          <w:szCs w:val="21"/>
          <w:lang w:val="en-US" w:eastAsia="zh-CN" w:bidi="ar-SA"/>
        </w:rPr>
        <w:t>管辖</w:t>
      </w:r>
      <w:r>
        <w:rPr>
          <w:rFonts w:hint="eastAsia" w:ascii="宋体" w:hAnsi="宋体" w:eastAsia="宋体" w:cs="宋体"/>
          <w:color w:val="auto"/>
          <w:kern w:val="2"/>
          <w:sz w:val="21"/>
          <w:szCs w:val="21"/>
          <w:lang w:val="en-US" w:eastAsia="zh-CN" w:bidi="ar-SA"/>
        </w:rPr>
        <w:t>权的人民法院提起诉讼。</w:t>
      </w:r>
    </w:p>
    <w:p w14:paraId="3FCA0059">
      <w:r>
        <w:rPr>
          <w:rFonts w:hint="eastAsia" w:ascii="宋体" w:hAnsi="宋体" w:eastAsia="宋体" w:cs="宋体"/>
          <w:color w:val="auto"/>
          <w:kern w:val="2"/>
          <w:sz w:val="21"/>
          <w:szCs w:val="21"/>
          <w:lang w:val="en-US" w:eastAsia="zh-CN" w:bidi="ar-SA"/>
        </w:rPr>
        <w:t>4.其他未尽事项合同另行约定。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319" w:hanging="199"/>
        <w:jc w:val="left"/>
      </w:pPr>
      <w:rPr>
        <w:rFonts w:hint="default" w:ascii="Times New Roman" w:hAnsi="Times New Roman" w:eastAsia="Times New Roman" w:cs="Times New Roman"/>
        <w:color w:val="0C0C0C"/>
        <w:w w:val="105"/>
        <w:sz w:val="19"/>
        <w:szCs w:val="19"/>
      </w:rPr>
    </w:lvl>
    <w:lvl w:ilvl="1" w:tentative="0">
      <w:start w:val="0"/>
      <w:numFmt w:val="bullet"/>
      <w:lvlText w:val="•"/>
      <w:lvlJc w:val="left"/>
      <w:pPr>
        <w:ind w:left="1216" w:hanging="199"/>
      </w:pPr>
      <w:rPr>
        <w:rFonts w:hint="default"/>
      </w:rPr>
    </w:lvl>
    <w:lvl w:ilvl="2" w:tentative="0">
      <w:start w:val="0"/>
      <w:numFmt w:val="bullet"/>
      <w:lvlText w:val="•"/>
      <w:lvlJc w:val="left"/>
      <w:pPr>
        <w:ind w:left="2112" w:hanging="199"/>
      </w:pPr>
      <w:rPr>
        <w:rFonts w:hint="default"/>
      </w:rPr>
    </w:lvl>
    <w:lvl w:ilvl="3" w:tentative="0">
      <w:start w:val="0"/>
      <w:numFmt w:val="bullet"/>
      <w:lvlText w:val="•"/>
      <w:lvlJc w:val="left"/>
      <w:pPr>
        <w:ind w:left="3008" w:hanging="199"/>
      </w:pPr>
      <w:rPr>
        <w:rFonts w:hint="default"/>
      </w:rPr>
    </w:lvl>
    <w:lvl w:ilvl="4" w:tentative="0">
      <w:start w:val="0"/>
      <w:numFmt w:val="bullet"/>
      <w:lvlText w:val="•"/>
      <w:lvlJc w:val="left"/>
      <w:pPr>
        <w:ind w:left="3904" w:hanging="199"/>
      </w:pPr>
      <w:rPr>
        <w:rFonts w:hint="default"/>
      </w:rPr>
    </w:lvl>
    <w:lvl w:ilvl="5" w:tentative="0">
      <w:start w:val="0"/>
      <w:numFmt w:val="bullet"/>
      <w:lvlText w:val="•"/>
      <w:lvlJc w:val="left"/>
      <w:pPr>
        <w:ind w:left="4800" w:hanging="199"/>
      </w:pPr>
      <w:rPr>
        <w:rFonts w:hint="default"/>
      </w:rPr>
    </w:lvl>
    <w:lvl w:ilvl="6" w:tentative="0">
      <w:start w:val="0"/>
      <w:numFmt w:val="bullet"/>
      <w:lvlText w:val="•"/>
      <w:lvlJc w:val="left"/>
      <w:pPr>
        <w:ind w:left="5696" w:hanging="199"/>
      </w:pPr>
      <w:rPr>
        <w:rFonts w:hint="default"/>
      </w:rPr>
    </w:lvl>
    <w:lvl w:ilvl="7" w:tentative="0">
      <w:start w:val="0"/>
      <w:numFmt w:val="bullet"/>
      <w:lvlText w:val="•"/>
      <w:lvlJc w:val="left"/>
      <w:pPr>
        <w:ind w:left="6592" w:hanging="199"/>
      </w:pPr>
      <w:rPr>
        <w:rFonts w:hint="default"/>
      </w:rPr>
    </w:lvl>
    <w:lvl w:ilvl="8" w:tentative="0">
      <w:start w:val="0"/>
      <w:numFmt w:val="bullet"/>
      <w:lvlText w:val="•"/>
      <w:lvlJc w:val="left"/>
      <w:pPr>
        <w:ind w:left="7488" w:hanging="199"/>
      </w:pPr>
      <w:rPr>
        <w:rFonts w:hint="default"/>
      </w:rPr>
    </w:lvl>
  </w:abstractNum>
  <w:abstractNum w:abstractNumId="1">
    <w:nsid w:val="59ADCABA"/>
    <w:multiLevelType w:val="multilevel"/>
    <w:tmpl w:val="59ADCABA"/>
    <w:lvl w:ilvl="0" w:tentative="0">
      <w:start w:val="2"/>
      <w:numFmt w:val="decimal"/>
      <w:lvlText w:val="%1."/>
      <w:lvlJc w:val="left"/>
      <w:pPr>
        <w:ind w:left="113" w:hanging="187"/>
        <w:jc w:val="left"/>
      </w:pPr>
      <w:rPr>
        <w:rFonts w:hint="default" w:ascii="Times New Roman" w:hAnsi="Times New Roman" w:eastAsia="Times New Roman" w:cs="Times New Roman"/>
        <w:color w:val="0C0C0C"/>
        <w:w w:val="106"/>
        <w:sz w:val="19"/>
        <w:szCs w:val="19"/>
      </w:rPr>
    </w:lvl>
    <w:lvl w:ilvl="1" w:tentative="0">
      <w:start w:val="0"/>
      <w:numFmt w:val="bullet"/>
      <w:lvlText w:val="•"/>
      <w:lvlJc w:val="left"/>
      <w:pPr>
        <w:ind w:left="1036" w:hanging="187"/>
      </w:pPr>
      <w:rPr>
        <w:rFonts w:hint="default"/>
      </w:rPr>
    </w:lvl>
    <w:lvl w:ilvl="2" w:tentative="0">
      <w:start w:val="0"/>
      <w:numFmt w:val="bullet"/>
      <w:lvlText w:val="•"/>
      <w:lvlJc w:val="left"/>
      <w:pPr>
        <w:ind w:left="1952" w:hanging="187"/>
      </w:pPr>
      <w:rPr>
        <w:rFonts w:hint="default"/>
      </w:rPr>
    </w:lvl>
    <w:lvl w:ilvl="3" w:tentative="0">
      <w:start w:val="0"/>
      <w:numFmt w:val="bullet"/>
      <w:lvlText w:val="•"/>
      <w:lvlJc w:val="left"/>
      <w:pPr>
        <w:ind w:left="2868" w:hanging="187"/>
      </w:pPr>
      <w:rPr>
        <w:rFonts w:hint="default"/>
      </w:rPr>
    </w:lvl>
    <w:lvl w:ilvl="4" w:tentative="0">
      <w:start w:val="0"/>
      <w:numFmt w:val="bullet"/>
      <w:lvlText w:val="•"/>
      <w:lvlJc w:val="left"/>
      <w:pPr>
        <w:ind w:left="3784" w:hanging="187"/>
      </w:pPr>
      <w:rPr>
        <w:rFonts w:hint="default"/>
      </w:rPr>
    </w:lvl>
    <w:lvl w:ilvl="5" w:tentative="0">
      <w:start w:val="0"/>
      <w:numFmt w:val="bullet"/>
      <w:lvlText w:val="•"/>
      <w:lvlJc w:val="left"/>
      <w:pPr>
        <w:ind w:left="4700" w:hanging="187"/>
      </w:pPr>
      <w:rPr>
        <w:rFonts w:hint="default"/>
      </w:rPr>
    </w:lvl>
    <w:lvl w:ilvl="6" w:tentative="0">
      <w:start w:val="0"/>
      <w:numFmt w:val="bullet"/>
      <w:lvlText w:val="•"/>
      <w:lvlJc w:val="left"/>
      <w:pPr>
        <w:ind w:left="5616" w:hanging="187"/>
      </w:pPr>
      <w:rPr>
        <w:rFonts w:hint="default"/>
      </w:rPr>
    </w:lvl>
    <w:lvl w:ilvl="7" w:tentative="0">
      <w:start w:val="0"/>
      <w:numFmt w:val="bullet"/>
      <w:lvlText w:val="•"/>
      <w:lvlJc w:val="left"/>
      <w:pPr>
        <w:ind w:left="6532" w:hanging="187"/>
      </w:pPr>
      <w:rPr>
        <w:rFonts w:hint="default"/>
      </w:rPr>
    </w:lvl>
    <w:lvl w:ilvl="8" w:tentative="0">
      <w:start w:val="0"/>
      <w:numFmt w:val="bullet"/>
      <w:lvlText w:val="•"/>
      <w:lvlJc w:val="left"/>
      <w:pPr>
        <w:ind w:left="7448" w:hanging="18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786706"/>
    <w:rsid w:val="09786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widowControl/>
      <w:ind w:firstLine="420"/>
      <w:jc w:val="left"/>
    </w:pPr>
    <w:rPr>
      <w:kern w:val="0"/>
      <w:sz w:val="20"/>
      <w:szCs w:val="20"/>
    </w:rPr>
  </w:style>
  <w:style w:type="paragraph" w:styleId="3">
    <w:name w:val="Body Text"/>
    <w:basedOn w:val="1"/>
    <w:qFormat/>
    <w:uiPriority w:val="0"/>
    <w:pPr>
      <w:spacing w:after="120"/>
    </w:pPr>
  </w:style>
  <w:style w:type="paragraph" w:styleId="4">
    <w:name w:val="Body Text Indent"/>
    <w:basedOn w:val="1"/>
    <w:next w:val="5"/>
    <w:qFormat/>
    <w:uiPriority w:val="0"/>
    <w:pPr>
      <w:spacing w:after="120"/>
      <w:ind w:left="420" w:leftChars="200"/>
    </w:pPr>
  </w:style>
  <w:style w:type="paragraph" w:styleId="5">
    <w:name w:val="Body Text Indent 2"/>
    <w:basedOn w:val="1"/>
    <w:next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2"/>
    <w:basedOn w:val="4"/>
    <w:next w:val="2"/>
    <w:qFormat/>
    <w:uiPriority w:val="0"/>
    <w:pPr>
      <w:ind w:firstLine="420" w:firstLineChars="200"/>
    </w:pPr>
  </w:style>
  <w:style w:type="paragraph" w:styleId="10">
    <w:name w:val="List Paragraph"/>
    <w:basedOn w:val="1"/>
    <w:qFormat/>
    <w:uiPriority w:val="0"/>
    <w:pPr>
      <w:ind w:firstLine="420" w:firstLineChars="200"/>
    </w:pPr>
    <w:rPr>
      <w:kern w:val="0"/>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2026-09-29T12:31:00Z</dcterms:created>
  <dc:creator>Administrator</dc:creator>
  <cp:lastModifiedBy>Administrator</cp:lastModifiedBy>
  <dcterms:modified xsi:type="dcterms:W3CDTF">2026-09-29T12:32:50Z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2D02936806594FE29624CC4952D94F6A_11</vt:lpwstr>
  </property>
  <property fmtid="{D5CDD505-2E9C-101B-9397-08002B2CF9AE}" pid="4" name="KSOTemplateDocerSaveRecord">
    <vt:lpwstr>eyJoZGlkIjoiZGNkNDg2MmQ2ZjU4OTNkYzZiZDYxNTIyZDE0ZmM1MTMiLCJ1c2VySWQiOiI2MzU4OTkzMzQifQ==</vt:lpwstr>
  </property>
</Properties>
</file>