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52CFB">
      <w:pPr>
        <w:spacing w:line="440" w:lineRule="exact"/>
        <w:jc w:val="center"/>
        <w:outlineLvl w:val="0"/>
        <w:rPr>
          <w:rFonts w:hint="eastAsia" w:ascii="宋体" w:hAnsi="宋体" w:eastAsia="楷体" w:cs="Times New Roman"/>
          <w:b/>
          <w:bCs/>
          <w:color w:val="auto"/>
          <w:sz w:val="28"/>
          <w:szCs w:val="28"/>
        </w:rPr>
      </w:pPr>
      <w:r>
        <w:rPr>
          <w:rFonts w:hint="eastAsia" w:ascii="宋体" w:hAnsi="宋体" w:eastAsia="楷体" w:cs="Times New Roman"/>
          <w:b/>
          <w:bCs/>
          <w:color w:val="auto"/>
          <w:sz w:val="30"/>
          <w:szCs w:val="30"/>
        </w:rPr>
        <w:t>采购需求</w:t>
      </w:r>
    </w:p>
    <w:p w14:paraId="30E4F17A">
      <w:pPr>
        <w:rPr>
          <w:rFonts w:hint="eastAsia" w:ascii="宋体" w:hAnsi="宋体" w:eastAsia="楷体" w:cs="Times New Roman"/>
          <w:color w:val="auto"/>
          <w:sz w:val="24"/>
        </w:rPr>
      </w:pPr>
    </w:p>
    <w:p w14:paraId="6A583C42">
      <w:pPr>
        <w:keepNext w:val="0"/>
        <w:keepLines w:val="0"/>
        <w:pageBreakBefore w:val="0"/>
        <w:widowControl w:val="0"/>
        <w:kinsoku/>
        <w:wordWrap/>
        <w:overflowPunct/>
        <w:topLinePunct w:val="0"/>
        <w:autoSpaceDE/>
        <w:autoSpaceDN/>
        <w:bidi w:val="0"/>
        <w:adjustRightInd/>
        <w:snapToGrid/>
        <w:textAlignment w:val="auto"/>
        <w:outlineLvl w:val="1"/>
        <w:rPr>
          <w:rFonts w:ascii="宋体" w:hAnsi="宋体" w:eastAsia="楷体" w:cs="Times New Roman"/>
          <w:b/>
          <w:bCs/>
          <w:color w:val="auto"/>
          <w:sz w:val="24"/>
          <w:szCs w:val="24"/>
          <w:lang w:val="en-US" w:eastAsia="zh-CN"/>
        </w:rPr>
      </w:pPr>
      <w:bookmarkStart w:id="0" w:name="_Toc12625"/>
      <w:bookmarkStart w:id="1" w:name="_Toc14929"/>
      <w:bookmarkStart w:id="2" w:name="_Toc16814"/>
      <w:bookmarkStart w:id="3" w:name="_Toc25358"/>
      <w:bookmarkStart w:id="4" w:name="_Toc24469"/>
      <w:bookmarkStart w:id="5" w:name="_Toc24800"/>
      <w:r>
        <w:rPr>
          <w:rFonts w:hint="eastAsia" w:ascii="宋体" w:hAnsi="宋体" w:eastAsia="楷体" w:cs="Times New Roman"/>
          <w:b/>
          <w:bCs/>
          <w:color w:val="auto"/>
          <w:sz w:val="24"/>
          <w:szCs w:val="24"/>
          <w:lang w:val="en-US" w:eastAsia="zh-CN"/>
        </w:rPr>
        <w:t>一、采购项目名称</w:t>
      </w:r>
      <w:bookmarkEnd w:id="0"/>
      <w:bookmarkEnd w:id="1"/>
      <w:bookmarkEnd w:id="2"/>
      <w:bookmarkEnd w:id="3"/>
      <w:bookmarkEnd w:id="4"/>
      <w:bookmarkEnd w:id="5"/>
    </w:p>
    <w:p w14:paraId="1D778840">
      <w:pPr>
        <w:keepNext w:val="0"/>
        <w:keepLines w:val="0"/>
        <w:pageBreakBefore w:val="0"/>
        <w:widowControl w:val="0"/>
        <w:kinsoku/>
        <w:wordWrap/>
        <w:overflowPunct/>
        <w:topLinePunct w:val="0"/>
        <w:autoSpaceDE/>
        <w:autoSpaceDN/>
        <w:bidi w:val="0"/>
        <w:adjustRightInd/>
        <w:snapToGrid/>
        <w:textAlignment w:val="auto"/>
        <w:outlineLvl w:val="2"/>
        <w:rPr>
          <w:rFonts w:hint="eastAsia" w:ascii="宋体" w:hAnsi="宋体" w:eastAsia="楷体" w:cs="Times New Roman"/>
          <w:b w:val="0"/>
          <w:bCs w:val="0"/>
          <w:color w:val="auto"/>
          <w:sz w:val="24"/>
          <w:szCs w:val="24"/>
          <w:lang w:val="en-US" w:eastAsia="zh-CN"/>
        </w:rPr>
      </w:pPr>
      <w:r>
        <w:rPr>
          <w:rFonts w:hint="eastAsia" w:ascii="宋体" w:hAnsi="宋体" w:eastAsia="楷体" w:cs="Times New Roman"/>
          <w:color w:val="auto"/>
          <w:sz w:val="24"/>
          <w:szCs w:val="24"/>
          <w:lang w:val="en-US" w:eastAsia="zh-CN"/>
        </w:rPr>
        <w:t xml:space="preserve">    </w:t>
      </w:r>
      <w:r>
        <w:rPr>
          <w:rFonts w:hint="eastAsia" w:ascii="宋体" w:hAnsi="宋体" w:eastAsia="楷体" w:cs="Times New Roman"/>
          <w:b w:val="0"/>
          <w:bCs w:val="0"/>
          <w:color w:val="auto"/>
          <w:sz w:val="24"/>
          <w:szCs w:val="24"/>
          <w:lang w:val="en-US" w:eastAsia="zh-CN"/>
        </w:rPr>
        <w:t>龙山县重度残疾人家庭无障碍改造项目</w:t>
      </w:r>
    </w:p>
    <w:p w14:paraId="5E44C1DC">
      <w:pPr>
        <w:keepNext w:val="0"/>
        <w:keepLines w:val="0"/>
        <w:pageBreakBefore w:val="0"/>
        <w:widowControl w:val="0"/>
        <w:numPr>
          <w:ilvl w:val="0"/>
          <w:numId w:val="0"/>
        </w:numPr>
        <w:kinsoku/>
        <w:wordWrap/>
        <w:overflowPunct/>
        <w:topLinePunct w:val="0"/>
        <w:autoSpaceDE/>
        <w:autoSpaceDN/>
        <w:bidi w:val="0"/>
        <w:adjustRightInd/>
        <w:snapToGrid/>
        <w:textAlignment w:val="auto"/>
        <w:outlineLvl w:val="1"/>
        <w:rPr>
          <w:rFonts w:hint="eastAsia" w:ascii="宋体" w:hAnsi="宋体" w:eastAsia="楷体" w:cs="Times New Roman"/>
          <w:b/>
          <w:bCs/>
          <w:color w:val="auto"/>
          <w:sz w:val="24"/>
          <w:szCs w:val="24"/>
          <w:lang w:val="en-US" w:eastAsia="zh-CN"/>
        </w:rPr>
      </w:pPr>
      <w:bookmarkStart w:id="6" w:name="_Toc26685"/>
      <w:bookmarkStart w:id="7" w:name="_Toc31061"/>
      <w:bookmarkStart w:id="8" w:name="_Toc24449"/>
      <w:bookmarkStart w:id="9" w:name="_Toc756"/>
      <w:bookmarkStart w:id="10" w:name="_Toc6862"/>
      <w:bookmarkStart w:id="11" w:name="_Toc22836"/>
      <w:r>
        <w:rPr>
          <w:rFonts w:hint="eastAsia" w:ascii="宋体" w:hAnsi="宋体" w:eastAsia="楷体" w:cs="Times New Roman"/>
          <w:b/>
          <w:bCs/>
          <w:color w:val="auto"/>
          <w:sz w:val="24"/>
          <w:szCs w:val="24"/>
          <w:lang w:val="en-US" w:eastAsia="zh-CN"/>
        </w:rPr>
        <w:t>二、</w:t>
      </w:r>
      <w:bookmarkEnd w:id="6"/>
      <w:r>
        <w:rPr>
          <w:rFonts w:hint="eastAsia" w:ascii="宋体" w:hAnsi="宋体" w:eastAsia="楷体" w:cs="Times New Roman"/>
          <w:b/>
          <w:bCs/>
          <w:color w:val="auto"/>
          <w:sz w:val="24"/>
          <w:szCs w:val="24"/>
          <w:lang w:val="en-US" w:eastAsia="zh-CN"/>
        </w:rPr>
        <w:t>项目工程条件</w:t>
      </w:r>
      <w:bookmarkEnd w:id="7"/>
      <w:bookmarkEnd w:id="8"/>
      <w:bookmarkEnd w:id="9"/>
      <w:bookmarkEnd w:id="10"/>
      <w:bookmarkEnd w:id="11"/>
      <w:bookmarkStart w:id="78" w:name="_GoBack"/>
      <w:bookmarkEnd w:id="78"/>
    </w:p>
    <w:p w14:paraId="3BA30C6F">
      <w:pPr>
        <w:keepNext w:val="0"/>
        <w:keepLines w:val="0"/>
        <w:pageBreakBefore w:val="0"/>
        <w:widowControl w:val="0"/>
        <w:numPr>
          <w:ilvl w:val="0"/>
          <w:numId w:val="0"/>
        </w:numPr>
        <w:kinsoku/>
        <w:wordWrap/>
        <w:overflowPunct/>
        <w:topLinePunct w:val="0"/>
        <w:autoSpaceDE/>
        <w:autoSpaceDN/>
        <w:bidi w:val="0"/>
        <w:adjustRightInd/>
        <w:snapToGrid/>
        <w:textAlignment w:val="auto"/>
        <w:outlineLvl w:val="1"/>
        <w:rPr>
          <w:rFonts w:hint="eastAsia" w:ascii="宋体" w:hAnsi="宋体" w:eastAsia="楷体" w:cs="Times New Roman"/>
          <w:b w:val="0"/>
          <w:bCs w:val="0"/>
          <w:color w:val="auto"/>
          <w:sz w:val="24"/>
          <w:szCs w:val="24"/>
          <w:lang w:val="en-US" w:eastAsia="zh-CN"/>
        </w:rPr>
      </w:pPr>
      <w:r>
        <w:rPr>
          <w:rFonts w:hint="eastAsia" w:ascii="宋体" w:hAnsi="宋体" w:eastAsia="楷体" w:cs="Times New Roman"/>
          <w:b/>
          <w:bCs/>
          <w:color w:val="auto"/>
          <w:sz w:val="24"/>
          <w:szCs w:val="24"/>
          <w:lang w:val="en-US" w:eastAsia="zh-CN"/>
        </w:rPr>
        <w:t xml:space="preserve">    </w:t>
      </w:r>
      <w:bookmarkStart w:id="12" w:name="_Toc19857"/>
      <w:bookmarkStart w:id="13" w:name="_Toc8717"/>
      <w:bookmarkStart w:id="14" w:name="_Toc32275"/>
      <w:bookmarkStart w:id="15" w:name="_Toc1033"/>
      <w:bookmarkStart w:id="16" w:name="_Toc10773"/>
      <w:r>
        <w:rPr>
          <w:rFonts w:hint="eastAsia" w:ascii="宋体" w:hAnsi="宋体" w:eastAsia="楷体" w:cs="Times New Roman"/>
          <w:b w:val="0"/>
          <w:bCs w:val="0"/>
          <w:color w:val="auto"/>
          <w:sz w:val="24"/>
          <w:szCs w:val="24"/>
          <w:lang w:val="en-US" w:eastAsia="zh-CN"/>
        </w:rPr>
        <w:t>投标供应商自行踏勘现场，采购人不另行组织对本项目实施现场进行踏勘，有关踏勘事宜由供应商与采购人联系自行处理；供应商在响应投标前与采购人联系进行现场勘查，以利于供应商对本项目需求进行全面了解，从而合理制作响应文件和报价，现场勘查费用由供应商自行承担，具体工程量详见本项目的工程量清单。</w:t>
      </w:r>
      <w:bookmarkEnd w:id="12"/>
      <w:bookmarkEnd w:id="13"/>
      <w:bookmarkEnd w:id="14"/>
      <w:bookmarkEnd w:id="15"/>
      <w:bookmarkEnd w:id="16"/>
    </w:p>
    <w:p w14:paraId="1192CC6B">
      <w:pPr>
        <w:keepNext w:val="0"/>
        <w:keepLines w:val="0"/>
        <w:pageBreakBefore w:val="0"/>
        <w:widowControl w:val="0"/>
        <w:numPr>
          <w:ilvl w:val="0"/>
          <w:numId w:val="0"/>
        </w:numPr>
        <w:kinsoku/>
        <w:wordWrap/>
        <w:overflowPunct/>
        <w:topLinePunct w:val="0"/>
        <w:autoSpaceDE/>
        <w:autoSpaceDN/>
        <w:bidi w:val="0"/>
        <w:adjustRightInd/>
        <w:snapToGrid/>
        <w:textAlignment w:val="auto"/>
        <w:outlineLvl w:val="1"/>
        <w:rPr>
          <w:rFonts w:hint="default" w:ascii="宋体" w:hAnsi="宋体" w:eastAsia="楷体" w:cs="Times New Roman"/>
          <w:b/>
          <w:bCs/>
          <w:color w:val="auto"/>
          <w:sz w:val="24"/>
          <w:szCs w:val="24"/>
          <w:lang w:val="en-US" w:eastAsia="zh-CN"/>
        </w:rPr>
      </w:pPr>
      <w:bookmarkStart w:id="17" w:name="_Toc2618"/>
      <w:bookmarkStart w:id="18" w:name="_Toc25949"/>
      <w:bookmarkStart w:id="19" w:name="_Toc331"/>
      <w:bookmarkStart w:id="20" w:name="_Toc29432"/>
      <w:bookmarkStart w:id="21" w:name="_Toc32421"/>
      <w:r>
        <w:rPr>
          <w:rFonts w:hint="eastAsia" w:ascii="宋体" w:hAnsi="宋体" w:eastAsia="楷体" w:cs="Times New Roman"/>
          <w:b/>
          <w:bCs/>
          <w:color w:val="auto"/>
          <w:sz w:val="24"/>
          <w:szCs w:val="24"/>
          <w:lang w:val="en-US" w:eastAsia="zh-CN"/>
        </w:rPr>
        <w:t>三、工程基本情况</w:t>
      </w:r>
      <w:bookmarkEnd w:id="17"/>
      <w:bookmarkEnd w:id="18"/>
      <w:bookmarkEnd w:id="19"/>
      <w:bookmarkEnd w:id="20"/>
      <w:bookmarkEnd w:id="21"/>
    </w:p>
    <w:p w14:paraId="56F3BBF9">
      <w:pPr>
        <w:keepNext w:val="0"/>
        <w:keepLines w:val="0"/>
        <w:pageBreakBefore w:val="0"/>
        <w:widowControl w:val="0"/>
        <w:kinsoku/>
        <w:wordWrap/>
        <w:overflowPunct/>
        <w:topLinePunct w:val="0"/>
        <w:autoSpaceDE/>
        <w:autoSpaceDN/>
        <w:bidi w:val="0"/>
        <w:adjustRightInd/>
        <w:snapToGrid/>
        <w:ind w:firstLine="480"/>
        <w:textAlignment w:val="auto"/>
        <w:rPr>
          <w:rFonts w:hint="eastAsia" w:ascii="宋体" w:hAnsi="宋体" w:eastAsia="楷体" w:cs="Times New Roman"/>
          <w:color w:val="auto"/>
          <w:kern w:val="2"/>
          <w:sz w:val="24"/>
          <w:szCs w:val="24"/>
          <w:lang w:val="en-US" w:eastAsia="zh-CN" w:bidi="ar-SA"/>
        </w:rPr>
      </w:pPr>
      <w:r>
        <w:rPr>
          <w:rFonts w:hint="eastAsia" w:ascii="宋体" w:hAnsi="宋体" w:eastAsia="楷体" w:cs="楷体_GB2312"/>
          <w:color w:val="auto"/>
          <w:sz w:val="24"/>
          <w:szCs w:val="24"/>
          <w:lang w:val="en-US" w:eastAsia="zh-CN"/>
        </w:rPr>
        <w:t>本工程为龙山县重度残疾人家庭无障碍改造项目，工程主要建设内容为龙山县域多户分散施工，包含地坪硬化、不锈钢护栏、板房厕所新建、水电管线改造、给排水、门窗拆装、器具设备采购安装等内容。</w:t>
      </w:r>
    </w:p>
    <w:p w14:paraId="244337C2">
      <w:pPr>
        <w:outlineLvl w:val="1"/>
        <w:rPr>
          <w:rFonts w:hint="eastAsia" w:ascii="宋体" w:hAnsi="宋体" w:eastAsia="楷体" w:cs="Times New Roman"/>
          <w:b w:val="0"/>
          <w:bCs/>
          <w:color w:val="auto"/>
          <w:sz w:val="24"/>
          <w:szCs w:val="24"/>
          <w:lang w:val="en-US" w:eastAsia="zh-CN"/>
        </w:rPr>
      </w:pPr>
      <w:bookmarkStart w:id="22" w:name="_Toc29349"/>
      <w:bookmarkStart w:id="23" w:name="_Toc8542"/>
      <w:bookmarkStart w:id="24" w:name="_Toc21289"/>
      <w:bookmarkStart w:id="25" w:name="_Toc32469"/>
      <w:bookmarkStart w:id="26" w:name="_Toc2855"/>
      <w:r>
        <w:rPr>
          <w:rFonts w:hint="eastAsia" w:ascii="宋体" w:hAnsi="宋体" w:eastAsia="楷体" w:cs="Times New Roman"/>
          <w:b/>
          <w:color w:val="auto"/>
          <w:sz w:val="24"/>
          <w:szCs w:val="24"/>
          <w:lang w:val="en-US" w:eastAsia="zh-CN"/>
        </w:rPr>
        <w:t>四、工程承包范围</w:t>
      </w:r>
      <w:bookmarkEnd w:id="22"/>
      <w:bookmarkEnd w:id="23"/>
      <w:bookmarkEnd w:id="24"/>
      <w:bookmarkEnd w:id="25"/>
      <w:bookmarkEnd w:id="26"/>
    </w:p>
    <w:p w14:paraId="03EB4FCA">
      <w:pPr>
        <w:keepNext w:val="0"/>
        <w:keepLines w:val="0"/>
        <w:pageBreakBefore w:val="0"/>
        <w:widowControl w:val="0"/>
        <w:kinsoku/>
        <w:wordWrap/>
        <w:overflowPunct/>
        <w:topLinePunct w:val="0"/>
        <w:autoSpaceDE/>
        <w:autoSpaceDN/>
        <w:bidi w:val="0"/>
        <w:adjustRightInd/>
        <w:snapToGrid/>
        <w:textAlignment w:val="auto"/>
        <w:rPr>
          <w:rFonts w:hint="default" w:ascii="宋体" w:hAnsi="宋体" w:eastAsia="楷体" w:cs="宋体"/>
          <w:b/>
          <w:color w:val="auto"/>
          <w:sz w:val="24"/>
          <w:szCs w:val="28"/>
          <w:lang w:val="en-US" w:eastAsia="zh-CN"/>
        </w:rPr>
      </w:pPr>
      <w:r>
        <w:rPr>
          <w:rFonts w:hint="eastAsia" w:ascii="宋体" w:hAnsi="宋体" w:eastAsia="楷体" w:cs="宋体"/>
          <w:b/>
          <w:color w:val="auto"/>
          <w:sz w:val="24"/>
          <w:szCs w:val="28"/>
          <w:lang w:val="en-US" w:eastAsia="zh-CN"/>
        </w:rPr>
        <w:t xml:space="preserve">    </w:t>
      </w:r>
      <w:r>
        <w:rPr>
          <w:rFonts w:hint="eastAsia" w:ascii="宋体" w:hAnsi="宋体" w:eastAsia="楷体" w:cs="宋体"/>
          <w:b w:val="0"/>
          <w:bCs/>
          <w:color w:val="auto"/>
          <w:sz w:val="24"/>
          <w:szCs w:val="28"/>
          <w:lang w:val="en-US" w:eastAsia="zh-CN"/>
        </w:rPr>
        <w:t>具体内容见招标工程量清单。</w:t>
      </w:r>
    </w:p>
    <w:p w14:paraId="3A2B35A1">
      <w:pPr>
        <w:keepNext w:val="0"/>
        <w:keepLines w:val="0"/>
        <w:pageBreakBefore w:val="0"/>
        <w:widowControl w:val="0"/>
        <w:kinsoku/>
        <w:wordWrap/>
        <w:overflowPunct/>
        <w:topLinePunct w:val="0"/>
        <w:autoSpaceDE/>
        <w:autoSpaceDN/>
        <w:bidi w:val="0"/>
        <w:adjustRightInd/>
        <w:snapToGrid/>
        <w:textAlignment w:val="auto"/>
        <w:outlineLvl w:val="1"/>
        <w:rPr>
          <w:rFonts w:hint="eastAsia" w:ascii="宋体" w:hAnsi="宋体" w:eastAsia="楷体" w:cs="宋体"/>
          <w:b/>
          <w:color w:val="auto"/>
          <w:sz w:val="24"/>
          <w:szCs w:val="28"/>
          <w:lang w:val="en-US" w:eastAsia="zh-CN"/>
        </w:rPr>
      </w:pPr>
      <w:bookmarkStart w:id="27" w:name="_Toc6350"/>
      <w:bookmarkStart w:id="28" w:name="_Toc7071"/>
      <w:bookmarkStart w:id="29" w:name="_Toc27533"/>
      <w:bookmarkStart w:id="30" w:name="_Toc464"/>
      <w:bookmarkStart w:id="31" w:name="_Toc11193"/>
      <w:r>
        <w:rPr>
          <w:rFonts w:hint="eastAsia" w:ascii="宋体" w:hAnsi="宋体" w:eastAsia="楷体" w:cs="宋体"/>
          <w:b/>
          <w:color w:val="auto"/>
          <w:sz w:val="24"/>
          <w:szCs w:val="28"/>
          <w:lang w:val="en-US" w:eastAsia="zh-CN"/>
        </w:rPr>
        <w:t>五、项目清单及说明</w:t>
      </w:r>
      <w:bookmarkEnd w:id="27"/>
      <w:bookmarkEnd w:id="28"/>
      <w:bookmarkEnd w:id="29"/>
      <w:bookmarkEnd w:id="30"/>
      <w:bookmarkEnd w:id="31"/>
    </w:p>
    <w:p w14:paraId="6F0E8398">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1.工程量清单：另册（见附件）。 </w:t>
      </w:r>
    </w:p>
    <w:p w14:paraId="267502A2">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2.图纸：另册（见附件）。 </w:t>
      </w:r>
    </w:p>
    <w:p w14:paraId="18716248">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3.相关技术规范。 </w:t>
      </w:r>
    </w:p>
    <w:p w14:paraId="57FD9C9C">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4.本项目应严格按照现行最新的施工验收规范进行施工。 </w:t>
      </w:r>
    </w:p>
    <w:p w14:paraId="4E8F0592">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5.未列出的技术规范按国家有关规定执行，其他见设计文件及施工详图中规定。 </w:t>
      </w:r>
    </w:p>
    <w:p w14:paraId="7A3D4235">
      <w:pPr>
        <w:ind w:left="0" w:leftChars="0" w:firstLine="420" w:firstLineChars="175"/>
        <w:rPr>
          <w:rFonts w:hint="eastAsia" w:ascii="宋体" w:hAnsi="宋体" w:eastAsia="楷体" w:cs="宋体"/>
          <w:b/>
          <w:color w:val="auto"/>
          <w:sz w:val="24"/>
          <w:szCs w:val="28"/>
          <w:lang w:val="en-US" w:eastAsia="zh-CN"/>
        </w:rPr>
      </w:pPr>
      <w:r>
        <w:rPr>
          <w:rFonts w:hint="eastAsia" w:ascii="宋体" w:hAnsi="宋体" w:eastAsia="楷体" w:cs="Times New Roman"/>
          <w:b w:val="0"/>
          <w:bCs/>
          <w:color w:val="auto"/>
          <w:sz w:val="24"/>
          <w:szCs w:val="24"/>
          <w:lang w:val="en-US" w:eastAsia="zh-CN"/>
        </w:rPr>
        <w:t>6.除上述技术规范外，若有遗缺，按国家或行业现行的有关规定执行，国家和行业不全的按本地有关部门规定和标准执行。</w:t>
      </w:r>
    </w:p>
    <w:p w14:paraId="3F7EC6A3">
      <w:pPr>
        <w:outlineLvl w:val="1"/>
        <w:rPr>
          <w:rFonts w:hint="eastAsia" w:ascii="宋体" w:hAnsi="宋体" w:eastAsia="楷体" w:cs="宋体"/>
          <w:b/>
          <w:color w:val="auto"/>
          <w:sz w:val="24"/>
          <w:szCs w:val="28"/>
          <w:lang w:val="en-US" w:eastAsia="zh-CN"/>
        </w:rPr>
      </w:pPr>
      <w:bookmarkStart w:id="32" w:name="_Toc4344"/>
      <w:bookmarkStart w:id="33" w:name="_Toc27125"/>
      <w:bookmarkStart w:id="34" w:name="_Toc14671"/>
      <w:bookmarkStart w:id="35" w:name="_Toc27757"/>
      <w:bookmarkStart w:id="36" w:name="_Toc4743"/>
      <w:r>
        <w:rPr>
          <w:rFonts w:hint="eastAsia" w:ascii="宋体" w:hAnsi="宋体" w:eastAsia="楷体" w:cs="宋体"/>
          <w:b/>
          <w:color w:val="auto"/>
          <w:sz w:val="24"/>
          <w:szCs w:val="28"/>
          <w:lang w:val="en-US" w:eastAsia="zh-CN"/>
        </w:rPr>
        <w:t>六、工期及质量标准、保修要求</w:t>
      </w:r>
      <w:bookmarkEnd w:id="32"/>
      <w:bookmarkEnd w:id="33"/>
      <w:bookmarkEnd w:id="34"/>
      <w:bookmarkEnd w:id="35"/>
      <w:bookmarkEnd w:id="36"/>
    </w:p>
    <w:p w14:paraId="06355E50">
      <w:pPr>
        <w:ind w:left="0" w:leftChars="0" w:firstLine="422"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bCs w:val="0"/>
          <w:color w:val="auto"/>
          <w:sz w:val="24"/>
          <w:szCs w:val="24"/>
          <w:lang w:val="en-US" w:eastAsia="zh-CN"/>
        </w:rPr>
        <w:t>1.工  期：</w:t>
      </w:r>
      <w:r>
        <w:rPr>
          <w:rFonts w:hint="eastAsia" w:ascii="宋体" w:hAnsi="宋体" w:eastAsia="楷体" w:cs="Times New Roman"/>
          <w:b w:val="0"/>
          <w:bCs/>
          <w:color w:val="auto"/>
          <w:sz w:val="24"/>
          <w:szCs w:val="24"/>
          <w:lang w:val="en-US" w:eastAsia="zh-CN"/>
        </w:rPr>
        <w:t>120日历天。</w:t>
      </w:r>
    </w:p>
    <w:p w14:paraId="3EC3B197">
      <w:pPr>
        <w:ind w:left="0" w:leftChars="0" w:firstLine="422" w:firstLineChars="175"/>
        <w:rPr>
          <w:rFonts w:hint="eastAsia" w:ascii="宋体" w:hAnsi="宋体" w:eastAsia="楷体" w:cs="Times New Roman"/>
          <w:b/>
          <w:bCs w:val="0"/>
          <w:color w:val="auto"/>
          <w:sz w:val="24"/>
          <w:szCs w:val="24"/>
          <w:lang w:val="en-US" w:eastAsia="zh-CN"/>
        </w:rPr>
      </w:pPr>
      <w:r>
        <w:rPr>
          <w:rFonts w:hint="eastAsia" w:ascii="宋体" w:hAnsi="宋体" w:eastAsia="楷体" w:cs="Times New Roman"/>
          <w:b/>
          <w:bCs w:val="0"/>
          <w:color w:val="auto"/>
          <w:sz w:val="24"/>
          <w:szCs w:val="24"/>
          <w:lang w:val="en-US" w:eastAsia="zh-CN"/>
        </w:rPr>
        <w:t>2.质量标准要求：</w:t>
      </w:r>
    </w:p>
    <w:p w14:paraId="126CFF33">
      <w:pPr>
        <w:numPr>
          <w:ilvl w:val="0"/>
          <w:numId w:val="0"/>
        </w:numPr>
        <w:ind w:left="0" w:leftChars="0" w:firstLine="420" w:firstLineChars="175"/>
        <w:rPr>
          <w:rFonts w:hint="eastAsia" w:ascii="宋体" w:hAnsi="宋体" w:eastAsia="楷体" w:cs="Times New Roman"/>
          <w:b w:val="0"/>
          <w:bCs/>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本项目同时执行国家无障碍规范、湖南省计价文件、建筑修缮装修安装质量验收规范：</w:t>
      </w:r>
    </w:p>
    <w:p w14:paraId="4518367E">
      <w:pPr>
        <w:numPr>
          <w:ilvl w:val="0"/>
          <w:numId w:val="0"/>
        </w:numPr>
        <w:ind w:left="0" w:leftChars="0" w:firstLine="422" w:firstLineChars="175"/>
        <w:rPr>
          <w:rFonts w:hint="eastAsia" w:ascii="宋体" w:hAnsi="宋体" w:eastAsia="楷体" w:cs="Times New Roman"/>
          <w:b/>
          <w:bCs w:val="0"/>
          <w:color w:val="auto"/>
          <w:kern w:val="2"/>
          <w:sz w:val="24"/>
          <w:szCs w:val="24"/>
          <w:lang w:val="en-US" w:eastAsia="zh-CN" w:bidi="ar-SA"/>
        </w:rPr>
      </w:pPr>
      <w:r>
        <w:rPr>
          <w:rFonts w:hint="eastAsia" w:ascii="宋体" w:hAnsi="宋体" w:eastAsia="楷体" w:cs="Times New Roman"/>
          <w:b/>
          <w:bCs w:val="0"/>
          <w:color w:val="auto"/>
          <w:kern w:val="2"/>
          <w:sz w:val="24"/>
          <w:szCs w:val="24"/>
          <w:lang w:val="en-US" w:eastAsia="zh-CN" w:bidi="ar-SA"/>
        </w:rPr>
        <w:t>2.1国家规范：</w:t>
      </w:r>
    </w:p>
    <w:p w14:paraId="4E39C835">
      <w:pPr>
        <w:numPr>
          <w:ilvl w:val="0"/>
          <w:numId w:val="0"/>
        </w:numPr>
        <w:ind w:left="0" w:leftChars="0" w:firstLine="420" w:firstLineChars="175"/>
        <w:rPr>
          <w:rFonts w:hint="eastAsia" w:ascii="宋体" w:hAnsi="宋体" w:eastAsia="楷体" w:cs="Times New Roman"/>
          <w:b w:val="0"/>
          <w:bCs/>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①《无障碍设计规范》GB 50763</w:t>
      </w:r>
      <w:r>
        <w:rPr>
          <w:rFonts w:hint="eastAsia" w:ascii="宋体" w:hAnsi="宋体" w:eastAsia="楷体" w:cs="Times New Roman"/>
          <w:b w:val="0"/>
          <w:bCs/>
          <w:color w:val="auto"/>
          <w:kern w:val="2"/>
          <w:sz w:val="24"/>
          <w:szCs w:val="24"/>
          <w:lang w:val="en-US" w:eastAsia="zh-CN" w:bidi="ar-SA"/>
        </w:rPr>
        <w:noBreakHyphen/>
      </w:r>
      <w:r>
        <w:rPr>
          <w:rFonts w:hint="eastAsia" w:ascii="宋体" w:hAnsi="宋体" w:eastAsia="楷体" w:cs="Times New Roman"/>
          <w:b w:val="0"/>
          <w:bCs/>
          <w:color w:val="auto"/>
          <w:kern w:val="2"/>
          <w:sz w:val="24"/>
          <w:szCs w:val="24"/>
          <w:lang w:val="en-US" w:eastAsia="zh-CN" w:bidi="ar-SA"/>
        </w:rPr>
        <w:t>2012（残疾人家庭无障碍强制标准）；</w:t>
      </w:r>
    </w:p>
    <w:p w14:paraId="44CA204C">
      <w:pPr>
        <w:numPr>
          <w:ilvl w:val="0"/>
          <w:numId w:val="0"/>
        </w:numPr>
        <w:ind w:left="0" w:leftChars="0" w:firstLine="420" w:firstLineChars="175"/>
        <w:rPr>
          <w:rFonts w:hint="eastAsia" w:ascii="宋体" w:hAnsi="宋体" w:eastAsia="楷体" w:cs="Times New Roman"/>
          <w:b w:val="0"/>
          <w:bCs/>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 xml:space="preserve">②《建筑工程施工质量验收统一标准》GB50300； </w:t>
      </w:r>
    </w:p>
    <w:p w14:paraId="370E8C40">
      <w:pPr>
        <w:numPr>
          <w:ilvl w:val="0"/>
          <w:numId w:val="0"/>
        </w:numPr>
        <w:ind w:left="0" w:leftChars="0" w:firstLine="420" w:firstLineChars="175"/>
        <w:rPr>
          <w:rFonts w:hint="eastAsia" w:ascii="宋体" w:hAnsi="宋体" w:eastAsia="楷体" w:cs="Times New Roman"/>
          <w:b w:val="0"/>
          <w:bCs/>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 xml:space="preserve">③《建筑装饰装修工程质量验收标准》GB50210； </w:t>
      </w:r>
    </w:p>
    <w:p w14:paraId="3154EB77">
      <w:pPr>
        <w:numPr>
          <w:ilvl w:val="0"/>
          <w:numId w:val="0"/>
        </w:numPr>
        <w:ind w:left="0" w:leftChars="0" w:firstLine="420" w:firstLineChars="175"/>
        <w:rPr>
          <w:rFonts w:hint="eastAsia" w:ascii="宋体" w:hAnsi="宋体" w:eastAsia="楷体" w:cs="Times New Roman"/>
          <w:b w:val="0"/>
          <w:bCs/>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 xml:space="preserve">④《建筑给水排水及采暖工程施工质量验收规范》GB50242； </w:t>
      </w:r>
    </w:p>
    <w:p w14:paraId="7FEED6DE">
      <w:pPr>
        <w:numPr>
          <w:ilvl w:val="0"/>
          <w:numId w:val="0"/>
        </w:numPr>
        <w:ind w:left="0" w:leftChars="0" w:firstLine="420" w:firstLineChars="175"/>
        <w:rPr>
          <w:rFonts w:hint="eastAsia" w:ascii="宋体" w:hAnsi="宋体" w:eastAsia="楷体" w:cs="Times New Roman"/>
          <w:b w:val="0"/>
          <w:bCs/>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⑤《建筑电气工程施工质量验收规范》GB50303。</w:t>
      </w:r>
    </w:p>
    <w:p w14:paraId="2887CF0C">
      <w:pPr>
        <w:numPr>
          <w:ilvl w:val="0"/>
          <w:numId w:val="0"/>
        </w:numPr>
        <w:ind w:left="0" w:leftChars="0" w:firstLine="422" w:firstLineChars="175"/>
        <w:rPr>
          <w:rFonts w:hint="eastAsia" w:ascii="宋体" w:hAnsi="宋体" w:eastAsia="楷体" w:cs="Times New Roman"/>
          <w:b/>
          <w:bCs w:val="0"/>
          <w:color w:val="auto"/>
          <w:kern w:val="2"/>
          <w:sz w:val="24"/>
          <w:szCs w:val="24"/>
          <w:lang w:val="en-US" w:eastAsia="zh-CN" w:bidi="ar-SA"/>
        </w:rPr>
      </w:pPr>
      <w:r>
        <w:rPr>
          <w:rFonts w:hint="eastAsia" w:ascii="宋体" w:hAnsi="宋体" w:eastAsia="楷体" w:cs="Times New Roman"/>
          <w:b/>
          <w:bCs w:val="0"/>
          <w:color w:val="auto"/>
          <w:kern w:val="2"/>
          <w:sz w:val="24"/>
          <w:szCs w:val="24"/>
          <w:lang w:val="en-US" w:eastAsia="zh-CN" w:bidi="ar-SA"/>
        </w:rPr>
        <w:t>2.2地方计价及施工依据：</w:t>
      </w:r>
    </w:p>
    <w:p w14:paraId="48CDF383">
      <w:pPr>
        <w:numPr>
          <w:ilvl w:val="0"/>
          <w:numId w:val="0"/>
        </w:numPr>
        <w:ind w:left="0" w:leftChars="0" w:firstLine="420" w:firstLineChars="175"/>
        <w:rPr>
          <w:rFonts w:hint="eastAsia" w:ascii="宋体" w:hAnsi="宋体" w:eastAsia="楷体" w:cs="Times New Roman"/>
          <w:b w:val="0"/>
          <w:bCs/>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《建设工程工程量清单计价标准》(GB/T 50500-2024)、湘建科函〔2025〕150号、湘建科函〔2025〕151号等湘西州造价文件，材料参照《湘西自治州工程造价》2026年6月期价格执行。</w:t>
      </w:r>
    </w:p>
    <w:p w14:paraId="47733B1D">
      <w:pPr>
        <w:numPr>
          <w:ilvl w:val="0"/>
          <w:numId w:val="0"/>
        </w:numPr>
        <w:ind w:left="0" w:leftChars="0" w:firstLine="422" w:firstLineChars="175"/>
        <w:rPr>
          <w:rFonts w:hint="eastAsia" w:ascii="宋体" w:hAnsi="宋体" w:eastAsia="楷体" w:cs="Times New Roman"/>
          <w:b/>
          <w:bCs w:val="0"/>
          <w:color w:val="auto"/>
          <w:kern w:val="2"/>
          <w:sz w:val="24"/>
          <w:szCs w:val="24"/>
          <w:lang w:val="en-US" w:eastAsia="zh-CN" w:bidi="ar-SA"/>
        </w:rPr>
      </w:pPr>
      <w:r>
        <w:rPr>
          <w:rFonts w:hint="eastAsia" w:ascii="宋体" w:hAnsi="宋体" w:eastAsia="楷体" w:cs="Times New Roman"/>
          <w:b/>
          <w:bCs w:val="0"/>
          <w:color w:val="auto"/>
          <w:kern w:val="2"/>
          <w:sz w:val="24"/>
          <w:szCs w:val="24"/>
          <w:lang w:val="en-US" w:eastAsia="zh-CN" w:bidi="ar-SA"/>
        </w:rPr>
        <w:t xml:space="preserve">2.3现场施工质量具体要求（分户验收要点）： </w:t>
      </w:r>
    </w:p>
    <w:p w14:paraId="0C74D28E">
      <w:pPr>
        <w:numPr>
          <w:ilvl w:val="0"/>
          <w:numId w:val="0"/>
        </w:numPr>
        <w:ind w:left="0" w:leftChars="0" w:firstLine="420" w:firstLineChars="175"/>
        <w:rPr>
          <w:rFonts w:hint="eastAsia" w:ascii="宋体" w:hAnsi="宋体" w:eastAsia="楷体" w:cs="Times New Roman"/>
          <w:b w:val="0"/>
          <w:bCs/>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 xml:space="preserve">①地坪硬化：C20 混凝土，地面平整防滑，无起砂、开裂；坡道坡度符合无障碍规范； </w:t>
      </w:r>
    </w:p>
    <w:p w14:paraId="2484EDFF">
      <w:pPr>
        <w:numPr>
          <w:ilvl w:val="0"/>
          <w:numId w:val="0"/>
        </w:numPr>
        <w:ind w:left="0" w:leftChars="0" w:firstLine="420" w:firstLineChars="175"/>
        <w:rPr>
          <w:rFonts w:hint="eastAsia" w:ascii="宋体" w:hAnsi="宋体" w:eastAsia="楷体" w:cs="Times New Roman"/>
          <w:b w:val="0"/>
          <w:bCs/>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②不锈钢护栏：焊接牢固、无毛刺，安装稳固、摇动无松动，满足残疾人抓握安全；</w:t>
      </w:r>
    </w:p>
    <w:p w14:paraId="3AEDC17A">
      <w:pPr>
        <w:numPr>
          <w:ilvl w:val="0"/>
          <w:numId w:val="0"/>
        </w:numPr>
        <w:ind w:left="0" w:leftChars="0" w:firstLine="420" w:firstLineChars="175"/>
        <w:rPr>
          <w:rFonts w:hint="eastAsia" w:ascii="宋体" w:hAnsi="宋体" w:eastAsia="楷体" w:cs="Times New Roman"/>
          <w:b w:val="0"/>
          <w:bCs/>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 xml:space="preserve">③板房厕所：结构牢固，化粪池土方、回填、余方弃置按清单实施，排水通畅不渗漏； </w:t>
      </w:r>
    </w:p>
    <w:p w14:paraId="13BEEDF6">
      <w:pPr>
        <w:numPr>
          <w:ilvl w:val="0"/>
          <w:numId w:val="0"/>
        </w:numPr>
        <w:ind w:left="0" w:leftChars="0" w:firstLine="420" w:firstLineChars="175"/>
        <w:rPr>
          <w:rFonts w:hint="eastAsia" w:ascii="宋体" w:hAnsi="宋体" w:eastAsia="楷体" w:cs="Times New Roman"/>
          <w:b w:val="0"/>
          <w:bCs/>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 xml:space="preserve">④电气工程：线管敷设规范，导线匹配负荷，开关插座安装牢固，通电测试正常，绝缘电阻合格； </w:t>
      </w:r>
    </w:p>
    <w:p w14:paraId="796A7725">
      <w:pPr>
        <w:numPr>
          <w:ilvl w:val="0"/>
          <w:numId w:val="0"/>
        </w:numPr>
        <w:ind w:left="0" w:leftChars="0" w:firstLine="420" w:firstLineChars="175"/>
        <w:rPr>
          <w:rFonts w:hint="eastAsia" w:ascii="宋体" w:hAnsi="宋体" w:eastAsia="楷体" w:cs="Times New Roman"/>
          <w:b w:val="0"/>
          <w:bCs/>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 xml:space="preserve">⑤给排水工程：PPR 给水管、PVC 排水管连接严密，打压试验合格，无跑冒滴漏； </w:t>
      </w:r>
    </w:p>
    <w:p w14:paraId="6C81B19E">
      <w:pPr>
        <w:numPr>
          <w:ilvl w:val="0"/>
          <w:numId w:val="0"/>
        </w:numPr>
        <w:ind w:left="0" w:leftChars="0" w:firstLine="420" w:firstLineChars="175"/>
        <w:rPr>
          <w:rFonts w:hint="eastAsia" w:ascii="宋体" w:hAnsi="宋体" w:eastAsia="楷体" w:cs="Times New Roman"/>
          <w:b w:val="0"/>
          <w:bCs/>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 xml:space="preserve">⑥设备器具（热水器、坐凳、灯具等）：全部为合格产品，提供产品合格证，按评审报告要求，关键主材设备进场需要提供样板或照片，建设单位确认后方可批量使用； </w:t>
      </w:r>
    </w:p>
    <w:p w14:paraId="330FA913">
      <w:pPr>
        <w:numPr>
          <w:ilvl w:val="0"/>
          <w:numId w:val="0"/>
        </w:numPr>
        <w:ind w:left="0" w:leftChars="0" w:firstLine="420" w:firstLineChars="175"/>
        <w:rPr>
          <w:rFonts w:hint="eastAsia" w:ascii="宋体" w:hAnsi="宋体" w:eastAsia="楷体" w:cs="Times New Roman"/>
          <w:b w:val="0"/>
          <w:bCs/>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⑦每户完工留存资料：改造前照片、施工过程照片、改造完成后照片，农户现场确认签字。</w:t>
      </w:r>
    </w:p>
    <w:p w14:paraId="313748AA">
      <w:pPr>
        <w:numPr>
          <w:ilvl w:val="0"/>
          <w:numId w:val="0"/>
        </w:numPr>
        <w:ind w:left="0" w:leftChars="0" w:firstLine="422" w:firstLineChars="175"/>
        <w:rPr>
          <w:rFonts w:hint="eastAsia" w:ascii="宋体" w:hAnsi="宋体" w:eastAsia="楷体" w:cs="Times New Roman"/>
          <w:b/>
          <w:bCs w:val="0"/>
          <w:color w:val="auto"/>
          <w:kern w:val="2"/>
          <w:sz w:val="24"/>
          <w:szCs w:val="24"/>
          <w:lang w:val="en-US" w:eastAsia="zh-CN" w:bidi="ar-SA"/>
        </w:rPr>
      </w:pPr>
      <w:r>
        <w:rPr>
          <w:rFonts w:hint="eastAsia" w:ascii="宋体" w:hAnsi="宋体" w:eastAsia="楷体" w:cs="Times New Roman"/>
          <w:b/>
          <w:bCs w:val="0"/>
          <w:color w:val="auto"/>
          <w:kern w:val="2"/>
          <w:sz w:val="24"/>
          <w:szCs w:val="24"/>
          <w:lang w:val="en-US" w:eastAsia="zh-CN" w:bidi="ar-SA"/>
        </w:rPr>
        <w:t>4.验收方式：</w:t>
      </w:r>
    </w:p>
    <w:p w14:paraId="1FF841FE">
      <w:pPr>
        <w:numPr>
          <w:ilvl w:val="0"/>
          <w:numId w:val="0"/>
        </w:numPr>
        <w:ind w:left="0" w:leftChars="0" w:firstLine="420" w:firstLineChars="175"/>
        <w:rPr>
          <w:rFonts w:hint="eastAsia" w:ascii="宋体" w:hAnsi="宋体" w:eastAsia="楷体" w:cs="Times New Roman"/>
          <w:b/>
          <w:bCs w:val="0"/>
          <w:color w:val="auto"/>
          <w:kern w:val="2"/>
          <w:sz w:val="24"/>
          <w:szCs w:val="24"/>
          <w:lang w:val="en-US" w:eastAsia="zh-CN" w:bidi="ar-SA"/>
        </w:rPr>
      </w:pPr>
      <w:r>
        <w:rPr>
          <w:rFonts w:hint="eastAsia" w:ascii="宋体" w:hAnsi="宋体" w:eastAsia="楷体" w:cs="Times New Roman"/>
          <w:b w:val="0"/>
          <w:bCs/>
          <w:color w:val="auto"/>
          <w:kern w:val="2"/>
          <w:sz w:val="24"/>
          <w:szCs w:val="24"/>
          <w:lang w:val="en-US" w:eastAsia="zh-CN" w:bidi="ar-SA"/>
        </w:rPr>
        <w:t>逐户入户现场验收，不合格部位，承包人限期无偿整改，整改完成重新验收，整改工期不予顺延。</w:t>
      </w:r>
    </w:p>
    <w:p w14:paraId="6F3A72BA">
      <w:pPr>
        <w:numPr>
          <w:ilvl w:val="0"/>
          <w:numId w:val="0"/>
        </w:numPr>
        <w:ind w:left="0" w:leftChars="0" w:firstLine="422" w:firstLineChars="175"/>
        <w:rPr>
          <w:rFonts w:hint="eastAsia" w:ascii="宋体" w:hAnsi="宋体" w:eastAsia="楷体" w:cs="Times New Roman"/>
          <w:b/>
          <w:bCs w:val="0"/>
          <w:color w:val="auto"/>
          <w:sz w:val="24"/>
          <w:szCs w:val="24"/>
          <w:lang w:val="en-US" w:eastAsia="zh-CN"/>
        </w:rPr>
      </w:pPr>
      <w:r>
        <w:rPr>
          <w:rFonts w:hint="eastAsia" w:ascii="宋体" w:hAnsi="宋体" w:eastAsia="楷体" w:cs="Times New Roman"/>
          <w:b/>
          <w:bCs w:val="0"/>
          <w:color w:val="auto"/>
          <w:kern w:val="2"/>
          <w:sz w:val="24"/>
          <w:szCs w:val="24"/>
          <w:lang w:val="en-US" w:eastAsia="zh-CN" w:bidi="ar-SA"/>
        </w:rPr>
        <w:t>3.</w:t>
      </w:r>
      <w:r>
        <w:rPr>
          <w:rFonts w:hint="eastAsia" w:ascii="宋体" w:hAnsi="宋体" w:eastAsia="楷体" w:cs="Times New Roman"/>
          <w:b/>
          <w:bCs w:val="0"/>
          <w:color w:val="auto"/>
          <w:sz w:val="24"/>
          <w:szCs w:val="24"/>
          <w:lang w:val="en-US" w:eastAsia="zh-CN"/>
        </w:rPr>
        <w:t>保修要求：</w:t>
      </w:r>
    </w:p>
    <w:p w14:paraId="7ADDB22E">
      <w:pPr>
        <w:numPr>
          <w:ilvl w:val="0"/>
          <w:numId w:val="0"/>
        </w:numPr>
        <w:ind w:left="0" w:leftChars="0" w:firstLine="422" w:firstLineChars="175"/>
        <w:rPr>
          <w:rFonts w:hint="eastAsia" w:ascii="宋体" w:hAnsi="宋体" w:eastAsia="楷体" w:cs="Times New Roman"/>
          <w:b/>
          <w:bCs w:val="0"/>
          <w:color w:val="auto"/>
          <w:sz w:val="24"/>
          <w:szCs w:val="24"/>
          <w:lang w:val="en-US" w:eastAsia="zh-CN"/>
        </w:rPr>
      </w:pPr>
      <w:r>
        <w:rPr>
          <w:rFonts w:hint="eastAsia" w:ascii="宋体" w:hAnsi="宋体" w:eastAsia="楷体" w:cs="Times New Roman"/>
          <w:b/>
          <w:bCs w:val="0"/>
          <w:color w:val="auto"/>
          <w:sz w:val="24"/>
          <w:szCs w:val="24"/>
          <w:lang w:val="en-US" w:eastAsia="zh-CN"/>
        </w:rPr>
        <w:t>3.1保修期限：</w:t>
      </w:r>
    </w:p>
    <w:p w14:paraId="25FF6AC5">
      <w:pPr>
        <w:numPr>
          <w:ilvl w:val="0"/>
          <w:numId w:val="0"/>
        </w:num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本工程保修期自竣工验收合格之日起计算。按照《房屋建筑工程质量保修办法》（建设部令第80号）规定的正常使用条件下最低保修期限。</w:t>
      </w:r>
    </w:p>
    <w:p w14:paraId="76796672">
      <w:pPr>
        <w:numPr>
          <w:ilvl w:val="0"/>
          <w:numId w:val="0"/>
        </w:numPr>
        <w:ind w:left="0" w:leftChars="0" w:firstLine="422" w:firstLineChars="175"/>
        <w:rPr>
          <w:rFonts w:hint="eastAsia" w:ascii="宋体" w:hAnsi="宋体" w:eastAsia="楷体" w:cs="Times New Roman"/>
          <w:b/>
          <w:bCs w:val="0"/>
          <w:color w:val="auto"/>
          <w:sz w:val="24"/>
          <w:szCs w:val="24"/>
          <w:lang w:val="en-US" w:eastAsia="zh-CN"/>
        </w:rPr>
      </w:pPr>
      <w:r>
        <w:rPr>
          <w:rFonts w:hint="eastAsia" w:ascii="宋体" w:hAnsi="宋体" w:eastAsia="楷体" w:cs="Times New Roman"/>
          <w:b/>
          <w:bCs w:val="0"/>
          <w:color w:val="auto"/>
          <w:sz w:val="24"/>
          <w:szCs w:val="24"/>
          <w:lang w:val="en-US" w:eastAsia="zh-CN"/>
        </w:rPr>
        <w:t>3.2保修期起算：</w:t>
      </w:r>
    </w:p>
    <w:p w14:paraId="1CC84055">
      <w:pPr>
        <w:numPr>
          <w:ilvl w:val="0"/>
          <w:numId w:val="0"/>
        </w:num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本工程保修期自竣工验收合格之日起计算。分项工程在竣工验收前已投入使用或提前使用并办理相应手续的，其保修期自投入使用之日起计算，但不得早于竣工验收合格日期。</w:t>
      </w:r>
    </w:p>
    <w:p w14:paraId="19D61323">
      <w:pPr>
        <w:numPr>
          <w:ilvl w:val="0"/>
          <w:numId w:val="0"/>
        </w:numPr>
        <w:ind w:left="0" w:leftChars="0" w:firstLine="422" w:firstLineChars="175"/>
        <w:rPr>
          <w:rFonts w:hint="default" w:ascii="宋体" w:hAnsi="宋体" w:eastAsia="楷体" w:cs="Times New Roman"/>
          <w:b/>
          <w:bCs w:val="0"/>
          <w:color w:val="auto"/>
          <w:sz w:val="24"/>
          <w:szCs w:val="24"/>
          <w:lang w:val="en-US" w:eastAsia="zh-CN"/>
        </w:rPr>
      </w:pPr>
      <w:r>
        <w:rPr>
          <w:rFonts w:hint="eastAsia" w:ascii="宋体" w:hAnsi="宋体" w:eastAsia="楷体" w:cs="Times New Roman"/>
          <w:b/>
          <w:bCs w:val="0"/>
          <w:color w:val="auto"/>
          <w:sz w:val="24"/>
          <w:szCs w:val="24"/>
          <w:lang w:val="en-US" w:eastAsia="zh-CN"/>
        </w:rPr>
        <w:t>3.3保修范围：</w:t>
      </w:r>
    </w:p>
    <w:p w14:paraId="795ED7B9">
      <w:pPr>
        <w:ind w:left="0" w:leftChars="0" w:firstLine="420" w:firstLineChars="175"/>
        <w:rPr>
          <w:rFonts w:hint="default"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成交供应商</w:t>
      </w:r>
      <w:r>
        <w:rPr>
          <w:rFonts w:hint="default" w:ascii="宋体" w:hAnsi="宋体" w:eastAsia="楷体" w:cs="Times New Roman"/>
          <w:b w:val="0"/>
          <w:bCs/>
          <w:color w:val="auto"/>
          <w:sz w:val="24"/>
          <w:szCs w:val="24"/>
          <w:lang w:val="en-US" w:eastAsia="zh-CN"/>
        </w:rPr>
        <w:t>在保修期内，对属于其施工质量原因造成的本工程缺陷负责保修。保修范围包括合同承包范围内的全部施工内容，以及因施工造成的其他质量缺陷</w:t>
      </w:r>
      <w:r>
        <w:rPr>
          <w:rFonts w:hint="eastAsia" w:ascii="宋体" w:hAnsi="宋体" w:eastAsia="楷体" w:cs="Times New Roman"/>
          <w:b w:val="0"/>
          <w:bCs/>
          <w:color w:val="auto"/>
          <w:sz w:val="24"/>
          <w:szCs w:val="24"/>
          <w:lang w:val="en-US" w:eastAsia="zh-CN"/>
        </w:rPr>
        <w:t>。</w:t>
      </w:r>
    </w:p>
    <w:p w14:paraId="51D7D2B3">
      <w:pPr>
        <w:outlineLvl w:val="1"/>
        <w:rPr>
          <w:rFonts w:hint="eastAsia" w:ascii="宋体" w:hAnsi="宋体" w:eastAsia="楷体" w:cs="宋体"/>
          <w:b/>
          <w:color w:val="auto"/>
          <w:sz w:val="24"/>
          <w:szCs w:val="28"/>
          <w:lang w:val="en-US" w:eastAsia="zh-CN"/>
        </w:rPr>
      </w:pPr>
      <w:bookmarkStart w:id="37" w:name="_Toc7665"/>
      <w:bookmarkStart w:id="38" w:name="_Toc11804"/>
      <w:bookmarkStart w:id="39" w:name="_Toc1485"/>
      <w:bookmarkStart w:id="40" w:name="_Toc20708"/>
      <w:r>
        <w:rPr>
          <w:rFonts w:hint="eastAsia" w:ascii="宋体" w:hAnsi="宋体" w:eastAsia="楷体" w:cs="宋体"/>
          <w:b/>
          <w:color w:val="auto"/>
          <w:sz w:val="24"/>
          <w:szCs w:val="28"/>
          <w:lang w:val="en-US" w:eastAsia="zh-CN"/>
        </w:rPr>
        <w:t xml:space="preserve">    </w:t>
      </w:r>
      <w:bookmarkStart w:id="41" w:name="_Toc10911"/>
      <w:r>
        <w:rPr>
          <w:rFonts w:hint="eastAsia" w:ascii="宋体" w:hAnsi="宋体" w:eastAsia="楷体" w:cs="宋体"/>
          <w:b/>
          <w:color w:val="auto"/>
          <w:sz w:val="24"/>
          <w:szCs w:val="28"/>
          <w:lang w:val="en-US" w:eastAsia="zh-CN"/>
        </w:rPr>
        <w:t>3.4保修方式与程序：</w:t>
      </w:r>
      <w:bookmarkEnd w:id="41"/>
    </w:p>
    <w:p w14:paraId="36797608">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楷体" w:cs="宋体"/>
          <w:b w:val="0"/>
          <w:bCs/>
          <w:color w:val="auto"/>
          <w:sz w:val="24"/>
          <w:szCs w:val="28"/>
          <w:lang w:val="en-US" w:eastAsia="zh-CN"/>
        </w:rPr>
      </w:pPr>
      <w:bookmarkStart w:id="42" w:name="_Toc32485"/>
      <w:r>
        <w:rPr>
          <w:rFonts w:hint="eastAsia" w:ascii="宋体" w:hAnsi="宋体" w:eastAsia="楷体" w:cs="宋体"/>
          <w:b w:val="0"/>
          <w:bCs/>
          <w:color w:val="auto"/>
          <w:sz w:val="24"/>
          <w:szCs w:val="28"/>
          <w:lang w:val="en-US" w:eastAsia="zh-CN"/>
        </w:rPr>
        <w:t>①成交供应商在竣工验收时应向采购人提交《工程质量保修书》，载明保修范围、保修期限、保修责任和联系人、联系方式。</w:t>
      </w:r>
      <w:bookmarkEnd w:id="42"/>
    </w:p>
    <w:p w14:paraId="18AC7B41">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楷体" w:cs="宋体"/>
          <w:b w:val="0"/>
          <w:bCs/>
          <w:color w:val="auto"/>
          <w:sz w:val="24"/>
          <w:szCs w:val="28"/>
          <w:lang w:val="en-US" w:eastAsia="zh-CN"/>
        </w:rPr>
      </w:pPr>
      <w:bookmarkStart w:id="43" w:name="_Toc26443"/>
      <w:r>
        <w:rPr>
          <w:rFonts w:hint="eastAsia" w:ascii="宋体" w:hAnsi="宋体" w:eastAsia="楷体" w:cs="宋体"/>
          <w:b w:val="0"/>
          <w:bCs/>
          <w:color w:val="auto"/>
          <w:sz w:val="24"/>
          <w:szCs w:val="28"/>
          <w:lang w:val="en-US" w:eastAsia="zh-CN"/>
        </w:rPr>
        <w:t>②保修期内出现质量缺陷的，采购人向成交供应商发出保修通知；成交供应商应在约定的时限内派人维修，并承担相应费用。</w:t>
      </w:r>
      <w:bookmarkEnd w:id="43"/>
    </w:p>
    <w:p w14:paraId="0DDD7133">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楷体" w:cs="宋体"/>
          <w:b w:val="0"/>
          <w:bCs/>
          <w:color w:val="auto"/>
          <w:sz w:val="24"/>
          <w:szCs w:val="28"/>
          <w:lang w:val="en-US" w:eastAsia="zh-CN"/>
        </w:rPr>
      </w:pPr>
      <w:bookmarkStart w:id="44" w:name="_Toc25507"/>
      <w:r>
        <w:rPr>
          <w:rFonts w:hint="eastAsia" w:ascii="宋体" w:hAnsi="宋体" w:eastAsia="楷体" w:cs="宋体"/>
          <w:b w:val="0"/>
          <w:bCs/>
          <w:color w:val="auto"/>
          <w:sz w:val="24"/>
          <w:szCs w:val="28"/>
          <w:lang w:val="en-US" w:eastAsia="zh-CN"/>
        </w:rPr>
        <w:t>③成交供应商维修完成后，应通知采购人（监理）验收，双方确认合格后办理销项手续。</w:t>
      </w:r>
      <w:bookmarkEnd w:id="44"/>
    </w:p>
    <w:p w14:paraId="56F2ED05">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楷体" w:cs="宋体"/>
          <w:b w:val="0"/>
          <w:bCs/>
          <w:color w:val="auto"/>
          <w:sz w:val="24"/>
          <w:szCs w:val="28"/>
          <w:lang w:val="en-US" w:eastAsia="zh-CN"/>
        </w:rPr>
      </w:pPr>
      <w:bookmarkStart w:id="45" w:name="_Toc24175"/>
      <w:r>
        <w:rPr>
          <w:rFonts w:hint="eastAsia" w:ascii="宋体" w:hAnsi="宋体" w:eastAsia="楷体" w:cs="宋体"/>
          <w:b w:val="0"/>
          <w:bCs/>
          <w:color w:val="auto"/>
          <w:sz w:val="24"/>
          <w:szCs w:val="28"/>
          <w:lang w:val="en-US" w:eastAsia="zh-CN"/>
        </w:rPr>
        <w:t>④成交供应商未按约定履行保修义务的，采购人可以另行委托第三方维修，所发生费用由成交供应商承担。</w:t>
      </w:r>
      <w:bookmarkEnd w:id="45"/>
    </w:p>
    <w:p w14:paraId="7A761273">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1"/>
        <w:rPr>
          <w:rFonts w:hint="eastAsia" w:ascii="宋体" w:hAnsi="宋体" w:eastAsia="楷体" w:cs="宋体"/>
          <w:b/>
          <w:bCs w:val="0"/>
          <w:color w:val="auto"/>
          <w:sz w:val="24"/>
          <w:szCs w:val="28"/>
          <w:lang w:val="en-US" w:eastAsia="zh-CN"/>
        </w:rPr>
      </w:pPr>
      <w:bookmarkStart w:id="46" w:name="_Toc11585"/>
      <w:r>
        <w:rPr>
          <w:rFonts w:hint="eastAsia" w:ascii="宋体" w:hAnsi="宋体" w:eastAsia="楷体" w:cs="宋体"/>
          <w:b/>
          <w:bCs w:val="0"/>
          <w:color w:val="auto"/>
          <w:sz w:val="24"/>
          <w:szCs w:val="28"/>
          <w:lang w:val="en-US" w:eastAsia="zh-CN"/>
        </w:rPr>
        <w:t>3.5保修费用：</w:t>
      </w:r>
      <w:bookmarkEnd w:id="46"/>
    </w:p>
    <w:p w14:paraId="7CEDE8EB">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楷体" w:cs="宋体"/>
          <w:b w:val="0"/>
          <w:bCs/>
          <w:color w:val="auto"/>
          <w:sz w:val="24"/>
          <w:szCs w:val="28"/>
          <w:lang w:val="en-US" w:eastAsia="zh-CN"/>
        </w:rPr>
      </w:pPr>
      <w:bookmarkStart w:id="47" w:name="_Toc5918"/>
      <w:r>
        <w:rPr>
          <w:rFonts w:hint="eastAsia" w:ascii="宋体" w:hAnsi="宋体" w:eastAsia="楷体" w:cs="宋体"/>
          <w:b w:val="0"/>
          <w:bCs/>
          <w:color w:val="auto"/>
          <w:sz w:val="24"/>
          <w:szCs w:val="28"/>
          <w:lang w:val="en-US" w:eastAsia="zh-CN"/>
        </w:rPr>
        <w:t>保修期内因施工质量原因造成的维修，所需人工、材料、机械及配合等费用由成交供应商承担；因采购人使用不当或第三方原因、不可抗力造成的损坏，维修费用由责任方承担。</w:t>
      </w:r>
      <w:bookmarkEnd w:id="47"/>
    </w:p>
    <w:p w14:paraId="23DBA5F0">
      <w:pPr>
        <w:numPr>
          <w:ilvl w:val="0"/>
          <w:numId w:val="0"/>
        </w:numPr>
        <w:ind w:left="481" w:leftChars="0" w:firstLine="0" w:firstLineChars="0"/>
        <w:outlineLvl w:val="1"/>
        <w:rPr>
          <w:rFonts w:hint="eastAsia" w:ascii="宋体" w:hAnsi="宋体" w:eastAsia="楷体" w:cs="宋体"/>
          <w:b/>
          <w:color w:val="auto"/>
          <w:sz w:val="24"/>
          <w:szCs w:val="28"/>
          <w:lang w:val="en-US" w:eastAsia="zh-CN"/>
        </w:rPr>
      </w:pPr>
      <w:bookmarkStart w:id="48" w:name="_Toc23228"/>
      <w:r>
        <w:rPr>
          <w:rFonts w:hint="eastAsia" w:ascii="宋体" w:hAnsi="宋体" w:eastAsia="楷体" w:cs="宋体"/>
          <w:b/>
          <w:color w:val="auto"/>
          <w:kern w:val="2"/>
          <w:sz w:val="24"/>
          <w:szCs w:val="28"/>
          <w:lang w:val="en-US" w:eastAsia="zh-CN" w:bidi="ar-SA"/>
        </w:rPr>
        <w:t>4.</w:t>
      </w:r>
      <w:r>
        <w:rPr>
          <w:rFonts w:hint="eastAsia" w:ascii="宋体" w:hAnsi="宋体" w:eastAsia="楷体" w:cs="宋体"/>
          <w:b/>
          <w:color w:val="auto"/>
          <w:sz w:val="24"/>
          <w:szCs w:val="28"/>
          <w:lang w:val="en-US" w:eastAsia="zh-CN"/>
        </w:rPr>
        <w:t>保修责任：</w:t>
      </w:r>
      <w:bookmarkEnd w:id="48"/>
    </w:p>
    <w:p w14:paraId="0B7EE8DF">
      <w:pPr>
        <w:outlineLvl w:val="1"/>
        <w:rPr>
          <w:rFonts w:hint="eastAsia" w:ascii="宋体" w:hAnsi="宋体" w:eastAsia="楷体" w:cs="宋体"/>
          <w:b w:val="0"/>
          <w:bCs/>
          <w:color w:val="auto"/>
          <w:sz w:val="24"/>
          <w:szCs w:val="28"/>
          <w:lang w:val="en-US" w:eastAsia="zh-CN"/>
        </w:rPr>
      </w:pPr>
      <w:r>
        <w:rPr>
          <w:rFonts w:hint="eastAsia" w:ascii="宋体" w:hAnsi="宋体" w:eastAsia="楷体" w:cs="宋体"/>
          <w:b/>
          <w:color w:val="auto"/>
          <w:kern w:val="2"/>
          <w:sz w:val="24"/>
          <w:szCs w:val="28"/>
          <w:lang w:val="en-US" w:eastAsia="zh-CN" w:bidi="ar-SA"/>
        </w:rPr>
        <w:t xml:space="preserve">    </w:t>
      </w:r>
      <w:bookmarkStart w:id="49" w:name="_Toc16303"/>
      <w:r>
        <w:rPr>
          <w:rFonts w:hint="eastAsia" w:ascii="宋体" w:hAnsi="宋体" w:eastAsia="楷体" w:cs="宋体"/>
          <w:b w:val="0"/>
          <w:bCs/>
          <w:color w:val="auto"/>
          <w:kern w:val="2"/>
          <w:sz w:val="24"/>
          <w:szCs w:val="28"/>
          <w:lang w:val="en-US" w:eastAsia="zh-CN" w:bidi="ar-SA"/>
        </w:rPr>
        <w:t>4.1</w:t>
      </w:r>
      <w:r>
        <w:rPr>
          <w:rFonts w:hint="eastAsia" w:ascii="宋体" w:hAnsi="宋体" w:eastAsia="楷体" w:cs="宋体"/>
          <w:b w:val="0"/>
          <w:bCs/>
          <w:color w:val="auto"/>
          <w:sz w:val="24"/>
          <w:szCs w:val="28"/>
          <w:lang w:val="en-US" w:eastAsia="zh-CN"/>
        </w:rPr>
        <w:t>成交供应商应严格履行保修义务，接到保修通知后及时响应。建议约定响应时限：一般质量问题24小时内响应、48小时内派员到现场处理；涉及紧急问题的，2小时内响应、4小时内到现场，并立即采取应急处理措施防止损失扩大。</w:t>
      </w:r>
      <w:bookmarkEnd w:id="49"/>
    </w:p>
    <w:p w14:paraId="1730813C">
      <w:pPr>
        <w:outlineLvl w:val="1"/>
        <w:rPr>
          <w:rFonts w:hint="eastAsia" w:ascii="宋体" w:hAnsi="宋体" w:eastAsia="楷体" w:cs="宋体"/>
          <w:b w:val="0"/>
          <w:bCs/>
          <w:color w:val="auto"/>
          <w:sz w:val="24"/>
          <w:szCs w:val="28"/>
          <w:lang w:val="en-US" w:eastAsia="zh-CN"/>
        </w:rPr>
      </w:pPr>
      <w:r>
        <w:rPr>
          <w:rFonts w:hint="eastAsia" w:ascii="宋体" w:hAnsi="宋体" w:eastAsia="楷体" w:cs="宋体"/>
          <w:b w:val="0"/>
          <w:bCs/>
          <w:color w:val="auto"/>
          <w:sz w:val="24"/>
          <w:szCs w:val="28"/>
          <w:lang w:val="en-US" w:eastAsia="zh-CN"/>
        </w:rPr>
        <w:t xml:space="preserve">    </w:t>
      </w:r>
      <w:bookmarkStart w:id="50" w:name="_Toc10014"/>
      <w:r>
        <w:rPr>
          <w:rFonts w:hint="eastAsia" w:ascii="宋体" w:hAnsi="宋体" w:eastAsia="楷体" w:cs="宋体"/>
          <w:b w:val="0"/>
          <w:bCs/>
          <w:color w:val="auto"/>
          <w:sz w:val="24"/>
          <w:szCs w:val="28"/>
          <w:lang w:val="en-US" w:eastAsia="zh-CN"/>
        </w:rPr>
        <w:t>4.2成交供应商应确保保修质量，维修所用材料、设备不得低于原工程标准，维修后应恢复系统功能并达到原设计要求。</w:t>
      </w:r>
      <w:bookmarkEnd w:id="50"/>
    </w:p>
    <w:p w14:paraId="6E118F19">
      <w:pPr>
        <w:outlineLvl w:val="1"/>
        <w:rPr>
          <w:rFonts w:hint="eastAsia" w:ascii="宋体" w:hAnsi="宋体" w:eastAsia="楷体" w:cs="宋体"/>
          <w:b w:val="0"/>
          <w:bCs/>
          <w:color w:val="auto"/>
          <w:sz w:val="24"/>
          <w:szCs w:val="28"/>
          <w:lang w:val="en-US" w:eastAsia="zh-CN"/>
        </w:rPr>
      </w:pPr>
      <w:r>
        <w:rPr>
          <w:rFonts w:hint="eastAsia" w:ascii="宋体" w:hAnsi="宋体" w:eastAsia="楷体" w:cs="宋体"/>
          <w:b w:val="0"/>
          <w:bCs/>
          <w:color w:val="auto"/>
          <w:sz w:val="24"/>
          <w:szCs w:val="28"/>
          <w:lang w:val="en-US" w:eastAsia="zh-CN"/>
        </w:rPr>
        <w:t xml:space="preserve">    </w:t>
      </w:r>
      <w:bookmarkStart w:id="51" w:name="_Toc31979"/>
      <w:r>
        <w:rPr>
          <w:rFonts w:hint="eastAsia" w:ascii="宋体" w:hAnsi="宋体" w:eastAsia="楷体" w:cs="宋体"/>
          <w:b w:val="0"/>
          <w:bCs/>
          <w:color w:val="auto"/>
          <w:sz w:val="24"/>
          <w:szCs w:val="28"/>
          <w:lang w:val="en-US" w:eastAsia="zh-CN"/>
        </w:rPr>
        <w:t>4.3成交供应商应做好保修记录，建立保修台账，如实记录报修、响应、维修、验收全过程。</w:t>
      </w:r>
      <w:bookmarkEnd w:id="51"/>
    </w:p>
    <w:p w14:paraId="41ACC65E">
      <w:pPr>
        <w:outlineLvl w:val="1"/>
        <w:rPr>
          <w:rFonts w:hint="eastAsia" w:ascii="宋体" w:hAnsi="宋体" w:eastAsia="楷体" w:cs="宋体"/>
          <w:b w:val="0"/>
          <w:bCs/>
          <w:color w:val="auto"/>
          <w:sz w:val="24"/>
          <w:szCs w:val="28"/>
          <w:lang w:val="en-US" w:eastAsia="zh-CN"/>
        </w:rPr>
      </w:pPr>
      <w:r>
        <w:rPr>
          <w:rFonts w:hint="eastAsia" w:ascii="宋体" w:hAnsi="宋体" w:eastAsia="楷体" w:cs="宋体"/>
          <w:b w:val="0"/>
          <w:bCs/>
          <w:color w:val="auto"/>
          <w:sz w:val="24"/>
          <w:szCs w:val="28"/>
          <w:lang w:val="en-US" w:eastAsia="zh-CN"/>
        </w:rPr>
        <w:t xml:space="preserve">    </w:t>
      </w:r>
      <w:bookmarkStart w:id="52" w:name="_Toc10851"/>
      <w:r>
        <w:rPr>
          <w:rFonts w:hint="eastAsia" w:ascii="宋体" w:hAnsi="宋体" w:eastAsia="楷体" w:cs="宋体"/>
          <w:b w:val="0"/>
          <w:bCs/>
          <w:color w:val="auto"/>
          <w:sz w:val="24"/>
          <w:szCs w:val="28"/>
          <w:lang w:val="en-US" w:eastAsia="zh-CN"/>
        </w:rPr>
        <w:t>4.4因成交供应商施工质量缺陷造成采购人或第三方财产损失的，成交供应商应依法承担赔偿责任。</w:t>
      </w:r>
      <w:bookmarkEnd w:id="52"/>
    </w:p>
    <w:p w14:paraId="34B6B6CB">
      <w:pPr>
        <w:outlineLvl w:val="1"/>
        <w:rPr>
          <w:rFonts w:hint="eastAsia" w:ascii="宋体" w:hAnsi="宋体" w:eastAsia="楷体" w:cs="宋体"/>
          <w:b/>
          <w:color w:val="auto"/>
          <w:sz w:val="24"/>
          <w:szCs w:val="28"/>
          <w:lang w:val="en-US" w:eastAsia="zh-CN"/>
        </w:rPr>
      </w:pPr>
      <w:bookmarkStart w:id="53" w:name="_Toc23503"/>
      <w:r>
        <w:rPr>
          <w:rFonts w:hint="eastAsia" w:ascii="宋体" w:hAnsi="宋体" w:eastAsia="楷体" w:cs="宋体"/>
          <w:b/>
          <w:color w:val="auto"/>
          <w:sz w:val="24"/>
          <w:szCs w:val="28"/>
          <w:lang w:val="en-US" w:eastAsia="zh-CN"/>
        </w:rPr>
        <w:t>七、项目实施要求</w:t>
      </w:r>
      <w:bookmarkEnd w:id="37"/>
      <w:bookmarkEnd w:id="38"/>
      <w:bookmarkEnd w:id="39"/>
      <w:bookmarkEnd w:id="40"/>
      <w:bookmarkEnd w:id="53"/>
    </w:p>
    <w:p w14:paraId="6A52C7CF">
      <w:pPr>
        <w:ind w:left="0" w:leftChars="0" w:firstLine="422" w:firstLineChars="175"/>
        <w:outlineLvl w:val="2"/>
        <w:rPr>
          <w:rFonts w:hint="eastAsia" w:ascii="宋体" w:hAnsi="宋体" w:eastAsia="楷体" w:cs="Times New Roman"/>
          <w:b/>
          <w:bCs w:val="0"/>
          <w:color w:val="auto"/>
          <w:sz w:val="24"/>
          <w:szCs w:val="24"/>
          <w:lang w:val="en-US" w:eastAsia="zh-CN"/>
        </w:rPr>
      </w:pPr>
      <w:bookmarkStart w:id="54" w:name="_Toc10846"/>
      <w:bookmarkStart w:id="55" w:name="_Toc28421"/>
      <w:r>
        <w:rPr>
          <w:rFonts w:hint="eastAsia" w:ascii="宋体" w:hAnsi="宋体" w:eastAsia="楷体" w:cs="Times New Roman"/>
          <w:b/>
          <w:bCs w:val="0"/>
          <w:color w:val="auto"/>
          <w:sz w:val="24"/>
          <w:szCs w:val="24"/>
          <w:lang w:val="en-US" w:eastAsia="zh-CN"/>
        </w:rPr>
        <w:t>1.建筑材料运输、保管及保险：</w:t>
      </w:r>
      <w:bookmarkEnd w:id="54"/>
      <w:bookmarkEnd w:id="55"/>
      <w:r>
        <w:rPr>
          <w:rFonts w:hint="eastAsia" w:ascii="宋体" w:hAnsi="宋体" w:eastAsia="楷体" w:cs="Times New Roman"/>
          <w:b/>
          <w:bCs w:val="0"/>
          <w:color w:val="auto"/>
          <w:sz w:val="24"/>
          <w:szCs w:val="24"/>
          <w:lang w:val="en-US" w:eastAsia="zh-CN"/>
        </w:rPr>
        <w:t xml:space="preserve"> </w:t>
      </w:r>
    </w:p>
    <w:p w14:paraId="719ECF4A">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1.1成交供应商负责建筑材料到施工地点的全部运输，包括装卸及现场搬运等。 </w:t>
      </w:r>
    </w:p>
    <w:p w14:paraId="3A8A967C">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1.2成交供应商负责建筑材料在施工地点的保管，直至项目验收合格。 </w:t>
      </w:r>
    </w:p>
    <w:p w14:paraId="2E1628AD">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1.3成交供应商负责其派出的施工人员的人身意外保险。 </w:t>
      </w:r>
    </w:p>
    <w:p w14:paraId="5F839AAC">
      <w:pPr>
        <w:ind w:left="0" w:leftChars="0" w:firstLine="422" w:firstLineChars="175"/>
        <w:outlineLvl w:val="2"/>
        <w:rPr>
          <w:rFonts w:hint="eastAsia" w:ascii="宋体" w:hAnsi="宋体" w:eastAsia="楷体" w:cs="Times New Roman"/>
          <w:b/>
          <w:bCs w:val="0"/>
          <w:color w:val="auto"/>
          <w:sz w:val="24"/>
          <w:szCs w:val="24"/>
          <w:lang w:val="en-US" w:eastAsia="zh-CN"/>
        </w:rPr>
      </w:pPr>
      <w:bookmarkStart w:id="56" w:name="_Toc22974"/>
      <w:bookmarkStart w:id="57" w:name="_Toc11405"/>
      <w:r>
        <w:rPr>
          <w:rFonts w:hint="eastAsia" w:ascii="宋体" w:hAnsi="宋体" w:eastAsia="楷体" w:cs="Times New Roman"/>
          <w:b/>
          <w:bCs w:val="0"/>
          <w:color w:val="auto"/>
          <w:sz w:val="24"/>
          <w:szCs w:val="24"/>
          <w:lang w:val="en-US" w:eastAsia="zh-CN"/>
        </w:rPr>
        <w:t>2.施工要求：</w:t>
      </w:r>
      <w:bookmarkEnd w:id="56"/>
      <w:bookmarkEnd w:id="57"/>
      <w:r>
        <w:rPr>
          <w:rFonts w:hint="eastAsia" w:ascii="宋体" w:hAnsi="宋体" w:eastAsia="楷体" w:cs="Times New Roman"/>
          <w:b/>
          <w:bCs w:val="0"/>
          <w:color w:val="auto"/>
          <w:sz w:val="24"/>
          <w:szCs w:val="24"/>
          <w:lang w:val="en-US" w:eastAsia="zh-CN"/>
        </w:rPr>
        <w:t xml:space="preserve"> </w:t>
      </w:r>
    </w:p>
    <w:p w14:paraId="4B2803FC">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2.1成交供应商须加强施工组织管理，严格落实文明施工、安全生产相关规定，规范施工现场管理。所有施工人员须遵守国家、行业及地方关于文明安全施工的各项规章制度，特种作业人员（如电工、焊工等）必须持有效特种作业操作证上岗，普通施工人员需经岗前培训合格后上岗，严禁无证作业。</w:t>
      </w:r>
    </w:p>
    <w:p w14:paraId="405E5177">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2.2施工项目部关键岗位人员，待成交供应商确定后，在工程施工全过程中，须严格按照《湖南省住房和城乡建设厅关于进一步加强房屋建筑和市政基础设施工程施工项目部关键岗位人员管理的通知》（湘建建〔2020〕208号）文件要求足额配备，关键岗位人员不得擅自更换、缺岗、脱岗，确需更换的，须按文件规定程序报批并经发包人及监理单位审核同意。</w:t>
      </w:r>
    </w:p>
    <w:p w14:paraId="67B65406">
      <w:pPr>
        <w:ind w:left="0" w:leftChars="0" w:firstLine="422" w:firstLineChars="175"/>
        <w:outlineLvl w:val="2"/>
        <w:rPr>
          <w:rFonts w:hint="eastAsia" w:ascii="宋体" w:hAnsi="宋体" w:eastAsia="楷体" w:cs="Times New Roman"/>
          <w:b w:val="0"/>
          <w:bCs/>
          <w:color w:val="auto"/>
          <w:sz w:val="24"/>
          <w:szCs w:val="24"/>
          <w:lang w:val="en-US" w:eastAsia="zh-CN"/>
        </w:rPr>
      </w:pPr>
      <w:bookmarkStart w:id="58" w:name="_Toc8361"/>
      <w:bookmarkStart w:id="59" w:name="_Toc21849"/>
      <w:r>
        <w:rPr>
          <w:rFonts w:hint="eastAsia" w:ascii="宋体" w:hAnsi="宋体" w:eastAsia="楷体" w:cs="Times New Roman"/>
          <w:b/>
          <w:bCs w:val="0"/>
          <w:color w:val="auto"/>
          <w:sz w:val="24"/>
          <w:szCs w:val="24"/>
          <w:lang w:val="en-US" w:eastAsia="zh-CN"/>
        </w:rPr>
        <w:t>3.验收要求：</w:t>
      </w:r>
      <w:bookmarkEnd w:id="58"/>
      <w:bookmarkEnd w:id="59"/>
      <w:r>
        <w:rPr>
          <w:rFonts w:hint="eastAsia" w:ascii="宋体" w:hAnsi="宋体" w:eastAsia="楷体" w:cs="Times New Roman"/>
          <w:b w:val="0"/>
          <w:bCs/>
          <w:color w:val="auto"/>
          <w:sz w:val="24"/>
          <w:szCs w:val="24"/>
          <w:lang w:val="en-US" w:eastAsia="zh-CN"/>
        </w:rPr>
        <w:t xml:space="preserve"> </w:t>
      </w:r>
    </w:p>
    <w:p w14:paraId="529D1EC4">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由采购人会同有关部门组织审核验收。</w:t>
      </w:r>
    </w:p>
    <w:p w14:paraId="7C485646">
      <w:pPr>
        <w:outlineLvl w:val="1"/>
        <w:rPr>
          <w:rFonts w:hint="eastAsia" w:ascii="宋体" w:hAnsi="宋体" w:eastAsia="楷体" w:cs="宋体"/>
          <w:b/>
          <w:color w:val="auto"/>
          <w:sz w:val="24"/>
          <w:szCs w:val="28"/>
          <w:lang w:val="en-US" w:eastAsia="zh-CN"/>
        </w:rPr>
      </w:pPr>
      <w:bookmarkStart w:id="60" w:name="_Toc1728"/>
      <w:bookmarkStart w:id="61" w:name="_Toc5079"/>
      <w:bookmarkStart w:id="62" w:name="_Toc25115"/>
      <w:bookmarkStart w:id="63" w:name="_Toc3833"/>
      <w:bookmarkStart w:id="64" w:name="_Toc31578"/>
      <w:r>
        <w:rPr>
          <w:rFonts w:hint="eastAsia" w:ascii="宋体" w:hAnsi="宋体" w:eastAsia="楷体" w:cs="宋体"/>
          <w:b/>
          <w:color w:val="auto"/>
          <w:sz w:val="24"/>
          <w:szCs w:val="28"/>
          <w:lang w:val="en-US" w:eastAsia="zh-CN"/>
        </w:rPr>
        <w:t>八、项目特别说明（含结算方式、工程变更、工程竣工结算等）</w:t>
      </w:r>
      <w:bookmarkEnd w:id="60"/>
      <w:bookmarkEnd w:id="61"/>
      <w:bookmarkEnd w:id="62"/>
      <w:bookmarkEnd w:id="63"/>
      <w:bookmarkEnd w:id="64"/>
    </w:p>
    <w:p w14:paraId="002FEB38">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1.投标供应商对本项目的投标总报价最高不得超过1050000.00元，否则其响应将被视为无效响应而被拒绝。</w:t>
      </w:r>
    </w:p>
    <w:p w14:paraId="6A066894">
      <w:pPr>
        <w:ind w:left="0" w:leftChars="0" w:firstLine="422" w:firstLineChars="175"/>
        <w:outlineLvl w:val="2"/>
        <w:rPr>
          <w:rFonts w:hint="eastAsia" w:ascii="宋体" w:hAnsi="宋体" w:eastAsia="楷体" w:cs="Times New Roman"/>
          <w:b/>
          <w:bCs w:val="0"/>
          <w:color w:val="auto"/>
          <w:sz w:val="24"/>
          <w:szCs w:val="24"/>
          <w:lang w:val="en-US" w:eastAsia="zh-CN"/>
        </w:rPr>
      </w:pPr>
      <w:bookmarkStart w:id="65" w:name="_Toc23767"/>
      <w:bookmarkStart w:id="66" w:name="_Toc2799"/>
      <w:r>
        <w:rPr>
          <w:rFonts w:hint="eastAsia" w:ascii="宋体" w:hAnsi="宋体" w:eastAsia="楷体" w:cs="Times New Roman"/>
          <w:b/>
          <w:bCs w:val="0"/>
          <w:color w:val="auto"/>
          <w:sz w:val="24"/>
          <w:szCs w:val="24"/>
          <w:lang w:val="en-US" w:eastAsia="zh-CN"/>
        </w:rPr>
        <w:t>2.实施时间及地点</w:t>
      </w:r>
      <w:bookmarkEnd w:id="65"/>
      <w:bookmarkEnd w:id="66"/>
      <w:r>
        <w:rPr>
          <w:rFonts w:hint="eastAsia" w:ascii="宋体" w:hAnsi="宋体" w:eastAsia="楷体" w:cs="Times New Roman"/>
          <w:b/>
          <w:bCs w:val="0"/>
          <w:color w:val="auto"/>
          <w:sz w:val="24"/>
          <w:szCs w:val="24"/>
          <w:lang w:val="en-US" w:eastAsia="zh-CN"/>
        </w:rPr>
        <w:t xml:space="preserve"> </w:t>
      </w:r>
    </w:p>
    <w:p w14:paraId="1A838413">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2.1实施时间：120日历天内完成。 </w:t>
      </w:r>
    </w:p>
    <w:p w14:paraId="0B98001A">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2.2实施地点：采购人指定地点。 </w:t>
      </w:r>
    </w:p>
    <w:p w14:paraId="3907B309">
      <w:pPr>
        <w:ind w:left="0" w:leftChars="0" w:firstLine="422" w:firstLineChars="175"/>
        <w:outlineLvl w:val="2"/>
        <w:rPr>
          <w:rFonts w:hint="eastAsia" w:ascii="宋体" w:hAnsi="宋体" w:eastAsia="楷体" w:cs="Times New Roman"/>
          <w:b/>
          <w:bCs w:val="0"/>
          <w:color w:val="auto"/>
          <w:sz w:val="24"/>
          <w:szCs w:val="24"/>
          <w:lang w:val="en-US" w:eastAsia="zh-CN"/>
        </w:rPr>
      </w:pPr>
      <w:bookmarkStart w:id="67" w:name="_Toc24530"/>
      <w:bookmarkStart w:id="68" w:name="_Toc31345"/>
      <w:r>
        <w:rPr>
          <w:rFonts w:hint="eastAsia" w:ascii="宋体" w:hAnsi="宋体" w:eastAsia="楷体" w:cs="Times New Roman"/>
          <w:b/>
          <w:bCs w:val="0"/>
          <w:color w:val="auto"/>
          <w:sz w:val="24"/>
          <w:szCs w:val="24"/>
          <w:lang w:val="en-US" w:eastAsia="zh-CN"/>
        </w:rPr>
        <w:t>3.结算方法</w:t>
      </w:r>
      <w:bookmarkEnd w:id="67"/>
      <w:bookmarkEnd w:id="68"/>
      <w:r>
        <w:rPr>
          <w:rFonts w:hint="eastAsia" w:ascii="宋体" w:hAnsi="宋体" w:eastAsia="楷体" w:cs="Times New Roman"/>
          <w:b/>
          <w:bCs w:val="0"/>
          <w:color w:val="auto"/>
          <w:sz w:val="24"/>
          <w:szCs w:val="24"/>
          <w:lang w:val="en-US" w:eastAsia="zh-CN"/>
        </w:rPr>
        <w:t xml:space="preserve"> </w:t>
      </w:r>
    </w:p>
    <w:p w14:paraId="7AF1E1B4">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3.1付款人：龙山县残疾人联合会。 </w:t>
      </w:r>
    </w:p>
    <w:p w14:paraId="05681E90">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3.2付款方式：按合同约定支付。 </w:t>
      </w:r>
    </w:p>
    <w:p w14:paraId="1EF58A32">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3.3工程变更 </w:t>
      </w:r>
    </w:p>
    <w:p w14:paraId="42587B19">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当发生工程变更、采购清单量增减时，由采购人根据实际工程量按成交供应商单价据实结算。工程变更所增加的工程款不得超过合同价的10%。 </w:t>
      </w:r>
    </w:p>
    <w:p w14:paraId="0347951F">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3.4采用暂定价形式的由有关部门审定。 </w:t>
      </w:r>
    </w:p>
    <w:p w14:paraId="562643B7">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3.5当发生工程变更、工程量增减时，由发包人（采购人）、监理公司进行初审，报有关部门审定后报政府采购部门备案。 </w:t>
      </w:r>
    </w:p>
    <w:p w14:paraId="12002BC1">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2"/>
        <w:rPr>
          <w:rFonts w:hint="eastAsia" w:ascii="宋体" w:hAnsi="宋体" w:eastAsia="楷体" w:cs="Times New Roman"/>
          <w:b/>
          <w:bCs w:val="0"/>
          <w:color w:val="auto"/>
          <w:sz w:val="24"/>
          <w:szCs w:val="24"/>
          <w:lang w:val="en-US" w:eastAsia="zh-CN"/>
        </w:rPr>
      </w:pPr>
      <w:bookmarkStart w:id="69" w:name="_Toc15039"/>
      <w:bookmarkStart w:id="70" w:name="_Toc6523"/>
      <w:r>
        <w:rPr>
          <w:rFonts w:hint="eastAsia" w:ascii="宋体" w:hAnsi="宋体" w:eastAsia="楷体" w:cs="Times New Roman"/>
          <w:b/>
          <w:bCs w:val="0"/>
          <w:color w:val="auto"/>
          <w:sz w:val="24"/>
          <w:szCs w:val="24"/>
          <w:lang w:val="en-US" w:eastAsia="zh-CN"/>
        </w:rPr>
        <w:t>4.工程竣工结算</w:t>
      </w:r>
      <w:bookmarkEnd w:id="69"/>
      <w:bookmarkEnd w:id="70"/>
      <w:r>
        <w:rPr>
          <w:rFonts w:hint="eastAsia" w:ascii="宋体" w:hAnsi="宋体" w:eastAsia="楷体" w:cs="Times New Roman"/>
          <w:b/>
          <w:bCs w:val="0"/>
          <w:color w:val="auto"/>
          <w:sz w:val="24"/>
          <w:szCs w:val="24"/>
          <w:lang w:val="en-US" w:eastAsia="zh-CN"/>
        </w:rPr>
        <w:t xml:space="preserve"> </w:t>
      </w:r>
    </w:p>
    <w:p w14:paraId="22A9C03F">
      <w:pPr>
        <w:numPr>
          <w:ilvl w:val="0"/>
          <w:numId w:val="0"/>
        </w:numPr>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 xml:space="preserve">    工程竣工后双方应及时办理工程结算，成交供应商应积极配合；工程款最终须待项目完工后，由采购人委托的单位进行结算审计。工程竣工验收后，成交供应商应在30天内提交完整齐备的工程竣工资料和验收资料，装订成册，交采购人四套存档，并必须保证所有归档资料的真实性。 </w:t>
      </w:r>
    </w:p>
    <w:p w14:paraId="4E7D7EBB">
      <w:pPr>
        <w:outlineLvl w:val="1"/>
        <w:rPr>
          <w:rFonts w:hint="eastAsia" w:ascii="宋体" w:hAnsi="宋体" w:eastAsia="楷体" w:cs="宋体"/>
          <w:b/>
          <w:color w:val="auto"/>
          <w:sz w:val="24"/>
          <w:szCs w:val="28"/>
          <w:lang w:val="en-US" w:eastAsia="zh-CN"/>
        </w:rPr>
      </w:pPr>
      <w:bookmarkStart w:id="71" w:name="_Toc16958"/>
      <w:bookmarkStart w:id="72" w:name="_Toc28635"/>
      <w:bookmarkStart w:id="73" w:name="_Toc14257"/>
      <w:bookmarkStart w:id="74" w:name="_Toc8724"/>
      <w:bookmarkStart w:id="75" w:name="_Toc12238"/>
      <w:r>
        <w:rPr>
          <w:rFonts w:hint="eastAsia" w:ascii="宋体" w:hAnsi="宋体" w:eastAsia="楷体" w:cs="宋体"/>
          <w:b/>
          <w:color w:val="auto"/>
          <w:sz w:val="24"/>
          <w:szCs w:val="28"/>
          <w:lang w:val="en-US" w:eastAsia="zh-CN"/>
        </w:rPr>
        <w:t>九、其他需要说明的事项</w:t>
      </w:r>
      <w:bookmarkEnd w:id="71"/>
      <w:bookmarkEnd w:id="72"/>
      <w:bookmarkEnd w:id="73"/>
      <w:bookmarkEnd w:id="74"/>
      <w:bookmarkEnd w:id="75"/>
    </w:p>
    <w:p w14:paraId="50824037">
      <w:pPr>
        <w:ind w:left="0" w:leftChars="0" w:firstLine="420" w:firstLineChars="175"/>
        <w:rPr>
          <w:rFonts w:hint="eastAsia"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1.本项目实施过程中发生的法律纠纷、财物损失、人员伤亡等事故均由成交供应商自行解决。</w:t>
      </w:r>
    </w:p>
    <w:p w14:paraId="4DA4B228">
      <w:pPr>
        <w:ind w:left="0" w:leftChars="0" w:firstLine="420" w:firstLineChars="175"/>
        <w:rPr>
          <w:rFonts w:hint="default"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2</w:t>
      </w:r>
      <w:r>
        <w:rPr>
          <w:rFonts w:hint="default" w:ascii="宋体" w:hAnsi="宋体" w:eastAsia="楷体" w:cs="Times New Roman"/>
          <w:b w:val="0"/>
          <w:bCs/>
          <w:color w:val="auto"/>
          <w:sz w:val="24"/>
          <w:szCs w:val="24"/>
          <w:lang w:val="en-US" w:eastAsia="zh-CN"/>
        </w:rPr>
        <w:t>.本项目采购人有权对成交供应商进行现场监督、考察，如发现成交供应商存在提供虚假材料谋取成交的情况，采购人将上报监督管理部门，取消其成交资格，并有权向成交供应商提出索赔。</w:t>
      </w:r>
    </w:p>
    <w:p w14:paraId="42241613">
      <w:pPr>
        <w:ind w:left="0" w:leftChars="0" w:firstLine="420" w:firstLineChars="175"/>
        <w:rPr>
          <w:rFonts w:hint="default"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3</w:t>
      </w:r>
      <w:r>
        <w:rPr>
          <w:rFonts w:hint="default" w:ascii="宋体" w:hAnsi="宋体" w:eastAsia="楷体" w:cs="Times New Roman"/>
          <w:b w:val="0"/>
          <w:bCs/>
          <w:color w:val="auto"/>
          <w:sz w:val="24"/>
          <w:szCs w:val="24"/>
          <w:lang w:val="en-US" w:eastAsia="zh-CN"/>
        </w:rPr>
        <w:t>.成交供应商不得以任何形式将合同转包或者部分分包给他人，一经发现</w:t>
      </w:r>
      <w:r>
        <w:rPr>
          <w:rFonts w:hint="eastAsia" w:ascii="宋体" w:hAnsi="宋体" w:eastAsia="楷体" w:cs="Times New Roman"/>
          <w:b w:val="0"/>
          <w:bCs/>
          <w:color w:val="auto"/>
          <w:sz w:val="24"/>
          <w:szCs w:val="24"/>
          <w:lang w:val="en-US" w:eastAsia="zh-CN"/>
        </w:rPr>
        <w:t>，采购</w:t>
      </w:r>
      <w:r>
        <w:rPr>
          <w:rFonts w:hint="default" w:ascii="宋体" w:hAnsi="宋体" w:eastAsia="楷体" w:cs="Times New Roman"/>
          <w:b w:val="0"/>
          <w:bCs/>
          <w:color w:val="auto"/>
          <w:sz w:val="24"/>
          <w:szCs w:val="24"/>
          <w:lang w:val="en-US" w:eastAsia="zh-CN"/>
        </w:rPr>
        <w:t>人将上报监督管理部门，取消其成交资格，并有权向成交供应商提出索赔。</w:t>
      </w:r>
    </w:p>
    <w:p w14:paraId="180F82EA">
      <w:pPr>
        <w:ind w:left="0" w:leftChars="0" w:firstLine="420" w:firstLineChars="175"/>
        <w:rPr>
          <w:rFonts w:hint="default" w:ascii="宋体" w:hAnsi="宋体" w:eastAsia="楷体" w:cs="Times New Roman"/>
          <w:b w:val="0"/>
          <w:bCs/>
          <w:color w:val="auto"/>
          <w:sz w:val="24"/>
          <w:szCs w:val="24"/>
          <w:lang w:val="en-US" w:eastAsia="zh-CN"/>
        </w:rPr>
      </w:pPr>
      <w:r>
        <w:rPr>
          <w:rFonts w:hint="eastAsia" w:ascii="宋体" w:hAnsi="宋体" w:eastAsia="楷体" w:cs="Times New Roman"/>
          <w:b w:val="0"/>
          <w:bCs/>
          <w:color w:val="auto"/>
          <w:sz w:val="24"/>
          <w:szCs w:val="24"/>
          <w:lang w:val="en-US" w:eastAsia="zh-CN"/>
        </w:rPr>
        <w:t>4.</w:t>
      </w:r>
      <w:r>
        <w:rPr>
          <w:rFonts w:hint="default" w:ascii="宋体" w:hAnsi="宋体" w:eastAsia="楷体" w:cs="Times New Roman"/>
          <w:b w:val="0"/>
          <w:bCs/>
          <w:color w:val="auto"/>
          <w:sz w:val="24"/>
          <w:szCs w:val="24"/>
          <w:lang w:val="en-US" w:eastAsia="zh-CN"/>
        </w:rPr>
        <w:t>本项目工期紧张，建议成交供应商在收到领取成交通知书通知后</w:t>
      </w:r>
      <w:r>
        <w:rPr>
          <w:rFonts w:hint="eastAsia" w:ascii="宋体" w:hAnsi="宋体" w:eastAsia="楷体" w:cs="Times New Roman"/>
          <w:b w:val="0"/>
          <w:bCs/>
          <w:color w:val="auto"/>
          <w:sz w:val="24"/>
          <w:szCs w:val="24"/>
          <w:lang w:val="en-US" w:eastAsia="zh-CN"/>
        </w:rPr>
        <w:t>5</w:t>
      </w:r>
      <w:r>
        <w:rPr>
          <w:rFonts w:hint="default" w:ascii="宋体" w:hAnsi="宋体" w:eastAsia="楷体" w:cs="Times New Roman"/>
          <w:b w:val="0"/>
          <w:bCs/>
          <w:color w:val="auto"/>
          <w:sz w:val="24"/>
          <w:szCs w:val="24"/>
          <w:lang w:val="en-US" w:eastAsia="zh-CN"/>
        </w:rPr>
        <w:t>个日历日内领取</w:t>
      </w:r>
      <w:r>
        <w:rPr>
          <w:rFonts w:hint="eastAsia" w:ascii="宋体" w:hAnsi="宋体" w:eastAsia="楷体" w:cs="Times New Roman"/>
          <w:b w:val="0"/>
          <w:bCs/>
          <w:color w:val="auto"/>
          <w:sz w:val="24"/>
          <w:szCs w:val="24"/>
          <w:lang w:val="en-US" w:eastAsia="zh-CN"/>
        </w:rPr>
        <w:t>成交通知书</w:t>
      </w:r>
      <w:r>
        <w:rPr>
          <w:rFonts w:hint="default" w:ascii="宋体" w:hAnsi="宋体" w:eastAsia="楷体" w:cs="Times New Roman"/>
          <w:b w:val="0"/>
          <w:bCs/>
          <w:color w:val="auto"/>
          <w:sz w:val="24"/>
          <w:szCs w:val="24"/>
          <w:lang w:val="en-US" w:eastAsia="zh-CN"/>
        </w:rPr>
        <w:t>，并提前备好合同盖章、履约保证金等材料，到场同步完成</w:t>
      </w:r>
      <w:r>
        <w:rPr>
          <w:rFonts w:hint="eastAsia" w:ascii="宋体" w:hAnsi="宋体" w:eastAsia="楷体" w:cs="Times New Roman"/>
          <w:b w:val="0"/>
          <w:bCs/>
          <w:color w:val="auto"/>
          <w:sz w:val="24"/>
          <w:szCs w:val="24"/>
          <w:lang w:val="en-US" w:eastAsia="zh-CN"/>
        </w:rPr>
        <w:t>签订合同事宜</w:t>
      </w:r>
      <w:r>
        <w:rPr>
          <w:rFonts w:hint="default" w:ascii="宋体" w:hAnsi="宋体" w:eastAsia="楷体" w:cs="Times New Roman"/>
          <w:b w:val="0"/>
          <w:bCs/>
          <w:color w:val="auto"/>
          <w:sz w:val="24"/>
          <w:szCs w:val="24"/>
          <w:lang w:val="en-US" w:eastAsia="zh-CN"/>
        </w:rPr>
        <w:t>。</w:t>
      </w:r>
    </w:p>
    <w:p w14:paraId="03DDF4CF">
      <w:pPr>
        <w:ind w:left="0" w:leftChars="0" w:firstLine="420" w:firstLineChars="175"/>
        <w:rPr>
          <w:rFonts w:hint="eastAsia" w:ascii="宋体" w:hAnsi="宋体" w:eastAsia="楷体" w:cs="Times New Roman"/>
          <w:b w:val="0"/>
          <w:bCs/>
          <w:color w:val="auto"/>
          <w:sz w:val="24"/>
          <w:szCs w:val="24"/>
          <w:lang w:val="en-US" w:eastAsia="zh-CN"/>
        </w:rPr>
      </w:pPr>
      <w:bookmarkStart w:id="76" w:name="_Toc27339"/>
      <w:bookmarkStart w:id="77" w:name="_Toc7605"/>
      <w:r>
        <w:rPr>
          <w:rFonts w:hint="eastAsia" w:ascii="宋体" w:hAnsi="宋体" w:eastAsia="楷体" w:cs="Times New Roman"/>
          <w:b w:val="0"/>
          <w:bCs/>
          <w:color w:val="auto"/>
          <w:sz w:val="24"/>
          <w:szCs w:val="24"/>
          <w:lang w:val="en-US" w:eastAsia="zh-CN"/>
        </w:rPr>
        <w:t>5.其他未尽事宜，双方协商解决。</w:t>
      </w:r>
      <w:bookmarkEnd w:id="76"/>
      <w:bookmarkEnd w:id="77"/>
    </w:p>
    <w:p w14:paraId="23336E34">
      <w:pPr>
        <w:ind w:left="0" w:leftChars="0" w:firstLine="420" w:firstLineChars="175"/>
        <w:rPr>
          <w:color w:val="auto"/>
        </w:rPr>
      </w:pPr>
      <w:r>
        <w:rPr>
          <w:rFonts w:hint="eastAsia" w:ascii="宋体" w:hAnsi="宋体" w:eastAsia="楷体" w:cs="Times New Roman"/>
          <w:b w:val="0"/>
          <w:bCs/>
          <w:color w:val="auto"/>
          <w:sz w:val="24"/>
          <w:szCs w:val="24"/>
          <w:lang w:val="en-US" w:eastAsia="zh-CN"/>
        </w:rPr>
        <w:t>6.对于上述项目要求，供应商应在响应文件中进行回应，作出承诺及说明。</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moder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roma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58777E"/>
    <w:rsid w:val="3AB6262A"/>
    <w:rsid w:val="6A5877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3020</Words>
  <Characters>3183</Characters>
  <Lines>0</Lines>
  <Paragraphs>0</Paragraphs>
  <TotalTime>0</TotalTime>
  <ScaleCrop>false</ScaleCrop>
  <LinksUpToDate>false</LinksUpToDate>
  <CharactersWithSpaces>3258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2026-09-16T13:07:00Z</dcterms:created>
  <dc:creator>-</dc:creator>
  <cp:lastModifiedBy>-</cp:lastModifiedBy>
  <dcterms:modified xsi:type="dcterms:W3CDTF">2026-09-16T13:08:31Z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646F547BECD8453280012B48DB6883FC_11</vt:lpwstr>
  </property>
  <property fmtid="{D5CDD505-2E9C-101B-9397-08002B2CF9AE}" pid="4" name="KSOTemplateDocerSaveRecord">
    <vt:lpwstr>eyJoZGlkIjoiOTAzYjY0ZmYzOTM2ZjE2YzQ2ZGY1YTZhYmEzYWVjMDciLCJ1c2VySWQiOiIyMDU0Mjk4NDkifQ==</vt:lpwstr>
  </property>
</Properties>
</file>