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E4AE">
      <w:pPr>
        <w:keepNext/>
        <w:jc w:val="center"/>
        <w:outlineLvl w:val="0"/>
        <w:rPr>
          <w:rFonts w:ascii="黑体" w:hAnsi="黑体" w:eastAsia="黑体"/>
          <w:b/>
          <w:bCs/>
          <w:color w:val="auto"/>
          <w:sz w:val="32"/>
          <w:szCs w:val="32"/>
        </w:rPr>
      </w:pPr>
      <w:bookmarkStart w:id="0" w:name="_Toc25776"/>
      <w:r>
        <w:rPr>
          <w:rFonts w:hint="eastAsia" w:ascii="黑体" w:hAnsi="黑体" w:eastAsia="黑体"/>
          <w:b/>
          <w:bCs/>
          <w:color w:val="auto"/>
          <w:sz w:val="32"/>
          <w:szCs w:val="32"/>
        </w:rPr>
        <w:t>采购需求</w:t>
      </w:r>
      <w:bookmarkEnd w:id="0"/>
      <w:bookmarkStart w:id="13" w:name="_GoBack"/>
      <w:bookmarkEnd w:id="13"/>
    </w:p>
    <w:p w14:paraId="33EF2630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/>
          <w:b/>
          <w:bCs/>
          <w:color w:val="auto"/>
          <w:sz w:val="28"/>
          <w:szCs w:val="28"/>
        </w:rPr>
      </w:pPr>
      <w:bookmarkStart w:id="1" w:name="_Toc31588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第一节 采购清单一览表</w:t>
      </w:r>
      <w:bookmarkEnd w:id="1"/>
    </w:p>
    <w:tbl>
      <w:tblPr>
        <w:tblStyle w:val="2"/>
        <w:tblW w:w="894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183"/>
        <w:gridCol w:w="2200"/>
        <w:gridCol w:w="2271"/>
        <w:gridCol w:w="1027"/>
        <w:gridCol w:w="844"/>
        <w:gridCol w:w="800"/>
      </w:tblGrid>
      <w:tr w14:paraId="5DBEFB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</w:trPr>
        <w:tc>
          <w:tcPr>
            <w:tcW w:w="615" w:type="dxa"/>
            <w:noWrap w:val="0"/>
            <w:vAlign w:val="center"/>
          </w:tcPr>
          <w:p w14:paraId="611DE90E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包号 </w:t>
            </w:r>
          </w:p>
        </w:tc>
        <w:tc>
          <w:tcPr>
            <w:tcW w:w="1183" w:type="dxa"/>
            <w:noWrap w:val="0"/>
            <w:vAlign w:val="center"/>
          </w:tcPr>
          <w:p w14:paraId="4A4D7D0F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包名称</w:t>
            </w:r>
          </w:p>
        </w:tc>
        <w:tc>
          <w:tcPr>
            <w:tcW w:w="2200" w:type="dxa"/>
            <w:noWrap w:val="0"/>
            <w:vAlign w:val="center"/>
          </w:tcPr>
          <w:p w14:paraId="058638B3">
            <w:pPr>
              <w:adjustRightInd w:val="0"/>
              <w:snapToGrid w:val="0"/>
              <w:jc w:val="center"/>
              <w:rPr>
                <w:color w:val="0C0C0C"/>
                <w:szCs w:val="21"/>
              </w:rPr>
            </w:pPr>
            <w:r>
              <w:rPr>
                <w:rFonts w:hint="eastAsia"/>
                <w:color w:val="0C0C0C"/>
                <w:szCs w:val="21"/>
              </w:rPr>
              <w:t>标的名称</w:t>
            </w:r>
          </w:p>
        </w:tc>
        <w:tc>
          <w:tcPr>
            <w:tcW w:w="2271" w:type="dxa"/>
            <w:tcBorders>
              <w:left w:val="single" w:color="auto" w:sz="4" w:space="0"/>
            </w:tcBorders>
            <w:noWrap w:val="0"/>
            <w:vAlign w:val="center"/>
          </w:tcPr>
          <w:p w14:paraId="4E2048D9">
            <w:pPr>
              <w:adjustRightInd w:val="0"/>
              <w:snapToGrid w:val="0"/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0C0C0C"/>
                <w:szCs w:val="21"/>
              </w:rPr>
              <w:t>简要技术要求</w:t>
            </w:r>
          </w:p>
        </w:tc>
        <w:tc>
          <w:tcPr>
            <w:tcW w:w="1027" w:type="dxa"/>
            <w:tcBorders>
              <w:left w:val="single" w:color="auto" w:sz="4" w:space="0"/>
            </w:tcBorders>
            <w:noWrap w:val="0"/>
            <w:vAlign w:val="center"/>
          </w:tcPr>
          <w:p w14:paraId="3BEAC66A">
            <w:pPr>
              <w:adjustRightInd w:val="0"/>
              <w:snapToGrid w:val="0"/>
              <w:jc w:val="center"/>
              <w:rPr>
                <w:rFonts w:ascii="宋体" w:hAnsi="宋体" w:cs="宋体"/>
                <w:color w:val="0C0C0C"/>
                <w:kern w:val="0"/>
                <w:szCs w:val="21"/>
              </w:rPr>
            </w:pPr>
            <w:r>
              <w:rPr>
                <w:rFonts w:hint="eastAsia"/>
                <w:color w:val="0C0C0C"/>
                <w:szCs w:val="21"/>
              </w:rPr>
              <w:t>数量</w:t>
            </w:r>
          </w:p>
        </w:tc>
        <w:tc>
          <w:tcPr>
            <w:tcW w:w="844" w:type="dxa"/>
            <w:noWrap w:val="0"/>
            <w:vAlign w:val="center"/>
          </w:tcPr>
          <w:p w14:paraId="2D462A64">
            <w:pPr>
              <w:adjustRightInd w:val="0"/>
              <w:snapToGrid w:val="0"/>
              <w:jc w:val="center"/>
              <w:rPr>
                <w:color w:val="0C0C0C"/>
                <w:szCs w:val="21"/>
              </w:rPr>
            </w:pPr>
            <w:r>
              <w:rPr>
                <w:rFonts w:hint="eastAsia"/>
                <w:color w:val="0C0C0C"/>
                <w:szCs w:val="21"/>
              </w:rPr>
              <w:t>节能产品</w:t>
            </w:r>
          </w:p>
        </w:tc>
        <w:tc>
          <w:tcPr>
            <w:tcW w:w="800" w:type="dxa"/>
            <w:noWrap w:val="0"/>
            <w:vAlign w:val="center"/>
          </w:tcPr>
          <w:p w14:paraId="074B7873">
            <w:pPr>
              <w:adjustRightInd w:val="0"/>
              <w:snapToGrid w:val="0"/>
              <w:jc w:val="center"/>
              <w:rPr>
                <w:color w:val="0C0C0C"/>
                <w:szCs w:val="21"/>
              </w:rPr>
            </w:pPr>
            <w:r>
              <w:rPr>
                <w:rFonts w:hint="eastAsia"/>
                <w:color w:val="0C0C0C"/>
                <w:szCs w:val="21"/>
              </w:rPr>
              <w:t>进口产品</w:t>
            </w:r>
          </w:p>
        </w:tc>
      </w:tr>
      <w:tr w14:paraId="2FE030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615" w:type="dxa"/>
            <w:noWrap w:val="0"/>
            <w:vAlign w:val="center"/>
          </w:tcPr>
          <w:p w14:paraId="05062870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 w14:paraId="0C57EFE4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包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2200" w:type="dxa"/>
            <w:noWrap w:val="0"/>
            <w:vAlign w:val="center"/>
          </w:tcPr>
          <w:p w14:paraId="4360574B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0C0C0C"/>
                <w:szCs w:val="21"/>
                <w:lang w:eastAsia="zh-CN"/>
              </w:rPr>
            </w:pPr>
            <w:r>
              <w:rPr>
                <w:rFonts w:hint="eastAsia" w:eastAsia="宋体"/>
                <w:color w:val="0C0C0C"/>
                <w:szCs w:val="21"/>
                <w:lang w:val="en-US" w:eastAsia="zh-CN"/>
              </w:rPr>
              <w:t xml:space="preserve">环境与农业分析仪器 </w:t>
            </w:r>
          </w:p>
        </w:tc>
        <w:tc>
          <w:tcPr>
            <w:tcW w:w="2271" w:type="dxa"/>
            <w:tcBorders>
              <w:left w:val="single" w:color="auto" w:sz="4" w:space="0"/>
            </w:tcBorders>
            <w:noWrap w:val="0"/>
            <w:vAlign w:val="center"/>
          </w:tcPr>
          <w:p w14:paraId="6803B3B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0C0C0C"/>
                <w:szCs w:val="21"/>
                <w:lang w:eastAsia="zh-CN"/>
              </w:rPr>
            </w:pPr>
            <w:r>
              <w:rPr>
                <w:rFonts w:hint="eastAsia"/>
                <w:color w:val="0C0C0C"/>
                <w:szCs w:val="21"/>
                <w:lang w:eastAsia="zh-CN"/>
              </w:rPr>
              <w:t>详见本章第二节</w:t>
            </w:r>
          </w:p>
        </w:tc>
        <w:tc>
          <w:tcPr>
            <w:tcW w:w="1027" w:type="dxa"/>
            <w:tcBorders>
              <w:left w:val="single" w:color="auto" w:sz="4" w:space="0"/>
            </w:tcBorders>
            <w:noWrap w:val="0"/>
            <w:vAlign w:val="center"/>
          </w:tcPr>
          <w:p w14:paraId="2AA0152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0C0C0C"/>
                <w:szCs w:val="21"/>
                <w:lang w:val="en-US" w:eastAsia="zh-CN"/>
              </w:rPr>
            </w:pPr>
            <w:r>
              <w:rPr>
                <w:rFonts w:hint="eastAsia"/>
                <w:color w:val="0C0C0C"/>
                <w:szCs w:val="21"/>
                <w:lang w:val="en-US" w:eastAsia="zh-CN"/>
              </w:rPr>
              <w:t>1批</w:t>
            </w:r>
          </w:p>
        </w:tc>
        <w:tc>
          <w:tcPr>
            <w:tcW w:w="844" w:type="dxa"/>
            <w:noWrap w:val="0"/>
            <w:vAlign w:val="center"/>
          </w:tcPr>
          <w:p w14:paraId="6FD5A65D">
            <w:pPr>
              <w:adjustRightInd w:val="0"/>
              <w:snapToGrid w:val="0"/>
              <w:spacing w:before="156" w:beforeLines="50" w:line="360" w:lineRule="auto"/>
              <w:jc w:val="center"/>
              <w:rPr>
                <w:color w:val="0C0C0C"/>
                <w:szCs w:val="21"/>
              </w:rPr>
            </w:pPr>
            <w:r>
              <w:rPr>
                <w:rFonts w:hint="eastAsia" w:ascii="宋体" w:hAnsi="宋体"/>
                <w:iCs/>
                <w:color w:val="0C0C0C"/>
                <w:szCs w:val="21"/>
              </w:rPr>
              <w:sym w:font="Wingdings" w:char="00A8"/>
            </w:r>
          </w:p>
        </w:tc>
        <w:tc>
          <w:tcPr>
            <w:tcW w:w="800" w:type="dxa"/>
            <w:noWrap w:val="0"/>
            <w:vAlign w:val="center"/>
          </w:tcPr>
          <w:p w14:paraId="54E2F50E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eastAsia="宋体"/>
                <w:color w:val="0C0C0C"/>
                <w:szCs w:val="21"/>
                <w:lang w:eastAsia="zh-CN"/>
              </w:rPr>
            </w:pPr>
            <w:r>
              <w:rPr>
                <w:rFonts w:hint="eastAsia"/>
                <w:color w:val="0C0C0C"/>
                <w:szCs w:val="21"/>
                <w:lang w:eastAsia="zh-CN"/>
              </w:rPr>
              <w:t>否</w:t>
            </w:r>
          </w:p>
        </w:tc>
      </w:tr>
    </w:tbl>
    <w:p w14:paraId="73043C82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</w:rPr>
        <w:sectPr>
          <w:pgSz w:w="11906" w:h="16838"/>
          <w:pgMar w:top="1474" w:right="1474" w:bottom="1474" w:left="1588" w:header="851" w:footer="992" w:gutter="0"/>
          <w:cols w:space="720" w:num="1"/>
          <w:docGrid w:type="lines" w:linePitch="312" w:charSpace="0"/>
        </w:sectPr>
      </w:pPr>
    </w:p>
    <w:p w14:paraId="63674DDD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hint="eastAsia" w:ascii="黑体" w:hAnsi="黑体" w:eastAsia="黑体"/>
          <w:b/>
          <w:bCs/>
          <w:color w:val="0C0C0C"/>
          <w:sz w:val="28"/>
          <w:szCs w:val="28"/>
          <w:lang w:eastAsia="zh-CN"/>
        </w:rPr>
      </w:pPr>
      <w:bookmarkStart w:id="2" w:name="_Toc702"/>
      <w:r>
        <w:rPr>
          <w:rFonts w:hint="eastAsia" w:ascii="黑体" w:hAnsi="黑体" w:eastAsia="黑体"/>
          <w:b/>
          <w:bCs/>
          <w:color w:val="0C0C0C"/>
          <w:sz w:val="28"/>
          <w:szCs w:val="28"/>
        </w:rPr>
        <w:t xml:space="preserve">第二节 </w:t>
      </w:r>
      <w:r>
        <w:rPr>
          <w:rFonts w:ascii="黑体" w:hAnsi="黑体" w:eastAsia="黑体"/>
          <w:b/>
          <w:bCs/>
          <w:color w:val="0C0C0C"/>
          <w:sz w:val="28"/>
          <w:szCs w:val="28"/>
        </w:rPr>
        <w:t>技术要求</w:t>
      </w:r>
      <w:bookmarkEnd w:id="2"/>
    </w:p>
    <w:p w14:paraId="3E44E3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C0C0C"/>
          <w:lang w:eastAsia="zh-CN"/>
        </w:rPr>
      </w:pPr>
      <w:r>
        <w:rPr>
          <w:rFonts w:hint="eastAsia" w:ascii="宋体" w:hAnsi="宋体" w:eastAsia="宋体" w:cs="宋体"/>
          <w:b/>
          <w:bCs/>
          <w:color w:val="0C0C0C"/>
          <w:lang w:eastAsia="zh-CN"/>
        </w:rPr>
        <w:t>采购标的需实现的功能或者目标</w:t>
      </w:r>
    </w:p>
    <w:p w14:paraId="59DD63C4">
      <w:pPr>
        <w:pStyle w:val="4"/>
        <w:autoSpaceDE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color w:val="0C0C0C"/>
          <w:kern w:val="2"/>
          <w:sz w:val="21"/>
          <w:szCs w:val="24"/>
          <w:lang w:val="en-US" w:eastAsia="zh-CN" w:bidi="ar-SA"/>
        </w:rPr>
      </w:pPr>
      <w:bookmarkStart w:id="3" w:name="_Toc25711"/>
      <w:bookmarkStart w:id="4" w:name="_Toc84573998"/>
      <w:bookmarkStart w:id="5" w:name="_Toc17660"/>
      <w:bookmarkStart w:id="6" w:name="_Toc14475"/>
      <w:bookmarkStart w:id="7" w:name="_Toc70069105"/>
      <w:r>
        <w:rPr>
          <w:rFonts w:hint="eastAsia" w:ascii="Times New Roman" w:hAnsi="Times New Roman" w:eastAsia="宋体" w:cs="Times New Roman"/>
          <w:color w:val="0C0C0C"/>
          <w:kern w:val="2"/>
          <w:sz w:val="21"/>
          <w:szCs w:val="24"/>
          <w:lang w:val="en-US" w:eastAsia="zh-CN" w:bidi="ar-SA"/>
        </w:rPr>
        <w:t>本项目为湖南省岳阳大豆产业集群科技支撑专项仪器设备采购项目，由岳阳市农业科学研究院实施采购。设备涵盖大豆种子处理、种质储藏、田间栽培试验、植株表型检测、考种分析、品质理化检测、土壤环境监测、样品前处理、智慧农机作业等全品类设备，主要用于大豆种质资源鉴定与保存、新品种选育、农艺性状测定、产量品质检测、栽培技术试验、田间土壤环境监测、大豆理化指标分析等科研试验业务。本项目设备是支撑岳阳市大豆产业集群科技创新、开展大豆全产业链科研试验、优化大豆栽培与育种技术、提升本地大豆科研检测能力、对外开展农业科技服务与技术推广的核心硬件支撑。</w:t>
      </w:r>
    </w:p>
    <w:p w14:paraId="01BF6A56">
      <w:pPr>
        <w:adjustRightInd w:val="0"/>
        <w:snapToGrid w:val="0"/>
        <w:spacing w:beforeLines="50" w:line="360" w:lineRule="auto"/>
        <w:rPr>
          <w:rFonts w:hint="eastAsia" w:ascii="宋体" w:hAnsi="宋体" w:cs="宋体"/>
          <w:b/>
          <w:bCs/>
          <w:color w:val="0C0C0C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C0C0C"/>
          <w:lang w:val="en-US" w:eastAsia="zh-CN"/>
        </w:rPr>
        <w:t>二、</w:t>
      </w:r>
      <w:bookmarkEnd w:id="3"/>
      <w:bookmarkEnd w:id="4"/>
      <w:bookmarkEnd w:id="5"/>
      <w:bookmarkEnd w:id="6"/>
      <w:bookmarkEnd w:id="7"/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采购标的需执行的国家相关标准、行业标准、地方标准或者其他标准、规范</w:t>
      </w:r>
    </w:p>
    <w:p w14:paraId="023D7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color w:val="0C0C0C"/>
          <w:sz w:val="21"/>
          <w:szCs w:val="21"/>
          <w:lang w:eastAsia="zh-CN"/>
        </w:rPr>
      </w:pPr>
      <w:r>
        <w:rPr>
          <w:rFonts w:hint="eastAsia"/>
          <w:color w:val="0C0C0C"/>
          <w:sz w:val="21"/>
          <w:szCs w:val="21"/>
          <w:lang w:eastAsia="zh-CN"/>
        </w:rPr>
        <w:t>所有设备生产、检验、调试、验收须执行现行有效国家标准、行业标准，主要包含：GB 4793.1-2007、GB/T 3543.1~3543.7、GB/T 24899、GB/T 38571、NY/T 1121 系列、HJ 962、GB/T 19812.1、GB/T 13664-2023等种子检验、粮油检测、土壤检测、实验室仪器、农林机械、节水灌溉相关国标、行标；无对应国标 / 行标的，执行不低于同类产品通用技术要求的企业标准。本章本节技术要求高于通用标准时，以本章本节技术要求为准。</w:t>
      </w:r>
    </w:p>
    <w:p w14:paraId="023CE6FB">
      <w:pPr>
        <w:numPr>
          <w:ilvl w:val="0"/>
          <w:numId w:val="2"/>
        </w:numPr>
        <w:adjustRightInd w:val="0"/>
        <w:snapToGrid w:val="0"/>
        <w:spacing w:beforeLines="50" w:line="360" w:lineRule="auto"/>
        <w:rPr>
          <w:rFonts w:hint="eastAsia"/>
          <w:b/>
          <w:bCs/>
          <w:color w:val="0C0C0C"/>
          <w:lang w:eastAsia="zh-CN"/>
        </w:rPr>
      </w:pPr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采购标的需满足的质量、安全、技术规格、物理特性等要求</w:t>
      </w:r>
    </w:p>
    <w:p w14:paraId="029F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3.1本项目所有采购设备、器材、管材及配套设施整体质量、安全、技术规格、物理特性等需满足以下通用要求，各设备具体详细技术参数、功能规格、性能指标详见本章本节第3.2款。</w:t>
      </w:r>
    </w:p>
    <w:p w14:paraId="2D8E7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（一）质量总体要求</w:t>
      </w:r>
    </w:p>
    <w:p w14:paraId="6CB19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本项目所有采购的货物均为全新原装正品、未拆封、未使用、无翻新、无瑕疵的合格产品，整体质量稳定可靠，做工精良，配置完整齐全。所有产品用材、配件、辅材均符合国家及行业合格标准，满足正常试验检测、田间作业、设备运行及长期使用需求，保证项目一次性验收合格。</w:t>
      </w:r>
    </w:p>
    <w:p w14:paraId="4E18D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（二）安全性能要求</w:t>
      </w:r>
    </w:p>
    <w:p w14:paraId="7B141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所有电气设备、动力设备、灌溉管材设施具备安全防护、防漏电、防过载、防破损、防渗漏等安全设计，设备运行稳定、安全可靠，无安全隐患。设备具备断电保护、过压保护、低压提示、防误操作等基础安全功能，符合安全生产、户外作业、实验室使用安全规范，可保障人员、设备、场地使用安全。</w:t>
      </w:r>
    </w:p>
    <w:p w14:paraId="1618A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（三）技术规格通用要求</w:t>
      </w:r>
    </w:p>
    <w:p w14:paraId="0E597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所有设备运算、检测、传动、控制系统成熟稳定，智能化程度高、操作便捷、数据精准、重复性好，适配农业土壤检测、作物分析、田间取样、节水灌溉等专业作业场景。</w:t>
      </w:r>
    </w:p>
    <w:p w14:paraId="26057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（四）物理特性与环境适配要求</w:t>
      </w:r>
    </w:p>
    <w:p w14:paraId="5BEF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设备外观规整、无变形、无划痕、无破损，结构设计合理、便携耐用、拆装便捷。户外设备、管材具备抗老化、抗紫外线、耐腐蚀、抗高低温、抗挤压、防堵塞特性，可适应野外露天、田间复杂地形、长期日晒雨淋等恶劣工况，环境适应性强，使用寿命满足行业常规使用标准。</w:t>
      </w:r>
    </w:p>
    <w:p w14:paraId="3981C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（五）标准规范要求</w:t>
      </w:r>
    </w:p>
    <w:p w14:paraId="1BC9A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sz w:val="21"/>
          <w:szCs w:val="21"/>
          <w:lang w:val="en-US" w:eastAsia="zh-CN"/>
        </w:rPr>
        <w:t>本项目所有产品供货、设备性能、施工安装、检测验收均严格遵循国家、行业现行有效标准、规范及技术规程。未尽事宜按国家现行最新标准执行。</w:t>
      </w:r>
    </w:p>
    <w:p w14:paraId="3B584028">
      <w:pPr>
        <w:numPr>
          <w:ilvl w:val="0"/>
          <w:numId w:val="0"/>
        </w:numPr>
        <w:adjustRightInd w:val="0"/>
        <w:snapToGrid w:val="0"/>
        <w:spacing w:beforeLines="50" w:line="360" w:lineRule="auto"/>
        <w:rPr>
          <w:rFonts w:hint="eastAsia"/>
          <w:b/>
          <w:bCs/>
          <w:color w:val="0C0C0C"/>
          <w:lang w:eastAsia="zh-CN"/>
        </w:rPr>
      </w:pPr>
      <w:r>
        <w:rPr>
          <w:rFonts w:hint="eastAsia"/>
          <w:b/>
          <w:bCs/>
          <w:color w:val="0C0C0C"/>
          <w:lang w:val="en-US" w:eastAsia="zh-CN"/>
        </w:rPr>
        <w:t>3.2产品</w:t>
      </w:r>
      <w:r>
        <w:rPr>
          <w:rFonts w:hint="eastAsia"/>
          <w:b/>
          <w:bCs/>
          <w:color w:val="0C0C0C"/>
          <w:lang w:eastAsia="zh-CN"/>
        </w:rPr>
        <w:t>技术参数要求</w:t>
      </w:r>
    </w:p>
    <w:tbl>
      <w:tblPr>
        <w:tblStyle w:val="2"/>
        <w:tblW w:w="54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715"/>
        <w:gridCol w:w="6835"/>
        <w:gridCol w:w="660"/>
      </w:tblGrid>
      <w:tr w14:paraId="31FB6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51" w:type="pct"/>
            <w:noWrap w:val="0"/>
            <w:vAlign w:val="center"/>
          </w:tcPr>
          <w:p w14:paraId="6380F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387" w:type="pct"/>
            <w:noWrap w:val="0"/>
            <w:vAlign w:val="center"/>
          </w:tcPr>
          <w:p w14:paraId="1FD0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3703" w:type="pct"/>
            <w:noWrap/>
            <w:vAlign w:val="center"/>
          </w:tcPr>
          <w:p w14:paraId="06041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技术参数要求</w:t>
            </w:r>
          </w:p>
        </w:tc>
        <w:tc>
          <w:tcPr>
            <w:tcW w:w="357" w:type="pct"/>
            <w:noWrap/>
            <w:vAlign w:val="center"/>
          </w:tcPr>
          <w:p w14:paraId="10B83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0B90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  <w:jc w:val="center"/>
        </w:trPr>
        <w:tc>
          <w:tcPr>
            <w:tcW w:w="551" w:type="pct"/>
            <w:noWrap w:val="0"/>
            <w:vAlign w:val="center"/>
          </w:tcPr>
          <w:p w14:paraId="68ED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大豆脱粒机（试验）</w:t>
            </w:r>
          </w:p>
        </w:tc>
        <w:tc>
          <w:tcPr>
            <w:tcW w:w="387" w:type="pct"/>
            <w:noWrap w:val="0"/>
            <w:vAlign w:val="center"/>
          </w:tcPr>
          <w:p w14:paraId="5B3A3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0CA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一、设备功能要求：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可单株脱粒或者单穗脱粒。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 需实现脱粒净度高，籽粒损失率低。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 喂入口处需设置防护装置，防止大豆粒飞溅。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 采用优质钢材制作，需耐腐蚀。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 需配置转轮，能实现操作场地设备移动方便。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二、技术指标要求：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 配套动力：220V，1400 转/分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 含杂率：≦0.1%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产率：150 株/小时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 清机时间：≤30s（无死角不残留）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 脱净率：﹥99.5%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 破损率：≦0.2%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 损失率：﹤0.3% </w:t>
            </w:r>
          </w:p>
        </w:tc>
        <w:tc>
          <w:tcPr>
            <w:tcW w:w="357" w:type="pct"/>
            <w:noWrap/>
            <w:vAlign w:val="center"/>
          </w:tcPr>
          <w:p w14:paraId="5F4B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C5F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1" w:type="pct"/>
            <w:noWrap w:val="0"/>
            <w:vAlign w:val="center"/>
          </w:tcPr>
          <w:p w14:paraId="0EA62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大豆蛋白检测仪</w:t>
            </w:r>
          </w:p>
        </w:tc>
        <w:tc>
          <w:tcPr>
            <w:tcW w:w="387" w:type="pct"/>
            <w:noWrap w:val="0"/>
            <w:vAlign w:val="center"/>
          </w:tcPr>
          <w:p w14:paraId="64391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B7F4A52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检测原理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基于近红外（NIR）光谱检测技术，通过采集样品化学键泛频振动光谱信息，结合化学计量学算法建立光谱与物质成分关联模型，实现大豆蛋白质、脂肪、水分、纤维、水溶性蛋白等指标无损定量分析。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二、应用范围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本仪器广泛应用于大豆产业链的各个环节，为品质管控与价值评估提供高效解决方案。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设备功能要求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1.操作便捷：采用触摸屏键盘设计，人机交互界面简洁，操作简单，无需专业培训即可熟练操作；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2.检测精准：采用光栅透射检测技术，波长覆盖全面，设备一致性高，定标传递精准稳定；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3.无损检测：样品无需前处理，光源安全，不破坏样品；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.分析速度快：大豆指标在 1~1.5min 内完成测量；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5.可检测大豆蛋白质、脂肪、水分、纤维、水溶性蛋白核心指标；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6.绿色环保：无需化学试剂，无化学肥料等污染物，环保无害；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7.便携性：手持式设计使仪器可以随时随地使用，方便现场检测分析；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8.重复性好：降低人为操作误差与不同场景下的条件干扰；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数据规范：支持图片、表格格式存储，便于数据整理归档。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四、技术参数要求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1.适用样品类型：颗粒状大豆样品；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2.光源：卤钨灯；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波长范围：950~1650nm；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4.样品池容量：≥500g；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5.外壳材料：ABS；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6.操作系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统：Android11；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7.环境温度：10~30℃；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8.电池续航：≥1h；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9.通信功能：支持4G 模块。</w:t>
            </w:r>
          </w:p>
        </w:tc>
        <w:tc>
          <w:tcPr>
            <w:tcW w:w="357" w:type="pct"/>
            <w:noWrap/>
            <w:vAlign w:val="center"/>
          </w:tcPr>
          <w:p w14:paraId="6D6B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207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551" w:type="pct"/>
            <w:noWrap w:val="0"/>
            <w:vAlign w:val="center"/>
          </w:tcPr>
          <w:p w14:paraId="4F82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种子低温储藏箱</w:t>
            </w:r>
          </w:p>
        </w:tc>
        <w:tc>
          <w:tcPr>
            <w:tcW w:w="387" w:type="pct"/>
            <w:noWrap w:val="0"/>
            <w:vAlign w:val="center"/>
          </w:tcPr>
          <w:p w14:paraId="1E5DC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FD53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设备功能要求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1.配备大风机分层送风结构，箱内气流均匀，温湿度分布均衡；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2.微电脑精控，温度湿度双控制；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3.配置双层钢化LOW-E膜玻璃门，隔热保温、可视性强；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4.宽气候适配设计，环境适配范围广，运行稳定性高；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5.具备四重报警、四重安全保护功能，保障种子储藏安全；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6.支持超长周期数据存储，可追溯储藏环境数据；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7.具备温湿双控恒定技术，箱内环境稳定，满足大豆种质长期储藏需求。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二、技术参数要求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1.容积(L)：≥300；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2.气候类型：SN/N；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3.储藏温度(°C)：2-8；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4.输入功率(W)：≥260；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制冷方式：风冷；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6.显示精度(°C）：0.1；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7.外壳材质：PCM预涂钢板；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8.内胆材质：HIPS；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9.内置层架：5层。</w:t>
            </w:r>
          </w:p>
        </w:tc>
        <w:tc>
          <w:tcPr>
            <w:tcW w:w="357" w:type="pct"/>
            <w:noWrap/>
            <w:vAlign w:val="center"/>
          </w:tcPr>
          <w:p w14:paraId="3CC7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CF3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51" w:type="pct"/>
            <w:noWrap w:val="0"/>
            <w:vAlign w:val="center"/>
          </w:tcPr>
          <w:p w14:paraId="43FC3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大豆表型检测系统</w:t>
            </w:r>
          </w:p>
        </w:tc>
        <w:tc>
          <w:tcPr>
            <w:tcW w:w="387" w:type="pct"/>
            <w:noWrap w:val="0"/>
            <w:vAlign w:val="center"/>
          </w:tcPr>
          <w:p w14:paraId="529A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 w:val="0"/>
            <w:vAlign w:val="center"/>
          </w:tcPr>
          <w:p w14:paraId="1F251F6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功能参数要求：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1.测量参数：可精准测量大豆株型夹角、茎粗、籽粒总数量、千粒重等核心表型指标。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2.一体式连接：压板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和转轴柄一体式连接，方便固定作物茎部，减少风吹草动对作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物角度拍摄的影响。手机和作物之间固定距离设置，重复性拍摄夹角角度无差异。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3.数粒及千粒重：数粒范围10-8000粒，自动换成千粒重：通过识别的种子粒数，输入重量，可自动换算出千粒重。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4.品种名称批量添加：作物和品种可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以直接在手机上进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行添加。添加品种时，可对品种单个名称进行添加，也可批量添加。解决用户材料多，单个输入较为繁琐的问题。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态加密：可通过验证码进行加密，一个账号可在多个手机上使用，但不能同时使用。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6.比例尺自动矫正：任意手机可拍照，且拍摄成像视角可以被自动矫正。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7.智能修正：触摸屏幕可进行手动修正，使结果更精准，可达100%。</w:t>
            </w:r>
          </w:p>
          <w:p w14:paraId="3AEA4819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数据查看：拍照分析后即可查看结果，也可在历史记录中查看数据报表和图片。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9.数据导出和共享：支持数据修正、查询、编辑和导出，数据可导出Excel格式，并可分享至微信、QQ或者钉钉，便于多应用方式查看数据。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10.适用范围：大豆夹角适用于花芽分化期、开花结荚期、鼓粒期、成熟期进行测量。</w:t>
            </w:r>
          </w:p>
          <w:p w14:paraId="107EA8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二、主要技术参数要求：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1.测量范围和误差：大豆夹角测量范围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0-180°，误差±5%；大豆茎粗测量范围0-5.2cm，误差±1%；千粒重测量误差：误差±2‰，修正后可达100%；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三、硬件配置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大豆夹角手持装置1台；背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光板1块，数据采集器彩色屏手机1台。</w:t>
            </w:r>
          </w:p>
        </w:tc>
        <w:tc>
          <w:tcPr>
            <w:tcW w:w="357" w:type="pct"/>
            <w:noWrap/>
            <w:vAlign w:val="center"/>
          </w:tcPr>
          <w:p w14:paraId="680EC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C2E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51" w:type="pct"/>
            <w:noWrap w:val="0"/>
            <w:vAlign w:val="center"/>
          </w:tcPr>
          <w:p w14:paraId="105D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种子净度工作台</w:t>
            </w:r>
          </w:p>
        </w:tc>
        <w:tc>
          <w:tcPr>
            <w:tcW w:w="387" w:type="pct"/>
            <w:noWrap w:val="0"/>
            <w:vAlign w:val="center"/>
          </w:tcPr>
          <w:p w14:paraId="3FD9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702C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1.种子净度台台面白光柔和、反射均匀，整体轻巧，放置于桌面，可放大被测物体，用于种子净度检验。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二、种子净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度工作台参数：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1.主机尺寸：≤L550 mm×W400 mm×H150 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2.观察窗尺寸：≤L450mm×W300 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3.放大倍率：母镜5X，子镜处10X；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4.背景灯功率：15W；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5.放大镜灯功率：18W；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6.电源：220V，50HZ。</w:t>
            </w:r>
          </w:p>
        </w:tc>
        <w:tc>
          <w:tcPr>
            <w:tcW w:w="357" w:type="pct"/>
            <w:noWrap/>
            <w:vAlign w:val="center"/>
          </w:tcPr>
          <w:p w14:paraId="786C0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8FB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551" w:type="pct"/>
            <w:noWrap w:val="0"/>
            <w:vAlign w:val="center"/>
          </w:tcPr>
          <w:p w14:paraId="626C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智能考种系统</w:t>
            </w:r>
          </w:p>
        </w:tc>
        <w:tc>
          <w:tcPr>
            <w:tcW w:w="387" w:type="pct"/>
            <w:noWrap w:val="0"/>
            <w:vAlign w:val="center"/>
          </w:tcPr>
          <w:p w14:paraId="13308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 w:val="0"/>
            <w:vAlign w:val="center"/>
          </w:tcPr>
          <w:p w14:paraId="3A94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功能要求</w:t>
            </w:r>
          </w:p>
          <w:p w14:paraId="69A4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数字化考种机是一款快速高精度考种的视觉系统，该系统集成了机器视觉、数字图像处理以及工业控制等先进技术，为育种、分子研究等相关领域提供了一种新型高技术高效率检测手段。可以快速高精度的获取作物种子样品的总粒数、实粒数、结实率、粒长、粒宽、粒面积、粒周长以及千粒重等参数。数据分析软件可实时监测种子检测状态并将数据结果实时的存储到EXCEL中。</w:t>
            </w:r>
          </w:p>
          <w:p w14:paraId="6A8B1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二、技术参数要求</w:t>
            </w:r>
          </w:p>
          <w:p w14:paraId="33D28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1.工作条件</w:t>
            </w:r>
          </w:p>
          <w:p w14:paraId="5A3AF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1.1通风条件良好；</w:t>
            </w:r>
          </w:p>
          <w:p w14:paraId="40BE4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1.2环境温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度：仪器使用温度范围 0~50℃；</w:t>
            </w:r>
          </w:p>
          <w:p w14:paraId="315C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1.3相对湿度：≤70%；</w:t>
            </w:r>
          </w:p>
          <w:p w14:paraId="6A5B1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1.4额定功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率：0.5KW；</w:t>
            </w:r>
          </w:p>
          <w:p w14:paraId="032D5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5避免强电干扰和强磁场干扰。</w:t>
            </w:r>
          </w:p>
          <w:p w14:paraId="42ACE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2.性能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参数要求</w:t>
            </w:r>
          </w:p>
          <w:p w14:paraId="44767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★2.1可测参数：总粒数、实粒数、结实率、粒长、粒宽、粒面积、粒周长、千粒重等；</w:t>
            </w:r>
          </w:p>
          <w:p w14:paraId="484D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★2.2平均误差：≤3%；</w:t>
            </w:r>
          </w:p>
          <w:p w14:paraId="58F6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★2.3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率：100s/单株；</w:t>
            </w:r>
          </w:p>
          <w:p w14:paraId="77D92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2.4检测方式：在线实时采集；</w:t>
            </w:r>
          </w:p>
          <w:p w14:paraId="7195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2.5数据储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存：自动保存为Excel格式；</w:t>
            </w:r>
          </w:p>
          <w:p w14:paraId="47172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2.6可持续工作时长：20h（每天）。</w:t>
            </w:r>
          </w:p>
          <w:p w14:paraId="0D1F5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置要求</w:t>
            </w:r>
          </w:p>
          <w:p w14:paraId="6DC4B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★3.1成像单元像素尺寸：14.08μm；</w:t>
            </w:r>
          </w:p>
          <w:p w14:paraId="5D5A7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3.2成像单元类型：单色线阵列 CCD 相机；</w:t>
            </w:r>
          </w:p>
          <w:p w14:paraId="3CA4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3.3光源：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线阵列 LED 光源；</w:t>
            </w:r>
          </w:p>
          <w:p w14:paraId="3EDC8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3.4电源：单相 220V AC；</w:t>
            </w:r>
          </w:p>
          <w:p w14:paraId="27586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3.5控制装置：Windows PC 控制机柜；</w:t>
            </w:r>
          </w:p>
          <w:p w14:paraId="3911A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★3.6作物籽粒分析软件：在线控制，图像处理，数据分析及储存。</w:t>
            </w:r>
          </w:p>
        </w:tc>
        <w:tc>
          <w:tcPr>
            <w:tcW w:w="357" w:type="pct"/>
            <w:noWrap/>
            <w:vAlign w:val="center"/>
          </w:tcPr>
          <w:p w14:paraId="4D5D0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9B4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51" w:type="pct"/>
            <w:noWrap w:val="0"/>
            <w:vAlign w:val="center"/>
          </w:tcPr>
          <w:p w14:paraId="3C5C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恒温恒压催芽箱</w:t>
            </w:r>
          </w:p>
        </w:tc>
        <w:tc>
          <w:tcPr>
            <w:tcW w:w="387" w:type="pct"/>
            <w:noWrap w:val="0"/>
            <w:vAlign w:val="center"/>
          </w:tcPr>
          <w:p w14:paraId="3BBEA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6E640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备功能要求：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1.配备大屏幕液晶程序控制器，蓝色背光设计，多组数据一屏显示，操作简便、控温精准，支持夜间作业查看。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2.直观显示运行流程，设定温湿度，箱内温湿度，运行时段剩余时间，环境温度及保护温度。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3.可设置内胆保护温度，高于内胆保护温度软硬件自动切断加热电源，保护测试样品。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4.具有超温和传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感器异常保护功能，保证仪器和样品安全，可选配全光谱的植物生长灯，有利于植物的生长，提高抗病性。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5.全内胆不锈钢材质。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6.具备掉电记忆、断电时长自动补偿功能，重启后延续原有工作程序。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7.支持传感器故障自主识别，便于设备检修维护。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1、控温范围：10～50℃；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2、温度分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辨率：0.1℃；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3、温度波动度：±1℃；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4、温度均匀度：±1℃；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5、控湿范围:50%~85%RH；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6、湿度波动度：±5%RH；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7、加热功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率：300-1000W；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8、工作模式：压缩机间歇式连续运行；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9、工作环境：温度0-35℃，无腐蚀性气体；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10、电源：220±22V、50±0.5Hz。</w:t>
            </w:r>
          </w:p>
        </w:tc>
        <w:tc>
          <w:tcPr>
            <w:tcW w:w="357" w:type="pct"/>
            <w:noWrap/>
            <w:vAlign w:val="center"/>
          </w:tcPr>
          <w:p w14:paraId="3442F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CBC8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551" w:type="pct"/>
            <w:noWrap w:val="0"/>
            <w:vAlign w:val="center"/>
          </w:tcPr>
          <w:p w14:paraId="1AE82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种子烘干机</w:t>
            </w:r>
          </w:p>
        </w:tc>
        <w:tc>
          <w:tcPr>
            <w:tcW w:w="387" w:type="pct"/>
            <w:noWrap w:val="0"/>
            <w:vAlign w:val="center"/>
          </w:tcPr>
          <w:p w14:paraId="10EE4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3C5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一、适用范围：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适用于大豆、杂粮、饲料颗粒、药材、果蔬等物料烘干处理，适配种子试验预处理、样品干燥作业。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1.温控范围：30~200℃；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2.机身材质:双层不锈钢；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3.网筛尺寸:直径≥37cm；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4.层距:≥4cm；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5.送风配置：配备专用鼓风机；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6.单次烘干容量：≥60斤；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7.电压:220V；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9.功率：≥2000W。</w:t>
            </w:r>
          </w:p>
        </w:tc>
        <w:tc>
          <w:tcPr>
            <w:tcW w:w="357" w:type="pct"/>
            <w:noWrap/>
            <w:vAlign w:val="center"/>
          </w:tcPr>
          <w:p w14:paraId="1D9D6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C4A2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551" w:type="pct"/>
            <w:noWrap w:val="0"/>
            <w:vAlign w:val="center"/>
          </w:tcPr>
          <w:p w14:paraId="4DED7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光学生物显微镜</w:t>
            </w:r>
          </w:p>
        </w:tc>
        <w:tc>
          <w:tcPr>
            <w:tcW w:w="387" w:type="pct"/>
            <w:noWrap w:val="0"/>
            <w:vAlign w:val="center"/>
          </w:tcPr>
          <w:p w14:paraId="58CF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037544AF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技术参数要求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1.光学系统：无限远光学系统；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2.观察头：30°倾斜铰链式三目头，瞳距调节范围55mm~75mm；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3.目镜：PL10X/22MM；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4.转换器：内向式四孔转换器；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5.物镜：4X、10X、40X、100X；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6.聚光镜：NA1.25；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7.调焦机构：同轴粗微调焦，微调格值≥0.002mm；</w:t>
            </w:r>
          </w:p>
          <w:p w14:paraId="72C34E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8.载物台：双层活动平台，尺寸≥220</w:t>
            </w:r>
            <w:r>
              <w:rPr>
                <w:rFonts w:hint="default" w:ascii="Arial" w:hAnsi="Arial" w:eastAsia="宋体" w:cs="Arial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148mm；</w:t>
            </w:r>
          </w:p>
          <w:p w14:paraId="70F3F8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9.照明方式：可调的照明系统和3WLED灯亮度；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10.存储配置：标配8G Micro SD卡，最大支持64G；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15.电源：DC 5V，2A；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16.示屏尺寸：≥10寸；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18、语言系统：支持中文、英文。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配件要求：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含擦镜纸一包、染色剂一瓶、载玻片50片、盖玻片100片、小刀、滴管、镊子、擦镜布、培养皿、取样针等。</w:t>
            </w:r>
          </w:p>
        </w:tc>
        <w:tc>
          <w:tcPr>
            <w:tcW w:w="357" w:type="pct"/>
            <w:noWrap/>
            <w:vAlign w:val="center"/>
          </w:tcPr>
          <w:p w14:paraId="200A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08E2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551" w:type="pct"/>
            <w:noWrap w:val="0"/>
            <w:vAlign w:val="center"/>
          </w:tcPr>
          <w:p w14:paraId="2B29C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秸秆粉碎机</w:t>
            </w:r>
          </w:p>
        </w:tc>
        <w:tc>
          <w:tcPr>
            <w:tcW w:w="387" w:type="pct"/>
            <w:noWrap w:val="0"/>
            <w:vAlign w:val="center"/>
          </w:tcPr>
          <w:p w14:paraId="7CBF2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26A3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一、技术参数要求: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1.刀片宽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度:200mm；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片配置:三动刀+一静刀组合结构；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3.油箱容量:≥6L；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4.最大粉碎物料直径：≤100mm；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5.刀片转速:≥2500RPM；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6.出料方式：360°旋转可调出料；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7.启动方式:接电使用。</w:t>
            </w:r>
          </w:p>
        </w:tc>
        <w:tc>
          <w:tcPr>
            <w:tcW w:w="357" w:type="pct"/>
            <w:noWrap/>
            <w:vAlign w:val="center"/>
          </w:tcPr>
          <w:p w14:paraId="3B1BA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471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551" w:type="pct"/>
            <w:noWrap w:val="0"/>
            <w:vAlign w:val="center"/>
          </w:tcPr>
          <w:p w14:paraId="541D6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微型植物样品粉碎机</w:t>
            </w:r>
          </w:p>
        </w:tc>
        <w:tc>
          <w:tcPr>
            <w:tcW w:w="387" w:type="pct"/>
            <w:noWrap w:val="0"/>
            <w:vAlign w:val="center"/>
          </w:tcPr>
          <w:p w14:paraId="05D90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6090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1.粉碎方式:切割粉碎+筛网；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2.工作方式：不连续/连续；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3.外壳材质：冷轧钢板静电喷涂；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4.粉碎室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材质：压铸钢；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5.叶片材质：合金钢；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6.可选筛网孔径：0.5mm、1.0mm、1.5mm；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7.粉碎细度：60~120目可调；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.单次投料量：≤50g；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机转速：≥1200r/min；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10.额定功率：0.25kw；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11.工作电源：AC220V/1.1A、50/60Hz；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12.附件：清洁毛刷、保险配件、拆装扳手、备用粉碎叶片。</w:t>
            </w:r>
          </w:p>
        </w:tc>
        <w:tc>
          <w:tcPr>
            <w:tcW w:w="357" w:type="pct"/>
            <w:noWrap/>
            <w:vAlign w:val="center"/>
          </w:tcPr>
          <w:p w14:paraId="1DDB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094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51" w:type="pct"/>
            <w:noWrap w:val="0"/>
            <w:vAlign w:val="center"/>
          </w:tcPr>
          <w:p w14:paraId="0FAA0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电动取土器</w:t>
            </w:r>
          </w:p>
        </w:tc>
        <w:tc>
          <w:tcPr>
            <w:tcW w:w="387" w:type="pct"/>
            <w:noWrap w:val="0"/>
            <w:vAlign w:val="center"/>
          </w:tcPr>
          <w:p w14:paraId="34966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486DC3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1.采样深度：基础采样深度≥1m，可通过加长杆拓展至≥5m，延长杆采用插销式快速连接结构，拆装便捷、连接牢固；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2.动力性能：整机动力充沛，额定输出功率≥1.9kW，空载转速≥7000r/min，钻进扭矩大，适配黏土、壤土、砂土等多类土壤钻进作业；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3.发动机类型：51.2cc排量，风冷单缸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二冲程；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燃油比：标准汽油与二冲程机油配比25:1，适配通用市面燃油耗材，维护便捷；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5.整机重量：主机净重≤10kg，机身轻量化设计，单人可独立操作、野外便携转运；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6.油箱容积：≥1200ml，大容量油箱，单次加满可满足长时间连续取样作业；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7.启动方式：手拉反冲起动；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8.取样管径：标配取样管直径≥51mm，钻头规格可根据试验需求灵活定制更换；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取样结构：采用锯齿式旋转钻头结构，钻进阻力小，取样过程无挤压、无扰动，可完整保留土壤剖面原始分层结构。</w:t>
            </w:r>
          </w:p>
        </w:tc>
        <w:tc>
          <w:tcPr>
            <w:tcW w:w="357" w:type="pct"/>
            <w:noWrap/>
            <w:vAlign w:val="center"/>
          </w:tcPr>
          <w:p w14:paraId="23C37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25D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551" w:type="pct"/>
            <w:noWrap w:val="0"/>
            <w:vAlign w:val="center"/>
          </w:tcPr>
          <w:p w14:paraId="0D6C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土壤检测仪</w:t>
            </w:r>
          </w:p>
        </w:tc>
        <w:tc>
          <w:tcPr>
            <w:tcW w:w="387" w:type="pct"/>
            <w:noWrap w:val="0"/>
            <w:vAlign w:val="center"/>
          </w:tcPr>
          <w:p w14:paraId="79FD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71C46F46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  <w:r>
              <w:rPr>
                <w:lang w:val="en-US" w:eastAsia="zh-CN"/>
              </w:rPr>
              <w:t>检测能力：设备可覆盖土壤养分、肥料养分、作物养分、植株营养、土壤重金属污染等多品类检测，可检测指标丰富，满足农业科研、土壤普查、耕地质量检测、肥料</w:t>
            </w:r>
            <w:r>
              <w:rPr>
                <w:color w:val="0C0C0C"/>
                <w:lang w:val="en-US" w:eastAsia="zh-CN"/>
              </w:rPr>
              <w:t>质检等多场景试验需求。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2、测试误差：土壤氮磷钾误差≤1%，有机质误差≤2%，微量元素相对误差≤5%；肥料单项误差≤0.5%，氮磷钾三项误差≤1%。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3、</w:t>
            </w:r>
            <w:r>
              <w:rPr>
                <w:color w:val="0C0C0C"/>
                <w:lang w:val="en-US" w:eastAsia="zh-CN"/>
              </w:rPr>
              <w:t>设备搭载智能安卓操作系统，采用高</w:t>
            </w:r>
            <w:r>
              <w:rPr>
                <w:lang w:val="en-US" w:eastAsia="zh-CN"/>
              </w:rPr>
              <w:t>性能四核处理器，运行主频高、运算速度快、系统运行稳定，触控操作流畅，可长期连续工作无卡顿。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</w:t>
            </w:r>
            <w:r>
              <w:rPr>
                <w:lang w:val="en-US" w:eastAsia="zh-CN"/>
              </w:rPr>
              <w:t>检测结构：采用高精度光学检测结构，光源一致性好、检测精度高，可有效规避环境干扰，保</w:t>
            </w:r>
            <w:r>
              <w:rPr>
                <w:color w:val="0C0C0C"/>
                <w:lang w:val="en-US" w:eastAsia="zh-CN"/>
              </w:rPr>
              <w:t>障批量样品检测数据一致性。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5、为确保精度，仪器需在420、510、590、680nm波长处各进行不少于3次校准，由省部级及以上计量单位出具报告或证书。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6、检测过程中内置校准功能，智能恒流稳压，光强自动校准，确保检测准确度。数据重复测量，仪器稳定性&lt;0.5%，重复性&lt;0.5%，由省部级及以上计量单位出具报告或证书。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7、仪器标配wifi无线上传、4G联网传输、GPRS无线远传功能，快速上传数据。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8、配有CPF专业级智慧云平台，仪器连入无线网络后，可将检测数据可选择性或批量无线上传，方便用户进行长期数据管理和可视化分析。</w:t>
            </w:r>
          </w:p>
          <w:p w14:paraId="459CC5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9、仪器同时具有USB接口、以太网接口，内置大容量内存，并可随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时用U盘拷贝数据。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10、可用手机随时登录云平台在线移动查看历史数据。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、内置作物专家施肥系统，可对百余种全国农业经济作物、果树等的目标产量计算推荐施肥量，依据施肥配方科学指导农业生产。测土配方施肥结果可打印，打印内容包含：作物种类、肥料种类、目标产量、需求总量、建议施肥方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12、内置植物营养诊断标准图谱，根据各农作物营养缺失的图片，进行叶面对比，诊断丰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13、4波长专业测试冷光源（红、蓝、绿、橙），光源波长稳定，长时间连续工作光源无温漂现象，寿命长达10万小时级别，重现性好，准确度高。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14、高灵敏7寸真彩触摸屏，采用更加高效和人性化操作，高清晰高交互显示，大程度降低传统仪器的繁琐操作和失误。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15、内置时钟功能，方便操作时间记录，长期历史追溯。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16、可设置多账户账号密码登录，高效UI交互界面，不同的用户可自由添加编辑检测信息，保存后可长期使用。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17、GPS功能：可在野外作业时记录经纬度地点，满足特殊用户需求。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18、内置低电压提示功能，可在检测时明确电量，避免测试数据偏移，同时具有断电保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护功能，断电自动保存数据，防止数据丢失。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19、交直流两用供电方式，内置大容量充电锂电池，满电状态下可连续工作10余小时，同时可外接车载电源蓄电。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20.仪器稳定性：一个小时内显示数字无漂移（透光度测量）；两个小时内数字漂移不超过0.3%（0.003，透光度测量）、0.001（吸光度测量）。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21.线性误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差： ≤0.1%（0.001，硫酸铜检测）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22.灵敏度：红光≥4.5 ×10-5  蓝光≥3.17×10-3  绿光≥2.35×10-3  橙光≥2.13×10-3.</w:t>
            </w:r>
          </w:p>
        </w:tc>
        <w:tc>
          <w:tcPr>
            <w:tcW w:w="357" w:type="pct"/>
            <w:noWrap/>
            <w:vAlign w:val="center"/>
          </w:tcPr>
          <w:p w14:paraId="6506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869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51" w:type="pct"/>
            <w:noWrap w:val="0"/>
            <w:vAlign w:val="center"/>
          </w:tcPr>
          <w:p w14:paraId="512A7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喷灌设备</w:t>
            </w:r>
          </w:p>
        </w:tc>
        <w:tc>
          <w:tcPr>
            <w:tcW w:w="387" w:type="pct"/>
            <w:noWrap w:val="0"/>
            <w:vAlign w:val="center"/>
          </w:tcPr>
          <w:p w14:paraId="2E85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/>
            <w:vAlign w:val="center"/>
          </w:tcPr>
          <w:p w14:paraId="55354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一、喷灌范围：适配灌溉面积约80-100亩地块</w:t>
            </w:r>
          </w:p>
          <w:p w14:paraId="6B64B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二、阀控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系统：配置农用专用HDPE控制球阀，公称外径De63，适配田间主管网通断控制，阀体采用全新高密度聚乙烯原料一体成型，无再生料、无杂质，具备抗压、抗冻、防腐蚀、耐老化性能，密封性能优异，开关顺畅无渗漏，适配户外长期露天使用，满足田间管网压力运行要求。</w:t>
            </w:r>
          </w:p>
          <w:p w14:paraId="2A18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、主输水管网系统：</w:t>
            </w:r>
          </w:p>
          <w:p w14:paraId="51868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（1）主管道采用国标HDPE给水管道，公称外径De63，管材韧性强、抗压等级高、耐酸碱腐蚀，适配农田地下/地面铺设场景，抗土壤沉降挤压，长期使用不易破损开裂，满足大田主输水稳压输水需求。</w:t>
            </w:r>
          </w:p>
          <w:p w14:paraId="5BCF8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配套齐全专用管道连接件，包含同规格三通、弯头、法兰、接头、堵头等全套配件，所有配件与主管道材质、压力等级完全匹配，接口密封性强，安装牢固，杜绝管网渗水、漏水、脱管问题，保障管网整体输水稳定性。</w:t>
            </w:r>
          </w:p>
          <w:p w14:paraId="006EB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四、田间灌溉支管及滴灌系统要求</w:t>
            </w:r>
          </w:p>
          <w:p w14:paraId="54C27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（1）田间支管采用国标LDPE灌溉专用管道，公称外径De50，额定压力≥0.6MPa，管材柔韧度高、铺设便捷、抗弯折、耐老化，适配田间地形起伏铺设，适配低压节水灌溉工况。</w:t>
            </w:r>
          </w:p>
          <w:p w14:paraId="0F62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（2）支管配套全套专用安装配件，包含同规格旁通、直通、堵头、固定卡扣、接头等，配件材质与管道同源，适配田间安装施工，保障管网连接紧密、稳压输水。</w:t>
            </w:r>
          </w:p>
          <w:p w14:paraId="27AF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3）滴灌带采用国标内镶贴片式节水滴灌带，壁厚≥0.2mm，滴头间距≥30cm，单滴头流量≥2.0L/h；滴头出水均匀、稳压性好、抗堵塞能力强，具备自清洗功能，可有效避免泥沙堵塞，适配大田常态化节水灌溉，灌溉均匀度高，节水效果显著，适配各类农作物种植灌溉需求。</w:t>
            </w:r>
          </w:p>
          <w:p w14:paraId="6314B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（4）配套完整滴灌带专用安装配件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，适配田间铺设、对接、封堵、固定施工，配件通用性强、适配性好，保障整套滴灌系统完整成型、稳定运行。</w:t>
            </w:r>
          </w:p>
          <w:p w14:paraId="3FBFA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五、运输、安装及调试总体要求</w:t>
            </w:r>
          </w:p>
          <w:p w14:paraId="0D2BF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供应商须负责本项全套设备的出厂运输、现场卸货、场地布设、管网铺设、设备组装、系统对接、整体调试、试运行、验收交付等全部工作；完工后整套系统运行稳定、出水均匀、无渗漏、无堵塞，完全满足大田标准化节水灌溉使用要求，交付后提供完整施工及设备资料，确保项目即装即用、正常投产使用。</w:t>
            </w:r>
          </w:p>
        </w:tc>
        <w:tc>
          <w:tcPr>
            <w:tcW w:w="357" w:type="pct"/>
            <w:noWrap/>
            <w:vAlign w:val="center"/>
          </w:tcPr>
          <w:p w14:paraId="70056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9346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51" w:type="pct"/>
            <w:noWrap w:val="0"/>
            <w:vAlign w:val="center"/>
          </w:tcPr>
          <w:p w14:paraId="3245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土壤速测仪</w:t>
            </w:r>
          </w:p>
        </w:tc>
        <w:tc>
          <w:tcPr>
            <w:tcW w:w="387" w:type="pct"/>
            <w:noWrap w:val="0"/>
            <w:vAlign w:val="center"/>
          </w:tcPr>
          <w:p w14:paraId="692E1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2B8E5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一、技术参数要求：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土壤水分：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1.1土壤容积含水量（%）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（1）范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围：0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-100%；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（2）测量精度：0-50%范围内，±2%；50-100%范围内，±3%；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（3）分辨率：0.1%；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（4）互换精度：&lt;3%；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（5）复测误差：&lt;1%；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（6）响应时间：&lt;1秒；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（7）测量稳定时间：1秒；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（8）测量区域：直径为10cm、高为10cm的圆柱体。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2、土壤温度：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：-40-80℃；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（2）测量精度：±0.5℃；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（3）分辨率：0.1℃。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3、土壤盐分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（1）范围：0-50g/Kg；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（2）测量精度：±5%；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（3）分辨率：0.001g/Kg。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4、土壤电导率：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（1）范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：0-20000us/cm；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（2）测量精度：0-10000us/cm范围内为±3%；10000-20000us/cm范围内为±5%；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）分辨率：0-10000us/cm内10us/cm；100000-20000us/cm内50us/cm。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5、土壤PH：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（1）范围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：0-14；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（2）分辨率：0.01；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（3）测量精度：±0.1；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（4）软件：含上位机软件。</w:t>
            </w:r>
          </w:p>
        </w:tc>
        <w:tc>
          <w:tcPr>
            <w:tcW w:w="357" w:type="pct"/>
            <w:noWrap/>
            <w:vAlign w:val="center"/>
          </w:tcPr>
          <w:p w14:paraId="6937E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264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551" w:type="pct"/>
            <w:noWrap w:val="0"/>
            <w:vAlign w:val="center"/>
          </w:tcPr>
          <w:p w14:paraId="6AA2A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质构仪</w:t>
            </w:r>
          </w:p>
        </w:tc>
        <w:tc>
          <w:tcPr>
            <w:tcW w:w="387" w:type="pct"/>
            <w:noWrap w:val="0"/>
            <w:vAlign w:val="center"/>
          </w:tcPr>
          <w:p w14:paraId="3C62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5431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一、设备功能要求：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1.开机密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码登陆，具分级权限管理功能；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2.高清彩色触摸屏；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.采用S型高精度力量感应元超高速采集芯片；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4.可标准砝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码校正、高精度、高速度解析度、高位移分辩率；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5.精密滚珠丝杠传动，无级调速，运行平稳精准；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6.支持下行速度、位移、保护力值自定义设置，防过载撞击；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7.主机独立完成参数设置、测试、曲线显示、数据存储查询；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8.主机具有数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据存储、查询功能；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9.具有四级权限管理功能，配备GMP软件，整套系统符合GMP要求；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10.软件实现数据可溯源性，实现多级权限管理、审计追踪、电子签名等功能；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11.具备限位保护、过载保护、自动回位以及掉电记忆等智能配置，有效保证用户的操作安全。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三、技术参数要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1.力量感应元：25kg；(5kg、10kg、20kg、50kg可选）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2.力量感应元精度：0.01N；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3.力量精度：0.01N，示值准确度±0.5%FS；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4.位移行程：0 ~ 300 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5.位移精度:0.01 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6.测试模式：单次、循环、TPA质构、压缩、穿刺、拉伸、剪切等；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7.电源：220VAC±10%、50Hz。</w:t>
            </w:r>
          </w:p>
        </w:tc>
        <w:tc>
          <w:tcPr>
            <w:tcW w:w="357" w:type="pct"/>
            <w:noWrap/>
            <w:vAlign w:val="center"/>
          </w:tcPr>
          <w:p w14:paraId="59945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F95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51" w:type="pct"/>
            <w:noWrap w:val="0"/>
            <w:vAlign w:val="center"/>
          </w:tcPr>
          <w:p w14:paraId="53A62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探头与通用接杆</w:t>
            </w:r>
          </w:p>
        </w:tc>
        <w:tc>
          <w:tcPr>
            <w:tcW w:w="387" w:type="pct"/>
            <w:noWrap/>
            <w:vAlign w:val="center"/>
          </w:tcPr>
          <w:p w14:paraId="5092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/>
            <w:vAlign w:val="center"/>
          </w:tcPr>
          <w:p w14:paraId="120F5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适配质构仪专用，36mm柱形检测探头及通用接杆，匹配主机检测参数，满足大豆样品质构常规检测需求。</w:t>
            </w:r>
          </w:p>
        </w:tc>
        <w:tc>
          <w:tcPr>
            <w:tcW w:w="357" w:type="pct"/>
            <w:noWrap/>
            <w:vAlign w:val="center"/>
          </w:tcPr>
          <w:p w14:paraId="45550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70D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51" w:type="pct"/>
            <w:noWrap w:val="0"/>
            <w:vAlign w:val="center"/>
          </w:tcPr>
          <w:p w14:paraId="4E062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切刀探头+操作台</w:t>
            </w:r>
          </w:p>
        </w:tc>
        <w:tc>
          <w:tcPr>
            <w:tcW w:w="387" w:type="pct"/>
            <w:noWrap/>
            <w:vAlign w:val="center"/>
          </w:tcPr>
          <w:p w14:paraId="1308A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/>
            <w:vAlign w:val="center"/>
          </w:tcPr>
          <w:p w14:paraId="192A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质构仪专用配套组件，含定制切刀探头与专用检测操作台，适配大豆籽粒、植株剪切特性检测。</w:t>
            </w:r>
          </w:p>
        </w:tc>
        <w:tc>
          <w:tcPr>
            <w:tcW w:w="357" w:type="pct"/>
            <w:noWrap/>
            <w:vAlign w:val="center"/>
          </w:tcPr>
          <w:p w14:paraId="71EC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959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551" w:type="pct"/>
            <w:noWrap w:val="0"/>
            <w:vAlign w:val="center"/>
          </w:tcPr>
          <w:p w14:paraId="60843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水分检测仪</w:t>
            </w:r>
          </w:p>
        </w:tc>
        <w:tc>
          <w:tcPr>
            <w:tcW w:w="387" w:type="pct"/>
            <w:noWrap w:val="0"/>
            <w:vAlign w:val="center"/>
          </w:tcPr>
          <w:p w14:paraId="0022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59C78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功能要求：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1.超大离分辨率肯亮点阵液品显示屏，便于在暗处操作，视觉更舒适。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2.触摸屏触控操作，参数设置、检测操作简便高效。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3.配备高精度隔热传感器，温度采集精准稳定。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4.采用卤素灯加热干燥，升温迅速，测试时间短。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5.在测试过程中，可直接确认干燥的状态，推测结束时间。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6.支持自动去皮、零点漂移校正，检测数据精准。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7.内置RS232输出接口，可连接计算机、打印机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等外围设备。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1.最大称量值：50g；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2.可读性：5mg；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3.重复性误差(3g样品)：0.2%；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4.最小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样品量：1g；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5.可适用样品量：3-10g；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6.加热时间：1-99分钟（可调）；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7.通讯接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口：USB；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8.终点控制：定时、自动、手动三模式；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9.加热温度范围：60-160℃；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10.加热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灯:卤素灯；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11.显示内容：日期等；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12.秤盘尺寸：≥100mm。</w:t>
            </w:r>
          </w:p>
        </w:tc>
        <w:tc>
          <w:tcPr>
            <w:tcW w:w="357" w:type="pct"/>
            <w:noWrap/>
            <w:vAlign w:val="center"/>
          </w:tcPr>
          <w:p w14:paraId="0DC5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CC3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9" w:hRule="atLeast"/>
          <w:jc w:val="center"/>
        </w:trPr>
        <w:tc>
          <w:tcPr>
            <w:tcW w:w="551" w:type="pct"/>
            <w:noWrap w:val="0"/>
            <w:vAlign w:val="center"/>
          </w:tcPr>
          <w:p w14:paraId="22444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电热鼓风干燥箱</w:t>
            </w:r>
          </w:p>
        </w:tc>
        <w:tc>
          <w:tcPr>
            <w:tcW w:w="387" w:type="pct"/>
            <w:noWrap w:val="0"/>
            <w:vAlign w:val="center"/>
          </w:tcPr>
          <w:p w14:paraId="07F0A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67AFC4A0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备功能要求：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1.外壳优质冷轧钢板静电喷涂，坚固防锈、外观规整；</w:t>
            </w:r>
          </w:p>
          <w:p w14:paraId="034BE0F7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内胆不锈钢/镀锌钢板材质，耐高温、耐腐蚀、无油烟；</w:t>
            </w:r>
          </w:p>
          <w:p w14:paraId="5D2DB475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强制鼓风循环结构，箱内温度均匀稳定；</w:t>
            </w:r>
          </w:p>
          <w:p w14:paraId="42D99921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可抽拉式网架，物料存放空间灵活可调；</w:t>
            </w:r>
          </w:p>
          <w:p w14:paraId="5DD8ADFF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双层钢化玻璃观察窗，可实时观察样品烘干状态；</w:t>
            </w:r>
          </w:p>
          <w:p w14:paraId="46E7A3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6.微电脑智能控温，无触点电路控制，低噪音、高可靠，具备超温报警、自动断电保护功能。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1.工作电源：AC220V、50HZ；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2.控温范围：室温+10℃~250℃；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3.温度波动度 (℃)：±1；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4.功率(KW)：≤2；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5.容积(L)：≥70；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6.搁板负荷（KG）：≥15（标配2块）；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7.最大隔板数量（个）：≥7；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8.搁板间距（mm）：≤50。</w:t>
            </w:r>
          </w:p>
        </w:tc>
        <w:tc>
          <w:tcPr>
            <w:tcW w:w="357" w:type="pct"/>
            <w:noWrap/>
            <w:vAlign w:val="center"/>
          </w:tcPr>
          <w:p w14:paraId="74D1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7EE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  <w:jc w:val="center"/>
        </w:trPr>
        <w:tc>
          <w:tcPr>
            <w:tcW w:w="551" w:type="pct"/>
            <w:noWrap w:val="0"/>
            <w:vAlign w:val="center"/>
          </w:tcPr>
          <w:p w14:paraId="002F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冰箱</w:t>
            </w:r>
          </w:p>
        </w:tc>
        <w:tc>
          <w:tcPr>
            <w:tcW w:w="387" w:type="pct"/>
            <w:noWrap w:val="0"/>
            <w:vAlign w:val="center"/>
          </w:tcPr>
          <w:p w14:paraId="328D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068BE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、技术参数要求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1.总容量(L)：≥450；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2.面板材质：钣金；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3.额定电压/频率：220V/50Hz；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5.日均耗电量：≤</w:t>
            </w:r>
            <w:r>
              <w:rPr>
                <w:rFonts w:hint="eastAsia" w:ascii="宋体" w:hAnsi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kW·h/24h；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6.能效等级：1级节能；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7.压缩机类型：变频；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8.运行噪音：≤40dB(A)。</w:t>
            </w:r>
          </w:p>
        </w:tc>
        <w:tc>
          <w:tcPr>
            <w:tcW w:w="357" w:type="pct"/>
            <w:noWrap/>
            <w:vAlign w:val="center"/>
          </w:tcPr>
          <w:p w14:paraId="57C0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C585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1" w:type="pct"/>
            <w:noWrap w:val="0"/>
            <w:vAlign w:val="center"/>
          </w:tcPr>
          <w:p w14:paraId="645E0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陈列分光测色仪</w:t>
            </w:r>
          </w:p>
        </w:tc>
        <w:tc>
          <w:tcPr>
            <w:tcW w:w="387" w:type="pct"/>
            <w:noWrap w:val="0"/>
            <w:vAlign w:val="center"/>
          </w:tcPr>
          <w:p w14:paraId="29C0D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4D2DD51B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备要求：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1.硅光二极管阵列传感器；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2.采用全波段均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衡LED光源+UV光源。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三、技术参数要求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1.照明方式:D/8(漫射照明，8°方向接收)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2.照明光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源：组合全光谱LED光源，UV光源；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3.积分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球尺寸：Ф40mm；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4.感应器：光电二极管阵列；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5.测量波长范围：400~700nm；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6.波长间隔：10nm；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7.观察者角度：2°/10°；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18.显示：光谱图/数据，样品色度值，色差值/图，合格/不合格结果，颜色仿真，顏色偏向；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19.测量时间：≤2s；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23.测量方式：单次测量；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28.电池电量：锂电池；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31.接口：USB、蓝牙；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储数据：标样≥100条；</w:t>
            </w:r>
          </w:p>
          <w:p w14:paraId="5F5BE3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34.语言：简体中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文、English；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35.配备附件：电源适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配器、数据线、说明书、黑白校正盒、保护盖、腕带、测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量口径。</w:t>
            </w:r>
          </w:p>
        </w:tc>
        <w:tc>
          <w:tcPr>
            <w:tcW w:w="357" w:type="pct"/>
            <w:noWrap/>
            <w:vAlign w:val="center"/>
          </w:tcPr>
          <w:p w14:paraId="6944D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8FCF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51" w:type="pct"/>
            <w:noWrap w:val="0"/>
            <w:vAlign w:val="center"/>
          </w:tcPr>
          <w:p w14:paraId="2940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履带式无人农机</w:t>
            </w:r>
          </w:p>
        </w:tc>
        <w:tc>
          <w:tcPr>
            <w:tcW w:w="387" w:type="pct"/>
            <w:noWrap w:val="0"/>
            <w:vAlign w:val="center"/>
          </w:tcPr>
          <w:p w14:paraId="0E8E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3703" w:type="pct"/>
            <w:noWrap w:val="0"/>
            <w:vAlign w:val="center"/>
          </w:tcPr>
          <w:p w14:paraId="7553E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参数要求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1.配套动力额定（标定）功率：4.3kW；（标定功率：4.3kW）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2.配套动力额定（标定）转速：3700r/min；（标定转速：3700r/min）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3.电池：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（1）类型：锂电池；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（2）电压：60V；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（3）容量：400A·H；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.作业幅宽：120cm；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5.续航能力（时长）：6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～12h；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6.充电时长：8～10h；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7.最小离地间隙：200mm；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8.工作部件传动方式：齿轮传动；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9.外接工作部装置联接方式：快速悬挂；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带部分：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(1)轨距:770mm；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(2)履带节距:72mm；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(3)履带节数:40节Knot；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(4)履带宽:180mm。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二、主机配置清单要求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1.主机系统: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（1）履带式底盘1套:胶履带，轨距可调；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（2）电动驱动系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统1套:同步电机，额定功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率≥1.8kW；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（3）动力电池组1套:锂电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池，电量≥24kWh。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2.基础控制: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（1）车载控制器1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套:具备CAN总线通信；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（2）手持遥控器1台：工业级，控制距离≥200米。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3.标准附件：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（1）悬挂系统1套；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（2）基本安全系统1套：声光报警、急停按钮、防护栏。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三、作业附件清单要求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（1）旋耕机头1套：可调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节旋耕机头，耕深15-28CM，作业幅宽1200mm；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（2）除草机头1套：除草机头，作业幅宽120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（3）开沟刀1套：开沟刀，开沟宽≤300mm、深≤250mm；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（4）起垄刀组1套：起垄高≤300mm，起垄宽500mm/1000mm可调；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（5）撒肥机头1套：悬挂型撒肥机，最大容积120L，抛洒范围1-2米可调；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（6）播种机头1套：可调节多功能播种系统，效率：4-6/亩每小时。播种行数： 5行可调节。播种行距20-25厘米可调。播种箱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容积50L。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播种量：2-10KG每亩可调。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售后服务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设备主机质保2年，主机核心部件包含但不限于电池、电机、控制器。工作部件质保1年（如旋耕机头、除草机头等）。</w:t>
            </w:r>
          </w:p>
        </w:tc>
        <w:tc>
          <w:tcPr>
            <w:tcW w:w="357" w:type="pct"/>
            <w:noWrap/>
            <w:vAlign w:val="center"/>
          </w:tcPr>
          <w:p w14:paraId="5816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C07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0" w:hRule="atLeast"/>
          <w:jc w:val="center"/>
        </w:trPr>
        <w:tc>
          <w:tcPr>
            <w:tcW w:w="551" w:type="pct"/>
            <w:noWrap w:val="0"/>
            <w:vAlign w:val="center"/>
          </w:tcPr>
          <w:p w14:paraId="2B13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收割机</w:t>
            </w:r>
          </w:p>
        </w:tc>
        <w:tc>
          <w:tcPr>
            <w:tcW w:w="387" w:type="pct"/>
            <w:noWrap w:val="0"/>
            <w:vAlign w:val="center"/>
          </w:tcPr>
          <w:p w14:paraId="7A973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37F0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总体技术参数要求：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1.粮仓容量(L):≥1000；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2.油箱容量:≥50L；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3.割幅:≥1450L；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4.转速:≥2400r/min；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5.额定功率（马力）:≤70(60kW)PS；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6.排气量:≥2L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7.结构质量kg:≦3200kg；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8.整机外形尺寸:≥4200x1950x2500m。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部技术参数要求：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1.履带宽(mm)：≤450；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2.节数：≤50；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3.接地长(mm)：≤1440mm；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4.轨距(mm)：≥1000mm；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5.平均接地压(使用质量时)(kPa)：≤21.9；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6.最小离地间隙(mm)：195；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7.变速箱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类型：机械变速+液压无级变速(HST)；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8.理论作业速度(km/h)：低速:0~3.96、标准:0~5.40、行走:0~7.20；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9.最高车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速(m/s)：2.0。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脱粒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部技术参数要求: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1.脱粒滚筒直径(mm):Ф424；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2.脱粒滚筒长度(mm):≤900。</w:t>
            </w:r>
          </w:p>
        </w:tc>
        <w:tc>
          <w:tcPr>
            <w:tcW w:w="357" w:type="pct"/>
            <w:noWrap/>
            <w:vAlign w:val="center"/>
          </w:tcPr>
          <w:p w14:paraId="726B8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3E8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51" w:type="pct"/>
            <w:noWrap w:val="0"/>
            <w:vAlign w:val="center"/>
          </w:tcPr>
          <w:p w14:paraId="47D0E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遥控喷雾器打药机</w:t>
            </w:r>
          </w:p>
        </w:tc>
        <w:tc>
          <w:tcPr>
            <w:tcW w:w="387" w:type="pct"/>
            <w:noWrap w:val="0"/>
            <w:vAlign w:val="center"/>
          </w:tcPr>
          <w:p w14:paraId="7E77D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65C8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1.发动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机：柴油机；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2.启动方式：手拉/电启动；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3.马力：≥7.5HP；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4.遥控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距离：300-500米；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5.直连泵：三缸柱塞泵；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6.直喷距离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：8-10米；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7.雾喷距离：5-6米；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8.高压软管：≥50米；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9.配件：进水管、出水管、过滤管、调节阀门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、生料带、链接把手、机油</w:t>
            </w:r>
            <w:r>
              <w:rPr>
                <w:rFonts w:hint="default" w:ascii="Arial" w:hAnsi="Arial" w:eastAsia="宋体" w:cs="Arial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、遥控器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、3嘴喷杆、加长杆、直喷。</w:t>
            </w:r>
          </w:p>
        </w:tc>
        <w:tc>
          <w:tcPr>
            <w:tcW w:w="357" w:type="pct"/>
            <w:noWrap/>
            <w:vAlign w:val="center"/>
          </w:tcPr>
          <w:p w14:paraId="0C0E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2C0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  <w:jc w:val="center"/>
        </w:trPr>
        <w:tc>
          <w:tcPr>
            <w:tcW w:w="551" w:type="pct"/>
            <w:noWrap w:val="0"/>
            <w:vAlign w:val="center"/>
          </w:tcPr>
          <w:p w14:paraId="6144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微耕机</w:t>
            </w:r>
          </w:p>
        </w:tc>
        <w:tc>
          <w:tcPr>
            <w:tcW w:w="387" w:type="pct"/>
            <w:noWrap w:val="0"/>
            <w:vAlign w:val="center"/>
          </w:tcPr>
          <w:p w14:paraId="02FCF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703" w:type="pct"/>
            <w:noWrap w:val="0"/>
            <w:vAlign w:val="center"/>
          </w:tcPr>
          <w:p w14:paraId="1A16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一、技术参数要求：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1功率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：≥4.0KW；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2.发动机类型：四冲程；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3.排量：≥140CC；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4.发动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机转速：3600r/min；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5.油箱容量：≥1L；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C0C0C"/>
                <w:kern w:val="0"/>
                <w:sz w:val="21"/>
                <w:szCs w:val="21"/>
                <w:u w:val="none"/>
                <w:lang w:val="en-US" w:eastAsia="zh-CN" w:bidi="ar"/>
              </w:rPr>
              <w:t>6.耕地宽度：40-60C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7.耕地深度：20cm；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8.工作头：犁头、除草轮、开沟刀。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二、配件：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机油、机油量杯、加油漏斗、螺丝刀、套筒扳手、套筒螺丝刀、六角扳手、火花塞、两用扳手。</w:t>
            </w:r>
          </w:p>
        </w:tc>
        <w:tc>
          <w:tcPr>
            <w:tcW w:w="357" w:type="pct"/>
            <w:noWrap/>
            <w:vAlign w:val="center"/>
          </w:tcPr>
          <w:p w14:paraId="408B3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18847015">
      <w:pPr>
        <w:numPr>
          <w:ilvl w:val="0"/>
          <w:numId w:val="2"/>
        </w:numPr>
        <w:adjustRightInd w:val="0"/>
        <w:snapToGrid w:val="0"/>
        <w:spacing w:beforeLines="50" w:line="360" w:lineRule="auto"/>
        <w:ind w:left="0" w:leftChars="0" w:firstLine="0" w:firstLineChars="0"/>
        <w:rPr>
          <w:rFonts w:hint="eastAsia"/>
          <w:b/>
          <w:bCs/>
          <w:color w:val="0C0C0C"/>
          <w:lang w:eastAsia="zh-CN"/>
        </w:rPr>
      </w:pPr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采购标的的数量、采购项目交付或者实施的时间和地点</w:t>
      </w:r>
    </w:p>
    <w:p w14:paraId="23B3C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C0C0C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color w:val="0C0C0C"/>
          <w:sz w:val="21"/>
          <w:szCs w:val="24"/>
          <w:lang w:val="en-US" w:eastAsia="zh-CN"/>
        </w:rPr>
        <w:t>4.1</w:t>
      </w:r>
      <w:r>
        <w:rPr>
          <w:rFonts w:hint="eastAsia"/>
          <w:b w:val="0"/>
          <w:bCs w:val="0"/>
          <w:color w:val="0C0C0C"/>
          <w:sz w:val="21"/>
          <w:szCs w:val="24"/>
          <w:lang w:eastAsia="zh-CN"/>
        </w:rPr>
        <w:t>本项目的采购数量：见</w:t>
      </w:r>
      <w:r>
        <w:rPr>
          <w:rFonts w:hint="eastAsia"/>
          <w:b w:val="0"/>
          <w:bCs w:val="0"/>
          <w:color w:val="0C0C0C"/>
          <w:sz w:val="21"/>
          <w:szCs w:val="24"/>
          <w:lang w:val="en-US" w:eastAsia="zh-CN"/>
        </w:rPr>
        <w:t>本章本节第三大点第3.2款的表格内容</w:t>
      </w:r>
      <w:r>
        <w:rPr>
          <w:rFonts w:hint="eastAsia"/>
          <w:color w:val="0C0C0C"/>
          <w:sz w:val="21"/>
          <w:szCs w:val="24"/>
          <w:lang w:val="en-US" w:eastAsia="zh-CN"/>
        </w:rPr>
        <w:t>。</w:t>
      </w:r>
    </w:p>
    <w:p w14:paraId="0D54F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eastAsia="宋体"/>
          <w:color w:val="FF0000"/>
          <w:sz w:val="21"/>
          <w:szCs w:val="24"/>
          <w:lang w:val="en-US" w:eastAsia="zh-CN"/>
        </w:rPr>
      </w:pPr>
      <w:r>
        <w:rPr>
          <w:rFonts w:hint="eastAsia"/>
          <w:color w:val="0C0C0C"/>
          <w:sz w:val="21"/>
          <w:szCs w:val="24"/>
          <w:lang w:val="en-US" w:eastAsia="zh-CN"/>
        </w:rPr>
        <w:t>4.2</w:t>
      </w:r>
      <w:r>
        <w:rPr>
          <w:rFonts w:hint="eastAsia"/>
          <w:color w:val="0C0C0C"/>
          <w:sz w:val="21"/>
          <w:szCs w:val="24"/>
          <w:lang w:eastAsia="zh-CN"/>
        </w:rPr>
        <w:t>交付</w:t>
      </w:r>
      <w:r>
        <w:rPr>
          <w:rFonts w:hint="eastAsia"/>
          <w:color w:val="0C0C0C"/>
          <w:sz w:val="21"/>
          <w:szCs w:val="24"/>
        </w:rPr>
        <w:t>时间：</w:t>
      </w:r>
      <w:r>
        <w:rPr>
          <w:rFonts w:hint="eastAsia"/>
          <w:color w:val="0C0C0C"/>
          <w:sz w:val="21"/>
          <w:szCs w:val="24"/>
          <w:lang w:eastAsia="zh-CN"/>
        </w:rPr>
        <w:t>合同签订生效后30个工作日内完成全部设备交付工作</w:t>
      </w:r>
      <w:r>
        <w:rPr>
          <w:rFonts w:hint="eastAsia"/>
          <w:color w:val="0C0C0C"/>
          <w:sz w:val="21"/>
          <w:szCs w:val="24"/>
          <w:lang w:val="en-US" w:eastAsia="zh-CN"/>
        </w:rPr>
        <w:t>。因成交供应商自身原因造成工期延误的，按合同约定承担逾期违约责任。</w:t>
      </w:r>
    </w:p>
    <w:p w14:paraId="6851D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color w:val="0C0C0C"/>
          <w:sz w:val="21"/>
          <w:szCs w:val="24"/>
          <w:lang w:eastAsia="zh-CN"/>
        </w:rPr>
      </w:pPr>
      <w:r>
        <w:rPr>
          <w:rFonts w:hint="eastAsia"/>
          <w:color w:val="0C0C0C"/>
          <w:sz w:val="21"/>
          <w:szCs w:val="24"/>
          <w:lang w:val="en-US" w:eastAsia="zh-CN"/>
        </w:rPr>
        <w:t>4.3项目</w:t>
      </w:r>
      <w:r>
        <w:rPr>
          <w:rFonts w:hint="eastAsia"/>
          <w:color w:val="0C0C0C"/>
          <w:sz w:val="21"/>
          <w:szCs w:val="24"/>
          <w:lang w:eastAsia="zh-CN"/>
        </w:rPr>
        <w:t>交付地点：岳阳市农业科学研究院</w:t>
      </w:r>
      <w:r>
        <w:rPr>
          <w:rFonts w:hint="eastAsia" w:ascii="宋体" w:hAnsi="宋体" w:eastAsia="宋体"/>
          <w:color w:val="0C0C0C"/>
          <w:szCs w:val="21"/>
          <w:lang w:val="en-US" w:eastAsia="zh-CN"/>
        </w:rPr>
        <w:t>。</w:t>
      </w:r>
    </w:p>
    <w:p w14:paraId="4646068B">
      <w:pPr>
        <w:adjustRightInd w:val="0"/>
        <w:snapToGrid w:val="0"/>
        <w:spacing w:beforeLines="50" w:line="360" w:lineRule="auto"/>
        <w:rPr>
          <w:rFonts w:hint="eastAsia"/>
          <w:color w:val="0C0C0C"/>
        </w:rPr>
      </w:pPr>
      <w:r>
        <w:rPr>
          <w:rFonts w:hint="eastAsia" w:ascii="宋体" w:hAnsi="宋体"/>
          <w:b/>
          <w:bCs/>
          <w:color w:val="0C0C0C"/>
          <w:szCs w:val="21"/>
        </w:rPr>
        <w:t>五、</w:t>
      </w:r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采购标的的验收标准</w:t>
      </w:r>
    </w:p>
    <w:p w14:paraId="29BCE3F9">
      <w:pPr>
        <w:pStyle w:val="4"/>
        <w:autoSpaceDE w:val="0"/>
        <w:spacing w:line="360" w:lineRule="auto"/>
        <w:ind w:firstLine="420" w:firstLineChars="200"/>
        <w:rPr>
          <w:rFonts w:hint="eastAsia" w:ascii="宋体" w:hAnsi="宋体" w:eastAsia="宋体"/>
          <w:color w:val="0C0C0C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0C0C0C"/>
          <w:kern w:val="2"/>
          <w:sz w:val="21"/>
          <w:szCs w:val="24"/>
          <w:lang w:val="en-US" w:eastAsia="zh-CN" w:bidi="ar-SA"/>
        </w:rPr>
        <w:t>5.1</w:t>
      </w:r>
      <w:r>
        <w:rPr>
          <w:rFonts w:hint="eastAsia" w:ascii="宋体" w:hAnsi="宋体" w:eastAsia="宋体"/>
          <w:color w:val="000000"/>
          <w:szCs w:val="21"/>
          <w:lang w:eastAsia="zh-CN"/>
        </w:rPr>
        <w:t>验收标准</w:t>
      </w:r>
      <w:r>
        <w:rPr>
          <w:rFonts w:hint="eastAsia" w:ascii="宋体" w:hAnsi="宋体" w:eastAsia="宋体"/>
          <w:color w:val="0C0C0C"/>
          <w:szCs w:val="21"/>
          <w:lang w:eastAsia="zh-CN"/>
        </w:rPr>
        <w:t>：</w:t>
      </w:r>
      <w:r>
        <w:rPr>
          <w:rFonts w:hint="eastAsia" w:ascii="宋体" w:hAnsi="宋体" w:eastAsia="宋体"/>
          <w:color w:val="0C0C0C"/>
          <w:szCs w:val="21"/>
          <w:lang w:val="en-US" w:eastAsia="zh-CN"/>
        </w:rPr>
        <w:t>本项目履约验收以谈判文件采购需求、成交响应文件及政府采购合同为法定依据，严格遵照国家及行业现行标准规范执行，合同签订及履约期间双方不得擅自变更、删减、降低既定采购标准；项目所有设备、管材及配套产品须为全新原装合格正品，外观完好、资料齐全、安装施工规范、运行安全稳定且满足项目实际使用需求，整体交付达标方可验收合格，若出现质量不达标、参数不符、功能缺失、施工缺陷、资料不全等履约不合格情况，采购人有权拒绝验收及付款，责令供应商无条件免费整改、返工或换货，由此产生的所有费用、工期损失及全部违约责任均由成交供应商承担，拒不整改的，采购人有权单方解除合同并依规追责</w:t>
      </w:r>
      <w:r>
        <w:rPr>
          <w:rFonts w:hint="eastAsia" w:ascii="宋体" w:hAnsi="宋体" w:eastAsia="宋体"/>
          <w:color w:val="0C0C0C"/>
          <w:szCs w:val="21"/>
          <w:lang w:eastAsia="zh-CN"/>
        </w:rPr>
        <w:t>。验收方法：现场验收。</w:t>
      </w:r>
    </w:p>
    <w:p w14:paraId="6BB3DE6B">
      <w:pPr>
        <w:pStyle w:val="4"/>
        <w:autoSpaceDE w:val="0"/>
        <w:spacing w:line="360" w:lineRule="auto"/>
        <w:ind w:firstLine="420" w:firstLineChars="200"/>
        <w:rPr>
          <w:color w:val="000000"/>
        </w:rPr>
      </w:pPr>
      <w:r>
        <w:rPr>
          <w:rFonts w:hint="eastAsia" w:ascii="Times New Roman" w:hAnsi="Times New Roman" w:eastAsia="宋体" w:cs="Times New Roman"/>
          <w:color w:val="0C0C0C"/>
          <w:kern w:val="2"/>
          <w:sz w:val="21"/>
          <w:szCs w:val="24"/>
          <w:lang w:val="en-US" w:eastAsia="zh-CN" w:bidi="ar-SA"/>
        </w:rPr>
        <w:t>5.2由于成交方原因致使</w:t>
      </w:r>
      <w:r>
        <w:rPr>
          <w:rFonts w:hint="eastAsia" w:ascii="宋体" w:hAnsi="宋体"/>
          <w:color w:val="0C0C0C"/>
          <w:szCs w:val="21"/>
        </w:rPr>
        <w:t>项目验收不合格</w:t>
      </w:r>
      <w:r>
        <w:rPr>
          <w:rFonts w:hint="eastAsia" w:ascii="宋体" w:hAnsi="宋体"/>
          <w:color w:val="0C0C0C"/>
          <w:szCs w:val="21"/>
          <w:lang w:eastAsia="zh-CN"/>
        </w:rPr>
        <w:t>的</w:t>
      </w:r>
      <w:r>
        <w:rPr>
          <w:rFonts w:hint="eastAsia" w:ascii="宋体" w:hAnsi="宋体"/>
          <w:color w:val="0C0C0C"/>
          <w:szCs w:val="21"/>
        </w:rPr>
        <w:t>，由</w:t>
      </w:r>
      <w:r>
        <w:rPr>
          <w:rFonts w:hint="eastAsia" w:ascii="宋体" w:hAnsi="宋体"/>
          <w:color w:val="0C0C0C"/>
          <w:szCs w:val="21"/>
          <w:lang w:eastAsia="zh-CN"/>
        </w:rPr>
        <w:t>成交方</w:t>
      </w:r>
      <w:r>
        <w:rPr>
          <w:rFonts w:hint="eastAsia" w:ascii="宋体" w:hAnsi="宋体"/>
          <w:color w:val="0C0C0C"/>
          <w:szCs w:val="21"/>
        </w:rPr>
        <w:t>返工直至合格为止，有关返工、再行验收，以及给采购人造成的损失等费用由</w:t>
      </w:r>
      <w:r>
        <w:rPr>
          <w:rFonts w:hint="eastAsia" w:ascii="宋体" w:hAnsi="宋体"/>
          <w:color w:val="0C0C0C"/>
          <w:szCs w:val="21"/>
          <w:lang w:eastAsia="zh-CN"/>
        </w:rPr>
        <w:t>成交方</w:t>
      </w:r>
      <w:r>
        <w:rPr>
          <w:rFonts w:hint="eastAsia" w:ascii="宋体" w:hAnsi="宋体"/>
          <w:color w:val="0C0C0C"/>
          <w:szCs w:val="21"/>
        </w:rPr>
        <w:t>承担。</w:t>
      </w:r>
    </w:p>
    <w:p w14:paraId="3BF58BE9">
      <w:pPr>
        <w:numPr>
          <w:ilvl w:val="0"/>
          <w:numId w:val="0"/>
        </w:numPr>
        <w:adjustRightInd w:val="0"/>
        <w:snapToGrid w:val="0"/>
        <w:spacing w:beforeLines="50" w:line="360" w:lineRule="auto"/>
        <w:ind w:leftChars="0"/>
        <w:rPr>
          <w:rFonts w:hint="eastAsia" w:ascii="宋体" w:hAnsi="宋体" w:cs="宋体"/>
          <w:color w:val="0C0C0C"/>
          <w:kern w:val="0"/>
          <w:szCs w:val="21"/>
        </w:rPr>
      </w:pPr>
      <w:r>
        <w:rPr>
          <w:rFonts w:hint="eastAsia" w:ascii="宋体" w:hAnsi="宋体" w:cs="宋体"/>
          <w:b/>
          <w:bCs/>
          <w:color w:val="0C0C0C"/>
          <w:kern w:val="0"/>
          <w:szCs w:val="21"/>
          <w:lang w:eastAsia="zh-CN"/>
        </w:rPr>
        <w:t>六、</w:t>
      </w:r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采购标的需满足的服务标准、期限、效率等要求</w:t>
      </w:r>
      <w:r>
        <w:rPr>
          <w:rFonts w:hint="eastAsia" w:ascii="宋体" w:hAnsi="宋体" w:cs="宋体"/>
          <w:color w:val="0C0C0C"/>
          <w:kern w:val="0"/>
          <w:szCs w:val="21"/>
        </w:rPr>
        <w:t>；</w:t>
      </w:r>
    </w:p>
    <w:p w14:paraId="6F4B0C4E">
      <w:pPr>
        <w:spacing w:line="360" w:lineRule="auto"/>
        <w:ind w:firstLine="420" w:firstLineChars="2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00000"/>
          <w:lang w:val="en-US" w:eastAsia="zh-CN"/>
        </w:rPr>
        <w:t>6.</w:t>
      </w:r>
      <w:r>
        <w:rPr>
          <w:rFonts w:hint="eastAsia" w:ascii="宋体" w:hAnsi="宋体" w:cs="宋体"/>
          <w:color w:val="0C0C0C"/>
          <w:lang w:val="en-US" w:eastAsia="zh-CN"/>
        </w:rPr>
        <w:t>1质保</w:t>
      </w:r>
      <w:r>
        <w:rPr>
          <w:rFonts w:hint="eastAsia" w:ascii="宋体" w:hAnsi="宋体" w:cs="宋体"/>
          <w:color w:val="0C0C0C"/>
        </w:rPr>
        <w:t>服务期限要求</w:t>
      </w:r>
    </w:p>
    <w:p w14:paraId="30E11C08">
      <w:pPr>
        <w:spacing w:line="360" w:lineRule="auto"/>
        <w:ind w:firstLine="210" w:firstLineChars="1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C0C0C"/>
          <w:lang w:eastAsia="zh-CN"/>
        </w:rPr>
        <w:t>（</w:t>
      </w:r>
      <w:r>
        <w:rPr>
          <w:rFonts w:hint="eastAsia" w:ascii="宋体" w:hAnsi="宋体" w:cs="宋体"/>
          <w:color w:val="0C0C0C"/>
          <w:lang w:val="en-US" w:eastAsia="zh-CN"/>
        </w:rPr>
        <w:t>1</w:t>
      </w:r>
      <w:r>
        <w:rPr>
          <w:rFonts w:hint="eastAsia" w:ascii="宋体" w:hAnsi="宋体" w:cs="宋体"/>
          <w:color w:val="0C0C0C"/>
          <w:lang w:eastAsia="zh-CN"/>
        </w:rPr>
        <w:t>）</w:t>
      </w:r>
      <w:r>
        <w:rPr>
          <w:rFonts w:hint="eastAsia" w:ascii="宋体" w:hAnsi="宋体" w:cs="宋体"/>
          <w:color w:val="0C0C0C"/>
        </w:rPr>
        <w:t>质保服务期限：所有仪器整机免费质保不少于</w:t>
      </w:r>
      <w:r>
        <w:rPr>
          <w:rFonts w:hint="eastAsia" w:ascii="宋体" w:hAnsi="宋体" w:cs="宋体"/>
          <w:color w:val="0C0C0C"/>
          <w:lang w:val="en-US" w:eastAsia="zh-CN"/>
        </w:rPr>
        <w:t>1</w:t>
      </w:r>
      <w:r>
        <w:rPr>
          <w:rFonts w:hint="eastAsia" w:ascii="宋体" w:hAnsi="宋体" w:cs="宋体"/>
          <w:color w:val="0C0C0C"/>
        </w:rPr>
        <w:t>年，</w:t>
      </w:r>
      <w:r>
        <w:rPr>
          <w:rFonts w:hint="eastAsia" w:ascii="宋体" w:hAnsi="宋体" w:cs="宋体"/>
          <w:color w:val="0C0C0C"/>
          <w:lang w:val="en-US" w:eastAsia="zh-CN"/>
        </w:rPr>
        <w:t>履带式无人农机</w:t>
      </w:r>
      <w:r>
        <w:rPr>
          <w:rFonts w:hint="eastAsia" w:ascii="宋体" w:hAnsi="宋体" w:cs="宋体"/>
          <w:color w:val="0C0C0C"/>
        </w:rPr>
        <w:t>质保</w:t>
      </w:r>
      <w:r>
        <w:rPr>
          <w:rFonts w:hint="eastAsia" w:ascii="宋体" w:hAnsi="宋体" w:cs="宋体"/>
          <w:color w:val="0C0C0C"/>
          <w:lang w:eastAsia="zh-CN"/>
        </w:rPr>
        <w:t>以本章本节第</w:t>
      </w:r>
      <w:r>
        <w:rPr>
          <w:rFonts w:hint="eastAsia" w:ascii="宋体" w:hAnsi="宋体" w:cs="宋体"/>
          <w:color w:val="0C0C0C"/>
          <w:lang w:val="en-US" w:eastAsia="zh-CN"/>
        </w:rPr>
        <w:t>3.2款表中的相关要求为准</w:t>
      </w:r>
      <w:r>
        <w:rPr>
          <w:rFonts w:hint="eastAsia" w:ascii="宋体" w:hAnsi="宋体" w:cs="宋体"/>
          <w:color w:val="0C0C0C"/>
        </w:rPr>
        <w:t>；质保期自项目整体验收合格之日起计算，质保期内免费提供零部件更换、上门维修、软件升级、校准维护等全部服务，无任何材料费、上门费、工时费。</w:t>
      </w:r>
    </w:p>
    <w:p w14:paraId="75A54D53">
      <w:pPr>
        <w:spacing w:line="360" w:lineRule="auto"/>
        <w:ind w:firstLine="42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6.2</w:t>
      </w:r>
      <w:r>
        <w:rPr>
          <w:rFonts w:hint="eastAsia" w:ascii="宋体" w:hAnsi="宋体" w:cs="宋体"/>
          <w:color w:val="000000"/>
        </w:rPr>
        <w:t>服务效率响应标准</w:t>
      </w:r>
    </w:p>
    <w:p w14:paraId="0280B9AD">
      <w:pPr>
        <w:spacing w:line="360" w:lineRule="auto"/>
        <w:ind w:firstLine="210" w:firstLineChars="1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00000"/>
          <w:lang w:eastAsia="zh-CN"/>
        </w:rPr>
        <w:t>（</w:t>
      </w:r>
      <w:r>
        <w:rPr>
          <w:rFonts w:hint="eastAsia" w:ascii="宋体" w:hAnsi="宋体" w:cs="宋体"/>
          <w:color w:val="000000"/>
          <w:lang w:val="en-US" w:eastAsia="zh-CN"/>
        </w:rPr>
        <w:t>1</w:t>
      </w:r>
      <w:r>
        <w:rPr>
          <w:rFonts w:hint="eastAsia" w:ascii="宋体" w:hAnsi="宋体" w:cs="宋体"/>
          <w:color w:val="000000"/>
          <w:lang w:eastAsia="zh-CN"/>
        </w:rPr>
        <w:t>）</w:t>
      </w:r>
      <w:r>
        <w:rPr>
          <w:rFonts w:hint="eastAsia" w:ascii="宋体" w:hAnsi="宋体" w:cs="宋体"/>
          <w:color w:val="0C0C0C"/>
        </w:rPr>
        <w:t>故障响应时效：采购人报修后，服务人员2小时内电话远程响应排查；本地</w:t>
      </w:r>
      <w:r>
        <w:rPr>
          <w:rFonts w:hint="eastAsia" w:ascii="宋体" w:hAnsi="宋体" w:cs="宋体"/>
          <w:color w:val="0C0C0C"/>
          <w:lang w:val="en-US" w:eastAsia="zh-CN"/>
        </w:rPr>
        <w:t>4</w:t>
      </w:r>
      <w:r>
        <w:rPr>
          <w:rFonts w:hint="eastAsia" w:ascii="宋体" w:hAnsi="宋体" w:cs="宋体"/>
          <w:color w:val="0C0C0C"/>
        </w:rPr>
        <w:t>小时内到达现场处置，省内异地24小时内上门维修，重大故障48小时内完成整机更换，不得影响农科试验、田间作业正常开展。</w:t>
      </w:r>
    </w:p>
    <w:p w14:paraId="1B0959A5">
      <w:pPr>
        <w:spacing w:line="360" w:lineRule="auto"/>
        <w:ind w:firstLine="210" w:firstLineChars="1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C0C0C"/>
          <w:lang w:eastAsia="zh-CN"/>
        </w:rPr>
        <w:t>（</w:t>
      </w:r>
      <w:r>
        <w:rPr>
          <w:rFonts w:hint="eastAsia" w:ascii="宋体" w:hAnsi="宋体" w:cs="宋体"/>
          <w:color w:val="0C0C0C"/>
          <w:lang w:val="en-US" w:eastAsia="zh-CN"/>
        </w:rPr>
        <w:t>2</w:t>
      </w:r>
      <w:r>
        <w:rPr>
          <w:rFonts w:hint="eastAsia" w:ascii="宋体" w:hAnsi="宋体" w:cs="宋体"/>
          <w:color w:val="0C0C0C"/>
          <w:lang w:eastAsia="zh-CN"/>
        </w:rPr>
        <w:t>）</w:t>
      </w:r>
      <w:r>
        <w:rPr>
          <w:rFonts w:hint="eastAsia" w:ascii="宋体" w:hAnsi="宋体" w:cs="宋体"/>
          <w:color w:val="0C0C0C"/>
          <w:lang w:val="en-US" w:eastAsia="zh-CN"/>
        </w:rPr>
        <w:t>培训服务：设备安装调试完成后，成交供应商须免费开展现场实操培训，覆盖设备操作、数据处理、日常保养、简易故障排查、喷灌系统运维等内容，确保采购人工作人员可独立完成试验检测作业，培训人数不少于3人。</w:t>
      </w:r>
    </w:p>
    <w:p w14:paraId="3CD5932D">
      <w:pPr>
        <w:spacing w:line="360" w:lineRule="auto"/>
        <w:ind w:firstLine="420" w:firstLineChars="2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6.3</w:t>
      </w:r>
      <w:r>
        <w:rPr>
          <w:rFonts w:hint="eastAsia" w:ascii="宋体" w:hAnsi="宋体" w:cs="宋体"/>
          <w:color w:val="000000"/>
        </w:rPr>
        <w:t>配套服务标准</w:t>
      </w:r>
    </w:p>
    <w:p w14:paraId="35AECAEC">
      <w:pPr>
        <w:spacing w:line="360" w:lineRule="auto"/>
        <w:ind w:firstLine="210" w:firstLineChars="1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00000"/>
          <w:lang w:eastAsia="zh-CN"/>
        </w:rPr>
        <w:t>（</w:t>
      </w:r>
      <w:r>
        <w:rPr>
          <w:rFonts w:hint="eastAsia" w:ascii="宋体" w:hAnsi="宋体" w:cs="宋体"/>
          <w:color w:val="000000"/>
          <w:lang w:val="en-US" w:eastAsia="zh-CN"/>
        </w:rPr>
        <w:t>1</w:t>
      </w:r>
      <w:r>
        <w:rPr>
          <w:rFonts w:hint="eastAsia" w:ascii="宋体" w:hAnsi="宋体" w:cs="宋体"/>
          <w:color w:val="000000"/>
          <w:lang w:eastAsia="zh-CN"/>
        </w:rPr>
        <w:t>）</w:t>
      </w:r>
      <w:r>
        <w:rPr>
          <w:rFonts w:hint="eastAsia" w:ascii="宋体" w:hAnsi="宋体" w:cs="宋体"/>
          <w:color w:val="000000"/>
        </w:rPr>
        <w:t>交付配套服务：免费提供货物运输、卸货、就位、安装、布线、管网铺设、通水通电调试、系统校准、软件安装激活、数据平台开通等全部配套服务，喷灌系统完成通水试运行，所有检测仪器</w:t>
      </w:r>
      <w:r>
        <w:rPr>
          <w:rFonts w:hint="eastAsia" w:ascii="宋体" w:hAnsi="宋体" w:cs="宋体"/>
          <w:color w:val="0C0C0C"/>
        </w:rPr>
        <w:t>完成精度校准。</w:t>
      </w:r>
    </w:p>
    <w:p w14:paraId="7D302716">
      <w:pPr>
        <w:spacing w:line="360" w:lineRule="auto"/>
        <w:ind w:firstLine="210" w:firstLineChars="100"/>
        <w:rPr>
          <w:rFonts w:hint="eastAsia" w:ascii="宋体" w:hAnsi="宋体" w:cs="宋体"/>
          <w:color w:val="0C0C0C"/>
        </w:rPr>
      </w:pPr>
      <w:r>
        <w:rPr>
          <w:rFonts w:hint="eastAsia" w:ascii="宋体" w:hAnsi="宋体" w:cs="宋体"/>
          <w:color w:val="0C0C0C"/>
          <w:lang w:eastAsia="zh-CN"/>
        </w:rPr>
        <w:t>（</w:t>
      </w:r>
      <w:r>
        <w:rPr>
          <w:rFonts w:hint="eastAsia" w:ascii="宋体" w:hAnsi="宋体" w:cs="宋体"/>
          <w:color w:val="0C0C0C"/>
          <w:lang w:val="en-US" w:eastAsia="zh-CN"/>
        </w:rPr>
        <w:t>2</w:t>
      </w:r>
      <w:r>
        <w:rPr>
          <w:rFonts w:hint="eastAsia" w:ascii="宋体" w:hAnsi="宋体" w:cs="宋体"/>
          <w:color w:val="0C0C0C"/>
          <w:lang w:eastAsia="zh-CN"/>
        </w:rPr>
        <w:t>）</w:t>
      </w:r>
      <w:r>
        <w:rPr>
          <w:rFonts w:hint="eastAsia" w:ascii="宋体" w:hAnsi="宋体" w:cs="宋体"/>
          <w:color w:val="0C0C0C"/>
        </w:rPr>
        <w:t>技术支持服务：终身提供7×8小时线上技术咨询、软件免费升级、检测算法更新、试验技术指导服务。</w:t>
      </w:r>
    </w:p>
    <w:p w14:paraId="4834577A">
      <w:pPr>
        <w:spacing w:line="360" w:lineRule="auto"/>
        <w:ind w:firstLine="210" w:firstLineChars="10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eastAsia="zh-CN"/>
        </w:rPr>
        <w:t>（</w:t>
      </w:r>
      <w:r>
        <w:rPr>
          <w:rFonts w:hint="eastAsia" w:ascii="宋体" w:hAnsi="宋体" w:cs="宋体"/>
          <w:color w:val="000000"/>
          <w:lang w:val="en-US" w:eastAsia="zh-CN"/>
        </w:rPr>
        <w:t>3</w:t>
      </w:r>
      <w:r>
        <w:rPr>
          <w:rFonts w:hint="eastAsia" w:ascii="宋体" w:hAnsi="宋体" w:cs="宋体"/>
          <w:color w:val="000000"/>
          <w:lang w:eastAsia="zh-CN"/>
        </w:rPr>
        <w:t>）</w:t>
      </w:r>
      <w:r>
        <w:rPr>
          <w:rFonts w:hint="eastAsia" w:ascii="宋体" w:hAnsi="宋体" w:cs="宋体"/>
          <w:color w:val="000000"/>
        </w:rPr>
        <w:t>履约约束：签订政府采购合同时不得擅自缩短服务期限、降低响应时效、删减配套服务内容。</w:t>
      </w:r>
    </w:p>
    <w:p w14:paraId="1D52BD8B">
      <w:pPr>
        <w:adjustRightInd w:val="0"/>
        <w:snapToGrid w:val="0"/>
        <w:spacing w:beforeLines="50" w:line="360" w:lineRule="auto"/>
        <w:rPr>
          <w:rFonts w:hint="eastAsia" w:ascii="宋体" w:hAnsi="宋体" w:cs="宋体"/>
          <w:b/>
          <w:bCs/>
          <w:color w:val="0C0C0C"/>
          <w:kern w:val="0"/>
          <w:szCs w:val="21"/>
        </w:rPr>
      </w:pPr>
      <w:r>
        <w:rPr>
          <w:rFonts w:hint="eastAsia" w:ascii="宋体" w:hAnsi="宋体"/>
          <w:b/>
          <w:bCs/>
          <w:color w:val="0C0C0C"/>
          <w:szCs w:val="21"/>
        </w:rPr>
        <w:t>七、</w:t>
      </w:r>
      <w:r>
        <w:rPr>
          <w:rFonts w:hint="eastAsia" w:ascii="宋体" w:hAnsi="宋体" w:cs="宋体"/>
          <w:b/>
          <w:bCs/>
          <w:color w:val="0C0C0C"/>
          <w:kern w:val="0"/>
          <w:szCs w:val="21"/>
        </w:rPr>
        <w:t>采购标的的其他技术、服务等要求</w:t>
      </w:r>
    </w:p>
    <w:p w14:paraId="39565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C0C0C"/>
          <w:lang w:val="en-US" w:eastAsia="zh-CN"/>
        </w:rPr>
      </w:pPr>
      <w:bookmarkStart w:id="8" w:name="_Toc11828"/>
      <w:bookmarkStart w:id="9" w:name="_Toc22185"/>
      <w:bookmarkStart w:id="10" w:name="_Toc13803"/>
      <w:bookmarkStart w:id="11" w:name="_Toc70069111"/>
      <w:bookmarkStart w:id="12" w:name="_Toc84574004"/>
      <w:r>
        <w:rPr>
          <w:rFonts w:hint="eastAsia"/>
          <w:color w:val="0C0C0C"/>
          <w:lang w:val="en-US" w:eastAsia="zh-CN"/>
        </w:rPr>
        <w:t>7.1备品备件保障：供货时同步提供易损易耗配件清单；质保期内免费更换故障配件。</w:t>
      </w:r>
    </w:p>
    <w:p w14:paraId="738EA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C0C0C"/>
          <w:lang w:val="en-US" w:eastAsia="zh-CN"/>
        </w:rPr>
      </w:pPr>
      <w:r>
        <w:rPr>
          <w:rFonts w:hint="eastAsia"/>
          <w:color w:val="0C0C0C"/>
          <w:lang w:val="en-US" w:eastAsia="zh-CN"/>
        </w:rPr>
        <w:t>7.2知识产权要求：成交供应商所供设备、配套软件不存在知识产权纠纷，若发生侵权投诉、诉讼，全部法律责任、经济损失由成交供应商承担。</w:t>
      </w:r>
    </w:p>
    <w:p w14:paraId="4CF70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C0C0C"/>
          <w:lang w:val="en-US" w:eastAsia="zh-CN"/>
        </w:rPr>
      </w:pPr>
      <w:r>
        <w:rPr>
          <w:rFonts w:hint="eastAsia"/>
          <w:color w:val="0C0C0C"/>
          <w:lang w:val="en-US" w:eastAsia="zh-CN"/>
        </w:rPr>
        <w:t>7.3人员及现场管理：开展安装、施工、调试作业时，工作人员须文明施工、规范操作，完工后清理作业现场垃圾、包装废料，恢复场地原貌；作业人员须具备对应设备安装、农机施工实操能力。</w:t>
      </w:r>
    </w:p>
    <w:p w14:paraId="6A94A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C0C0C"/>
          <w:lang w:val="en-US" w:eastAsia="zh-CN"/>
        </w:rPr>
      </w:pPr>
      <w:r>
        <w:rPr>
          <w:rFonts w:hint="eastAsia"/>
          <w:color w:val="0C0C0C"/>
          <w:lang w:val="en-US" w:eastAsia="zh-CN"/>
        </w:rPr>
        <w:t>7.4档案移交要求：项目整体验收前，一次性移交完整全套资料，包含产品合格证、出厂检测报告、说明书。</w:t>
      </w:r>
      <w:bookmarkEnd w:id="8"/>
      <w:bookmarkEnd w:id="9"/>
      <w:bookmarkEnd w:id="10"/>
      <w:bookmarkEnd w:id="11"/>
      <w:bookmarkEnd w:id="12"/>
    </w:p>
    <w:p w14:paraId="2178A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color w:val="0C0C0C"/>
          <w:lang w:val="en-US" w:eastAsia="zh-CN"/>
        </w:rPr>
      </w:pPr>
      <w:r>
        <w:rPr>
          <w:rFonts w:hint="eastAsia" w:ascii="Times New Roman" w:hAnsi="Times New Roman" w:eastAsia="宋体" w:cs="Times New Roman"/>
          <w:color w:val="0C0C0C"/>
          <w:lang w:val="en-US" w:eastAsia="zh-CN"/>
        </w:rPr>
        <w:t>7.5所投货物所需的配件、备件及保证货物正常运行的标准配置的附件及专用工具，均应包含在报价中。</w:t>
      </w:r>
    </w:p>
    <w:p w14:paraId="5A373B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F6B27"/>
    <w:multiLevelType w:val="singleLevel"/>
    <w:tmpl w:val="9DCF6B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9683FAC"/>
    <w:multiLevelType w:val="singleLevel"/>
    <w:tmpl w:val="E9683FAC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579E060"/>
    <w:multiLevelType w:val="singleLevel"/>
    <w:tmpl w:val="F579E06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BB4D021"/>
    <w:multiLevelType w:val="singleLevel"/>
    <w:tmpl w:val="FBB4D0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3B3D2CC"/>
    <w:multiLevelType w:val="singleLevel"/>
    <w:tmpl w:val="03B3D2C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6E127B2"/>
    <w:multiLevelType w:val="singleLevel"/>
    <w:tmpl w:val="06E127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48917BD1"/>
    <w:multiLevelType w:val="singleLevel"/>
    <w:tmpl w:val="48917B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5129ACF"/>
    <w:multiLevelType w:val="singleLevel"/>
    <w:tmpl w:val="55129A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57ED81A9"/>
    <w:multiLevelType w:val="singleLevel"/>
    <w:tmpl w:val="57ED81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581CD460"/>
    <w:multiLevelType w:val="singleLevel"/>
    <w:tmpl w:val="581CD4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706A3"/>
    <w:rsid w:val="18A51C78"/>
    <w:rsid w:val="62A5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1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2026-09-15T04:35:50Z</dcterms:created>
  <dc:creator>Administrator</dc:creator>
  <cp:lastModifiedBy>倩</cp:lastModifiedBy>
  <dcterms:modified xsi:type="dcterms:W3CDTF">2026-09-15T04:36:50Z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eyJoZGlkIjoiODM1MjhkMjBjOGE4ZTAwODE4MTc5NTNjN2FiZTFiZTUiLCJ1c2VySWQiOiIxMTc5NDY5MTA1In0=</vt:lpwstr>
  </property>
  <property fmtid="{D5CDD505-2E9C-101B-9397-08002B2CF9AE}" pid="4" name="ICV">
    <vt:lpwstr>F47915574B90460BBE575B7D31B3330C_12</vt:lpwstr>
  </property>
</Properties>
</file>