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9737E">
      <w:pPr>
        <w:pStyle w:val="12"/>
        <w:adjustRightInd w:val="0"/>
        <w:snapToGrid w:val="0"/>
        <w:spacing w:line="240" w:lineRule="atLeast"/>
        <w:jc w:val="center"/>
        <w:rPr>
          <w:rFonts w:hint="eastAsia" w:hAnsi="宋体"/>
        </w:rPr>
      </w:pPr>
    </w:p>
    <w:p w14:paraId="72EA2EE9">
      <w:pPr>
        <w:pStyle w:val="12"/>
        <w:adjustRightInd w:val="0"/>
        <w:snapToGrid w:val="0"/>
        <w:spacing w:line="240" w:lineRule="atLeast"/>
        <w:jc w:val="center"/>
        <w:rPr>
          <w:rFonts w:hint="eastAsia" w:hAnsi="宋体"/>
        </w:rPr>
      </w:pPr>
    </w:p>
    <w:p w14:paraId="6D32F694">
      <w:pPr>
        <w:pStyle w:val="12"/>
        <w:adjustRightInd w:val="0"/>
        <w:snapToGrid w:val="0"/>
        <w:spacing w:line="240" w:lineRule="atLeast"/>
        <w:jc w:val="center"/>
        <w:rPr>
          <w:rFonts w:hint="eastAsia" w:hAnsi="宋体"/>
        </w:rPr>
      </w:pPr>
    </w:p>
    <w:p w14:paraId="5933D09A">
      <w:pPr>
        <w:pStyle w:val="12"/>
        <w:adjustRightInd w:val="0"/>
        <w:snapToGrid w:val="0"/>
        <w:spacing w:line="240" w:lineRule="atLeast"/>
        <w:jc w:val="right"/>
        <w:rPr>
          <w:rFonts w:hint="eastAsia" w:hAnsi="宋体"/>
        </w:rPr>
      </w:pPr>
    </w:p>
    <w:p w14:paraId="398FB5CD">
      <w:pPr>
        <w:pStyle w:val="12"/>
        <w:adjustRightInd w:val="0"/>
        <w:snapToGrid w:val="0"/>
        <w:spacing w:line="240" w:lineRule="atLeast"/>
        <w:jc w:val="center"/>
        <w:rPr>
          <w:rFonts w:hint="eastAsia" w:ascii="黑体" w:hAnsi="黑体" w:eastAsia="黑体" w:cs="黑体"/>
          <w:bCs/>
          <w:sz w:val="72"/>
          <w:szCs w:val="72"/>
        </w:rPr>
      </w:pPr>
      <w:r>
        <w:rPr>
          <w:rFonts w:hint="eastAsia" w:ascii="黑体" w:hAnsi="黑体" w:eastAsia="黑体" w:cs="黑体"/>
          <w:bCs/>
          <w:sz w:val="72"/>
          <w:szCs w:val="72"/>
        </w:rPr>
        <w:t>【郴州】政府采购</w:t>
      </w:r>
    </w:p>
    <w:p w14:paraId="36AB465F">
      <w:pPr>
        <w:pStyle w:val="12"/>
        <w:adjustRightInd w:val="0"/>
        <w:snapToGrid w:val="0"/>
        <w:spacing w:line="240" w:lineRule="atLeast"/>
        <w:jc w:val="center"/>
        <w:rPr>
          <w:rFonts w:hint="eastAsia" w:ascii="黑体" w:hAnsi="黑体" w:eastAsia="黑体" w:cs="黑体"/>
          <w:bCs/>
          <w:sz w:val="72"/>
          <w:szCs w:val="72"/>
        </w:rPr>
      </w:pPr>
    </w:p>
    <w:p w14:paraId="074470E0">
      <w:pPr>
        <w:pStyle w:val="12"/>
        <w:adjustRightInd w:val="0"/>
        <w:snapToGrid w:val="0"/>
        <w:spacing w:line="240" w:lineRule="atLeast"/>
        <w:jc w:val="center"/>
        <w:rPr>
          <w:rFonts w:hint="eastAsia" w:ascii="黑体" w:hAnsi="黑体" w:eastAsia="黑体" w:cs="黑体"/>
          <w:b/>
          <w:bCs/>
          <w:sz w:val="52"/>
          <w:szCs w:val="52"/>
        </w:rPr>
      </w:pPr>
      <w:r>
        <w:rPr>
          <w:rFonts w:hint="eastAsia" w:ascii="黑体" w:hAnsi="黑体" w:eastAsia="黑体" w:cs="黑体"/>
          <w:b/>
          <w:bCs/>
          <w:sz w:val="52"/>
          <w:szCs w:val="52"/>
        </w:rPr>
        <w:t>公开招标文件服务类综合评分法</w:t>
      </w:r>
    </w:p>
    <w:p w14:paraId="57288BE5">
      <w:pPr>
        <w:pStyle w:val="12"/>
        <w:adjustRightInd w:val="0"/>
        <w:snapToGrid w:val="0"/>
        <w:spacing w:line="240" w:lineRule="atLeast"/>
        <w:jc w:val="center"/>
        <w:rPr>
          <w:rFonts w:hint="eastAsia" w:ascii="黑体" w:hAnsi="黑体" w:eastAsia="黑体" w:cs="黑体"/>
          <w:b/>
          <w:bCs/>
          <w:sz w:val="52"/>
          <w:szCs w:val="52"/>
        </w:rPr>
      </w:pPr>
      <w:r>
        <w:rPr>
          <w:rFonts w:hint="eastAsia" w:ascii="黑体" w:hAnsi="黑体" w:eastAsia="黑体" w:cs="黑体"/>
          <w:b/>
          <w:bCs/>
          <w:sz w:val="52"/>
          <w:szCs w:val="52"/>
        </w:rPr>
        <w:t>（电子标）</w:t>
      </w:r>
    </w:p>
    <w:p w14:paraId="7C3567CD">
      <w:pPr>
        <w:pStyle w:val="12"/>
        <w:adjustRightInd w:val="0"/>
        <w:snapToGrid w:val="0"/>
        <w:spacing w:line="240" w:lineRule="atLeast"/>
        <w:jc w:val="center"/>
        <w:rPr>
          <w:rFonts w:hint="eastAsia" w:ascii="华文中宋" w:hAnsi="华文中宋" w:eastAsia="华文中宋"/>
          <w:b/>
          <w:bCs/>
          <w:sz w:val="32"/>
          <w:szCs w:val="32"/>
        </w:rPr>
      </w:pPr>
    </w:p>
    <w:p w14:paraId="26E30014">
      <w:pPr>
        <w:pStyle w:val="12"/>
        <w:adjustRightInd w:val="0"/>
        <w:snapToGrid w:val="0"/>
        <w:spacing w:line="240" w:lineRule="atLeast"/>
        <w:jc w:val="center"/>
        <w:rPr>
          <w:rFonts w:hint="eastAsia" w:ascii="楷体" w:hAnsi="楷体" w:eastAsia="楷体" w:cs="楷体"/>
          <w:b/>
          <w:bCs/>
          <w:sz w:val="32"/>
          <w:szCs w:val="32"/>
        </w:rPr>
      </w:pPr>
    </w:p>
    <w:p w14:paraId="059FF534">
      <w:pPr>
        <w:pStyle w:val="12"/>
        <w:adjustRightInd w:val="0"/>
        <w:snapToGrid w:val="0"/>
        <w:spacing w:line="240" w:lineRule="atLeast"/>
        <w:jc w:val="center"/>
        <w:rPr>
          <w:rFonts w:hint="eastAsia" w:ascii="华文中宋" w:hAnsi="华文中宋" w:eastAsia="华文中宋"/>
          <w:b/>
          <w:bCs/>
          <w:color w:val="FF0000"/>
          <w:sz w:val="44"/>
          <w:szCs w:val="44"/>
        </w:rPr>
      </w:pPr>
    </w:p>
    <w:p w14:paraId="5E300DBF">
      <w:pPr>
        <w:pStyle w:val="12"/>
        <w:adjustRightInd w:val="0"/>
        <w:snapToGrid w:val="0"/>
        <w:spacing w:line="240" w:lineRule="atLeast"/>
        <w:jc w:val="center"/>
        <w:rPr>
          <w:rFonts w:hint="eastAsia" w:ascii="华文中宋" w:hAnsi="华文中宋" w:eastAsia="华文中宋"/>
          <w:bCs/>
        </w:rPr>
      </w:pPr>
    </w:p>
    <w:p w14:paraId="66A162B3">
      <w:pPr>
        <w:adjustRightInd w:val="0"/>
        <w:snapToGrid w:val="0"/>
        <w:spacing w:line="360" w:lineRule="auto"/>
        <w:ind w:left="3404" w:leftChars="550" w:hanging="2249" w:hangingChars="700"/>
        <w:rPr>
          <w:rFonts w:hint="eastAsia" w:hAnsi="宋体" w:eastAsia="宋体"/>
          <w:b/>
          <w:color w:val="000000" w:themeColor="text1"/>
          <w:sz w:val="32"/>
          <w:szCs w:val="32"/>
          <w:u w:val="single"/>
          <w:lang w:eastAsia="zh-CN"/>
          <w14:textFill>
            <w14:solidFill>
              <w14:schemeClr w14:val="tx1"/>
            </w14:solidFill>
          </w14:textFill>
        </w:rPr>
      </w:pPr>
      <w:r>
        <w:rPr>
          <w:rFonts w:hint="eastAsia" w:hAnsi="宋体"/>
          <w:b/>
          <w:color w:val="000000" w:themeColor="text1"/>
          <w:sz w:val="32"/>
          <w:szCs w:val="32"/>
          <w14:textFill>
            <w14:solidFill>
              <w14:schemeClr w14:val="tx1"/>
            </w14:solidFill>
          </w14:textFill>
        </w:rPr>
        <w:t>采购项目名称：</w:t>
      </w:r>
      <w:r>
        <w:rPr>
          <w:rFonts w:hint="eastAsia" w:hAnsi="宋体"/>
          <w:b/>
          <w:color w:val="000000" w:themeColor="text1"/>
          <w:sz w:val="32"/>
          <w:szCs w:val="32"/>
          <w:u w:val="single"/>
          <w:lang w:eastAsia="zh-CN"/>
          <w14:textFill>
            <w14:solidFill>
              <w14:schemeClr w14:val="tx1"/>
            </w14:solidFill>
          </w14:textFill>
        </w:rPr>
        <w:t>郴州市2026年度电子政务外网网络租赁及相关运维服务项目</w:t>
      </w:r>
    </w:p>
    <w:p w14:paraId="260ECF38">
      <w:pPr>
        <w:adjustRightInd w:val="0"/>
        <w:snapToGrid w:val="0"/>
        <w:spacing w:line="360" w:lineRule="auto"/>
        <w:ind w:firstLine="1124" w:firstLineChars="350"/>
        <w:rPr>
          <w:rFonts w:hint="eastAsia" w:hAnsi="宋体" w:eastAsia="宋体"/>
          <w:b/>
          <w:color w:val="auto"/>
          <w:sz w:val="32"/>
          <w:szCs w:val="32"/>
          <w:lang w:eastAsia="zh-CN"/>
        </w:rPr>
      </w:pPr>
      <w:r>
        <w:rPr>
          <w:rFonts w:hint="eastAsia" w:hAnsi="宋体"/>
          <w:b/>
          <w:color w:val="000000" w:themeColor="text1"/>
          <w:sz w:val="32"/>
          <w:szCs w:val="32"/>
          <w14:textFill>
            <w14:solidFill>
              <w14:schemeClr w14:val="tx1"/>
            </w14:solidFill>
          </w14:textFill>
        </w:rPr>
        <w:t>政府采购计划编号：(2026)431000000132-1</w:t>
      </w:r>
    </w:p>
    <w:p w14:paraId="5AB7F669">
      <w:pPr>
        <w:adjustRightInd w:val="0"/>
        <w:snapToGrid w:val="0"/>
        <w:spacing w:line="360" w:lineRule="auto"/>
        <w:ind w:firstLine="1124" w:firstLineChars="350"/>
        <w:rPr>
          <w:rFonts w:hint="eastAsia" w:hAnsi="宋体" w:eastAsia="宋体"/>
          <w:b/>
          <w:color w:val="000000" w:themeColor="text1"/>
          <w:sz w:val="32"/>
          <w:szCs w:val="32"/>
          <w:u w:val="single"/>
          <w:lang w:eastAsia="zh-CN"/>
          <w14:textFill>
            <w14:solidFill>
              <w14:schemeClr w14:val="tx1"/>
            </w14:solidFill>
          </w14:textFill>
        </w:rPr>
      </w:pPr>
      <w:r>
        <w:rPr>
          <w:rFonts w:hint="eastAsia" w:hAnsi="宋体"/>
          <w:b/>
          <w:color w:val="000000" w:themeColor="text1"/>
          <w:sz w:val="32"/>
          <w:szCs w:val="32"/>
          <w:lang w:eastAsia="zh-CN"/>
          <w14:textFill>
            <w14:solidFill>
              <w14:schemeClr w14:val="tx1"/>
            </w14:solidFill>
          </w14:textFill>
        </w:rPr>
        <w:t>采购代理编号</w:t>
      </w:r>
      <w:r>
        <w:rPr>
          <w:rFonts w:hint="eastAsia" w:hAnsi="宋体"/>
          <w:b/>
          <w:color w:val="000000" w:themeColor="text1"/>
          <w:sz w:val="32"/>
          <w:szCs w:val="32"/>
          <w14:textFill>
            <w14:solidFill>
              <w14:schemeClr w14:val="tx1"/>
            </w14:solidFill>
          </w14:textFill>
        </w:rPr>
        <w:t>：</w:t>
      </w:r>
      <w:r>
        <w:rPr>
          <w:rFonts w:hint="eastAsia" w:hAnsi="宋体"/>
          <w:b/>
          <w:color w:val="000000" w:themeColor="text1"/>
          <w:sz w:val="32"/>
          <w:szCs w:val="32"/>
          <w:u w:val="single"/>
          <w:lang w:eastAsia="zh-CN"/>
          <w14:textFill>
            <w14:solidFill>
              <w14:schemeClr w14:val="tx1"/>
            </w14:solidFill>
          </w14:textFill>
        </w:rPr>
        <w:t>XYTC-郴-2026-039</w:t>
      </w:r>
    </w:p>
    <w:p w14:paraId="160EC639">
      <w:pPr>
        <w:adjustRightInd w:val="0"/>
        <w:snapToGrid w:val="0"/>
        <w:spacing w:line="360" w:lineRule="auto"/>
        <w:ind w:firstLine="1124" w:firstLineChars="350"/>
        <w:rPr>
          <w:rFonts w:hint="eastAsia" w:hAnsi="宋体"/>
          <w:b/>
          <w:color w:val="000000" w:themeColor="text1"/>
          <w:sz w:val="32"/>
          <w:szCs w:val="32"/>
          <w14:textFill>
            <w14:solidFill>
              <w14:schemeClr w14:val="tx1"/>
            </w14:solidFill>
          </w14:textFill>
        </w:rPr>
      </w:pPr>
      <w:r>
        <w:rPr>
          <w:rFonts w:hint="eastAsia" w:hAnsi="宋体"/>
          <w:b/>
          <w:color w:val="000000" w:themeColor="text1"/>
          <w:sz w:val="32"/>
          <w:szCs w:val="32"/>
          <w14:textFill>
            <w14:solidFill>
              <w14:schemeClr w14:val="tx1"/>
            </w14:solidFill>
          </w14:textFill>
        </w:rPr>
        <w:t>采</w:t>
      </w:r>
      <w:r>
        <w:rPr>
          <w:rFonts w:hAnsi="宋体"/>
          <w:b/>
          <w:color w:val="000000" w:themeColor="text1"/>
          <w:sz w:val="32"/>
          <w:szCs w:val="32"/>
          <w14:textFill>
            <w14:solidFill>
              <w14:schemeClr w14:val="tx1"/>
            </w14:solidFill>
          </w14:textFill>
        </w:rPr>
        <w:t xml:space="preserve">   </w:t>
      </w:r>
      <w:r>
        <w:rPr>
          <w:rFonts w:hint="eastAsia" w:hAnsi="宋体"/>
          <w:b/>
          <w:color w:val="000000" w:themeColor="text1"/>
          <w:sz w:val="32"/>
          <w:szCs w:val="32"/>
          <w14:textFill>
            <w14:solidFill>
              <w14:schemeClr w14:val="tx1"/>
            </w14:solidFill>
          </w14:textFill>
        </w:rPr>
        <w:t>购</w:t>
      </w:r>
      <w:r>
        <w:rPr>
          <w:rFonts w:hAnsi="宋体"/>
          <w:b/>
          <w:color w:val="000000" w:themeColor="text1"/>
          <w:sz w:val="32"/>
          <w:szCs w:val="32"/>
          <w14:textFill>
            <w14:solidFill>
              <w14:schemeClr w14:val="tx1"/>
            </w14:solidFill>
          </w14:textFill>
        </w:rPr>
        <w:t xml:space="preserve">   </w:t>
      </w:r>
      <w:r>
        <w:rPr>
          <w:rFonts w:hint="eastAsia" w:hAnsi="宋体"/>
          <w:b/>
          <w:color w:val="000000" w:themeColor="text1"/>
          <w:sz w:val="32"/>
          <w:szCs w:val="32"/>
          <w14:textFill>
            <w14:solidFill>
              <w14:schemeClr w14:val="tx1"/>
            </w14:solidFill>
          </w14:textFill>
        </w:rPr>
        <w:t>人：</w:t>
      </w:r>
      <w:r>
        <w:rPr>
          <w:rFonts w:hint="eastAsia" w:hAnsi="宋体"/>
          <w:b/>
          <w:color w:val="000000" w:themeColor="text1"/>
          <w:sz w:val="32"/>
          <w:szCs w:val="32"/>
          <w:u w:val="single"/>
          <w14:textFill>
            <w14:solidFill>
              <w14:schemeClr w14:val="tx1"/>
            </w14:solidFill>
          </w14:textFill>
        </w:rPr>
        <w:t xml:space="preserve"> </w:t>
      </w:r>
      <w:r>
        <w:rPr>
          <w:rFonts w:hint="eastAsia" w:hAnsi="宋体"/>
          <w:b/>
          <w:color w:val="000000" w:themeColor="text1"/>
          <w:sz w:val="32"/>
          <w:szCs w:val="32"/>
          <w:u w:val="single"/>
          <w:lang w:eastAsia="zh-CN"/>
          <w14:textFill>
            <w14:solidFill>
              <w14:schemeClr w14:val="tx1"/>
            </w14:solidFill>
          </w14:textFill>
        </w:rPr>
        <w:t>郴州市数据局</w:t>
      </w:r>
    </w:p>
    <w:p w14:paraId="2EB98D1C">
      <w:pPr>
        <w:adjustRightInd w:val="0"/>
        <w:snapToGrid w:val="0"/>
        <w:spacing w:line="360" w:lineRule="auto"/>
        <w:ind w:firstLine="1124" w:firstLineChars="350"/>
        <w:rPr>
          <w:rFonts w:ascii="宋体"/>
          <w:b/>
          <w:color w:val="000000" w:themeColor="text1"/>
          <w:sz w:val="32"/>
          <w:szCs w:val="21"/>
          <w14:textFill>
            <w14:solidFill>
              <w14:schemeClr w14:val="tx1"/>
            </w14:solidFill>
          </w14:textFill>
        </w:rPr>
      </w:pPr>
      <w:r>
        <w:rPr>
          <w:rFonts w:hint="eastAsia" w:ascii="宋体"/>
          <w:b/>
          <w:color w:val="000000" w:themeColor="text1"/>
          <w:sz w:val="32"/>
          <w:szCs w:val="21"/>
          <w14:textFill>
            <w14:solidFill>
              <w14:schemeClr w14:val="tx1"/>
            </w14:solidFill>
          </w14:textFill>
        </w:rPr>
        <w:t>采购代理机构：</w:t>
      </w:r>
      <w:r>
        <w:rPr>
          <w:rFonts w:hint="eastAsia" w:ascii="宋体"/>
          <w:b/>
          <w:color w:val="000000" w:themeColor="text1"/>
          <w:sz w:val="32"/>
          <w:szCs w:val="21"/>
          <w:u w:val="single"/>
          <w:lang w:eastAsia="zh-CN"/>
          <w14:textFill>
            <w14:solidFill>
              <w14:schemeClr w14:val="tx1"/>
            </w14:solidFill>
          </w14:textFill>
        </w:rPr>
        <w:t>湖南信元工程项目管理有限公司</w:t>
      </w:r>
      <w:r>
        <w:rPr>
          <w:rFonts w:hint="eastAsia" w:ascii="宋体"/>
          <w:b/>
          <w:color w:val="000000" w:themeColor="text1"/>
          <w:sz w:val="32"/>
          <w:szCs w:val="21"/>
          <w:u w:val="single"/>
          <w14:textFill>
            <w14:solidFill>
              <w14:schemeClr w14:val="tx1"/>
            </w14:solidFill>
          </w14:textFill>
        </w:rPr>
        <w:t xml:space="preserve"> </w:t>
      </w:r>
    </w:p>
    <w:p w14:paraId="3CEC28D5">
      <w:pPr>
        <w:pStyle w:val="12"/>
        <w:adjustRightInd w:val="0"/>
        <w:snapToGrid w:val="0"/>
        <w:spacing w:line="360" w:lineRule="auto"/>
        <w:jc w:val="center"/>
        <w:rPr>
          <w:rFonts w:hint="eastAsia" w:hAnsi="宋体"/>
          <w:bCs/>
          <w:sz w:val="32"/>
          <w:szCs w:val="32"/>
        </w:rPr>
      </w:pPr>
    </w:p>
    <w:p w14:paraId="1D6BD78F">
      <w:pPr>
        <w:pStyle w:val="12"/>
        <w:adjustRightInd w:val="0"/>
        <w:snapToGrid w:val="0"/>
        <w:spacing w:line="240" w:lineRule="atLeast"/>
        <w:jc w:val="center"/>
        <w:rPr>
          <w:rFonts w:hint="eastAsia" w:hAnsi="宋体"/>
          <w:bCs/>
          <w:sz w:val="32"/>
          <w:szCs w:val="32"/>
        </w:rPr>
      </w:pPr>
    </w:p>
    <w:p w14:paraId="097EFE2F">
      <w:pPr>
        <w:pStyle w:val="12"/>
        <w:adjustRightInd w:val="0"/>
        <w:snapToGrid w:val="0"/>
        <w:spacing w:line="240" w:lineRule="atLeast"/>
        <w:jc w:val="center"/>
        <w:rPr>
          <w:rFonts w:hint="eastAsia" w:hAnsi="宋体"/>
          <w:bCs/>
          <w:sz w:val="32"/>
          <w:szCs w:val="32"/>
        </w:rPr>
      </w:pPr>
    </w:p>
    <w:p w14:paraId="64870C37">
      <w:pPr>
        <w:pStyle w:val="12"/>
        <w:adjustRightInd w:val="0"/>
        <w:snapToGrid w:val="0"/>
        <w:spacing w:line="240" w:lineRule="atLeast"/>
        <w:jc w:val="center"/>
        <w:rPr>
          <w:rFonts w:hint="eastAsia" w:hAnsi="宋体"/>
          <w:bCs/>
          <w:sz w:val="32"/>
          <w:szCs w:val="32"/>
        </w:rPr>
      </w:pPr>
    </w:p>
    <w:p w14:paraId="363FDDC0">
      <w:pPr>
        <w:pStyle w:val="12"/>
        <w:adjustRightInd w:val="0"/>
        <w:snapToGrid w:val="0"/>
        <w:spacing w:line="240" w:lineRule="atLeast"/>
        <w:jc w:val="both"/>
        <w:rPr>
          <w:rFonts w:hint="eastAsia" w:hAnsi="宋体"/>
          <w:bCs/>
          <w:sz w:val="32"/>
          <w:szCs w:val="32"/>
        </w:rPr>
      </w:pPr>
    </w:p>
    <w:p w14:paraId="5EC29415">
      <w:pPr>
        <w:pStyle w:val="12"/>
        <w:adjustRightInd w:val="0"/>
        <w:snapToGrid w:val="0"/>
        <w:spacing w:line="240" w:lineRule="atLeast"/>
        <w:jc w:val="center"/>
        <w:rPr>
          <w:rFonts w:hint="eastAsia" w:hAnsi="宋体"/>
          <w:bCs/>
          <w:sz w:val="32"/>
          <w:szCs w:val="32"/>
        </w:rPr>
      </w:pPr>
    </w:p>
    <w:p w14:paraId="56D0B598">
      <w:pPr>
        <w:pStyle w:val="12"/>
        <w:adjustRightInd w:val="0"/>
        <w:snapToGrid w:val="0"/>
        <w:spacing w:line="240" w:lineRule="atLeast"/>
        <w:jc w:val="center"/>
        <w:rPr>
          <w:rFonts w:hint="eastAsia" w:hAnsi="宋体"/>
          <w:b/>
          <w:bCs/>
          <w:sz w:val="32"/>
          <w:szCs w:val="32"/>
        </w:rPr>
      </w:pPr>
      <w:r>
        <w:rPr>
          <w:rFonts w:hint="eastAsia" w:hAnsi="宋体"/>
          <w:b/>
          <w:sz w:val="32"/>
        </w:rPr>
        <w:t>202</w:t>
      </w:r>
      <w:r>
        <w:rPr>
          <w:rFonts w:hint="eastAsia" w:hAnsi="宋体"/>
          <w:b/>
          <w:sz w:val="32"/>
          <w:lang w:val="en-US" w:eastAsia="zh-CN"/>
        </w:rPr>
        <w:t>6</w:t>
      </w:r>
      <w:r>
        <w:rPr>
          <w:rFonts w:hint="eastAsia" w:hAnsi="宋体"/>
          <w:b/>
          <w:sz w:val="32"/>
        </w:rPr>
        <w:t>年</w:t>
      </w:r>
      <w:r>
        <w:rPr>
          <w:rFonts w:hint="default" w:hAnsi="宋体"/>
          <w:b/>
          <w:sz w:val="32"/>
          <w:lang w:val="en-US" w:eastAsia="zh-CN"/>
        </w:rPr>
        <w:t>8</w:t>
      </w:r>
      <w:r>
        <w:rPr>
          <w:rFonts w:hint="eastAsia" w:hAnsi="宋体"/>
          <w:b/>
          <w:sz w:val="32"/>
        </w:rPr>
        <w:t>月</w:t>
      </w:r>
    </w:p>
    <w:p w14:paraId="58EC5807">
      <w:pPr>
        <w:pStyle w:val="12"/>
        <w:adjustRightInd w:val="0"/>
        <w:snapToGrid w:val="0"/>
        <w:spacing w:line="240" w:lineRule="atLeast"/>
        <w:jc w:val="center"/>
        <w:rPr>
          <w:rFonts w:hint="eastAsia" w:hAnsi="宋体"/>
          <w:b/>
          <w:bCs/>
          <w:sz w:val="32"/>
          <w:szCs w:val="32"/>
        </w:rPr>
      </w:pPr>
    </w:p>
    <w:p w14:paraId="230DEEF2">
      <w:pPr>
        <w:pStyle w:val="12"/>
        <w:adjustRightInd w:val="0"/>
        <w:snapToGrid w:val="0"/>
        <w:spacing w:line="360" w:lineRule="auto"/>
        <w:jc w:val="center"/>
        <w:rPr>
          <w:rFonts w:hint="eastAsia" w:ascii="华文中宋" w:hAnsi="华文中宋" w:eastAsia="华文中宋"/>
          <w:b/>
          <w:spacing w:val="160"/>
          <w:sz w:val="36"/>
          <w:szCs w:val="36"/>
        </w:rPr>
      </w:pPr>
      <w:r>
        <w:rPr>
          <w:rFonts w:hint="eastAsia" w:ascii="华文中宋" w:hAnsi="华文中宋" w:eastAsia="华文中宋"/>
          <w:b/>
          <w:spacing w:val="160"/>
          <w:sz w:val="36"/>
          <w:szCs w:val="36"/>
        </w:rPr>
        <w:t>目录</w:t>
      </w:r>
    </w:p>
    <w:p w14:paraId="2431AC61">
      <w:pPr>
        <w:pStyle w:val="16"/>
        <w:tabs>
          <w:tab w:val="right" w:leader="dot" w:pos="8844"/>
        </w:tabs>
        <w:rPr>
          <w:rFonts w:hint="eastAsia"/>
        </w:rPr>
      </w:pPr>
      <w:r>
        <w:rPr>
          <w:rStyle w:val="24"/>
          <w:b w:val="0"/>
        </w:rPr>
        <w:fldChar w:fldCharType="begin"/>
      </w:r>
      <w:r>
        <w:rPr>
          <w:rStyle w:val="24"/>
          <w:b w:val="0"/>
        </w:rPr>
        <w:instrText xml:space="preserve"> TOC \o "1-4" \h \z \u </w:instrText>
      </w:r>
      <w:r>
        <w:rPr>
          <w:rStyle w:val="24"/>
          <w:b w:val="0"/>
        </w:rPr>
        <w:fldChar w:fldCharType="separate"/>
      </w:r>
      <w:r>
        <w:fldChar w:fldCharType="begin"/>
      </w:r>
      <w:r>
        <w:instrText xml:space="preserve"> HYPERLINK \l "_Toc31019" </w:instrText>
      </w:r>
      <w:r>
        <w:fldChar w:fldCharType="separate"/>
      </w:r>
      <w:r>
        <w:rPr>
          <w:rFonts w:hint="eastAsia" w:ascii="黑体" w:hAnsi="华文中宋" w:eastAsia="黑体"/>
          <w:szCs w:val="32"/>
        </w:rPr>
        <w:t>第一章 投标邀请</w:t>
      </w:r>
      <w:r>
        <w:tab/>
      </w:r>
      <w:r>
        <w:fldChar w:fldCharType="begin"/>
      </w:r>
      <w:r>
        <w:instrText xml:space="preserve"> PAGEREF _Toc31019 \h </w:instrText>
      </w:r>
      <w:r>
        <w:fldChar w:fldCharType="separate"/>
      </w:r>
      <w:r>
        <w:t>7</w:t>
      </w:r>
      <w:r>
        <w:fldChar w:fldCharType="end"/>
      </w:r>
      <w:r>
        <w:fldChar w:fldCharType="end"/>
      </w:r>
    </w:p>
    <w:p w14:paraId="3B3C8B9D">
      <w:pPr>
        <w:pStyle w:val="18"/>
        <w:tabs>
          <w:tab w:val="right" w:leader="dot" w:pos="8844"/>
        </w:tabs>
        <w:ind w:left="420"/>
      </w:pPr>
      <w:r>
        <w:fldChar w:fldCharType="begin"/>
      </w:r>
      <w:r>
        <w:instrText xml:space="preserve"> HYPERLINK \l "_Toc12034" </w:instrText>
      </w:r>
      <w:r>
        <w:fldChar w:fldCharType="separate"/>
      </w:r>
      <w:r>
        <w:rPr>
          <w:rFonts w:hint="eastAsia"/>
        </w:rPr>
        <w:t>一、采购项目基本信息</w:t>
      </w:r>
      <w:r>
        <w:tab/>
      </w:r>
      <w:r>
        <w:fldChar w:fldCharType="begin"/>
      </w:r>
      <w:r>
        <w:instrText xml:space="preserve"> PAGEREF _Toc12034 \h </w:instrText>
      </w:r>
      <w:r>
        <w:fldChar w:fldCharType="separate"/>
      </w:r>
      <w:r>
        <w:t>7</w:t>
      </w:r>
      <w:r>
        <w:fldChar w:fldCharType="end"/>
      </w:r>
      <w:r>
        <w:fldChar w:fldCharType="end"/>
      </w:r>
    </w:p>
    <w:p w14:paraId="62084179">
      <w:pPr>
        <w:pStyle w:val="18"/>
        <w:tabs>
          <w:tab w:val="right" w:leader="dot" w:pos="8844"/>
        </w:tabs>
        <w:ind w:left="420"/>
      </w:pPr>
      <w:r>
        <w:fldChar w:fldCharType="begin"/>
      </w:r>
      <w:r>
        <w:instrText xml:space="preserve"> HYPERLINK \l "_Toc18998" </w:instrText>
      </w:r>
      <w:r>
        <w:fldChar w:fldCharType="separate"/>
      </w:r>
      <w:r>
        <w:rPr>
          <w:rFonts w:hint="eastAsia"/>
        </w:rPr>
        <w:t>二、采购人的采购需求（按包）</w:t>
      </w:r>
      <w:r>
        <w:tab/>
      </w:r>
      <w:r>
        <w:fldChar w:fldCharType="begin"/>
      </w:r>
      <w:r>
        <w:instrText xml:space="preserve"> PAGEREF _Toc18998 \h </w:instrText>
      </w:r>
      <w:r>
        <w:fldChar w:fldCharType="separate"/>
      </w:r>
      <w:r>
        <w:t>7</w:t>
      </w:r>
      <w:r>
        <w:fldChar w:fldCharType="end"/>
      </w:r>
      <w:r>
        <w:fldChar w:fldCharType="end"/>
      </w:r>
    </w:p>
    <w:p w14:paraId="71C2CFBE">
      <w:pPr>
        <w:pStyle w:val="18"/>
        <w:tabs>
          <w:tab w:val="right" w:leader="dot" w:pos="8844"/>
        </w:tabs>
        <w:ind w:left="420"/>
      </w:pPr>
      <w:r>
        <w:fldChar w:fldCharType="begin"/>
      </w:r>
      <w:r>
        <w:instrText xml:space="preserve"> HYPERLINK \l "_Toc3486" </w:instrText>
      </w:r>
      <w:r>
        <w:fldChar w:fldCharType="separate"/>
      </w:r>
      <w:r>
        <w:rPr>
          <w:rFonts w:hint="eastAsia"/>
        </w:rPr>
        <w:t>三、采购项目需落实的政府采购政策：</w:t>
      </w:r>
      <w:r>
        <w:rPr>
          <w:rFonts w:hint="eastAsia" w:asciiTheme="minorEastAsia" w:hAnsiTheme="minorEastAsia" w:eastAsiaTheme="minorEastAsia"/>
        </w:rPr>
        <w:t>(说明：应根据采购项目特点选择以下内容)：</w:t>
      </w:r>
      <w:r>
        <w:tab/>
      </w:r>
      <w:r>
        <w:fldChar w:fldCharType="begin"/>
      </w:r>
      <w:r>
        <w:instrText xml:space="preserve"> PAGEREF _Toc3486 \h </w:instrText>
      </w:r>
      <w:r>
        <w:fldChar w:fldCharType="separate"/>
      </w:r>
      <w:r>
        <w:t>8</w:t>
      </w:r>
      <w:r>
        <w:fldChar w:fldCharType="end"/>
      </w:r>
      <w:r>
        <w:fldChar w:fldCharType="end"/>
      </w:r>
    </w:p>
    <w:p w14:paraId="4667C7CB">
      <w:pPr>
        <w:pStyle w:val="18"/>
        <w:tabs>
          <w:tab w:val="right" w:leader="dot" w:pos="8844"/>
        </w:tabs>
        <w:ind w:left="420"/>
      </w:pPr>
      <w:r>
        <w:fldChar w:fldCharType="begin"/>
      </w:r>
      <w:r>
        <w:instrText xml:space="preserve"> HYPERLINK \l "_Toc25288" </w:instrText>
      </w:r>
      <w:r>
        <w:fldChar w:fldCharType="separate"/>
      </w:r>
      <w:r>
        <w:rPr>
          <w:rFonts w:hint="eastAsia"/>
        </w:rPr>
        <w:t>四、投标人的资格要求：</w:t>
      </w:r>
      <w:r>
        <w:tab/>
      </w:r>
      <w:r>
        <w:fldChar w:fldCharType="begin"/>
      </w:r>
      <w:r>
        <w:instrText xml:space="preserve"> PAGEREF _Toc25288 \h </w:instrText>
      </w:r>
      <w:r>
        <w:fldChar w:fldCharType="separate"/>
      </w:r>
      <w:r>
        <w:t>8</w:t>
      </w:r>
      <w:r>
        <w:fldChar w:fldCharType="end"/>
      </w:r>
      <w:r>
        <w:fldChar w:fldCharType="end"/>
      </w:r>
    </w:p>
    <w:p w14:paraId="46C75A9D">
      <w:pPr>
        <w:pStyle w:val="18"/>
        <w:tabs>
          <w:tab w:val="right" w:leader="dot" w:pos="8844"/>
        </w:tabs>
        <w:ind w:left="420"/>
      </w:pPr>
      <w:r>
        <w:fldChar w:fldCharType="begin"/>
      </w:r>
      <w:r>
        <w:instrText xml:space="preserve"> HYPERLINK \l "_Toc10709" </w:instrText>
      </w:r>
      <w:r>
        <w:fldChar w:fldCharType="separate"/>
      </w:r>
      <w:r>
        <w:rPr>
          <w:rFonts w:hint="eastAsia"/>
        </w:rPr>
        <w:t>五、获取电子招标文件的时间、期限、方式</w:t>
      </w:r>
      <w:r>
        <w:tab/>
      </w:r>
      <w:r>
        <w:fldChar w:fldCharType="begin"/>
      </w:r>
      <w:r>
        <w:instrText xml:space="preserve"> PAGEREF _Toc10709 \h </w:instrText>
      </w:r>
      <w:r>
        <w:fldChar w:fldCharType="separate"/>
      </w:r>
      <w:r>
        <w:t>9</w:t>
      </w:r>
      <w:r>
        <w:fldChar w:fldCharType="end"/>
      </w:r>
      <w:r>
        <w:fldChar w:fldCharType="end"/>
      </w:r>
    </w:p>
    <w:p w14:paraId="1365EE44">
      <w:pPr>
        <w:pStyle w:val="18"/>
        <w:tabs>
          <w:tab w:val="right" w:leader="dot" w:pos="8844"/>
        </w:tabs>
        <w:ind w:left="420"/>
      </w:pPr>
      <w:r>
        <w:fldChar w:fldCharType="begin"/>
      </w:r>
      <w:r>
        <w:instrText xml:space="preserve"> HYPERLINK \l "_Toc21244" </w:instrText>
      </w:r>
      <w:r>
        <w:fldChar w:fldCharType="separate"/>
      </w:r>
      <w:r>
        <w:rPr>
          <w:rFonts w:hint="eastAsia"/>
        </w:rPr>
        <w:t>六、投标截止时间、开标时间、开标地点</w:t>
      </w:r>
      <w:r>
        <w:tab/>
      </w:r>
      <w:r>
        <w:fldChar w:fldCharType="begin"/>
      </w:r>
      <w:r>
        <w:instrText xml:space="preserve"> PAGEREF _Toc21244 \h </w:instrText>
      </w:r>
      <w:r>
        <w:fldChar w:fldCharType="separate"/>
      </w:r>
      <w:r>
        <w:t>9</w:t>
      </w:r>
      <w:r>
        <w:fldChar w:fldCharType="end"/>
      </w:r>
      <w:r>
        <w:fldChar w:fldCharType="end"/>
      </w:r>
    </w:p>
    <w:p w14:paraId="389A20B4">
      <w:pPr>
        <w:pStyle w:val="18"/>
        <w:tabs>
          <w:tab w:val="right" w:leader="dot" w:pos="8844"/>
        </w:tabs>
        <w:ind w:left="420"/>
      </w:pPr>
      <w:r>
        <w:fldChar w:fldCharType="begin"/>
      </w:r>
      <w:r>
        <w:instrText xml:space="preserve"> HYPERLINK \l "_Toc9937" </w:instrText>
      </w:r>
      <w:r>
        <w:fldChar w:fldCharType="separate"/>
      </w:r>
      <w:r>
        <w:rPr>
          <w:rFonts w:hint="eastAsia"/>
        </w:rPr>
        <w:t>七、招标文件公告期限：</w:t>
      </w:r>
      <w:r>
        <w:tab/>
      </w:r>
      <w:r>
        <w:fldChar w:fldCharType="begin"/>
      </w:r>
      <w:r>
        <w:instrText xml:space="preserve"> PAGEREF _Toc9937 \h </w:instrText>
      </w:r>
      <w:r>
        <w:fldChar w:fldCharType="separate"/>
      </w:r>
      <w:r>
        <w:t>9</w:t>
      </w:r>
      <w:r>
        <w:fldChar w:fldCharType="end"/>
      </w:r>
      <w:r>
        <w:fldChar w:fldCharType="end"/>
      </w:r>
    </w:p>
    <w:p w14:paraId="34394FD5">
      <w:pPr>
        <w:pStyle w:val="18"/>
        <w:tabs>
          <w:tab w:val="right" w:leader="dot" w:pos="8844"/>
        </w:tabs>
        <w:ind w:left="420"/>
      </w:pPr>
      <w:r>
        <w:fldChar w:fldCharType="begin"/>
      </w:r>
      <w:r>
        <w:instrText xml:space="preserve"> HYPERLINK \l "_Toc7908" </w:instrText>
      </w:r>
      <w:r>
        <w:fldChar w:fldCharType="separate"/>
      </w:r>
      <w:r>
        <w:rPr>
          <w:rFonts w:hint="eastAsia" w:asciiTheme="minorEastAsia" w:hAnsiTheme="minorEastAsia" w:eastAsiaTheme="minorEastAsia"/>
        </w:rPr>
        <w:t>八、疑问及质疑：</w:t>
      </w:r>
      <w:r>
        <w:tab/>
      </w:r>
      <w:r>
        <w:fldChar w:fldCharType="begin"/>
      </w:r>
      <w:r>
        <w:instrText xml:space="preserve"> PAGEREF _Toc7908 \h </w:instrText>
      </w:r>
      <w:r>
        <w:fldChar w:fldCharType="separate"/>
      </w:r>
      <w:r>
        <w:t>10</w:t>
      </w:r>
      <w:r>
        <w:fldChar w:fldCharType="end"/>
      </w:r>
      <w:r>
        <w:fldChar w:fldCharType="end"/>
      </w:r>
    </w:p>
    <w:p w14:paraId="462099DC">
      <w:pPr>
        <w:pStyle w:val="18"/>
        <w:tabs>
          <w:tab w:val="right" w:leader="dot" w:pos="8844"/>
        </w:tabs>
        <w:ind w:left="420"/>
      </w:pPr>
      <w:r>
        <w:fldChar w:fldCharType="begin"/>
      </w:r>
      <w:r>
        <w:instrText xml:space="preserve"> HYPERLINK \l "_Toc30627" </w:instrText>
      </w:r>
      <w:r>
        <w:fldChar w:fldCharType="separate"/>
      </w:r>
      <w:r>
        <w:rPr>
          <w:rFonts w:hint="eastAsia"/>
        </w:rPr>
        <w:t>九、对本次招标提出询问，请按以下方式联系</w:t>
      </w:r>
      <w:r>
        <w:tab/>
      </w:r>
      <w:r>
        <w:fldChar w:fldCharType="begin"/>
      </w:r>
      <w:r>
        <w:instrText xml:space="preserve"> PAGEREF _Toc30627 \h </w:instrText>
      </w:r>
      <w:r>
        <w:fldChar w:fldCharType="separate"/>
      </w:r>
      <w:r>
        <w:t>10</w:t>
      </w:r>
      <w:r>
        <w:fldChar w:fldCharType="end"/>
      </w:r>
      <w:r>
        <w:fldChar w:fldCharType="end"/>
      </w:r>
    </w:p>
    <w:p w14:paraId="76E20EE7">
      <w:pPr>
        <w:pStyle w:val="18"/>
        <w:tabs>
          <w:tab w:val="right" w:leader="dot" w:pos="8844"/>
        </w:tabs>
        <w:ind w:left="420"/>
      </w:pPr>
      <w:r>
        <w:fldChar w:fldCharType="begin"/>
      </w:r>
      <w:r>
        <w:instrText xml:space="preserve"> HYPERLINK \l "_Toc6002" </w:instrText>
      </w:r>
      <w:r>
        <w:fldChar w:fldCharType="separate"/>
      </w:r>
      <w:r>
        <w:rPr>
          <w:rFonts w:hint="eastAsia"/>
        </w:rPr>
        <w:t>十、其它补充事宜</w:t>
      </w:r>
      <w:r>
        <w:tab/>
      </w:r>
      <w:r>
        <w:fldChar w:fldCharType="begin"/>
      </w:r>
      <w:r>
        <w:instrText xml:space="preserve"> PAGEREF _Toc6002 \h </w:instrText>
      </w:r>
      <w:r>
        <w:fldChar w:fldCharType="separate"/>
      </w:r>
      <w:r>
        <w:t>10</w:t>
      </w:r>
      <w:r>
        <w:fldChar w:fldCharType="end"/>
      </w:r>
      <w:r>
        <w:fldChar w:fldCharType="end"/>
      </w:r>
    </w:p>
    <w:p w14:paraId="3002A4F5">
      <w:pPr>
        <w:pStyle w:val="16"/>
        <w:tabs>
          <w:tab w:val="right" w:leader="dot" w:pos="8844"/>
        </w:tabs>
        <w:rPr>
          <w:rFonts w:hint="eastAsia"/>
        </w:rPr>
      </w:pPr>
      <w:r>
        <w:fldChar w:fldCharType="begin"/>
      </w:r>
      <w:r>
        <w:instrText xml:space="preserve"> HYPERLINK \l "_Toc13071" </w:instrText>
      </w:r>
      <w:r>
        <w:fldChar w:fldCharType="separate"/>
      </w:r>
      <w:r>
        <w:rPr>
          <w:rFonts w:hint="eastAsia" w:ascii="黑体" w:hAnsi="华文中宋" w:eastAsia="黑体"/>
          <w:szCs w:val="32"/>
        </w:rPr>
        <w:t>第二章 投标须知</w:t>
      </w:r>
      <w:r>
        <w:tab/>
      </w:r>
      <w:r>
        <w:fldChar w:fldCharType="begin"/>
      </w:r>
      <w:r>
        <w:instrText xml:space="preserve"> PAGEREF _Toc13071 \h </w:instrText>
      </w:r>
      <w:r>
        <w:fldChar w:fldCharType="separate"/>
      </w:r>
      <w:r>
        <w:t>12</w:t>
      </w:r>
      <w:r>
        <w:fldChar w:fldCharType="end"/>
      </w:r>
      <w:r>
        <w:fldChar w:fldCharType="end"/>
      </w:r>
    </w:p>
    <w:p w14:paraId="325B9602">
      <w:pPr>
        <w:pStyle w:val="18"/>
        <w:tabs>
          <w:tab w:val="right" w:leader="dot" w:pos="8844"/>
        </w:tabs>
        <w:ind w:left="420"/>
      </w:pPr>
      <w:r>
        <w:fldChar w:fldCharType="begin"/>
      </w:r>
      <w:r>
        <w:instrText xml:space="preserve"> HYPERLINK \l "_Toc17289" </w:instrText>
      </w:r>
      <w:r>
        <w:fldChar w:fldCharType="separate"/>
      </w:r>
      <w:r>
        <w:rPr>
          <w:rFonts w:hint="eastAsia"/>
        </w:rPr>
        <w:t>第一节 投标须知前附表</w:t>
      </w:r>
      <w:r>
        <w:tab/>
      </w:r>
      <w:r>
        <w:fldChar w:fldCharType="begin"/>
      </w:r>
      <w:r>
        <w:instrText xml:space="preserve"> PAGEREF _Toc17289 \h </w:instrText>
      </w:r>
      <w:r>
        <w:fldChar w:fldCharType="separate"/>
      </w:r>
      <w:r>
        <w:t>12</w:t>
      </w:r>
      <w:r>
        <w:fldChar w:fldCharType="end"/>
      </w:r>
      <w:r>
        <w:fldChar w:fldCharType="end"/>
      </w:r>
    </w:p>
    <w:p w14:paraId="5E27E27F">
      <w:pPr>
        <w:pStyle w:val="18"/>
        <w:tabs>
          <w:tab w:val="right" w:leader="dot" w:pos="8844"/>
        </w:tabs>
        <w:ind w:left="420"/>
      </w:pPr>
      <w:r>
        <w:fldChar w:fldCharType="begin"/>
      </w:r>
      <w:r>
        <w:instrText xml:space="preserve"> HYPERLINK \l "_Toc10968" </w:instrText>
      </w:r>
      <w:r>
        <w:fldChar w:fldCharType="separate"/>
      </w:r>
      <w:r>
        <w:rPr>
          <w:rFonts w:hint="eastAsia" w:ascii="黑体" w:hAnsi="黑体" w:eastAsia="黑体"/>
          <w:szCs w:val="28"/>
        </w:rPr>
        <w:t>第二节 投标须知</w:t>
      </w:r>
      <w:r>
        <w:tab/>
      </w:r>
      <w:r>
        <w:fldChar w:fldCharType="begin"/>
      </w:r>
      <w:r>
        <w:instrText xml:space="preserve"> PAGEREF _Toc10968 \h </w:instrText>
      </w:r>
      <w:r>
        <w:fldChar w:fldCharType="separate"/>
      </w:r>
      <w:r>
        <w:t>17</w:t>
      </w:r>
      <w:r>
        <w:fldChar w:fldCharType="end"/>
      </w:r>
      <w:r>
        <w:fldChar w:fldCharType="end"/>
      </w:r>
    </w:p>
    <w:p w14:paraId="2166092C">
      <w:pPr>
        <w:pStyle w:val="11"/>
        <w:tabs>
          <w:tab w:val="right" w:leader="dot" w:pos="8844"/>
        </w:tabs>
        <w:ind w:left="840"/>
      </w:pPr>
      <w:r>
        <w:fldChar w:fldCharType="begin"/>
      </w:r>
      <w:r>
        <w:instrText xml:space="preserve"> HYPERLINK \l "_Toc8868" </w:instrText>
      </w:r>
      <w:r>
        <w:fldChar w:fldCharType="separate"/>
      </w:r>
      <w:r>
        <w:rPr>
          <w:rFonts w:hint="eastAsia" w:ascii="黑体" w:hAnsi="黑体" w:eastAsia="黑体"/>
          <w:szCs w:val="28"/>
        </w:rPr>
        <w:t>一、总则</w:t>
      </w:r>
      <w:r>
        <w:tab/>
      </w:r>
      <w:r>
        <w:fldChar w:fldCharType="begin"/>
      </w:r>
      <w:r>
        <w:instrText xml:space="preserve"> PAGEREF _Toc8868 \h </w:instrText>
      </w:r>
      <w:r>
        <w:fldChar w:fldCharType="separate"/>
      </w:r>
      <w:r>
        <w:t>17</w:t>
      </w:r>
      <w:r>
        <w:fldChar w:fldCharType="end"/>
      </w:r>
      <w:r>
        <w:fldChar w:fldCharType="end"/>
      </w:r>
    </w:p>
    <w:p w14:paraId="4CC96CB5">
      <w:pPr>
        <w:pStyle w:val="11"/>
        <w:tabs>
          <w:tab w:val="right" w:leader="dot" w:pos="8844"/>
        </w:tabs>
        <w:ind w:left="840"/>
      </w:pPr>
      <w:r>
        <w:fldChar w:fldCharType="begin"/>
      </w:r>
      <w:r>
        <w:instrText xml:space="preserve"> HYPERLINK \l "_Toc2630" </w:instrText>
      </w:r>
      <w:r>
        <w:fldChar w:fldCharType="separate"/>
      </w:r>
      <w:r>
        <w:rPr>
          <w:rFonts w:hint="eastAsia" w:ascii="黑体" w:hAnsi="黑体" w:eastAsia="黑体"/>
          <w:szCs w:val="28"/>
        </w:rPr>
        <w:t>二、招标文件</w:t>
      </w:r>
      <w:r>
        <w:tab/>
      </w:r>
      <w:r>
        <w:fldChar w:fldCharType="begin"/>
      </w:r>
      <w:r>
        <w:instrText xml:space="preserve"> PAGEREF _Toc2630 \h </w:instrText>
      </w:r>
      <w:r>
        <w:fldChar w:fldCharType="separate"/>
      </w:r>
      <w:r>
        <w:t>18</w:t>
      </w:r>
      <w:r>
        <w:fldChar w:fldCharType="end"/>
      </w:r>
      <w:r>
        <w:fldChar w:fldCharType="end"/>
      </w:r>
    </w:p>
    <w:p w14:paraId="7DBEA350">
      <w:pPr>
        <w:pStyle w:val="11"/>
        <w:tabs>
          <w:tab w:val="right" w:leader="dot" w:pos="8844"/>
        </w:tabs>
        <w:ind w:left="840"/>
      </w:pPr>
      <w:r>
        <w:fldChar w:fldCharType="begin"/>
      </w:r>
      <w:r>
        <w:instrText xml:space="preserve"> HYPERLINK \l "_Toc7612" </w:instrText>
      </w:r>
      <w:r>
        <w:fldChar w:fldCharType="separate"/>
      </w:r>
      <w:r>
        <w:rPr>
          <w:rFonts w:hint="eastAsia" w:ascii="黑体" w:hAnsi="黑体" w:eastAsia="黑体"/>
          <w:szCs w:val="28"/>
        </w:rPr>
        <w:t>三、投标文件</w:t>
      </w:r>
      <w:r>
        <w:tab/>
      </w:r>
      <w:r>
        <w:fldChar w:fldCharType="begin"/>
      </w:r>
      <w:r>
        <w:instrText xml:space="preserve"> PAGEREF _Toc7612 \h </w:instrText>
      </w:r>
      <w:r>
        <w:fldChar w:fldCharType="separate"/>
      </w:r>
      <w:r>
        <w:t>20</w:t>
      </w:r>
      <w:r>
        <w:fldChar w:fldCharType="end"/>
      </w:r>
      <w:r>
        <w:fldChar w:fldCharType="end"/>
      </w:r>
    </w:p>
    <w:p w14:paraId="11015E66">
      <w:pPr>
        <w:pStyle w:val="11"/>
        <w:tabs>
          <w:tab w:val="right" w:leader="dot" w:pos="8844"/>
        </w:tabs>
        <w:ind w:left="840"/>
      </w:pPr>
      <w:r>
        <w:fldChar w:fldCharType="begin"/>
      </w:r>
      <w:r>
        <w:instrText xml:space="preserve"> HYPERLINK \l "_Toc7674" </w:instrText>
      </w:r>
      <w:r>
        <w:fldChar w:fldCharType="separate"/>
      </w:r>
      <w:r>
        <w:rPr>
          <w:rFonts w:hint="eastAsia" w:ascii="黑体" w:hAnsi="黑体" w:eastAsia="黑体"/>
          <w:szCs w:val="28"/>
        </w:rPr>
        <w:t>四、 投标</w:t>
      </w:r>
      <w:r>
        <w:tab/>
      </w:r>
      <w:r>
        <w:fldChar w:fldCharType="begin"/>
      </w:r>
      <w:r>
        <w:instrText xml:space="preserve"> PAGEREF _Toc7674 \h </w:instrText>
      </w:r>
      <w:r>
        <w:fldChar w:fldCharType="separate"/>
      </w:r>
      <w:r>
        <w:t>23</w:t>
      </w:r>
      <w:r>
        <w:fldChar w:fldCharType="end"/>
      </w:r>
      <w:r>
        <w:fldChar w:fldCharType="end"/>
      </w:r>
    </w:p>
    <w:p w14:paraId="4496D6ED">
      <w:pPr>
        <w:pStyle w:val="11"/>
        <w:tabs>
          <w:tab w:val="right" w:leader="dot" w:pos="8844"/>
        </w:tabs>
        <w:ind w:left="840"/>
      </w:pPr>
      <w:r>
        <w:fldChar w:fldCharType="begin"/>
      </w:r>
      <w:r>
        <w:instrText xml:space="preserve"> HYPERLINK \l "_Toc24655" </w:instrText>
      </w:r>
      <w:r>
        <w:fldChar w:fldCharType="separate"/>
      </w:r>
      <w:r>
        <w:rPr>
          <w:rFonts w:hint="eastAsia" w:ascii="黑体" w:hAnsi="黑体" w:eastAsia="黑体"/>
          <w:szCs w:val="28"/>
        </w:rPr>
        <w:t>五、开标，资格审查和评标</w:t>
      </w:r>
      <w:r>
        <w:tab/>
      </w:r>
      <w:r>
        <w:fldChar w:fldCharType="begin"/>
      </w:r>
      <w:r>
        <w:instrText xml:space="preserve"> PAGEREF _Toc24655 \h </w:instrText>
      </w:r>
      <w:r>
        <w:fldChar w:fldCharType="separate"/>
      </w:r>
      <w:r>
        <w:t>24</w:t>
      </w:r>
      <w:r>
        <w:fldChar w:fldCharType="end"/>
      </w:r>
      <w:r>
        <w:fldChar w:fldCharType="end"/>
      </w:r>
    </w:p>
    <w:p w14:paraId="62DF80F9">
      <w:pPr>
        <w:pStyle w:val="11"/>
        <w:tabs>
          <w:tab w:val="right" w:leader="dot" w:pos="8844"/>
        </w:tabs>
        <w:ind w:left="840"/>
      </w:pPr>
      <w:r>
        <w:fldChar w:fldCharType="begin"/>
      </w:r>
      <w:r>
        <w:instrText xml:space="preserve"> HYPERLINK \l "_Toc14161" </w:instrText>
      </w:r>
      <w:r>
        <w:fldChar w:fldCharType="separate"/>
      </w:r>
      <w:r>
        <w:rPr>
          <w:rFonts w:hint="eastAsia" w:ascii="黑体" w:hAnsi="黑体" w:eastAsia="黑体"/>
          <w:szCs w:val="28"/>
        </w:rPr>
        <w:t>六、中标信息公布</w:t>
      </w:r>
      <w:r>
        <w:tab/>
      </w:r>
      <w:r>
        <w:fldChar w:fldCharType="begin"/>
      </w:r>
      <w:r>
        <w:instrText xml:space="preserve"> PAGEREF _Toc14161 \h </w:instrText>
      </w:r>
      <w:r>
        <w:fldChar w:fldCharType="separate"/>
      </w:r>
      <w:r>
        <w:t>27</w:t>
      </w:r>
      <w:r>
        <w:fldChar w:fldCharType="end"/>
      </w:r>
      <w:r>
        <w:fldChar w:fldCharType="end"/>
      </w:r>
    </w:p>
    <w:p w14:paraId="4FF58EE5">
      <w:pPr>
        <w:pStyle w:val="11"/>
        <w:tabs>
          <w:tab w:val="right" w:leader="dot" w:pos="8844"/>
        </w:tabs>
        <w:ind w:left="840"/>
      </w:pPr>
      <w:r>
        <w:fldChar w:fldCharType="begin"/>
      </w:r>
      <w:r>
        <w:instrText xml:space="preserve"> HYPERLINK \l "_Toc25274" </w:instrText>
      </w:r>
      <w:r>
        <w:fldChar w:fldCharType="separate"/>
      </w:r>
      <w:r>
        <w:rPr>
          <w:rFonts w:hint="eastAsia" w:ascii="黑体" w:hAnsi="黑体" w:eastAsia="黑体"/>
          <w:szCs w:val="28"/>
        </w:rPr>
        <w:t>七、合同签订</w:t>
      </w:r>
      <w:r>
        <w:tab/>
      </w:r>
      <w:r>
        <w:fldChar w:fldCharType="begin"/>
      </w:r>
      <w:r>
        <w:instrText xml:space="preserve"> PAGEREF _Toc25274 \h </w:instrText>
      </w:r>
      <w:r>
        <w:fldChar w:fldCharType="separate"/>
      </w:r>
      <w:r>
        <w:t>28</w:t>
      </w:r>
      <w:r>
        <w:fldChar w:fldCharType="end"/>
      </w:r>
      <w:r>
        <w:fldChar w:fldCharType="end"/>
      </w:r>
    </w:p>
    <w:p w14:paraId="484473BE">
      <w:pPr>
        <w:pStyle w:val="11"/>
        <w:tabs>
          <w:tab w:val="right" w:leader="dot" w:pos="8844"/>
        </w:tabs>
        <w:ind w:left="840"/>
      </w:pPr>
      <w:r>
        <w:fldChar w:fldCharType="begin"/>
      </w:r>
      <w:r>
        <w:instrText xml:space="preserve"> HYPERLINK \l "_Toc28639" </w:instrText>
      </w:r>
      <w:r>
        <w:fldChar w:fldCharType="separate"/>
      </w:r>
      <w:r>
        <w:rPr>
          <w:rFonts w:hint="eastAsia" w:ascii="黑体" w:hAnsi="黑体" w:eastAsia="黑体"/>
          <w:szCs w:val="28"/>
        </w:rPr>
        <w:t>八、政府采购政策</w:t>
      </w:r>
      <w:r>
        <w:tab/>
      </w:r>
      <w:r>
        <w:fldChar w:fldCharType="begin"/>
      </w:r>
      <w:r>
        <w:instrText xml:space="preserve"> PAGEREF _Toc28639 \h </w:instrText>
      </w:r>
      <w:r>
        <w:fldChar w:fldCharType="separate"/>
      </w:r>
      <w:r>
        <w:t>28</w:t>
      </w:r>
      <w:r>
        <w:fldChar w:fldCharType="end"/>
      </w:r>
      <w:r>
        <w:fldChar w:fldCharType="end"/>
      </w:r>
    </w:p>
    <w:p w14:paraId="0BC6488A">
      <w:pPr>
        <w:pStyle w:val="11"/>
        <w:tabs>
          <w:tab w:val="right" w:leader="dot" w:pos="8844"/>
        </w:tabs>
        <w:ind w:left="840"/>
      </w:pPr>
      <w:r>
        <w:fldChar w:fldCharType="begin"/>
      </w:r>
      <w:r>
        <w:instrText xml:space="preserve"> HYPERLINK \l "_Toc30787" </w:instrText>
      </w:r>
      <w:r>
        <w:fldChar w:fldCharType="separate"/>
      </w:r>
      <w:r>
        <w:rPr>
          <w:rFonts w:hint="eastAsia" w:ascii="黑体" w:hAnsi="黑体" w:eastAsia="黑体"/>
          <w:szCs w:val="28"/>
        </w:rPr>
        <w:t>九、其他规定</w:t>
      </w:r>
      <w:r>
        <w:tab/>
      </w:r>
      <w:r>
        <w:fldChar w:fldCharType="begin"/>
      </w:r>
      <w:r>
        <w:instrText xml:space="preserve"> PAGEREF _Toc30787 \h </w:instrText>
      </w:r>
      <w:r>
        <w:fldChar w:fldCharType="separate"/>
      </w:r>
      <w:r>
        <w:t>30</w:t>
      </w:r>
      <w:r>
        <w:fldChar w:fldCharType="end"/>
      </w:r>
      <w:r>
        <w:fldChar w:fldCharType="end"/>
      </w:r>
    </w:p>
    <w:p w14:paraId="5105FB16">
      <w:pPr>
        <w:pStyle w:val="16"/>
        <w:tabs>
          <w:tab w:val="right" w:leader="dot" w:pos="8844"/>
        </w:tabs>
        <w:rPr>
          <w:rFonts w:hint="eastAsia"/>
        </w:rPr>
      </w:pPr>
      <w:r>
        <w:fldChar w:fldCharType="begin"/>
      </w:r>
      <w:r>
        <w:instrText xml:space="preserve"> HYPERLINK \l "_Toc1665" </w:instrText>
      </w:r>
      <w:r>
        <w:fldChar w:fldCharType="separate"/>
      </w:r>
      <w:r>
        <w:rPr>
          <w:rFonts w:hint="eastAsia" w:ascii="黑体" w:hAnsi="华文中宋" w:eastAsia="黑体"/>
          <w:szCs w:val="32"/>
        </w:rPr>
        <w:t>第三章 资格审查</w:t>
      </w:r>
      <w:r>
        <w:tab/>
      </w:r>
      <w:r>
        <w:fldChar w:fldCharType="begin"/>
      </w:r>
      <w:r>
        <w:instrText xml:space="preserve"> PAGEREF _Toc1665 \h </w:instrText>
      </w:r>
      <w:r>
        <w:fldChar w:fldCharType="separate"/>
      </w:r>
      <w:r>
        <w:t>32</w:t>
      </w:r>
      <w:r>
        <w:fldChar w:fldCharType="end"/>
      </w:r>
      <w:r>
        <w:fldChar w:fldCharType="end"/>
      </w:r>
    </w:p>
    <w:p w14:paraId="5A47F4DC">
      <w:pPr>
        <w:pStyle w:val="11"/>
        <w:tabs>
          <w:tab w:val="right" w:leader="dot" w:pos="8844"/>
        </w:tabs>
        <w:ind w:left="840"/>
      </w:pPr>
      <w:r>
        <w:fldChar w:fldCharType="begin"/>
      </w:r>
      <w:r>
        <w:instrText xml:space="preserve"> HYPERLINK \l "_Toc4126" </w:instrText>
      </w:r>
      <w:r>
        <w:fldChar w:fldCharType="separate"/>
      </w:r>
      <w:r>
        <w:rPr>
          <w:rFonts w:hint="eastAsia" w:ascii="黑体" w:hAnsi="黑体" w:eastAsia="黑体"/>
        </w:rPr>
        <w:t>1．资格审查主体</w:t>
      </w:r>
      <w:r>
        <w:tab/>
      </w:r>
      <w:r>
        <w:fldChar w:fldCharType="begin"/>
      </w:r>
      <w:r>
        <w:instrText xml:space="preserve"> PAGEREF _Toc4126 \h </w:instrText>
      </w:r>
      <w:r>
        <w:fldChar w:fldCharType="separate"/>
      </w:r>
      <w:r>
        <w:t>32</w:t>
      </w:r>
      <w:r>
        <w:fldChar w:fldCharType="end"/>
      </w:r>
      <w:r>
        <w:fldChar w:fldCharType="end"/>
      </w:r>
    </w:p>
    <w:p w14:paraId="103F1F4B">
      <w:pPr>
        <w:pStyle w:val="11"/>
        <w:tabs>
          <w:tab w:val="right" w:leader="dot" w:pos="8844"/>
        </w:tabs>
        <w:ind w:left="840"/>
      </w:pPr>
      <w:r>
        <w:fldChar w:fldCharType="begin"/>
      </w:r>
      <w:r>
        <w:instrText xml:space="preserve"> HYPERLINK \l "_Toc30987" </w:instrText>
      </w:r>
      <w:r>
        <w:fldChar w:fldCharType="separate"/>
      </w:r>
      <w:r>
        <w:rPr>
          <w:rFonts w:hint="eastAsia" w:ascii="黑体" w:hAnsi="黑体" w:eastAsia="黑体"/>
        </w:rPr>
        <w:t>2．资格审查</w:t>
      </w:r>
      <w:r>
        <w:tab/>
      </w:r>
      <w:r>
        <w:fldChar w:fldCharType="begin"/>
      </w:r>
      <w:r>
        <w:instrText xml:space="preserve"> PAGEREF _Toc30987 \h </w:instrText>
      </w:r>
      <w:r>
        <w:fldChar w:fldCharType="separate"/>
      </w:r>
      <w:r>
        <w:t>32</w:t>
      </w:r>
      <w:r>
        <w:fldChar w:fldCharType="end"/>
      </w:r>
      <w:r>
        <w:fldChar w:fldCharType="end"/>
      </w:r>
    </w:p>
    <w:p w14:paraId="4E58439A">
      <w:pPr>
        <w:pStyle w:val="11"/>
        <w:tabs>
          <w:tab w:val="right" w:leader="dot" w:pos="8844"/>
        </w:tabs>
        <w:ind w:left="840"/>
      </w:pPr>
      <w:r>
        <w:fldChar w:fldCharType="begin"/>
      </w:r>
      <w:r>
        <w:instrText xml:space="preserve"> HYPERLINK \l "_Toc16936" </w:instrText>
      </w:r>
      <w:r>
        <w:fldChar w:fldCharType="separate"/>
      </w:r>
      <w:r>
        <w:rPr>
          <w:rFonts w:hint="eastAsia" w:ascii="黑体" w:hAnsi="黑体" w:eastAsia="黑体"/>
        </w:rPr>
        <w:t>3．资格审查结果</w:t>
      </w:r>
      <w:r>
        <w:tab/>
      </w:r>
      <w:r>
        <w:fldChar w:fldCharType="begin"/>
      </w:r>
      <w:r>
        <w:instrText xml:space="preserve"> PAGEREF _Toc16936 \h </w:instrText>
      </w:r>
      <w:r>
        <w:fldChar w:fldCharType="separate"/>
      </w:r>
      <w:r>
        <w:t>33</w:t>
      </w:r>
      <w:r>
        <w:fldChar w:fldCharType="end"/>
      </w:r>
      <w:r>
        <w:fldChar w:fldCharType="end"/>
      </w:r>
    </w:p>
    <w:p w14:paraId="3376EF56">
      <w:pPr>
        <w:pStyle w:val="17"/>
        <w:tabs>
          <w:tab w:val="right" w:leader="dot" w:pos="8844"/>
        </w:tabs>
        <w:ind w:left="1260"/>
      </w:pPr>
      <w:r>
        <w:fldChar w:fldCharType="begin"/>
      </w:r>
      <w:r>
        <w:instrText xml:space="preserve"> HYPERLINK \l "_Toc23442" </w:instrText>
      </w:r>
      <w:r>
        <w:fldChar w:fldCharType="separate"/>
      </w:r>
      <w:r>
        <w:rPr>
          <w:rFonts w:hint="eastAsia" w:asciiTheme="minorEastAsia" w:hAnsiTheme="minorEastAsia"/>
          <w:szCs w:val="21"/>
        </w:rPr>
        <w:t>附表1</w:t>
      </w:r>
      <w:r>
        <w:rPr>
          <w:rFonts w:asciiTheme="minorEastAsia" w:hAnsiTheme="minorEastAsia"/>
          <w:szCs w:val="21"/>
        </w:rPr>
        <w:t>资格审查表</w:t>
      </w:r>
      <w:r>
        <w:tab/>
      </w:r>
      <w:r>
        <w:fldChar w:fldCharType="begin"/>
      </w:r>
      <w:r>
        <w:instrText xml:space="preserve"> PAGEREF _Toc23442 \h </w:instrText>
      </w:r>
      <w:r>
        <w:fldChar w:fldCharType="separate"/>
      </w:r>
      <w:r>
        <w:t>34</w:t>
      </w:r>
      <w:r>
        <w:fldChar w:fldCharType="end"/>
      </w:r>
      <w:r>
        <w:fldChar w:fldCharType="end"/>
      </w:r>
    </w:p>
    <w:p w14:paraId="5607F420">
      <w:pPr>
        <w:pStyle w:val="17"/>
        <w:tabs>
          <w:tab w:val="right" w:leader="dot" w:pos="8844"/>
        </w:tabs>
        <w:ind w:left="1260"/>
      </w:pPr>
      <w:r>
        <w:fldChar w:fldCharType="begin"/>
      </w:r>
      <w:r>
        <w:instrText xml:space="preserve"> HYPERLINK \l "_Toc28611" </w:instrText>
      </w:r>
      <w:r>
        <w:fldChar w:fldCharType="separate"/>
      </w:r>
      <w:r>
        <w:rPr>
          <w:rFonts w:hint="eastAsia" w:ascii="黑体" w:hAnsi="黑体"/>
          <w:szCs w:val="21"/>
        </w:rPr>
        <w:t>附表2 资格审查结果一览表</w:t>
      </w:r>
      <w:r>
        <w:tab/>
      </w:r>
      <w:r>
        <w:fldChar w:fldCharType="begin"/>
      </w:r>
      <w:r>
        <w:instrText xml:space="preserve"> PAGEREF _Toc28611 \h </w:instrText>
      </w:r>
      <w:r>
        <w:fldChar w:fldCharType="separate"/>
      </w:r>
      <w:r>
        <w:t>35</w:t>
      </w:r>
      <w:r>
        <w:fldChar w:fldCharType="end"/>
      </w:r>
      <w:r>
        <w:fldChar w:fldCharType="end"/>
      </w:r>
    </w:p>
    <w:p w14:paraId="62E896AA">
      <w:pPr>
        <w:pStyle w:val="17"/>
        <w:tabs>
          <w:tab w:val="right" w:leader="dot" w:pos="8844"/>
        </w:tabs>
        <w:ind w:left="1260"/>
      </w:pPr>
      <w:r>
        <w:fldChar w:fldCharType="begin"/>
      </w:r>
      <w:r>
        <w:instrText xml:space="preserve"> HYPERLINK \l "_Toc5584" </w:instrText>
      </w:r>
      <w:r>
        <w:fldChar w:fldCharType="separate"/>
      </w:r>
      <w:r>
        <w:rPr>
          <w:rFonts w:hint="eastAsia" w:ascii="黑体" w:hAnsi="黑体"/>
          <w:szCs w:val="21"/>
        </w:rPr>
        <w:t>附表3 资格审查合格投标人名单</w:t>
      </w:r>
      <w:r>
        <w:tab/>
      </w:r>
      <w:r>
        <w:fldChar w:fldCharType="begin"/>
      </w:r>
      <w:r>
        <w:instrText xml:space="preserve"> PAGEREF _Toc5584 \h </w:instrText>
      </w:r>
      <w:r>
        <w:fldChar w:fldCharType="separate"/>
      </w:r>
      <w:r>
        <w:t>36</w:t>
      </w:r>
      <w:r>
        <w:fldChar w:fldCharType="end"/>
      </w:r>
      <w:r>
        <w:fldChar w:fldCharType="end"/>
      </w:r>
    </w:p>
    <w:p w14:paraId="7200C93D">
      <w:pPr>
        <w:pStyle w:val="16"/>
        <w:tabs>
          <w:tab w:val="right" w:leader="dot" w:pos="8844"/>
        </w:tabs>
        <w:rPr>
          <w:rFonts w:hint="eastAsia"/>
        </w:rPr>
      </w:pPr>
      <w:r>
        <w:fldChar w:fldCharType="begin"/>
      </w:r>
      <w:r>
        <w:instrText xml:space="preserve"> HYPERLINK \l "_Toc12282" </w:instrText>
      </w:r>
      <w:r>
        <w:fldChar w:fldCharType="separate"/>
      </w:r>
      <w:r>
        <w:rPr>
          <w:rFonts w:hint="eastAsia" w:ascii="黑体" w:hAnsi="华文中宋" w:eastAsia="黑体"/>
          <w:szCs w:val="32"/>
        </w:rPr>
        <w:t>第四章 评标方法及标准（综合评分法）</w:t>
      </w:r>
      <w:r>
        <w:tab/>
      </w:r>
      <w:r>
        <w:fldChar w:fldCharType="begin"/>
      </w:r>
      <w:r>
        <w:instrText xml:space="preserve"> PAGEREF _Toc12282 \h </w:instrText>
      </w:r>
      <w:r>
        <w:fldChar w:fldCharType="separate"/>
      </w:r>
      <w:r>
        <w:t>37</w:t>
      </w:r>
      <w:r>
        <w:fldChar w:fldCharType="end"/>
      </w:r>
      <w:r>
        <w:fldChar w:fldCharType="end"/>
      </w:r>
    </w:p>
    <w:p w14:paraId="0F42F831">
      <w:pPr>
        <w:pStyle w:val="18"/>
        <w:tabs>
          <w:tab w:val="right" w:leader="dot" w:pos="8844"/>
        </w:tabs>
        <w:ind w:left="420"/>
      </w:pPr>
      <w:r>
        <w:fldChar w:fldCharType="begin"/>
      </w:r>
      <w:r>
        <w:instrText xml:space="preserve"> HYPERLINK \l "_Toc24566" </w:instrText>
      </w:r>
      <w:r>
        <w:fldChar w:fldCharType="separate"/>
      </w:r>
      <w:r>
        <w:rPr>
          <w:rFonts w:hint="eastAsia" w:ascii="黑体" w:hAnsi="华文中宋" w:eastAsia="黑体"/>
          <w:szCs w:val="28"/>
        </w:rPr>
        <w:t>第一节 评标方法及标准前附表</w:t>
      </w:r>
      <w:r>
        <w:tab/>
      </w:r>
      <w:r>
        <w:fldChar w:fldCharType="begin"/>
      </w:r>
      <w:r>
        <w:instrText xml:space="preserve"> PAGEREF _Toc24566 \h </w:instrText>
      </w:r>
      <w:r>
        <w:fldChar w:fldCharType="separate"/>
      </w:r>
      <w:r>
        <w:t>37</w:t>
      </w:r>
      <w:r>
        <w:fldChar w:fldCharType="end"/>
      </w:r>
      <w:r>
        <w:fldChar w:fldCharType="end"/>
      </w:r>
    </w:p>
    <w:p w14:paraId="503F65DE">
      <w:pPr>
        <w:pStyle w:val="18"/>
        <w:tabs>
          <w:tab w:val="right" w:leader="dot" w:pos="8844"/>
        </w:tabs>
        <w:ind w:left="420"/>
      </w:pPr>
      <w:r>
        <w:fldChar w:fldCharType="begin"/>
      </w:r>
      <w:r>
        <w:instrText xml:space="preserve"> HYPERLINK \l "_Toc10823" </w:instrText>
      </w:r>
      <w:r>
        <w:fldChar w:fldCharType="separate"/>
      </w:r>
      <w:r>
        <w:rPr>
          <w:rFonts w:hint="eastAsia" w:ascii="黑体" w:hAnsi="华文中宋" w:eastAsia="黑体"/>
          <w:szCs w:val="28"/>
        </w:rPr>
        <w:t>第二节 评标方法及标准</w:t>
      </w:r>
      <w:r>
        <w:tab/>
      </w:r>
      <w:r>
        <w:fldChar w:fldCharType="begin"/>
      </w:r>
      <w:r>
        <w:instrText xml:space="preserve"> PAGEREF _Toc10823 \h </w:instrText>
      </w:r>
      <w:r>
        <w:fldChar w:fldCharType="separate"/>
      </w:r>
      <w:r>
        <w:t>39</w:t>
      </w:r>
      <w:r>
        <w:fldChar w:fldCharType="end"/>
      </w:r>
      <w:r>
        <w:fldChar w:fldCharType="end"/>
      </w:r>
    </w:p>
    <w:p w14:paraId="2B0E137F">
      <w:pPr>
        <w:pStyle w:val="11"/>
        <w:tabs>
          <w:tab w:val="right" w:leader="dot" w:pos="8844"/>
        </w:tabs>
        <w:ind w:left="840"/>
      </w:pPr>
      <w:r>
        <w:fldChar w:fldCharType="begin"/>
      </w:r>
      <w:r>
        <w:instrText xml:space="preserve"> HYPERLINK \l "_Toc31611" </w:instrText>
      </w:r>
      <w:r>
        <w:fldChar w:fldCharType="separate"/>
      </w:r>
      <w:r>
        <w:rPr>
          <w:rFonts w:hint="eastAsia" w:ascii="黑体" w:hAnsi="黑体" w:eastAsia="黑体"/>
        </w:rPr>
        <w:t>1．评标方法</w:t>
      </w:r>
      <w:r>
        <w:tab/>
      </w:r>
      <w:r>
        <w:fldChar w:fldCharType="begin"/>
      </w:r>
      <w:r>
        <w:instrText xml:space="preserve"> PAGEREF _Toc31611 \h </w:instrText>
      </w:r>
      <w:r>
        <w:fldChar w:fldCharType="separate"/>
      </w:r>
      <w:r>
        <w:t>39</w:t>
      </w:r>
      <w:r>
        <w:fldChar w:fldCharType="end"/>
      </w:r>
      <w:r>
        <w:fldChar w:fldCharType="end"/>
      </w:r>
    </w:p>
    <w:p w14:paraId="1C0FB750">
      <w:pPr>
        <w:pStyle w:val="11"/>
        <w:tabs>
          <w:tab w:val="right" w:leader="dot" w:pos="8844"/>
        </w:tabs>
        <w:ind w:left="840"/>
      </w:pPr>
      <w:r>
        <w:fldChar w:fldCharType="begin"/>
      </w:r>
      <w:r>
        <w:instrText xml:space="preserve"> HYPERLINK \l "_Toc31385" </w:instrText>
      </w:r>
      <w:r>
        <w:fldChar w:fldCharType="separate"/>
      </w:r>
      <w:r>
        <w:rPr>
          <w:rFonts w:hint="eastAsia" w:ascii="黑体" w:hAnsi="黑体" w:eastAsia="黑体"/>
        </w:rPr>
        <w:t>2．评标程序</w:t>
      </w:r>
      <w:r>
        <w:tab/>
      </w:r>
      <w:r>
        <w:fldChar w:fldCharType="begin"/>
      </w:r>
      <w:r>
        <w:instrText xml:space="preserve"> PAGEREF _Toc31385 \h </w:instrText>
      </w:r>
      <w:r>
        <w:fldChar w:fldCharType="separate"/>
      </w:r>
      <w:r>
        <w:t>39</w:t>
      </w:r>
      <w:r>
        <w:fldChar w:fldCharType="end"/>
      </w:r>
      <w:r>
        <w:fldChar w:fldCharType="end"/>
      </w:r>
    </w:p>
    <w:p w14:paraId="2A1A9728">
      <w:pPr>
        <w:pStyle w:val="11"/>
        <w:tabs>
          <w:tab w:val="right" w:leader="dot" w:pos="8844"/>
        </w:tabs>
        <w:ind w:left="840"/>
      </w:pPr>
      <w:r>
        <w:fldChar w:fldCharType="begin"/>
      </w:r>
      <w:r>
        <w:instrText xml:space="preserve"> HYPERLINK \l "_Toc23423" </w:instrText>
      </w:r>
      <w:r>
        <w:fldChar w:fldCharType="separate"/>
      </w:r>
      <w:r>
        <w:rPr>
          <w:rFonts w:hint="eastAsia" w:ascii="黑体" w:hAnsi="黑体" w:eastAsia="黑体"/>
        </w:rPr>
        <w:t>3．投标文件的符合性审查</w:t>
      </w:r>
      <w:r>
        <w:tab/>
      </w:r>
      <w:r>
        <w:fldChar w:fldCharType="begin"/>
      </w:r>
      <w:r>
        <w:instrText xml:space="preserve"> PAGEREF _Toc23423 \h </w:instrText>
      </w:r>
      <w:r>
        <w:fldChar w:fldCharType="separate"/>
      </w:r>
      <w:r>
        <w:t>39</w:t>
      </w:r>
      <w:r>
        <w:fldChar w:fldCharType="end"/>
      </w:r>
      <w:r>
        <w:fldChar w:fldCharType="end"/>
      </w:r>
    </w:p>
    <w:p w14:paraId="01AC6918">
      <w:pPr>
        <w:pStyle w:val="11"/>
        <w:tabs>
          <w:tab w:val="right" w:leader="dot" w:pos="8844"/>
        </w:tabs>
        <w:ind w:left="840"/>
      </w:pPr>
      <w:r>
        <w:fldChar w:fldCharType="begin"/>
      </w:r>
      <w:r>
        <w:instrText xml:space="preserve"> HYPERLINK \l "_Toc15039" </w:instrText>
      </w:r>
      <w:r>
        <w:fldChar w:fldCharType="separate"/>
      </w:r>
      <w:r>
        <w:rPr>
          <w:rFonts w:hint="eastAsia" w:ascii="黑体" w:hAnsi="黑体" w:eastAsia="黑体"/>
        </w:rPr>
        <w:t>4．投标文件的澄清</w:t>
      </w:r>
      <w:r>
        <w:tab/>
      </w:r>
      <w:r>
        <w:fldChar w:fldCharType="begin"/>
      </w:r>
      <w:r>
        <w:instrText xml:space="preserve"> PAGEREF _Toc15039 \h </w:instrText>
      </w:r>
      <w:r>
        <w:fldChar w:fldCharType="separate"/>
      </w:r>
      <w:r>
        <w:t>39</w:t>
      </w:r>
      <w:r>
        <w:fldChar w:fldCharType="end"/>
      </w:r>
      <w:r>
        <w:fldChar w:fldCharType="end"/>
      </w:r>
    </w:p>
    <w:p w14:paraId="437EF903">
      <w:pPr>
        <w:pStyle w:val="11"/>
        <w:tabs>
          <w:tab w:val="right" w:leader="dot" w:pos="8844"/>
        </w:tabs>
        <w:ind w:left="840"/>
      </w:pPr>
      <w:r>
        <w:fldChar w:fldCharType="begin"/>
      </w:r>
      <w:r>
        <w:instrText xml:space="preserve"> HYPERLINK \l "_Toc282" </w:instrText>
      </w:r>
      <w:r>
        <w:fldChar w:fldCharType="separate"/>
      </w:r>
      <w:r>
        <w:rPr>
          <w:rFonts w:hint="eastAsia" w:ascii="黑体" w:hAnsi="黑体" w:eastAsia="黑体"/>
        </w:rPr>
        <w:t>5．投标文件的比较与评价</w:t>
      </w:r>
      <w:r>
        <w:tab/>
      </w:r>
      <w:r>
        <w:fldChar w:fldCharType="begin"/>
      </w:r>
      <w:r>
        <w:instrText xml:space="preserve"> PAGEREF _Toc282 \h </w:instrText>
      </w:r>
      <w:r>
        <w:fldChar w:fldCharType="separate"/>
      </w:r>
      <w:r>
        <w:t>40</w:t>
      </w:r>
      <w:r>
        <w:fldChar w:fldCharType="end"/>
      </w:r>
      <w:r>
        <w:fldChar w:fldCharType="end"/>
      </w:r>
    </w:p>
    <w:p w14:paraId="43EEA621">
      <w:pPr>
        <w:pStyle w:val="11"/>
        <w:tabs>
          <w:tab w:val="right" w:leader="dot" w:pos="8844"/>
        </w:tabs>
        <w:ind w:left="840"/>
      </w:pPr>
      <w:r>
        <w:fldChar w:fldCharType="begin"/>
      </w:r>
      <w:r>
        <w:instrText xml:space="preserve"> HYPERLINK \l "_Toc1000" </w:instrText>
      </w:r>
      <w:r>
        <w:fldChar w:fldCharType="separate"/>
      </w:r>
      <w:r>
        <w:rPr>
          <w:rFonts w:hint="eastAsia" w:ascii="黑体" w:hAnsi="黑体" w:eastAsia="黑体"/>
        </w:rPr>
        <w:t>6．推荐中标候选人</w:t>
      </w:r>
      <w:r>
        <w:tab/>
      </w:r>
      <w:r>
        <w:fldChar w:fldCharType="begin"/>
      </w:r>
      <w:r>
        <w:instrText xml:space="preserve"> PAGEREF _Toc1000 \h </w:instrText>
      </w:r>
      <w:r>
        <w:fldChar w:fldCharType="separate"/>
      </w:r>
      <w:r>
        <w:t>40</w:t>
      </w:r>
      <w:r>
        <w:fldChar w:fldCharType="end"/>
      </w:r>
      <w:r>
        <w:fldChar w:fldCharType="end"/>
      </w:r>
    </w:p>
    <w:p w14:paraId="3F6668BB">
      <w:pPr>
        <w:pStyle w:val="11"/>
        <w:tabs>
          <w:tab w:val="right" w:leader="dot" w:pos="8844"/>
        </w:tabs>
        <w:ind w:left="840"/>
      </w:pPr>
      <w:r>
        <w:fldChar w:fldCharType="begin"/>
      </w:r>
      <w:r>
        <w:instrText xml:space="preserve"> HYPERLINK \l "_Toc13136" </w:instrText>
      </w:r>
      <w:r>
        <w:fldChar w:fldCharType="separate"/>
      </w:r>
      <w:r>
        <w:rPr>
          <w:rFonts w:hint="eastAsia" w:ascii="黑体" w:hAnsi="黑体" w:eastAsia="黑体"/>
        </w:rPr>
        <w:t>7．编写评标报告</w:t>
      </w:r>
      <w:r>
        <w:tab/>
      </w:r>
      <w:r>
        <w:fldChar w:fldCharType="begin"/>
      </w:r>
      <w:r>
        <w:instrText xml:space="preserve"> PAGEREF _Toc13136 \h </w:instrText>
      </w:r>
      <w:r>
        <w:fldChar w:fldCharType="separate"/>
      </w:r>
      <w:r>
        <w:t>41</w:t>
      </w:r>
      <w:r>
        <w:fldChar w:fldCharType="end"/>
      </w:r>
      <w:r>
        <w:fldChar w:fldCharType="end"/>
      </w:r>
    </w:p>
    <w:p w14:paraId="6ED8518C">
      <w:pPr>
        <w:pStyle w:val="11"/>
        <w:tabs>
          <w:tab w:val="right" w:leader="dot" w:pos="8844"/>
        </w:tabs>
        <w:ind w:left="840"/>
      </w:pPr>
      <w:r>
        <w:fldChar w:fldCharType="begin"/>
      </w:r>
      <w:r>
        <w:instrText xml:space="preserve"> HYPERLINK \l "_Toc4435" </w:instrText>
      </w:r>
      <w:r>
        <w:fldChar w:fldCharType="separate"/>
      </w:r>
      <w:r>
        <w:rPr>
          <w:rFonts w:hint="eastAsia" w:ascii="黑体" w:hAnsi="黑体" w:eastAsia="黑体"/>
        </w:rPr>
        <w:t>8．评标报告复核</w:t>
      </w:r>
      <w:r>
        <w:tab/>
      </w:r>
      <w:r>
        <w:fldChar w:fldCharType="begin"/>
      </w:r>
      <w:r>
        <w:instrText xml:space="preserve"> PAGEREF _Toc4435 \h </w:instrText>
      </w:r>
      <w:r>
        <w:fldChar w:fldCharType="separate"/>
      </w:r>
      <w:r>
        <w:t>41</w:t>
      </w:r>
      <w:r>
        <w:fldChar w:fldCharType="end"/>
      </w:r>
      <w:r>
        <w:fldChar w:fldCharType="end"/>
      </w:r>
    </w:p>
    <w:p w14:paraId="50527454">
      <w:pPr>
        <w:pStyle w:val="11"/>
        <w:tabs>
          <w:tab w:val="right" w:leader="dot" w:pos="8844"/>
        </w:tabs>
        <w:ind w:left="840"/>
      </w:pPr>
      <w:r>
        <w:fldChar w:fldCharType="begin"/>
      </w:r>
      <w:r>
        <w:instrText xml:space="preserve"> HYPERLINK \l "_Toc14213" </w:instrText>
      </w:r>
      <w:r>
        <w:fldChar w:fldCharType="separate"/>
      </w:r>
      <w:r>
        <w:rPr>
          <w:rFonts w:hint="eastAsia" w:ascii="黑体" w:hAnsi="黑体" w:eastAsia="黑体"/>
        </w:rPr>
        <w:t>9．停止评标</w:t>
      </w:r>
      <w:r>
        <w:tab/>
      </w:r>
      <w:r>
        <w:fldChar w:fldCharType="begin"/>
      </w:r>
      <w:r>
        <w:instrText xml:space="preserve"> PAGEREF _Toc14213 \h </w:instrText>
      </w:r>
      <w:r>
        <w:fldChar w:fldCharType="separate"/>
      </w:r>
      <w:r>
        <w:t>41</w:t>
      </w:r>
      <w:r>
        <w:fldChar w:fldCharType="end"/>
      </w:r>
      <w:r>
        <w:fldChar w:fldCharType="end"/>
      </w:r>
    </w:p>
    <w:p w14:paraId="79417220">
      <w:pPr>
        <w:pStyle w:val="11"/>
        <w:tabs>
          <w:tab w:val="right" w:leader="dot" w:pos="8844"/>
        </w:tabs>
        <w:ind w:left="840"/>
      </w:pPr>
      <w:r>
        <w:fldChar w:fldCharType="begin"/>
      </w:r>
      <w:r>
        <w:instrText xml:space="preserve"> HYPERLINK \l "_Toc13679" </w:instrText>
      </w:r>
      <w:r>
        <w:fldChar w:fldCharType="separate"/>
      </w:r>
      <w:r>
        <w:rPr>
          <w:rFonts w:hint="eastAsia" w:ascii="黑体" w:hAnsi="黑体" w:eastAsia="黑体" w:cs="黑体"/>
          <w:szCs w:val="28"/>
        </w:rPr>
        <w:t>10.废标</w:t>
      </w:r>
      <w:r>
        <w:tab/>
      </w:r>
      <w:r>
        <w:fldChar w:fldCharType="begin"/>
      </w:r>
      <w:r>
        <w:instrText xml:space="preserve"> PAGEREF _Toc13679 \h </w:instrText>
      </w:r>
      <w:r>
        <w:fldChar w:fldCharType="separate"/>
      </w:r>
      <w:r>
        <w:t>42</w:t>
      </w:r>
      <w:r>
        <w:fldChar w:fldCharType="end"/>
      </w:r>
      <w:r>
        <w:fldChar w:fldCharType="end"/>
      </w:r>
    </w:p>
    <w:p w14:paraId="1F9E11AC">
      <w:pPr>
        <w:pStyle w:val="11"/>
        <w:tabs>
          <w:tab w:val="right" w:leader="dot" w:pos="8844"/>
        </w:tabs>
        <w:ind w:left="840"/>
      </w:pPr>
      <w:r>
        <w:fldChar w:fldCharType="begin"/>
      </w:r>
      <w:r>
        <w:instrText xml:space="preserve"> HYPERLINK \l "_Toc5791" </w:instrText>
      </w:r>
      <w:r>
        <w:fldChar w:fldCharType="separate"/>
      </w:r>
      <w:r>
        <w:rPr>
          <w:rFonts w:hint="eastAsia" w:ascii="黑体" w:hAnsi="黑体" w:eastAsia="黑体" w:cs="宋体"/>
          <w:kern w:val="0"/>
        </w:rPr>
        <w:t>11．重新组建评标委员会进行评标</w:t>
      </w:r>
      <w:r>
        <w:tab/>
      </w:r>
      <w:r>
        <w:fldChar w:fldCharType="begin"/>
      </w:r>
      <w:r>
        <w:instrText xml:space="preserve"> PAGEREF _Toc5791 \h </w:instrText>
      </w:r>
      <w:r>
        <w:fldChar w:fldCharType="separate"/>
      </w:r>
      <w:r>
        <w:t>42</w:t>
      </w:r>
      <w:r>
        <w:fldChar w:fldCharType="end"/>
      </w:r>
      <w:r>
        <w:fldChar w:fldCharType="end"/>
      </w:r>
    </w:p>
    <w:p w14:paraId="3D5ACF64">
      <w:pPr>
        <w:pStyle w:val="18"/>
        <w:tabs>
          <w:tab w:val="right" w:leader="dot" w:pos="8844"/>
        </w:tabs>
        <w:ind w:left="420"/>
      </w:pPr>
      <w:r>
        <w:fldChar w:fldCharType="begin"/>
      </w:r>
      <w:r>
        <w:instrText xml:space="preserve"> HYPERLINK \l "_Toc7410" </w:instrText>
      </w:r>
      <w:r>
        <w:fldChar w:fldCharType="separate"/>
      </w:r>
      <w:r>
        <w:rPr>
          <w:rFonts w:hint="eastAsia" w:ascii="黑体" w:hAnsi="华文中宋" w:eastAsia="黑体"/>
          <w:szCs w:val="28"/>
        </w:rPr>
        <w:t>第三节 投标文件的符合性审查</w:t>
      </w:r>
      <w:r>
        <w:tab/>
      </w:r>
      <w:r>
        <w:fldChar w:fldCharType="begin"/>
      </w:r>
      <w:r>
        <w:instrText xml:space="preserve"> PAGEREF _Toc7410 \h </w:instrText>
      </w:r>
      <w:r>
        <w:fldChar w:fldCharType="separate"/>
      </w:r>
      <w:r>
        <w:t>43</w:t>
      </w:r>
      <w:r>
        <w:fldChar w:fldCharType="end"/>
      </w:r>
      <w:r>
        <w:fldChar w:fldCharType="end"/>
      </w:r>
    </w:p>
    <w:p w14:paraId="77802CF5">
      <w:pPr>
        <w:pStyle w:val="11"/>
        <w:tabs>
          <w:tab w:val="right" w:leader="dot" w:pos="8844"/>
        </w:tabs>
        <w:ind w:left="840"/>
      </w:pPr>
      <w:r>
        <w:fldChar w:fldCharType="begin"/>
      </w:r>
      <w:r>
        <w:instrText xml:space="preserve"> HYPERLINK \l "_Toc7233" </w:instrText>
      </w:r>
      <w:r>
        <w:fldChar w:fldCharType="separate"/>
      </w:r>
      <w:r>
        <w:rPr>
          <w:rFonts w:hint="eastAsia"/>
          <w:szCs w:val="21"/>
        </w:rPr>
        <w:t>附表1 符合性审查表</w:t>
      </w:r>
      <w:r>
        <w:tab/>
      </w:r>
      <w:r>
        <w:fldChar w:fldCharType="begin"/>
      </w:r>
      <w:r>
        <w:instrText xml:space="preserve"> PAGEREF _Toc7233 \h </w:instrText>
      </w:r>
      <w:r>
        <w:fldChar w:fldCharType="separate"/>
      </w:r>
      <w:r>
        <w:t>44</w:t>
      </w:r>
      <w:r>
        <w:fldChar w:fldCharType="end"/>
      </w:r>
      <w:r>
        <w:fldChar w:fldCharType="end"/>
      </w:r>
    </w:p>
    <w:p w14:paraId="72E4FFC4">
      <w:pPr>
        <w:pStyle w:val="11"/>
        <w:tabs>
          <w:tab w:val="right" w:leader="dot" w:pos="8844"/>
        </w:tabs>
        <w:ind w:left="840"/>
      </w:pPr>
      <w:r>
        <w:fldChar w:fldCharType="begin"/>
      </w:r>
      <w:r>
        <w:instrText xml:space="preserve"> HYPERLINK \l "_Toc30641" </w:instrText>
      </w:r>
      <w:r>
        <w:fldChar w:fldCharType="separate"/>
      </w:r>
      <w:r>
        <w:rPr>
          <w:rFonts w:hint="eastAsia"/>
          <w:szCs w:val="21"/>
        </w:rPr>
        <w:t>附表2 符合性审查结果一览表</w:t>
      </w:r>
      <w:r>
        <w:tab/>
      </w:r>
      <w:r>
        <w:fldChar w:fldCharType="begin"/>
      </w:r>
      <w:r>
        <w:instrText xml:space="preserve"> PAGEREF _Toc30641 \h </w:instrText>
      </w:r>
      <w:r>
        <w:fldChar w:fldCharType="separate"/>
      </w:r>
      <w:r>
        <w:t>45</w:t>
      </w:r>
      <w:r>
        <w:fldChar w:fldCharType="end"/>
      </w:r>
      <w:r>
        <w:fldChar w:fldCharType="end"/>
      </w:r>
    </w:p>
    <w:p w14:paraId="3C9EB425">
      <w:pPr>
        <w:pStyle w:val="11"/>
        <w:tabs>
          <w:tab w:val="right" w:leader="dot" w:pos="8844"/>
        </w:tabs>
        <w:ind w:left="840"/>
      </w:pPr>
      <w:r>
        <w:fldChar w:fldCharType="begin"/>
      </w:r>
      <w:r>
        <w:instrText xml:space="preserve"> HYPERLINK \l "_Toc26810" </w:instrText>
      </w:r>
      <w:r>
        <w:fldChar w:fldCharType="separate"/>
      </w:r>
      <w:r>
        <w:rPr>
          <w:rFonts w:hint="eastAsia"/>
          <w:szCs w:val="21"/>
        </w:rPr>
        <w:t>附表3 符合性审查合格投标人名单</w:t>
      </w:r>
      <w:r>
        <w:tab/>
      </w:r>
      <w:r>
        <w:fldChar w:fldCharType="begin"/>
      </w:r>
      <w:r>
        <w:instrText xml:space="preserve"> PAGEREF _Toc26810 \h </w:instrText>
      </w:r>
      <w:r>
        <w:fldChar w:fldCharType="separate"/>
      </w:r>
      <w:r>
        <w:t>46</w:t>
      </w:r>
      <w:r>
        <w:fldChar w:fldCharType="end"/>
      </w:r>
      <w:r>
        <w:fldChar w:fldCharType="end"/>
      </w:r>
    </w:p>
    <w:p w14:paraId="4FC9B600">
      <w:pPr>
        <w:pStyle w:val="18"/>
        <w:tabs>
          <w:tab w:val="right" w:leader="dot" w:pos="8844"/>
        </w:tabs>
        <w:ind w:left="420"/>
      </w:pPr>
      <w:r>
        <w:fldChar w:fldCharType="begin"/>
      </w:r>
      <w:r>
        <w:instrText xml:space="preserve"> HYPERLINK \l "_Toc7492" </w:instrText>
      </w:r>
      <w:r>
        <w:fldChar w:fldCharType="separate"/>
      </w:r>
      <w:r>
        <w:rPr>
          <w:rFonts w:hint="eastAsia" w:ascii="黑体" w:hAnsi="华文中宋" w:eastAsia="黑体"/>
          <w:szCs w:val="28"/>
        </w:rPr>
        <w:t>第四节 投标文件的比较与评价</w:t>
      </w:r>
      <w:r>
        <w:tab/>
      </w:r>
      <w:r>
        <w:fldChar w:fldCharType="begin"/>
      </w:r>
      <w:r>
        <w:instrText xml:space="preserve"> PAGEREF _Toc7492 \h </w:instrText>
      </w:r>
      <w:r>
        <w:fldChar w:fldCharType="separate"/>
      </w:r>
      <w:r>
        <w:t>47</w:t>
      </w:r>
      <w:r>
        <w:fldChar w:fldCharType="end"/>
      </w:r>
      <w:r>
        <w:fldChar w:fldCharType="end"/>
      </w:r>
    </w:p>
    <w:p w14:paraId="5F80CCB2">
      <w:pPr>
        <w:pStyle w:val="16"/>
        <w:tabs>
          <w:tab w:val="right" w:leader="dot" w:pos="8844"/>
        </w:tabs>
        <w:rPr>
          <w:rFonts w:hint="eastAsia"/>
        </w:rPr>
      </w:pPr>
      <w:r>
        <w:fldChar w:fldCharType="begin"/>
      </w:r>
      <w:r>
        <w:instrText xml:space="preserve"> HYPERLINK \l "_Toc13241" </w:instrText>
      </w:r>
      <w:r>
        <w:fldChar w:fldCharType="separate"/>
      </w:r>
      <w:r>
        <w:rPr>
          <w:rFonts w:hint="eastAsia" w:ascii="黑体" w:hAnsi="华文中宋" w:eastAsia="黑体"/>
          <w:szCs w:val="32"/>
        </w:rPr>
        <w:t>第五章 采购需求</w:t>
      </w:r>
      <w:r>
        <w:tab/>
      </w:r>
      <w:r>
        <w:fldChar w:fldCharType="begin"/>
      </w:r>
      <w:r>
        <w:instrText xml:space="preserve"> PAGEREF _Toc13241 \h </w:instrText>
      </w:r>
      <w:r>
        <w:fldChar w:fldCharType="separate"/>
      </w:r>
      <w:r>
        <w:t>50</w:t>
      </w:r>
      <w:r>
        <w:fldChar w:fldCharType="end"/>
      </w:r>
      <w:r>
        <w:fldChar w:fldCharType="end"/>
      </w:r>
    </w:p>
    <w:p w14:paraId="6E4581F8">
      <w:pPr>
        <w:pStyle w:val="18"/>
        <w:tabs>
          <w:tab w:val="right" w:leader="dot" w:pos="8844"/>
        </w:tabs>
        <w:ind w:left="420"/>
      </w:pPr>
      <w:r>
        <w:fldChar w:fldCharType="begin"/>
      </w:r>
      <w:r>
        <w:instrText xml:space="preserve"> HYPERLINK \l "_Toc3144" </w:instrText>
      </w:r>
      <w:r>
        <w:fldChar w:fldCharType="separate"/>
      </w:r>
      <w:r>
        <w:rPr>
          <w:rFonts w:hint="eastAsia" w:ascii="黑体" w:hAnsi="黑体" w:eastAsia="黑体"/>
          <w:szCs w:val="28"/>
        </w:rPr>
        <w:t>第一节 采购清单一览表</w:t>
      </w:r>
      <w:r>
        <w:tab/>
      </w:r>
      <w:r>
        <w:fldChar w:fldCharType="begin"/>
      </w:r>
      <w:r>
        <w:instrText xml:space="preserve"> PAGEREF _Toc3144 \h </w:instrText>
      </w:r>
      <w:r>
        <w:fldChar w:fldCharType="separate"/>
      </w:r>
      <w:r>
        <w:t>52</w:t>
      </w:r>
      <w:r>
        <w:fldChar w:fldCharType="end"/>
      </w:r>
      <w:r>
        <w:fldChar w:fldCharType="end"/>
      </w:r>
    </w:p>
    <w:p w14:paraId="5CE54BBF">
      <w:pPr>
        <w:pStyle w:val="18"/>
        <w:tabs>
          <w:tab w:val="right" w:leader="dot" w:pos="8844"/>
        </w:tabs>
        <w:ind w:left="420"/>
      </w:pPr>
      <w:r>
        <w:fldChar w:fldCharType="begin"/>
      </w:r>
      <w:r>
        <w:instrText xml:space="preserve"> HYPERLINK \l "_Toc20704" </w:instrText>
      </w:r>
      <w:r>
        <w:fldChar w:fldCharType="separate"/>
      </w:r>
      <w:r>
        <w:rPr>
          <w:rFonts w:hint="eastAsia" w:ascii="黑体" w:hAnsi="黑体" w:eastAsia="黑体"/>
          <w:szCs w:val="28"/>
        </w:rPr>
        <w:t xml:space="preserve">第二节 </w:t>
      </w:r>
      <w:r>
        <w:rPr>
          <w:rFonts w:ascii="黑体" w:hAnsi="黑体" w:eastAsia="黑体"/>
          <w:szCs w:val="28"/>
        </w:rPr>
        <w:t>技术要求</w:t>
      </w:r>
      <w:r>
        <w:tab/>
      </w:r>
      <w:r>
        <w:fldChar w:fldCharType="begin"/>
      </w:r>
      <w:r>
        <w:instrText xml:space="preserve"> PAGEREF _Toc20704 \h </w:instrText>
      </w:r>
      <w:r>
        <w:fldChar w:fldCharType="separate"/>
      </w:r>
      <w:r>
        <w:t>52</w:t>
      </w:r>
      <w:r>
        <w:fldChar w:fldCharType="end"/>
      </w:r>
      <w:r>
        <w:fldChar w:fldCharType="end"/>
      </w:r>
    </w:p>
    <w:p w14:paraId="17833A8C">
      <w:pPr>
        <w:pStyle w:val="16"/>
        <w:tabs>
          <w:tab w:val="right" w:leader="dot" w:pos="8844"/>
        </w:tabs>
        <w:rPr>
          <w:rFonts w:hint="eastAsia"/>
        </w:rPr>
      </w:pPr>
      <w:r>
        <w:fldChar w:fldCharType="begin"/>
      </w:r>
      <w:r>
        <w:instrText xml:space="preserve"> HYPERLINK \l "_Toc3642" </w:instrText>
      </w:r>
      <w:r>
        <w:fldChar w:fldCharType="separate"/>
      </w:r>
      <w:r>
        <w:rPr>
          <w:rFonts w:hint="eastAsia" w:ascii="黑体" w:hAnsi="华文中宋" w:eastAsia="黑体"/>
          <w:szCs w:val="32"/>
        </w:rPr>
        <w:t>第六章 政府采购合同</w:t>
      </w:r>
      <w:r>
        <w:tab/>
      </w:r>
      <w:r>
        <w:fldChar w:fldCharType="begin"/>
      </w:r>
      <w:r>
        <w:instrText xml:space="preserve"> PAGEREF _Toc3642 \h </w:instrText>
      </w:r>
      <w:r>
        <w:fldChar w:fldCharType="separate"/>
      </w:r>
      <w:r>
        <w:t>53</w:t>
      </w:r>
      <w:r>
        <w:fldChar w:fldCharType="end"/>
      </w:r>
      <w:r>
        <w:fldChar w:fldCharType="end"/>
      </w:r>
    </w:p>
    <w:p w14:paraId="72602DB5">
      <w:pPr>
        <w:pStyle w:val="16"/>
        <w:tabs>
          <w:tab w:val="right" w:leader="dot" w:pos="8844"/>
        </w:tabs>
        <w:rPr>
          <w:rFonts w:hint="eastAsia"/>
        </w:rPr>
      </w:pPr>
      <w:r>
        <w:fldChar w:fldCharType="begin"/>
      </w:r>
      <w:r>
        <w:instrText xml:space="preserve"> HYPERLINK \l "_Toc32104" </w:instrText>
      </w:r>
      <w:r>
        <w:fldChar w:fldCharType="separate"/>
      </w:r>
      <w:r>
        <w:rPr>
          <w:rFonts w:hint="eastAsia" w:ascii="黑体" w:hAnsi="华文中宋" w:eastAsia="黑体"/>
          <w:szCs w:val="32"/>
        </w:rPr>
        <w:t>第七章 投标文件的组成</w:t>
      </w:r>
      <w:r>
        <w:tab/>
      </w:r>
      <w:r>
        <w:fldChar w:fldCharType="begin"/>
      </w:r>
      <w:r>
        <w:instrText xml:space="preserve"> PAGEREF _Toc32104 \h </w:instrText>
      </w:r>
      <w:r>
        <w:fldChar w:fldCharType="separate"/>
      </w:r>
      <w:r>
        <w:t>82</w:t>
      </w:r>
      <w:r>
        <w:fldChar w:fldCharType="end"/>
      </w:r>
      <w:r>
        <w:fldChar w:fldCharType="end"/>
      </w:r>
    </w:p>
    <w:p w14:paraId="637E4D5D">
      <w:pPr>
        <w:pStyle w:val="18"/>
        <w:tabs>
          <w:tab w:val="right" w:leader="dot" w:pos="8844"/>
        </w:tabs>
        <w:ind w:left="420"/>
      </w:pPr>
      <w:r>
        <w:fldChar w:fldCharType="begin"/>
      </w:r>
      <w:r>
        <w:instrText xml:space="preserve"> HYPERLINK \l "_Toc29002" </w:instrText>
      </w:r>
      <w:r>
        <w:fldChar w:fldCharType="separate"/>
      </w:r>
      <w:r>
        <w:rPr>
          <w:rFonts w:hint="eastAsia" w:ascii="黑体" w:hAnsi="黑体" w:eastAsia="黑体"/>
          <w:szCs w:val="44"/>
        </w:rPr>
        <w:t>第一部分 资格证明文件</w:t>
      </w:r>
      <w:r>
        <w:tab/>
      </w:r>
      <w:r>
        <w:fldChar w:fldCharType="begin"/>
      </w:r>
      <w:r>
        <w:instrText xml:space="preserve"> PAGEREF _Toc29002 \h </w:instrText>
      </w:r>
      <w:r>
        <w:fldChar w:fldCharType="separate"/>
      </w:r>
      <w:r>
        <w:t>83</w:t>
      </w:r>
      <w:r>
        <w:fldChar w:fldCharType="end"/>
      </w:r>
      <w:r>
        <w:fldChar w:fldCharType="end"/>
      </w:r>
    </w:p>
    <w:p w14:paraId="0E4B54FE">
      <w:pPr>
        <w:pStyle w:val="11"/>
        <w:tabs>
          <w:tab w:val="right" w:leader="dot" w:pos="8844"/>
        </w:tabs>
        <w:ind w:left="840"/>
      </w:pPr>
      <w:r>
        <w:fldChar w:fldCharType="begin"/>
      </w:r>
      <w:r>
        <w:instrText xml:space="preserve"> HYPERLINK \l "_Toc7042" </w:instrText>
      </w:r>
      <w:r>
        <w:fldChar w:fldCharType="separate"/>
      </w:r>
      <w:r>
        <w:rPr>
          <w:rFonts w:hint="eastAsia" w:ascii="黑体" w:hAnsi="宋体" w:eastAsia="黑体"/>
          <w:szCs w:val="28"/>
        </w:rPr>
        <w:t>一、开标一览表</w:t>
      </w:r>
      <w:r>
        <w:tab/>
      </w:r>
      <w:r>
        <w:fldChar w:fldCharType="begin"/>
      </w:r>
      <w:r>
        <w:instrText xml:space="preserve"> PAGEREF _Toc7042 \h </w:instrText>
      </w:r>
      <w:r>
        <w:fldChar w:fldCharType="separate"/>
      </w:r>
      <w:r>
        <w:t>85</w:t>
      </w:r>
      <w:r>
        <w:fldChar w:fldCharType="end"/>
      </w:r>
      <w:r>
        <w:fldChar w:fldCharType="end"/>
      </w:r>
    </w:p>
    <w:p w14:paraId="0E4D255E">
      <w:pPr>
        <w:pStyle w:val="11"/>
        <w:tabs>
          <w:tab w:val="right" w:leader="dot" w:pos="8844"/>
        </w:tabs>
        <w:ind w:left="840"/>
      </w:pPr>
      <w:r>
        <w:fldChar w:fldCharType="begin"/>
      </w:r>
      <w:r>
        <w:instrText xml:space="preserve"> HYPERLINK \l "_Toc16881" </w:instrText>
      </w:r>
      <w:r>
        <w:fldChar w:fldCharType="separate"/>
      </w:r>
      <w:r>
        <w:rPr>
          <w:rFonts w:hint="eastAsia" w:ascii="黑体" w:hAnsi="黑体" w:eastAsia="黑体" w:cs="黑体"/>
          <w:szCs w:val="28"/>
        </w:rPr>
        <w:t>二、法定代表人（单位负责人）身份证明</w:t>
      </w:r>
      <w:r>
        <w:tab/>
      </w:r>
      <w:r>
        <w:fldChar w:fldCharType="begin"/>
      </w:r>
      <w:r>
        <w:instrText xml:space="preserve"> PAGEREF _Toc16881 \h </w:instrText>
      </w:r>
      <w:r>
        <w:fldChar w:fldCharType="separate"/>
      </w:r>
      <w:r>
        <w:t>86</w:t>
      </w:r>
      <w:r>
        <w:fldChar w:fldCharType="end"/>
      </w:r>
      <w:r>
        <w:fldChar w:fldCharType="end"/>
      </w:r>
    </w:p>
    <w:p w14:paraId="7538B418">
      <w:pPr>
        <w:pStyle w:val="11"/>
        <w:tabs>
          <w:tab w:val="right" w:leader="dot" w:pos="8844"/>
        </w:tabs>
        <w:ind w:left="840"/>
      </w:pPr>
      <w:r>
        <w:fldChar w:fldCharType="begin"/>
      </w:r>
      <w:r>
        <w:instrText xml:space="preserve"> HYPERLINK \l "_Toc31567" </w:instrText>
      </w:r>
      <w:r>
        <w:fldChar w:fldCharType="separate"/>
      </w:r>
      <w:r>
        <w:rPr>
          <w:rFonts w:hint="eastAsia" w:ascii="黑体" w:hAnsi="宋体" w:eastAsia="黑体"/>
          <w:szCs w:val="28"/>
        </w:rPr>
        <w:t>三、授权委托书</w:t>
      </w:r>
      <w:r>
        <w:tab/>
      </w:r>
      <w:r>
        <w:fldChar w:fldCharType="begin"/>
      </w:r>
      <w:r>
        <w:instrText xml:space="preserve"> PAGEREF _Toc31567 \h </w:instrText>
      </w:r>
      <w:r>
        <w:fldChar w:fldCharType="separate"/>
      </w:r>
      <w:r>
        <w:t>87</w:t>
      </w:r>
      <w:r>
        <w:fldChar w:fldCharType="end"/>
      </w:r>
      <w:r>
        <w:fldChar w:fldCharType="end"/>
      </w:r>
    </w:p>
    <w:p w14:paraId="193815DD">
      <w:pPr>
        <w:pStyle w:val="11"/>
        <w:tabs>
          <w:tab w:val="right" w:leader="dot" w:pos="8844"/>
        </w:tabs>
        <w:ind w:left="840"/>
      </w:pPr>
      <w:r>
        <w:fldChar w:fldCharType="begin"/>
      </w:r>
      <w:r>
        <w:instrText xml:space="preserve"> HYPERLINK \l "_Toc13662" </w:instrText>
      </w:r>
      <w:r>
        <w:fldChar w:fldCharType="separate"/>
      </w:r>
      <w:r>
        <w:rPr>
          <w:rFonts w:hint="eastAsia" w:ascii="黑体" w:hAnsi="宋体" w:eastAsia="黑体"/>
          <w:szCs w:val="28"/>
        </w:rPr>
        <w:t>四、投标人提供的资格证明文件</w:t>
      </w:r>
      <w:r>
        <w:tab/>
      </w:r>
      <w:r>
        <w:fldChar w:fldCharType="begin"/>
      </w:r>
      <w:r>
        <w:instrText xml:space="preserve"> PAGEREF _Toc13662 \h </w:instrText>
      </w:r>
      <w:r>
        <w:fldChar w:fldCharType="separate"/>
      </w:r>
      <w:r>
        <w:t>88</w:t>
      </w:r>
      <w:r>
        <w:fldChar w:fldCharType="end"/>
      </w:r>
      <w:r>
        <w:fldChar w:fldCharType="end"/>
      </w:r>
    </w:p>
    <w:p w14:paraId="1E941E31">
      <w:pPr>
        <w:pStyle w:val="17"/>
        <w:tabs>
          <w:tab w:val="right" w:leader="dot" w:pos="8844"/>
        </w:tabs>
        <w:ind w:left="1260"/>
      </w:pPr>
      <w:r>
        <w:fldChar w:fldCharType="begin"/>
      </w:r>
      <w:r>
        <w:instrText xml:space="preserve"> HYPERLINK \l "_Toc20522" </w:instrText>
      </w:r>
      <w:r>
        <w:fldChar w:fldCharType="separate"/>
      </w:r>
      <w:r>
        <w:rPr>
          <w:rFonts w:hint="eastAsia" w:ascii="黑体" w:hAnsi="仿宋" w:cs="宋体"/>
          <w:szCs w:val="21"/>
        </w:rPr>
        <w:t>附件4-1 法人或者其他组织的营业执照等主体资格证明文件，自然人的身份证明</w:t>
      </w:r>
      <w:r>
        <w:tab/>
      </w:r>
      <w:r>
        <w:fldChar w:fldCharType="begin"/>
      </w:r>
      <w:r>
        <w:instrText xml:space="preserve"> PAGEREF _Toc20522 \h </w:instrText>
      </w:r>
      <w:r>
        <w:fldChar w:fldCharType="separate"/>
      </w:r>
      <w:r>
        <w:t>89</w:t>
      </w:r>
      <w:r>
        <w:fldChar w:fldCharType="end"/>
      </w:r>
      <w:r>
        <w:fldChar w:fldCharType="end"/>
      </w:r>
    </w:p>
    <w:p w14:paraId="78318E21">
      <w:pPr>
        <w:pStyle w:val="17"/>
        <w:tabs>
          <w:tab w:val="right" w:leader="dot" w:pos="8844"/>
        </w:tabs>
        <w:ind w:left="1260"/>
      </w:pPr>
      <w:r>
        <w:fldChar w:fldCharType="begin"/>
      </w:r>
      <w:r>
        <w:instrText xml:space="preserve"> HYPERLINK \l "_Toc29327" </w:instrText>
      </w:r>
      <w:r>
        <w:fldChar w:fldCharType="separate"/>
      </w:r>
      <w:r>
        <w:rPr>
          <w:rFonts w:hint="eastAsia" w:ascii="黑体" w:hAnsi="仿宋" w:cs="宋体"/>
          <w:szCs w:val="21"/>
        </w:rPr>
        <w:t>附件4-2 投标人资格声明(格式)</w:t>
      </w:r>
      <w:r>
        <w:tab/>
      </w:r>
      <w:r>
        <w:fldChar w:fldCharType="begin"/>
      </w:r>
      <w:r>
        <w:instrText xml:space="preserve"> PAGEREF _Toc29327 \h </w:instrText>
      </w:r>
      <w:r>
        <w:fldChar w:fldCharType="separate"/>
      </w:r>
      <w:r>
        <w:t>90</w:t>
      </w:r>
      <w:r>
        <w:fldChar w:fldCharType="end"/>
      </w:r>
      <w:r>
        <w:fldChar w:fldCharType="end"/>
      </w:r>
    </w:p>
    <w:p w14:paraId="18BD1A71">
      <w:pPr>
        <w:pStyle w:val="17"/>
        <w:tabs>
          <w:tab w:val="right" w:leader="dot" w:pos="8844"/>
        </w:tabs>
        <w:ind w:left="1260"/>
      </w:pPr>
      <w:r>
        <w:fldChar w:fldCharType="begin"/>
      </w:r>
      <w:r>
        <w:instrText xml:space="preserve"> HYPERLINK \l "_Toc2547" </w:instrText>
      </w:r>
      <w:r>
        <w:fldChar w:fldCharType="separate"/>
      </w:r>
      <w:r>
        <w:rPr>
          <w:rFonts w:hint="eastAsia" w:ascii="黑体" w:hAnsi="仿宋" w:cs="宋体"/>
          <w:szCs w:val="21"/>
        </w:rPr>
        <w:t>附件4-3 符合特定资格条件证明材料复印件或者情况说明</w:t>
      </w:r>
      <w:r>
        <w:tab/>
      </w:r>
      <w:r>
        <w:fldChar w:fldCharType="begin"/>
      </w:r>
      <w:r>
        <w:instrText xml:space="preserve"> PAGEREF _Toc2547 \h </w:instrText>
      </w:r>
      <w:r>
        <w:fldChar w:fldCharType="separate"/>
      </w:r>
      <w:r>
        <w:t>92</w:t>
      </w:r>
      <w:r>
        <w:fldChar w:fldCharType="end"/>
      </w:r>
      <w:r>
        <w:fldChar w:fldCharType="end"/>
      </w:r>
    </w:p>
    <w:p w14:paraId="49C48D46">
      <w:pPr>
        <w:pStyle w:val="17"/>
        <w:tabs>
          <w:tab w:val="right" w:leader="dot" w:pos="8844"/>
        </w:tabs>
        <w:ind w:left="1260"/>
      </w:pPr>
      <w:r>
        <w:fldChar w:fldCharType="begin"/>
      </w:r>
      <w:r>
        <w:instrText xml:space="preserve"> HYPERLINK \l "_Toc824" </w:instrText>
      </w:r>
      <w:r>
        <w:fldChar w:fldCharType="separate"/>
      </w:r>
      <w:r>
        <w:rPr>
          <w:rFonts w:hint="eastAsia" w:ascii="黑体" w:hAnsi="仿宋" w:cs="宋体"/>
          <w:szCs w:val="21"/>
        </w:rPr>
        <w:t>附件4-4 联合体协议书（格式）</w:t>
      </w:r>
      <w:r>
        <w:tab/>
      </w:r>
      <w:r>
        <w:fldChar w:fldCharType="begin"/>
      </w:r>
      <w:r>
        <w:instrText xml:space="preserve"> PAGEREF _Toc824 \h </w:instrText>
      </w:r>
      <w:r>
        <w:fldChar w:fldCharType="separate"/>
      </w:r>
      <w:r>
        <w:t>94</w:t>
      </w:r>
      <w:r>
        <w:fldChar w:fldCharType="end"/>
      </w:r>
      <w:r>
        <w:fldChar w:fldCharType="end"/>
      </w:r>
    </w:p>
    <w:p w14:paraId="558149CC">
      <w:pPr>
        <w:pStyle w:val="18"/>
        <w:tabs>
          <w:tab w:val="right" w:leader="dot" w:pos="8844"/>
        </w:tabs>
        <w:ind w:left="420"/>
      </w:pPr>
      <w:r>
        <w:fldChar w:fldCharType="begin"/>
      </w:r>
      <w:r>
        <w:instrText xml:space="preserve"> HYPERLINK \l "_Toc26503" </w:instrText>
      </w:r>
      <w:r>
        <w:fldChar w:fldCharType="separate"/>
      </w:r>
      <w:r>
        <w:rPr>
          <w:rFonts w:hint="eastAsia" w:ascii="黑体" w:hAnsi="黑体" w:eastAsia="黑体"/>
          <w:szCs w:val="44"/>
        </w:rPr>
        <w:t>第二部分 商务技术文件</w:t>
      </w:r>
      <w:r>
        <w:tab/>
      </w:r>
      <w:r>
        <w:fldChar w:fldCharType="begin"/>
      </w:r>
      <w:r>
        <w:instrText xml:space="preserve"> PAGEREF _Toc26503 \h </w:instrText>
      </w:r>
      <w:r>
        <w:fldChar w:fldCharType="separate"/>
      </w:r>
      <w:r>
        <w:t>96</w:t>
      </w:r>
      <w:r>
        <w:fldChar w:fldCharType="end"/>
      </w:r>
      <w:r>
        <w:fldChar w:fldCharType="end"/>
      </w:r>
    </w:p>
    <w:p w14:paraId="1E9B0026">
      <w:pPr>
        <w:pStyle w:val="11"/>
        <w:tabs>
          <w:tab w:val="right" w:leader="dot" w:pos="8844"/>
        </w:tabs>
        <w:ind w:left="840"/>
      </w:pPr>
      <w:r>
        <w:fldChar w:fldCharType="begin"/>
      </w:r>
      <w:r>
        <w:instrText xml:space="preserve"> HYPERLINK \l "_Toc24305" </w:instrText>
      </w:r>
      <w:r>
        <w:fldChar w:fldCharType="separate"/>
      </w:r>
      <w:r>
        <w:rPr>
          <w:rFonts w:hint="eastAsia" w:ascii="黑体" w:hAnsi="宋体" w:eastAsia="黑体"/>
          <w:szCs w:val="28"/>
        </w:rPr>
        <w:t>五</w:t>
      </w:r>
      <w:r>
        <w:rPr>
          <w:rFonts w:ascii="黑体" w:hAnsi="宋体" w:eastAsia="黑体"/>
          <w:szCs w:val="28"/>
        </w:rPr>
        <w:t>、</w:t>
      </w:r>
      <w:r>
        <w:rPr>
          <w:rFonts w:hint="eastAsia" w:ascii="黑体" w:hAnsi="宋体" w:eastAsia="黑体"/>
          <w:szCs w:val="28"/>
        </w:rPr>
        <w:t>投标函</w:t>
      </w:r>
      <w:r>
        <w:tab/>
      </w:r>
      <w:r>
        <w:fldChar w:fldCharType="begin"/>
      </w:r>
      <w:r>
        <w:instrText xml:space="preserve"> PAGEREF _Toc24305 \h </w:instrText>
      </w:r>
      <w:r>
        <w:fldChar w:fldCharType="separate"/>
      </w:r>
      <w:r>
        <w:t>97</w:t>
      </w:r>
      <w:r>
        <w:fldChar w:fldCharType="end"/>
      </w:r>
      <w:r>
        <w:fldChar w:fldCharType="end"/>
      </w:r>
    </w:p>
    <w:p w14:paraId="74ECD000">
      <w:pPr>
        <w:pStyle w:val="11"/>
        <w:tabs>
          <w:tab w:val="right" w:leader="dot" w:pos="8844"/>
        </w:tabs>
        <w:ind w:left="840"/>
      </w:pPr>
      <w:r>
        <w:fldChar w:fldCharType="begin"/>
      </w:r>
      <w:r>
        <w:instrText xml:space="preserve"> HYPERLINK \l "_Toc3485" </w:instrText>
      </w:r>
      <w:r>
        <w:fldChar w:fldCharType="separate"/>
      </w:r>
      <w:r>
        <w:rPr>
          <w:rFonts w:hint="eastAsia" w:ascii="黑体" w:hAnsi="宋体" w:eastAsia="黑体"/>
          <w:szCs w:val="28"/>
        </w:rPr>
        <w:t>六、分项报价</w:t>
      </w:r>
      <w:r>
        <w:tab/>
      </w:r>
      <w:r>
        <w:fldChar w:fldCharType="begin"/>
      </w:r>
      <w:r>
        <w:instrText xml:space="preserve"> PAGEREF _Toc3485 \h </w:instrText>
      </w:r>
      <w:r>
        <w:fldChar w:fldCharType="separate"/>
      </w:r>
      <w:r>
        <w:t>99</w:t>
      </w:r>
      <w:r>
        <w:fldChar w:fldCharType="end"/>
      </w:r>
      <w:r>
        <w:fldChar w:fldCharType="end"/>
      </w:r>
    </w:p>
    <w:p w14:paraId="39259839">
      <w:pPr>
        <w:pStyle w:val="17"/>
        <w:tabs>
          <w:tab w:val="right" w:leader="dot" w:pos="8844"/>
        </w:tabs>
        <w:ind w:left="1260"/>
      </w:pPr>
      <w:r>
        <w:fldChar w:fldCharType="begin"/>
      </w:r>
      <w:r>
        <w:instrText xml:space="preserve"> HYPERLINK \l "_Toc32015" </w:instrText>
      </w:r>
      <w:r>
        <w:fldChar w:fldCharType="separate"/>
      </w:r>
      <w:r>
        <w:rPr>
          <w:rFonts w:hint="eastAsia" w:ascii="黑体" w:hAnsi="华文中宋" w:cs="宋体"/>
          <w:spacing w:val="6"/>
          <w:kern w:val="0"/>
          <w:szCs w:val="21"/>
        </w:rPr>
        <w:t xml:space="preserve">附件6-1 </w:t>
      </w:r>
      <w:r>
        <w:rPr>
          <w:rFonts w:hint="eastAsia" w:ascii="黑体" w:cs="微软雅黑" w:hAnsiTheme="minorEastAsia"/>
          <w:spacing w:val="-2"/>
          <w:kern w:val="0"/>
          <w:szCs w:val="21"/>
        </w:rPr>
        <w:t>分</w:t>
      </w:r>
      <w:r>
        <w:rPr>
          <w:rFonts w:hint="eastAsia" w:ascii="黑体" w:cs="微软雅黑" w:hAnsiTheme="minorEastAsia"/>
          <w:kern w:val="0"/>
          <w:szCs w:val="21"/>
        </w:rPr>
        <w:t>项</w:t>
      </w:r>
      <w:r>
        <w:rPr>
          <w:rFonts w:hint="eastAsia" w:ascii="黑体" w:cs="微软雅黑" w:hAnsiTheme="minorEastAsia"/>
          <w:spacing w:val="-2"/>
          <w:kern w:val="0"/>
          <w:szCs w:val="21"/>
        </w:rPr>
        <w:t>报</w:t>
      </w:r>
      <w:r>
        <w:rPr>
          <w:rFonts w:hint="eastAsia" w:ascii="黑体" w:cs="微软雅黑" w:hAnsiTheme="minorEastAsia"/>
          <w:kern w:val="0"/>
          <w:szCs w:val="21"/>
        </w:rPr>
        <w:t>价说明</w:t>
      </w:r>
      <w:r>
        <w:tab/>
      </w:r>
      <w:r>
        <w:fldChar w:fldCharType="begin"/>
      </w:r>
      <w:r>
        <w:instrText xml:space="preserve"> PAGEREF _Toc32015 \h </w:instrText>
      </w:r>
      <w:r>
        <w:fldChar w:fldCharType="separate"/>
      </w:r>
      <w:r>
        <w:t>99</w:t>
      </w:r>
      <w:r>
        <w:fldChar w:fldCharType="end"/>
      </w:r>
      <w:r>
        <w:fldChar w:fldCharType="end"/>
      </w:r>
    </w:p>
    <w:p w14:paraId="14EBE894">
      <w:pPr>
        <w:pStyle w:val="17"/>
        <w:tabs>
          <w:tab w:val="right" w:leader="dot" w:pos="8844"/>
        </w:tabs>
        <w:ind w:left="1260"/>
      </w:pPr>
      <w:r>
        <w:fldChar w:fldCharType="begin"/>
      </w:r>
      <w:r>
        <w:instrText xml:space="preserve"> HYPERLINK \l "_Toc19912" </w:instrText>
      </w:r>
      <w:r>
        <w:fldChar w:fldCharType="separate"/>
      </w:r>
      <w:r>
        <w:rPr>
          <w:rFonts w:hint="eastAsia" w:ascii="黑体" w:hAnsi="华文中宋" w:cs="宋体"/>
          <w:spacing w:val="6"/>
          <w:kern w:val="0"/>
          <w:szCs w:val="21"/>
        </w:rPr>
        <w:t xml:space="preserve">附件6-2 </w:t>
      </w:r>
      <w:r>
        <w:rPr>
          <w:rFonts w:hint="eastAsia" w:ascii="黑体" w:cs="微软雅黑" w:hAnsiTheme="minorEastAsia"/>
          <w:spacing w:val="-2"/>
          <w:kern w:val="0"/>
          <w:position w:val="-3"/>
          <w:szCs w:val="21"/>
        </w:rPr>
        <w:t>分</w:t>
      </w:r>
      <w:r>
        <w:rPr>
          <w:rFonts w:hint="eastAsia" w:ascii="黑体" w:cs="微软雅黑" w:hAnsiTheme="minorEastAsia"/>
          <w:kern w:val="0"/>
          <w:position w:val="-3"/>
          <w:szCs w:val="21"/>
        </w:rPr>
        <w:t>项</w:t>
      </w:r>
      <w:r>
        <w:rPr>
          <w:rFonts w:hint="eastAsia" w:ascii="黑体" w:cs="微软雅黑" w:hAnsiTheme="minorEastAsia"/>
          <w:spacing w:val="-2"/>
          <w:kern w:val="0"/>
          <w:position w:val="-3"/>
          <w:szCs w:val="21"/>
        </w:rPr>
        <w:t>报</w:t>
      </w:r>
      <w:r>
        <w:rPr>
          <w:rFonts w:hint="eastAsia" w:ascii="黑体" w:cs="微软雅黑" w:hAnsiTheme="minorEastAsia"/>
          <w:kern w:val="0"/>
          <w:position w:val="-3"/>
          <w:szCs w:val="21"/>
        </w:rPr>
        <w:t>价明细表</w:t>
      </w:r>
      <w:r>
        <w:rPr>
          <w:rFonts w:hint="eastAsia" w:ascii="黑体" w:cs="微软雅黑" w:hAnsiTheme="minorEastAsia"/>
          <w:spacing w:val="-2"/>
          <w:kern w:val="0"/>
          <w:position w:val="-3"/>
        </w:rPr>
        <w:t>分</w:t>
      </w:r>
      <w:r>
        <w:rPr>
          <w:rFonts w:hint="eastAsia" w:ascii="黑体" w:cs="微软雅黑" w:hAnsiTheme="minorEastAsia"/>
          <w:kern w:val="0"/>
          <w:position w:val="-3"/>
        </w:rPr>
        <w:t>项</w:t>
      </w:r>
      <w:r>
        <w:rPr>
          <w:rFonts w:hint="eastAsia" w:ascii="黑体" w:cs="微软雅黑" w:hAnsiTheme="minorEastAsia"/>
          <w:spacing w:val="-2"/>
          <w:kern w:val="0"/>
          <w:position w:val="-3"/>
        </w:rPr>
        <w:t>报</w:t>
      </w:r>
      <w:r>
        <w:rPr>
          <w:rFonts w:hint="eastAsia" w:ascii="黑体" w:cs="微软雅黑" w:hAnsiTheme="minorEastAsia"/>
          <w:kern w:val="0"/>
          <w:position w:val="-3"/>
        </w:rPr>
        <w:t>价明细表</w:t>
      </w:r>
      <w:r>
        <w:tab/>
      </w:r>
      <w:r>
        <w:fldChar w:fldCharType="begin"/>
      </w:r>
      <w:r>
        <w:instrText xml:space="preserve"> PAGEREF _Toc19912 \h </w:instrText>
      </w:r>
      <w:r>
        <w:fldChar w:fldCharType="separate"/>
      </w:r>
      <w:r>
        <w:t>99</w:t>
      </w:r>
      <w:r>
        <w:fldChar w:fldCharType="end"/>
      </w:r>
      <w:r>
        <w:fldChar w:fldCharType="end"/>
      </w:r>
    </w:p>
    <w:p w14:paraId="20C45D69">
      <w:pPr>
        <w:pStyle w:val="11"/>
        <w:tabs>
          <w:tab w:val="right" w:leader="dot" w:pos="8844"/>
        </w:tabs>
        <w:ind w:left="840"/>
      </w:pPr>
      <w:r>
        <w:fldChar w:fldCharType="begin"/>
      </w:r>
      <w:r>
        <w:instrText xml:space="preserve"> HYPERLINK \l "_Toc2593" </w:instrText>
      </w:r>
      <w:r>
        <w:fldChar w:fldCharType="separate"/>
      </w:r>
      <w:r>
        <w:rPr>
          <w:rFonts w:hint="eastAsia" w:ascii="黑体" w:hAnsi="宋体" w:eastAsia="黑体"/>
          <w:szCs w:val="28"/>
        </w:rPr>
        <w:t>七、采购需求响应</w:t>
      </w:r>
      <w:r>
        <w:tab/>
      </w:r>
      <w:r>
        <w:fldChar w:fldCharType="begin"/>
      </w:r>
      <w:r>
        <w:instrText xml:space="preserve"> PAGEREF _Toc2593 \h </w:instrText>
      </w:r>
      <w:r>
        <w:fldChar w:fldCharType="separate"/>
      </w:r>
      <w:r>
        <w:t>100</w:t>
      </w:r>
      <w:r>
        <w:fldChar w:fldCharType="end"/>
      </w:r>
      <w:r>
        <w:fldChar w:fldCharType="end"/>
      </w:r>
    </w:p>
    <w:p w14:paraId="74FE38A5">
      <w:pPr>
        <w:pStyle w:val="17"/>
        <w:tabs>
          <w:tab w:val="right" w:leader="dot" w:pos="8844"/>
        </w:tabs>
        <w:ind w:left="1260"/>
      </w:pPr>
      <w:r>
        <w:fldChar w:fldCharType="begin"/>
      </w:r>
      <w:r>
        <w:instrText xml:space="preserve"> HYPERLINK \l "_Toc26238" </w:instrText>
      </w:r>
      <w:r>
        <w:fldChar w:fldCharType="separate"/>
      </w:r>
      <w:r>
        <w:rPr>
          <w:rFonts w:hint="eastAsia" w:ascii="黑体" w:hAnsi="黑体" w:cs="宋体"/>
          <w:spacing w:val="6"/>
          <w:kern w:val="0"/>
          <w:szCs w:val="21"/>
        </w:rPr>
        <w:t>附件7-1 响应</w:t>
      </w:r>
      <w:r>
        <w:rPr>
          <w:rFonts w:hint="eastAsia" w:ascii="黑体" w:hAnsi="黑体"/>
          <w:szCs w:val="21"/>
        </w:rPr>
        <w:t>-览表</w:t>
      </w:r>
      <w:r>
        <w:tab/>
      </w:r>
      <w:r>
        <w:fldChar w:fldCharType="begin"/>
      </w:r>
      <w:r>
        <w:instrText xml:space="preserve"> PAGEREF _Toc26238 \h </w:instrText>
      </w:r>
      <w:r>
        <w:fldChar w:fldCharType="separate"/>
      </w:r>
      <w:r>
        <w:t>100</w:t>
      </w:r>
      <w:r>
        <w:fldChar w:fldCharType="end"/>
      </w:r>
      <w:r>
        <w:fldChar w:fldCharType="end"/>
      </w:r>
    </w:p>
    <w:p w14:paraId="1CA1D148">
      <w:pPr>
        <w:pStyle w:val="11"/>
        <w:tabs>
          <w:tab w:val="right" w:leader="dot" w:pos="8844"/>
        </w:tabs>
        <w:ind w:left="840"/>
      </w:pPr>
      <w:r>
        <w:fldChar w:fldCharType="begin"/>
      </w:r>
      <w:r>
        <w:instrText xml:space="preserve"> HYPERLINK \l "_Toc1630" </w:instrText>
      </w:r>
      <w:r>
        <w:fldChar w:fldCharType="separate"/>
      </w:r>
      <w:r>
        <w:rPr>
          <w:rFonts w:hint="eastAsia" w:ascii="黑体" w:hAnsi="黑体" w:eastAsia="黑体"/>
          <w:szCs w:val="28"/>
        </w:rPr>
        <w:t>八、合同条款偏离表</w:t>
      </w:r>
      <w:r>
        <w:tab/>
      </w:r>
      <w:r>
        <w:fldChar w:fldCharType="begin"/>
      </w:r>
      <w:r>
        <w:instrText xml:space="preserve"> PAGEREF _Toc1630 \h </w:instrText>
      </w:r>
      <w:r>
        <w:fldChar w:fldCharType="separate"/>
      </w:r>
      <w:r>
        <w:t>101</w:t>
      </w:r>
      <w:r>
        <w:fldChar w:fldCharType="end"/>
      </w:r>
      <w:r>
        <w:fldChar w:fldCharType="end"/>
      </w:r>
    </w:p>
    <w:p w14:paraId="210587E8">
      <w:pPr>
        <w:pStyle w:val="11"/>
        <w:tabs>
          <w:tab w:val="right" w:leader="dot" w:pos="8844"/>
        </w:tabs>
        <w:ind w:left="840"/>
      </w:pPr>
      <w:r>
        <w:fldChar w:fldCharType="begin"/>
      </w:r>
      <w:r>
        <w:instrText xml:space="preserve"> HYPERLINK \l "_Toc3146" </w:instrText>
      </w:r>
      <w:r>
        <w:fldChar w:fldCharType="separate"/>
      </w:r>
      <w:r>
        <w:rPr>
          <w:rFonts w:hint="eastAsia" w:ascii="黑体" w:hAnsi="宋体" w:eastAsia="黑体"/>
          <w:szCs w:val="28"/>
        </w:rPr>
        <w:t>九、采购需求（技术、商务）偏离表</w:t>
      </w:r>
      <w:r>
        <w:tab/>
      </w:r>
      <w:r>
        <w:fldChar w:fldCharType="begin"/>
      </w:r>
      <w:r>
        <w:instrText xml:space="preserve"> PAGEREF _Toc3146 \h </w:instrText>
      </w:r>
      <w:r>
        <w:fldChar w:fldCharType="separate"/>
      </w:r>
      <w:r>
        <w:t>102</w:t>
      </w:r>
      <w:r>
        <w:fldChar w:fldCharType="end"/>
      </w:r>
      <w:r>
        <w:fldChar w:fldCharType="end"/>
      </w:r>
    </w:p>
    <w:p w14:paraId="26D30919">
      <w:pPr>
        <w:pStyle w:val="11"/>
        <w:tabs>
          <w:tab w:val="right" w:leader="dot" w:pos="8844"/>
        </w:tabs>
        <w:ind w:left="840"/>
      </w:pPr>
      <w:r>
        <w:fldChar w:fldCharType="begin"/>
      </w:r>
      <w:r>
        <w:instrText xml:space="preserve"> HYPERLINK \l "_Toc31887" </w:instrText>
      </w:r>
      <w:r>
        <w:fldChar w:fldCharType="separate"/>
      </w:r>
      <w:r>
        <w:rPr>
          <w:rFonts w:hint="eastAsia" w:ascii="宋体" w:hAnsi="宋体"/>
          <w:szCs w:val="21"/>
        </w:rPr>
        <w:t>十</w:t>
      </w:r>
      <w:r>
        <w:rPr>
          <w:rFonts w:hint="eastAsia" w:ascii="黑体" w:hAnsi="宋体" w:eastAsia="黑体"/>
          <w:szCs w:val="28"/>
        </w:rPr>
        <w:t>、享受政府采购政策优惠的证明资料</w:t>
      </w:r>
      <w:r>
        <w:tab/>
      </w:r>
      <w:r>
        <w:fldChar w:fldCharType="begin"/>
      </w:r>
      <w:r>
        <w:instrText xml:space="preserve"> PAGEREF _Toc31887 \h </w:instrText>
      </w:r>
      <w:r>
        <w:fldChar w:fldCharType="separate"/>
      </w:r>
      <w:r>
        <w:t>103</w:t>
      </w:r>
      <w:r>
        <w:fldChar w:fldCharType="end"/>
      </w:r>
      <w:r>
        <w:fldChar w:fldCharType="end"/>
      </w:r>
    </w:p>
    <w:p w14:paraId="35BAABA1">
      <w:pPr>
        <w:pStyle w:val="17"/>
        <w:tabs>
          <w:tab w:val="right" w:leader="dot" w:pos="8844"/>
        </w:tabs>
        <w:ind w:left="1260"/>
      </w:pPr>
      <w:r>
        <w:fldChar w:fldCharType="begin"/>
      </w:r>
      <w:r>
        <w:instrText xml:space="preserve"> HYPERLINK \l "_Toc19860" </w:instrText>
      </w:r>
      <w:r>
        <w:fldChar w:fldCharType="separate"/>
      </w:r>
      <w:r>
        <w:rPr>
          <w:rFonts w:hint="eastAsia" w:ascii="黑体" w:hAnsi="黑体" w:eastAsia="黑体" w:cs="黑体"/>
          <w:szCs w:val="21"/>
        </w:rPr>
        <w:t>附件10-1  中小企业声明函（工程、服务）</w:t>
      </w:r>
      <w:r>
        <w:tab/>
      </w:r>
      <w:r>
        <w:fldChar w:fldCharType="begin"/>
      </w:r>
      <w:r>
        <w:instrText xml:space="preserve"> PAGEREF _Toc19860 \h </w:instrText>
      </w:r>
      <w:r>
        <w:fldChar w:fldCharType="separate"/>
      </w:r>
      <w:r>
        <w:t>103</w:t>
      </w:r>
      <w:r>
        <w:fldChar w:fldCharType="end"/>
      </w:r>
      <w:r>
        <w:fldChar w:fldCharType="end"/>
      </w:r>
    </w:p>
    <w:p w14:paraId="45207B02">
      <w:pPr>
        <w:pStyle w:val="17"/>
        <w:tabs>
          <w:tab w:val="right" w:leader="dot" w:pos="8844"/>
        </w:tabs>
        <w:ind w:left="1260"/>
      </w:pPr>
      <w:r>
        <w:fldChar w:fldCharType="begin"/>
      </w:r>
      <w:r>
        <w:instrText xml:space="preserve"> HYPERLINK \l "_Toc15671" </w:instrText>
      </w:r>
      <w:r>
        <w:fldChar w:fldCharType="separate"/>
      </w:r>
      <w:r>
        <w:rPr>
          <w:rFonts w:hint="eastAsia" w:ascii="黑体" w:hAnsi="华文中宋" w:cs="宋体"/>
          <w:spacing w:val="6"/>
          <w:kern w:val="0"/>
          <w:szCs w:val="21"/>
        </w:rPr>
        <w:t xml:space="preserve">附件10-2 </w:t>
      </w:r>
      <w:r>
        <w:rPr>
          <w:rFonts w:hint="eastAsia" w:ascii="黑体" w:hAnsi="宋体"/>
          <w:spacing w:val="6"/>
          <w:szCs w:val="21"/>
        </w:rPr>
        <w:t>残疾人福利性单位声明函</w:t>
      </w:r>
      <w:r>
        <w:tab/>
      </w:r>
      <w:r>
        <w:fldChar w:fldCharType="begin"/>
      </w:r>
      <w:r>
        <w:instrText xml:space="preserve"> PAGEREF _Toc15671 \h </w:instrText>
      </w:r>
      <w:r>
        <w:fldChar w:fldCharType="separate"/>
      </w:r>
      <w:r>
        <w:t>105</w:t>
      </w:r>
      <w:r>
        <w:fldChar w:fldCharType="end"/>
      </w:r>
      <w:r>
        <w:fldChar w:fldCharType="end"/>
      </w:r>
    </w:p>
    <w:p w14:paraId="1099EAEA">
      <w:pPr>
        <w:pStyle w:val="17"/>
        <w:tabs>
          <w:tab w:val="right" w:leader="dot" w:pos="8844"/>
        </w:tabs>
        <w:ind w:left="1260"/>
      </w:pPr>
      <w:r>
        <w:fldChar w:fldCharType="begin"/>
      </w:r>
      <w:r>
        <w:instrText xml:space="preserve"> HYPERLINK \l "_Toc11686" </w:instrText>
      </w:r>
      <w:r>
        <w:fldChar w:fldCharType="separate"/>
      </w:r>
      <w:r>
        <w:rPr>
          <w:rFonts w:hint="eastAsia" w:ascii="黑体" w:hAnsi="宋体" w:cs="宋体"/>
          <w:kern w:val="0"/>
          <w:szCs w:val="21"/>
        </w:rPr>
        <w:t xml:space="preserve">附件10-3 </w:t>
      </w:r>
      <w:r>
        <w:rPr>
          <w:rFonts w:hint="eastAsia" w:ascii="黑体" w:hAnsi="宋体"/>
          <w:szCs w:val="21"/>
        </w:rPr>
        <w:t>监狱企业证明资料</w:t>
      </w:r>
      <w:r>
        <w:tab/>
      </w:r>
      <w:r>
        <w:fldChar w:fldCharType="begin"/>
      </w:r>
      <w:r>
        <w:instrText xml:space="preserve"> PAGEREF _Toc11686 \h </w:instrText>
      </w:r>
      <w:r>
        <w:fldChar w:fldCharType="separate"/>
      </w:r>
      <w:r>
        <w:t>106</w:t>
      </w:r>
      <w:r>
        <w:fldChar w:fldCharType="end"/>
      </w:r>
      <w:r>
        <w:fldChar w:fldCharType="end"/>
      </w:r>
    </w:p>
    <w:p w14:paraId="34C1DBA3">
      <w:pPr>
        <w:pStyle w:val="17"/>
        <w:tabs>
          <w:tab w:val="right" w:leader="dot" w:pos="8844"/>
        </w:tabs>
        <w:ind w:left="1260"/>
      </w:pPr>
      <w:r>
        <w:fldChar w:fldCharType="begin"/>
      </w:r>
      <w:r>
        <w:instrText xml:space="preserve"> HYPERLINK \l "_Toc10246" </w:instrText>
      </w:r>
      <w:r>
        <w:fldChar w:fldCharType="separate"/>
      </w:r>
      <w:r>
        <w:rPr>
          <w:rFonts w:hint="eastAsia" w:ascii="黑体" w:hAnsi="华文中宋" w:cs="宋体"/>
          <w:spacing w:val="6"/>
          <w:kern w:val="0"/>
          <w:szCs w:val="21"/>
        </w:rPr>
        <w:t xml:space="preserve">附件10-4 </w:t>
      </w:r>
      <w:r>
        <w:rPr>
          <w:rFonts w:hint="eastAsia" w:ascii="黑体" w:hAnsi="宋体"/>
          <w:szCs w:val="21"/>
        </w:rPr>
        <w:t>强制采购或者优先采购产品的证明材料</w:t>
      </w:r>
      <w:r>
        <w:tab/>
      </w:r>
      <w:r>
        <w:fldChar w:fldCharType="begin"/>
      </w:r>
      <w:r>
        <w:instrText xml:space="preserve"> PAGEREF _Toc10246 \h </w:instrText>
      </w:r>
      <w:r>
        <w:fldChar w:fldCharType="separate"/>
      </w:r>
      <w:r>
        <w:t>107</w:t>
      </w:r>
      <w:r>
        <w:fldChar w:fldCharType="end"/>
      </w:r>
      <w:r>
        <w:fldChar w:fldCharType="end"/>
      </w:r>
    </w:p>
    <w:p w14:paraId="0A2962FC">
      <w:pPr>
        <w:pStyle w:val="17"/>
        <w:tabs>
          <w:tab w:val="right" w:leader="dot" w:pos="8844"/>
        </w:tabs>
        <w:ind w:left="1260"/>
      </w:pPr>
      <w:r>
        <w:fldChar w:fldCharType="begin"/>
      </w:r>
      <w:r>
        <w:instrText xml:space="preserve"> HYPERLINK \l "_Toc30930" </w:instrText>
      </w:r>
      <w:r>
        <w:fldChar w:fldCharType="separate"/>
      </w:r>
      <w:r>
        <w:rPr>
          <w:rFonts w:hint="eastAsia" w:ascii="黑体" w:hAnsi="华文中宋" w:cs="宋体"/>
          <w:spacing w:val="6"/>
          <w:kern w:val="0"/>
          <w:szCs w:val="21"/>
        </w:rPr>
        <w:t xml:space="preserve">附页 2 </w:t>
      </w:r>
      <w:r>
        <w:rPr>
          <w:rFonts w:hint="eastAsia" w:ascii="黑体" w:hAnsi="宋体"/>
          <w:szCs w:val="21"/>
        </w:rPr>
        <w:t>优先采购产品清单</w:t>
      </w:r>
      <w:r>
        <w:tab/>
      </w:r>
      <w:r>
        <w:fldChar w:fldCharType="begin"/>
      </w:r>
      <w:r>
        <w:instrText xml:space="preserve"> PAGEREF _Toc30930 \h </w:instrText>
      </w:r>
      <w:r>
        <w:fldChar w:fldCharType="separate"/>
      </w:r>
      <w:r>
        <w:t>108</w:t>
      </w:r>
      <w:r>
        <w:fldChar w:fldCharType="end"/>
      </w:r>
      <w:r>
        <w:fldChar w:fldCharType="end"/>
      </w:r>
    </w:p>
    <w:p w14:paraId="3CF62C87">
      <w:pPr>
        <w:pStyle w:val="11"/>
        <w:tabs>
          <w:tab w:val="right" w:leader="dot" w:pos="8844"/>
        </w:tabs>
        <w:ind w:left="840"/>
      </w:pPr>
      <w:r>
        <w:fldChar w:fldCharType="begin"/>
      </w:r>
      <w:r>
        <w:instrText xml:space="preserve"> HYPERLINK \l "_Toc7642" </w:instrText>
      </w:r>
      <w:r>
        <w:fldChar w:fldCharType="separate"/>
      </w:r>
      <w:r>
        <w:rPr>
          <w:rFonts w:hint="eastAsia" w:ascii="黑体" w:hAnsi="宋体" w:eastAsia="黑体"/>
          <w:szCs w:val="28"/>
        </w:rPr>
        <w:t>十一、投标服务符合招标文件规定的证明文件</w:t>
      </w:r>
      <w:r>
        <w:tab/>
      </w:r>
      <w:r>
        <w:fldChar w:fldCharType="begin"/>
      </w:r>
      <w:r>
        <w:instrText xml:space="preserve"> PAGEREF _Toc7642 \h </w:instrText>
      </w:r>
      <w:r>
        <w:fldChar w:fldCharType="separate"/>
      </w:r>
      <w:r>
        <w:t>109</w:t>
      </w:r>
      <w:r>
        <w:fldChar w:fldCharType="end"/>
      </w:r>
      <w:r>
        <w:fldChar w:fldCharType="end"/>
      </w:r>
    </w:p>
    <w:p w14:paraId="79BC30F6">
      <w:pPr>
        <w:pStyle w:val="11"/>
        <w:tabs>
          <w:tab w:val="right" w:leader="dot" w:pos="8844"/>
        </w:tabs>
        <w:ind w:left="840"/>
      </w:pPr>
      <w:r>
        <w:fldChar w:fldCharType="begin"/>
      </w:r>
      <w:r>
        <w:instrText xml:space="preserve"> HYPERLINK \l "_Toc8941" </w:instrText>
      </w:r>
      <w:r>
        <w:fldChar w:fldCharType="separate"/>
      </w:r>
      <w:r>
        <w:rPr>
          <w:rFonts w:hint="eastAsia" w:ascii="黑体" w:hAnsi="宋体" w:eastAsia="黑体"/>
          <w:szCs w:val="28"/>
        </w:rPr>
        <w:t>十二、投标人认为需提供的其他资料</w:t>
      </w:r>
      <w:r>
        <w:tab/>
      </w:r>
      <w:r>
        <w:fldChar w:fldCharType="begin"/>
      </w:r>
      <w:r>
        <w:instrText xml:space="preserve"> PAGEREF _Toc8941 \h </w:instrText>
      </w:r>
      <w:r>
        <w:fldChar w:fldCharType="separate"/>
      </w:r>
      <w:r>
        <w:t>110</w:t>
      </w:r>
      <w:r>
        <w:fldChar w:fldCharType="end"/>
      </w:r>
      <w:r>
        <w:fldChar w:fldCharType="end"/>
      </w:r>
    </w:p>
    <w:p w14:paraId="7EE167A2">
      <w:r>
        <w:rPr>
          <w:rFonts w:asciiTheme="minorEastAsia" w:hAnsiTheme="minorEastAsia" w:eastAsiaTheme="minorEastAsia"/>
        </w:rPr>
        <w:fldChar w:fldCharType="end"/>
      </w:r>
      <w:r>
        <w:t xml:space="preserve"> </w:t>
      </w:r>
    </w:p>
    <w:p w14:paraId="2713447B">
      <w:pPr>
        <w:adjustRightInd w:val="0"/>
        <w:snapToGrid w:val="0"/>
        <w:spacing w:line="240" w:lineRule="atLeast"/>
        <w:ind w:firstLine="840" w:firstLineChars="400"/>
        <w:rPr>
          <w:rFonts w:hint="eastAsia" w:ascii="宋体" w:hAnsi="宋体"/>
          <w:szCs w:val="21"/>
        </w:rPr>
      </w:pPr>
    </w:p>
    <w:p w14:paraId="0EA0C201">
      <w:pPr>
        <w:pStyle w:val="2"/>
        <w:sectPr>
          <w:footerReference r:id="rId3" w:type="default"/>
          <w:pgSz w:w="11906" w:h="16838"/>
          <w:pgMar w:top="1474" w:right="1474" w:bottom="1474" w:left="1588" w:header="851" w:footer="992" w:gutter="0"/>
          <w:pgNumType w:fmt="decimal" w:start="1"/>
          <w:cols w:space="720" w:num="1"/>
          <w:titlePg/>
          <w:docGrid w:type="lines" w:linePitch="312" w:charSpace="0"/>
        </w:sectPr>
      </w:pPr>
    </w:p>
    <w:p w14:paraId="0B449203">
      <w:pPr>
        <w:spacing w:line="360" w:lineRule="auto"/>
        <w:jc w:val="center"/>
        <w:rPr>
          <w:rFonts w:hint="eastAsia" w:ascii="宋体" w:hAnsi="宋体" w:cs="宋体"/>
          <w:sz w:val="44"/>
          <w:szCs w:val="44"/>
          <w:highlight w:val="white"/>
        </w:rPr>
      </w:pPr>
      <w:bookmarkStart w:id="0" w:name="_Toc29913893"/>
      <w:r>
        <w:rPr>
          <w:rFonts w:hint="eastAsia" w:ascii="宋体" w:hAnsi="宋体" w:cs="宋体"/>
          <w:sz w:val="44"/>
          <w:szCs w:val="44"/>
          <w:highlight w:val="white"/>
        </w:rPr>
        <w:t>电子招投标相关规定</w:t>
      </w:r>
    </w:p>
    <w:p w14:paraId="2253DCDB">
      <w:pPr>
        <w:spacing w:line="360" w:lineRule="auto"/>
        <w:ind w:firstLine="420" w:firstLineChars="200"/>
        <w:rPr>
          <w:rFonts w:hint="eastAsia" w:ascii="等线" w:hAnsi="等线" w:eastAsia="等线"/>
          <w:szCs w:val="21"/>
          <w:highlight w:val="white"/>
        </w:rPr>
      </w:pPr>
    </w:p>
    <w:p w14:paraId="4F498844">
      <w:pPr>
        <w:numPr>
          <w:ilvl w:val="0"/>
          <w:numId w:val="1"/>
        </w:numPr>
        <w:adjustRightInd w:val="0"/>
        <w:snapToGrid w:val="0"/>
        <w:spacing w:line="360" w:lineRule="auto"/>
        <w:ind w:firstLine="560" w:firstLineChars="200"/>
        <w:rPr>
          <w:rFonts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highlight w:val="white"/>
          <w14:textFill>
            <w14:solidFill>
              <w14:schemeClr w14:val="tx1"/>
            </w14:solidFill>
          </w14:textFill>
        </w:rPr>
        <w:t>本项目采用电子招投标方式，招标文件的下载、上传、解密，开评标均通过互联网操作，电子招标文件免费提供。</w:t>
      </w:r>
    </w:p>
    <w:p w14:paraId="5C437F91">
      <w:pPr>
        <w:keepNext w:val="0"/>
        <w:keepLines w:val="0"/>
        <w:pageBreakBefore w:val="0"/>
        <w:kinsoku/>
        <w:overflowPunct/>
        <w:bidi w:val="0"/>
        <w:adjustRightInd w:val="0"/>
        <w:snapToGrid w:val="0"/>
        <w:spacing w:line="500" w:lineRule="exact"/>
        <w:ind w:firstLine="560" w:firstLineChars="200"/>
        <w:jc w:val="left"/>
        <w:textAlignment w:val="auto"/>
        <w:rPr>
          <w:rFonts w:asciiTheme="minorEastAsia" w:hAnsiTheme="minorEastAsia" w:eastAsiaTheme="minorEastAsia"/>
          <w:color w:val="000000" w:themeColor="text1"/>
          <w:sz w:val="24"/>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招标文件在湖南省政府采购网(www.ccgp-hunan.gov.cn)和</w:t>
      </w:r>
      <w:r>
        <w:rPr>
          <w:rFonts w:hint="eastAsia" w:ascii="仿宋" w:hAnsi="仿宋" w:eastAsia="仿宋" w:cs="仿宋"/>
          <w:color w:val="000000" w:themeColor="text1"/>
          <w:sz w:val="28"/>
          <w:szCs w:val="28"/>
          <w:highlight w:val="white"/>
          <w14:textFill>
            <w14:solidFill>
              <w14:schemeClr w14:val="tx1"/>
            </w14:solidFill>
          </w14:textFill>
        </w:rPr>
        <w:t>郴州市公共资源交易中心(http://czggzy.czs.gov.cn/)上</w:t>
      </w:r>
      <w:r>
        <w:rPr>
          <w:rFonts w:hint="eastAsia" w:ascii="仿宋" w:hAnsi="仿宋" w:eastAsia="仿宋" w:cs="仿宋"/>
          <w:color w:val="000000" w:themeColor="text1"/>
          <w:kern w:val="0"/>
          <w:sz w:val="28"/>
          <w:szCs w:val="28"/>
          <w14:textFill>
            <w14:solidFill>
              <w14:schemeClr w14:val="tx1"/>
            </w14:solidFill>
          </w14:textFill>
        </w:rPr>
        <w:t>发布。</w:t>
      </w:r>
      <w:r>
        <w:rPr>
          <w:rFonts w:hint="eastAsia" w:ascii="仿宋" w:hAnsi="仿宋" w:eastAsia="仿宋" w:cs="仿宋"/>
          <w:color w:val="000000" w:themeColor="text1"/>
          <w:sz w:val="28"/>
          <w:szCs w:val="28"/>
          <w:highlight w:val="white"/>
          <w14:textFill>
            <w14:solidFill>
              <w14:schemeClr w14:val="tx1"/>
            </w14:solidFill>
          </w14:textFill>
        </w:rPr>
        <w:t>投标人应仔细阅读本招标文件第二章《投标须知》，并在“郴州市公共资源交易中心(http://czggzy.czs.gov.cn/) 办事指南 --招投标相关”）进行学习，</w:t>
      </w:r>
      <w:r>
        <w:rPr>
          <w:rFonts w:hint="eastAsia" w:ascii="仿宋" w:hAnsi="仿宋" w:eastAsia="仿宋" w:cs="仿宋"/>
          <w:color w:val="000000" w:themeColor="text1"/>
          <w:sz w:val="28"/>
          <w:szCs w:val="28"/>
          <w:highlight w:val="white"/>
          <w:lang w:val="en-US" w:eastAsia="zh-CN"/>
          <w14:textFill>
            <w14:solidFill>
              <w14:schemeClr w14:val="tx1"/>
            </w14:solidFill>
          </w14:textFill>
        </w:rPr>
        <w:t>操作手册下载地址：http://www.czggzy.net/TPBidder/pages/customframe4bid/DownLoad/郴州市公共资源交易中心交易系统操作手册.zip</w:t>
      </w:r>
    </w:p>
    <w:p w14:paraId="41D2EC83">
      <w:pPr>
        <w:widowControl/>
        <w:numPr>
          <w:ilvl w:val="0"/>
          <w:numId w:val="1"/>
        </w:numPr>
        <w:tabs>
          <w:tab w:val="left" w:pos="3500"/>
        </w:tabs>
        <w:autoSpaceDE w:val="0"/>
        <w:autoSpaceDN w:val="0"/>
        <w:adjustRightInd w:val="0"/>
        <w:snapToGrid w:val="0"/>
        <w:spacing w:line="360" w:lineRule="auto"/>
        <w:ind w:firstLine="560" w:firstLineChars="200"/>
        <w:jc w:val="left"/>
        <w:rPr>
          <w:rFonts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highlight w:val="white"/>
          <w14:textFill>
            <w14:solidFill>
              <w14:schemeClr w14:val="tx1"/>
            </w14:solidFill>
          </w14:textFill>
        </w:rPr>
        <w:t>投标人使用电子投标遇到问题时，请及时向软件公司咨询，联系方式：客服电话4009980000。</w:t>
      </w:r>
    </w:p>
    <w:p w14:paraId="54BC8C8E">
      <w:pPr>
        <w:numPr>
          <w:ilvl w:val="0"/>
          <w:numId w:val="1"/>
        </w:numPr>
        <w:adjustRightInd w:val="0"/>
        <w:snapToGrid w:val="0"/>
        <w:spacing w:line="360" w:lineRule="auto"/>
        <w:ind w:firstLine="560" w:firstLineChars="200"/>
        <w:rPr>
          <w:rFonts w:hint="eastAsia"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highlight w:val="white"/>
          <w14:textFill>
            <w14:solidFill>
              <w14:schemeClr w14:val="tx1"/>
            </w14:solidFill>
          </w14:textFill>
        </w:rPr>
        <w:t>湖南省政府采购网和郴州市公共资源交易中心网上办事系统均需使用数字证书登陆进行操作。</w:t>
      </w:r>
    </w:p>
    <w:p w14:paraId="36C25267">
      <w:pPr>
        <w:numPr>
          <w:ilvl w:val="255"/>
          <w:numId w:val="0"/>
        </w:numPr>
        <w:adjustRightInd w:val="0"/>
        <w:snapToGrid w:val="0"/>
        <w:spacing w:line="360" w:lineRule="auto"/>
        <w:ind w:firstLine="560" w:firstLineChars="200"/>
        <w:rPr>
          <w:rFonts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highlight w:val="white"/>
          <w14:textFill>
            <w14:solidFill>
              <w14:schemeClr w14:val="tx1"/>
            </w14:solidFill>
          </w14:textFill>
        </w:rPr>
        <w:t>四、本项目采用“不见面开标”模式，是指将传统的开标场所移到互联网,招标人在不见面开标大厅组织线上开标,投标人通过互联网远程参加开标,并共同完成交易文件解密、唱标、异议和答复、开标确认、交流互动等开标活动。</w:t>
      </w:r>
    </w:p>
    <w:p w14:paraId="79017F5B">
      <w:pPr>
        <w:adjustRightInd w:val="0"/>
        <w:snapToGrid w:val="0"/>
        <w:spacing w:line="360" w:lineRule="auto"/>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五、</w:t>
      </w:r>
      <w:r>
        <w:rPr>
          <w:rFonts w:hint="eastAsia" w:ascii="仿宋" w:hAnsi="仿宋" w:eastAsia="仿宋" w:cs="仿宋"/>
          <w:color w:val="000000" w:themeColor="text1"/>
          <w:sz w:val="28"/>
          <w:szCs w:val="28"/>
          <w:highlight w:val="white"/>
          <w14:textFill>
            <w14:solidFill>
              <w14:schemeClr w14:val="tx1"/>
            </w14:solidFill>
          </w14:textFill>
        </w:rPr>
        <w:t>网上开标系统登录地址为</w:t>
      </w:r>
      <w:r>
        <w:rPr>
          <w:rFonts w:hint="eastAsia" w:ascii="仿宋" w:hAnsi="仿宋" w:eastAsia="仿宋" w:cs="仿宋"/>
          <w:color w:val="000000" w:themeColor="text1"/>
          <w:sz w:val="28"/>
          <w:szCs w:val="28"/>
          <w:highlight w:val="white"/>
          <w:lang w:eastAsia="zh-CN"/>
          <w14:textFill>
            <w14:solidFill>
              <w14:schemeClr w14:val="tx1"/>
            </w14:solidFill>
          </w14:textFill>
        </w:rPr>
        <w:t>http：//www.czggzyzx.cn/BidOpening</w:t>
      </w:r>
      <w:r>
        <w:rPr>
          <w:rFonts w:hint="eastAsia" w:ascii="仿宋" w:hAnsi="仿宋" w:eastAsia="仿宋" w:cs="仿宋"/>
          <w:color w:val="000000" w:themeColor="text1"/>
          <w:sz w:val="28"/>
          <w:szCs w:val="28"/>
          <w:highlight w:val="white"/>
          <w14:textFill>
            <w14:solidFill>
              <w14:schemeClr w14:val="tx1"/>
            </w14:solidFill>
          </w14:textFill>
        </w:rPr>
        <w:t>，郴州市公共资源交易中心网上办事系统的“开标</w:t>
      </w:r>
      <w:r>
        <w:rPr>
          <w:rFonts w:hint="eastAsia" w:ascii="仿宋" w:hAnsi="仿宋" w:eastAsia="仿宋" w:cs="仿宋"/>
          <w:color w:val="000000" w:themeColor="text1"/>
          <w:sz w:val="28"/>
          <w:szCs w:val="28"/>
          <w:highlight w:val="white"/>
          <w:lang w:val="en-US" w:eastAsia="zh-CN"/>
          <w14:textFill>
            <w14:solidFill>
              <w14:schemeClr w14:val="tx1"/>
            </w14:solidFill>
          </w14:textFill>
        </w:rPr>
        <w:t>签到解密</w:t>
      </w:r>
      <w:r>
        <w:rPr>
          <w:rFonts w:hint="eastAsia" w:ascii="仿宋" w:hAnsi="仿宋" w:eastAsia="仿宋" w:cs="仿宋"/>
          <w:color w:val="000000" w:themeColor="text1"/>
          <w:sz w:val="28"/>
          <w:szCs w:val="28"/>
          <w:highlight w:val="white"/>
          <w14:textFill>
            <w14:solidFill>
              <w14:schemeClr w14:val="tx1"/>
            </w14:solidFill>
          </w14:textFill>
        </w:rPr>
        <w:t>”模块（</w:t>
      </w:r>
      <w:r>
        <w:rPr>
          <w:rFonts w:hint="eastAsia" w:ascii="仿宋" w:hAnsi="仿宋" w:eastAsia="仿宋" w:cs="仿宋"/>
          <w:color w:val="000000" w:themeColor="text1"/>
          <w:sz w:val="28"/>
          <w:szCs w:val="28"/>
          <w:highlight w:val="white"/>
          <w:lang w:eastAsia="zh-CN"/>
          <w14:textFill>
            <w14:solidFill>
              <w14:schemeClr w14:val="tx1"/>
            </w14:solidFill>
          </w14:textFill>
        </w:rPr>
        <w:t>http：//www.czggzyzx.cn/BidOpening</w:t>
      </w:r>
      <w:r>
        <w:rPr>
          <w:rFonts w:hint="eastAsia" w:ascii="仿宋" w:hAnsi="仿宋" w:eastAsia="仿宋" w:cs="仿宋"/>
          <w:color w:val="000000" w:themeColor="text1"/>
          <w:sz w:val="28"/>
          <w:szCs w:val="28"/>
          <w:highlight w:val="white"/>
          <w14:textFill>
            <w14:solidFill>
              <w14:schemeClr w14:val="tx1"/>
            </w14:solidFill>
          </w14:textFill>
        </w:rPr>
        <w:t>）。</w:t>
      </w:r>
    </w:p>
    <w:p w14:paraId="3A929593">
      <w:pPr>
        <w:adjustRightInd w:val="0"/>
        <w:snapToGrid w:val="0"/>
        <w:spacing w:line="360" w:lineRule="auto"/>
        <w:ind w:firstLine="560" w:firstLineChars="200"/>
        <w:rPr>
          <w:rFonts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highlight w:val="white"/>
          <w14:textFill>
            <w14:solidFill>
              <w14:schemeClr w14:val="tx1"/>
            </w14:solidFill>
          </w14:textFill>
        </w:rPr>
        <w:t>六、投标人应在投标截止时间之前使用数字证书(CA)，自备具有上网卡和音视频功能的电脑自行登录网上不见面开标大厅（郴州市公共资源交易中心网上办事系统的“开标</w:t>
      </w:r>
      <w:r>
        <w:rPr>
          <w:rFonts w:hint="eastAsia" w:ascii="仿宋" w:hAnsi="仿宋" w:eastAsia="仿宋" w:cs="仿宋"/>
          <w:color w:val="000000" w:themeColor="text1"/>
          <w:sz w:val="28"/>
          <w:szCs w:val="28"/>
          <w:highlight w:val="white"/>
          <w:lang w:val="en-US" w:eastAsia="zh-CN"/>
          <w14:textFill>
            <w14:solidFill>
              <w14:schemeClr w14:val="tx1"/>
            </w14:solidFill>
          </w14:textFill>
        </w:rPr>
        <w:t>签到解密</w:t>
      </w:r>
      <w:r>
        <w:rPr>
          <w:rFonts w:hint="eastAsia" w:ascii="仿宋" w:hAnsi="仿宋" w:eastAsia="仿宋" w:cs="仿宋"/>
          <w:color w:val="000000" w:themeColor="text1"/>
          <w:sz w:val="28"/>
          <w:szCs w:val="28"/>
          <w:highlight w:val="white"/>
          <w14:textFill>
            <w14:solidFill>
              <w14:schemeClr w14:val="tx1"/>
            </w14:solidFill>
          </w14:textFill>
        </w:rPr>
        <w:t>”模块（</w:t>
      </w:r>
      <w:r>
        <w:rPr>
          <w:rFonts w:hint="eastAsia" w:ascii="仿宋" w:hAnsi="仿宋" w:eastAsia="仿宋" w:cs="仿宋"/>
          <w:color w:val="000000" w:themeColor="text1"/>
          <w:sz w:val="28"/>
          <w:szCs w:val="28"/>
          <w:highlight w:val="white"/>
          <w:lang w:eastAsia="zh-CN"/>
          <w14:textFill>
            <w14:solidFill>
              <w14:schemeClr w14:val="tx1"/>
            </w14:solidFill>
          </w14:textFill>
        </w:rPr>
        <w:t>http：//www.czggzyzx.cn/BidOpening</w:t>
      </w:r>
      <w:r>
        <w:rPr>
          <w:rFonts w:hint="eastAsia" w:ascii="仿宋" w:hAnsi="仿宋" w:eastAsia="仿宋" w:cs="仿宋"/>
          <w:color w:val="000000" w:themeColor="text1"/>
          <w:sz w:val="28"/>
          <w:szCs w:val="28"/>
          <w:highlight w:val="white"/>
          <w14:textFill>
            <w14:solidFill>
              <w14:schemeClr w14:val="tx1"/>
            </w14:solidFill>
          </w14:textFill>
        </w:rPr>
        <w:t>）,在线等待开标,</w:t>
      </w:r>
      <w:r>
        <w:rPr>
          <w:rFonts w:hint="eastAsia" w:ascii="仿宋" w:hAnsi="仿宋" w:eastAsia="仿宋" w:cs="仿宋"/>
          <w:color w:val="000000" w:themeColor="text1"/>
          <w:sz w:val="28"/>
          <w:szCs w:val="28"/>
          <w14:textFill>
            <w14:solidFill>
              <w14:schemeClr w14:val="tx1"/>
            </w14:solidFill>
          </w14:textFill>
        </w:rPr>
        <w:t>并在开标期间保持通讯畅通。开标期间，投标人在开标大厅与招标人进行相关操作、音视频及文字交互，各电脑终端上的所有操作、音视频及文字交互均被视为各交易主体的行为。</w:t>
      </w:r>
      <w:r>
        <w:rPr>
          <w:rFonts w:hint="eastAsia" w:ascii="仿宋" w:hAnsi="仿宋" w:eastAsia="仿宋" w:cs="仿宋"/>
          <w:color w:val="000000" w:themeColor="text1"/>
          <w:sz w:val="28"/>
          <w:szCs w:val="28"/>
          <w:highlight w:val="white"/>
          <w14:textFill>
            <w14:solidFill>
              <w14:schemeClr w14:val="tx1"/>
            </w14:solidFill>
          </w14:textFill>
        </w:rPr>
        <w:t>未按时加入开标会议区并完成CA或账号密码登录操作的或未能在开标会议区内全程参与交互的，视为放弃交互和放弃对开评标全过程提出疑问的权利，投标人将无法看到解密指令、开标、唱标等实时情况，投标人自行承担由此导致的一切后果。</w:t>
      </w:r>
    </w:p>
    <w:p w14:paraId="6E454DC2">
      <w:pPr>
        <w:adjustRightInd w:val="0"/>
        <w:snapToGrid w:val="0"/>
        <w:spacing w:line="360" w:lineRule="auto"/>
        <w:ind w:firstLine="560" w:firstLineChars="200"/>
        <w:rPr>
          <w:rFonts w:hint="eastAsia" w:ascii="仿宋" w:hAnsi="仿宋" w:eastAsia="仿宋" w:cs="仿宋"/>
          <w:color w:val="000000" w:themeColor="text1"/>
          <w:sz w:val="28"/>
          <w:szCs w:val="28"/>
          <w:highlight w:val="white"/>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七、</w:t>
      </w:r>
      <w:r>
        <w:rPr>
          <w:rFonts w:hint="eastAsia" w:ascii="仿宋" w:hAnsi="仿宋" w:eastAsia="仿宋" w:cs="仿宋"/>
          <w:color w:val="000000" w:themeColor="text1"/>
          <w:sz w:val="28"/>
          <w:szCs w:val="28"/>
          <w:highlight w:val="white"/>
          <w14:textFill>
            <w14:solidFill>
              <w14:schemeClr w14:val="tx1"/>
            </w14:solidFill>
          </w14:textFill>
        </w:rPr>
        <w:t>开评标全过程中，投标人参与远程交互的授权委托人或法人代表应始终为同一个人，中途不得更换，在废标、澄清、提疑、传送文件等特殊情况下需要交互时，投标人一端参与交互的人员将均被视为是投标人的授权委托人或法人代表，投标人不得以不承认交互人员的资格或身份等为借口抵赖推脱，投标人自行承担随意更换人员所导致的一切后果。</w:t>
      </w:r>
    </w:p>
    <w:p w14:paraId="2D97F582">
      <w:pPr>
        <w:adjustRightInd w:val="0"/>
        <w:snapToGrid w:val="0"/>
        <w:spacing w:line="360" w:lineRule="auto"/>
        <w:ind w:firstLine="560" w:firstLineChars="200"/>
        <w:rPr>
          <w:rFonts w:hint="eastAsia" w:ascii="仿宋" w:hAnsi="仿宋" w:eastAsia="仿宋" w:cs="仿宋"/>
          <w:sz w:val="28"/>
          <w:szCs w:val="28"/>
          <w:highlight w:val="white"/>
        </w:rPr>
      </w:pPr>
    </w:p>
    <w:p w14:paraId="241549A4">
      <w:pPr>
        <w:adjustRightInd w:val="0"/>
        <w:snapToGrid w:val="0"/>
        <w:spacing w:line="360" w:lineRule="auto"/>
        <w:ind w:firstLine="560" w:firstLineChars="200"/>
        <w:rPr>
          <w:rFonts w:hint="eastAsia" w:ascii="仿宋" w:hAnsi="仿宋" w:eastAsia="仿宋" w:cs="仿宋"/>
          <w:sz w:val="28"/>
          <w:szCs w:val="28"/>
          <w:highlight w:val="white"/>
        </w:rPr>
      </w:pPr>
    </w:p>
    <w:p w14:paraId="773EEE45">
      <w:pPr>
        <w:adjustRightInd w:val="0"/>
        <w:snapToGrid w:val="0"/>
        <w:spacing w:line="360" w:lineRule="auto"/>
        <w:ind w:firstLine="560" w:firstLineChars="200"/>
        <w:rPr>
          <w:rFonts w:hint="eastAsia" w:ascii="仿宋" w:hAnsi="仿宋" w:eastAsia="仿宋" w:cs="仿宋"/>
          <w:sz w:val="28"/>
          <w:szCs w:val="28"/>
          <w:highlight w:val="white"/>
        </w:rPr>
      </w:pPr>
    </w:p>
    <w:p w14:paraId="7F8F7F15">
      <w:pPr>
        <w:adjustRightInd w:val="0"/>
        <w:snapToGrid w:val="0"/>
        <w:spacing w:line="360" w:lineRule="auto"/>
        <w:ind w:firstLine="560" w:firstLineChars="200"/>
        <w:rPr>
          <w:rFonts w:hint="eastAsia" w:ascii="仿宋" w:hAnsi="仿宋" w:eastAsia="仿宋" w:cs="仿宋"/>
          <w:sz w:val="28"/>
          <w:szCs w:val="28"/>
          <w:highlight w:val="white"/>
        </w:rPr>
      </w:pPr>
    </w:p>
    <w:p w14:paraId="25DDA1F1">
      <w:pPr>
        <w:adjustRightInd w:val="0"/>
        <w:snapToGrid w:val="0"/>
        <w:spacing w:line="360" w:lineRule="auto"/>
        <w:ind w:firstLine="560" w:firstLineChars="200"/>
        <w:rPr>
          <w:rFonts w:hint="eastAsia" w:ascii="仿宋" w:hAnsi="仿宋" w:eastAsia="仿宋" w:cs="仿宋"/>
          <w:sz w:val="28"/>
          <w:szCs w:val="28"/>
          <w:highlight w:val="white"/>
        </w:rPr>
      </w:pPr>
    </w:p>
    <w:p w14:paraId="59F4994D">
      <w:pPr>
        <w:adjustRightInd w:val="0"/>
        <w:snapToGrid w:val="0"/>
        <w:spacing w:line="360" w:lineRule="auto"/>
        <w:ind w:firstLine="560" w:firstLineChars="200"/>
        <w:rPr>
          <w:rFonts w:hint="eastAsia" w:ascii="仿宋" w:hAnsi="仿宋" w:eastAsia="仿宋" w:cs="仿宋"/>
          <w:sz w:val="28"/>
          <w:szCs w:val="28"/>
          <w:highlight w:val="white"/>
        </w:rPr>
      </w:pPr>
    </w:p>
    <w:p w14:paraId="5D03AAFA">
      <w:pPr>
        <w:adjustRightInd w:val="0"/>
        <w:snapToGrid w:val="0"/>
        <w:spacing w:line="360" w:lineRule="auto"/>
        <w:ind w:firstLine="560" w:firstLineChars="200"/>
        <w:rPr>
          <w:rFonts w:hint="eastAsia" w:ascii="仿宋" w:hAnsi="仿宋" w:eastAsia="仿宋" w:cs="仿宋"/>
          <w:sz w:val="28"/>
          <w:szCs w:val="28"/>
          <w:highlight w:val="white"/>
        </w:rPr>
      </w:pPr>
    </w:p>
    <w:p w14:paraId="4DE7D3B2">
      <w:pPr>
        <w:adjustRightInd w:val="0"/>
        <w:snapToGrid w:val="0"/>
        <w:spacing w:line="360" w:lineRule="auto"/>
        <w:ind w:firstLine="560" w:firstLineChars="200"/>
        <w:rPr>
          <w:rFonts w:hint="eastAsia" w:ascii="仿宋" w:hAnsi="仿宋" w:eastAsia="仿宋" w:cs="仿宋"/>
          <w:sz w:val="28"/>
          <w:szCs w:val="28"/>
          <w:highlight w:val="white"/>
        </w:rPr>
      </w:pPr>
    </w:p>
    <w:p w14:paraId="164C669B">
      <w:pPr>
        <w:adjustRightInd w:val="0"/>
        <w:snapToGrid w:val="0"/>
        <w:spacing w:line="360" w:lineRule="auto"/>
        <w:ind w:firstLine="560" w:firstLineChars="200"/>
        <w:rPr>
          <w:rFonts w:hint="eastAsia" w:ascii="仿宋" w:hAnsi="仿宋" w:eastAsia="仿宋" w:cs="仿宋"/>
          <w:sz w:val="28"/>
          <w:szCs w:val="28"/>
          <w:highlight w:val="white"/>
        </w:rPr>
      </w:pPr>
    </w:p>
    <w:p w14:paraId="149A0956">
      <w:pPr>
        <w:adjustRightInd w:val="0"/>
        <w:snapToGrid w:val="0"/>
        <w:spacing w:line="360" w:lineRule="auto"/>
        <w:ind w:firstLine="560" w:firstLineChars="200"/>
        <w:rPr>
          <w:rFonts w:hint="eastAsia" w:ascii="仿宋" w:hAnsi="仿宋" w:eastAsia="仿宋" w:cs="仿宋"/>
          <w:sz w:val="28"/>
          <w:szCs w:val="28"/>
          <w:highlight w:val="white"/>
        </w:rPr>
      </w:pPr>
    </w:p>
    <w:p w14:paraId="3076FB40">
      <w:pPr>
        <w:adjustRightInd w:val="0"/>
        <w:snapToGrid w:val="0"/>
        <w:spacing w:line="360" w:lineRule="auto"/>
        <w:ind w:firstLine="560" w:firstLineChars="200"/>
        <w:rPr>
          <w:rFonts w:hint="eastAsia" w:ascii="仿宋" w:hAnsi="仿宋" w:eastAsia="仿宋" w:cs="仿宋"/>
          <w:sz w:val="28"/>
          <w:szCs w:val="28"/>
          <w:highlight w:val="white"/>
        </w:rPr>
      </w:pPr>
    </w:p>
    <w:p w14:paraId="0BA113FD">
      <w:pPr>
        <w:adjustRightInd w:val="0"/>
        <w:snapToGrid w:val="0"/>
        <w:spacing w:line="360" w:lineRule="auto"/>
        <w:ind w:firstLine="560" w:firstLineChars="200"/>
        <w:rPr>
          <w:rFonts w:hint="eastAsia" w:ascii="仿宋" w:hAnsi="仿宋" w:eastAsia="仿宋" w:cs="仿宋"/>
          <w:sz w:val="28"/>
          <w:szCs w:val="28"/>
          <w:highlight w:val="white"/>
        </w:rPr>
      </w:pPr>
    </w:p>
    <w:p w14:paraId="6343B134">
      <w:pPr>
        <w:numPr>
          <w:ilvl w:val="255"/>
          <w:numId w:val="0"/>
        </w:numPr>
        <w:adjustRightInd w:val="0"/>
        <w:snapToGrid w:val="0"/>
        <w:spacing w:line="360" w:lineRule="auto"/>
        <w:rPr>
          <w:rFonts w:hint="eastAsia" w:ascii="仿宋" w:hAnsi="仿宋" w:eastAsia="仿宋" w:cs="仿宋"/>
          <w:sz w:val="28"/>
          <w:szCs w:val="28"/>
          <w:highlight w:val="white"/>
        </w:rPr>
      </w:pPr>
    </w:p>
    <w:p w14:paraId="787DA172">
      <w:pPr>
        <w:pStyle w:val="2"/>
        <w:ind w:left="1215"/>
        <w:rPr>
          <w:rFonts w:hint="eastAsia" w:ascii="黑体" w:hAnsi="华文中宋" w:eastAsia="黑体"/>
          <w:sz w:val="32"/>
          <w:szCs w:val="32"/>
        </w:rPr>
      </w:pPr>
      <w:bookmarkStart w:id="1" w:name="_Toc21937"/>
      <w:bookmarkStart w:id="2" w:name="_Toc31019"/>
      <w:r>
        <w:rPr>
          <w:rFonts w:hint="eastAsia" w:ascii="黑体" w:hAnsi="华文中宋" w:eastAsia="黑体"/>
          <w:sz w:val="32"/>
          <w:szCs w:val="32"/>
        </w:rPr>
        <w:t>第一章 投标邀请</w:t>
      </w:r>
      <w:bookmarkEnd w:id="0"/>
      <w:bookmarkEnd w:id="1"/>
      <w:bookmarkEnd w:id="2"/>
    </w:p>
    <w:p w14:paraId="013F6D95">
      <w:pPr>
        <w:rPr>
          <w:color w:val="000000" w:themeColor="text1"/>
          <w:sz w:val="24"/>
          <w14:textFill>
            <w14:solidFill>
              <w14:schemeClr w14:val="tx1"/>
            </w14:solidFill>
          </w14:textFill>
        </w:rPr>
      </w:pPr>
    </w:p>
    <w:p w14:paraId="50EA9283">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000000" w:themeColor="text1"/>
          <w:sz w:val="24"/>
          <w:u w:val="none"/>
          <w:lang w:eastAsia="zh-CN"/>
          <w14:textFill>
            <w14:solidFill>
              <w14:schemeClr w14:val="tx1"/>
            </w14:solidFill>
          </w14:textFill>
        </w:rPr>
        <w:t>郴州市数据局</w:t>
      </w:r>
      <w:r>
        <w:rPr>
          <w:rFonts w:hint="eastAsia" w:ascii="宋体" w:hAnsi="宋体"/>
          <w:color w:val="000000" w:themeColor="text1"/>
          <w:sz w:val="24"/>
          <w:u w:val="none"/>
          <w14:textFill>
            <w14:solidFill>
              <w14:schemeClr w14:val="tx1"/>
            </w14:solidFill>
          </w14:textFill>
        </w:rPr>
        <w:t xml:space="preserve">（采购人名称）的 </w:t>
      </w:r>
      <w:r>
        <w:rPr>
          <w:rFonts w:hint="eastAsia" w:ascii="宋体" w:hAnsi="宋体"/>
          <w:color w:val="000000" w:themeColor="text1"/>
          <w:sz w:val="24"/>
          <w:u w:val="none"/>
          <w:lang w:eastAsia="zh-CN"/>
          <w14:textFill>
            <w14:solidFill>
              <w14:schemeClr w14:val="tx1"/>
            </w14:solidFill>
          </w14:textFill>
        </w:rPr>
        <w:t>郴州市2026年度电子政务外网网络租赁及相关运维</w:t>
      </w:r>
      <w:r>
        <w:rPr>
          <w:rFonts w:hint="eastAsia" w:ascii="宋体" w:hAnsi="宋体"/>
          <w:color w:val="000000" w:themeColor="text1"/>
          <w:sz w:val="24"/>
          <w:u w:val="none"/>
          <w:lang w:val="en-US" w:eastAsia="zh-CN"/>
          <w14:textFill>
            <w14:solidFill>
              <w14:schemeClr w14:val="tx1"/>
            </w14:solidFill>
          </w14:textFill>
        </w:rPr>
        <w:t>服务</w:t>
      </w:r>
      <w:r>
        <w:rPr>
          <w:rFonts w:hint="eastAsia" w:ascii="宋体" w:hAnsi="宋体"/>
          <w:color w:val="000000" w:themeColor="text1"/>
          <w:sz w:val="24"/>
          <w:u w:val="none"/>
          <w:lang w:eastAsia="zh-CN"/>
          <w14:textFill>
            <w14:solidFill>
              <w14:schemeClr w14:val="tx1"/>
            </w14:solidFill>
          </w14:textFill>
        </w:rPr>
        <w:t>项目</w:t>
      </w:r>
      <w:r>
        <w:rPr>
          <w:rFonts w:hint="eastAsia" w:ascii="宋体" w:hAnsi="宋体"/>
          <w:color w:val="000000" w:themeColor="text1"/>
          <w:sz w:val="24"/>
          <w:u w:val="none"/>
          <w14:textFill>
            <w14:solidFill>
              <w14:schemeClr w14:val="tx1"/>
            </w14:solidFill>
          </w14:textFill>
        </w:rPr>
        <w:t>(项</w:t>
      </w:r>
      <w:r>
        <w:rPr>
          <w:rFonts w:hint="eastAsia" w:ascii="宋体" w:hAnsi="宋体"/>
          <w:color w:val="auto"/>
          <w:sz w:val="24"/>
          <w:u w:val="none"/>
        </w:rPr>
        <w:t>目名称)进行公开招标采购，现邀请合格投标人参加投标。</w:t>
      </w:r>
    </w:p>
    <w:p w14:paraId="3B51A2AD">
      <w:pPr>
        <w:adjustRightInd w:val="0"/>
        <w:snapToGrid w:val="0"/>
        <w:spacing w:line="500" w:lineRule="exact"/>
        <w:ind w:firstLine="480" w:firstLineChars="200"/>
        <w:rPr>
          <w:rFonts w:hint="eastAsia" w:ascii="宋体" w:hAnsi="宋体"/>
          <w:color w:val="auto"/>
          <w:sz w:val="24"/>
          <w:u w:val="none"/>
        </w:rPr>
      </w:pPr>
      <w:bookmarkStart w:id="3" w:name="_Toc12034"/>
      <w:r>
        <w:rPr>
          <w:rFonts w:hint="eastAsia" w:ascii="宋体" w:hAnsi="宋体"/>
          <w:color w:val="auto"/>
          <w:sz w:val="24"/>
          <w:u w:val="none"/>
        </w:rPr>
        <w:t>一、采购项目基本信息</w:t>
      </w:r>
      <w:bookmarkEnd w:id="3"/>
    </w:p>
    <w:p w14:paraId="2E5CC0C7">
      <w:pPr>
        <w:adjustRightInd w:val="0"/>
        <w:snapToGrid w:val="0"/>
        <w:spacing w:line="500" w:lineRule="exact"/>
        <w:ind w:firstLine="480" w:firstLineChars="200"/>
        <w:rPr>
          <w:rFonts w:hint="eastAsia" w:ascii="宋体" w:hAnsi="宋体"/>
          <w:color w:val="auto"/>
          <w:sz w:val="24"/>
          <w:u w:val="none"/>
          <w:lang w:eastAsia="zh-CN"/>
        </w:rPr>
      </w:pPr>
      <w:r>
        <w:rPr>
          <w:rFonts w:hint="eastAsia" w:ascii="宋体" w:hAnsi="宋体"/>
          <w:color w:val="auto"/>
          <w:sz w:val="24"/>
          <w:u w:val="none"/>
        </w:rPr>
        <w:t>1、采购项目名称：</w:t>
      </w:r>
      <w:r>
        <w:rPr>
          <w:rFonts w:hint="eastAsia" w:ascii="宋体" w:hAnsi="宋体"/>
          <w:color w:val="auto"/>
          <w:sz w:val="24"/>
          <w:u w:val="none"/>
          <w:lang w:eastAsia="zh-CN"/>
        </w:rPr>
        <w:t>郴州市2026年度电子政务外网网络租赁及相关运维</w:t>
      </w:r>
      <w:r>
        <w:rPr>
          <w:rFonts w:hint="eastAsia" w:ascii="宋体" w:hAnsi="宋体"/>
          <w:color w:val="auto"/>
          <w:sz w:val="24"/>
          <w:u w:val="none"/>
          <w:lang w:val="en-US" w:eastAsia="zh-CN"/>
        </w:rPr>
        <w:t>服务</w:t>
      </w:r>
      <w:r>
        <w:rPr>
          <w:rFonts w:hint="eastAsia" w:ascii="宋体" w:hAnsi="宋体"/>
          <w:color w:val="auto"/>
          <w:sz w:val="24"/>
          <w:u w:val="none"/>
          <w:lang w:eastAsia="zh-CN"/>
        </w:rPr>
        <w:t>项目</w:t>
      </w:r>
    </w:p>
    <w:p w14:paraId="53958DE1">
      <w:pPr>
        <w:adjustRightInd w:val="0"/>
        <w:snapToGrid w:val="0"/>
        <w:spacing w:line="500" w:lineRule="exact"/>
        <w:ind w:firstLine="480" w:firstLineChars="200"/>
        <w:rPr>
          <w:rFonts w:hint="eastAsia" w:ascii="宋体" w:hAnsi="宋体"/>
          <w:color w:val="auto"/>
          <w:sz w:val="24"/>
          <w:u w:val="none"/>
          <w:lang w:eastAsia="zh-CN"/>
        </w:rPr>
      </w:pPr>
      <w:r>
        <w:rPr>
          <w:rFonts w:hint="eastAsia" w:ascii="宋体" w:hAnsi="宋体"/>
          <w:color w:val="auto"/>
          <w:sz w:val="24"/>
          <w:u w:val="none"/>
        </w:rPr>
        <w:t>2、政府采购计划编号：(2026)431000000132-1</w:t>
      </w:r>
    </w:p>
    <w:p w14:paraId="464B3076">
      <w:pPr>
        <w:adjustRightInd w:val="0"/>
        <w:snapToGrid w:val="0"/>
        <w:spacing w:line="500" w:lineRule="exact"/>
        <w:ind w:firstLine="480" w:firstLineChars="200"/>
        <w:rPr>
          <w:rFonts w:hint="eastAsia" w:ascii="宋体" w:hAnsi="宋体"/>
          <w:color w:val="auto"/>
          <w:sz w:val="24"/>
          <w:u w:val="none"/>
          <w:lang w:eastAsia="zh-CN"/>
        </w:rPr>
      </w:pPr>
      <w:r>
        <w:rPr>
          <w:rFonts w:hint="eastAsia" w:ascii="宋体" w:hAnsi="宋体"/>
          <w:color w:val="auto"/>
          <w:sz w:val="24"/>
          <w:u w:val="none"/>
        </w:rPr>
        <w:t>3、</w:t>
      </w:r>
      <w:r>
        <w:rPr>
          <w:rFonts w:hint="eastAsia" w:ascii="宋体" w:hAnsi="宋体"/>
          <w:color w:val="auto"/>
          <w:sz w:val="24"/>
          <w:u w:val="none"/>
          <w:lang w:eastAsia="zh-CN"/>
        </w:rPr>
        <w:t>采购代理编号</w:t>
      </w:r>
      <w:r>
        <w:rPr>
          <w:rFonts w:hint="eastAsia" w:ascii="宋体" w:hAnsi="宋体"/>
          <w:color w:val="auto"/>
          <w:sz w:val="24"/>
          <w:u w:val="none"/>
        </w:rPr>
        <w:t>：</w:t>
      </w:r>
      <w:r>
        <w:rPr>
          <w:rFonts w:hint="eastAsia" w:ascii="宋体" w:hAnsi="宋体"/>
          <w:color w:val="auto"/>
          <w:sz w:val="24"/>
          <w:u w:val="none"/>
          <w:lang w:eastAsia="zh-CN"/>
        </w:rPr>
        <w:t>XYTC-郴-2026-039</w:t>
      </w:r>
    </w:p>
    <w:p w14:paraId="222F103F">
      <w:pPr>
        <w:adjustRightInd w:val="0"/>
        <w:snapToGrid w:val="0"/>
        <w:spacing w:line="500" w:lineRule="exact"/>
        <w:ind w:firstLine="480" w:firstLineChars="200"/>
        <w:rPr>
          <w:rFonts w:hint="eastAsia" w:ascii="宋体" w:hAnsi="宋体"/>
          <w:color w:val="auto"/>
          <w:sz w:val="24"/>
          <w:u w:val="none"/>
          <w:lang w:eastAsia="zh-CN"/>
        </w:rPr>
      </w:pPr>
      <w:r>
        <w:rPr>
          <w:rFonts w:hint="eastAsia" w:ascii="宋体" w:hAnsi="宋体"/>
          <w:color w:val="auto"/>
          <w:sz w:val="24"/>
          <w:u w:val="none"/>
        </w:rPr>
        <w:t>4、采购项目预算：</w:t>
      </w:r>
      <w:r>
        <w:rPr>
          <w:rFonts w:hint="eastAsia" w:ascii="宋体" w:hAnsi="宋体"/>
          <w:color w:val="auto"/>
          <w:sz w:val="24"/>
          <w:u w:val="none"/>
          <w:lang w:eastAsia="zh-CN"/>
        </w:rPr>
        <w:t>¥</w:t>
      </w:r>
      <w:r>
        <w:rPr>
          <w:rFonts w:hint="eastAsia" w:ascii="宋体" w:hAnsi="宋体"/>
          <w:color w:val="auto"/>
          <w:sz w:val="24"/>
          <w:u w:val="none"/>
          <w:lang w:val="en-US" w:eastAsia="zh-CN"/>
        </w:rPr>
        <w:t>1661100.00元</w:t>
      </w:r>
    </w:p>
    <w:p w14:paraId="3FC2449C">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sym w:font="Wingdings" w:char="00A8"/>
      </w:r>
      <w:r>
        <w:rPr>
          <w:rFonts w:hint="eastAsia" w:ascii="宋体" w:hAnsi="宋体"/>
          <w:color w:val="auto"/>
          <w:sz w:val="24"/>
          <w:u w:val="none"/>
        </w:rPr>
        <w:t>支持预付款，预付比例：/</w:t>
      </w:r>
    </w:p>
    <w:p w14:paraId="403DB5AE">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5、本项目对应的中小企业划分标准所属行业：软件和信息技术服务业</w:t>
      </w:r>
    </w:p>
    <w:p w14:paraId="36E46416">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6、评标方法：</w:t>
      </w:r>
      <w:r>
        <w:rPr>
          <w:rFonts w:hint="eastAsia" w:ascii="宋体" w:hAnsi="宋体"/>
          <w:color w:val="000000" w:themeColor="text1"/>
          <w:sz w:val="24"/>
          <w:u w:val="none"/>
          <w14:textFill>
            <w14:solidFill>
              <w14:schemeClr w14:val="tx1"/>
            </w14:solidFill>
          </w14:textFill>
        </w:rPr>
        <w:sym w:font="Wingdings 2" w:char="F052"/>
      </w:r>
      <w:r>
        <w:rPr>
          <w:rFonts w:hint="eastAsia" w:ascii="宋体" w:hAnsi="宋体"/>
          <w:color w:val="000000" w:themeColor="text1"/>
          <w:sz w:val="24"/>
          <w:u w:val="none"/>
          <w14:textFill>
            <w14:solidFill>
              <w14:schemeClr w14:val="tx1"/>
            </w14:solidFill>
          </w14:textFill>
        </w:rPr>
        <w:t xml:space="preserve">综合评分法 </w:t>
      </w:r>
      <w:r>
        <w:rPr>
          <w:rFonts w:hint="eastAsia" w:ascii="宋体" w:hAnsi="宋体"/>
          <w:color w:val="000000" w:themeColor="text1"/>
          <w:sz w:val="24"/>
          <w:u w:val="none"/>
          <w14:textFill>
            <w14:solidFill>
              <w14:schemeClr w14:val="tx1"/>
            </w14:solidFill>
          </w14:textFill>
        </w:rPr>
        <w:sym w:font="Wingdings" w:char="00A8"/>
      </w:r>
      <w:r>
        <w:rPr>
          <w:rFonts w:hint="eastAsia" w:ascii="宋体" w:hAnsi="宋体"/>
          <w:color w:val="000000" w:themeColor="text1"/>
          <w:sz w:val="24"/>
          <w:u w:val="none"/>
          <w14:textFill>
            <w14:solidFill>
              <w14:schemeClr w14:val="tx1"/>
            </w14:solidFill>
          </w14:textFill>
        </w:rPr>
        <w:t>最低评标价法</w:t>
      </w:r>
    </w:p>
    <w:p w14:paraId="50157919">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7、合同定价方式：</w:t>
      </w:r>
      <w:r>
        <w:rPr>
          <w:rFonts w:hint="eastAsia" w:ascii="宋体" w:hAnsi="宋体"/>
          <w:color w:val="000000" w:themeColor="text1"/>
          <w:sz w:val="24"/>
          <w:u w:val="none"/>
          <w14:textFill>
            <w14:solidFill>
              <w14:schemeClr w14:val="tx1"/>
            </w14:solidFill>
          </w14:textFill>
        </w:rPr>
        <w:sym w:font="Wingdings 2" w:char="F052"/>
      </w:r>
      <w:r>
        <w:rPr>
          <w:rFonts w:hint="eastAsia" w:ascii="宋体" w:hAnsi="宋体"/>
          <w:color w:val="000000" w:themeColor="text1"/>
          <w:sz w:val="24"/>
          <w:u w:val="none"/>
          <w14:textFill>
            <w14:solidFill>
              <w14:schemeClr w14:val="tx1"/>
            </w14:solidFill>
          </w14:textFill>
        </w:rPr>
        <w:t xml:space="preserve">固定总价 </w:t>
      </w:r>
      <w:r>
        <w:rPr>
          <w:rFonts w:hint="eastAsia" w:ascii="宋体" w:hAnsi="宋体"/>
          <w:color w:val="000000" w:themeColor="text1"/>
          <w:sz w:val="24"/>
          <w:u w:val="none"/>
          <w14:textFill>
            <w14:solidFill>
              <w14:schemeClr w14:val="tx1"/>
            </w14:solidFill>
          </w14:textFill>
        </w:rPr>
        <w:sym w:font="Wingdings" w:char="00A8"/>
      </w:r>
      <w:r>
        <w:rPr>
          <w:rFonts w:hint="eastAsia" w:ascii="宋体" w:hAnsi="宋体"/>
          <w:color w:val="000000" w:themeColor="text1"/>
          <w:sz w:val="24"/>
          <w:u w:val="none"/>
          <w14:textFill>
            <w14:solidFill>
              <w14:schemeClr w14:val="tx1"/>
            </w14:solidFill>
          </w14:textFill>
        </w:rPr>
        <w:t xml:space="preserve">固定单价 </w:t>
      </w:r>
      <w:r>
        <w:rPr>
          <w:rFonts w:hint="eastAsia" w:ascii="宋体" w:hAnsi="宋体"/>
          <w:color w:val="000000" w:themeColor="text1"/>
          <w:sz w:val="24"/>
          <w:u w:val="none"/>
          <w14:textFill>
            <w14:solidFill>
              <w14:schemeClr w14:val="tx1"/>
            </w14:solidFill>
          </w14:textFill>
        </w:rPr>
        <w:sym w:font="Wingdings" w:char="00A8"/>
      </w:r>
      <w:r>
        <w:rPr>
          <w:rFonts w:hint="eastAsia" w:ascii="宋体" w:hAnsi="宋体"/>
          <w:color w:val="000000" w:themeColor="text1"/>
          <w:sz w:val="24"/>
          <w:u w:val="none"/>
          <w14:textFill>
            <w14:solidFill>
              <w14:schemeClr w14:val="tx1"/>
            </w14:solidFill>
          </w14:textFill>
        </w:rPr>
        <w:t xml:space="preserve">成本补偿 </w:t>
      </w:r>
      <w:r>
        <w:rPr>
          <w:rFonts w:hint="eastAsia" w:ascii="宋体" w:hAnsi="宋体"/>
          <w:color w:val="000000" w:themeColor="text1"/>
          <w:sz w:val="24"/>
          <w:u w:val="none"/>
          <w14:textFill>
            <w14:solidFill>
              <w14:schemeClr w14:val="tx1"/>
            </w14:solidFill>
          </w14:textFill>
        </w:rPr>
        <w:sym w:font="Wingdings" w:char="00A8"/>
      </w:r>
      <w:r>
        <w:rPr>
          <w:rFonts w:hint="eastAsia" w:ascii="宋体" w:hAnsi="宋体"/>
          <w:color w:val="000000" w:themeColor="text1"/>
          <w:sz w:val="24"/>
          <w:u w:val="none"/>
          <w14:textFill>
            <w14:solidFill>
              <w14:schemeClr w14:val="tx1"/>
            </w14:solidFill>
          </w14:textFill>
        </w:rPr>
        <w:t>绩效激励</w:t>
      </w:r>
    </w:p>
    <w:p w14:paraId="29C86760">
      <w:pPr>
        <w:adjustRightInd w:val="0"/>
        <w:snapToGrid w:val="0"/>
        <w:spacing w:line="500" w:lineRule="exact"/>
        <w:ind w:firstLine="480" w:firstLineChars="200"/>
        <w:rPr>
          <w:rFonts w:hint="default" w:ascii="宋体" w:hAnsi="宋体"/>
          <w:color w:val="000000" w:themeColor="text1"/>
          <w:sz w:val="24"/>
          <w:u w:val="none"/>
          <w:lang w:val="en-US"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8、合同履行期限：</w:t>
      </w:r>
      <w:r>
        <w:rPr>
          <w:rFonts w:hint="eastAsia" w:ascii="宋体" w:hAnsi="宋体"/>
          <w:color w:val="000000" w:themeColor="text1"/>
          <w:sz w:val="24"/>
          <w:u w:val="none"/>
          <w:lang w:val="en-US" w:eastAsia="zh-CN"/>
          <w14:textFill>
            <w14:solidFill>
              <w14:schemeClr w14:val="tx1"/>
            </w14:solidFill>
          </w14:textFill>
        </w:rPr>
        <w:t xml:space="preserve"> 1年  </w:t>
      </w:r>
    </w:p>
    <w:p w14:paraId="3B1FF682">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9、根据《关于进一步优化政府采购领域营商环境的通知》郴财采资〔2024〕6号文件精神，本项目取消投标保证金及履约保证金。</w:t>
      </w:r>
    </w:p>
    <w:p w14:paraId="3813443F">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4" w:name="_Toc18998"/>
      <w:r>
        <w:rPr>
          <w:rFonts w:hint="eastAsia" w:ascii="宋体" w:hAnsi="宋体"/>
          <w:color w:val="000000" w:themeColor="text1"/>
          <w:sz w:val="24"/>
          <w:u w:val="none"/>
          <w14:textFill>
            <w14:solidFill>
              <w14:schemeClr w14:val="tx1"/>
            </w14:solidFill>
          </w14:textFill>
        </w:rPr>
        <w:t>二、采购人的采购需求（按包）</w:t>
      </w:r>
      <w:bookmarkEnd w:id="4"/>
    </w:p>
    <w:tbl>
      <w:tblPr>
        <w:tblStyle w:val="21"/>
        <w:tblW w:w="1023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575"/>
        <w:gridCol w:w="1785"/>
        <w:gridCol w:w="705"/>
        <w:gridCol w:w="1875"/>
        <w:gridCol w:w="1875"/>
        <w:gridCol w:w="855"/>
        <w:gridCol w:w="795"/>
      </w:tblGrid>
      <w:tr w14:paraId="1432B0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cantSplit/>
          <w:trHeight w:val="1022" w:hRule="atLeast"/>
          <w:jc w:val="center"/>
        </w:trPr>
        <w:tc>
          <w:tcPr>
            <w:tcW w:w="767" w:type="dxa"/>
            <w:vAlign w:val="center"/>
          </w:tcPr>
          <w:p w14:paraId="33E8843B">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 xml:space="preserve">包号 </w:t>
            </w:r>
          </w:p>
        </w:tc>
        <w:tc>
          <w:tcPr>
            <w:tcW w:w="1575" w:type="dxa"/>
            <w:vAlign w:val="center"/>
          </w:tcPr>
          <w:p w14:paraId="5E01396C">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标的名称</w:t>
            </w:r>
          </w:p>
        </w:tc>
        <w:tc>
          <w:tcPr>
            <w:tcW w:w="1785" w:type="dxa"/>
            <w:tcBorders>
              <w:left w:val="single" w:color="auto" w:sz="4" w:space="0"/>
            </w:tcBorders>
            <w:vAlign w:val="center"/>
          </w:tcPr>
          <w:p w14:paraId="185C8DED">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简要技术要求</w:t>
            </w:r>
          </w:p>
        </w:tc>
        <w:tc>
          <w:tcPr>
            <w:tcW w:w="705" w:type="dxa"/>
            <w:tcBorders>
              <w:left w:val="single" w:color="auto" w:sz="4" w:space="0"/>
            </w:tcBorders>
            <w:vAlign w:val="center"/>
          </w:tcPr>
          <w:p w14:paraId="4434E976">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数量</w:t>
            </w:r>
          </w:p>
        </w:tc>
        <w:tc>
          <w:tcPr>
            <w:tcW w:w="1875" w:type="dxa"/>
            <w:vAlign w:val="center"/>
          </w:tcPr>
          <w:p w14:paraId="24642FBF">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标的预算（元）</w:t>
            </w:r>
          </w:p>
        </w:tc>
        <w:tc>
          <w:tcPr>
            <w:tcW w:w="1875" w:type="dxa"/>
            <w:vAlign w:val="center"/>
          </w:tcPr>
          <w:p w14:paraId="2FF0A4AB">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最高限价（元）</w:t>
            </w:r>
          </w:p>
        </w:tc>
        <w:tc>
          <w:tcPr>
            <w:tcW w:w="855" w:type="dxa"/>
            <w:vAlign w:val="center"/>
          </w:tcPr>
          <w:p w14:paraId="4AC6756F">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节能产品</w:t>
            </w:r>
          </w:p>
        </w:tc>
        <w:tc>
          <w:tcPr>
            <w:tcW w:w="795" w:type="dxa"/>
            <w:vAlign w:val="center"/>
          </w:tcPr>
          <w:p w14:paraId="2620583F">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left"/>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进口产品</w:t>
            </w:r>
          </w:p>
        </w:tc>
      </w:tr>
      <w:tr w14:paraId="05581A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7" w:hRule="atLeast"/>
          <w:jc w:val="center"/>
        </w:trPr>
        <w:tc>
          <w:tcPr>
            <w:tcW w:w="767" w:type="dxa"/>
          </w:tcPr>
          <w:p w14:paraId="1276BA69">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1</w:t>
            </w:r>
          </w:p>
        </w:tc>
        <w:tc>
          <w:tcPr>
            <w:tcW w:w="1575" w:type="dxa"/>
          </w:tcPr>
          <w:p w14:paraId="57644207">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郴州市2026年度电子政务外网网络租赁及相关运维</w:t>
            </w:r>
            <w:r>
              <w:rPr>
                <w:rFonts w:hint="eastAsia" w:ascii="宋体" w:hAnsi="宋体"/>
                <w:color w:val="000000" w:themeColor="text1"/>
                <w:sz w:val="24"/>
                <w:u w:val="none"/>
                <w:lang w:val="en-US" w:eastAsia="zh-CN"/>
                <w14:textFill>
                  <w14:solidFill>
                    <w14:schemeClr w14:val="tx1"/>
                  </w14:solidFill>
                </w14:textFill>
              </w:rPr>
              <w:t>服务</w:t>
            </w:r>
            <w:bookmarkStart w:id="278" w:name="_GoBack"/>
            <w:bookmarkEnd w:id="278"/>
            <w:r>
              <w:rPr>
                <w:rFonts w:hint="eastAsia" w:ascii="宋体" w:hAnsi="宋体"/>
                <w:color w:val="000000" w:themeColor="text1"/>
                <w:sz w:val="24"/>
                <w:u w:val="none"/>
                <w:lang w:eastAsia="zh-CN"/>
                <w14:textFill>
                  <w14:solidFill>
                    <w14:schemeClr w14:val="tx1"/>
                  </w14:solidFill>
                </w14:textFill>
              </w:rPr>
              <w:t>项目</w:t>
            </w:r>
          </w:p>
        </w:tc>
        <w:tc>
          <w:tcPr>
            <w:tcW w:w="1785" w:type="dxa"/>
            <w:tcBorders>
              <w:left w:val="single" w:color="auto" w:sz="4" w:space="0"/>
            </w:tcBorders>
          </w:tcPr>
          <w:p w14:paraId="6D5A55F5">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详见招标文件第五章“采购需求”</w:t>
            </w:r>
          </w:p>
        </w:tc>
        <w:tc>
          <w:tcPr>
            <w:tcW w:w="705" w:type="dxa"/>
            <w:tcBorders>
              <w:left w:val="single" w:color="auto" w:sz="4" w:space="0"/>
            </w:tcBorders>
            <w:vAlign w:val="center"/>
          </w:tcPr>
          <w:p w14:paraId="0D6D1105">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1项</w:t>
            </w:r>
          </w:p>
        </w:tc>
        <w:tc>
          <w:tcPr>
            <w:tcW w:w="1875" w:type="dxa"/>
            <w:vAlign w:val="center"/>
          </w:tcPr>
          <w:p w14:paraId="051C19EC">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1661100.00元</w:t>
            </w:r>
          </w:p>
        </w:tc>
        <w:tc>
          <w:tcPr>
            <w:tcW w:w="1875" w:type="dxa"/>
            <w:vAlign w:val="center"/>
          </w:tcPr>
          <w:p w14:paraId="0B747639">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14:textFill>
                  <w14:solidFill>
                    <w14:schemeClr w14:val="tx1"/>
                  </w14:solidFill>
                </w14:textFill>
              </w:rPr>
            </w:pPr>
          </w:p>
          <w:p w14:paraId="219F364B">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lang w:val="en-US"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w:t>
            </w:r>
            <w:r>
              <w:rPr>
                <w:rFonts w:hint="eastAsia" w:ascii="宋体" w:hAnsi="宋体"/>
                <w:color w:val="000000" w:themeColor="text1"/>
                <w:sz w:val="24"/>
                <w:u w:val="none"/>
                <w:lang w:val="en-US" w:eastAsia="zh-CN"/>
                <w14:textFill>
                  <w14:solidFill>
                    <w14:schemeClr w14:val="tx1"/>
                  </w14:solidFill>
                </w14:textFill>
              </w:rPr>
              <w:t>1661100.00元</w:t>
            </w:r>
          </w:p>
          <w:p w14:paraId="1845872F">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color w:val="000000" w:themeColor="text1"/>
                <w:sz w:val="24"/>
                <w:u w:val="none"/>
                <w:lang w:eastAsia="zh-CN"/>
                <w14:textFill>
                  <w14:solidFill>
                    <w14:schemeClr w14:val="tx1"/>
                  </w14:solidFill>
                </w14:textFill>
              </w:rPr>
            </w:pPr>
          </w:p>
        </w:tc>
        <w:tc>
          <w:tcPr>
            <w:tcW w:w="855" w:type="dxa"/>
            <w:vAlign w:val="center"/>
          </w:tcPr>
          <w:p w14:paraId="270F8EF6">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color w:val="000000" w:themeColor="text1"/>
                <w:sz w:val="24"/>
                <w:u w:val="none"/>
                <w14:textFill>
                  <w14:solidFill>
                    <w14:schemeClr w14:val="tx1"/>
                  </w14:solidFill>
                </w14:textFill>
              </w:rPr>
            </w:pPr>
          </w:p>
        </w:tc>
        <w:tc>
          <w:tcPr>
            <w:tcW w:w="795" w:type="dxa"/>
            <w:vAlign w:val="center"/>
          </w:tcPr>
          <w:p w14:paraId="0C685C33">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textAlignment w:val="auto"/>
              <w:rPr>
                <w:rFonts w:hint="eastAsia" w:ascii="宋体" w:hAnsi="宋体"/>
                <w:color w:val="000000" w:themeColor="text1"/>
                <w:sz w:val="24"/>
                <w:u w:val="none"/>
                <w14:textFill>
                  <w14:solidFill>
                    <w14:schemeClr w14:val="tx1"/>
                  </w14:solidFill>
                </w14:textFill>
              </w:rPr>
            </w:pPr>
          </w:p>
        </w:tc>
      </w:tr>
      <w:tr w14:paraId="6DAF0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7" w:hRule="atLeast"/>
          <w:jc w:val="center"/>
        </w:trPr>
        <w:tc>
          <w:tcPr>
            <w:tcW w:w="10232" w:type="dxa"/>
            <w:gridSpan w:val="8"/>
          </w:tcPr>
          <w:p w14:paraId="211587A4">
            <w:pPr>
              <w:adjustRightInd w:val="0"/>
              <w:snapToGrid w:val="0"/>
              <w:spacing w:line="500" w:lineRule="exact"/>
              <w:ind w:firstLine="480" w:firstLineChars="200"/>
              <w:rPr>
                <w:rFonts w:hint="eastAsia" w:ascii="宋体" w:hAnsi="宋体" w:eastAsia="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代理服务收费最高限价（元人民币）：¥</w:t>
            </w:r>
            <w:r>
              <w:rPr>
                <w:rFonts w:hint="eastAsia" w:ascii="宋体" w:hAnsi="宋体"/>
                <w:color w:val="000000" w:themeColor="text1"/>
                <w:sz w:val="24"/>
                <w:u w:val="none"/>
                <w:lang w:eastAsia="zh-CN"/>
                <w14:textFill>
                  <w14:solidFill>
                    <w14:schemeClr w14:val="tx1"/>
                  </w14:solidFill>
                </w14:textFill>
              </w:rPr>
              <w:t>10800.00</w:t>
            </w:r>
          </w:p>
        </w:tc>
      </w:tr>
    </w:tbl>
    <w:p w14:paraId="48D5FFBA">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说明：</w:t>
      </w:r>
    </w:p>
    <w:p w14:paraId="3E15B574">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1.节能产品实行强制采购的，需提供国家认证机构出具的、处于有效期内的节能产品证书。</w:t>
      </w:r>
    </w:p>
    <w:p w14:paraId="42DDFC6E">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2.同意购买进口产品的，不限制满足采购需求的国内产品参与投标。</w:t>
      </w:r>
    </w:p>
    <w:p w14:paraId="52B5ABD4">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5" w:name="_Toc3486"/>
      <w:r>
        <w:rPr>
          <w:rFonts w:hint="eastAsia" w:ascii="宋体" w:hAnsi="宋体"/>
          <w:color w:val="000000" w:themeColor="text1"/>
          <w:sz w:val="24"/>
          <w:u w:val="none"/>
          <w14:textFill>
            <w14:solidFill>
              <w14:schemeClr w14:val="tx1"/>
            </w14:solidFill>
          </w14:textFill>
        </w:rPr>
        <w:t>三、采购项目需落实的政府采购政策：(说明：应根据采购项目特点选择以下内容)：</w:t>
      </w:r>
      <w:bookmarkEnd w:id="5"/>
    </w:p>
    <w:p w14:paraId="0D410DB7">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6" w:name="_Toc25288"/>
      <w:r>
        <w:rPr>
          <w:rFonts w:hint="eastAsia" w:ascii="宋体" w:hAnsi="宋体"/>
          <w:color w:val="000000" w:themeColor="text1"/>
          <w:sz w:val="24"/>
          <w:u w:val="none"/>
          <w14:textFill>
            <w14:solidFill>
              <w14:schemeClr w14:val="tx1"/>
            </w14:solidFill>
          </w14:textFill>
        </w:rPr>
        <w:t>1、优先采购：节能产品、环境标志产品享受加分或价格折扣。</w:t>
      </w:r>
    </w:p>
    <w:p w14:paraId="46E379B5">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2、支持中小企业：中小企业享受预留采购份额或价格折扣。</w:t>
      </w:r>
    </w:p>
    <w:p w14:paraId="0FE4223D">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四、投标人的资格要求：</w:t>
      </w:r>
      <w:bookmarkEnd w:id="6"/>
    </w:p>
    <w:p w14:paraId="7307522C">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7" w:name="OLE_LINK3"/>
      <w:r>
        <w:rPr>
          <w:rFonts w:hint="eastAsia" w:ascii="宋体" w:hAnsi="宋体"/>
          <w:color w:val="000000" w:themeColor="text1"/>
          <w:sz w:val="24"/>
          <w:u w:val="none"/>
          <w14:textFill>
            <w14:solidFill>
              <w14:schemeClr w14:val="tx1"/>
            </w14:solidFill>
          </w14:textFill>
        </w:rPr>
        <w:t>1、投标人的基本资格条件：投标人必须是在中华人民共和国境内注册登记的法人、其他组织或者自然人，且应当符合《政府采购法》第二十二条第一款的规定，即：</w:t>
      </w:r>
    </w:p>
    <w:p w14:paraId="3701E4D4">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（1）具有独立承担民事责任的能力；</w:t>
      </w:r>
    </w:p>
    <w:p w14:paraId="3BB98CCD">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（2）具有良好的商业信誉和健全的财务会计制度；</w:t>
      </w:r>
    </w:p>
    <w:p w14:paraId="55263E83">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（3）具有履行合同所必需的设备和专业技术能力；</w:t>
      </w:r>
    </w:p>
    <w:p w14:paraId="616A6554">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（4）有依法缴纳税收和社会保障资金的良好记录；</w:t>
      </w:r>
    </w:p>
    <w:p w14:paraId="365CB2DA">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（5）参加政府采购活动前三年内，在经营活动中没有重大违法记录；</w:t>
      </w:r>
    </w:p>
    <w:p w14:paraId="719329FF">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（6）法律、行政法规规定的其他条件。</w:t>
      </w:r>
    </w:p>
    <w:p w14:paraId="5E52DA3A">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被“信用中国”“信用湖南”“信用郴州”网站列入失信被执行人和重大税收违法案件当事人名单的、被“中国政府采购网”网站列入政府采购严重违法失信行为记录名单（处罚期限尚未届满的），不得参与本项目的政府采购活动。</w:t>
      </w:r>
    </w:p>
    <w:p w14:paraId="0D66DEC7">
      <w:pPr>
        <w:adjustRightInd w:val="0"/>
        <w:snapToGrid w:val="0"/>
        <w:spacing w:line="500" w:lineRule="exact"/>
        <w:ind w:firstLine="480" w:firstLineChars="200"/>
        <w:rPr>
          <w:rFonts w:hint="eastAsia" w:ascii="宋体" w:hAnsi="宋体"/>
          <w:b/>
          <w:bCs/>
          <w:color w:val="auto"/>
          <w:sz w:val="24"/>
          <w:u w:val="none"/>
        </w:rPr>
      </w:pPr>
      <w:r>
        <w:rPr>
          <w:rFonts w:hint="eastAsia" w:ascii="宋体" w:hAnsi="宋体"/>
          <w:b/>
          <w:bCs/>
          <w:color w:val="auto"/>
          <w:sz w:val="24"/>
          <w:u w:val="none"/>
        </w:rPr>
        <w:t>3、落实政府采购政策需满足的资格要求：</w:t>
      </w:r>
    </w:p>
    <w:p w14:paraId="286A6D56">
      <w:pPr>
        <w:adjustRightInd w:val="0"/>
        <w:snapToGrid w:val="0"/>
        <w:spacing w:line="500" w:lineRule="exact"/>
        <w:ind w:firstLine="480" w:firstLineChars="200"/>
        <w:rPr>
          <w:rFonts w:hint="eastAsia" w:ascii="宋体" w:hAnsi="宋体"/>
          <w:b/>
          <w:bCs/>
          <w:color w:val="auto"/>
          <w:sz w:val="24"/>
          <w:u w:val="none"/>
        </w:rPr>
      </w:pPr>
      <w:r>
        <w:rPr>
          <w:rFonts w:hint="eastAsia" w:ascii="宋体" w:hAnsi="宋体"/>
          <w:b/>
          <w:bCs/>
          <w:color w:val="auto"/>
          <w:sz w:val="24"/>
          <w:u w:val="none"/>
        </w:rPr>
        <w:t>（1）</w:t>
      </w:r>
      <w:r>
        <w:rPr>
          <w:rFonts w:hint="eastAsia" w:ascii="宋体" w:hAnsi="宋体"/>
          <w:b/>
          <w:bCs/>
          <w:color w:val="auto"/>
          <w:sz w:val="24"/>
          <w:u w:val="none"/>
        </w:rPr>
        <w:sym w:font="Wingdings" w:char="00A8"/>
      </w:r>
      <w:r>
        <w:rPr>
          <w:rFonts w:hint="eastAsia" w:ascii="宋体" w:hAnsi="宋体"/>
          <w:b/>
          <w:bCs/>
          <w:color w:val="auto"/>
          <w:sz w:val="24"/>
          <w:u w:val="none"/>
        </w:rPr>
        <w:t>专门面向：</w:t>
      </w:r>
      <w:r>
        <w:rPr>
          <w:rFonts w:hint="eastAsia" w:ascii="宋体" w:hAnsi="宋体"/>
          <w:b/>
          <w:bCs/>
          <w:color w:val="auto"/>
          <w:sz w:val="24"/>
          <w:u w:val="none"/>
        </w:rPr>
        <w:sym w:font="Wingdings" w:char="00A8"/>
      </w:r>
      <w:r>
        <w:rPr>
          <w:rFonts w:hint="eastAsia" w:ascii="宋体" w:hAnsi="宋体"/>
          <w:b/>
          <w:bCs/>
          <w:color w:val="auto"/>
          <w:sz w:val="24"/>
          <w:u w:val="none"/>
        </w:rPr>
        <w:t xml:space="preserve">中小企业  </w:t>
      </w:r>
      <w:r>
        <w:rPr>
          <w:rFonts w:hint="eastAsia" w:ascii="宋体" w:hAnsi="宋体"/>
          <w:b/>
          <w:bCs/>
          <w:color w:val="auto"/>
          <w:sz w:val="24"/>
          <w:u w:val="none"/>
        </w:rPr>
        <w:sym w:font="Wingdings" w:char="00A8"/>
      </w:r>
      <w:r>
        <w:rPr>
          <w:rFonts w:hint="eastAsia" w:ascii="宋体" w:hAnsi="宋体"/>
          <w:b/>
          <w:bCs/>
          <w:color w:val="auto"/>
          <w:sz w:val="24"/>
          <w:u w:val="none"/>
        </w:rPr>
        <w:t xml:space="preserve">小微企业 </w:t>
      </w:r>
      <w:r>
        <w:rPr>
          <w:rFonts w:hint="eastAsia" w:ascii="宋体" w:hAnsi="宋体"/>
          <w:b/>
          <w:bCs/>
          <w:color w:val="auto"/>
          <w:sz w:val="24"/>
          <w:u w:val="none"/>
        </w:rPr>
        <w:sym w:font="Wingdings" w:char="00A8"/>
      </w:r>
      <w:r>
        <w:rPr>
          <w:rFonts w:hint="eastAsia" w:ascii="宋体" w:hAnsi="宋体"/>
          <w:b/>
          <w:bCs/>
          <w:color w:val="auto"/>
          <w:sz w:val="24"/>
          <w:u w:val="none"/>
        </w:rPr>
        <w:t xml:space="preserve">监狱企业 </w:t>
      </w:r>
      <w:r>
        <w:rPr>
          <w:rFonts w:hint="eastAsia" w:ascii="宋体" w:hAnsi="宋体"/>
          <w:b/>
          <w:bCs/>
          <w:color w:val="auto"/>
          <w:sz w:val="24"/>
          <w:u w:val="none"/>
        </w:rPr>
        <w:sym w:font="Wingdings" w:char="00A8"/>
      </w:r>
      <w:r>
        <w:rPr>
          <w:rFonts w:hint="eastAsia" w:ascii="宋体" w:hAnsi="宋体"/>
          <w:b/>
          <w:bCs/>
          <w:color w:val="auto"/>
          <w:sz w:val="24"/>
          <w:u w:val="none"/>
        </w:rPr>
        <w:t>福利性单位。</w:t>
      </w:r>
    </w:p>
    <w:p w14:paraId="2D7F6546">
      <w:pPr>
        <w:adjustRightInd w:val="0"/>
        <w:snapToGrid w:val="0"/>
        <w:spacing w:line="500" w:lineRule="exact"/>
        <w:ind w:firstLine="480" w:firstLineChars="200"/>
        <w:rPr>
          <w:rFonts w:hint="eastAsia" w:ascii="宋体" w:hAnsi="宋体"/>
          <w:b/>
          <w:bCs/>
          <w:color w:val="auto"/>
          <w:sz w:val="24"/>
          <w:u w:val="none"/>
        </w:rPr>
      </w:pPr>
      <w:r>
        <w:rPr>
          <w:rFonts w:hint="eastAsia" w:ascii="宋体" w:hAnsi="宋体"/>
          <w:b/>
          <w:bCs/>
          <w:color w:val="auto"/>
          <w:sz w:val="24"/>
          <w:u w:val="none"/>
        </w:rPr>
        <w:t>（2）</w:t>
      </w:r>
      <w:r>
        <w:rPr>
          <w:rFonts w:hint="eastAsia" w:ascii="宋体" w:hAnsi="宋体"/>
          <w:b/>
          <w:bCs/>
          <w:color w:val="auto"/>
          <w:sz w:val="24"/>
          <w:u w:val="none"/>
        </w:rPr>
        <w:sym w:font="Wingdings" w:char="00A8"/>
      </w:r>
      <w:r>
        <w:rPr>
          <w:rFonts w:hint="eastAsia" w:ascii="宋体" w:hAnsi="宋体"/>
          <w:b/>
          <w:bCs/>
          <w:color w:val="auto"/>
          <w:sz w:val="24"/>
          <w:u w:val="none"/>
        </w:rPr>
        <w:t xml:space="preserve">强制分包：大型企业应将采购份额的 </w:t>
      </w:r>
      <w:r>
        <w:rPr>
          <w:rFonts w:hint="eastAsia" w:ascii="宋体" w:hAnsi="宋体"/>
          <w:b/>
          <w:bCs/>
          <w:color w:val="auto"/>
          <w:sz w:val="24"/>
          <w:u w:val="single"/>
        </w:rPr>
        <w:t xml:space="preserve">     </w:t>
      </w:r>
      <w:r>
        <w:rPr>
          <w:rFonts w:hint="eastAsia" w:ascii="宋体" w:hAnsi="宋体"/>
          <w:b/>
          <w:bCs/>
          <w:color w:val="auto"/>
          <w:sz w:val="24"/>
          <w:u w:val="none"/>
        </w:rPr>
        <w:t xml:space="preserve"> %分包给中小企业。</w:t>
      </w:r>
    </w:p>
    <w:p w14:paraId="3E37E623">
      <w:pPr>
        <w:adjustRightInd w:val="0"/>
        <w:snapToGrid w:val="0"/>
        <w:spacing w:line="500" w:lineRule="exact"/>
        <w:ind w:firstLine="480" w:firstLineChars="200"/>
        <w:rPr>
          <w:rFonts w:hint="eastAsia" w:ascii="宋体" w:hAnsi="宋体"/>
          <w:b/>
          <w:bCs/>
          <w:color w:val="auto"/>
          <w:sz w:val="24"/>
          <w:u w:val="none"/>
          <w:lang w:val="en-US" w:eastAsia="zh-CN"/>
        </w:rPr>
      </w:pPr>
      <w:r>
        <w:rPr>
          <w:rFonts w:hint="eastAsia" w:ascii="宋体" w:hAnsi="宋体"/>
          <w:b/>
          <w:bCs/>
          <w:color w:val="auto"/>
          <w:sz w:val="24"/>
          <w:u w:val="none"/>
        </w:rPr>
        <w:t>4、特定资格条件：</w:t>
      </w:r>
      <w:bookmarkStart w:id="8" w:name="OLE_LINK11"/>
      <w:r>
        <w:rPr>
          <w:rFonts w:hint="eastAsia" w:ascii="宋体" w:hAnsi="宋体"/>
          <w:b/>
          <w:bCs/>
          <w:color w:val="auto"/>
          <w:sz w:val="24"/>
          <w:u w:val="none"/>
          <w:lang w:eastAsia="zh-CN"/>
        </w:rPr>
        <w:t>投标人具备工信部颁发的基础电信业务或增值电信业务经营许可证。</w:t>
      </w:r>
    </w:p>
    <w:bookmarkEnd w:id="8"/>
    <w:p w14:paraId="398AA6DE">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5、单位负责人为同一人或者存在直接控股、管理关系的不同投标人，不得参加同一合同项下的政府采购活动。</w:t>
      </w:r>
    </w:p>
    <w:p w14:paraId="7B4429D0">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6、为本采购项目提供整体设计、规范编制或者项目管理、监理、检测等服务的，不得再参加此项目的其他招标采购活动。</w:t>
      </w:r>
    </w:p>
    <w:p w14:paraId="1E3A9515">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 xml:space="preserve">7、联合体投标。本次招标不接受(接受或不接受)联合体投标。 </w:t>
      </w:r>
    </w:p>
    <w:bookmarkEnd w:id="7"/>
    <w:p w14:paraId="464B1C60">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9" w:name="_Toc10709"/>
      <w:r>
        <w:rPr>
          <w:rFonts w:hint="eastAsia" w:ascii="宋体" w:hAnsi="宋体"/>
          <w:color w:val="000000" w:themeColor="text1"/>
          <w:sz w:val="24"/>
          <w:u w:val="none"/>
          <w14:textFill>
            <w14:solidFill>
              <w14:schemeClr w14:val="tx1"/>
            </w14:solidFill>
          </w14:textFill>
        </w:rPr>
        <w:t>五、获取电子招标文件的时间、期限、方式</w:t>
      </w:r>
      <w:bookmarkEnd w:id="9"/>
    </w:p>
    <w:p w14:paraId="62A78AA8">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10" w:name="_Toc21244"/>
      <w:r>
        <w:rPr>
          <w:rFonts w:hint="eastAsia" w:ascii="宋体" w:hAnsi="宋体"/>
          <w:color w:val="000000" w:themeColor="text1"/>
          <w:sz w:val="24"/>
          <w:u w:val="none"/>
          <w14:textFill>
            <w14:solidFill>
              <w14:schemeClr w14:val="tx1"/>
            </w14:solidFill>
          </w14:textFill>
        </w:rPr>
        <w:t>1. 凡符合投标资格要求并有意参加投标者，可在公告发布之日起至提交投标文件截止之日通过郴州市公共资源交易中心(http://czggzy.czs.gov.cn/)免费获取电子招标文件。</w:t>
      </w:r>
    </w:p>
    <w:p w14:paraId="15D92EA7">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6929904D">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3、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5ACBCCAD">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六、投标截止时间、开标时间、开标地点</w:t>
      </w:r>
      <w:bookmarkEnd w:id="10"/>
    </w:p>
    <w:p w14:paraId="7151A9C7">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1、提交投标文件的截止时间：202</w:t>
      </w:r>
      <w:r>
        <w:rPr>
          <w:rFonts w:hint="eastAsia" w:ascii="宋体" w:hAnsi="宋体"/>
          <w:color w:val="auto"/>
          <w:sz w:val="24"/>
          <w:u w:val="none"/>
          <w:lang w:val="en-US" w:eastAsia="zh-CN"/>
        </w:rPr>
        <w:t>6</w:t>
      </w:r>
      <w:r>
        <w:rPr>
          <w:rFonts w:hint="eastAsia" w:ascii="宋体" w:hAnsi="宋体"/>
          <w:color w:val="auto"/>
          <w:sz w:val="24"/>
          <w:u w:val="none"/>
        </w:rPr>
        <w:t>年</w:t>
      </w:r>
      <w:r>
        <w:rPr>
          <w:rFonts w:hint="eastAsia" w:ascii="宋体" w:hAnsi="宋体"/>
          <w:color w:val="auto"/>
          <w:sz w:val="24"/>
          <w:u w:val="none"/>
          <w:lang w:val="en-US" w:eastAsia="zh-CN"/>
        </w:rPr>
        <w:t>9</w:t>
      </w:r>
      <w:r>
        <w:rPr>
          <w:rFonts w:hint="eastAsia" w:ascii="宋体" w:hAnsi="宋体"/>
          <w:color w:val="auto"/>
          <w:sz w:val="24"/>
          <w:u w:val="none"/>
        </w:rPr>
        <w:t>月</w:t>
      </w:r>
      <w:r>
        <w:rPr>
          <w:rFonts w:hint="eastAsia" w:ascii="宋体" w:hAnsi="宋体"/>
          <w:color w:val="auto"/>
          <w:sz w:val="24"/>
          <w:u w:val="none"/>
          <w:lang w:val="en-US" w:eastAsia="zh-CN"/>
        </w:rPr>
        <w:t>15</w:t>
      </w:r>
      <w:r>
        <w:rPr>
          <w:rFonts w:hint="eastAsia" w:ascii="宋体" w:hAnsi="宋体"/>
          <w:color w:val="auto"/>
          <w:sz w:val="24"/>
          <w:u w:val="none"/>
        </w:rPr>
        <w:t>日</w:t>
      </w:r>
      <w:r>
        <w:rPr>
          <w:rFonts w:hint="eastAsia" w:ascii="宋体" w:hAnsi="宋体"/>
          <w:color w:val="auto"/>
          <w:sz w:val="24"/>
          <w:u w:val="none"/>
          <w:lang w:val="en-US" w:eastAsia="zh-CN"/>
        </w:rPr>
        <w:t>10</w:t>
      </w:r>
      <w:r>
        <w:rPr>
          <w:rFonts w:hint="eastAsia" w:ascii="宋体" w:hAnsi="宋体"/>
          <w:color w:val="auto"/>
          <w:sz w:val="24"/>
          <w:u w:val="none"/>
        </w:rPr>
        <w:t>时30分（北京时间），超过截止时间的投标将被拒绝。</w:t>
      </w:r>
    </w:p>
    <w:p w14:paraId="16B532C1">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2、开标时间：202</w:t>
      </w:r>
      <w:r>
        <w:rPr>
          <w:rFonts w:hint="eastAsia" w:ascii="宋体" w:hAnsi="宋体"/>
          <w:color w:val="auto"/>
          <w:sz w:val="24"/>
          <w:u w:val="none"/>
          <w:lang w:val="en-US" w:eastAsia="zh-CN"/>
        </w:rPr>
        <w:t>6</w:t>
      </w:r>
      <w:r>
        <w:rPr>
          <w:rFonts w:hint="eastAsia" w:ascii="宋体" w:hAnsi="宋体"/>
          <w:color w:val="auto"/>
          <w:sz w:val="24"/>
          <w:u w:val="none"/>
        </w:rPr>
        <w:t>年</w:t>
      </w:r>
      <w:r>
        <w:rPr>
          <w:rFonts w:hint="eastAsia" w:ascii="宋体" w:hAnsi="宋体"/>
          <w:color w:val="auto"/>
          <w:sz w:val="24"/>
          <w:u w:val="none"/>
          <w:lang w:val="en-US" w:eastAsia="zh-CN"/>
        </w:rPr>
        <w:t>9</w:t>
      </w:r>
      <w:r>
        <w:rPr>
          <w:rFonts w:hint="eastAsia" w:ascii="宋体" w:hAnsi="宋体"/>
          <w:color w:val="auto"/>
          <w:sz w:val="24"/>
          <w:u w:val="none"/>
        </w:rPr>
        <w:t>月</w:t>
      </w:r>
      <w:r>
        <w:rPr>
          <w:rFonts w:hint="eastAsia" w:ascii="宋体" w:hAnsi="宋体"/>
          <w:color w:val="auto"/>
          <w:sz w:val="24"/>
          <w:u w:val="none"/>
          <w:lang w:val="en-US" w:eastAsia="zh-CN"/>
        </w:rPr>
        <w:t>15</w:t>
      </w:r>
      <w:r>
        <w:rPr>
          <w:rFonts w:hint="eastAsia" w:ascii="宋体" w:hAnsi="宋体"/>
          <w:color w:val="auto"/>
          <w:sz w:val="24"/>
          <w:u w:val="none"/>
        </w:rPr>
        <w:t>日</w:t>
      </w:r>
      <w:r>
        <w:rPr>
          <w:rFonts w:hint="eastAsia" w:ascii="宋体" w:hAnsi="宋体"/>
          <w:color w:val="auto"/>
          <w:sz w:val="24"/>
          <w:u w:val="none"/>
          <w:lang w:val="en-US" w:eastAsia="zh-CN"/>
        </w:rPr>
        <w:t>10</w:t>
      </w:r>
      <w:r>
        <w:rPr>
          <w:rFonts w:hint="eastAsia" w:ascii="宋体" w:hAnsi="宋体"/>
          <w:color w:val="auto"/>
          <w:sz w:val="24"/>
          <w:u w:val="none"/>
        </w:rPr>
        <w:t>时30分（北京时间）</w:t>
      </w:r>
    </w:p>
    <w:p w14:paraId="076DF060">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3、开标地点：郴州市市民服务中心4楼市公共资源交易中心第</w:t>
      </w:r>
      <w:r>
        <w:rPr>
          <w:rFonts w:hint="eastAsia" w:ascii="宋体" w:hAnsi="宋体"/>
          <w:color w:val="auto"/>
          <w:sz w:val="24"/>
          <w:u w:val="none"/>
          <w:lang w:val="en-US" w:eastAsia="zh-CN"/>
        </w:rPr>
        <w:t>2</w:t>
      </w:r>
      <w:r>
        <w:rPr>
          <w:rFonts w:hint="eastAsia" w:ascii="宋体" w:hAnsi="宋体"/>
          <w:color w:val="auto"/>
          <w:sz w:val="24"/>
          <w:u w:val="none"/>
        </w:rPr>
        <w:t>开标室</w:t>
      </w:r>
    </w:p>
    <w:p w14:paraId="7AAC6CFB">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4、电子标项目实行网上投标及解密，具体操作为投标人在“郴州市公共资源交易中心”登录“政府采购交易系统”（</w:t>
      </w:r>
      <w:r>
        <w:rPr>
          <w:rFonts w:hint="eastAsia" w:ascii="宋体" w:hAnsi="宋体"/>
          <w:color w:val="auto"/>
          <w:sz w:val="24"/>
          <w:u w:val="none"/>
          <w:lang w:eastAsia="zh-CN"/>
        </w:rPr>
        <w:t>http://www.czggzyzx.cn/TPBidder）</w:t>
      </w:r>
      <w:r>
        <w:rPr>
          <w:rFonts w:hint="eastAsia" w:ascii="宋体" w:hAnsi="宋体"/>
          <w:color w:val="auto"/>
          <w:sz w:val="24"/>
          <w:u w:val="none"/>
        </w:rPr>
        <w:t>），上传电子投标文件，登录“不见面开标大厅”（</w:t>
      </w:r>
      <w:r>
        <w:rPr>
          <w:rFonts w:hint="eastAsia" w:ascii="宋体" w:hAnsi="宋体"/>
          <w:color w:val="auto"/>
          <w:sz w:val="24"/>
          <w:u w:val="none"/>
          <w:lang w:eastAsia="zh-CN"/>
        </w:rPr>
        <w:t>http：//www.czggzyzx.cn/BidOpening</w:t>
      </w:r>
      <w:r>
        <w:rPr>
          <w:rFonts w:hint="eastAsia" w:ascii="宋体" w:hAnsi="宋体"/>
          <w:color w:val="auto"/>
          <w:sz w:val="24"/>
          <w:u w:val="none"/>
        </w:rPr>
        <w:t>）在规定时间自行远程解密参加网上开标活动。建议投标人上传电子投标文件容量为200MB以内。</w:t>
      </w:r>
    </w:p>
    <w:p w14:paraId="1F72DE25">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5、电子投标文件解密时限：30分钟</w:t>
      </w:r>
    </w:p>
    <w:p w14:paraId="068B3AF7">
      <w:pPr>
        <w:adjustRightInd w:val="0"/>
        <w:snapToGrid w:val="0"/>
        <w:spacing w:line="500" w:lineRule="exact"/>
        <w:ind w:firstLine="480" w:firstLineChars="200"/>
        <w:rPr>
          <w:rFonts w:hint="eastAsia" w:ascii="宋体" w:hAnsi="宋体"/>
          <w:color w:val="auto"/>
          <w:sz w:val="24"/>
          <w:u w:val="none"/>
        </w:rPr>
      </w:pPr>
      <w:bookmarkStart w:id="11" w:name="_Toc9937"/>
      <w:r>
        <w:rPr>
          <w:rFonts w:hint="eastAsia" w:ascii="宋体" w:hAnsi="宋体"/>
          <w:color w:val="auto"/>
          <w:sz w:val="24"/>
          <w:u w:val="none"/>
        </w:rPr>
        <w:t>七、招标文件公告期限：</w:t>
      </w:r>
      <w:bookmarkEnd w:id="11"/>
    </w:p>
    <w:p w14:paraId="11355E23">
      <w:pPr>
        <w:adjustRightInd w:val="0"/>
        <w:snapToGrid w:val="0"/>
        <w:spacing w:line="500" w:lineRule="exact"/>
        <w:ind w:firstLine="480" w:firstLineChars="200"/>
        <w:rPr>
          <w:rFonts w:hint="eastAsia" w:ascii="宋体" w:hAnsi="宋体"/>
          <w:color w:val="auto"/>
          <w:sz w:val="24"/>
          <w:u w:val="none"/>
        </w:rPr>
      </w:pPr>
      <w:r>
        <w:rPr>
          <w:rFonts w:hint="eastAsia" w:ascii="宋体" w:hAnsi="宋体"/>
          <w:color w:val="auto"/>
          <w:sz w:val="24"/>
          <w:u w:val="none"/>
        </w:rPr>
        <w:t>1、招标文件公告期限：202</w:t>
      </w:r>
      <w:r>
        <w:rPr>
          <w:rFonts w:hint="eastAsia" w:ascii="宋体" w:hAnsi="宋体"/>
          <w:color w:val="auto"/>
          <w:sz w:val="24"/>
          <w:u w:val="none"/>
          <w:lang w:val="en-US" w:eastAsia="zh-CN"/>
        </w:rPr>
        <w:t>6</w:t>
      </w:r>
      <w:r>
        <w:rPr>
          <w:rFonts w:hint="eastAsia" w:ascii="宋体" w:hAnsi="宋体"/>
          <w:color w:val="auto"/>
          <w:sz w:val="24"/>
          <w:u w:val="none"/>
        </w:rPr>
        <w:t>年</w:t>
      </w:r>
      <w:r>
        <w:rPr>
          <w:rFonts w:hint="eastAsia" w:ascii="宋体" w:hAnsi="宋体"/>
          <w:color w:val="auto"/>
          <w:sz w:val="24"/>
          <w:u w:val="none"/>
          <w:lang w:val="en-US" w:eastAsia="zh-CN"/>
        </w:rPr>
        <w:t>8</w:t>
      </w:r>
      <w:r>
        <w:rPr>
          <w:rFonts w:hint="eastAsia" w:ascii="宋体" w:hAnsi="宋体"/>
          <w:color w:val="auto"/>
          <w:sz w:val="24"/>
          <w:u w:val="none"/>
        </w:rPr>
        <w:t>月</w:t>
      </w:r>
      <w:r>
        <w:rPr>
          <w:rFonts w:hint="eastAsia" w:ascii="宋体" w:hAnsi="宋体"/>
          <w:color w:val="auto"/>
          <w:sz w:val="24"/>
          <w:u w:val="none"/>
          <w:lang w:val="en-US" w:eastAsia="zh-CN"/>
        </w:rPr>
        <w:t>26</w:t>
      </w:r>
      <w:r>
        <w:rPr>
          <w:rFonts w:hint="eastAsia" w:ascii="宋体" w:hAnsi="宋体"/>
          <w:color w:val="auto"/>
          <w:sz w:val="24"/>
          <w:u w:val="none"/>
        </w:rPr>
        <w:t>日09时00分至202</w:t>
      </w:r>
      <w:r>
        <w:rPr>
          <w:rFonts w:hint="eastAsia" w:ascii="宋体" w:hAnsi="宋体"/>
          <w:color w:val="auto"/>
          <w:sz w:val="24"/>
          <w:u w:val="none"/>
          <w:lang w:val="en-US" w:eastAsia="zh-CN"/>
        </w:rPr>
        <w:t>6</w:t>
      </w:r>
      <w:r>
        <w:rPr>
          <w:rFonts w:hint="eastAsia" w:ascii="宋体" w:hAnsi="宋体"/>
          <w:color w:val="auto"/>
          <w:sz w:val="24"/>
          <w:u w:val="none"/>
        </w:rPr>
        <w:t>年</w:t>
      </w:r>
      <w:r>
        <w:rPr>
          <w:rFonts w:hint="eastAsia" w:ascii="宋体" w:hAnsi="宋体"/>
          <w:color w:val="auto"/>
          <w:sz w:val="24"/>
          <w:u w:val="none"/>
          <w:lang w:val="en-US" w:eastAsia="zh-CN"/>
        </w:rPr>
        <w:t>9</w:t>
      </w:r>
      <w:r>
        <w:rPr>
          <w:rFonts w:hint="eastAsia" w:ascii="宋体" w:hAnsi="宋体"/>
          <w:color w:val="auto"/>
          <w:sz w:val="24"/>
          <w:u w:val="none"/>
        </w:rPr>
        <w:t>月</w:t>
      </w:r>
      <w:r>
        <w:rPr>
          <w:rFonts w:hint="eastAsia" w:ascii="宋体" w:hAnsi="宋体"/>
          <w:color w:val="auto"/>
          <w:sz w:val="24"/>
          <w:u w:val="none"/>
          <w:lang w:val="en-US" w:eastAsia="zh-CN"/>
        </w:rPr>
        <w:t>1</w:t>
      </w:r>
      <w:r>
        <w:rPr>
          <w:rFonts w:hint="eastAsia" w:ascii="宋体" w:hAnsi="宋体"/>
          <w:color w:val="auto"/>
          <w:sz w:val="24"/>
          <w:u w:val="none"/>
        </w:rPr>
        <w:t>日17时</w:t>
      </w:r>
      <w:r>
        <w:rPr>
          <w:rFonts w:hint="eastAsia" w:ascii="宋体" w:hAnsi="宋体"/>
          <w:color w:val="auto"/>
          <w:sz w:val="24"/>
          <w:u w:val="none"/>
          <w:lang w:val="en-US" w:eastAsia="zh-CN"/>
        </w:rPr>
        <w:t>00</w:t>
      </w:r>
      <w:r>
        <w:rPr>
          <w:rFonts w:hint="eastAsia" w:ascii="宋体" w:hAnsi="宋体"/>
          <w:color w:val="auto"/>
          <w:sz w:val="24"/>
          <w:u w:val="none"/>
        </w:rPr>
        <w:t>分止（5个工作日）。</w:t>
      </w:r>
    </w:p>
    <w:p w14:paraId="584F7A95">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auto"/>
          <w:sz w:val="24"/>
          <w:u w:val="none"/>
        </w:rPr>
        <w:t>2、本招标公告在中国湖南政府采购网（www.ccgp-hunan.gov.cn）、郴州市公共资源交易中心(http://czggzy.czs.gov.cn/)发布。在其他媒体发布的招标公告，公告内容以本招标公告指定媒体发布的公告为准；公告期限自本招标公告指定媒体</w:t>
      </w:r>
      <w:r>
        <w:rPr>
          <w:rFonts w:hint="eastAsia" w:ascii="宋体" w:hAnsi="宋体"/>
          <w:color w:val="000000" w:themeColor="text1"/>
          <w:sz w:val="24"/>
          <w:u w:val="none"/>
          <w14:textFill>
            <w14:solidFill>
              <w14:schemeClr w14:val="tx1"/>
            </w14:solidFill>
          </w14:textFill>
        </w:rPr>
        <w:t>最先发布公告之日起算。</w:t>
      </w:r>
    </w:p>
    <w:p w14:paraId="61FCAF9E">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12" w:name="_Toc7908"/>
      <w:r>
        <w:rPr>
          <w:rFonts w:hint="eastAsia" w:ascii="宋体" w:hAnsi="宋体"/>
          <w:color w:val="000000" w:themeColor="text1"/>
          <w:sz w:val="24"/>
          <w:u w:val="none"/>
          <w14:textFill>
            <w14:solidFill>
              <w14:schemeClr w14:val="tx1"/>
            </w14:solidFill>
          </w14:textFill>
        </w:rPr>
        <w:t>八、疑问及质疑：</w:t>
      </w:r>
      <w:bookmarkEnd w:id="12"/>
    </w:p>
    <w:p w14:paraId="31368EF9">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1、投标人对政府采购活动事项如有疑问的，可以向采购人、采购代理机构提出询问。采购人、采购代理机构将在3个工作日内作出答复。</w:t>
      </w:r>
    </w:p>
    <w:p w14:paraId="38161AC4">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潜在投标人认为招标文件或招标公告使自己的合法权益受到损害的，可以在获取招标文件之日或招标公告期限届满之日（公告期限届满后获取采购文件的，以公告期限届满之日为准）起7个工作日内，按《湖南省财政厅关于印发＜政府采购质疑答复和投诉处理操作规程＞的通知》(湘财购〔2019〕20号)规定，以书面形式向采购人、采购代理机构提出质疑。</w:t>
      </w:r>
    </w:p>
    <w:p w14:paraId="13EB4192">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13" w:name="_Toc30627"/>
      <w:r>
        <w:rPr>
          <w:rFonts w:hint="eastAsia" w:ascii="宋体" w:hAnsi="宋体"/>
          <w:color w:val="000000" w:themeColor="text1"/>
          <w:sz w:val="24"/>
          <w:u w:val="none"/>
          <w14:textFill>
            <w14:solidFill>
              <w14:schemeClr w14:val="tx1"/>
            </w14:solidFill>
          </w14:textFill>
        </w:rPr>
        <w:t>九、对本次招标提出询问，请按以下方式联系</w:t>
      </w:r>
      <w:bookmarkEnd w:id="13"/>
    </w:p>
    <w:p w14:paraId="0DB0475F">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1、采购人信息</w:t>
      </w:r>
    </w:p>
    <w:p w14:paraId="09997F2B">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（1）名  称：</w:t>
      </w:r>
      <w:r>
        <w:rPr>
          <w:rFonts w:hint="eastAsia" w:ascii="宋体" w:hAnsi="宋体"/>
          <w:color w:val="000000" w:themeColor="text1"/>
          <w:sz w:val="24"/>
          <w:u w:val="none"/>
          <w:lang w:eastAsia="zh-CN"/>
          <w14:textFill>
            <w14:solidFill>
              <w14:schemeClr w14:val="tx1"/>
            </w14:solidFill>
          </w14:textFill>
        </w:rPr>
        <w:t>郴州市数据局</w:t>
      </w:r>
    </w:p>
    <w:p w14:paraId="30741EF7">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（2）地  址：</w:t>
      </w:r>
      <w:r>
        <w:rPr>
          <w:rFonts w:hint="eastAsia" w:ascii="宋体" w:hAnsi="宋体"/>
          <w:color w:val="000000" w:themeColor="text1"/>
          <w:sz w:val="24"/>
          <w:u w:val="none"/>
          <w:lang w:eastAsia="zh-CN"/>
          <w14:textFill>
            <w14:solidFill>
              <w14:schemeClr w14:val="tx1"/>
            </w14:solidFill>
          </w14:textFill>
        </w:rPr>
        <w:t>郴州市青年大道市民服务中心</w:t>
      </w:r>
    </w:p>
    <w:p w14:paraId="1C6A8CD5">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（3）联系人：周悦</w:t>
      </w:r>
    </w:p>
    <w:p w14:paraId="02A6BD93">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lang w:eastAsia="zh-CN"/>
          <w14:textFill>
            <w14:solidFill>
              <w14:schemeClr w14:val="tx1"/>
            </w14:solidFill>
          </w14:textFill>
        </w:rPr>
        <w:t xml:space="preserve">（4）电  话：18873219298 </w:t>
      </w:r>
    </w:p>
    <w:p w14:paraId="193A5276">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2、采购代理机构信息</w:t>
      </w:r>
    </w:p>
    <w:p w14:paraId="29B5C26A">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（1）名  称：</w:t>
      </w:r>
      <w:r>
        <w:rPr>
          <w:rFonts w:hint="eastAsia" w:ascii="宋体" w:hAnsi="宋体"/>
          <w:color w:val="000000" w:themeColor="text1"/>
          <w:sz w:val="24"/>
          <w:u w:val="none"/>
          <w:lang w:eastAsia="zh-CN"/>
          <w14:textFill>
            <w14:solidFill>
              <w14:schemeClr w14:val="tx1"/>
            </w14:solidFill>
          </w14:textFill>
        </w:rPr>
        <w:t>湖南信元工程项目管理有限公司</w:t>
      </w:r>
    </w:p>
    <w:p w14:paraId="30D7CD56">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（2）地  址：</w:t>
      </w:r>
      <w:r>
        <w:rPr>
          <w:rFonts w:hint="eastAsia" w:ascii="宋体" w:hAnsi="宋体"/>
          <w:color w:val="000000" w:themeColor="text1"/>
          <w:sz w:val="24"/>
          <w:u w:val="none"/>
          <w:lang w:eastAsia="zh-CN"/>
          <w14:textFill>
            <w14:solidFill>
              <w14:schemeClr w14:val="tx1"/>
            </w14:solidFill>
          </w14:textFill>
        </w:rPr>
        <w:t>郴州市燕泉路中天大厦502室</w:t>
      </w:r>
    </w:p>
    <w:p w14:paraId="5D50E1C7">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（3）联系人：</w:t>
      </w:r>
      <w:r>
        <w:rPr>
          <w:rFonts w:hint="eastAsia" w:ascii="宋体" w:hAnsi="宋体"/>
          <w:color w:val="000000" w:themeColor="text1"/>
          <w:sz w:val="24"/>
          <w:u w:val="none"/>
          <w:lang w:eastAsia="zh-CN"/>
          <w14:textFill>
            <w14:solidFill>
              <w14:schemeClr w14:val="tx1"/>
            </w14:solidFill>
          </w14:textFill>
        </w:rPr>
        <w:t>廖琼、肖湘</w:t>
      </w:r>
    </w:p>
    <w:p w14:paraId="15507E3B">
      <w:pPr>
        <w:adjustRightInd w:val="0"/>
        <w:snapToGrid w:val="0"/>
        <w:spacing w:line="500" w:lineRule="exact"/>
        <w:ind w:firstLine="480" w:firstLineChars="200"/>
        <w:rPr>
          <w:rFonts w:hint="eastAsia" w:ascii="宋体" w:hAnsi="宋体"/>
          <w:color w:val="000000" w:themeColor="text1"/>
          <w:sz w:val="24"/>
          <w:u w:val="none"/>
          <w:lang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（4）电  话：</w:t>
      </w:r>
      <w:r>
        <w:rPr>
          <w:rFonts w:hint="eastAsia" w:ascii="宋体" w:hAnsi="宋体"/>
          <w:color w:val="000000" w:themeColor="text1"/>
          <w:sz w:val="24"/>
          <w:u w:val="none"/>
          <w:lang w:eastAsia="zh-CN"/>
          <w14:textFill>
            <w14:solidFill>
              <w14:schemeClr w14:val="tx1"/>
            </w14:solidFill>
          </w14:textFill>
        </w:rPr>
        <w:t>0735-2862088；17708403810</w:t>
      </w:r>
    </w:p>
    <w:p w14:paraId="2216C4F3">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3、电子交易平台服务机构信息</w:t>
      </w:r>
    </w:p>
    <w:p w14:paraId="292CC015">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（1）名  称：郴州市公共资源交易中心</w:t>
      </w:r>
    </w:p>
    <w:p w14:paraId="0FD8D58F">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（2）地  址：郴州市市民服务中心4楼市公共资源交易中心</w:t>
      </w:r>
    </w:p>
    <w:p w14:paraId="29F050CC">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（3）联系人：政府采购科</w:t>
      </w:r>
    </w:p>
    <w:p w14:paraId="1BCEB9F3">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（4）电  话：0735-2299020</w:t>
      </w:r>
    </w:p>
    <w:p w14:paraId="471EF8B8">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bookmarkStart w:id="14" w:name="_Toc6002"/>
      <w:r>
        <w:rPr>
          <w:rFonts w:hint="eastAsia" w:ascii="宋体" w:hAnsi="宋体"/>
          <w:color w:val="000000" w:themeColor="text1"/>
          <w:sz w:val="24"/>
          <w:u w:val="none"/>
          <w14:textFill>
            <w14:solidFill>
              <w14:schemeClr w14:val="tx1"/>
            </w14:solidFill>
          </w14:textFill>
        </w:rPr>
        <w:t>十、其它补充事宜</w:t>
      </w:r>
      <w:bookmarkEnd w:id="14"/>
    </w:p>
    <w:p w14:paraId="13727130">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1、本公告选项：</w:t>
      </w:r>
      <w:r>
        <w:rPr>
          <w:rFonts w:hint="eastAsia" w:ascii="宋体" w:hAnsi="宋体"/>
          <w:color w:val="000000" w:themeColor="text1"/>
          <w:sz w:val="24"/>
          <w:u w:val="none"/>
          <w14:textFill>
            <w14:solidFill>
              <w14:schemeClr w14:val="tx1"/>
            </w14:solidFill>
          </w14:textFill>
        </w:rPr>
        <w:sym w:font="Wingdings 2" w:char="F052"/>
      </w:r>
      <w:r>
        <w:rPr>
          <w:rFonts w:hint="eastAsia" w:ascii="宋体" w:hAnsi="宋体"/>
          <w:color w:val="000000" w:themeColor="text1"/>
          <w:sz w:val="24"/>
          <w:u w:val="none"/>
          <w14:textFill>
            <w14:solidFill>
              <w14:schemeClr w14:val="tx1"/>
            </w14:solidFill>
          </w14:textFill>
        </w:rPr>
        <w:t xml:space="preserve">表示选择  </w:t>
      </w:r>
      <w:r>
        <w:rPr>
          <w:rFonts w:hint="eastAsia" w:ascii="宋体" w:hAnsi="宋体"/>
          <w:color w:val="000000" w:themeColor="text1"/>
          <w:sz w:val="24"/>
          <w:u w:val="none"/>
          <w14:textFill>
            <w14:solidFill>
              <w14:schemeClr w14:val="tx1"/>
            </w14:solidFill>
          </w14:textFill>
        </w:rPr>
        <w:sym w:font="Wingdings 2" w:char="00A3"/>
      </w:r>
      <w:r>
        <w:rPr>
          <w:rFonts w:hint="eastAsia" w:ascii="宋体" w:hAnsi="宋体"/>
          <w:color w:val="000000" w:themeColor="text1"/>
          <w:sz w:val="24"/>
          <w:u w:val="none"/>
          <w14:textFill>
            <w14:solidFill>
              <w14:schemeClr w14:val="tx1"/>
            </w14:solidFill>
          </w14:textFill>
        </w:rPr>
        <w:t>表示不选择</w:t>
      </w:r>
    </w:p>
    <w:p w14:paraId="60FC9487">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2、投标人参与政府采购活动，无需向采购人、代理机构、交易平台缴纳任何费用。</w:t>
      </w:r>
    </w:p>
    <w:p w14:paraId="37D5D101">
      <w:pPr>
        <w:adjustRightInd w:val="0"/>
        <w:snapToGrid w:val="0"/>
        <w:spacing w:line="500" w:lineRule="exact"/>
        <w:ind w:firstLine="480" w:firstLineChars="200"/>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14:textFill>
            <w14:solidFill>
              <w14:schemeClr w14:val="tx1"/>
            </w14:solidFill>
          </w14:textFill>
        </w:rPr>
        <w:t>3、招标代理服务费和专家评审费由采购人支付。</w:t>
      </w:r>
    </w:p>
    <w:p w14:paraId="235AE49D">
      <w:pPr>
        <w:pStyle w:val="12"/>
        <w:adjustRightInd w:val="0"/>
        <w:snapToGrid w:val="0"/>
        <w:spacing w:line="360" w:lineRule="auto"/>
        <w:ind w:firstLine="480" w:firstLineChars="200"/>
        <w:jc w:val="both"/>
        <w:rPr>
          <w:rFonts w:hint="eastAsia" w:ascii="宋体" w:hAnsi="宋体"/>
          <w:color w:val="000000" w:themeColor="text1"/>
          <w:sz w:val="24"/>
          <w:u w:val="none"/>
          <w:lang w:val="en-US" w:eastAsia="zh-CN"/>
          <w14:textFill>
            <w14:solidFill>
              <w14:schemeClr w14:val="tx1"/>
            </w14:solidFill>
          </w14:textFill>
        </w:rPr>
      </w:pPr>
      <w:r>
        <w:rPr>
          <w:rFonts w:hint="eastAsia" w:ascii="宋体" w:hAnsi="宋体"/>
          <w:color w:val="000000" w:themeColor="text1"/>
          <w:sz w:val="24"/>
          <w:u w:val="none"/>
          <w14:textFill>
            <w14:solidFill>
              <w14:schemeClr w14:val="tx1"/>
            </w14:solidFill>
          </w14:textFill>
        </w:rPr>
        <w:t>4、请投标人在郴州市公共资源交易中心“下载</w:t>
      </w:r>
      <w:r>
        <w:rPr>
          <w:rFonts w:hint="eastAsia" w:ascii="宋体" w:hAnsi="宋体"/>
          <w:color w:val="000000" w:themeColor="text1"/>
          <w:sz w:val="24"/>
          <w:u w:val="none"/>
          <w:lang w:eastAsia="zh-CN"/>
          <w14:textFill>
            <w14:solidFill>
              <w14:schemeClr w14:val="tx1"/>
            </w14:solidFill>
          </w14:textFill>
        </w:rPr>
        <w:t>中心</w:t>
      </w:r>
      <w:r>
        <w:rPr>
          <w:rFonts w:hint="eastAsia" w:ascii="宋体" w:hAnsi="宋体"/>
          <w:color w:val="000000" w:themeColor="text1"/>
          <w:sz w:val="24"/>
          <w:u w:val="none"/>
          <w14:textFill>
            <w14:solidFill>
              <w14:schemeClr w14:val="tx1"/>
            </w14:solidFill>
          </w14:textFill>
        </w:rPr>
        <w:t>”中及时下载安装最新版本“投标文件制作软件（湖南公共资源版）”、“湖南CA驱动”。参与投标的投标人需使用电子标书编制软件制作投标文件。</w:t>
      </w:r>
      <w:r>
        <w:rPr>
          <w:rFonts w:hint="eastAsia" w:ascii="宋体" w:hAnsi="宋体"/>
          <w:color w:val="000000" w:themeColor="text1"/>
          <w:sz w:val="24"/>
          <w:u w:val="none"/>
          <w:lang w:val="en-US" w:eastAsia="zh-CN"/>
          <w14:textFill>
            <w14:solidFill>
              <w14:schemeClr w14:val="tx1"/>
            </w14:solidFill>
          </w14:textFill>
        </w:rPr>
        <w:t>操作手册下载地址：http://www.czggzy.net/TPBidder/pages/customframe4bid/DownLoad/郴州市公共资源交易中心交易系统操作手册.zip</w:t>
      </w:r>
    </w:p>
    <w:p w14:paraId="70BCDD02">
      <w:pPr>
        <w:pStyle w:val="12"/>
        <w:adjustRightInd w:val="0"/>
        <w:snapToGrid w:val="0"/>
        <w:spacing w:line="360" w:lineRule="auto"/>
        <w:ind w:firstLine="480" w:firstLineChars="200"/>
        <w:jc w:val="both"/>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5</w:t>
      </w:r>
      <w:r>
        <w:rPr>
          <w:rFonts w:hint="eastAsia" w:ascii="宋体" w:hAnsi="宋体"/>
          <w:color w:val="000000" w:themeColor="text1"/>
          <w:sz w:val="24"/>
          <w:u w:val="none"/>
          <w14:textFill>
            <w14:solidFill>
              <w14:schemeClr w14:val="tx1"/>
            </w14:solidFill>
          </w14:textFill>
        </w:rPr>
        <w:t>、 因电子招投标需要，投标人应及时办理CA数字证书（含电子签章）。移动CA数字证书（含电子签章）办理咨询电话：4009980000、0731-82817876，介质CA数字证书（含电子签章）办理地址：郴州市公共资源交易中心四楼大厅，咨询电话：4006682666、18175580110。</w:t>
      </w:r>
    </w:p>
    <w:p w14:paraId="6FDD0BEF">
      <w:pPr>
        <w:pStyle w:val="12"/>
        <w:adjustRightInd w:val="0"/>
        <w:snapToGrid w:val="0"/>
        <w:spacing w:line="360" w:lineRule="auto"/>
        <w:ind w:firstLine="480" w:firstLineChars="200"/>
        <w:jc w:val="both"/>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6</w:t>
      </w:r>
      <w:r>
        <w:rPr>
          <w:rFonts w:hint="eastAsia" w:ascii="宋体" w:hAnsi="宋体"/>
          <w:color w:val="000000" w:themeColor="text1"/>
          <w:sz w:val="24"/>
          <w:u w:val="none"/>
          <w14:textFill>
            <w14:solidFill>
              <w14:schemeClr w14:val="tx1"/>
            </w14:solidFill>
          </w14:textFill>
        </w:rPr>
        <w:t>、由对网上招投标操作不熟悉或自身电脑、个人网络等原因导致不能在投标截止时间之前完成投标文件上传的，相应责任由投标人自行承担。</w:t>
      </w:r>
      <w:r>
        <w:rPr>
          <w:rFonts w:hint="eastAsia" w:ascii="宋体" w:hAnsi="宋体"/>
          <w:color w:val="000000" w:themeColor="text1"/>
          <w:sz w:val="24"/>
          <w:u w:val="none"/>
          <w:lang w:val="en-US" w:eastAsia="zh-CN"/>
          <w14:textFill>
            <w14:solidFill>
              <w14:schemeClr w14:val="tx1"/>
            </w14:solidFill>
          </w14:textFill>
        </w:rPr>
        <w:t>建议各投标人在工作时间段内上传投标文件，选择IE11浏览器进行文件解密，在操作系统过程中有疑问或困难请及时进行咨询。</w:t>
      </w:r>
    </w:p>
    <w:p w14:paraId="07229B24">
      <w:pPr>
        <w:pStyle w:val="12"/>
        <w:adjustRightInd w:val="0"/>
        <w:snapToGrid w:val="0"/>
        <w:spacing w:line="360" w:lineRule="auto"/>
        <w:ind w:firstLine="480" w:firstLineChars="200"/>
        <w:jc w:val="both"/>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7</w:t>
      </w:r>
      <w:r>
        <w:rPr>
          <w:rFonts w:hint="eastAsia" w:ascii="宋体" w:hAnsi="宋体"/>
          <w:color w:val="000000" w:themeColor="text1"/>
          <w:sz w:val="24"/>
          <w:u w:val="none"/>
          <w14:textFill>
            <w14:solidFill>
              <w14:schemeClr w14:val="tx1"/>
            </w14:solidFill>
          </w14:textFill>
        </w:rPr>
        <w:t>、如果开标时出现网络故障、技术故障等情形而影响招投标活动，招标人将采取项目延期、延长投标文件解密时间等相应措施，以保障招投标活动的公开、公平和公正，投标人不得对此持有异议。</w:t>
      </w:r>
    </w:p>
    <w:p w14:paraId="060B67E6">
      <w:pPr>
        <w:pStyle w:val="12"/>
        <w:adjustRightInd w:val="0"/>
        <w:snapToGrid w:val="0"/>
        <w:spacing w:line="360" w:lineRule="auto"/>
        <w:ind w:firstLine="480" w:firstLineChars="200"/>
        <w:jc w:val="both"/>
        <w:rPr>
          <w:rFonts w:hint="eastAsia" w:ascii="宋体" w:hAnsi="宋体"/>
          <w:color w:val="000000" w:themeColor="text1"/>
          <w:sz w:val="24"/>
          <w:u w:val="none"/>
          <w14:textFill>
            <w14:solidFill>
              <w14:schemeClr w14:val="tx1"/>
            </w14:solidFill>
          </w14:textFill>
        </w:rPr>
      </w:pPr>
      <w:r>
        <w:rPr>
          <w:rFonts w:hint="eastAsia" w:ascii="宋体" w:hAnsi="宋体"/>
          <w:color w:val="000000" w:themeColor="text1"/>
          <w:sz w:val="24"/>
          <w:u w:val="none"/>
          <w:lang w:val="en-US" w:eastAsia="zh-CN"/>
          <w14:textFill>
            <w14:solidFill>
              <w14:schemeClr w14:val="tx1"/>
            </w14:solidFill>
          </w14:textFill>
        </w:rPr>
        <w:t>8</w:t>
      </w:r>
      <w:r>
        <w:rPr>
          <w:rFonts w:hint="eastAsia" w:ascii="宋体" w:hAnsi="宋体"/>
          <w:color w:val="000000" w:themeColor="text1"/>
          <w:sz w:val="24"/>
          <w:u w:val="none"/>
          <w14:textFill>
            <w14:solidFill>
              <w14:schemeClr w14:val="tx1"/>
            </w14:solidFill>
          </w14:textFill>
        </w:rPr>
        <w:t>、交易平台技术支持联系方式</w:t>
      </w:r>
      <w:r>
        <w:rPr>
          <w:rFonts w:hint="eastAsia" w:hAnsi="宋体"/>
          <w:color w:val="000000" w:themeColor="text1"/>
          <w:sz w:val="24"/>
          <w:u w:val="none"/>
          <w:lang w:eastAsia="zh-CN"/>
          <w14:textFill>
            <w14:solidFill>
              <w14:schemeClr w14:val="tx1"/>
            </w14:solidFill>
          </w14:textFill>
        </w:rPr>
        <w:t>，</w:t>
      </w:r>
      <w:r>
        <w:rPr>
          <w:rFonts w:hint="eastAsia" w:ascii="宋体" w:hAnsi="宋体"/>
          <w:color w:val="000000" w:themeColor="text1"/>
          <w:sz w:val="24"/>
          <w:u w:val="none"/>
          <w14:textFill>
            <w14:solidFill>
              <w14:schemeClr w14:val="tx1"/>
            </w14:solidFill>
          </w14:textFill>
        </w:rPr>
        <w:t>联系电话：4009980000</w:t>
      </w:r>
    </w:p>
    <w:p w14:paraId="17660619">
      <w:pPr>
        <w:pStyle w:val="12"/>
        <w:adjustRightInd w:val="0"/>
        <w:snapToGrid w:val="0"/>
        <w:spacing w:line="360" w:lineRule="auto"/>
        <w:jc w:val="both"/>
        <w:rPr>
          <w:rFonts w:hint="eastAsia" w:ascii="黑体" w:hAnsi="华文中宋" w:eastAsia="黑体"/>
          <w:b/>
          <w:sz w:val="32"/>
          <w:szCs w:val="32"/>
        </w:rPr>
      </w:pPr>
      <w:r>
        <w:rPr>
          <w:rFonts w:ascii="黑体" w:hAnsi="华文中宋" w:eastAsia="黑体"/>
          <w:b/>
          <w:sz w:val="32"/>
          <w:szCs w:val="32"/>
        </w:rPr>
        <w:br w:type="page"/>
      </w:r>
    </w:p>
    <w:p w14:paraId="6AEAED75">
      <w:pPr>
        <w:pStyle w:val="12"/>
        <w:adjustRightInd w:val="0"/>
        <w:snapToGrid w:val="0"/>
        <w:spacing w:line="360" w:lineRule="auto"/>
        <w:jc w:val="center"/>
        <w:outlineLvl w:val="0"/>
        <w:rPr>
          <w:rFonts w:hint="eastAsia" w:ascii="黑体" w:hAnsi="华文中宋" w:eastAsia="黑体"/>
          <w:b/>
          <w:spacing w:val="100"/>
          <w:sz w:val="32"/>
          <w:szCs w:val="32"/>
        </w:rPr>
      </w:pPr>
      <w:bookmarkStart w:id="15" w:name="_Toc29913894"/>
      <w:bookmarkStart w:id="16" w:name="_Toc11119"/>
      <w:bookmarkStart w:id="17" w:name="_Toc13071"/>
      <w:r>
        <w:rPr>
          <w:rFonts w:hint="eastAsia" w:ascii="黑体" w:hAnsi="华文中宋" w:eastAsia="黑体"/>
          <w:b/>
          <w:sz w:val="32"/>
          <w:szCs w:val="32"/>
        </w:rPr>
        <w:t>第二章 投标须知</w:t>
      </w:r>
      <w:bookmarkEnd w:id="15"/>
      <w:bookmarkEnd w:id="16"/>
      <w:bookmarkEnd w:id="17"/>
    </w:p>
    <w:p w14:paraId="724B700F">
      <w:pPr>
        <w:pStyle w:val="4"/>
        <w:jc w:val="center"/>
      </w:pPr>
      <w:bookmarkStart w:id="18" w:name="_Toc29942"/>
      <w:bookmarkStart w:id="19" w:name="_Toc29913895"/>
      <w:bookmarkStart w:id="20" w:name="_Toc17289"/>
      <w:r>
        <w:rPr>
          <w:rFonts w:hint="eastAsia"/>
        </w:rPr>
        <w:t>第一节 投标须知前附表</w:t>
      </w:r>
      <w:bookmarkEnd w:id="18"/>
      <w:bookmarkEnd w:id="19"/>
      <w:bookmarkEnd w:id="20"/>
    </w:p>
    <w:tbl>
      <w:tblPr>
        <w:tblStyle w:val="21"/>
        <w:tblW w:w="93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2513"/>
        <w:gridCol w:w="5235"/>
      </w:tblGrid>
      <w:tr w14:paraId="1EE91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560" w:type="dxa"/>
            <w:vAlign w:val="center"/>
          </w:tcPr>
          <w:p w14:paraId="2D3736A9">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条款号</w:t>
            </w:r>
          </w:p>
        </w:tc>
        <w:tc>
          <w:tcPr>
            <w:tcW w:w="2513" w:type="dxa"/>
            <w:vAlign w:val="center"/>
          </w:tcPr>
          <w:p w14:paraId="21074FAA">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条款名称</w:t>
            </w:r>
          </w:p>
        </w:tc>
        <w:tc>
          <w:tcPr>
            <w:tcW w:w="5235" w:type="dxa"/>
            <w:vAlign w:val="center"/>
          </w:tcPr>
          <w:p w14:paraId="5578F113">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编列内容规定</w:t>
            </w:r>
          </w:p>
        </w:tc>
      </w:tr>
      <w:tr w14:paraId="46F7D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308" w:type="dxa"/>
            <w:gridSpan w:val="3"/>
            <w:vAlign w:val="center"/>
          </w:tcPr>
          <w:p w14:paraId="7CC8AC9A">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b/>
                <w:szCs w:val="21"/>
              </w:rPr>
              <w:t>一、说明</w:t>
            </w:r>
          </w:p>
        </w:tc>
      </w:tr>
      <w:tr w14:paraId="2000BC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9FE5C25">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第1.1款</w:t>
            </w:r>
          </w:p>
        </w:tc>
        <w:tc>
          <w:tcPr>
            <w:tcW w:w="2513" w:type="dxa"/>
            <w:vAlign w:val="center"/>
          </w:tcPr>
          <w:p w14:paraId="20B63752">
            <w:pPr>
              <w:adjustRightInd w:val="0"/>
              <w:snapToGrid w:val="0"/>
              <w:spacing w:line="360" w:lineRule="auto"/>
              <w:rPr>
                <w:rFonts w:hint="eastAsia" w:hAnsi="宋体"/>
                <w:szCs w:val="21"/>
              </w:rPr>
            </w:pPr>
            <w:r>
              <w:rPr>
                <w:rFonts w:hint="eastAsia" w:hAnsi="宋体"/>
                <w:szCs w:val="21"/>
              </w:rPr>
              <w:t>采购项目</w:t>
            </w:r>
          </w:p>
        </w:tc>
        <w:tc>
          <w:tcPr>
            <w:tcW w:w="5235" w:type="dxa"/>
            <w:vAlign w:val="center"/>
          </w:tcPr>
          <w:p w14:paraId="71A599C5">
            <w:pPr>
              <w:adjustRightInd w:val="0"/>
              <w:snapToGrid w:val="0"/>
              <w:spacing w:line="420" w:lineRule="exact"/>
              <w:rPr>
                <w:rFonts w:hint="eastAsia" w:hAnsi="宋体" w:eastAsia="宋体"/>
                <w:color w:val="000000" w:themeColor="text1"/>
                <w:szCs w:val="21"/>
                <w:lang w:eastAsia="zh-CN"/>
                <w14:textFill>
                  <w14:solidFill>
                    <w14:schemeClr w14:val="tx1"/>
                  </w14:solidFill>
                </w14:textFill>
              </w:rPr>
            </w:pPr>
            <w:r>
              <w:rPr>
                <w:rFonts w:hint="eastAsia" w:hAnsi="宋体"/>
                <w:color w:val="000000" w:themeColor="text1"/>
                <w:szCs w:val="21"/>
                <w:lang w:eastAsia="zh-CN"/>
                <w14:textFill>
                  <w14:solidFill>
                    <w14:schemeClr w14:val="tx1"/>
                  </w14:solidFill>
                </w14:textFill>
              </w:rPr>
              <w:t>郴州市2026年度电子政务外网网络租赁及相关运维</w:t>
            </w:r>
            <w:r>
              <w:rPr>
                <w:rFonts w:hint="eastAsia" w:hAnsi="宋体"/>
                <w:color w:val="000000" w:themeColor="text1"/>
                <w:szCs w:val="21"/>
                <w:lang w:val="en-US" w:eastAsia="zh-CN"/>
                <w14:textFill>
                  <w14:solidFill>
                    <w14:schemeClr w14:val="tx1"/>
                  </w14:solidFill>
                </w14:textFill>
              </w:rPr>
              <w:t>服务</w:t>
            </w:r>
            <w:r>
              <w:rPr>
                <w:rFonts w:hint="eastAsia" w:hAnsi="宋体"/>
                <w:color w:val="000000" w:themeColor="text1"/>
                <w:szCs w:val="21"/>
                <w:lang w:eastAsia="zh-CN"/>
                <w14:textFill>
                  <w14:solidFill>
                    <w14:schemeClr w14:val="tx1"/>
                  </w14:solidFill>
                </w14:textFill>
              </w:rPr>
              <w:t>项目</w:t>
            </w:r>
          </w:p>
        </w:tc>
      </w:tr>
      <w:tr w14:paraId="577F58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AAB60D9">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第1.2款</w:t>
            </w:r>
          </w:p>
        </w:tc>
        <w:tc>
          <w:tcPr>
            <w:tcW w:w="2513" w:type="dxa"/>
            <w:vAlign w:val="center"/>
          </w:tcPr>
          <w:p w14:paraId="096FE6AC">
            <w:pPr>
              <w:adjustRightInd w:val="0"/>
              <w:snapToGrid w:val="0"/>
              <w:spacing w:line="360" w:lineRule="auto"/>
              <w:rPr>
                <w:rFonts w:hint="eastAsia" w:hAnsi="宋体"/>
                <w:szCs w:val="21"/>
              </w:rPr>
            </w:pPr>
            <w:r>
              <w:rPr>
                <w:rFonts w:hint="eastAsia" w:hAnsi="宋体"/>
                <w:szCs w:val="21"/>
              </w:rPr>
              <w:t>专门面向中小企业采购</w:t>
            </w:r>
          </w:p>
        </w:tc>
        <w:tc>
          <w:tcPr>
            <w:tcW w:w="5235" w:type="dxa"/>
            <w:vAlign w:val="center"/>
          </w:tcPr>
          <w:p w14:paraId="2ACE9C2F">
            <w:pPr>
              <w:adjustRightInd w:val="0"/>
              <w:snapToGrid w:val="0"/>
              <w:spacing w:line="420" w:lineRule="exact"/>
              <w:rPr>
                <w:rFonts w:hint="eastAsia" w:hAnsi="宋体"/>
                <w:color w:val="000000" w:themeColor="text1"/>
                <w:szCs w:val="21"/>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w:t>
            </w:r>
            <w:r>
              <w:rPr>
                <w:rFonts w:hint="eastAsia" w:hAnsi="宋体"/>
                <w:color w:val="000000" w:themeColor="text1"/>
                <w:szCs w:val="21"/>
                <w14:textFill>
                  <w14:solidFill>
                    <w14:schemeClr w14:val="tx1"/>
                  </w14:solidFill>
                </w14:textFill>
              </w:rPr>
              <w:t>是</w:t>
            </w:r>
          </w:p>
          <w:p w14:paraId="39A6A5DC">
            <w:pPr>
              <w:adjustRightInd w:val="0"/>
              <w:snapToGrid w:val="0"/>
              <w:spacing w:line="420" w:lineRule="exact"/>
              <w:rPr>
                <w:rFonts w:hint="eastAsia"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0052"/>
            </w:r>
            <w:r>
              <w:rPr>
                <w:rFonts w:hint="eastAsia" w:ascii="宋体" w:hAnsi="宋体"/>
                <w:color w:val="000000" w:themeColor="text1"/>
                <w:szCs w:val="21"/>
                <w14:textFill>
                  <w14:solidFill>
                    <w14:schemeClr w14:val="tx1"/>
                  </w14:solidFill>
                </w14:textFill>
              </w:rPr>
              <w:t>否</w:t>
            </w:r>
          </w:p>
        </w:tc>
      </w:tr>
      <w:tr w14:paraId="2740DB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883B355">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第2.1</w:t>
            </w:r>
            <w:r>
              <w:rPr>
                <w:rFonts w:hint="eastAsia" w:cs="宋体" w:asciiTheme="minorEastAsia" w:hAnsiTheme="minorEastAsia" w:eastAsiaTheme="minorEastAsia"/>
                <w:kern w:val="0"/>
                <w:szCs w:val="21"/>
                <w:lang w:val="zh-CN"/>
              </w:rPr>
              <w:t>款</w:t>
            </w:r>
          </w:p>
        </w:tc>
        <w:tc>
          <w:tcPr>
            <w:tcW w:w="2513" w:type="dxa"/>
          </w:tcPr>
          <w:p w14:paraId="17E34594">
            <w:pPr>
              <w:adjustRightInd w:val="0"/>
              <w:snapToGrid w:val="0"/>
              <w:spacing w:line="360" w:lineRule="auto"/>
              <w:rPr>
                <w:rFonts w:hint="eastAsia" w:asciiTheme="minorEastAsia" w:hAnsiTheme="minorEastAsia" w:eastAsiaTheme="minorEastAsia"/>
                <w:szCs w:val="21"/>
              </w:rPr>
            </w:pPr>
            <w:r>
              <w:rPr>
                <w:rFonts w:hint="eastAsia" w:hAnsi="宋体"/>
                <w:szCs w:val="21"/>
              </w:rPr>
              <w:t>采购项目联系人姓名和电话</w:t>
            </w:r>
          </w:p>
        </w:tc>
        <w:tc>
          <w:tcPr>
            <w:tcW w:w="5235" w:type="dxa"/>
            <w:vAlign w:val="center"/>
          </w:tcPr>
          <w:p w14:paraId="67210919">
            <w:pPr>
              <w:adjustRightInd w:val="0"/>
              <w:snapToGrid w:val="0"/>
              <w:spacing w:line="500" w:lineRule="exact"/>
              <w:rPr>
                <w:rFonts w:hint="eastAsia" w:asciiTheme="minorEastAsia" w:hAnsiTheme="minorEastAsia" w:eastAsiaTheme="minorEastAsia"/>
                <w:bCs/>
                <w:color w:val="0000FF"/>
                <w:sz w:val="24"/>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tc>
      </w:tr>
      <w:tr w14:paraId="19AF2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377EB89">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第2.2</w:t>
            </w:r>
            <w:r>
              <w:rPr>
                <w:rFonts w:hint="eastAsia" w:cs="宋体" w:asciiTheme="minorEastAsia" w:hAnsiTheme="minorEastAsia" w:eastAsiaTheme="minorEastAsia"/>
                <w:kern w:val="0"/>
                <w:szCs w:val="21"/>
                <w:lang w:val="zh-CN"/>
              </w:rPr>
              <w:t>款</w:t>
            </w:r>
          </w:p>
        </w:tc>
        <w:tc>
          <w:tcPr>
            <w:tcW w:w="2513" w:type="dxa"/>
            <w:vAlign w:val="center"/>
          </w:tcPr>
          <w:p w14:paraId="3739F6FB">
            <w:pPr>
              <w:adjustRightInd w:val="0"/>
              <w:snapToGrid w:val="0"/>
              <w:spacing w:line="360" w:lineRule="auto"/>
              <w:jc w:val="left"/>
              <w:rPr>
                <w:rFonts w:hint="eastAsia" w:asciiTheme="minorEastAsia" w:hAnsiTheme="minorEastAsia" w:eastAsiaTheme="minorEastAsia"/>
                <w:szCs w:val="21"/>
              </w:rPr>
            </w:pPr>
            <w:r>
              <w:rPr>
                <w:rFonts w:hint="eastAsia" w:hAnsi="宋体"/>
                <w:szCs w:val="21"/>
              </w:rPr>
              <w:t>采购人名称、地址、电话、联系人</w:t>
            </w:r>
          </w:p>
        </w:tc>
        <w:tc>
          <w:tcPr>
            <w:tcW w:w="5235" w:type="dxa"/>
            <w:vAlign w:val="center"/>
          </w:tcPr>
          <w:p w14:paraId="479AA5B5">
            <w:pPr>
              <w:adjustRightInd w:val="0"/>
              <w:snapToGrid w:val="0"/>
              <w:spacing w:line="500" w:lineRule="exact"/>
              <w:rPr>
                <w:rFonts w:hint="eastAsia" w:asciiTheme="minorEastAsia" w:hAnsiTheme="minorEastAsia" w:eastAsiaTheme="minorEastAsia"/>
                <w:color w:val="0000FF"/>
                <w:sz w:val="24"/>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tc>
      </w:tr>
      <w:tr w14:paraId="3E066E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F0B80D1">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第2.3</w:t>
            </w:r>
            <w:r>
              <w:rPr>
                <w:rFonts w:hint="eastAsia" w:cs="宋体" w:asciiTheme="minorEastAsia" w:hAnsiTheme="minorEastAsia" w:eastAsiaTheme="minorEastAsia"/>
                <w:kern w:val="0"/>
                <w:szCs w:val="21"/>
                <w:lang w:val="zh-CN"/>
              </w:rPr>
              <w:t>款</w:t>
            </w:r>
          </w:p>
        </w:tc>
        <w:tc>
          <w:tcPr>
            <w:tcW w:w="2513" w:type="dxa"/>
            <w:vAlign w:val="center"/>
          </w:tcPr>
          <w:p w14:paraId="0BDAF31D">
            <w:pPr>
              <w:adjustRightInd w:val="0"/>
              <w:snapToGrid w:val="0"/>
              <w:spacing w:line="360" w:lineRule="auto"/>
              <w:jc w:val="left"/>
              <w:rPr>
                <w:rFonts w:hint="eastAsia" w:asciiTheme="minorEastAsia" w:hAnsiTheme="minorEastAsia" w:eastAsiaTheme="minorEastAsia"/>
                <w:szCs w:val="21"/>
              </w:rPr>
            </w:pPr>
            <w:r>
              <w:rPr>
                <w:rFonts w:hint="eastAsia" w:hAnsi="宋体"/>
                <w:szCs w:val="21"/>
              </w:rPr>
              <w:t>采购代理机构名称、地址、电话、联系人</w:t>
            </w:r>
          </w:p>
        </w:tc>
        <w:tc>
          <w:tcPr>
            <w:tcW w:w="5235" w:type="dxa"/>
            <w:vAlign w:val="center"/>
          </w:tcPr>
          <w:p w14:paraId="7F3B0BBF">
            <w:pPr>
              <w:adjustRightInd w:val="0"/>
              <w:snapToGrid w:val="0"/>
              <w:spacing w:line="500" w:lineRule="exact"/>
              <w:rPr>
                <w:rFonts w:hint="eastAsia" w:eastAsia="宋体" w:asciiTheme="minorEastAsia" w:hAnsiTheme="minorEastAsia"/>
                <w:color w:val="0000FF"/>
                <w:sz w:val="24"/>
                <w:lang w:eastAsia="zh-CN"/>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tc>
      </w:tr>
      <w:tr w14:paraId="1888D3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AC2F491">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第2.5</w:t>
            </w:r>
            <w:r>
              <w:rPr>
                <w:rFonts w:hint="eastAsia" w:cs="宋体" w:asciiTheme="minorEastAsia" w:hAnsiTheme="minorEastAsia" w:eastAsiaTheme="minorEastAsia"/>
                <w:kern w:val="0"/>
                <w:szCs w:val="21"/>
                <w:lang w:val="zh-CN"/>
              </w:rPr>
              <w:t>款</w:t>
            </w:r>
          </w:p>
        </w:tc>
        <w:tc>
          <w:tcPr>
            <w:tcW w:w="2513" w:type="dxa"/>
            <w:vAlign w:val="center"/>
          </w:tcPr>
          <w:p w14:paraId="60F026B9">
            <w:pPr>
              <w:adjustRightInd w:val="0"/>
              <w:snapToGrid w:val="0"/>
              <w:spacing w:line="360" w:lineRule="auto"/>
              <w:jc w:val="left"/>
              <w:rPr>
                <w:rFonts w:hint="eastAsia" w:hAnsi="宋体"/>
                <w:szCs w:val="21"/>
              </w:rPr>
            </w:pPr>
            <w:r>
              <w:rPr>
                <w:rFonts w:hint="eastAsia" w:hAnsi="宋体"/>
                <w:szCs w:val="21"/>
              </w:rPr>
              <w:t>采购进口产品</w:t>
            </w:r>
          </w:p>
        </w:tc>
        <w:tc>
          <w:tcPr>
            <w:tcW w:w="5235" w:type="dxa"/>
            <w:vAlign w:val="center"/>
          </w:tcPr>
          <w:p w14:paraId="481E071A">
            <w:pPr>
              <w:adjustRightInd w:val="0"/>
              <w:snapToGrid w:val="0"/>
              <w:spacing w:line="420" w:lineRule="exact"/>
              <w:rPr>
                <w:rFonts w:hint="eastAsia" w:hAnsi="宋体"/>
                <w:szCs w:val="21"/>
              </w:rPr>
            </w:pPr>
            <w:r>
              <w:rPr>
                <w:rFonts w:hint="eastAsia" w:ascii="宋体" w:hAnsi="宋体" w:cs="宋体"/>
                <w:szCs w:val="21"/>
              </w:rPr>
              <w:t xml:space="preserve">□接受    </w:t>
            </w:r>
            <w:r>
              <w:rPr>
                <w:rFonts w:hint="eastAsia" w:hAnsi="宋体"/>
                <w:szCs w:val="21"/>
              </w:rPr>
              <w:t>本项目已经财政部门审核同意购买进口产品</w:t>
            </w:r>
            <w:r>
              <w:rPr>
                <w:rFonts w:hAnsi="宋体"/>
                <w:szCs w:val="21"/>
              </w:rPr>
              <w:t xml:space="preserve">  </w:t>
            </w:r>
          </w:p>
          <w:p w14:paraId="1B434FCF">
            <w:pPr>
              <w:adjustRightInd w:val="0"/>
              <w:snapToGrid w:val="0"/>
              <w:spacing w:line="420" w:lineRule="exact"/>
              <w:rPr>
                <w:rFonts w:hint="eastAsia" w:hAnsi="宋体"/>
                <w:szCs w:val="21"/>
              </w:rPr>
            </w:pPr>
            <w:r>
              <w:rPr>
                <w:rFonts w:hint="eastAsia" w:ascii="宋体" w:hAnsi="宋体" w:cs="宋体"/>
                <w:szCs w:val="21"/>
              </w:rPr>
              <w:sym w:font="Wingdings 2" w:char="F052"/>
            </w:r>
            <w:r>
              <w:rPr>
                <w:rFonts w:hint="eastAsia" w:ascii="宋体" w:hAnsi="宋体" w:cs="宋体"/>
                <w:szCs w:val="21"/>
              </w:rPr>
              <w:t xml:space="preserve">拒绝   </w:t>
            </w:r>
            <w:r>
              <w:rPr>
                <w:rFonts w:hint="eastAsia" w:hAnsi="宋体"/>
                <w:szCs w:val="21"/>
              </w:rPr>
              <w:t>本项目拒绝进口产品参加投标</w:t>
            </w:r>
          </w:p>
        </w:tc>
      </w:tr>
      <w:tr w14:paraId="733672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A1027A5">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第3.1</w:t>
            </w:r>
            <w:r>
              <w:rPr>
                <w:rFonts w:hint="eastAsia" w:cs="宋体" w:asciiTheme="minorEastAsia" w:hAnsiTheme="minorEastAsia" w:eastAsiaTheme="minorEastAsia"/>
                <w:kern w:val="0"/>
                <w:szCs w:val="21"/>
                <w:lang w:val="zh-CN"/>
              </w:rPr>
              <w:t>款</w:t>
            </w:r>
          </w:p>
        </w:tc>
        <w:tc>
          <w:tcPr>
            <w:tcW w:w="2513" w:type="dxa"/>
            <w:vAlign w:val="center"/>
          </w:tcPr>
          <w:p w14:paraId="6EE958E7">
            <w:pPr>
              <w:adjustRightInd w:val="0"/>
              <w:snapToGrid w:val="0"/>
              <w:spacing w:line="360" w:lineRule="auto"/>
              <w:jc w:val="left"/>
              <w:rPr>
                <w:rFonts w:hint="eastAsia" w:hAnsi="宋体"/>
                <w:szCs w:val="21"/>
              </w:rPr>
            </w:pPr>
            <w:r>
              <w:rPr>
                <w:rFonts w:hint="eastAsia" w:asciiTheme="minorEastAsia" w:hAnsiTheme="minorEastAsia" w:eastAsiaTheme="minorEastAsia"/>
                <w:szCs w:val="21"/>
              </w:rPr>
              <w:t>投标人资格条件</w:t>
            </w:r>
          </w:p>
        </w:tc>
        <w:tc>
          <w:tcPr>
            <w:tcW w:w="5235" w:type="dxa"/>
            <w:vAlign w:val="center"/>
          </w:tcPr>
          <w:p w14:paraId="22D0C2CA">
            <w:pPr>
              <w:adjustRightInd w:val="0"/>
              <w:snapToGrid w:val="0"/>
              <w:spacing w:line="420" w:lineRule="exact"/>
              <w:rPr>
                <w:rFonts w:hint="eastAsia" w:hAnsi="宋体"/>
                <w:szCs w:val="21"/>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tc>
      </w:tr>
      <w:tr w14:paraId="1B8375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F8EA4C9">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第3.2</w:t>
            </w:r>
            <w:r>
              <w:rPr>
                <w:rFonts w:hint="eastAsia" w:cs="宋体" w:asciiTheme="minorEastAsia" w:hAnsiTheme="minorEastAsia" w:eastAsiaTheme="minorEastAsia"/>
                <w:kern w:val="0"/>
                <w:szCs w:val="21"/>
                <w:lang w:val="zh-CN"/>
              </w:rPr>
              <w:t>款</w:t>
            </w:r>
          </w:p>
        </w:tc>
        <w:tc>
          <w:tcPr>
            <w:tcW w:w="2513" w:type="dxa"/>
            <w:vAlign w:val="center"/>
          </w:tcPr>
          <w:p w14:paraId="4C0366D2">
            <w:pPr>
              <w:adjustRightInd w:val="0"/>
              <w:snapToGrid w:val="0"/>
              <w:spacing w:line="360" w:lineRule="auto"/>
              <w:jc w:val="left"/>
              <w:rPr>
                <w:rFonts w:hint="eastAsia" w:hAnsi="宋体"/>
                <w:szCs w:val="21"/>
              </w:rPr>
            </w:pPr>
            <w:r>
              <w:rPr>
                <w:rFonts w:hint="eastAsia" w:hAnsi="宋体"/>
                <w:szCs w:val="21"/>
              </w:rPr>
              <w:t>接受联合体形式投标</w:t>
            </w:r>
          </w:p>
        </w:tc>
        <w:tc>
          <w:tcPr>
            <w:tcW w:w="5235" w:type="dxa"/>
            <w:vAlign w:val="center"/>
          </w:tcPr>
          <w:p w14:paraId="3B4C2521">
            <w:pPr>
              <w:adjustRightInd w:val="0"/>
              <w:snapToGrid w:val="0"/>
              <w:spacing w:line="420" w:lineRule="exact"/>
              <w:rPr>
                <w:rFonts w:hint="eastAsia" w:ascii="宋体" w:hAnsi="宋体" w:cs="宋体"/>
                <w:szCs w:val="21"/>
              </w:rPr>
            </w:pPr>
            <w:r>
              <w:rPr>
                <w:rFonts w:hint="eastAsia" w:ascii="宋体" w:hAnsi="宋体" w:cs="宋体"/>
                <w:szCs w:val="21"/>
              </w:rPr>
              <w:t>□接受</w:t>
            </w:r>
          </w:p>
          <w:p w14:paraId="50A3244B">
            <w:pPr>
              <w:adjustRightInd w:val="0"/>
              <w:snapToGrid w:val="0"/>
              <w:spacing w:line="420" w:lineRule="exact"/>
              <w:rPr>
                <w:rFonts w:hint="eastAsia" w:hAnsi="宋体"/>
                <w:szCs w:val="21"/>
              </w:rPr>
            </w:pPr>
            <w:r>
              <w:rPr>
                <w:rFonts w:hint="eastAsia" w:ascii="宋体" w:hAnsi="宋体" w:cs="宋体"/>
                <w:szCs w:val="21"/>
              </w:rPr>
              <w:sym w:font="Wingdings 2" w:char="F052"/>
            </w:r>
            <w:r>
              <w:rPr>
                <w:rFonts w:hint="eastAsia" w:ascii="宋体" w:hAnsi="宋体" w:cs="宋体"/>
                <w:szCs w:val="21"/>
              </w:rPr>
              <w:t>不接受</w:t>
            </w:r>
          </w:p>
        </w:tc>
      </w:tr>
      <w:tr w14:paraId="2C6191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60DD9AF">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第5.1</w:t>
            </w:r>
            <w:r>
              <w:rPr>
                <w:rFonts w:hint="eastAsia" w:cs="宋体" w:asciiTheme="minorEastAsia" w:hAnsiTheme="minorEastAsia" w:eastAsiaTheme="minorEastAsia"/>
                <w:kern w:val="0"/>
                <w:szCs w:val="21"/>
                <w:lang w:val="zh-CN"/>
              </w:rPr>
              <w:t>款</w:t>
            </w:r>
          </w:p>
        </w:tc>
        <w:tc>
          <w:tcPr>
            <w:tcW w:w="2513" w:type="dxa"/>
            <w:vAlign w:val="center"/>
          </w:tcPr>
          <w:p w14:paraId="0DC93527">
            <w:pPr>
              <w:adjustRightInd w:val="0"/>
              <w:snapToGrid w:val="0"/>
              <w:spacing w:line="360" w:lineRule="auto"/>
              <w:jc w:val="left"/>
              <w:rPr>
                <w:rFonts w:hint="eastAsia" w:hAnsi="宋体"/>
                <w:szCs w:val="21"/>
              </w:rPr>
            </w:pPr>
            <w:r>
              <w:rPr>
                <w:rFonts w:hint="eastAsia" w:asciiTheme="minorEastAsia" w:hAnsiTheme="minorEastAsia" w:eastAsiaTheme="minorEastAsia"/>
                <w:szCs w:val="21"/>
              </w:rPr>
              <w:t>招标文件提供期限</w:t>
            </w:r>
          </w:p>
        </w:tc>
        <w:tc>
          <w:tcPr>
            <w:tcW w:w="5235" w:type="dxa"/>
            <w:vAlign w:val="center"/>
          </w:tcPr>
          <w:p w14:paraId="78751C5D">
            <w:pPr>
              <w:adjustRightInd w:val="0"/>
              <w:snapToGrid w:val="0"/>
              <w:spacing w:line="420" w:lineRule="exact"/>
              <w:rPr>
                <w:rFonts w:hint="eastAsia" w:hAnsi="宋体"/>
                <w:szCs w:val="21"/>
              </w:rPr>
            </w:pPr>
            <w:r>
              <w:rPr>
                <w:rFonts w:hint="eastAsia" w:hAnsi="宋体"/>
                <w:szCs w:val="21"/>
              </w:rPr>
              <w:t>详见第一章</w:t>
            </w:r>
            <w:r>
              <w:rPr>
                <w:rFonts w:hint="eastAsia" w:ascii="宋体" w:hAnsi="宋体"/>
                <w:szCs w:val="21"/>
              </w:rPr>
              <w:t>【</w:t>
            </w:r>
            <w:r>
              <w:rPr>
                <w:rFonts w:hint="eastAsia" w:hAnsi="宋体"/>
                <w:szCs w:val="21"/>
              </w:rPr>
              <w:t>投标邀请</w:t>
            </w:r>
            <w:r>
              <w:rPr>
                <w:rFonts w:hint="eastAsia" w:ascii="宋体" w:hAnsi="宋体"/>
                <w:szCs w:val="21"/>
              </w:rPr>
              <w:t>】</w:t>
            </w:r>
          </w:p>
        </w:tc>
      </w:tr>
      <w:tr w14:paraId="069CE6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6807BA9">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款</w:t>
            </w:r>
          </w:p>
        </w:tc>
        <w:tc>
          <w:tcPr>
            <w:tcW w:w="2513" w:type="dxa"/>
            <w:vAlign w:val="center"/>
          </w:tcPr>
          <w:p w14:paraId="2DE6366B">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组织现场考察或者召开答疑会</w:t>
            </w:r>
          </w:p>
        </w:tc>
        <w:tc>
          <w:tcPr>
            <w:tcW w:w="5235" w:type="dxa"/>
            <w:vAlign w:val="center"/>
          </w:tcPr>
          <w:p w14:paraId="52D6BAFF">
            <w:pPr>
              <w:adjustRightInd w:val="0"/>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sym w:font="Wingdings 2" w:char="F052"/>
            </w:r>
            <w:r>
              <w:rPr>
                <w:rFonts w:hint="eastAsia" w:ascii="宋体" w:hAnsi="宋体"/>
                <w:color w:val="000000" w:themeColor="text1"/>
                <w:szCs w:val="21"/>
                <w14:textFill>
                  <w14:solidFill>
                    <w14:schemeClr w14:val="tx1"/>
                  </w14:solidFill>
                </w14:textFill>
              </w:rPr>
              <w:t xml:space="preserve"> 不组织</w:t>
            </w:r>
          </w:p>
          <w:p w14:paraId="1EA4428F">
            <w:pPr>
              <w:adjustRightInd w:val="0"/>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组织</w:t>
            </w:r>
          </w:p>
          <w:p w14:paraId="5855752F">
            <w:pPr>
              <w:adjustRightInd w:val="0"/>
              <w:snapToGrid w:val="0"/>
              <w:spacing w:line="360" w:lineRule="auto"/>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时间：         </w:t>
            </w:r>
          </w:p>
          <w:p w14:paraId="5C802DB6">
            <w:pPr>
              <w:adjustRightInd w:val="0"/>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地点：         </w:t>
            </w:r>
          </w:p>
          <w:p w14:paraId="3296B76B">
            <w:pPr>
              <w:adjustRightInd w:val="0"/>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联系人：        </w:t>
            </w:r>
          </w:p>
          <w:p w14:paraId="6A4D50F0">
            <w:pPr>
              <w:adjustRightInd w:val="0"/>
              <w:snapToGrid w:val="0"/>
              <w:spacing w:line="360" w:lineRule="auto"/>
              <w:rPr>
                <w:rFonts w:hint="eastAsia"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xml:space="preserve">联系方式：      </w:t>
            </w:r>
          </w:p>
          <w:p w14:paraId="1F56561C">
            <w:pPr>
              <w:adjustRightInd w:val="0"/>
              <w:snapToGrid w:val="0"/>
              <w:spacing w:line="360" w:lineRule="auto"/>
              <w:rPr>
                <w:rFonts w:hint="eastAsia" w:ascii="宋体" w:hAnsi="宋体"/>
                <w:color w:val="FF0000"/>
                <w:szCs w:val="21"/>
                <w:u w:val="single"/>
              </w:rPr>
            </w:pPr>
            <w:r>
              <w:rPr>
                <w:rFonts w:hint="eastAsia" w:ascii="宋体" w:hAnsi="宋体"/>
                <w:color w:val="000000" w:themeColor="text1"/>
                <w:szCs w:val="21"/>
                <w:u w:val="single"/>
                <w14:textFill>
                  <w14:solidFill>
                    <w14:schemeClr w14:val="tx1"/>
                  </w14:solidFill>
                </w14:textFill>
              </w:rPr>
              <w:t>说明事项：</w:t>
            </w:r>
          </w:p>
        </w:tc>
      </w:tr>
      <w:tr w14:paraId="0461C0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308" w:type="dxa"/>
            <w:gridSpan w:val="3"/>
            <w:vAlign w:val="center"/>
          </w:tcPr>
          <w:p w14:paraId="6769201F">
            <w:pPr>
              <w:adjustRightInd w:val="0"/>
              <w:snapToGrid w:val="0"/>
              <w:spacing w:line="360" w:lineRule="auto"/>
              <w:rPr>
                <w:rFonts w:hint="eastAsia" w:asciiTheme="minorEastAsia" w:hAnsiTheme="minorEastAsia" w:eastAsiaTheme="minorEastAsia"/>
                <w:b/>
                <w:szCs w:val="21"/>
              </w:rPr>
            </w:pPr>
            <w:r>
              <w:rPr>
                <w:rFonts w:hint="eastAsia" w:asciiTheme="minorEastAsia" w:hAnsiTheme="minorEastAsia" w:eastAsiaTheme="minorEastAsia"/>
                <w:b/>
                <w:szCs w:val="21"/>
              </w:rPr>
              <w:t>二、招标文件</w:t>
            </w:r>
          </w:p>
        </w:tc>
      </w:tr>
      <w:tr w14:paraId="7D8E42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D63DF87">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第7.4</w:t>
            </w:r>
            <w:r>
              <w:rPr>
                <w:rFonts w:hint="eastAsia" w:cs="宋体" w:asciiTheme="minorEastAsia" w:hAnsiTheme="minorEastAsia" w:eastAsiaTheme="minorEastAsia"/>
                <w:kern w:val="0"/>
                <w:szCs w:val="21"/>
                <w:lang w:val="zh-CN"/>
              </w:rPr>
              <w:t>款</w:t>
            </w:r>
          </w:p>
        </w:tc>
        <w:tc>
          <w:tcPr>
            <w:tcW w:w="2513" w:type="dxa"/>
            <w:vAlign w:val="center"/>
          </w:tcPr>
          <w:p w14:paraId="4BFEB71F">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非实质性偏离的范围和幅度</w:t>
            </w:r>
          </w:p>
        </w:tc>
        <w:tc>
          <w:tcPr>
            <w:tcW w:w="5235" w:type="dxa"/>
            <w:vAlign w:val="center"/>
          </w:tcPr>
          <w:p w14:paraId="393AE3F8">
            <w:pPr>
              <w:adjustRightInd w:val="0"/>
              <w:snapToGrid w:val="0"/>
              <w:spacing w:line="360" w:lineRule="auto"/>
              <w:ind w:left="105" w:hanging="105" w:hangingChars="50"/>
              <w:jc w:val="left"/>
              <w:rPr>
                <w:rFonts w:hint="eastAsia" w:asciiTheme="minorEastAsia" w:hAnsiTheme="minorEastAsia" w:eastAsiaTheme="minorEastAsia"/>
                <w:szCs w:val="21"/>
                <w:u w:val="single"/>
              </w:rPr>
            </w:pPr>
            <w:r>
              <w:rPr>
                <w:rFonts w:hint="eastAsia" w:asciiTheme="minorEastAsia" w:hAnsiTheme="minorEastAsia" w:eastAsiaTheme="minorEastAsia"/>
                <w:b w:val="0"/>
                <w:bCs w:val="0"/>
                <w:color w:val="auto"/>
                <w:szCs w:val="21"/>
                <w:highlight w:val="none"/>
              </w:rPr>
              <w:t>招标文件第五章【采购需求】中条款偏离项数之和≥</w:t>
            </w:r>
            <w:r>
              <w:rPr>
                <w:rFonts w:hint="eastAsia" w:asciiTheme="minorEastAsia" w:hAnsiTheme="minorEastAsia" w:eastAsiaTheme="minorEastAsia"/>
                <w:b w:val="0"/>
                <w:bCs w:val="0"/>
                <w:color w:val="auto"/>
                <w:szCs w:val="21"/>
                <w:highlight w:val="none"/>
                <w:u w:val="single"/>
              </w:rPr>
              <w:t xml:space="preserve"> </w:t>
            </w:r>
            <w:r>
              <w:rPr>
                <w:rFonts w:hint="eastAsia" w:asciiTheme="minorEastAsia" w:hAnsiTheme="minorEastAsia" w:eastAsiaTheme="minorEastAsia"/>
                <w:b w:val="0"/>
                <w:bCs w:val="0"/>
                <w:color w:val="auto"/>
                <w:szCs w:val="21"/>
                <w:highlight w:val="none"/>
                <w:u w:val="single"/>
                <w:lang w:val="en-US" w:eastAsia="zh-CN"/>
              </w:rPr>
              <w:t>1</w:t>
            </w:r>
            <w:r>
              <w:rPr>
                <w:rFonts w:hint="eastAsia" w:asciiTheme="minorEastAsia" w:hAnsiTheme="minorEastAsia" w:eastAsiaTheme="minorEastAsia"/>
                <w:b w:val="0"/>
                <w:bCs w:val="0"/>
                <w:color w:val="auto"/>
                <w:szCs w:val="21"/>
                <w:highlight w:val="none"/>
                <w:u w:val="none"/>
                <w:lang w:val="en-US" w:eastAsia="zh-CN"/>
              </w:rPr>
              <w:t xml:space="preserve"> </w:t>
            </w:r>
            <w:r>
              <w:rPr>
                <w:rFonts w:hint="eastAsia" w:asciiTheme="minorEastAsia" w:hAnsiTheme="minorEastAsia" w:eastAsiaTheme="minorEastAsia"/>
                <w:b w:val="0"/>
                <w:bCs w:val="0"/>
                <w:color w:val="auto"/>
                <w:szCs w:val="21"/>
                <w:highlight w:val="none"/>
              </w:rPr>
              <w:t>项将导致无效投标。</w:t>
            </w:r>
          </w:p>
        </w:tc>
      </w:tr>
      <w:tr w14:paraId="7AC36B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5D8B1DF">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第9.1</w:t>
            </w:r>
            <w:r>
              <w:rPr>
                <w:rFonts w:hint="eastAsia" w:cs="宋体" w:asciiTheme="minorEastAsia" w:hAnsiTheme="minorEastAsia" w:eastAsiaTheme="minorEastAsia"/>
                <w:kern w:val="0"/>
                <w:szCs w:val="21"/>
                <w:lang w:val="zh-CN"/>
              </w:rPr>
              <w:t>款</w:t>
            </w:r>
          </w:p>
        </w:tc>
        <w:tc>
          <w:tcPr>
            <w:tcW w:w="2513" w:type="dxa"/>
            <w:vAlign w:val="center"/>
          </w:tcPr>
          <w:p w14:paraId="27A723FF">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招标公告指定媒体</w:t>
            </w:r>
          </w:p>
        </w:tc>
        <w:tc>
          <w:tcPr>
            <w:tcW w:w="5235" w:type="dxa"/>
            <w:vAlign w:val="center"/>
          </w:tcPr>
          <w:p w14:paraId="7BB1D0DE">
            <w:pPr>
              <w:adjustRightInd w:val="0"/>
              <w:snapToGrid w:val="0"/>
              <w:spacing w:line="360" w:lineRule="auto"/>
              <w:ind w:left="105" w:hanging="105" w:hangingChars="50"/>
              <w:rPr>
                <w:rFonts w:hint="eastAsia" w:hAnsi="宋体"/>
                <w:szCs w:val="21"/>
              </w:rPr>
            </w:pPr>
            <w:r>
              <w:rPr>
                <w:rFonts w:hint="eastAsia" w:asciiTheme="minorEastAsia" w:hAnsiTheme="minorEastAsia" w:eastAsiaTheme="minorEastAsia"/>
                <w:szCs w:val="21"/>
                <w:u w:val="single"/>
              </w:rPr>
              <w:t>湖南省政府采购网(www.ccgp-hunan.gov.cn)和郴州市公共资源交易中心(http://czggzy.czs.gov.cn/</w:t>
            </w:r>
          </w:p>
        </w:tc>
      </w:tr>
      <w:tr w14:paraId="4874F4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308" w:type="dxa"/>
            <w:gridSpan w:val="3"/>
            <w:vAlign w:val="center"/>
          </w:tcPr>
          <w:p w14:paraId="20A48A88">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b/>
                <w:szCs w:val="21"/>
              </w:rPr>
              <w:t>三、投标文件</w:t>
            </w:r>
          </w:p>
        </w:tc>
      </w:tr>
      <w:tr w14:paraId="0BE8CC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533A7970">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第13.2</w:t>
            </w:r>
            <w:r>
              <w:rPr>
                <w:rFonts w:hint="eastAsia" w:cs="宋体" w:asciiTheme="minorEastAsia" w:hAnsiTheme="minorEastAsia" w:eastAsiaTheme="minorEastAsia"/>
                <w:kern w:val="0"/>
                <w:szCs w:val="21"/>
                <w:lang w:val="zh-CN"/>
              </w:rPr>
              <w:t>款</w:t>
            </w:r>
          </w:p>
        </w:tc>
        <w:tc>
          <w:tcPr>
            <w:tcW w:w="2513" w:type="dxa"/>
            <w:vAlign w:val="center"/>
          </w:tcPr>
          <w:p w14:paraId="759F3DA8">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采购预算、最高限价</w:t>
            </w:r>
          </w:p>
        </w:tc>
        <w:tc>
          <w:tcPr>
            <w:tcW w:w="5235" w:type="dxa"/>
            <w:vAlign w:val="center"/>
          </w:tcPr>
          <w:p w14:paraId="0398FB09">
            <w:pPr>
              <w:adjustRightInd w:val="0"/>
              <w:snapToGrid w:val="0"/>
              <w:spacing w:line="360" w:lineRule="auto"/>
              <w:rPr>
                <w:rFonts w:hint="eastAsia" w:ascii="宋体" w:hAnsi="宋体" w:cs="宋体"/>
                <w:b/>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p w14:paraId="73120D73">
            <w:pPr>
              <w:adjustRightInd w:val="0"/>
              <w:snapToGrid w:val="0"/>
              <w:spacing w:line="360" w:lineRule="auto"/>
              <w:rPr>
                <w:rFonts w:hint="eastAsia" w:asciiTheme="minorEastAsia" w:hAnsiTheme="minorEastAsia" w:eastAsiaTheme="minorEastAsia"/>
                <w:szCs w:val="21"/>
              </w:rPr>
            </w:pPr>
            <w:r>
              <w:rPr>
                <w:rFonts w:hint="eastAsia" w:ascii="宋体" w:hAnsi="宋体" w:cs="宋体"/>
                <w:b/>
                <w:color w:val="000000" w:themeColor="text1"/>
                <w:szCs w:val="21"/>
                <w14:textFill>
                  <w14:solidFill>
                    <w14:schemeClr w14:val="tx1"/>
                  </w14:solidFill>
                </w14:textFill>
              </w:rPr>
              <w:t>★注：投标报价不得超过采购预算或者最高限价，否则投标无效。</w:t>
            </w:r>
          </w:p>
        </w:tc>
      </w:tr>
      <w:tr w14:paraId="0290B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05A49817">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第13.8款</w:t>
            </w:r>
          </w:p>
        </w:tc>
        <w:tc>
          <w:tcPr>
            <w:tcW w:w="2513" w:type="dxa"/>
            <w:vAlign w:val="center"/>
          </w:tcPr>
          <w:p w14:paraId="5B658E6E">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投标报价的其他要求</w:t>
            </w:r>
          </w:p>
        </w:tc>
        <w:tc>
          <w:tcPr>
            <w:tcW w:w="5235" w:type="dxa"/>
            <w:vAlign w:val="center"/>
          </w:tcPr>
          <w:p w14:paraId="0CB00C48">
            <w:pPr>
              <w:adjustRightInd w:val="0"/>
              <w:snapToGrid w:val="0"/>
              <w:spacing w:line="36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（一）投标文件中开标一览表（报价表）内容与投标文件中相应内容不一致的，以开标一览表（报价表）为准；</w:t>
            </w:r>
          </w:p>
          <w:p w14:paraId="476C53CE">
            <w:pPr>
              <w:adjustRightInd w:val="0"/>
              <w:snapToGrid w:val="0"/>
              <w:spacing w:line="36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（二）大写金额和小写金额不一致的，以大写金额为准；</w:t>
            </w:r>
          </w:p>
          <w:p w14:paraId="7AFE2181">
            <w:pPr>
              <w:adjustRightInd w:val="0"/>
              <w:snapToGrid w:val="0"/>
              <w:spacing w:line="36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（三）单价金额小数点或者百分比有明显错位的，以开标一览表的总价为准，并修改单价；</w:t>
            </w:r>
          </w:p>
          <w:p w14:paraId="15F88DE6">
            <w:pPr>
              <w:adjustRightInd w:val="0"/>
              <w:snapToGrid w:val="0"/>
              <w:spacing w:line="36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四</w:t>
            </w:r>
            <w:r>
              <w:rPr>
                <w:rFonts w:hint="eastAsia" w:asciiTheme="minorEastAsia" w:hAnsiTheme="minorEastAsia" w:eastAsiaTheme="minorEastAsia"/>
                <w:color w:val="000000" w:themeColor="text1"/>
                <w:szCs w:val="21"/>
                <w:lang w:eastAsia="zh-CN"/>
                <w14:textFill>
                  <w14:solidFill>
                    <w14:schemeClr w14:val="tx1"/>
                  </w14:solidFill>
                </w14:textFill>
              </w:rPr>
              <w:t>）</w:t>
            </w:r>
            <w:r>
              <w:rPr>
                <w:rFonts w:hint="eastAsia" w:asciiTheme="minorEastAsia" w:hAnsiTheme="minorEastAsia" w:eastAsiaTheme="minorEastAsia"/>
                <w:color w:val="000000" w:themeColor="text1"/>
                <w:szCs w:val="21"/>
                <w14:textFill>
                  <w14:solidFill>
                    <w14:schemeClr w14:val="tx1"/>
                  </w14:solidFill>
                </w14:textFill>
              </w:rPr>
              <w:t>总价金额与按单价汇总金额不一致的，以单价金额计算结果为准。</w:t>
            </w:r>
          </w:p>
          <w:p w14:paraId="5972B9B8">
            <w:pPr>
              <w:pStyle w:val="19"/>
              <w:spacing w:line="240" w:lineRule="auto"/>
              <w:rPr>
                <w:rFonts w:hint="eastAsia"/>
              </w:rPr>
            </w:pPr>
            <w:r>
              <w:rPr>
                <w:rFonts w:hint="eastAsia"/>
                <w:lang w:val="en-US" w:eastAsia="zh-CN"/>
              </w:rPr>
              <w:t>（五）、</w:t>
            </w:r>
            <w:r>
              <w:rPr>
                <w:rFonts w:hint="eastAsia"/>
              </w:rPr>
              <w:t>根据财政部财库〔2026〕2 号文规定，出现下列情形之一的，评审委员会应当启动异常投标（响应审查）程序：</w:t>
            </w:r>
          </w:p>
          <w:p w14:paraId="3F8EE303">
            <w:pPr>
              <w:pStyle w:val="19"/>
              <w:spacing w:line="240" w:lineRule="auto"/>
              <w:rPr>
                <w:rFonts w:hint="eastAsia"/>
              </w:rPr>
            </w:pPr>
            <w:r>
              <w:rPr>
                <w:rFonts w:hint="eastAsia"/>
              </w:rPr>
              <w:t>1.投标（响应）报价低于全部通过符合性审查供应商投标（响应）报价平均值 50% 的，即投标（响应）报价&lt;全部通过符合性审查供应商投标（响应 ) 报价平均值×50%；</w:t>
            </w:r>
          </w:p>
          <w:p w14:paraId="01A31D37">
            <w:pPr>
              <w:pStyle w:val="19"/>
              <w:spacing w:line="240" w:lineRule="auto"/>
              <w:rPr>
                <w:rFonts w:hint="eastAsia"/>
              </w:rPr>
            </w:pPr>
            <w:r>
              <w:rPr>
                <w:rFonts w:hint="eastAsia"/>
              </w:rPr>
              <w:t>2.投标（响应）报价低于通过符合性审查的次低报价供应商投标（响应）报价 50% 的，即投标（响应）报价&lt;通过符合性审查的次低报价供应商投标（响应）报价× 50%；</w:t>
            </w:r>
          </w:p>
          <w:p w14:paraId="33F409D1">
            <w:pPr>
              <w:pStyle w:val="19"/>
              <w:spacing w:line="240" w:lineRule="auto"/>
              <w:rPr>
                <w:rFonts w:hint="eastAsia"/>
              </w:rPr>
            </w:pPr>
            <w:r>
              <w:rPr>
                <w:rFonts w:hint="eastAsia"/>
              </w:rPr>
              <w:t>3.投标（响应）报价低于采购项目最高限价 45% 的，即投标（响应）报价&lt;采购项目最高限价× 45% ；</w:t>
            </w:r>
          </w:p>
          <w:p w14:paraId="5D961164">
            <w:pPr>
              <w:pStyle w:val="19"/>
              <w:spacing w:line="240" w:lineRule="auto"/>
              <w:rPr>
                <w:rFonts w:hint="eastAsia"/>
              </w:rPr>
            </w:pPr>
            <w:r>
              <w:rPr>
                <w:rFonts w:hint="eastAsia"/>
              </w:rPr>
              <w:t>4.评审委员会基于专业判断，认为供应商报价过低，有可能影响产品质量或者不能诚信履约的其他情形。</w:t>
            </w:r>
          </w:p>
          <w:p w14:paraId="5A0A3B51">
            <w:pPr>
              <w:pStyle w:val="19"/>
              <w:spacing w:line="240" w:lineRule="auto"/>
              <w:rPr>
                <w:rFonts w:hint="eastAsia"/>
              </w:rPr>
            </w:pPr>
            <w:r>
              <w:rPr>
                <w:rFonts w:hint="eastAsia"/>
              </w:rPr>
              <w:t>5.相关法律法规对供应商报价有规定的，从其规定。</w:t>
            </w:r>
          </w:p>
          <w:p w14:paraId="54FAF607">
            <w:pPr>
              <w:pStyle w:val="19"/>
              <w:spacing w:line="240" w:lineRule="auto"/>
              <w:rPr>
                <w:rFonts w:hint="eastAsia"/>
              </w:rPr>
            </w:pPr>
            <w:r>
              <w:rPr>
                <w:rFonts w:hint="eastAsia"/>
              </w:rPr>
              <w:t>评标委员会认为投标人的报价出现上述情况，有可能影响服务质量或者不能诚信履约的，可要求其在合理时间内采用数据电文形式，并根据要求进行签章，提供书面说明，必要时提交相关证明材料，或者提供的证明材料不完整、不准确或与本采购项目不相关的；投标人不能证明其报价合理性的，评标委员会将其作为无效投标处理。</w:t>
            </w:r>
          </w:p>
        </w:tc>
      </w:tr>
      <w:tr w14:paraId="476D24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442EF1E1">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第14.1款</w:t>
            </w:r>
          </w:p>
        </w:tc>
        <w:tc>
          <w:tcPr>
            <w:tcW w:w="2513" w:type="dxa"/>
            <w:vAlign w:val="center"/>
          </w:tcPr>
          <w:p w14:paraId="14F5B53D">
            <w:pPr>
              <w:adjustRightInd w:val="0"/>
              <w:snapToGrid w:val="0"/>
              <w:spacing w:line="360" w:lineRule="auto"/>
              <w:rPr>
                <w:rFonts w:hint="eastAsia" w:asciiTheme="minorEastAsia" w:hAnsiTheme="minorEastAsia" w:eastAsiaTheme="minorEastAsia"/>
                <w:bCs/>
                <w:szCs w:val="21"/>
              </w:rPr>
            </w:pPr>
            <w:r>
              <w:rPr>
                <w:rFonts w:hint="eastAsia" w:asciiTheme="minorEastAsia" w:hAnsiTheme="minorEastAsia" w:eastAsiaTheme="minorEastAsia"/>
                <w:szCs w:val="21"/>
              </w:rPr>
              <w:t>投标人应提供资格审查资料</w:t>
            </w:r>
          </w:p>
        </w:tc>
        <w:tc>
          <w:tcPr>
            <w:tcW w:w="5235" w:type="dxa"/>
            <w:vAlign w:val="center"/>
          </w:tcPr>
          <w:p w14:paraId="570F25B6">
            <w:pPr>
              <w:adjustRightInd w:val="0"/>
              <w:snapToGrid w:val="0"/>
              <w:spacing w:line="360" w:lineRule="auto"/>
              <w:rPr>
                <w:rFonts w:hint="eastAsia" w:ascii="宋体" w:hAnsi="宋体"/>
                <w:bCs/>
                <w:color w:val="0000FF"/>
                <w:szCs w:val="21"/>
              </w:rPr>
            </w:pPr>
            <w:r>
              <w:rPr>
                <w:rFonts w:hint="eastAsia" w:hAnsi="宋体"/>
                <w:color w:val="000000" w:themeColor="text1"/>
                <w:szCs w:val="21"/>
                <w14:textFill>
                  <w14:solidFill>
                    <w14:schemeClr w14:val="tx1"/>
                  </w14:solidFill>
                </w14:textFill>
              </w:rPr>
              <w:t>详见资格审查表</w:t>
            </w:r>
          </w:p>
        </w:tc>
      </w:tr>
      <w:tr w14:paraId="0974FB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35184A0B">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第14.1(3)项</w:t>
            </w:r>
          </w:p>
        </w:tc>
        <w:tc>
          <w:tcPr>
            <w:tcW w:w="2513" w:type="dxa"/>
            <w:vAlign w:val="center"/>
          </w:tcPr>
          <w:p w14:paraId="2A58E62D">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特定资格条件应提供的资格审查资料</w:t>
            </w:r>
          </w:p>
        </w:tc>
        <w:tc>
          <w:tcPr>
            <w:tcW w:w="5235" w:type="dxa"/>
            <w:vAlign w:val="center"/>
          </w:tcPr>
          <w:p w14:paraId="5BE9FA75">
            <w:pPr>
              <w:adjustRightInd w:val="0"/>
              <w:snapToGrid w:val="0"/>
              <w:spacing w:line="420" w:lineRule="exact"/>
              <w:rPr>
                <w:rFonts w:hint="eastAsia" w:hAnsi="宋体"/>
                <w:color w:val="0000FF"/>
                <w:szCs w:val="21"/>
              </w:rPr>
            </w:pPr>
            <w:r>
              <w:rPr>
                <w:rFonts w:hint="eastAsia" w:hAnsi="宋体"/>
                <w:color w:val="000000" w:themeColor="text1"/>
                <w:szCs w:val="21"/>
                <w14:textFill>
                  <w14:solidFill>
                    <w14:schemeClr w14:val="tx1"/>
                  </w14:solidFill>
                </w14:textFill>
              </w:rPr>
              <w:t>详见资格审查表</w:t>
            </w:r>
          </w:p>
        </w:tc>
      </w:tr>
      <w:tr w14:paraId="0869E1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33" w:hRule="atLeast"/>
        </w:trPr>
        <w:tc>
          <w:tcPr>
            <w:tcW w:w="1560" w:type="dxa"/>
            <w:vAlign w:val="center"/>
          </w:tcPr>
          <w:p w14:paraId="18E99CEE">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第15.3款</w:t>
            </w:r>
          </w:p>
        </w:tc>
        <w:tc>
          <w:tcPr>
            <w:tcW w:w="2513" w:type="dxa"/>
            <w:vAlign w:val="center"/>
          </w:tcPr>
          <w:p w14:paraId="3B5D1653">
            <w:pPr>
              <w:adjustRightInd w:val="0"/>
              <w:snapToGrid w:val="0"/>
              <w:spacing w:line="360" w:lineRule="auto"/>
              <w:rPr>
                <w:rFonts w:hint="eastAsia" w:asciiTheme="minorEastAsia" w:hAnsiTheme="minorEastAsia" w:eastAsiaTheme="minorEastAsia"/>
                <w:szCs w:val="21"/>
              </w:rPr>
            </w:pPr>
            <w:r>
              <w:rPr>
                <w:rFonts w:hint="eastAsia" w:ascii="宋体" w:hAnsi="宋体"/>
                <w:szCs w:val="21"/>
              </w:rPr>
              <w:t>样品提供的规定</w:t>
            </w:r>
          </w:p>
        </w:tc>
        <w:tc>
          <w:tcPr>
            <w:tcW w:w="5235" w:type="dxa"/>
            <w:vAlign w:val="center"/>
          </w:tcPr>
          <w:p w14:paraId="378E9A9B">
            <w:pPr>
              <w:adjustRightInd w:val="0"/>
              <w:snapToGrid w:val="0"/>
              <w:spacing w:before="156" w:beforeLines="50" w:line="360" w:lineRule="auto"/>
              <w:rPr>
                <w:rFonts w:hint="eastAsia" w:ascii="宋体" w:hAnsi="宋体"/>
                <w:szCs w:val="21"/>
              </w:rPr>
            </w:pPr>
            <w:r>
              <w:rPr>
                <w:rFonts w:hint="eastAsia" w:ascii="宋体" w:hAnsi="宋体"/>
                <w:szCs w:val="21"/>
              </w:rPr>
              <w:sym w:font="Wingdings 2" w:char="F052"/>
            </w:r>
            <w:r>
              <w:rPr>
                <w:rFonts w:hint="eastAsia" w:ascii="宋体" w:hAnsi="宋体"/>
                <w:szCs w:val="21"/>
              </w:rPr>
              <w:t xml:space="preserve"> 不要求提供</w:t>
            </w:r>
          </w:p>
          <w:p w14:paraId="369AD6BF">
            <w:pPr>
              <w:adjustRightInd w:val="0"/>
              <w:snapToGrid w:val="0"/>
              <w:spacing w:before="156" w:beforeLines="50" w:line="360" w:lineRule="auto"/>
              <w:rPr>
                <w:rFonts w:hint="eastAsia" w:ascii="宋体" w:hAnsi="宋体"/>
                <w:szCs w:val="21"/>
              </w:rPr>
            </w:pPr>
            <w:r>
              <w:rPr>
                <w:rFonts w:hint="eastAsia" w:ascii="宋体" w:hAnsi="宋体"/>
                <w:szCs w:val="21"/>
              </w:rPr>
              <w:t>□ 要求提供，提交的时间：</w:t>
            </w:r>
            <w:r>
              <w:rPr>
                <w:rFonts w:hint="eastAsia" w:ascii="宋体" w:hAnsi="宋体"/>
                <w:szCs w:val="21"/>
                <w:u w:val="single"/>
              </w:rPr>
              <w:t xml:space="preserve">           </w:t>
            </w:r>
            <w:r>
              <w:rPr>
                <w:rFonts w:hint="eastAsia" w:ascii="宋体" w:hAnsi="宋体"/>
                <w:szCs w:val="21"/>
              </w:rPr>
              <w:t xml:space="preserve"> 地点</w:t>
            </w:r>
            <w:r>
              <w:rPr>
                <w:rFonts w:hint="eastAsia" w:ascii="宋体" w:hAnsi="宋体"/>
                <w:szCs w:val="21"/>
                <w:u w:val="single"/>
              </w:rPr>
              <w:t xml:space="preserve">               </w:t>
            </w:r>
            <w:r>
              <w:rPr>
                <w:rFonts w:hint="eastAsia" w:ascii="宋体" w:hAnsi="宋体"/>
                <w:szCs w:val="21"/>
              </w:rPr>
              <w:t xml:space="preserve"> 。</w:t>
            </w:r>
          </w:p>
          <w:p w14:paraId="6CB97C09">
            <w:pPr>
              <w:adjustRightInd w:val="0"/>
              <w:snapToGrid w:val="0"/>
              <w:spacing w:before="156" w:beforeLines="50" w:line="360" w:lineRule="auto"/>
              <w:rPr>
                <w:rFonts w:hint="eastAsia" w:ascii="宋体" w:hAnsi="宋体"/>
                <w:szCs w:val="21"/>
              </w:rPr>
            </w:pPr>
            <w:r>
              <w:rPr>
                <w:rFonts w:hint="eastAsia" w:ascii="宋体" w:hAnsi="宋体"/>
                <w:szCs w:val="21"/>
              </w:rPr>
              <w:t>1、样品制作的标准和要求、是否需要随样品提交相关检测报告、样品的评审方法以及评审标准详见第三章及第四章。</w:t>
            </w:r>
          </w:p>
          <w:p w14:paraId="6AA2DDF4">
            <w:pPr>
              <w:adjustRightInd w:val="0"/>
              <w:snapToGrid w:val="0"/>
              <w:spacing w:before="156" w:beforeLines="50" w:line="360" w:lineRule="auto"/>
              <w:rPr>
                <w:rFonts w:hint="eastAsia" w:ascii="宋体" w:hAnsi="宋体"/>
                <w:szCs w:val="21"/>
              </w:rPr>
            </w:pPr>
            <w:r>
              <w:rPr>
                <w:rFonts w:hint="eastAsia" w:ascii="宋体" w:hAnsi="宋体"/>
                <w:szCs w:val="21"/>
              </w:rPr>
              <w:t>2、中标人提供的样品保管、封存规定：</w:t>
            </w:r>
          </w:p>
          <w:p w14:paraId="4FEFB23C">
            <w:pPr>
              <w:adjustRightInd w:val="0"/>
              <w:snapToGrid w:val="0"/>
              <w:spacing w:line="360" w:lineRule="auto"/>
              <w:rPr>
                <w:rFonts w:hint="eastAsia" w:asciiTheme="minorEastAsia" w:hAnsiTheme="minorEastAsia" w:eastAsiaTheme="minorEastAsia"/>
                <w:szCs w:val="21"/>
              </w:rPr>
            </w:pPr>
            <w:r>
              <w:rPr>
                <w:rFonts w:hint="eastAsia" w:ascii="宋体" w:hAnsi="宋体"/>
                <w:szCs w:val="21"/>
              </w:rPr>
              <w:t>__________________________________________</w:t>
            </w:r>
          </w:p>
        </w:tc>
      </w:tr>
      <w:tr w14:paraId="2A61CB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AE96012">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第16.1</w:t>
            </w:r>
            <w:r>
              <w:rPr>
                <w:rFonts w:hint="eastAsia" w:cs="宋体" w:asciiTheme="minorEastAsia" w:hAnsiTheme="minorEastAsia" w:eastAsiaTheme="minorEastAsia"/>
                <w:kern w:val="0"/>
                <w:szCs w:val="21"/>
                <w:lang w:val="zh-CN"/>
              </w:rPr>
              <w:t>款</w:t>
            </w:r>
          </w:p>
        </w:tc>
        <w:tc>
          <w:tcPr>
            <w:tcW w:w="2513" w:type="dxa"/>
            <w:vAlign w:val="center"/>
          </w:tcPr>
          <w:p w14:paraId="5C31AD96">
            <w:pPr>
              <w:adjustRightInd w:val="0"/>
              <w:snapToGrid w:val="0"/>
              <w:spacing w:line="360" w:lineRule="auto"/>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投标有效期</w:t>
            </w:r>
          </w:p>
        </w:tc>
        <w:tc>
          <w:tcPr>
            <w:tcW w:w="5235" w:type="dxa"/>
            <w:vAlign w:val="center"/>
          </w:tcPr>
          <w:p w14:paraId="518D1C27">
            <w:pPr>
              <w:adjustRightInd w:val="0"/>
              <w:snapToGrid w:val="0"/>
              <w:spacing w:line="360" w:lineRule="auto"/>
              <w:rPr>
                <w:rFonts w:hint="eastAsia" w:asciiTheme="minorEastAsia" w:hAnsiTheme="minorEastAsia" w:eastAsiaTheme="minorEastAsia"/>
                <w:bCs/>
                <w:szCs w:val="21"/>
              </w:rPr>
            </w:pPr>
            <w:r>
              <w:rPr>
                <w:rFonts w:hint="eastAsia" w:asciiTheme="minorEastAsia" w:hAnsiTheme="minorEastAsia" w:eastAsiaTheme="minorEastAsia"/>
                <w:bCs/>
                <w:color w:val="000000" w:themeColor="text1"/>
                <w:szCs w:val="21"/>
                <w:u w:val="single"/>
                <w14:textFill>
                  <w14:solidFill>
                    <w14:schemeClr w14:val="tx1"/>
                  </w14:solidFill>
                </w14:textFill>
              </w:rPr>
              <w:t xml:space="preserve">  90 </w:t>
            </w:r>
            <w:r>
              <w:rPr>
                <w:rFonts w:hint="eastAsia" w:asciiTheme="minorEastAsia" w:hAnsiTheme="minorEastAsia" w:eastAsiaTheme="minorEastAsia"/>
                <w:bCs/>
                <w:szCs w:val="21"/>
                <w:u w:val="single"/>
              </w:rPr>
              <w:t xml:space="preserve"> </w:t>
            </w:r>
            <w:r>
              <w:rPr>
                <w:rFonts w:hint="eastAsia" w:asciiTheme="minorEastAsia" w:hAnsiTheme="minorEastAsia" w:eastAsiaTheme="minorEastAsia"/>
                <w:bCs/>
                <w:szCs w:val="21"/>
              </w:rPr>
              <w:t>日（日历日），如投标有效期不足的，在评标时将视为无效投标。</w:t>
            </w:r>
          </w:p>
        </w:tc>
      </w:tr>
      <w:tr w14:paraId="2BA14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756AD778">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第17.1</w:t>
            </w:r>
            <w:r>
              <w:rPr>
                <w:rFonts w:hint="eastAsia" w:cs="宋体" w:asciiTheme="minorEastAsia" w:hAnsiTheme="minorEastAsia" w:eastAsiaTheme="minorEastAsia"/>
                <w:kern w:val="0"/>
                <w:szCs w:val="21"/>
                <w:lang w:val="zh-CN"/>
              </w:rPr>
              <w:t>款</w:t>
            </w:r>
          </w:p>
        </w:tc>
        <w:tc>
          <w:tcPr>
            <w:tcW w:w="2513" w:type="dxa"/>
            <w:vAlign w:val="center"/>
          </w:tcPr>
          <w:p w14:paraId="02C65361">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bCs/>
                <w:szCs w:val="21"/>
              </w:rPr>
              <w:t>分包</w:t>
            </w:r>
          </w:p>
        </w:tc>
        <w:tc>
          <w:tcPr>
            <w:tcW w:w="5235" w:type="dxa"/>
            <w:vAlign w:val="center"/>
          </w:tcPr>
          <w:p w14:paraId="3BD1BCF9">
            <w:pPr>
              <w:pStyle w:val="26"/>
              <w:jc w:val="both"/>
              <w:rPr>
                <w:rFonts w:ascii="宋体" w:eastAsia="宋体" w:cs="宋体"/>
                <w:sz w:val="21"/>
                <w:szCs w:val="21"/>
              </w:rPr>
            </w:pPr>
            <w:r>
              <w:rPr>
                <w:szCs w:val="21"/>
              </w:rPr>
              <w:sym w:font="Wingdings 2" w:char="F052"/>
            </w:r>
            <w:r>
              <w:rPr>
                <w:rFonts w:hint="eastAsia" w:ascii="宋体" w:eastAsia="宋体" w:cs="宋体"/>
                <w:sz w:val="21"/>
                <w:szCs w:val="21"/>
              </w:rPr>
              <w:t>不允许</w:t>
            </w:r>
          </w:p>
          <w:p w14:paraId="748DC468">
            <w:pPr>
              <w:adjustRightInd w:val="0"/>
              <w:snapToGrid w:val="0"/>
              <w:spacing w:line="360" w:lineRule="auto"/>
              <w:rPr>
                <w:rFonts w:ascii="宋体" w:cs="宋体"/>
                <w:szCs w:val="21"/>
              </w:rPr>
            </w:pPr>
            <w:r>
              <w:rPr>
                <w:rFonts w:hint="eastAsia" w:ascii="宋体" w:cs="宋体"/>
                <w:szCs w:val="21"/>
              </w:rPr>
              <w:t>□允许：分包内容：</w:t>
            </w:r>
          </w:p>
        </w:tc>
      </w:tr>
      <w:tr w14:paraId="3BE1D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308" w:type="dxa"/>
            <w:gridSpan w:val="3"/>
            <w:vAlign w:val="center"/>
          </w:tcPr>
          <w:p w14:paraId="0CC96246">
            <w:pPr>
              <w:adjustRightInd w:val="0"/>
              <w:snapToGrid w:val="0"/>
              <w:spacing w:line="360" w:lineRule="auto"/>
              <w:rPr>
                <w:rFonts w:hint="eastAsia" w:asciiTheme="minorEastAsia" w:hAnsiTheme="minorEastAsia" w:eastAsiaTheme="minorEastAsia"/>
                <w:b/>
                <w:bCs/>
                <w:szCs w:val="21"/>
              </w:rPr>
            </w:pPr>
            <w:r>
              <w:rPr>
                <w:rFonts w:hint="eastAsia" w:asciiTheme="minorEastAsia" w:hAnsiTheme="minorEastAsia" w:eastAsiaTheme="minorEastAsia"/>
                <w:b/>
                <w:szCs w:val="21"/>
              </w:rPr>
              <w:t>四、投标</w:t>
            </w:r>
          </w:p>
        </w:tc>
      </w:tr>
      <w:tr w14:paraId="2EA7E1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6E26397F">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第19.1</w:t>
            </w:r>
            <w:r>
              <w:rPr>
                <w:rFonts w:hint="eastAsia" w:cs="宋体" w:asciiTheme="minorEastAsia" w:hAnsiTheme="minorEastAsia" w:eastAsiaTheme="minorEastAsia"/>
                <w:kern w:val="0"/>
                <w:szCs w:val="21"/>
                <w:lang w:val="zh-CN"/>
              </w:rPr>
              <w:t>款</w:t>
            </w:r>
          </w:p>
        </w:tc>
        <w:tc>
          <w:tcPr>
            <w:tcW w:w="2513" w:type="dxa"/>
            <w:vAlign w:val="center"/>
          </w:tcPr>
          <w:p w14:paraId="02CDC71E">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投标截止时间（开标时间）</w:t>
            </w:r>
          </w:p>
        </w:tc>
        <w:tc>
          <w:tcPr>
            <w:tcW w:w="5235" w:type="dxa"/>
            <w:vAlign w:val="center"/>
          </w:tcPr>
          <w:p w14:paraId="0F19FED0">
            <w:pPr>
              <w:adjustRightInd w:val="0"/>
              <w:snapToGrid w:val="0"/>
              <w:spacing w:line="360" w:lineRule="auto"/>
              <w:rPr>
                <w:rFonts w:hint="eastAsia" w:asciiTheme="minorEastAsia" w:hAnsiTheme="minorEastAsia" w:eastAsiaTheme="minorEastAsia"/>
                <w:bCs/>
                <w:color w:val="FF0000"/>
                <w:szCs w:val="21"/>
              </w:rPr>
            </w:pPr>
            <w:r>
              <w:rPr>
                <w:rFonts w:hint="eastAsia" w:hAnsi="宋体"/>
                <w:color w:val="000000" w:themeColor="text1"/>
                <w:szCs w:val="21"/>
                <w14:textFill>
                  <w14:solidFill>
                    <w14:schemeClr w14:val="tx1"/>
                  </w14:solidFill>
                </w14:textFill>
              </w:rPr>
              <w:t>详见第一章</w:t>
            </w:r>
            <w:r>
              <w:rPr>
                <w:rFonts w:hint="eastAsia" w:ascii="宋体" w:hAnsi="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投标邀请</w:t>
            </w:r>
            <w:r>
              <w:rPr>
                <w:rFonts w:hint="eastAsia" w:ascii="宋体" w:hAnsi="宋体"/>
                <w:color w:val="000000" w:themeColor="text1"/>
                <w:szCs w:val="21"/>
                <w14:textFill>
                  <w14:solidFill>
                    <w14:schemeClr w14:val="tx1"/>
                  </w14:solidFill>
                </w14:textFill>
              </w:rPr>
              <w:t>】</w:t>
            </w:r>
          </w:p>
        </w:tc>
      </w:tr>
      <w:tr w14:paraId="6166CD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308" w:type="dxa"/>
            <w:gridSpan w:val="3"/>
            <w:vAlign w:val="center"/>
          </w:tcPr>
          <w:p w14:paraId="0897F39B">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b/>
                <w:bCs/>
                <w:szCs w:val="21"/>
              </w:rPr>
              <w:t>五、开标、资格审查和评标</w:t>
            </w:r>
          </w:p>
        </w:tc>
      </w:tr>
      <w:tr w14:paraId="4B577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8BBB9E6">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第22.1款</w:t>
            </w:r>
          </w:p>
        </w:tc>
        <w:tc>
          <w:tcPr>
            <w:tcW w:w="2513" w:type="dxa"/>
            <w:vAlign w:val="center"/>
          </w:tcPr>
          <w:p w14:paraId="4D74C7CC">
            <w:pPr>
              <w:adjustRightInd w:val="0"/>
              <w:snapToGrid w:val="0"/>
              <w:spacing w:before="156" w:beforeLines="50" w:line="360" w:lineRule="auto"/>
              <w:rPr>
                <w:rFonts w:ascii="宋体"/>
                <w:szCs w:val="21"/>
              </w:rPr>
            </w:pPr>
            <w:r>
              <w:rPr>
                <w:rFonts w:hint="eastAsia" w:ascii="宋体" w:hAnsi="宋体" w:cs="宋体"/>
                <w:szCs w:val="21"/>
              </w:rPr>
              <w:t>解密电子投标文件时限及方式</w:t>
            </w:r>
          </w:p>
        </w:tc>
        <w:tc>
          <w:tcPr>
            <w:tcW w:w="5235" w:type="dxa"/>
            <w:vAlign w:val="center"/>
          </w:tcPr>
          <w:p w14:paraId="4C89A9B5">
            <w:pPr>
              <w:adjustRightInd w:val="0"/>
              <w:snapToGrid w:val="0"/>
              <w:spacing w:before="156" w:beforeLines="50" w:line="360" w:lineRule="auto"/>
              <w:rPr>
                <w:rFonts w:ascii="宋体"/>
                <w:szCs w:val="21"/>
              </w:rPr>
            </w:pPr>
            <w:r>
              <w:rPr>
                <w:rFonts w:hint="eastAsia" w:ascii="宋体" w:hAnsi="宋体" w:cs="宋体"/>
                <w:szCs w:val="21"/>
              </w:rPr>
              <w:t>投标人使用加密投标文件的CA数字证书在投标截止时间起</w:t>
            </w:r>
            <w:r>
              <w:rPr>
                <w:rFonts w:hint="eastAsia" w:ascii="宋体" w:hAnsi="宋体" w:cs="宋体"/>
                <w:szCs w:val="21"/>
                <w:u w:val="single"/>
              </w:rPr>
              <w:t xml:space="preserve"> 30 </w:t>
            </w:r>
            <w:r>
              <w:rPr>
                <w:rFonts w:hint="eastAsia" w:ascii="宋体" w:hAnsi="宋体" w:cs="宋体"/>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050EA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308" w:type="dxa"/>
            <w:gridSpan w:val="3"/>
            <w:vAlign w:val="center"/>
          </w:tcPr>
          <w:p w14:paraId="606B0FCC">
            <w:pPr>
              <w:adjustRightInd w:val="0"/>
              <w:snapToGrid w:val="0"/>
              <w:spacing w:line="360" w:lineRule="auto"/>
              <w:rPr>
                <w:rFonts w:hint="eastAsia" w:asciiTheme="minorEastAsia" w:hAnsiTheme="minorEastAsia" w:eastAsiaTheme="minorEastAsia"/>
                <w:b/>
                <w:szCs w:val="21"/>
              </w:rPr>
            </w:pPr>
            <w:r>
              <w:rPr>
                <w:rFonts w:hint="eastAsia" w:asciiTheme="minorEastAsia" w:hAnsiTheme="minorEastAsia" w:eastAsiaTheme="minorEastAsia"/>
                <w:b/>
                <w:szCs w:val="21"/>
              </w:rPr>
              <w:t>六、中标信息公布</w:t>
            </w:r>
          </w:p>
        </w:tc>
      </w:tr>
      <w:tr w14:paraId="6B82AD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904DF7F">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第26.2</w:t>
            </w:r>
            <w:r>
              <w:rPr>
                <w:rFonts w:hint="eastAsia" w:cs="宋体" w:asciiTheme="minorEastAsia" w:hAnsiTheme="minorEastAsia" w:eastAsiaTheme="minorEastAsia"/>
                <w:kern w:val="0"/>
                <w:szCs w:val="21"/>
                <w:lang w:val="zh-CN"/>
              </w:rPr>
              <w:t>款</w:t>
            </w:r>
          </w:p>
        </w:tc>
        <w:tc>
          <w:tcPr>
            <w:tcW w:w="2513" w:type="dxa"/>
            <w:vAlign w:val="center"/>
          </w:tcPr>
          <w:p w14:paraId="2322AF4B">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5235" w:type="dxa"/>
            <w:vAlign w:val="center"/>
          </w:tcPr>
          <w:p w14:paraId="66912271">
            <w:pPr>
              <w:adjustRightInd w:val="0"/>
              <w:snapToGrid w:val="0"/>
              <w:spacing w:line="360" w:lineRule="auto"/>
              <w:rPr>
                <w:rFonts w:hint="eastAsia" w:asciiTheme="minorEastAsia" w:hAnsiTheme="minorEastAsia" w:eastAsiaTheme="minorEastAsia"/>
                <w:szCs w:val="21"/>
                <w:u w:val="single"/>
              </w:rPr>
            </w:pPr>
            <w:r>
              <w:rPr>
                <w:rFonts w:hint="eastAsia" w:ascii="宋体" w:hAnsi="宋体" w:cs="宋体"/>
                <w:kern w:val="0"/>
                <w:szCs w:val="21"/>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tc>
      </w:tr>
      <w:tr w14:paraId="6CE5C6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0478350">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第27.3</w:t>
            </w:r>
            <w:r>
              <w:rPr>
                <w:rFonts w:hint="eastAsia" w:cs="宋体" w:asciiTheme="minorEastAsia" w:hAnsiTheme="minorEastAsia" w:eastAsiaTheme="minorEastAsia"/>
                <w:kern w:val="0"/>
                <w:szCs w:val="21"/>
                <w:lang w:val="zh-CN"/>
              </w:rPr>
              <w:t>款</w:t>
            </w:r>
          </w:p>
        </w:tc>
        <w:tc>
          <w:tcPr>
            <w:tcW w:w="2513" w:type="dxa"/>
            <w:vAlign w:val="center"/>
          </w:tcPr>
          <w:p w14:paraId="3470DC46">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接收质疑函的联系部门、联系电话和通讯地址</w:t>
            </w:r>
          </w:p>
        </w:tc>
        <w:tc>
          <w:tcPr>
            <w:tcW w:w="5235" w:type="dxa"/>
            <w:vAlign w:val="center"/>
          </w:tcPr>
          <w:p w14:paraId="411DCB14">
            <w:pPr>
              <w:adjustRightInd w:val="0"/>
              <w:snapToGrid w:val="0"/>
              <w:spacing w:line="360" w:lineRule="auto"/>
              <w:rPr>
                <w:rFonts w:hint="eastAsia"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val="en-US" w:eastAsia="zh-CN"/>
                <w14:textFill>
                  <w14:solidFill>
                    <w14:schemeClr w14:val="tx1"/>
                  </w14:solidFill>
                </w14:textFill>
              </w:rPr>
              <w:t>1、采购人</w:t>
            </w:r>
          </w:p>
          <w:p w14:paraId="73DA3781">
            <w:pPr>
              <w:adjustRightInd w:val="0"/>
              <w:snapToGrid w:val="0"/>
              <w:spacing w:line="360" w:lineRule="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联系部门：郴州市数据局</w:t>
            </w:r>
          </w:p>
          <w:p w14:paraId="09031230">
            <w:pPr>
              <w:adjustRightInd w:val="0"/>
              <w:snapToGrid w:val="0"/>
              <w:spacing w:line="360" w:lineRule="auto"/>
              <w:rPr>
                <w:rFonts w:hint="default" w:asciiTheme="minorEastAsia" w:hAnsiTheme="minorEastAsia" w:eastAsiaTheme="minorEastAsia"/>
                <w:color w:val="000000" w:themeColor="text1"/>
                <w:szCs w:val="21"/>
                <w:lang w:val="en-US"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联系电话：</w:t>
            </w:r>
            <w:r>
              <w:rPr>
                <w:rFonts w:hint="eastAsia" w:asciiTheme="minorEastAsia" w:hAnsiTheme="minorEastAsia" w:eastAsiaTheme="minorEastAsia"/>
                <w:color w:val="000000" w:themeColor="text1"/>
                <w:szCs w:val="21"/>
                <w:lang w:val="en-US" w:eastAsia="zh-CN"/>
                <w14:textFill>
                  <w14:solidFill>
                    <w14:schemeClr w14:val="tx1"/>
                  </w14:solidFill>
                </w14:textFill>
              </w:rPr>
              <w:t xml:space="preserve">18873219298 </w:t>
            </w:r>
          </w:p>
          <w:p w14:paraId="2350E5A0">
            <w:pPr>
              <w:adjustRightInd w:val="0"/>
              <w:snapToGrid w:val="0"/>
              <w:spacing w:line="360" w:lineRule="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lang w:eastAsia="zh-CN"/>
                <w14:textFill>
                  <w14:solidFill>
                    <w14:schemeClr w14:val="tx1"/>
                  </w14:solidFill>
                </w14:textFill>
              </w:rPr>
              <w:t>通讯地址：郴州市青年大道市民服务中心</w:t>
            </w:r>
          </w:p>
          <w:p w14:paraId="4C0462C1">
            <w:pPr>
              <w:adjustRightInd w:val="0"/>
              <w:snapToGrid w:val="0"/>
              <w:spacing w:line="360" w:lineRule="auto"/>
              <w:rPr>
                <w:rFonts w:hint="eastAsia"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2、采购代理机构信息</w:t>
            </w:r>
          </w:p>
          <w:p w14:paraId="663FD204">
            <w:pPr>
              <w:adjustRightInd w:val="0"/>
              <w:snapToGrid w:val="0"/>
              <w:spacing w:line="360" w:lineRule="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联系部门：</w:t>
            </w:r>
            <w:r>
              <w:rPr>
                <w:rFonts w:hint="eastAsia" w:asciiTheme="minorEastAsia" w:hAnsiTheme="minorEastAsia" w:eastAsiaTheme="minorEastAsia"/>
                <w:color w:val="000000" w:themeColor="text1"/>
                <w:szCs w:val="21"/>
                <w:lang w:eastAsia="zh-CN"/>
                <w14:textFill>
                  <w14:solidFill>
                    <w14:schemeClr w14:val="tx1"/>
                  </w14:solidFill>
                </w14:textFill>
              </w:rPr>
              <w:t>湖南信元工程项目管理有限公司</w:t>
            </w:r>
          </w:p>
          <w:p w14:paraId="6EF1DD1B">
            <w:pPr>
              <w:adjustRightInd w:val="0"/>
              <w:snapToGrid w:val="0"/>
              <w:spacing w:line="360" w:lineRule="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通讯地址：</w:t>
            </w:r>
            <w:r>
              <w:rPr>
                <w:rFonts w:hint="eastAsia" w:asciiTheme="minorEastAsia" w:hAnsiTheme="minorEastAsia" w:eastAsiaTheme="minorEastAsia"/>
                <w:color w:val="000000" w:themeColor="text1"/>
                <w:szCs w:val="21"/>
                <w:lang w:eastAsia="zh-CN"/>
                <w14:textFill>
                  <w14:solidFill>
                    <w14:schemeClr w14:val="tx1"/>
                  </w14:solidFill>
                </w14:textFill>
              </w:rPr>
              <w:t>郴州市燕泉路中天大厦502室</w:t>
            </w:r>
          </w:p>
          <w:p w14:paraId="36C238D1">
            <w:pPr>
              <w:adjustRightInd w:val="0"/>
              <w:snapToGrid w:val="0"/>
              <w:spacing w:line="360" w:lineRule="auto"/>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联系电话：</w:t>
            </w:r>
            <w:r>
              <w:rPr>
                <w:rFonts w:hint="eastAsia" w:asciiTheme="minorEastAsia" w:hAnsiTheme="minorEastAsia" w:eastAsiaTheme="minorEastAsia"/>
                <w:color w:val="000000" w:themeColor="text1"/>
                <w:szCs w:val="21"/>
                <w:lang w:eastAsia="zh-CN"/>
                <w14:textFill>
                  <w14:solidFill>
                    <w14:schemeClr w14:val="tx1"/>
                  </w14:solidFill>
                </w14:textFill>
              </w:rPr>
              <w:t>0735-2862088；17708403810</w:t>
            </w:r>
          </w:p>
          <w:p w14:paraId="1BA25B95">
            <w:pPr>
              <w:adjustRightInd w:val="0"/>
              <w:snapToGrid w:val="0"/>
              <w:spacing w:line="360" w:lineRule="auto"/>
              <w:rPr>
                <w:rFonts w:hint="eastAsia" w:asciiTheme="minorEastAsia" w:hAnsiTheme="minorEastAsia" w:eastAsiaTheme="minorEastAsia"/>
                <w:color w:val="0000FF"/>
                <w:szCs w:val="21"/>
                <w:u w:val="single"/>
                <w:lang w:eastAsia="zh-CN"/>
              </w:rPr>
            </w:pPr>
            <w:r>
              <w:rPr>
                <w:rFonts w:hint="eastAsia" w:asciiTheme="minorEastAsia" w:hAnsiTheme="minorEastAsia" w:eastAsiaTheme="minorEastAsia"/>
                <w:b w:val="0"/>
                <w:bCs w:val="0"/>
                <w:color w:val="000000" w:themeColor="text1"/>
                <w:szCs w:val="21"/>
                <w14:textFill>
                  <w14:solidFill>
                    <w14:schemeClr w14:val="tx1"/>
                  </w14:solidFill>
                </w14:textFill>
              </w:rPr>
              <w:t>注：投标人在法定质疑期内针对同一采购程序环节的质疑要求一次性提出。</w:t>
            </w:r>
          </w:p>
        </w:tc>
      </w:tr>
      <w:tr w14:paraId="37C196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308" w:type="dxa"/>
            <w:gridSpan w:val="3"/>
            <w:vAlign w:val="center"/>
          </w:tcPr>
          <w:p w14:paraId="0322BEB0">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b/>
                <w:szCs w:val="21"/>
              </w:rPr>
              <w:t>九、其他规定</w:t>
            </w:r>
          </w:p>
        </w:tc>
      </w:tr>
      <w:tr w14:paraId="45E2C4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2F8B6EFF">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第32.1</w:t>
            </w:r>
            <w:r>
              <w:rPr>
                <w:rFonts w:hint="eastAsia" w:cs="宋体" w:asciiTheme="minorEastAsia" w:hAnsiTheme="minorEastAsia" w:eastAsiaTheme="minorEastAsia"/>
                <w:kern w:val="0"/>
                <w:szCs w:val="21"/>
                <w:lang w:val="zh-CN"/>
              </w:rPr>
              <w:t>款</w:t>
            </w:r>
          </w:p>
        </w:tc>
        <w:tc>
          <w:tcPr>
            <w:tcW w:w="2513" w:type="dxa"/>
            <w:vAlign w:val="center"/>
          </w:tcPr>
          <w:p w14:paraId="7B504349">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招标代理服务费</w:t>
            </w:r>
          </w:p>
        </w:tc>
        <w:tc>
          <w:tcPr>
            <w:tcW w:w="5235" w:type="dxa"/>
            <w:vAlign w:val="center"/>
          </w:tcPr>
          <w:p w14:paraId="12EAC77B">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□集中采购机构不收代理服务费。</w:t>
            </w:r>
          </w:p>
          <w:p w14:paraId="68675F83">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sym w:font="Wingdings 2" w:char="F052"/>
            </w:r>
            <w:r>
              <w:rPr>
                <w:rFonts w:hint="eastAsia" w:asciiTheme="minorEastAsia" w:hAnsiTheme="minorEastAsia" w:eastAsiaTheme="minorEastAsia"/>
                <w:szCs w:val="21"/>
              </w:rPr>
              <w:t>招标代理服务费由采购人支付。</w:t>
            </w:r>
          </w:p>
        </w:tc>
      </w:tr>
      <w:tr w14:paraId="6D9C4B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560" w:type="dxa"/>
            <w:vAlign w:val="center"/>
          </w:tcPr>
          <w:p w14:paraId="12FC5800">
            <w:pPr>
              <w:adjustRightInd w:val="0"/>
              <w:snapToGrid w:val="0"/>
              <w:spacing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第33.1</w:t>
            </w:r>
            <w:r>
              <w:rPr>
                <w:rFonts w:hint="eastAsia" w:cs="宋体" w:asciiTheme="minorEastAsia" w:hAnsiTheme="minorEastAsia" w:eastAsiaTheme="minorEastAsia"/>
                <w:kern w:val="0"/>
                <w:szCs w:val="21"/>
                <w:lang w:val="zh-CN"/>
              </w:rPr>
              <w:t>款</w:t>
            </w:r>
          </w:p>
        </w:tc>
        <w:tc>
          <w:tcPr>
            <w:tcW w:w="2513" w:type="dxa"/>
            <w:vAlign w:val="center"/>
          </w:tcPr>
          <w:p w14:paraId="4BC90D24">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其他规定</w:t>
            </w:r>
          </w:p>
        </w:tc>
        <w:tc>
          <w:tcPr>
            <w:tcW w:w="5235" w:type="dxa"/>
            <w:vAlign w:val="center"/>
          </w:tcPr>
          <w:p w14:paraId="5555D80C">
            <w:pPr>
              <w:spacing w:line="288" w:lineRule="auto"/>
              <w:rPr>
                <w:rFonts w:cs="宋体"/>
                <w:color w:val="000000" w:themeColor="text1"/>
                <w:szCs w:val="21"/>
                <w:highlight w:val="white"/>
                <w14:textFill>
                  <w14:solidFill>
                    <w14:schemeClr w14:val="tx1"/>
                  </w14:solidFill>
                </w14:textFill>
              </w:rPr>
            </w:pPr>
            <w:bookmarkStart w:id="21" w:name="EBd558c6e01cc043c2a50af2d7aa6e24fe"/>
            <w:r>
              <w:rPr>
                <w:rFonts w:hint="eastAsia" w:cs="宋体"/>
                <w:color w:val="000000" w:themeColor="text1"/>
                <w:szCs w:val="21"/>
                <w:highlight w:val="white"/>
                <w14:textFill>
                  <w14:solidFill>
                    <w14:schemeClr w14:val="tx1"/>
                  </w14:solidFill>
                </w14:textFill>
              </w:rPr>
              <w:t>1、本招标文件要求的复印件是指复印件或扫描件或影印件。</w:t>
            </w:r>
          </w:p>
          <w:p w14:paraId="3116CB7F">
            <w:pPr>
              <w:spacing w:line="288" w:lineRule="auto"/>
              <w:rPr>
                <w:rFonts w:cs="宋体"/>
                <w:color w:val="000000" w:themeColor="text1"/>
                <w:szCs w:val="21"/>
                <w14:textFill>
                  <w14:solidFill>
                    <w14:schemeClr w14:val="tx1"/>
                  </w14:solidFill>
                </w14:textFill>
              </w:rPr>
            </w:pPr>
            <w:r>
              <w:rPr>
                <w:rFonts w:hint="eastAsia" w:cs="宋体"/>
                <w:color w:val="000000" w:themeColor="text1"/>
                <w:szCs w:val="21"/>
                <w:highlight w:val="white"/>
                <w14:textFill>
                  <w14:solidFill>
                    <w14:schemeClr w14:val="tx1"/>
                  </w14:solidFill>
                </w14:textFill>
              </w:rPr>
              <w:t>2、</w:t>
            </w:r>
            <w:r>
              <w:rPr>
                <w:rFonts w:hint="eastAsia" w:cs="宋体"/>
                <w:color w:val="000000" w:themeColor="text1"/>
                <w:szCs w:val="21"/>
                <w14:textFill>
                  <w14:solidFill>
                    <w14:schemeClr w14:val="tx1"/>
                  </w14:solidFill>
                </w14:textFill>
              </w:rPr>
              <w:t>对列入失信被执行人、重大税收违法案件当</w:t>
            </w:r>
          </w:p>
          <w:p w14:paraId="7E661B8A">
            <w:pPr>
              <w:spacing w:line="288" w:lineRule="auto"/>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事人名单、政府采购严重违法失信行为记录名单</w:t>
            </w:r>
          </w:p>
          <w:p w14:paraId="321ED6CE">
            <w:pPr>
              <w:spacing w:line="288" w:lineRule="auto"/>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的供应商，应当拒绝其参与政府采购活动。</w:t>
            </w:r>
          </w:p>
          <w:p w14:paraId="6528C7C5">
            <w:pPr>
              <w:spacing w:line="288" w:lineRule="auto"/>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3、本项目采用电子化招投标，投标人应按郴州市公共资源交易中心关于电子招投标相关要求进行投标。</w:t>
            </w:r>
          </w:p>
          <w:p w14:paraId="5541316C">
            <w:pPr>
              <w:spacing w:line="288" w:lineRule="auto"/>
              <w:rPr>
                <w:rFonts w:cs="宋体"/>
                <w:color w:val="000000" w:themeColor="text1"/>
                <w:szCs w:val="21"/>
                <w:highlight w:val="white"/>
                <w14:textFill>
                  <w14:solidFill>
                    <w14:schemeClr w14:val="tx1"/>
                  </w14:solidFill>
                </w14:textFill>
              </w:rPr>
            </w:pPr>
            <w:r>
              <w:rPr>
                <w:rFonts w:hint="eastAsia" w:cs="宋体"/>
                <w:color w:val="000000" w:themeColor="text1"/>
                <w:szCs w:val="21"/>
                <w:highlight w:val="white"/>
                <w14:textFill>
                  <w14:solidFill>
                    <w14:schemeClr w14:val="tx1"/>
                  </w14:solidFill>
                </w14:textFill>
              </w:rPr>
              <w:t>4、注意事项</w:t>
            </w:r>
            <w:r>
              <w:rPr>
                <w:rFonts w:cs="宋体"/>
                <w:color w:val="000000" w:themeColor="text1"/>
                <w:szCs w:val="21"/>
                <w:highlight w:val="white"/>
                <w14:textFill>
                  <w14:solidFill>
                    <w14:schemeClr w14:val="tx1"/>
                  </w14:solidFill>
                </w14:textFill>
              </w:rPr>
              <w:t xml:space="preserve"> :</w:t>
            </w:r>
            <w:r>
              <w:rPr>
                <w:rFonts w:hint="eastAsia" w:cs="宋体"/>
                <w:color w:val="000000" w:themeColor="text1"/>
                <w:szCs w:val="21"/>
                <w:highlight w:val="white"/>
                <w14:textFill>
                  <w14:solidFill>
                    <w14:schemeClr w14:val="tx1"/>
                  </w14:solidFill>
                </w14:textFill>
              </w:rPr>
              <w:t>请各投标人在开标前一天确认解密（澄清答疑）电脑、</w:t>
            </w:r>
            <w:r>
              <w:rPr>
                <w:rFonts w:cs="宋体"/>
                <w:color w:val="000000" w:themeColor="text1"/>
                <w:szCs w:val="21"/>
                <w:highlight w:val="white"/>
                <w14:textFill>
                  <w14:solidFill>
                    <w14:schemeClr w14:val="tx1"/>
                  </w14:solidFill>
                </w14:textFill>
              </w:rPr>
              <w:t xml:space="preserve">CA </w:t>
            </w:r>
            <w:r>
              <w:rPr>
                <w:rFonts w:hint="eastAsia" w:cs="宋体"/>
                <w:color w:val="000000" w:themeColor="text1"/>
                <w:szCs w:val="21"/>
                <w:highlight w:val="white"/>
                <w14:textFill>
                  <w14:solidFill>
                    <w14:schemeClr w14:val="tx1"/>
                  </w14:solidFill>
                </w14:textFill>
              </w:rPr>
              <w:t>证书、网络配置等是否满足不见面开标大厅和澄清答疑的相应环境，提前配置好浏览器数据及安装好驱动（详见：不见面开标系统操作手册—投标人）。如因投标人电脑设备、</w:t>
            </w:r>
            <w:r>
              <w:rPr>
                <w:rFonts w:cs="宋体"/>
                <w:color w:val="000000" w:themeColor="text1"/>
                <w:szCs w:val="21"/>
                <w:highlight w:val="white"/>
                <w14:textFill>
                  <w14:solidFill>
                    <w14:schemeClr w14:val="tx1"/>
                  </w14:solidFill>
                </w14:textFill>
              </w:rPr>
              <w:t xml:space="preserve">CA </w:t>
            </w:r>
            <w:r>
              <w:rPr>
                <w:rFonts w:hint="eastAsia" w:cs="宋体"/>
                <w:color w:val="000000" w:themeColor="text1"/>
                <w:szCs w:val="21"/>
                <w:highlight w:val="white"/>
                <w14:textFill>
                  <w14:solidFill>
                    <w14:schemeClr w14:val="tx1"/>
                  </w14:solidFill>
                </w14:textFill>
              </w:rPr>
              <w:t>证书、网络配制等问题导致无法解密（澄清答疑）的后果皆由投标人承担。</w:t>
            </w:r>
            <w:r>
              <w:rPr>
                <w:rFonts w:cs="宋体"/>
                <w:color w:val="000000" w:themeColor="text1"/>
                <w:szCs w:val="21"/>
                <w:highlight w:val="white"/>
                <w14:textFill>
                  <w14:solidFill>
                    <w14:schemeClr w14:val="tx1"/>
                  </w14:solidFill>
                </w14:textFill>
              </w:rPr>
              <w:t xml:space="preserve"> </w:t>
            </w:r>
          </w:p>
          <w:p w14:paraId="216A2271">
            <w:pPr>
              <w:spacing w:line="288" w:lineRule="auto"/>
              <w:rPr>
                <w:rFonts w:cs="宋体"/>
                <w:color w:val="000000" w:themeColor="text1"/>
                <w:szCs w:val="21"/>
                <w:highlight w:val="white"/>
                <w14:textFill>
                  <w14:solidFill>
                    <w14:schemeClr w14:val="tx1"/>
                  </w14:solidFill>
                </w14:textFill>
              </w:rPr>
            </w:pPr>
            <w:r>
              <w:rPr>
                <w:rFonts w:hint="eastAsia" w:cs="宋体"/>
                <w:color w:val="000000" w:themeColor="text1"/>
                <w:szCs w:val="21"/>
                <w:highlight w:val="white"/>
                <w14:textFill>
                  <w14:solidFill>
                    <w14:schemeClr w14:val="tx1"/>
                  </w14:solidFill>
                </w14:textFill>
              </w:rPr>
              <w:t>5、注意事项</w:t>
            </w:r>
            <w:r>
              <w:rPr>
                <w:rFonts w:cs="宋体"/>
                <w:color w:val="000000" w:themeColor="text1"/>
                <w:szCs w:val="21"/>
                <w:highlight w:val="white"/>
                <w14:textFill>
                  <w14:solidFill>
                    <w14:schemeClr w14:val="tx1"/>
                  </w14:solidFill>
                </w14:textFill>
              </w:rPr>
              <w:t xml:space="preserve"> :</w:t>
            </w:r>
            <w:r>
              <w:rPr>
                <w:rFonts w:hint="eastAsia" w:cs="宋体"/>
                <w:color w:val="000000" w:themeColor="text1"/>
                <w:szCs w:val="21"/>
                <w:highlight w:val="white"/>
                <w14:textFill>
                  <w14:solidFill>
                    <w14:schemeClr w14:val="tx1"/>
                  </w14:solidFill>
                </w14:textFill>
              </w:rPr>
              <w:t>评标期间，</w:t>
            </w:r>
            <w:bookmarkStart w:id="22" w:name="_Hlk177982487"/>
            <w:r>
              <w:rPr>
                <w:rFonts w:hint="eastAsia" w:cs="宋体"/>
                <w:color w:val="000000" w:themeColor="text1"/>
                <w:szCs w:val="21"/>
                <w:highlight w:val="white"/>
                <w14:textFill>
                  <w14:solidFill>
                    <w14:schemeClr w14:val="tx1"/>
                  </w14:solidFill>
                </w14:textFill>
              </w:rPr>
              <w:t>投标单位应在线关注评标进度，在评标结束前不要离线。评审专家小组可能会在郴州市公共资源交易网交易系统中对投标单位提出澄清答疑的要求，投标单位应及时关注交易系统动态，并在规定时间内在线回复，如未在规定时间内进行回复，所造成的一切后果，投标单位自行负责。</w:t>
            </w:r>
          </w:p>
          <w:bookmarkEnd w:id="22"/>
          <w:p w14:paraId="40B4EA59">
            <w:pPr>
              <w:spacing w:line="288" w:lineRule="auto"/>
              <w:rPr>
                <w:rFonts w:cs="宋体"/>
                <w:color w:val="000000" w:themeColor="text1"/>
                <w:szCs w:val="21"/>
                <w14:textFill>
                  <w14:solidFill>
                    <w14:schemeClr w14:val="tx1"/>
                  </w14:solidFill>
                </w14:textFill>
              </w:rPr>
            </w:pPr>
            <w:r>
              <w:rPr>
                <w:rFonts w:cs="宋体"/>
                <w:color w:val="000000" w:themeColor="text1"/>
                <w:szCs w:val="21"/>
                <w:highlight w:val="white"/>
                <w14:textFill>
                  <w14:solidFill>
                    <w14:schemeClr w14:val="tx1"/>
                  </w14:solidFill>
                </w14:textFill>
              </w:rPr>
              <w:t>6</w:t>
            </w:r>
            <w:r>
              <w:rPr>
                <w:rFonts w:hint="eastAsia" w:cs="宋体"/>
                <w:color w:val="000000" w:themeColor="text1"/>
                <w:szCs w:val="21"/>
                <w:highlight w:val="white"/>
                <w14:textFill>
                  <w14:solidFill>
                    <w14:schemeClr w14:val="tx1"/>
                  </w14:solidFill>
                </w14:textFill>
              </w:rPr>
              <w:t>、根据“财政部令第</w:t>
            </w:r>
            <w:r>
              <w:rPr>
                <w:rFonts w:cs="宋体"/>
                <w:color w:val="000000" w:themeColor="text1"/>
                <w:szCs w:val="21"/>
                <w:highlight w:val="white"/>
                <w14:textFill>
                  <w14:solidFill>
                    <w14:schemeClr w14:val="tx1"/>
                  </w14:solidFill>
                </w14:textFill>
              </w:rPr>
              <w:t>87</w:t>
            </w:r>
            <w:r>
              <w:rPr>
                <w:rFonts w:hint="eastAsia" w:cs="宋体"/>
                <w:color w:val="000000" w:themeColor="text1"/>
                <w:szCs w:val="21"/>
                <w:highlight w:val="white"/>
                <w14:textFill>
                  <w14:solidFill>
                    <w14:schemeClr w14:val="tx1"/>
                  </w14:solidFill>
                </w14:textFill>
              </w:rPr>
              <w:t>号”第六十条的规定“评标委员会认为投标人的报价明显低于其他通过符合性审查投标人的报价，有可能影响产品质量或者不能诚信履约的，应当要求在评标现场合理的时间内提供书面说明，必要时提交相关证明材料；投标人不能证明其报价合理性的，评标委员会应当将其作为无效投标处理。”</w:t>
            </w:r>
            <w:bookmarkEnd w:id="21"/>
          </w:p>
          <w:p w14:paraId="384F409D">
            <w:pPr>
              <w:spacing w:line="288" w:lineRule="auto"/>
              <w:rPr>
                <w:rFonts w:cs="宋体"/>
                <w:color w:val="0000FF"/>
                <w:szCs w:val="21"/>
              </w:rPr>
            </w:pPr>
            <w:r>
              <w:rPr>
                <w:rFonts w:hint="eastAsia" w:cs="宋体"/>
                <w:color w:val="000000" w:themeColor="text1"/>
                <w:szCs w:val="21"/>
                <w14:textFill>
                  <w14:solidFill>
                    <w14:schemeClr w14:val="tx1"/>
                  </w14:solidFill>
                </w14:textFill>
              </w:rPr>
              <w:t>7</w:t>
            </w:r>
            <w:r>
              <w:rPr>
                <w:rFonts w:hint="eastAsia" w:cs="宋体"/>
                <w:color w:val="000000" w:themeColor="text1"/>
                <w:szCs w:val="21"/>
                <w:highlight w:val="white"/>
                <w14:textFill>
                  <w14:solidFill>
                    <w14:schemeClr w14:val="tx1"/>
                  </w14:solidFill>
                </w14:textFill>
              </w:rPr>
              <w:t>、</w:t>
            </w:r>
            <w:r>
              <w:rPr>
                <w:rFonts w:hint="eastAsia" w:ascii="Times New Roman" w:hAnsi="Times New Roman" w:eastAsia="宋体" w:cs="宋体"/>
                <w:color w:val="000000" w:themeColor="text1"/>
                <w:szCs w:val="21"/>
                <w:highlight w:val="white"/>
                <w:lang w:val="en-US" w:eastAsia="zh-CN"/>
                <w14:textFill>
                  <w14:solidFill>
                    <w14:schemeClr w14:val="tx1"/>
                  </w14:solidFill>
                </w14:textFill>
              </w:rPr>
              <w:t>供应商在领取中标通知书时，须递交三份（不分正副本，至少包含一份原件或彩色扫描件）胶装完好的投标文件以供存档，否则不予办理相关手续。</w:t>
            </w:r>
          </w:p>
        </w:tc>
      </w:tr>
    </w:tbl>
    <w:p w14:paraId="2A19A679">
      <w:pPr>
        <w:adjustRightInd w:val="0"/>
        <w:snapToGrid w:val="0"/>
        <w:spacing w:line="360" w:lineRule="auto"/>
        <w:rPr>
          <w:rFonts w:hint="eastAsia" w:ascii="宋体" w:hAnsi="宋体"/>
          <w:b/>
          <w:szCs w:val="21"/>
        </w:rPr>
      </w:pPr>
      <w:r>
        <w:rPr>
          <w:rFonts w:ascii="宋体" w:hAnsi="宋体"/>
          <w:b/>
          <w:szCs w:val="21"/>
        </w:rPr>
        <w:br w:type="page"/>
      </w:r>
    </w:p>
    <w:p w14:paraId="716839A7">
      <w:pPr>
        <w:pStyle w:val="4"/>
        <w:adjustRightInd w:val="0"/>
        <w:snapToGrid w:val="0"/>
        <w:spacing w:before="156" w:beforeLines="50"/>
        <w:jc w:val="center"/>
        <w:rPr>
          <w:rFonts w:hint="eastAsia" w:ascii="黑体" w:hAnsi="黑体" w:eastAsia="黑体"/>
          <w:sz w:val="28"/>
          <w:szCs w:val="28"/>
        </w:rPr>
      </w:pPr>
      <w:bookmarkStart w:id="23" w:name="_Toc11081"/>
      <w:bookmarkStart w:id="24" w:name="_Toc29913896"/>
      <w:bookmarkStart w:id="25" w:name="_Toc10968"/>
      <w:r>
        <w:rPr>
          <w:rFonts w:hint="eastAsia" w:ascii="黑体" w:hAnsi="黑体" w:eastAsia="黑体"/>
          <w:sz w:val="28"/>
          <w:szCs w:val="28"/>
        </w:rPr>
        <w:t>第二节 投标须知</w:t>
      </w:r>
      <w:bookmarkEnd w:id="23"/>
      <w:bookmarkEnd w:id="24"/>
      <w:bookmarkEnd w:id="25"/>
    </w:p>
    <w:p w14:paraId="18317242">
      <w:pPr>
        <w:pStyle w:val="5"/>
        <w:adjustRightInd w:val="0"/>
        <w:snapToGrid w:val="0"/>
        <w:spacing w:before="156" w:beforeLines="50" w:after="0" w:line="360" w:lineRule="auto"/>
        <w:jc w:val="center"/>
        <w:rPr>
          <w:rFonts w:hint="eastAsia" w:ascii="黑体" w:hAnsi="黑体" w:eastAsia="黑体"/>
          <w:b w:val="0"/>
          <w:sz w:val="28"/>
          <w:szCs w:val="28"/>
        </w:rPr>
      </w:pPr>
      <w:bookmarkStart w:id="26" w:name="_Toc13834"/>
      <w:bookmarkStart w:id="27" w:name="_Toc29913897"/>
      <w:bookmarkStart w:id="28" w:name="_Toc8868"/>
      <w:r>
        <w:rPr>
          <w:rFonts w:hint="eastAsia" w:ascii="黑体" w:hAnsi="黑体" w:eastAsia="黑体"/>
          <w:sz w:val="28"/>
          <w:szCs w:val="28"/>
        </w:rPr>
        <w:t>一、总则</w:t>
      </w:r>
      <w:bookmarkEnd w:id="26"/>
      <w:bookmarkEnd w:id="27"/>
      <w:bookmarkEnd w:id="28"/>
    </w:p>
    <w:p w14:paraId="3AE9EA48">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 适用范围</w:t>
      </w:r>
    </w:p>
    <w:p w14:paraId="6462432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1.1本招标文件仅适用于本章第一节“投标须知前附表”（以下简称</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）中所叙述的采购项目。</w:t>
      </w:r>
    </w:p>
    <w:p w14:paraId="374CB9C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规定采购项目专门面向中小企业采购的，如投标人为非中小企业，其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3D221AF9">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2. 定义</w:t>
      </w:r>
    </w:p>
    <w:p w14:paraId="5BD1C40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2.1采购项目联系人姓名和电话见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0F5D87D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2.2采购人名称、地址、电话、联系人见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595EF42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2.3采购代理机构名称、地址、电话、联系人见</w:t>
      </w:r>
      <w:r>
        <w:rPr>
          <w:rFonts w:hint="eastAsia" w:asciiTheme="minorEastAsia" w:hAnsiTheme="minorEastAsia" w:eastAsiaTheme="minorEastAsia"/>
          <w:b/>
          <w:szCs w:val="21"/>
        </w:rPr>
        <w:t>【投标须知前附表】。</w:t>
      </w:r>
    </w:p>
    <w:p w14:paraId="2FA6B2C1">
      <w:pPr>
        <w:adjustRightInd w:val="0"/>
        <w:snapToGrid w:val="0"/>
        <w:spacing w:before="156" w:beforeLines="50" w:line="360" w:lineRule="auto"/>
        <w:ind w:firstLine="420" w:firstLineChars="200"/>
        <w:jc w:val="left"/>
        <w:rPr>
          <w:rFonts w:hint="eastAsia" w:asciiTheme="minorEastAsia" w:hAnsiTheme="minorEastAsia" w:eastAsiaTheme="minorEastAsia"/>
          <w:b/>
          <w:szCs w:val="21"/>
        </w:rPr>
      </w:pPr>
      <w:r>
        <w:rPr>
          <w:rFonts w:hint="eastAsia" w:asciiTheme="minorEastAsia" w:hAnsiTheme="minorEastAsia" w:eastAsiaTheme="minorEastAsia"/>
          <w:szCs w:val="21"/>
        </w:rPr>
        <w:t>2.4投标人系指响应招标、参加投标竞争的法人、其他组织或自然人。</w:t>
      </w:r>
    </w:p>
    <w:p w14:paraId="457086F6">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asciiTheme="minorEastAsia" w:hAnsiTheme="minorEastAsia" w:eastAsiaTheme="minorEastAsia"/>
          <w:szCs w:val="21"/>
        </w:rPr>
        <w:t>2.</w:t>
      </w:r>
      <w:r>
        <w:rPr>
          <w:rFonts w:hint="eastAsia" w:asciiTheme="minorEastAsia" w:hAnsiTheme="minorEastAsia" w:eastAsiaTheme="minorEastAsia"/>
          <w:szCs w:val="21"/>
        </w:rPr>
        <w:t>5</w:t>
      </w:r>
      <w:r>
        <w:rPr>
          <w:rFonts w:hint="eastAsia" w:cs="宋体" w:asciiTheme="minorEastAsia" w:hAnsiTheme="minorEastAsia" w:eastAsiaTheme="minorEastAsia"/>
          <w:kern w:val="0"/>
          <w:szCs w:val="21"/>
        </w:rPr>
        <w:t>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szCs w:val="21"/>
        </w:rPr>
        <w:t>【投标须知前附表】</w:t>
      </w:r>
      <w:r>
        <w:rPr>
          <w:rFonts w:hint="eastAsia" w:cs="宋体" w:asciiTheme="minorEastAsia" w:hAnsiTheme="minorEastAsia" w:eastAsiaTheme="minorEastAsia"/>
          <w:kern w:val="0"/>
          <w:szCs w:val="21"/>
        </w:rPr>
        <w:t>另有规定外，采购项目</w:t>
      </w:r>
      <w:r>
        <w:rPr>
          <w:rFonts w:hint="eastAsia" w:cs="宋体" w:asciiTheme="minorEastAsia" w:hAnsiTheme="minorEastAsia" w:eastAsiaTheme="minorEastAsia"/>
          <w:b/>
          <w:kern w:val="0"/>
          <w:szCs w:val="21"/>
        </w:rPr>
        <w:t>拒绝进口产品参加投标</w:t>
      </w:r>
      <w:r>
        <w:rPr>
          <w:rFonts w:hint="eastAsia" w:cs="宋体" w:asciiTheme="minorEastAsia" w:hAnsiTheme="minorEastAsia" w:eastAsiaTheme="minorEastAsia"/>
          <w:kern w:val="0"/>
          <w:szCs w:val="21"/>
        </w:rPr>
        <w:t>。本款规定同意购买进口产品的，不限制满足招标文件要求的国内产品参与投标竞争。</w:t>
      </w:r>
    </w:p>
    <w:p w14:paraId="53640F91">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2.6电子招标投标：是指电子招标投标参与各方（采购人、采购代理机构、供应商、评审专家）按照相关法律法规的规定，应用网络信息技术，使用CA数字证书（含电子签章、签名）在电子招标投标交易平台(以下简称交易平台)，进行的招标投标活动。</w:t>
      </w:r>
    </w:p>
    <w:p w14:paraId="5D78F5F5">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3. 投标人的资格要求</w:t>
      </w:r>
    </w:p>
    <w:p w14:paraId="66BED1C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3.1投标人应当符合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规定的投标人资格条件。</w:t>
      </w:r>
    </w:p>
    <w:p w14:paraId="724F173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3.2</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规定接受联合体形式投标的，投标人除应符合本章第3.1</w:t>
      </w:r>
      <w:r>
        <w:rPr>
          <w:rFonts w:hint="eastAsia" w:cs="宋体" w:asciiTheme="minorEastAsia" w:hAnsiTheme="minorEastAsia" w:eastAsiaTheme="minorEastAsia"/>
          <w:kern w:val="0"/>
          <w:szCs w:val="21"/>
          <w:lang w:val="zh-CN"/>
        </w:rPr>
        <w:t>款</w:t>
      </w:r>
      <w:r>
        <w:rPr>
          <w:rFonts w:hint="eastAsia" w:asciiTheme="minorEastAsia" w:hAnsiTheme="minorEastAsia" w:eastAsiaTheme="minorEastAsia"/>
          <w:szCs w:val="21"/>
        </w:rPr>
        <w:t xml:space="preserve">规定外，还应遵守以下规定： </w:t>
      </w:r>
    </w:p>
    <w:p w14:paraId="5BBCE77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（l）联合体中有同类资质的供应商按照联合体分工承担相同工作的，应当按照资质等级较低的供应商确定资质等级。</w:t>
      </w:r>
    </w:p>
    <w:p w14:paraId="1D15C39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（2）联合体各方应按招标文件提供的格式签订联合体协议书，明确联合体牵头人和各方的权利义务、合同工作量比例；</w:t>
      </w:r>
    </w:p>
    <w:p w14:paraId="1631949B">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lang w:val="zh-CN"/>
        </w:rPr>
      </w:pPr>
      <w:r>
        <w:rPr>
          <w:rFonts w:hint="eastAsia" w:asciiTheme="minorEastAsia" w:hAnsiTheme="minorEastAsia" w:eastAsiaTheme="minorEastAsia"/>
          <w:szCs w:val="21"/>
        </w:rPr>
        <w:t>（3）联合体各方签订联合体协议书后，</w:t>
      </w:r>
      <w:r>
        <w:rPr>
          <w:rFonts w:hint="eastAsia" w:cs="宋体" w:asciiTheme="minorEastAsia" w:hAnsiTheme="minorEastAsia" w:eastAsiaTheme="minorEastAsia"/>
          <w:kern w:val="0"/>
          <w:szCs w:val="21"/>
          <w:lang w:val="zh-CN"/>
        </w:rPr>
        <w:t>不得再单独参加或者与其他投标人组成新的联合体参加同一合同项下的采购活动。</w:t>
      </w:r>
    </w:p>
    <w:p w14:paraId="2D02E90C">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 xml:space="preserve">4. 投标费用 </w:t>
      </w:r>
    </w:p>
    <w:p w14:paraId="0BADEEB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4.1投标人应自行承担所有参与投标的相关费用，不论投标的结果如何，采购人、采购代理机构均无义务和责任承担这些费用。</w:t>
      </w:r>
    </w:p>
    <w:p w14:paraId="4536CC85">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sz w:val="24"/>
        </w:rPr>
        <w:t>5．组织现场考察或者召开答疑会</w:t>
      </w:r>
    </w:p>
    <w:p w14:paraId="6046ACA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rPr>
        <w:t>5.1采购人、采购代理机构可以在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规定的招标文件提供期限截止后，组织已获取招标文件的潜在投标人现场考察或者召开开标前答疑会。</w:t>
      </w:r>
    </w:p>
    <w:p w14:paraId="59FDC50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5.2获取招标文件的潜在投标人应按</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规定参加现场考察或者答疑会；如不参加，其风险由其自行承担。</w:t>
      </w:r>
    </w:p>
    <w:p w14:paraId="52460337">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5.3潜在投标人现场考察或者参加答疑会的费用由自己承担，现场考察期间所发生的人身伤害及财产损失由自己负责。</w:t>
      </w:r>
    </w:p>
    <w:p w14:paraId="3F6F8564">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5.4采购人、采购代理机构不对投标人据此而做出的推论、理解和结论负责。投标人一旦中标，不得以任何借口，提出额外补偿，或延长合同期限的要求。</w:t>
      </w:r>
    </w:p>
    <w:p w14:paraId="4B46D297">
      <w:pPr>
        <w:pStyle w:val="5"/>
        <w:adjustRightInd w:val="0"/>
        <w:snapToGrid w:val="0"/>
        <w:spacing w:before="156" w:beforeLines="50" w:after="0" w:line="360" w:lineRule="auto"/>
        <w:jc w:val="center"/>
        <w:rPr>
          <w:rFonts w:hint="eastAsia" w:ascii="黑体" w:hAnsi="黑体" w:eastAsia="黑体"/>
          <w:sz w:val="28"/>
          <w:szCs w:val="28"/>
        </w:rPr>
      </w:pPr>
      <w:bookmarkStart w:id="29" w:name="_Toc2630"/>
      <w:bookmarkStart w:id="30" w:name="_Toc6469"/>
      <w:bookmarkStart w:id="31" w:name="_Toc29913898"/>
      <w:r>
        <w:rPr>
          <w:rFonts w:hint="eastAsia" w:ascii="黑体" w:hAnsi="黑体" w:eastAsia="黑体"/>
          <w:sz w:val="28"/>
          <w:szCs w:val="28"/>
        </w:rPr>
        <w:t>二、招标文件</w:t>
      </w:r>
      <w:bookmarkEnd w:id="29"/>
      <w:bookmarkEnd w:id="30"/>
      <w:bookmarkEnd w:id="31"/>
    </w:p>
    <w:p w14:paraId="53B0C147">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6. 招标文件的构成</w:t>
      </w:r>
    </w:p>
    <w:p w14:paraId="086342B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6.1 招标文件共七章，各章内容如下：</w:t>
      </w:r>
    </w:p>
    <w:p w14:paraId="76E4ED1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第一章 投标邀请</w:t>
      </w:r>
    </w:p>
    <w:p w14:paraId="382D73A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第二章 投标须知</w:t>
      </w:r>
    </w:p>
    <w:p w14:paraId="7D6763D7">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第三章 资格审查</w:t>
      </w:r>
    </w:p>
    <w:p w14:paraId="0565E81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第四章 评标方法及标准</w:t>
      </w:r>
    </w:p>
    <w:p w14:paraId="6C0F813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第五章 采购需求</w:t>
      </w:r>
    </w:p>
    <w:p w14:paraId="659C185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第六章 政府采购合同</w:t>
      </w:r>
    </w:p>
    <w:p w14:paraId="552D54E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第七章 投标文件的组成</w:t>
      </w:r>
    </w:p>
    <w:p w14:paraId="22AA75AD">
      <w:pPr>
        <w:adjustRightInd w:val="0"/>
        <w:snapToGrid w:val="0"/>
        <w:spacing w:before="156" w:beforeLines="50" w:line="360" w:lineRule="auto"/>
        <w:ind w:firstLine="420" w:firstLineChars="200"/>
        <w:jc w:val="left"/>
        <w:rPr>
          <w:rFonts w:hint="eastAsia" w:cs="宋体" w:asciiTheme="minorEastAsia" w:hAnsiTheme="minorEastAsia" w:eastAsiaTheme="minorEastAsia"/>
          <w:b/>
          <w:szCs w:val="21"/>
        </w:rPr>
      </w:pPr>
      <w:r>
        <w:rPr>
          <w:rFonts w:hint="eastAsia" w:asciiTheme="minorEastAsia" w:hAnsiTheme="minorEastAsia" w:eastAsiaTheme="minorEastAsia"/>
          <w:szCs w:val="21"/>
        </w:rPr>
        <w:t>6.2采购人、采购代理机构在提交投标文件截止时间前</w:t>
      </w:r>
      <w:r>
        <w:rPr>
          <w:rFonts w:hint="eastAsia" w:cs="宋体" w:asciiTheme="minorEastAsia" w:hAnsiTheme="minorEastAsia" w:eastAsiaTheme="minorEastAsia"/>
          <w:szCs w:val="21"/>
        </w:rPr>
        <w:t>对招标文件所作的澄清或者修改，构成招标文件的组成部分。</w:t>
      </w:r>
    </w:p>
    <w:p w14:paraId="094C2771">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sz w:val="24"/>
        </w:rPr>
        <w:t>7．偏离与实质性响应</w:t>
      </w:r>
    </w:p>
    <w:p w14:paraId="6496082F">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7.1投标人应当按照招标文件的要求编制投标文件。投标文件应当对招标文件提出的要求和条件作出明确响应。</w:t>
      </w:r>
    </w:p>
    <w:p w14:paraId="3CCB3704">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7.2偏离是指投标文件不响应或者不满足招标文件提出的要求和条件，分为实质性偏离和非实质性偏离。</w:t>
      </w:r>
    </w:p>
    <w:p w14:paraId="1E3E3A4D">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7.3除法律、法规和招标文件规定的其他投标无效情形外，招标文件中用“★”符号标明的条款为实质性要求和条件，对其中任何一条的偏离，为实质性偏离，</w:t>
      </w:r>
      <w:r>
        <w:rPr>
          <w:rFonts w:hint="eastAsia" w:asciiTheme="minorEastAsia" w:hAnsiTheme="minorEastAsia" w:eastAsiaTheme="minorEastAsia"/>
          <w:b/>
        </w:rPr>
        <w:t>其投标无效</w:t>
      </w:r>
      <w:r>
        <w:rPr>
          <w:rFonts w:hint="eastAsia" w:asciiTheme="minorEastAsia" w:hAnsiTheme="minorEastAsia" w:eastAsiaTheme="minorEastAsia"/>
        </w:rPr>
        <w:t>。</w:t>
      </w:r>
    </w:p>
    <w:p w14:paraId="2F0173C0">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7.4投标</w:t>
      </w:r>
      <w:r>
        <w:rPr>
          <w:rFonts w:hint="eastAsia" w:asciiTheme="minorEastAsia" w:hAnsiTheme="minorEastAsia" w:eastAsiaTheme="minorEastAsia"/>
          <w:szCs w:val="21"/>
        </w:rPr>
        <w:t>文件偏离招标文件的非实质性要求和条件，为非实质性偏离。非实质性偏离的范围和幅度应当符合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的规定，</w:t>
      </w:r>
      <w:r>
        <w:rPr>
          <w:rFonts w:hint="eastAsia" w:asciiTheme="minorEastAsia" w:hAnsiTheme="minorEastAsia" w:eastAsiaTheme="minorEastAsia"/>
          <w:b/>
          <w:szCs w:val="21"/>
        </w:rPr>
        <w:t>否</w:t>
      </w:r>
      <w:r>
        <w:rPr>
          <w:rFonts w:hint="eastAsia" w:asciiTheme="minorEastAsia" w:hAnsiTheme="minorEastAsia" w:eastAsiaTheme="minorEastAsia"/>
          <w:b/>
        </w:rPr>
        <w:t>则投标无效</w:t>
      </w:r>
      <w:r>
        <w:rPr>
          <w:rFonts w:hint="eastAsia" w:asciiTheme="minorEastAsia" w:hAnsiTheme="minorEastAsia" w:eastAsiaTheme="minorEastAsia"/>
        </w:rPr>
        <w:t>。</w:t>
      </w:r>
    </w:p>
    <w:p w14:paraId="20BFD0FF">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8. 询问</w:t>
      </w:r>
    </w:p>
    <w:p w14:paraId="7FD8F1C1">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8.1潜在投标人应仔细阅读和检查招标文件的全部内容。如有疑问，可以向采购人或者采购代理机构提出询问。</w:t>
      </w:r>
    </w:p>
    <w:p w14:paraId="56E2787C">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9. 招标文件的澄清或者修改</w:t>
      </w:r>
    </w:p>
    <w:p w14:paraId="5E6861E0">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9.1采购人、采购代理机构对已发出的招标文件进行必要澄清或者修改的，将在</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w:t>
      </w:r>
      <w:r>
        <w:rPr>
          <w:rFonts w:hint="eastAsia" w:asciiTheme="minorEastAsia" w:hAnsiTheme="minorEastAsia" w:eastAsiaTheme="minorEastAsia"/>
        </w:rPr>
        <w:t>招标公告指定媒体上发布澄清或者修改公告。</w:t>
      </w:r>
    </w:p>
    <w:p w14:paraId="44F3DFC3">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cs="宋体" w:asciiTheme="minorEastAsia" w:hAnsiTheme="minorEastAsia" w:eastAsiaTheme="minorEastAsia"/>
          <w:kern w:val="0"/>
          <w:szCs w:val="21"/>
        </w:rPr>
        <w:t>9.2澄清或者修改</w:t>
      </w:r>
      <w:r>
        <w:rPr>
          <w:rFonts w:hint="eastAsia" w:asciiTheme="minorEastAsia" w:hAnsiTheme="minorEastAsia" w:eastAsiaTheme="minorEastAsia"/>
        </w:rPr>
        <w:t>的</w:t>
      </w:r>
      <w:r>
        <w:rPr>
          <w:rFonts w:hint="eastAsia" w:cs="宋体" w:asciiTheme="minorEastAsia" w:hAnsiTheme="minorEastAsia" w:eastAsiaTheme="minorEastAsia"/>
          <w:kern w:val="0"/>
          <w:szCs w:val="21"/>
        </w:rPr>
        <w:t>内容可能影响投标文件编制的，采购人、采购代理机构</w:t>
      </w:r>
      <w:r>
        <w:rPr>
          <w:rFonts w:hint="eastAsia" w:asciiTheme="minorEastAsia" w:hAnsiTheme="minorEastAsia" w:eastAsiaTheme="minorEastAsia"/>
        </w:rPr>
        <w:t>将</w:t>
      </w:r>
      <w:r>
        <w:rPr>
          <w:rFonts w:hint="eastAsia" w:cs="宋体" w:asciiTheme="minorEastAsia" w:hAnsiTheme="minorEastAsia" w:eastAsiaTheme="minorEastAsia"/>
          <w:kern w:val="0"/>
          <w:szCs w:val="21"/>
        </w:rPr>
        <w:t>在提交投标文件截止时间15日前，</w:t>
      </w:r>
      <w:r>
        <w:rPr>
          <w:rFonts w:hint="eastAsia" w:asciiTheme="minorEastAsia" w:hAnsiTheme="minorEastAsia" w:eastAsiaTheme="minorEastAsia"/>
        </w:rPr>
        <w:t>以数据电文形式通知所有获取招标文件的潜在投标人；不足15日的，将相应延长提交投标文件的截止时间。</w:t>
      </w:r>
    </w:p>
    <w:p w14:paraId="41827A90">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9</w:t>
      </w:r>
      <w:r>
        <w:rPr>
          <w:rFonts w:asciiTheme="minorEastAsia" w:hAnsiTheme="minorEastAsia" w:eastAsiaTheme="minorEastAsia"/>
        </w:rPr>
        <w:t>.3</w:t>
      </w:r>
      <w:r>
        <w:rPr>
          <w:rFonts w:hint="eastAsia" w:asciiTheme="minorEastAsia" w:hAnsiTheme="minorEastAsia" w:eastAsiaTheme="minorEastAsia"/>
        </w:rPr>
        <w:t>招标文件的提供期限届满后，获取招标文件的潜在投标人不足3家的，可以顺延提供期限，并在指定媒体上发布修改公告。</w:t>
      </w:r>
    </w:p>
    <w:p w14:paraId="1DD1B437">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9.4 通过交易平台下载招标文件的，请获取招标文件的潜在投标人及时关注</w:t>
      </w:r>
      <w:r>
        <w:rPr>
          <w:rFonts w:hint="eastAsia" w:asciiTheme="minorEastAsia" w:hAnsiTheme="minorEastAsia" w:eastAsiaTheme="minorEastAsia"/>
          <w:szCs w:val="21"/>
        </w:rPr>
        <w:t>招标公告指定媒体</w:t>
      </w:r>
      <w:r>
        <w:rPr>
          <w:rFonts w:hint="eastAsia" w:asciiTheme="minorEastAsia" w:hAnsiTheme="minorEastAsia" w:eastAsiaTheme="minorEastAsia"/>
        </w:rPr>
        <w:t>发布的澄清或者修改公告。</w:t>
      </w:r>
    </w:p>
    <w:p w14:paraId="758E8DFF">
      <w:pPr>
        <w:pStyle w:val="5"/>
        <w:adjustRightInd w:val="0"/>
        <w:snapToGrid w:val="0"/>
        <w:spacing w:before="156" w:beforeLines="50" w:after="0" w:line="360" w:lineRule="auto"/>
        <w:jc w:val="center"/>
        <w:rPr>
          <w:rFonts w:hint="eastAsia" w:ascii="黑体" w:hAnsi="黑体" w:eastAsia="黑体"/>
          <w:sz w:val="28"/>
          <w:szCs w:val="28"/>
        </w:rPr>
      </w:pPr>
      <w:bookmarkStart w:id="32" w:name="_Toc7612"/>
      <w:bookmarkStart w:id="33" w:name="_Toc29913899"/>
      <w:bookmarkStart w:id="34" w:name="_Toc32523"/>
      <w:r>
        <w:rPr>
          <w:rFonts w:hint="eastAsia" w:ascii="黑体" w:hAnsi="黑体" w:eastAsia="黑体"/>
          <w:sz w:val="28"/>
          <w:szCs w:val="28"/>
        </w:rPr>
        <w:t>三、投标文件</w:t>
      </w:r>
      <w:bookmarkEnd w:id="32"/>
      <w:bookmarkEnd w:id="33"/>
      <w:bookmarkEnd w:id="34"/>
    </w:p>
    <w:p w14:paraId="0724A83C">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10. 投标语言</w:t>
      </w:r>
    </w:p>
    <w:p w14:paraId="452B12E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10.1除专用术语外，投标人提交的投标文件及投标人与采购人、采购代理机构就有关投标的所有来往函电均使用中文。投标人可以提交其它语言的资料，但应附有中文注释，有差异时以中文为准。</w:t>
      </w:r>
    </w:p>
    <w:p w14:paraId="4AB44EDB">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bCs/>
          <w:sz w:val="24"/>
        </w:rPr>
        <w:t xml:space="preserve">11. </w:t>
      </w:r>
      <w:r>
        <w:rPr>
          <w:rFonts w:hint="eastAsia" w:asciiTheme="minorEastAsia" w:hAnsiTheme="minorEastAsia" w:eastAsiaTheme="minorEastAsia"/>
          <w:b/>
          <w:sz w:val="24"/>
        </w:rPr>
        <w:t>计量单位</w:t>
      </w:r>
    </w:p>
    <w:p w14:paraId="7696F0C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11.1所有计量均采用中华人民共和国法定计量单位。</w:t>
      </w:r>
    </w:p>
    <w:p w14:paraId="1E3528BA">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 xml:space="preserve">12. </w:t>
      </w:r>
      <w:r>
        <w:rPr>
          <w:rFonts w:hint="eastAsia" w:asciiTheme="minorEastAsia" w:hAnsiTheme="minorEastAsia" w:eastAsiaTheme="minorEastAsia"/>
          <w:b/>
          <w:bCs/>
          <w:sz w:val="24"/>
        </w:rPr>
        <w:t>投标文件的组成</w:t>
      </w:r>
    </w:p>
    <w:p w14:paraId="5E4B2D2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12.1投标文件由如下内容组成：</w:t>
      </w:r>
    </w:p>
    <w:p w14:paraId="2741B634">
      <w:pPr>
        <w:adjustRightInd w:val="0"/>
        <w:snapToGrid w:val="0"/>
        <w:spacing w:before="156" w:beforeLines="50" w:line="360" w:lineRule="auto"/>
        <w:ind w:firstLine="420" w:firstLineChars="200"/>
        <w:jc w:val="left"/>
        <w:rPr>
          <w:rFonts w:hint="eastAsia"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32F701C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（1）开标一览表</w:t>
      </w:r>
    </w:p>
    <w:p w14:paraId="5C623E4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（2）法定代表人（单位负责人）身份证明或授权委托书</w:t>
      </w:r>
    </w:p>
    <w:p w14:paraId="2D32821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（3）投标人提供的资格证明文件</w:t>
      </w:r>
    </w:p>
    <w:p w14:paraId="4D36C3E0">
      <w:pPr>
        <w:adjustRightInd w:val="0"/>
        <w:snapToGrid w:val="0"/>
        <w:spacing w:before="156" w:beforeLines="50" w:line="360" w:lineRule="auto"/>
        <w:ind w:firstLine="420" w:firstLineChars="200"/>
        <w:jc w:val="left"/>
        <w:rPr>
          <w:rFonts w:hint="eastAsia" w:asciiTheme="minorEastAsia" w:hAnsiTheme="minorEastAsia" w:eastAsiaTheme="minorEastAsia"/>
          <w:b/>
          <w:szCs w:val="21"/>
        </w:rPr>
      </w:pPr>
      <w:r>
        <w:rPr>
          <w:rFonts w:hint="eastAsia" w:asciiTheme="minorEastAsia" w:hAnsiTheme="minorEastAsia" w:eastAsiaTheme="minorEastAsia"/>
          <w:b/>
          <w:szCs w:val="21"/>
        </w:rPr>
        <w:t>第二部分 商务和技术文件</w:t>
      </w:r>
    </w:p>
    <w:p w14:paraId="665FC5C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（4）投标函</w:t>
      </w:r>
    </w:p>
    <w:p w14:paraId="5D1E007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（5）分项报价</w:t>
      </w:r>
    </w:p>
    <w:p w14:paraId="30D1FD5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（6）采购需求响应</w:t>
      </w:r>
    </w:p>
    <w:p w14:paraId="59C9E19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（7）合同条款偏离表</w:t>
      </w:r>
    </w:p>
    <w:p w14:paraId="47FB78D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（8）采购需求偏离表</w:t>
      </w:r>
    </w:p>
    <w:p w14:paraId="4DEA830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（9）享受政府采购政策优惠的证明资料</w:t>
      </w:r>
    </w:p>
    <w:p w14:paraId="202AA86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（10）与投标服务相关的货物符合招标文件规定的证明文件</w:t>
      </w:r>
    </w:p>
    <w:p w14:paraId="5087E49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（11）投标人认为需提供的其他资料</w:t>
      </w:r>
    </w:p>
    <w:p w14:paraId="0EF9D3F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12.2 根据《政府采购法》第四十二条的规定，投标人无论中标与否，其投标文件不予退还。</w:t>
      </w:r>
    </w:p>
    <w:p w14:paraId="61546B7A">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13. 投标报价</w:t>
      </w:r>
    </w:p>
    <w:p w14:paraId="5747C69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674280C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2投标人的投标报价不得超过采购预算，也不得超过最高限价(如果设定)，否则其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。采购项目预算、最高限价见</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w:t>
      </w:r>
    </w:p>
    <w:p w14:paraId="37419A35">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szCs w:val="21"/>
        </w:rPr>
        <w:t>13.3 投标人应在分项报价明细表中对每项内容给予详细分项</w:t>
      </w:r>
      <w:r>
        <w:rPr>
          <w:rFonts w:hint="eastAsia" w:asciiTheme="minorEastAsia" w:hAnsiTheme="minorEastAsia" w:eastAsiaTheme="minorEastAsia"/>
        </w:rPr>
        <w:t>报价。</w:t>
      </w:r>
    </w:p>
    <w:p w14:paraId="32208FCA">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13.4投标人对采购项目内容只允许有一个投标报价，否则其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154FFE1C">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13.5采购人不接受投标人给予的赠品、回扣或者与采购无关的其他商品、服务。如有赠与行为，其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7E0A0AD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13.6</w:t>
      </w:r>
      <w:r>
        <w:rPr>
          <w:rFonts w:hint="eastAsia" w:asciiTheme="minorEastAsia" w:hAnsiTheme="minorEastAsia" w:eastAsiaTheme="minorEastAsia"/>
        </w:rPr>
        <w:t>投标文件中标明的价格在合同执行过程中是固定不变的，不得以任何理由予以变更。任何包含价格调整要求和条件的投标，其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071028CC">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13.7投标人在投标截止时间前修改“开标一览表”中的投标报价的，应同时修改投标文件“分项报价明细表”“享受政府采购政策优惠的证明资料”以及“联合体协议书”（如果影响）等相关内容。</w:t>
      </w:r>
    </w:p>
    <w:p w14:paraId="66C46AF2">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13.8投标报价的其他要求见</w:t>
      </w:r>
      <w:r>
        <w:rPr>
          <w:rFonts w:hint="eastAsia" w:asciiTheme="minorEastAsia" w:hAnsiTheme="minorEastAsia"/>
          <w:b/>
          <w:szCs w:val="21"/>
        </w:rPr>
        <w:t>【投标须知前附表】</w:t>
      </w:r>
      <w:r>
        <w:rPr>
          <w:rFonts w:hint="eastAsia" w:asciiTheme="minorEastAsia" w:hAnsiTheme="minorEastAsia" w:eastAsiaTheme="minorEastAsia"/>
        </w:rPr>
        <w:t xml:space="preserve">。 </w:t>
      </w:r>
    </w:p>
    <w:p w14:paraId="7E34F021">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 xml:space="preserve">14. </w:t>
      </w:r>
      <w:r>
        <w:rPr>
          <w:rFonts w:hint="eastAsia" w:asciiTheme="minorEastAsia" w:hAnsiTheme="minorEastAsia" w:eastAsiaTheme="minorEastAsia"/>
          <w:b/>
          <w:bCs/>
          <w:sz w:val="24"/>
        </w:rPr>
        <w:t>投标人的资格证明文件</w:t>
      </w:r>
    </w:p>
    <w:p w14:paraId="3D31A982">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rPr>
        <w:t>14.1</w:t>
      </w:r>
      <w:r>
        <w:rPr>
          <w:rFonts w:hint="eastAsia" w:asciiTheme="minorEastAsia" w:hAnsiTheme="minorEastAsia" w:eastAsiaTheme="minorEastAsia"/>
          <w:szCs w:val="21"/>
        </w:rPr>
        <w:t>除</w:t>
      </w:r>
      <w:r>
        <w:rPr>
          <w:rFonts w:hint="eastAsia" w:asciiTheme="minorEastAsia" w:hAnsiTheme="minorEastAsia"/>
          <w:b/>
          <w:szCs w:val="21"/>
        </w:rPr>
        <w:t>【投标须知前附表】</w:t>
      </w:r>
      <w:r>
        <w:rPr>
          <w:rFonts w:hint="eastAsia" w:asciiTheme="minorEastAsia" w:hAnsiTheme="minorEastAsia" w:eastAsiaTheme="minorEastAsia"/>
          <w:szCs w:val="21"/>
        </w:rPr>
        <w:t>另有规</w:t>
      </w:r>
      <w:r>
        <w:rPr>
          <w:rFonts w:hint="eastAsia" w:asciiTheme="minorEastAsia" w:hAnsiTheme="minorEastAsia" w:eastAsiaTheme="minorEastAsia"/>
        </w:rPr>
        <w:t>定外，投标人应按下列规定提供资格证明文件。</w:t>
      </w:r>
    </w:p>
    <w:p w14:paraId="4D3ECC70">
      <w:pPr>
        <w:adjustRightInd w:val="0"/>
        <w:snapToGrid w:val="0"/>
        <w:spacing w:before="156" w:beforeLines="50" w:line="360" w:lineRule="auto"/>
        <w:ind w:firstLine="420" w:firstLineChars="200"/>
        <w:rPr>
          <w:rFonts w:hint="eastAsia" w:asciiTheme="minorEastAsia" w:hAnsiTheme="minorEastAsia"/>
        </w:rPr>
      </w:pPr>
      <w:r>
        <w:rPr>
          <w:rFonts w:hint="eastAsia" w:asciiTheme="minorEastAsia" w:hAnsiTheme="minorEastAsia"/>
        </w:rPr>
        <w:t>（1）</w:t>
      </w:r>
      <w:r>
        <w:rPr>
          <w:rFonts w:hint="eastAsia" w:asciiTheme="minorEastAsia" w:hAnsiTheme="minorEastAsia"/>
          <w:b/>
        </w:rPr>
        <w:t>法人或者其他组织的营业执照等主体资格证明文件，自然人的身份证明</w:t>
      </w:r>
      <w:r>
        <w:rPr>
          <w:rFonts w:hint="eastAsia" w:asciiTheme="minorEastAsia" w:hAnsiTheme="minorEastAsia"/>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4436AF8C">
      <w:pPr>
        <w:adjustRightInd w:val="0"/>
        <w:snapToGrid w:val="0"/>
        <w:spacing w:before="156" w:beforeLines="50" w:line="360" w:lineRule="auto"/>
        <w:ind w:firstLine="420" w:firstLineChars="200"/>
        <w:rPr>
          <w:rFonts w:hint="eastAsia" w:asciiTheme="minorEastAsia" w:hAnsiTheme="minorEastAsia"/>
        </w:rPr>
      </w:pPr>
      <w:r>
        <w:rPr>
          <w:rFonts w:hint="eastAsia" w:asciiTheme="minorEastAsia" w:hAnsiTheme="minorEastAsia"/>
        </w:rPr>
        <w:t>（2）</w:t>
      </w:r>
      <w:r>
        <w:rPr>
          <w:rFonts w:hint="eastAsia" w:asciiTheme="minorEastAsia" w:hAnsiTheme="minorEastAsia" w:eastAsiaTheme="minorEastAsia"/>
          <w:b/>
        </w:rPr>
        <w:t>投标人资格声明(格式)</w:t>
      </w:r>
    </w:p>
    <w:p w14:paraId="6980C810">
      <w:pPr>
        <w:adjustRightInd w:val="0"/>
        <w:snapToGrid w:val="0"/>
        <w:spacing w:before="156" w:beforeLines="50" w:line="360" w:lineRule="auto"/>
        <w:ind w:firstLine="420" w:firstLineChars="200"/>
        <w:rPr>
          <w:rFonts w:hint="eastAsia" w:asciiTheme="minorEastAsia" w:hAnsiTheme="minorEastAsia"/>
          <w:szCs w:val="21"/>
        </w:rPr>
      </w:pPr>
      <w:r>
        <w:rPr>
          <w:rFonts w:hint="eastAsia" w:asciiTheme="minorEastAsia" w:hAnsiTheme="minorEastAsia"/>
        </w:rPr>
        <w:t>（3）</w:t>
      </w:r>
      <w:r>
        <w:rPr>
          <w:rFonts w:hint="eastAsia" w:asciiTheme="minorEastAsia" w:hAnsiTheme="minorEastAsia"/>
          <w:b/>
        </w:rPr>
        <w:t>符合特定资格条件证明材料复印件或者情况说明原件</w:t>
      </w:r>
      <w:r>
        <w:rPr>
          <w:rFonts w:hint="eastAsia" w:asciiTheme="minorEastAsia" w:hAnsiTheme="minorEastAsia"/>
        </w:rPr>
        <w:t>。</w:t>
      </w:r>
      <w:r>
        <w:rPr>
          <w:rFonts w:hint="eastAsia" w:asciiTheme="minorEastAsia" w:hAnsiTheme="minorEastAsia"/>
          <w:szCs w:val="21"/>
        </w:rPr>
        <w:t>具体要求见</w:t>
      </w:r>
      <w:r>
        <w:rPr>
          <w:rFonts w:hint="eastAsia" w:asciiTheme="minorEastAsia" w:hAnsiTheme="minorEastAsia"/>
          <w:b/>
          <w:szCs w:val="21"/>
        </w:rPr>
        <w:t>【投标须知前附表】</w:t>
      </w:r>
      <w:r>
        <w:rPr>
          <w:rFonts w:hint="eastAsia" w:asciiTheme="minorEastAsia" w:hAnsiTheme="minorEastAsia"/>
          <w:szCs w:val="21"/>
        </w:rPr>
        <w:t>。</w:t>
      </w:r>
    </w:p>
    <w:p w14:paraId="2F77129F">
      <w:pPr>
        <w:adjustRightInd w:val="0"/>
        <w:snapToGrid w:val="0"/>
        <w:spacing w:before="156" w:beforeLines="50" w:line="360" w:lineRule="auto"/>
        <w:ind w:firstLine="420" w:firstLineChars="200"/>
        <w:rPr>
          <w:rFonts w:hint="eastAsia" w:asciiTheme="minorEastAsia" w:hAnsiTheme="minorEastAsia"/>
        </w:rPr>
      </w:pPr>
      <w:r>
        <w:rPr>
          <w:rFonts w:hint="eastAsia" w:asciiTheme="minorEastAsia" w:hAnsiTheme="minorEastAsia"/>
        </w:rPr>
        <w:t>14.2投标人以联合体形式投标的，除应提交联合协议(格式)外，参加联合体的各方均应提交上款资格证明材料。</w:t>
      </w:r>
    </w:p>
    <w:p w14:paraId="0D80F5E3">
      <w:pPr>
        <w:adjustRightInd w:val="0"/>
        <w:snapToGrid w:val="0"/>
        <w:spacing w:before="156" w:beforeLines="50" w:line="360" w:lineRule="auto"/>
        <w:ind w:firstLine="420" w:firstLineChars="200"/>
        <w:rPr>
          <w:rFonts w:hint="eastAsia" w:asciiTheme="minorEastAsia" w:hAnsiTheme="minorEastAsia"/>
        </w:rPr>
      </w:pPr>
      <w:r>
        <w:rPr>
          <w:rFonts w:hint="eastAsia" w:asciiTheme="minorEastAsia" w:hAnsiTheme="minorEastAsia"/>
        </w:rPr>
        <w:t>14.3投标人的资格证明文件均应为有效文件并加盖投标人电子章，并按招标文件规定签署。</w:t>
      </w:r>
    </w:p>
    <w:p w14:paraId="4E86810C">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15. 投标服务（含配套货物）符合招标文件规定的证明文件</w:t>
      </w:r>
    </w:p>
    <w:p w14:paraId="51F9BE0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15.1投标人应当提交其拟供的合同项下服务（含配套货物 ）符合招标文件规定的证明文件,该证明文件作为投标文件的一部分。</w:t>
      </w:r>
    </w:p>
    <w:p w14:paraId="68E70D6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15.2上述证明文件可以是文字资料、图表、数据、证书等资料，包括但不限于：</w:t>
      </w:r>
    </w:p>
    <w:p w14:paraId="084CF8D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（1）服务（含配套货物）主要技术指标和性能的详细说明。对有具体参数要求的指标，投标人应提供具体参数值；</w:t>
      </w:r>
    </w:p>
    <w:p w14:paraId="76EB036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（2）配套货物的品牌型号、制造商及原产地等说明；</w:t>
      </w:r>
    </w:p>
    <w:p w14:paraId="043D7A3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（3）招标文件第五章“采购需求”要求的其它文件。</w:t>
      </w:r>
    </w:p>
    <w:p w14:paraId="53E1D512">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16. 投标有效期</w:t>
      </w:r>
    </w:p>
    <w:p w14:paraId="286A133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16.1投标有效期从提交投标文件的截止之日起算。投标文件中承诺的投标有效期应当不少于</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中载明的投标有效期。投标有效期不满足要求的，其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431C62D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16.2投标有效期内投标人撤销投标文件的，投标人应承担招标文件和法律规定的责任。</w:t>
      </w:r>
    </w:p>
    <w:p w14:paraId="5D840D26">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sz w:val="24"/>
        </w:rPr>
        <w:t>17.分包</w:t>
      </w:r>
    </w:p>
    <w:p w14:paraId="552599B1">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17.1投标人拟在中标后将中</w:t>
      </w:r>
      <w:r>
        <w:rPr>
          <w:rFonts w:hint="eastAsia" w:asciiTheme="minorEastAsia" w:hAnsiTheme="minorEastAsia" w:eastAsiaTheme="minorEastAsia"/>
          <w:szCs w:val="21"/>
        </w:rPr>
        <w:t>标项目的非主体、非关键性工作进行分包的，应符合</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规定的分包内容、分包金</w:t>
      </w:r>
      <w:r>
        <w:rPr>
          <w:rFonts w:hint="eastAsia" w:asciiTheme="minorEastAsia" w:hAnsiTheme="minorEastAsia" w:eastAsiaTheme="minorEastAsia"/>
        </w:rPr>
        <w:t>额和资质要求等限制性条件，并在投标文件中载明分包承担主体，且分包承担主体不得再次分包。</w:t>
      </w:r>
    </w:p>
    <w:p w14:paraId="67D906D0">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17.2中标人应当就分包项目向采购人负责，分包承担主体就分包项目承担连带责任。</w:t>
      </w:r>
    </w:p>
    <w:p w14:paraId="3DA77D42">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17.3不符合招标文件中有关分包规定的，其</w:t>
      </w:r>
      <w:r>
        <w:rPr>
          <w:rFonts w:hint="eastAsia" w:asciiTheme="minorEastAsia" w:hAnsiTheme="minorEastAsia" w:eastAsiaTheme="minorEastAsia"/>
          <w:b/>
        </w:rPr>
        <w:t>投标无效</w:t>
      </w:r>
      <w:r>
        <w:rPr>
          <w:rFonts w:hint="eastAsia" w:asciiTheme="minorEastAsia" w:hAnsiTheme="minorEastAsia" w:eastAsiaTheme="minorEastAsia"/>
        </w:rPr>
        <w:t>。</w:t>
      </w:r>
    </w:p>
    <w:p w14:paraId="3DD970E8">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18. 电子投标投标文件的制作和签署</w:t>
      </w:r>
    </w:p>
    <w:p w14:paraId="127A1C3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18.1投标人确认投标后，应当在郴州市公共资源交易政府采购电子化平台上认可的“投标文件制作工具软件下载”制作投标文件（ 含澄清、说明文件）并进行固化、加密；</w:t>
      </w:r>
      <w:r>
        <w:rPr>
          <w:rFonts w:hint="eastAsia" w:asciiTheme="minorEastAsia" w:hAnsiTheme="minorEastAsia" w:eastAsiaTheme="minorEastAsia"/>
          <w:bCs/>
          <w:szCs w:val="21"/>
        </w:rPr>
        <w:t>否则将可能影响电子投标文件的上传而导致投标无效。</w:t>
      </w:r>
    </w:p>
    <w:p w14:paraId="74F046B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18.2投标人应按照电子招标文件格式及投标工具编制资格证明文件，不得将其编制上传到商务和技术文件中。否则，由于编制上传位置失误导致无法进行资格审查，由此所产生的后果和责任由投标人自行承担。</w:t>
      </w:r>
    </w:p>
    <w:p w14:paraId="1224CA9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18.3 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29241E4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18.4投标人应注意压缩电子文件，上传的有关扫描件的尺寸和清晰度应该能够在电脑上被阅读、识别和判断。若投标人未按要求提供证明材料或提供的是部分证明材料或提供不清晰的扫描件复印件，无法阅读、识别和判断的，由此可能导致的不予计分、废标等后果由投标人自行承担。</w:t>
      </w:r>
    </w:p>
    <w:p w14:paraId="276B3D1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18.5投标人应在电子投标文件指定签章处采用郴州市公共资源交易中心交易平台认可的CA数字证书（含电子印章）进行签章。</w:t>
      </w:r>
    </w:p>
    <w:p w14:paraId="21CE5416">
      <w:pPr>
        <w:adjustRightInd w:val="0"/>
        <w:snapToGrid w:val="0"/>
        <w:spacing w:line="360" w:lineRule="auto"/>
        <w:ind w:firstLine="420" w:firstLineChars="200"/>
        <w:jc w:val="left"/>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.6 </w:t>
      </w:r>
      <w:r>
        <w:rPr>
          <w:rFonts w:hint="eastAsia" w:ascii="宋体" w:hAnsi="宋体"/>
          <w:szCs w:val="21"/>
        </w:rPr>
        <w:t>电子招投标文件具有法律效力，若投标文件与招标文件要求不一致，其内容影响中标结果时，责任由投标人自行承担。</w:t>
      </w:r>
    </w:p>
    <w:p w14:paraId="5F197A66">
      <w:pPr>
        <w:adjustRightInd w:val="0"/>
        <w:snapToGrid w:val="0"/>
        <w:spacing w:line="360" w:lineRule="auto"/>
        <w:ind w:firstLine="420" w:firstLineChars="200"/>
        <w:jc w:val="left"/>
        <w:rPr>
          <w:rFonts w:hint="eastAsia" w:ascii="宋体" w:hAnsi="宋体"/>
          <w:color w:val="BFBFBF" w:themeColor="background1" w:themeShade="BF"/>
          <w:szCs w:val="21"/>
        </w:rPr>
      </w:pPr>
    </w:p>
    <w:p w14:paraId="2185437F">
      <w:pPr>
        <w:adjustRightInd w:val="0"/>
        <w:snapToGrid w:val="0"/>
        <w:spacing w:line="360" w:lineRule="auto"/>
        <w:ind w:firstLine="420" w:firstLineChars="200"/>
        <w:jc w:val="left"/>
        <w:rPr>
          <w:rFonts w:hint="eastAsia" w:ascii="宋体" w:hAnsi="宋体"/>
          <w:color w:val="BFBFBF" w:themeColor="background1" w:themeShade="BF"/>
          <w:szCs w:val="21"/>
        </w:rPr>
      </w:pPr>
    </w:p>
    <w:p w14:paraId="1B67FF61">
      <w:pPr>
        <w:pStyle w:val="5"/>
        <w:keepNext w:val="0"/>
        <w:keepLines w:val="0"/>
        <w:numPr>
          <w:ilvl w:val="0"/>
          <w:numId w:val="2"/>
        </w:numPr>
        <w:adjustRightInd w:val="0"/>
        <w:snapToGrid w:val="0"/>
        <w:spacing w:before="156" w:beforeLines="50" w:after="0" w:line="360" w:lineRule="auto"/>
        <w:jc w:val="center"/>
        <w:rPr>
          <w:rFonts w:hint="eastAsia" w:ascii="黑体" w:hAnsi="黑体" w:eastAsia="黑体"/>
          <w:sz w:val="28"/>
          <w:szCs w:val="28"/>
        </w:rPr>
      </w:pPr>
      <w:bookmarkStart w:id="35" w:name="_Toc4485"/>
      <w:bookmarkStart w:id="36" w:name="_Toc7674"/>
      <w:bookmarkStart w:id="37" w:name="_Toc29913900"/>
      <w:r>
        <w:rPr>
          <w:rFonts w:hint="eastAsia" w:ascii="黑体" w:hAnsi="黑体" w:eastAsia="黑体"/>
          <w:sz w:val="28"/>
          <w:szCs w:val="28"/>
        </w:rPr>
        <w:t>投标</w:t>
      </w:r>
      <w:bookmarkEnd w:id="35"/>
      <w:bookmarkEnd w:id="36"/>
      <w:bookmarkEnd w:id="37"/>
    </w:p>
    <w:p w14:paraId="57D9E830">
      <w:pPr>
        <w:numPr>
          <w:ilvl w:val="255"/>
          <w:numId w:val="0"/>
        </w:numPr>
        <w:rPr>
          <w:rFonts w:eastAsia="黑体"/>
        </w:rPr>
      </w:pPr>
      <w:bookmarkStart w:id="38" w:name="_Hlt226715444"/>
      <w:bookmarkEnd w:id="38"/>
      <w:bookmarkStart w:id="39" w:name="_Hlt193622730"/>
      <w:bookmarkEnd w:id="39"/>
    </w:p>
    <w:p w14:paraId="499F91B5">
      <w:pPr>
        <w:adjustRightInd w:val="0"/>
        <w:snapToGrid w:val="0"/>
        <w:spacing w:before="156" w:beforeLines="50" w:line="360" w:lineRule="auto"/>
        <w:ind w:firstLine="240" w:firstLineChars="100"/>
        <w:jc w:val="left"/>
        <w:rPr>
          <w:rFonts w:hint="eastAsia" w:asciiTheme="minorEastAsia" w:hAnsiTheme="minorEastAsia" w:eastAsiaTheme="minorEastAsia"/>
          <w:b/>
          <w:bCs/>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asciiTheme="minorEastAsia" w:hAnsiTheme="minorEastAsia" w:eastAsiaTheme="minorEastAsia"/>
          <w:b/>
          <w:bCs/>
          <w:sz w:val="24"/>
        </w:rPr>
        <w:t xml:space="preserve"> 电子投标文件的加密和提交</w:t>
      </w:r>
    </w:p>
    <w:p w14:paraId="21D6CC1D">
      <w:pPr>
        <w:spacing w:line="360" w:lineRule="exact"/>
        <w:ind w:firstLine="411" w:firstLineChars="196"/>
        <w:jc w:val="left"/>
        <w:rPr>
          <w:rFonts w:hint="eastAsia" w:asciiTheme="minorEastAsia" w:hAnsiTheme="minorEastAsia" w:eastAsiaTheme="minorEastAsia"/>
          <w:szCs w:val="21"/>
        </w:rPr>
      </w:pPr>
      <w:r>
        <w:rPr>
          <w:rFonts w:hint="eastAsia" w:asciiTheme="minorEastAsia" w:hAnsiTheme="minorEastAsia" w:eastAsiaTheme="minorEastAsia"/>
          <w:szCs w:val="21"/>
        </w:rPr>
        <w:t>19.1投标人应按照招标文件和交易平台的要求编制数据电文形式的投标文件并通过数字证书进行加密后，</w:t>
      </w:r>
      <w:r>
        <w:rPr>
          <w:rFonts w:hint="eastAsia" w:asciiTheme="minorEastAsia" w:hAnsiTheme="minorEastAsia" w:eastAsiaTheme="minorEastAsia"/>
          <w:bCs/>
          <w:szCs w:val="21"/>
        </w:rPr>
        <w:t>在招标文件【投标须知前附表】规定的开标时间前将电子投标文件上传到交易平台的对应项目。</w:t>
      </w:r>
      <w:r>
        <w:rPr>
          <w:rFonts w:hint="eastAsia" w:asciiTheme="minorEastAsia" w:hAnsiTheme="minorEastAsia" w:eastAsiaTheme="minorEastAsia"/>
          <w:szCs w:val="21"/>
        </w:rPr>
        <w:t>未按要求加密或逾期上传提交的投标文件，交易平台将无法接受, 采购代理机构不予受理。</w:t>
      </w:r>
    </w:p>
    <w:p w14:paraId="16A4738A">
      <w:pPr>
        <w:spacing w:line="360" w:lineRule="exact"/>
        <w:ind w:firstLine="411" w:firstLineChars="196"/>
        <w:rPr>
          <w:rFonts w:hint="eastAsia" w:ascii="宋体" w:hAnsi="宋体"/>
        </w:rPr>
      </w:pPr>
      <w:r>
        <w:rPr>
          <w:rFonts w:hint="eastAsia" w:ascii="宋体" w:hAnsi="宋体"/>
        </w:rPr>
        <w:t>19.2采购代理机构不接受投标截止时间后递交的纸质、电子、传真等所有形式的投标文件。</w:t>
      </w:r>
    </w:p>
    <w:p w14:paraId="4368FE5A">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19.3</w:t>
      </w:r>
      <w:r>
        <w:rPr>
          <w:rFonts w:hint="eastAsia" w:ascii="宋体" w:hAnsi="宋体"/>
        </w:rPr>
        <w:t>建议投标人于开标前一个工作日完成投标文件的制作与上传，</w:t>
      </w:r>
      <w:r>
        <w:rPr>
          <w:rFonts w:hint="eastAsia" w:asciiTheme="minorEastAsia" w:hAnsiTheme="minorEastAsia" w:eastAsiaTheme="minorEastAsia"/>
          <w:bCs/>
          <w:szCs w:val="21"/>
        </w:rPr>
        <w:t>系统将显示“上传成功”。如遇系统提示“上传未成功”，投标人应及时重新提交文件或与系统运维机构联系。</w:t>
      </w:r>
      <w:r>
        <w:rPr>
          <w:rFonts w:hint="eastAsia" w:ascii="宋体" w:hAnsi="宋体"/>
        </w:rPr>
        <w:t>由于投标人对电子投标操作不熟悉或自身电脑、网络等原因导致不能在投标截止时间之前上传提交投标文件的，</w:t>
      </w:r>
      <w:r>
        <w:rPr>
          <w:rFonts w:hint="eastAsia" w:asciiTheme="minorEastAsia" w:hAnsiTheme="minorEastAsia" w:eastAsiaTheme="minorEastAsia"/>
          <w:bCs/>
          <w:szCs w:val="21"/>
        </w:rPr>
        <w:t>由此造成的后果和责任由投标人自行承担。</w:t>
      </w:r>
    </w:p>
    <w:p w14:paraId="370B708B">
      <w:pPr>
        <w:adjustRightInd w:val="0"/>
        <w:snapToGrid w:val="0"/>
        <w:spacing w:before="156" w:beforeLines="50" w:line="360" w:lineRule="auto"/>
        <w:ind w:firstLine="480" w:firstLineChars="200"/>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20.电子投标文件的修改和撤回</w:t>
      </w:r>
    </w:p>
    <w:p w14:paraId="40CA5A2B">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20.1投标人在招标文件规定的投标截止时间前，可以撤回已上传的投标文件，也可以撤回并修改后再重新上传。</w:t>
      </w:r>
    </w:p>
    <w:p w14:paraId="581368B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bCs/>
          <w:szCs w:val="21"/>
        </w:rPr>
        <w:t>20.2采购人、采购代理机构发布了修改、澄清文件的，投标人应按照修改、澄清后的招标文件要求重新编制投标文件并上传至交易平台。</w:t>
      </w:r>
    </w:p>
    <w:p w14:paraId="709C026D">
      <w:pPr>
        <w:adjustRightInd w:val="0"/>
        <w:snapToGrid w:val="0"/>
        <w:spacing w:before="156" w:beforeLines="50" w:line="360" w:lineRule="auto"/>
        <w:ind w:firstLine="480" w:firstLineChars="200"/>
        <w:jc w:val="left"/>
        <w:rPr>
          <w:rFonts w:hint="eastAsia" w:cs="Arial" w:asciiTheme="minorEastAsia" w:hAnsiTheme="minorEastAsia" w:eastAsiaTheme="minorEastAsia"/>
          <w:b/>
          <w:sz w:val="24"/>
        </w:rPr>
      </w:pPr>
      <w:r>
        <w:rPr>
          <w:rFonts w:hint="eastAsia" w:asciiTheme="minorEastAsia" w:hAnsiTheme="minorEastAsia" w:eastAsiaTheme="minorEastAsia"/>
          <w:b/>
          <w:bCs/>
          <w:sz w:val="24"/>
        </w:rPr>
        <w:t>21.</w:t>
      </w:r>
      <w:r>
        <w:rPr>
          <w:rFonts w:hint="eastAsia" w:cs="Arial" w:asciiTheme="minorEastAsia" w:hAnsiTheme="minorEastAsia" w:eastAsiaTheme="minorEastAsia"/>
          <w:b/>
          <w:sz w:val="24"/>
        </w:rPr>
        <w:t xml:space="preserve"> 串通</w:t>
      </w:r>
      <w:r>
        <w:rPr>
          <w:rFonts w:hint="eastAsia" w:asciiTheme="minorEastAsia" w:hAnsiTheme="minorEastAsia" w:eastAsiaTheme="minorEastAsia"/>
          <w:b/>
          <w:sz w:val="24"/>
        </w:rPr>
        <w:t>投标行为</w:t>
      </w:r>
    </w:p>
    <w:p w14:paraId="22E027A7">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21.1有下列情形之一的，属于恶意串通，对投标人依照政府采购法第七十七条第一款的规定追究法律责任：</w:t>
      </w:r>
    </w:p>
    <w:p w14:paraId="5C35D8C3">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（1）投标人直接或者间接从采购人或者采购代理机构处获得其他投标人的相关情况并修改其投标文件；</w:t>
      </w:r>
    </w:p>
    <w:p w14:paraId="2531CF2D">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（2）投标人按照采购人或者采购代理机构的授意撤换、修改投标文件；</w:t>
      </w:r>
    </w:p>
    <w:p w14:paraId="6EB4FEC5">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（3）投标人之间协商报价、技术方案等投标文件的实质性内容；</w:t>
      </w:r>
    </w:p>
    <w:p w14:paraId="5CDF4E24">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（4）属于同一集团、协会、商会等组织成员的投标人按照该组织要求协同参加政府采购活动；</w:t>
      </w:r>
    </w:p>
    <w:p w14:paraId="01343954">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（5）投标人之间事先约定由某一特定投标人中标；</w:t>
      </w:r>
    </w:p>
    <w:p w14:paraId="0E93E5EA">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（6）投标人之间商定部分投标人放弃参加政府采购活动或者放弃中标；</w:t>
      </w:r>
    </w:p>
    <w:p w14:paraId="7537C023">
      <w:pPr>
        <w:adjustRightInd w:val="0"/>
        <w:snapToGrid w:val="0"/>
        <w:spacing w:before="156" w:beforeLines="50" w:line="360" w:lineRule="auto"/>
        <w:ind w:firstLine="396" w:firstLineChars="200"/>
        <w:jc w:val="left"/>
        <w:rPr>
          <w:rFonts w:hint="eastAsia" w:asciiTheme="minorEastAsia" w:hAnsiTheme="minorEastAsia" w:eastAsiaTheme="minorEastAsia"/>
          <w:spacing w:val="-6"/>
          <w:szCs w:val="21"/>
        </w:rPr>
      </w:pPr>
      <w:r>
        <w:rPr>
          <w:rFonts w:hint="eastAsia" w:asciiTheme="minorEastAsia" w:hAnsiTheme="minorEastAsia" w:eastAsiaTheme="minorEastAsia"/>
          <w:spacing w:val="-6"/>
          <w:szCs w:val="21"/>
        </w:rPr>
        <w:t>（7）投标人与采购人或者采购代理机构之间、投标人相互之间，为谋求特定投标人中标或者排斥其他投标人的其他串通行为。</w:t>
      </w:r>
    </w:p>
    <w:p w14:paraId="159FEE8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21.2有下列情形之一的，视为投标人串通投标，其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5ADBCA1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（1）不同投标人的投标文件由同一单位或者个人编制；</w:t>
      </w:r>
    </w:p>
    <w:p w14:paraId="127E31C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（2）不同投标人委托同一单位或者个人办理投标事宜；</w:t>
      </w:r>
    </w:p>
    <w:p w14:paraId="5712EF0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（3）不同投标人的投标文件载明的项目管理成员或者联系人员为同一人；</w:t>
      </w:r>
    </w:p>
    <w:p w14:paraId="10858C9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（4）不同投标人的投标文件异常一致或者投标报价呈规律性差异；</w:t>
      </w:r>
    </w:p>
    <w:p w14:paraId="586EF17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（5）不同投标人的投标文件相互签章；</w:t>
      </w:r>
    </w:p>
    <w:p w14:paraId="32F781EB">
      <w:pPr>
        <w:pStyle w:val="5"/>
        <w:adjustRightInd w:val="0"/>
        <w:snapToGrid w:val="0"/>
        <w:spacing w:before="156" w:beforeLines="50" w:after="0" w:line="360" w:lineRule="auto"/>
        <w:jc w:val="center"/>
        <w:rPr>
          <w:rFonts w:hint="eastAsia" w:ascii="黑体" w:hAnsi="黑体" w:eastAsia="黑体"/>
          <w:sz w:val="28"/>
          <w:szCs w:val="28"/>
        </w:rPr>
      </w:pPr>
      <w:bookmarkStart w:id="40" w:name="_Toc24655"/>
      <w:bookmarkStart w:id="41" w:name="_Toc29913901"/>
      <w:bookmarkStart w:id="42" w:name="_Toc30757"/>
      <w:r>
        <w:rPr>
          <w:rFonts w:hint="eastAsia" w:ascii="黑体" w:hAnsi="黑体" w:eastAsia="黑体"/>
          <w:sz w:val="28"/>
          <w:szCs w:val="28"/>
        </w:rPr>
        <w:t>五、开标，资格审查和评标</w:t>
      </w:r>
      <w:bookmarkEnd w:id="40"/>
      <w:bookmarkEnd w:id="41"/>
      <w:bookmarkEnd w:id="42"/>
    </w:p>
    <w:p w14:paraId="2AA0E8AE">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22. 开标</w:t>
      </w:r>
    </w:p>
    <w:p w14:paraId="6577FEB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 xml:space="preserve">22.1开标时，出现下列情形之一的，采购代理机构不予受理： </w:t>
      </w:r>
    </w:p>
    <w:p w14:paraId="5ADBCD27">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 xml:space="preserve">（1）经检查数字证书无效的电子投标文件； </w:t>
      </w:r>
    </w:p>
    <w:p w14:paraId="0DC385D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 xml:space="preserve">（2）电子投标文件未按照招标文件的要求进行加密的； </w:t>
      </w:r>
    </w:p>
    <w:p w14:paraId="5A9ACA4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（3）电子投标文件未按招标文件要求上传至交易平台的；</w:t>
      </w:r>
    </w:p>
    <w:p w14:paraId="3C72E32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（4）投标人未按照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规定的方式及时间解密电子投标文件的；</w:t>
      </w:r>
    </w:p>
    <w:p w14:paraId="3AFE798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（5）其它违反法律、法规的情形。</w:t>
      </w:r>
    </w:p>
    <w:p w14:paraId="36FA2CC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22.2采购人或者采购代理机构应按招标文件规定的时间、地点在交易平台上组织公开开标，并邀请投标人参加。</w:t>
      </w:r>
    </w:p>
    <w:p w14:paraId="29162DDB">
      <w:pPr>
        <w:spacing w:line="400" w:lineRule="atLeast"/>
        <w:ind w:firstLine="413"/>
        <w:jc w:val="left"/>
        <w:rPr>
          <w:rFonts w:hint="eastAsia" w:asciiTheme="minorEastAsia" w:hAnsiTheme="minorEastAsia" w:eastAsiaTheme="minorEastAsia"/>
          <w:szCs w:val="21"/>
        </w:rPr>
      </w:pPr>
      <w:r>
        <w:rPr>
          <w:rFonts w:hint="eastAsia" w:ascii="宋体" w:hAnsi="宋体" w:cs="宋体"/>
          <w:szCs w:val="21"/>
          <w:highlight w:val="white"/>
        </w:rPr>
        <w:t>22.3</w:t>
      </w:r>
      <w:r>
        <w:rPr>
          <w:highlight w:val="white"/>
        </w:rPr>
        <w:t>投标人在开标时间前提前登录网上开标系统</w:t>
      </w:r>
      <w:r>
        <w:rPr>
          <w:rFonts w:hint="eastAsia"/>
          <w:highlight w:val="white"/>
        </w:rPr>
        <w:t>，</w:t>
      </w:r>
      <w:r>
        <w:rPr>
          <w:rFonts w:hint="eastAsia" w:ascii="宋体" w:hAnsi="宋体" w:cs="宋体"/>
          <w:szCs w:val="21"/>
          <w:highlight w:val="white"/>
        </w:rPr>
        <w:t>通过网上开标系统参加开标会</w:t>
      </w:r>
      <w:r>
        <w:rPr>
          <w:rFonts w:hint="eastAsia"/>
          <w:highlight w:val="white"/>
        </w:rPr>
        <w:t>。</w:t>
      </w:r>
    </w:p>
    <w:p w14:paraId="5E2290D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 xml:space="preserve">22.4开标程序。采购代理机构在投标截止时间后，按下列程序进行开标： </w:t>
      </w:r>
    </w:p>
    <w:p w14:paraId="534170A5">
      <w:pPr>
        <w:spacing w:line="400" w:lineRule="atLeast"/>
        <w:ind w:firstLine="413"/>
        <w:jc w:val="left"/>
        <w:rPr>
          <w:rFonts w:hint="eastAsia" w:asciiTheme="minorEastAsia" w:hAnsiTheme="minorEastAsia" w:eastAsiaTheme="minorEastAsia"/>
          <w:szCs w:val="21"/>
        </w:rPr>
      </w:pPr>
      <w:r>
        <w:rPr>
          <w:rFonts w:hint="eastAsia" w:asciiTheme="minorEastAsia" w:hAnsiTheme="minorEastAsia" w:eastAsiaTheme="minorEastAsia"/>
          <w:szCs w:val="21"/>
        </w:rPr>
        <w:t>（1）宣读。投标截止时间，采购代理机构登根据系统显示宣布报名的投标人数量和上传了投标文件的投标人数量。</w:t>
      </w:r>
    </w:p>
    <w:p w14:paraId="2567DE6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（2）解密。采购代理机构在系统发出解密指令。</w:t>
      </w:r>
      <w:r>
        <w:rPr>
          <w:rFonts w:ascii="宋体" w:hAnsi="宋体"/>
          <w:highlight w:val="white"/>
        </w:rPr>
        <w:t>投标人根据系统发出投标文件解密指令提示后在规定时间内使用加密投标文件的CA数字证书进行投标文件解密。解密时限</w:t>
      </w:r>
      <w:r>
        <w:rPr>
          <w:rFonts w:hint="eastAsia" w:ascii="宋体" w:hAnsi="宋体"/>
          <w:highlight w:val="white"/>
        </w:rPr>
        <w:t>见第二章第一节《投标须知前附表》</w:t>
      </w:r>
      <w:r>
        <w:rPr>
          <w:rFonts w:ascii="宋体" w:hAnsi="宋体"/>
          <w:highlight w:val="white"/>
        </w:rPr>
        <w:t>，投标文件在解密时限内</w:t>
      </w:r>
      <w:r>
        <w:rPr>
          <w:rFonts w:hint="eastAsia" w:ascii="宋体" w:hAnsi="宋体"/>
          <w:highlight w:val="white"/>
        </w:rPr>
        <w:t>解密成功的为有效投标人，</w:t>
      </w:r>
      <w:r>
        <w:rPr>
          <w:rFonts w:ascii="宋体" w:hAnsi="宋体"/>
          <w:highlight w:val="white"/>
        </w:rPr>
        <w:t>未解密或解密失败，视为撤销其投标文件，开标继续进行。</w:t>
      </w:r>
      <w:r>
        <w:rPr>
          <w:rFonts w:hint="eastAsia" w:ascii="宋体" w:hAnsi="宋体"/>
          <w:highlight w:val="white"/>
        </w:rPr>
        <w:t>当</w:t>
      </w:r>
      <w:r>
        <w:rPr>
          <w:rFonts w:hint="eastAsia" w:asciiTheme="minorEastAsia" w:hAnsiTheme="minorEastAsia" w:eastAsiaTheme="minorEastAsia"/>
          <w:szCs w:val="21"/>
        </w:rPr>
        <w:t>解密成功的投标人不足3家时，开标不再继续。</w:t>
      </w:r>
    </w:p>
    <w:p w14:paraId="159C60CE">
      <w:pPr>
        <w:spacing w:line="400" w:lineRule="atLeast"/>
        <w:ind w:firstLine="413"/>
        <w:jc w:val="left"/>
        <w:rPr>
          <w:rFonts w:hint="eastAsia" w:asciiTheme="minorEastAsia" w:hAnsiTheme="minorEastAsia" w:eastAsiaTheme="minorEastAsia"/>
          <w:szCs w:val="21"/>
        </w:rPr>
      </w:pPr>
      <w:r>
        <w:rPr>
          <w:rFonts w:hint="eastAsia" w:asciiTheme="minorEastAsia" w:hAnsiTheme="minorEastAsia" w:eastAsiaTheme="minorEastAsia"/>
          <w:szCs w:val="21"/>
        </w:rPr>
        <w:t>（3）唱标。</w:t>
      </w:r>
      <w:r>
        <w:rPr>
          <w:rFonts w:ascii="宋体" w:hAnsi="宋体"/>
          <w:highlight w:val="white"/>
        </w:rPr>
        <w:t>以</w:t>
      </w:r>
      <w:r>
        <w:rPr>
          <w:rFonts w:hint="eastAsia" w:ascii="宋体" w:hAnsi="宋体"/>
          <w:highlight w:val="white"/>
        </w:rPr>
        <w:t>投标人</w:t>
      </w:r>
      <w:r>
        <w:rPr>
          <w:rFonts w:ascii="宋体" w:hAnsi="宋体"/>
          <w:highlight w:val="white"/>
        </w:rPr>
        <w:t>《开标一览表》为准，</w:t>
      </w:r>
      <w:r>
        <w:rPr>
          <w:rFonts w:hint="eastAsia"/>
          <w:highlight w:val="white"/>
        </w:rPr>
        <w:t>由系统在线公布投标人名单、开标关键数据情况</w:t>
      </w:r>
      <w:r>
        <w:rPr>
          <w:rFonts w:ascii="宋体" w:hAnsi="宋体"/>
          <w:highlight w:val="white"/>
        </w:rPr>
        <w:t>。</w:t>
      </w:r>
      <w:r>
        <w:rPr>
          <w:rFonts w:hint="eastAsia" w:ascii="宋体" w:hAnsi="宋体"/>
          <w:highlight w:val="white"/>
        </w:rPr>
        <w:t>电子交易系统</w:t>
      </w:r>
      <w:r>
        <w:rPr>
          <w:rFonts w:ascii="宋体" w:hAnsi="宋体"/>
          <w:highlight w:val="white"/>
        </w:rPr>
        <w:t>在线</w:t>
      </w:r>
      <w:r>
        <w:rPr>
          <w:rFonts w:hint="eastAsia" w:ascii="宋体" w:hAnsi="宋体"/>
          <w:highlight w:val="white"/>
        </w:rPr>
        <w:t>即时</w:t>
      </w:r>
      <w:r>
        <w:rPr>
          <w:rFonts w:ascii="宋体" w:hAnsi="宋体"/>
          <w:highlight w:val="white"/>
        </w:rPr>
        <w:t>生成《开标记录表》</w:t>
      </w:r>
      <w:r>
        <w:rPr>
          <w:rFonts w:hint="eastAsia" w:ascii="宋体" w:hAnsi="宋体"/>
          <w:highlight w:val="white"/>
        </w:rPr>
        <w:t>，</w:t>
      </w:r>
      <w:r>
        <w:rPr>
          <w:rFonts w:ascii="宋体" w:hAnsi="宋体"/>
          <w:highlight w:val="white"/>
        </w:rPr>
        <w:t>所有</w:t>
      </w:r>
      <w:r>
        <w:rPr>
          <w:rFonts w:hint="eastAsia" w:ascii="宋体" w:hAnsi="宋体"/>
          <w:highlight w:val="white"/>
        </w:rPr>
        <w:t>解密成功的</w:t>
      </w:r>
      <w:r>
        <w:rPr>
          <w:rFonts w:ascii="宋体" w:hAnsi="宋体"/>
          <w:highlight w:val="white"/>
        </w:rPr>
        <w:t>投标人可以在线即时查看、下载。</w:t>
      </w:r>
    </w:p>
    <w:p w14:paraId="44A6B67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（4）确认。投标人法定代表人或授权代表应在规定的时间内通过电子交易系统在《开标记录表》上进行确认。投标人未在规定的时间进行确认的，视同认可开标结果。</w:t>
      </w:r>
    </w:p>
    <w:p w14:paraId="048F002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22.5 投标人代表对开标过程和开标记录有疑义，以及认为采购人或者采购代理机构相关工作人员有《政府采购法实施条例》第九条第一款需要回避的情形的，应当场提出询问或者回避申请。</w:t>
      </w:r>
    </w:p>
    <w:p w14:paraId="4A11096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22.6采购人或者采购代理机构对投标人代表当场提出的询问或者回避申请，按《政府采购法实施条例》有关规定及时处理。</w:t>
      </w:r>
    </w:p>
    <w:p w14:paraId="5CC67CCB">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asciiTheme="minorEastAsia" w:hAnsiTheme="minorEastAsia" w:eastAsiaTheme="minorEastAsia"/>
          <w:bCs/>
          <w:szCs w:val="21"/>
        </w:rPr>
        <w:t>2</w:t>
      </w:r>
      <w:r>
        <w:rPr>
          <w:rFonts w:hint="eastAsia" w:asciiTheme="minorEastAsia" w:hAnsiTheme="minorEastAsia" w:eastAsiaTheme="minorEastAsia"/>
          <w:bCs/>
          <w:szCs w:val="21"/>
        </w:rPr>
        <w:t>2</w:t>
      </w:r>
      <w:r>
        <w:rPr>
          <w:rFonts w:asciiTheme="minorEastAsia" w:hAnsiTheme="minorEastAsia" w:eastAsiaTheme="minorEastAsia"/>
          <w:bCs/>
          <w:szCs w:val="21"/>
        </w:rPr>
        <w:t>.</w:t>
      </w:r>
      <w:r>
        <w:rPr>
          <w:rFonts w:hint="eastAsia" w:asciiTheme="minorEastAsia" w:hAnsiTheme="minorEastAsia" w:eastAsiaTheme="minorEastAsia"/>
          <w:bCs/>
          <w:szCs w:val="21"/>
        </w:rPr>
        <w:t>7</w:t>
      </w:r>
      <w:r>
        <w:rPr>
          <w:rFonts w:asciiTheme="minorEastAsia" w:hAnsiTheme="minorEastAsia" w:eastAsiaTheme="minorEastAsia"/>
          <w:bCs/>
          <w:szCs w:val="21"/>
        </w:rPr>
        <w:t>开标时，出现下列情形之一的，视为投标人撤销其投标</w:t>
      </w:r>
      <w:r>
        <w:rPr>
          <w:rFonts w:hint="eastAsia" w:asciiTheme="minorEastAsia" w:hAnsiTheme="minorEastAsia" w:eastAsiaTheme="minorEastAsia"/>
          <w:bCs/>
          <w:szCs w:val="21"/>
        </w:rPr>
        <w:t>。</w:t>
      </w:r>
    </w:p>
    <w:p w14:paraId="07FDD877">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w:t>
      </w:r>
      <w:r>
        <w:rPr>
          <w:rFonts w:asciiTheme="minorEastAsia" w:hAnsiTheme="minorEastAsia" w:eastAsiaTheme="minorEastAsia"/>
          <w:bCs/>
          <w:szCs w:val="21"/>
        </w:rPr>
        <w:t>1</w:t>
      </w:r>
      <w:r>
        <w:rPr>
          <w:rFonts w:hint="eastAsia" w:asciiTheme="minorEastAsia" w:hAnsiTheme="minorEastAsia" w:eastAsiaTheme="minorEastAsia"/>
          <w:bCs/>
          <w:szCs w:val="21"/>
        </w:rPr>
        <w:t>）</w:t>
      </w:r>
      <w:r>
        <w:rPr>
          <w:rFonts w:asciiTheme="minorEastAsia" w:hAnsiTheme="minorEastAsia" w:eastAsiaTheme="minorEastAsia"/>
          <w:bCs/>
          <w:szCs w:val="21"/>
        </w:rPr>
        <w:t>投标人未按要求配置开标所需的软硬件设备，导致解密失败的；</w:t>
      </w:r>
    </w:p>
    <w:p w14:paraId="18732487">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asciiTheme="minorEastAsia" w:hAnsiTheme="minorEastAsia" w:eastAsiaTheme="minorEastAsia"/>
          <w:bCs/>
          <w:szCs w:val="21"/>
        </w:rPr>
        <w:t>（2）投标人电脑故障或无法上网，导致解密失败的； </w:t>
      </w:r>
    </w:p>
    <w:p w14:paraId="3135BDBD">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asciiTheme="minorEastAsia" w:hAnsiTheme="minorEastAsia" w:eastAsiaTheme="minorEastAsia"/>
          <w:bCs/>
          <w:szCs w:val="21"/>
        </w:rPr>
        <w:t>（3）</w:t>
      </w:r>
      <w:r>
        <w:rPr>
          <w:rFonts w:hint="eastAsia" w:asciiTheme="minorEastAsia" w:hAnsiTheme="minorEastAsia" w:eastAsiaTheme="minorEastAsia"/>
          <w:bCs/>
          <w:szCs w:val="21"/>
        </w:rPr>
        <w:t>投标人电子</w:t>
      </w:r>
      <w:r>
        <w:rPr>
          <w:rFonts w:asciiTheme="minorEastAsia" w:hAnsiTheme="minorEastAsia" w:eastAsiaTheme="minorEastAsia"/>
          <w:bCs/>
          <w:szCs w:val="21"/>
        </w:rPr>
        <w:t>CA</w:t>
      </w:r>
      <w:r>
        <w:rPr>
          <w:rFonts w:hint="eastAsia" w:asciiTheme="minorEastAsia" w:hAnsiTheme="minorEastAsia" w:eastAsiaTheme="minorEastAsia"/>
          <w:bCs/>
          <w:szCs w:val="21"/>
        </w:rPr>
        <w:t>证书</w:t>
      </w:r>
      <w:r>
        <w:rPr>
          <w:rFonts w:asciiTheme="minorEastAsia" w:hAnsiTheme="minorEastAsia" w:eastAsiaTheme="minorEastAsia"/>
          <w:bCs/>
          <w:szCs w:val="21"/>
        </w:rPr>
        <w:t>发生故障、失效、错误等，导致解密失败的；</w:t>
      </w:r>
    </w:p>
    <w:p w14:paraId="1C19C51B">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asciiTheme="minorEastAsia" w:hAnsiTheme="minorEastAsia" w:eastAsiaTheme="minorEastAsia"/>
          <w:bCs/>
          <w:szCs w:val="21"/>
        </w:rPr>
        <w:t>（4）解密时间超过规定时限的；</w:t>
      </w:r>
    </w:p>
    <w:p w14:paraId="2260D510">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asciiTheme="minorEastAsia" w:hAnsiTheme="minorEastAsia" w:eastAsiaTheme="minorEastAsia"/>
          <w:bCs/>
          <w:szCs w:val="21"/>
        </w:rPr>
        <w:t>（5）其他由于投标人自身原因导致解密失效的情形。</w:t>
      </w:r>
    </w:p>
    <w:p w14:paraId="72429636">
      <w:pPr>
        <w:spacing w:line="400" w:lineRule="exact"/>
        <w:ind w:firstLine="720"/>
        <w:rPr>
          <w:rFonts w:hint="eastAsia" w:ascii="宋体" w:hAnsi="宋体"/>
          <w:b/>
          <w:highlight w:val="white"/>
        </w:rPr>
      </w:pPr>
    </w:p>
    <w:p w14:paraId="0B140F9D">
      <w:pPr>
        <w:adjustRightInd w:val="0"/>
        <w:snapToGrid w:val="0"/>
        <w:spacing w:before="156" w:beforeLines="50" w:line="360" w:lineRule="auto"/>
        <w:jc w:val="left"/>
        <w:rPr>
          <w:rFonts w:hint="eastAsia" w:asciiTheme="minorEastAsia" w:hAnsiTheme="minorEastAsia" w:eastAsiaTheme="minorEastAsia"/>
          <w:b/>
          <w:sz w:val="24"/>
        </w:rPr>
      </w:pPr>
      <w:r>
        <w:rPr>
          <w:rStyle w:val="24"/>
          <w:rFonts w:hint="eastAsia" w:cs="Arial" w:asciiTheme="minorEastAsia" w:hAnsiTheme="minorEastAsia" w:eastAsiaTheme="minorEastAsia"/>
          <w:sz w:val="24"/>
        </w:rPr>
        <w:t>23.</w:t>
      </w:r>
      <w:r>
        <w:rPr>
          <w:rFonts w:hint="eastAsia" w:asciiTheme="minorEastAsia" w:hAnsiTheme="minorEastAsia" w:eastAsiaTheme="minorEastAsia"/>
          <w:b/>
          <w:sz w:val="24"/>
        </w:rPr>
        <w:t xml:space="preserve"> 资格审查</w:t>
      </w:r>
    </w:p>
    <w:p w14:paraId="384FAA5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23.1开标结束后，采购人、采购代理机构依法按照第三章</w:t>
      </w:r>
      <w:r>
        <w:rPr>
          <w:rFonts w:hint="eastAsia" w:ascii="华文宋体" w:hAnsi="华文宋体" w:eastAsia="华文宋体"/>
          <w:szCs w:val="21"/>
        </w:rPr>
        <w:t>“</w:t>
      </w:r>
      <w:r>
        <w:rPr>
          <w:rFonts w:hint="eastAsia" w:asciiTheme="minorEastAsia" w:hAnsiTheme="minorEastAsia" w:eastAsiaTheme="minorEastAsia"/>
          <w:szCs w:val="21"/>
        </w:rPr>
        <w:t>资格审查</w:t>
      </w:r>
      <w:r>
        <w:rPr>
          <w:rFonts w:hint="eastAsia" w:ascii="华文宋体" w:hAnsi="华文宋体" w:eastAsia="华文宋体"/>
          <w:szCs w:val="21"/>
        </w:rPr>
        <w:t>”</w:t>
      </w:r>
      <w:r>
        <w:rPr>
          <w:rFonts w:hint="eastAsia" w:asciiTheme="minorEastAsia" w:hAnsiTheme="minorEastAsia" w:eastAsiaTheme="minorEastAsia"/>
          <w:szCs w:val="21"/>
        </w:rPr>
        <w:t>规定组织资格审查。</w:t>
      </w:r>
    </w:p>
    <w:p w14:paraId="768D403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23.2资格审查结束后，采购人、采购代理机构应将资格审查结果告知评标委员会。资格审查不合格投标人不进入评标；经资格审查合格投标人少于3家的，不得评标。</w:t>
      </w:r>
    </w:p>
    <w:p w14:paraId="0EE1DA43">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bCs/>
          <w:sz w:val="24"/>
        </w:rPr>
        <w:t>24.</w:t>
      </w:r>
      <w:r>
        <w:rPr>
          <w:rFonts w:hint="eastAsia" w:asciiTheme="minorEastAsia" w:hAnsiTheme="minorEastAsia" w:eastAsiaTheme="minorEastAsia"/>
          <w:b/>
          <w:sz w:val="24"/>
        </w:rPr>
        <w:t xml:space="preserve"> 评标委员会</w:t>
      </w:r>
    </w:p>
    <w:p w14:paraId="5807FE4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24.1评标由依法组建的评标委员会负责，评标委员会由采购人代表和评审专家组成。</w:t>
      </w:r>
    </w:p>
    <w:p w14:paraId="3933FFA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24.2评标委员会成员有下列情形之一的，应当回避：</w:t>
      </w:r>
    </w:p>
    <w:p w14:paraId="7E89612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（1）参加采购活动前三年内,与投标人存在劳动关系,或者担任过投标人的董事、监事,或者是投标人的控股股东或实际控制人；</w:t>
      </w:r>
    </w:p>
    <w:p w14:paraId="0958820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（2）与投标人的法定代表人或者负责人有夫妻、直系血亲、三代以内旁系血亲或者近姻亲关系；</w:t>
      </w:r>
    </w:p>
    <w:p w14:paraId="63E1D6A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（3）与投标人有其他可能影响政府采购活动公平、公正进行的关系。</w:t>
      </w:r>
    </w:p>
    <w:p w14:paraId="0A30514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24.3评标委员会负责具体评标事务，并独立履行下列职责：</w:t>
      </w:r>
    </w:p>
    <w:p w14:paraId="3E2A41C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（1）审查、评价投标文件是否符合招标文件的商务、技术等实质性要求；</w:t>
      </w:r>
    </w:p>
    <w:p w14:paraId="5961EAE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（2）要求投标人对投标文件有关事项作出澄清或者说明；</w:t>
      </w:r>
    </w:p>
    <w:p w14:paraId="3C3DD6B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（3）对投标文件进行比较和评价；</w:t>
      </w:r>
    </w:p>
    <w:p w14:paraId="4972AD7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（4）确定中标候选人名单，以及根据采购人委托直接确定中标人。</w:t>
      </w:r>
    </w:p>
    <w:p w14:paraId="223D96E8">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25.</w:t>
      </w:r>
      <w:r>
        <w:rPr>
          <w:rFonts w:hint="eastAsia" w:asciiTheme="minorEastAsia" w:hAnsiTheme="minorEastAsia" w:eastAsiaTheme="minorEastAsia"/>
          <w:b/>
          <w:bCs/>
          <w:sz w:val="24"/>
        </w:rPr>
        <w:t xml:space="preserve"> 评标</w:t>
      </w:r>
    </w:p>
    <w:p w14:paraId="7CE8A628">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25.1评标委员会按照</w:t>
      </w:r>
      <w:r>
        <w:rPr>
          <w:rFonts w:hint="eastAsia" w:asciiTheme="minorEastAsia" w:hAnsiTheme="minorEastAsia" w:eastAsiaTheme="minorEastAsia"/>
          <w:bCs/>
        </w:rPr>
        <w:t>第四章</w:t>
      </w:r>
      <w:r>
        <w:rPr>
          <w:rFonts w:hint="eastAsia" w:ascii="华文宋体" w:hAnsi="华文宋体" w:eastAsia="华文宋体"/>
          <w:bCs/>
        </w:rPr>
        <w:t>“</w:t>
      </w:r>
      <w:r>
        <w:rPr>
          <w:rFonts w:hint="eastAsia" w:asciiTheme="minorEastAsia" w:hAnsiTheme="minorEastAsia" w:eastAsiaTheme="minorEastAsia"/>
          <w:bCs/>
        </w:rPr>
        <w:t>评标方法及标准</w:t>
      </w:r>
      <w:r>
        <w:rPr>
          <w:rFonts w:hint="eastAsia" w:ascii="华文宋体" w:hAnsi="华文宋体" w:eastAsia="华文宋体"/>
          <w:bCs/>
        </w:rPr>
        <w:t>”</w:t>
      </w:r>
      <w:r>
        <w:rPr>
          <w:rFonts w:hint="eastAsia" w:asciiTheme="minorEastAsia" w:hAnsiTheme="minorEastAsia" w:eastAsiaTheme="minorEastAsia"/>
        </w:rPr>
        <w:t>规定的评标方法、评审因素、标准和程序以及有关法律、法规及规章对投标文件进行评审。</w:t>
      </w:r>
    </w:p>
    <w:p w14:paraId="4170E270">
      <w:pPr>
        <w:pStyle w:val="5"/>
        <w:adjustRightInd w:val="0"/>
        <w:snapToGrid w:val="0"/>
        <w:spacing w:before="156" w:beforeLines="50" w:after="0" w:line="360" w:lineRule="auto"/>
        <w:jc w:val="center"/>
        <w:rPr>
          <w:rFonts w:hint="eastAsia" w:ascii="黑体" w:hAnsi="黑体" w:eastAsia="黑体"/>
          <w:sz w:val="28"/>
          <w:szCs w:val="28"/>
        </w:rPr>
      </w:pPr>
      <w:bookmarkStart w:id="43" w:name="_Toc29913902"/>
      <w:bookmarkStart w:id="44" w:name="_Toc28111"/>
      <w:bookmarkStart w:id="45" w:name="_Toc14161"/>
      <w:r>
        <w:rPr>
          <w:rFonts w:hint="eastAsia" w:ascii="黑体" w:hAnsi="黑体" w:eastAsia="黑体"/>
          <w:sz w:val="28"/>
          <w:szCs w:val="28"/>
        </w:rPr>
        <w:t>六、中标信息公布</w:t>
      </w:r>
      <w:bookmarkEnd w:id="43"/>
      <w:bookmarkEnd w:id="44"/>
      <w:bookmarkEnd w:id="45"/>
    </w:p>
    <w:p w14:paraId="1636BBCB">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 xml:space="preserve">26. </w:t>
      </w:r>
      <w:r>
        <w:rPr>
          <w:rFonts w:hint="eastAsia" w:asciiTheme="minorEastAsia" w:hAnsiTheme="minorEastAsia" w:eastAsiaTheme="minorEastAsia"/>
          <w:b/>
          <w:bCs/>
          <w:sz w:val="24"/>
        </w:rPr>
        <w:t>中标通知书与中标信息公布</w:t>
      </w:r>
    </w:p>
    <w:p w14:paraId="7F10AA9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26.1采购代理机构应当在评标结束后2个工作日内将评标报告送采购人。</w:t>
      </w:r>
    </w:p>
    <w:p w14:paraId="5FAC2A4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26.2采购人应当自收到评标报告之日起5个工作日内，在评标报告确定的中标候选人名单中按顺序确定中标人。中标候选人并列的，按照</w:t>
      </w:r>
      <w:r>
        <w:rPr>
          <w:rFonts w:hint="eastAsia" w:asciiTheme="minorEastAsia" w:hAnsiTheme="minorEastAsia" w:eastAsiaTheme="minorEastAsia"/>
          <w:b/>
          <w:szCs w:val="21"/>
        </w:rPr>
        <w:t>【投标须知前附表】</w:t>
      </w:r>
      <w:r>
        <w:rPr>
          <w:rFonts w:hint="eastAsia" w:asciiTheme="minorEastAsia" w:hAnsiTheme="minorEastAsia" w:eastAsiaTheme="minorEastAsia"/>
          <w:szCs w:val="21"/>
        </w:rPr>
        <w:t>规定的方式确定中标人；招标文件未规定的，采取随机抽取的方式确定。</w:t>
      </w:r>
    </w:p>
    <w:p w14:paraId="4E97C2C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26.3采购人、采购代理机构应当自采购人确定中标供应商之日起2个工作日内，发出中标通知书，并在招标公告指定媒体上公告中标结果，招标文件随中标结果同时公告，中标结果公告期限为１个工作日。</w:t>
      </w:r>
    </w:p>
    <w:p w14:paraId="35E591F7">
      <w:pPr>
        <w:numPr>
          <w:ilvl w:val="0"/>
          <w:numId w:val="3"/>
        </w:num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sz w:val="24"/>
        </w:rPr>
        <w:t>投标人询问及</w:t>
      </w:r>
      <w:r>
        <w:rPr>
          <w:rFonts w:hint="eastAsia" w:asciiTheme="minorEastAsia" w:hAnsiTheme="minorEastAsia" w:eastAsiaTheme="minorEastAsia"/>
          <w:b/>
          <w:bCs/>
          <w:sz w:val="24"/>
        </w:rPr>
        <w:t>质疑</w:t>
      </w:r>
    </w:p>
    <w:p w14:paraId="19BE286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27.1投标人对政府采购活动事项有疑问的，可以向采购人、采购代理机构提出询问。采购人或采购代理机构将在3个工作日内作出答复。</w:t>
      </w:r>
    </w:p>
    <w:p w14:paraId="7BA879E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27.2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23AE952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27.3投标人提出质疑的，应按照《湖南省财政厅关于印发＜政府采购质疑答复和投诉处理操作规程＞的通知》规定制作、签署、送达。采购人、采购代理机构接收质疑函的联系部门、联系电话和通讯地址见</w:t>
      </w:r>
      <w:r>
        <w:rPr>
          <w:rFonts w:hint="eastAsia" w:asciiTheme="minorEastAsia" w:hAnsiTheme="minorEastAsia" w:eastAsiaTheme="minorEastAsia"/>
          <w:b/>
          <w:szCs w:val="21"/>
        </w:rPr>
        <w:t>【申请人须知前附表】</w:t>
      </w:r>
      <w:r>
        <w:rPr>
          <w:rFonts w:hint="eastAsia" w:asciiTheme="minorEastAsia" w:hAnsiTheme="minorEastAsia" w:eastAsiaTheme="minorEastAsia"/>
          <w:szCs w:val="21"/>
        </w:rPr>
        <w:t xml:space="preserve">。  </w:t>
      </w:r>
    </w:p>
    <w:p w14:paraId="2D3E6FC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27.4采购人、采购代理机构按照《湖南省财政厅关于印发＜政府采购质疑答复和投诉处理操作规程＞的通知》规定进行质疑答复。</w:t>
      </w:r>
    </w:p>
    <w:p w14:paraId="43AAFEA4">
      <w:pPr>
        <w:adjustRightInd w:val="0"/>
        <w:snapToGrid w:val="0"/>
        <w:spacing w:before="156" w:beforeLines="50" w:line="360" w:lineRule="auto"/>
        <w:ind w:firstLine="420" w:firstLineChars="200"/>
        <w:jc w:val="left"/>
        <w:rPr>
          <w:rFonts w:hint="eastAsia" w:asciiTheme="minorEastAsia" w:hAnsiTheme="minorEastAsia" w:eastAsiaTheme="minorEastAsia"/>
          <w:b/>
          <w:bCs/>
        </w:rPr>
      </w:pPr>
      <w:r>
        <w:rPr>
          <w:rFonts w:hint="eastAsia" w:asciiTheme="minorEastAsia" w:hAnsiTheme="minorEastAsia" w:eastAsiaTheme="minorEastAsia"/>
          <w:szCs w:val="21"/>
        </w:rPr>
        <w:t>27</w:t>
      </w:r>
      <w:r>
        <w:rPr>
          <w:rFonts w:asciiTheme="minorEastAsia" w:hAnsiTheme="minorEastAsia" w:eastAsiaTheme="minorEastAsia"/>
          <w:szCs w:val="21"/>
        </w:rPr>
        <w:t>.</w:t>
      </w:r>
      <w:r>
        <w:rPr>
          <w:rFonts w:hint="eastAsia" w:asciiTheme="minorEastAsia" w:hAnsiTheme="minorEastAsia" w:eastAsiaTheme="minorEastAsia"/>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0BFE8ED2">
      <w:pPr>
        <w:pStyle w:val="5"/>
        <w:adjustRightInd w:val="0"/>
        <w:snapToGrid w:val="0"/>
        <w:spacing w:before="156" w:beforeLines="50" w:after="0" w:line="360" w:lineRule="auto"/>
        <w:jc w:val="center"/>
        <w:rPr>
          <w:rFonts w:hint="eastAsia" w:ascii="黑体" w:hAnsi="黑体" w:eastAsia="黑体"/>
          <w:sz w:val="28"/>
          <w:szCs w:val="28"/>
        </w:rPr>
      </w:pPr>
      <w:bookmarkStart w:id="46" w:name="_Toc29913903"/>
      <w:bookmarkStart w:id="47" w:name="_Toc17703"/>
      <w:bookmarkStart w:id="48" w:name="_Toc25274"/>
      <w:r>
        <w:rPr>
          <w:rFonts w:hint="eastAsia" w:ascii="黑体" w:hAnsi="黑体" w:eastAsia="黑体"/>
          <w:sz w:val="28"/>
          <w:szCs w:val="28"/>
        </w:rPr>
        <w:t>七、合同签订</w:t>
      </w:r>
      <w:bookmarkEnd w:id="46"/>
      <w:bookmarkEnd w:id="47"/>
      <w:bookmarkEnd w:id="48"/>
    </w:p>
    <w:p w14:paraId="05A85EBA">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28. 签订合同</w:t>
      </w:r>
    </w:p>
    <w:p w14:paraId="301C42A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28.1采购人应自中标通知书发出之日起30日内，按中标通知书指定的时间、地点与中标人签订政府采购合同。所签订的合同不得对招标文件确定的事项和中标人投标文件作实质性修改。</w:t>
      </w:r>
    </w:p>
    <w:p w14:paraId="074A4B0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28.2招标文件、中标人的投标文件均为签订合同的依据。</w:t>
      </w:r>
    </w:p>
    <w:p w14:paraId="3620AE58">
      <w:pPr>
        <w:adjustRightInd w:val="0"/>
        <w:snapToGrid w:val="0"/>
        <w:spacing w:before="156" w:beforeLines="50" w:line="360" w:lineRule="auto"/>
        <w:ind w:firstLine="420" w:firstLineChars="200"/>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28.3联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标的</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联</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体各</w:t>
      </w:r>
      <w:r>
        <w:rPr>
          <w:rFonts w:hint="eastAsia" w:cs="微软雅黑" w:asciiTheme="minorEastAsia" w:hAnsiTheme="minorEastAsia" w:eastAsiaTheme="minorEastAsia"/>
          <w:spacing w:val="-2"/>
          <w:kern w:val="0"/>
          <w:szCs w:val="21"/>
        </w:rPr>
        <w:t>方</w:t>
      </w:r>
      <w:r>
        <w:rPr>
          <w:rFonts w:hint="eastAsia" w:cs="微软雅黑" w:asciiTheme="minorEastAsia" w:hAnsiTheme="minorEastAsia" w:eastAsiaTheme="minorEastAsia"/>
          <w:kern w:val="0"/>
          <w:szCs w:val="21"/>
        </w:rPr>
        <w:t>应</w:t>
      </w:r>
      <w:r>
        <w:rPr>
          <w:rFonts w:hint="eastAsia" w:cs="微软雅黑" w:asciiTheme="minorEastAsia" w:hAnsiTheme="minorEastAsia" w:eastAsiaTheme="minorEastAsia"/>
          <w:spacing w:val="-2"/>
          <w:kern w:val="0"/>
          <w:szCs w:val="21"/>
        </w:rPr>
        <w:t>当</w:t>
      </w:r>
      <w:r>
        <w:rPr>
          <w:rFonts w:hint="eastAsia" w:cs="微软雅黑" w:asciiTheme="minorEastAsia" w:hAnsiTheme="minorEastAsia" w:eastAsiaTheme="minorEastAsia"/>
          <w:kern w:val="0"/>
          <w:szCs w:val="21"/>
        </w:rPr>
        <w:t>共</w:t>
      </w:r>
      <w:r>
        <w:rPr>
          <w:rFonts w:hint="eastAsia" w:cs="微软雅黑" w:asciiTheme="minorEastAsia" w:hAnsiTheme="minorEastAsia" w:eastAsiaTheme="minorEastAsia"/>
          <w:spacing w:val="-2"/>
          <w:kern w:val="0"/>
          <w:szCs w:val="21"/>
        </w:rPr>
        <w:t>同</w:t>
      </w:r>
      <w:r>
        <w:rPr>
          <w:rFonts w:hint="eastAsia" w:cs="微软雅黑" w:asciiTheme="minorEastAsia" w:hAnsiTheme="minorEastAsia" w:eastAsiaTheme="minorEastAsia"/>
          <w:kern w:val="0"/>
          <w:szCs w:val="21"/>
        </w:rPr>
        <w:t>与</w:t>
      </w:r>
      <w:r>
        <w:rPr>
          <w:rFonts w:hint="eastAsia" w:cs="微软雅黑" w:asciiTheme="minorEastAsia" w:hAnsiTheme="minorEastAsia" w:eastAsiaTheme="minorEastAsia"/>
          <w:spacing w:val="-2"/>
          <w:kern w:val="0"/>
          <w:szCs w:val="21"/>
        </w:rPr>
        <w:t>采购人</w:t>
      </w:r>
      <w:r>
        <w:rPr>
          <w:rFonts w:hint="eastAsia" w:cs="微软雅黑" w:asciiTheme="minorEastAsia" w:hAnsiTheme="minorEastAsia" w:eastAsiaTheme="minorEastAsia"/>
          <w:kern w:val="0"/>
          <w:szCs w:val="21"/>
        </w:rPr>
        <w:t>签订</w:t>
      </w:r>
      <w:r>
        <w:rPr>
          <w:rFonts w:hint="eastAsia" w:cs="微软雅黑" w:asciiTheme="minorEastAsia" w:hAnsiTheme="minorEastAsia" w:eastAsiaTheme="minorEastAsia"/>
          <w:spacing w:val="-2"/>
          <w:kern w:val="0"/>
          <w:szCs w:val="21"/>
        </w:rPr>
        <w:t>合</w:t>
      </w:r>
      <w:r>
        <w:rPr>
          <w:rFonts w:hint="eastAsia" w:cs="微软雅黑" w:asciiTheme="minorEastAsia" w:hAnsiTheme="minorEastAsia" w:eastAsiaTheme="minorEastAsia"/>
          <w:kern w:val="0"/>
          <w:szCs w:val="21"/>
        </w:rPr>
        <w:t>同</w:t>
      </w:r>
      <w:r>
        <w:rPr>
          <w:rFonts w:hint="eastAsia" w:cs="微软雅黑" w:asciiTheme="minorEastAsia" w:hAnsiTheme="minorEastAsia" w:eastAsiaTheme="minorEastAsia"/>
          <w:spacing w:val="-14"/>
          <w:kern w:val="0"/>
          <w:szCs w:val="21"/>
        </w:rPr>
        <w:t>，</w:t>
      </w:r>
      <w:r>
        <w:rPr>
          <w:rFonts w:hint="eastAsia" w:cs="微软雅黑" w:asciiTheme="minorEastAsia" w:hAnsiTheme="minorEastAsia" w:eastAsiaTheme="minorEastAsia"/>
          <w:kern w:val="0"/>
          <w:szCs w:val="21"/>
        </w:rPr>
        <w:t>就</w:t>
      </w:r>
      <w:r>
        <w:rPr>
          <w:rFonts w:hint="eastAsia" w:cs="微软雅黑" w:asciiTheme="minorEastAsia" w:hAnsiTheme="minorEastAsia" w:eastAsiaTheme="minorEastAsia"/>
          <w:spacing w:val="-2"/>
          <w:kern w:val="0"/>
          <w:szCs w:val="21"/>
        </w:rPr>
        <w:t>中</w:t>
      </w:r>
      <w:r>
        <w:rPr>
          <w:rFonts w:hint="eastAsia" w:cs="微软雅黑" w:asciiTheme="minorEastAsia" w:hAnsiTheme="minorEastAsia" w:eastAsiaTheme="minorEastAsia"/>
          <w:kern w:val="0"/>
          <w:szCs w:val="21"/>
        </w:rPr>
        <w:t>标</w:t>
      </w:r>
      <w:r>
        <w:rPr>
          <w:rFonts w:hint="eastAsia" w:cs="微软雅黑" w:asciiTheme="minorEastAsia" w:hAnsiTheme="minorEastAsia" w:eastAsiaTheme="minorEastAsia"/>
          <w:spacing w:val="-2"/>
          <w:kern w:val="0"/>
          <w:szCs w:val="21"/>
        </w:rPr>
        <w:t>项</w:t>
      </w:r>
      <w:r>
        <w:rPr>
          <w:rFonts w:hint="eastAsia" w:cs="微软雅黑" w:asciiTheme="minorEastAsia" w:hAnsiTheme="minorEastAsia" w:eastAsiaTheme="minorEastAsia"/>
          <w:kern w:val="0"/>
          <w:szCs w:val="21"/>
        </w:rPr>
        <w:t>目</w:t>
      </w:r>
      <w:r>
        <w:rPr>
          <w:rFonts w:hint="eastAsia" w:cs="微软雅黑" w:asciiTheme="minorEastAsia" w:hAnsiTheme="minorEastAsia" w:eastAsiaTheme="minorEastAsia"/>
          <w:spacing w:val="-2"/>
          <w:kern w:val="0"/>
          <w:szCs w:val="21"/>
        </w:rPr>
        <w:t>向</w:t>
      </w:r>
      <w:r>
        <w:rPr>
          <w:rFonts w:hint="eastAsia" w:cs="微软雅黑" w:asciiTheme="minorEastAsia" w:hAnsiTheme="minorEastAsia" w:eastAsiaTheme="minorEastAsia"/>
          <w:kern w:val="0"/>
          <w:szCs w:val="21"/>
        </w:rPr>
        <w:t>采购人承</w:t>
      </w:r>
      <w:r>
        <w:rPr>
          <w:rFonts w:hint="eastAsia" w:cs="微软雅黑" w:asciiTheme="minorEastAsia" w:hAnsiTheme="minorEastAsia" w:eastAsiaTheme="minorEastAsia"/>
          <w:spacing w:val="-2"/>
          <w:kern w:val="0"/>
          <w:szCs w:val="21"/>
        </w:rPr>
        <w:t>担</w:t>
      </w:r>
      <w:r>
        <w:rPr>
          <w:rFonts w:hint="eastAsia" w:cs="微软雅黑" w:asciiTheme="minorEastAsia" w:hAnsiTheme="minorEastAsia" w:eastAsiaTheme="minorEastAsia"/>
          <w:kern w:val="0"/>
          <w:szCs w:val="21"/>
        </w:rPr>
        <w:t>连带责</w:t>
      </w:r>
      <w:r>
        <w:rPr>
          <w:rFonts w:hint="eastAsia" w:cs="微软雅黑" w:asciiTheme="minorEastAsia" w:hAnsiTheme="minorEastAsia" w:eastAsiaTheme="minorEastAsia"/>
          <w:spacing w:val="-2"/>
          <w:kern w:val="0"/>
          <w:szCs w:val="21"/>
        </w:rPr>
        <w:t>任</w:t>
      </w:r>
      <w:r>
        <w:rPr>
          <w:rFonts w:hint="eastAsia" w:cs="微软雅黑" w:asciiTheme="minorEastAsia" w:hAnsiTheme="minorEastAsia" w:eastAsiaTheme="minorEastAsia"/>
          <w:kern w:val="0"/>
          <w:szCs w:val="21"/>
        </w:rPr>
        <w:t>。</w:t>
      </w:r>
    </w:p>
    <w:p w14:paraId="564CE56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28</w:t>
      </w:r>
      <w:r>
        <w:rPr>
          <w:rFonts w:asciiTheme="minorEastAsia" w:hAnsiTheme="minorEastAsia" w:eastAsiaTheme="minorEastAsia"/>
          <w:szCs w:val="21"/>
        </w:rPr>
        <w:t>.4</w:t>
      </w:r>
      <w:r>
        <w:rPr>
          <w:rFonts w:hint="eastAsia" w:asciiTheme="minorEastAsia" w:hAnsiTheme="minorEastAsia" w:eastAsiaTheme="minorEastAsia"/>
          <w:szCs w:val="21"/>
        </w:rPr>
        <w:t>中标合同将在招标公告指定媒体上公告，但合同中涉及国家秘密、商业秘密的内容除外。</w:t>
      </w:r>
    </w:p>
    <w:p w14:paraId="060DB987">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szCs w:val="21"/>
        </w:rPr>
        <w:t>28.5中标人</w:t>
      </w:r>
      <w:r>
        <w:rPr>
          <w:rFonts w:hint="eastAsia" w:asciiTheme="minorEastAsia" w:hAnsiTheme="minorEastAsia" w:eastAsiaTheme="minorEastAsia"/>
          <w:bCs/>
          <w:szCs w:val="21"/>
        </w:rPr>
        <w:t>应当按照合同约定依法履行合同义务。政府采购合同的履行、违约责任和解决争议的方法等适用《中华人民共和国合同法》。</w:t>
      </w:r>
    </w:p>
    <w:p w14:paraId="1E2461C4">
      <w:pPr>
        <w:adjustRightInd w:val="0"/>
        <w:snapToGrid w:val="0"/>
        <w:spacing w:before="156" w:beforeLines="50" w:line="360" w:lineRule="auto"/>
        <w:jc w:val="left"/>
        <w:rPr>
          <w:rFonts w:hint="eastAsia" w:asciiTheme="minorEastAsia" w:hAnsiTheme="minorEastAsia" w:eastAsiaTheme="minorEastAsia"/>
          <w:b/>
          <w:bCs/>
          <w:sz w:val="24"/>
        </w:rPr>
      </w:pPr>
      <w:r>
        <w:rPr>
          <w:rFonts w:hint="eastAsia" w:asciiTheme="minorEastAsia" w:hAnsiTheme="minorEastAsia" w:eastAsiaTheme="minorEastAsia"/>
          <w:b/>
          <w:bCs/>
          <w:sz w:val="24"/>
        </w:rPr>
        <w:t>29.</w:t>
      </w:r>
      <w:r>
        <w:rPr>
          <w:rFonts w:hint="eastAsia" w:asciiTheme="minorEastAsia" w:hAnsiTheme="minorEastAsia" w:eastAsiaTheme="minorEastAsia"/>
          <w:b/>
          <w:sz w:val="24"/>
        </w:rPr>
        <w:t xml:space="preserve"> 政府采购合同履行中</w:t>
      </w:r>
      <w:r>
        <w:rPr>
          <w:rFonts w:hint="eastAsia" w:asciiTheme="minorEastAsia" w:hAnsiTheme="minorEastAsia" w:eastAsiaTheme="minorEastAsia"/>
          <w:b/>
          <w:bCs/>
          <w:sz w:val="24"/>
        </w:rPr>
        <w:t>数量的变更</w:t>
      </w:r>
    </w:p>
    <w:p w14:paraId="5F54C780">
      <w:pPr>
        <w:adjustRightInd w:val="0"/>
        <w:snapToGrid w:val="0"/>
        <w:spacing w:before="156" w:beforeLines="50" w:line="360" w:lineRule="auto"/>
        <w:ind w:firstLine="420" w:firstLineChars="200"/>
        <w:jc w:val="left"/>
        <w:rPr>
          <w:rFonts w:hint="eastAsia" w:asciiTheme="minorEastAsia" w:hAnsiTheme="minorEastAsia" w:eastAsiaTheme="minorEastAsia"/>
          <w:sz w:val="28"/>
          <w:szCs w:val="28"/>
        </w:rPr>
      </w:pPr>
      <w:r>
        <w:rPr>
          <w:rFonts w:hint="eastAsia" w:asciiTheme="minorEastAsia" w:hAnsiTheme="minorEastAsia" w:eastAsiaTheme="minorEastAsia"/>
        </w:rPr>
        <w:t>29.1政府采购合同履行中，采购人需追加与合同标的相同的服务或包含的配套服务的，在不改变合同其他条款的前提下，可以与中标人协商签订补充合同，但所有补充合同的采购金额不得超过原合同采购金额的百分之十。</w:t>
      </w:r>
    </w:p>
    <w:p w14:paraId="780198E0">
      <w:pPr>
        <w:pStyle w:val="5"/>
        <w:adjustRightInd w:val="0"/>
        <w:snapToGrid w:val="0"/>
        <w:spacing w:before="156" w:beforeLines="50" w:after="0" w:line="360" w:lineRule="auto"/>
        <w:jc w:val="center"/>
        <w:rPr>
          <w:rFonts w:hint="eastAsia" w:ascii="黑体" w:hAnsi="黑体" w:eastAsia="黑体"/>
          <w:sz w:val="28"/>
          <w:szCs w:val="28"/>
        </w:rPr>
      </w:pPr>
      <w:bookmarkStart w:id="49" w:name="_Toc28639"/>
      <w:bookmarkStart w:id="50" w:name="_Toc29913904"/>
      <w:bookmarkStart w:id="51" w:name="_Toc14155"/>
      <w:r>
        <w:rPr>
          <w:rFonts w:hint="eastAsia" w:ascii="黑体" w:hAnsi="黑体" w:eastAsia="黑体"/>
          <w:sz w:val="28"/>
          <w:szCs w:val="28"/>
        </w:rPr>
        <w:t>八、政府采购政策</w:t>
      </w:r>
      <w:bookmarkEnd w:id="49"/>
      <w:bookmarkEnd w:id="50"/>
      <w:bookmarkEnd w:id="51"/>
    </w:p>
    <w:p w14:paraId="0618B16B">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bCs/>
          <w:sz w:val="24"/>
        </w:rPr>
        <w:t>30.</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政府采购政策</w:t>
      </w:r>
    </w:p>
    <w:p w14:paraId="30E0B2D2">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rPr>
      </w:pPr>
      <w:r>
        <w:rPr>
          <w:rFonts w:hint="eastAsia" w:cs="宋体" w:asciiTheme="minorEastAsia" w:hAnsiTheme="minorEastAsia" w:eastAsiaTheme="minorEastAsia"/>
          <w:kern w:val="0"/>
        </w:rPr>
        <w:t>30.1优先采购：</w:t>
      </w:r>
    </w:p>
    <w:p w14:paraId="1824E52E">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zCs w:val="21"/>
        </w:rPr>
        <w:t>纳入财政部会同国务院有关部门发布的节能产品、环境标志产品政府采购品目清单，实施政府优先采购的，评审时按招标文件第四章第一节有关规定给予一定比例的价格折扣或者加分；</w:t>
      </w:r>
      <w:r>
        <w:rPr>
          <w:rFonts w:asciiTheme="minorEastAsia" w:hAnsiTheme="minorEastAsia" w:eastAsiaTheme="minorEastAsia"/>
        </w:rPr>
        <w:t xml:space="preserve"> </w:t>
      </w:r>
    </w:p>
    <w:p w14:paraId="0EA6E8F8">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（2）纳入湖南省财政厅等有关部门发布的湖南省两型产品政府采购目录的，实施政府优先采购，评审时按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给予一定比例的价格折扣或者加分。</w:t>
      </w:r>
    </w:p>
    <w:p w14:paraId="76045447">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rPr>
      </w:pPr>
      <w:r>
        <w:rPr>
          <w:rFonts w:hint="eastAsia" w:cs="宋体" w:asciiTheme="minorEastAsia" w:hAnsiTheme="minorEastAsia" w:eastAsiaTheme="minorEastAsia"/>
          <w:kern w:val="0"/>
        </w:rPr>
        <w:t>30.2强制采购：</w:t>
      </w:r>
    </w:p>
    <w:p w14:paraId="1A812C7F">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符号产品），投标人投标产品应当取得国家确定的认证机构出具的、处于有效期之内的节能产品认证证书，否则其</w:t>
      </w:r>
      <w:r>
        <w:rPr>
          <w:rFonts w:hint="eastAsia" w:cs="宋体" w:asciiTheme="minorEastAsia" w:hAnsiTheme="minorEastAsia" w:eastAsiaTheme="minorEastAsia"/>
          <w:b/>
          <w:kern w:val="0"/>
          <w:szCs w:val="21"/>
        </w:rPr>
        <w:t>投标无效</w:t>
      </w:r>
      <w:r>
        <w:rPr>
          <w:rFonts w:hint="eastAsia" w:cs="宋体" w:asciiTheme="minorEastAsia" w:hAnsiTheme="minorEastAsia" w:eastAsiaTheme="minorEastAsia"/>
          <w:kern w:val="0"/>
        </w:rPr>
        <w:t>。</w:t>
      </w:r>
    </w:p>
    <w:p w14:paraId="13885451">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30.3价格评审优惠：</w:t>
      </w:r>
    </w:p>
    <w:p w14:paraId="4715A8C5">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（1）投标人为小型、微型企业，且提供本企业生产的货物或者提供其他小型、微型企业生产的货物，投标价格按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给予一定比例的价格折扣，用扣除后的价格参与评审。本项所称货物不包括使用大型企业注册商标的货物；</w:t>
      </w:r>
    </w:p>
    <w:p w14:paraId="63073680">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（2）小型、微型企业参加联合体投标并在联合体协议中明确其在合同金额占联合体合同总金额 30%以上的，该联合体投标价格按</w:t>
      </w:r>
      <w:r>
        <w:rPr>
          <w:rFonts w:hint="eastAsia" w:asciiTheme="minorEastAsia" w:hAnsiTheme="minorEastAsia" w:eastAsiaTheme="minorEastAsia"/>
          <w:szCs w:val="21"/>
        </w:rPr>
        <w:t>招标文件第四章第一节有关规定</w:t>
      </w:r>
      <w:r>
        <w:rPr>
          <w:rFonts w:hint="eastAsia" w:asciiTheme="minorEastAsia" w:hAnsiTheme="minorEastAsia" w:eastAsiaTheme="minorEastAsia"/>
        </w:rPr>
        <w:t>给予一定比例的价格折扣，用扣除后的价格参与评审。联合体各方均为小型、微型企业的，联合体视同为小型、微型企业；</w:t>
      </w:r>
    </w:p>
    <w:p w14:paraId="4C0DA4CF">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（3）监狱企业、残</w:t>
      </w:r>
      <w:r>
        <w:rPr>
          <w:rFonts w:hint="eastAsia" w:asciiTheme="minorEastAsia" w:hAnsiTheme="minorEastAsia" w:eastAsiaTheme="minorEastAsia"/>
          <w:szCs w:val="21"/>
        </w:rPr>
        <w:t>疾人福利性单位视同小型、微型企业，享受评审中价格扣除等促进中小企业发展的政府采购政策。</w:t>
      </w:r>
    </w:p>
    <w:p w14:paraId="1277CE2C">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30.4政府采购政策交叉与叠加</w:t>
      </w:r>
    </w:p>
    <w:p w14:paraId="205EE1E7">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（1）投标产品取得两个及以上优先采购产品认证的，评审时只有其中一项产品能享受优先采购优惠（投标人自行选择，并在投标文件中并填报相关信息及数据）</w:t>
      </w:r>
    </w:p>
    <w:p w14:paraId="72353846">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（2）投标人同时符合小型、微型企业及监狱企业、残疾人福利性单位要求的，评审时只有一种类型享受价格评审优惠政策；</w:t>
      </w:r>
    </w:p>
    <w:p w14:paraId="5323E0CC">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（3）小型和微型企业的价格评审优惠可以与同时属于“节能产品”、“环境标志产品”中的一项优先采购优惠累加计算。</w:t>
      </w:r>
    </w:p>
    <w:p w14:paraId="2696FCD2">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30.5小型、微型企业的投标人提供部分小型、微型企业制造的产品，以及部分投标产品属于优先采购的，评审时只对该部分产品的报价实行价格扣除及加分。投标人应按本章第33.6款规定提供相关证明资料（包括提供相关报价）。</w:t>
      </w:r>
    </w:p>
    <w:p w14:paraId="57298229">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30.6投标人符合本章第32.1款、第32.2款、第32.3款规定的，应提供相关证明资料。</w:t>
      </w:r>
    </w:p>
    <w:p w14:paraId="3C43C0FB">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（1）节能产品、环境标志产品：提供国家确定的认证机构出具的、处于有效期之内的节能产品、环境标志产品认证证书（复印件）。</w:t>
      </w:r>
    </w:p>
    <w:p w14:paraId="4C9AF4A5">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（2）中小企业：按《关于印发＜政府采购促进中小企业发展暂行办法＞的通知》(财库[2011]181号)规定，投标人提供《小型、微型企业声明函》（格式附后）。</w:t>
      </w:r>
    </w:p>
    <w:p w14:paraId="1D171811">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（3）监狱企业：按《关于政府采购支持监狱企业发展有关问题的通知》(财库〔2014〕68号)文件规定提供证明文件（复印件）。</w:t>
      </w:r>
    </w:p>
    <w:p w14:paraId="6D88BE8A">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（4）残疾人福利性单位：按《关于促进残疾人就业政府采购政策的通知》(财库〔2017〕141号)文件规定提供《残疾人福利性单位声明函》（格式）。</w:t>
      </w:r>
    </w:p>
    <w:p w14:paraId="20B164BF">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rPr>
        <w:t>30.7投标人有融资、担保需求的，可登陆湖南省政府采购网查询相关银行、担保机构业务。</w:t>
      </w:r>
    </w:p>
    <w:p w14:paraId="5FD4F52A">
      <w:pPr>
        <w:pStyle w:val="5"/>
        <w:adjustRightInd w:val="0"/>
        <w:snapToGrid w:val="0"/>
        <w:spacing w:before="156" w:beforeLines="50" w:after="0" w:line="360" w:lineRule="auto"/>
        <w:jc w:val="center"/>
        <w:rPr>
          <w:rFonts w:hint="eastAsia" w:ascii="黑体" w:hAnsi="黑体" w:eastAsia="黑体"/>
          <w:sz w:val="28"/>
          <w:szCs w:val="28"/>
        </w:rPr>
      </w:pPr>
      <w:bookmarkStart w:id="52" w:name="_Toc29913905"/>
      <w:bookmarkStart w:id="53" w:name="_Toc21705"/>
      <w:bookmarkStart w:id="54" w:name="_Toc30787"/>
      <w:r>
        <w:rPr>
          <w:rFonts w:hint="eastAsia" w:ascii="黑体" w:hAnsi="黑体" w:eastAsia="黑体"/>
          <w:sz w:val="28"/>
          <w:szCs w:val="28"/>
        </w:rPr>
        <w:t>九、其他规定</w:t>
      </w:r>
      <w:bookmarkEnd w:id="52"/>
      <w:bookmarkEnd w:id="53"/>
      <w:bookmarkEnd w:id="54"/>
    </w:p>
    <w:p w14:paraId="512405C0">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bCs/>
          <w:sz w:val="24"/>
        </w:rPr>
        <w:t>31.</w:t>
      </w:r>
      <w:r>
        <w:rPr>
          <w:rFonts w:hint="eastAsia" w:asciiTheme="minorEastAsia" w:hAnsiTheme="minorEastAsia" w:eastAsiaTheme="minorEastAsia"/>
          <w:sz w:val="24"/>
        </w:rPr>
        <w:t xml:space="preserve"> </w:t>
      </w:r>
      <w:r>
        <w:rPr>
          <w:rFonts w:hint="eastAsia" w:asciiTheme="minorEastAsia" w:hAnsiTheme="minorEastAsia" w:eastAsiaTheme="minorEastAsia"/>
          <w:b/>
          <w:sz w:val="24"/>
        </w:rPr>
        <w:t>招标不足三家处理</w:t>
      </w:r>
    </w:p>
    <w:p w14:paraId="5BC2E62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31.1公开招标数额标准以上的采购项目，投标截止后投标人不足3家或者通过资格审查或符合性审查的投标人不足3家的，除采购任务取消情形外，按照以下方式处理：</w:t>
      </w:r>
    </w:p>
    <w:p w14:paraId="6F3EE6E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（1）招标文件存在不合理条款或者招标程序不符合规定的，采购人、采购代理机构改正后依法重新招标；</w:t>
      </w:r>
    </w:p>
    <w:p w14:paraId="7103E04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（2）招标文件没有不合理条款、招标程序符合规定，需要采用其他采购方式采购的，采购人应当依法报财政部门批准。</w:t>
      </w:r>
    </w:p>
    <w:p w14:paraId="41BCBB1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31.2属上款第（2）项情形的，评标委员会应出具的招标文件没有不合理条款的论证意见。</w:t>
      </w:r>
    </w:p>
    <w:p w14:paraId="34447F1C">
      <w:pPr>
        <w:adjustRightInd w:val="0"/>
        <w:snapToGrid w:val="0"/>
        <w:spacing w:before="156" w:beforeLines="50" w:line="360" w:lineRule="auto"/>
        <w:jc w:val="left"/>
        <w:rPr>
          <w:rFonts w:hint="eastAsia" w:asciiTheme="minorEastAsia" w:hAnsiTheme="minorEastAsia" w:eastAsiaTheme="minorEastAsia"/>
          <w:b/>
          <w:sz w:val="24"/>
        </w:rPr>
      </w:pPr>
      <w:r>
        <w:rPr>
          <w:rFonts w:hint="eastAsia" w:asciiTheme="minorEastAsia" w:hAnsiTheme="minorEastAsia" w:eastAsiaTheme="minorEastAsia"/>
          <w:b/>
          <w:bCs/>
          <w:sz w:val="24"/>
        </w:rPr>
        <w:t>32.</w:t>
      </w:r>
      <w:r>
        <w:rPr>
          <w:rFonts w:hint="eastAsia" w:asciiTheme="minorEastAsia" w:hAnsiTheme="minorEastAsia" w:eastAsiaTheme="minorEastAsia"/>
          <w:b/>
          <w:sz w:val="24"/>
        </w:rPr>
        <w:t xml:space="preserve"> 招标代理服务费</w:t>
      </w:r>
    </w:p>
    <w:p w14:paraId="7657815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32.1招标代理服务费由采购人支付。</w:t>
      </w:r>
    </w:p>
    <w:p w14:paraId="6878A6F4">
      <w:pPr>
        <w:adjustRightInd w:val="0"/>
        <w:snapToGrid w:val="0"/>
        <w:spacing w:before="156" w:beforeLines="50" w:line="360" w:lineRule="auto"/>
        <w:jc w:val="left"/>
        <w:rPr>
          <w:rFonts w:hint="eastAsia"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3</w:t>
      </w:r>
      <w:r>
        <w:rPr>
          <w:rFonts w:asciiTheme="minorEastAsia" w:hAnsiTheme="minorEastAsia" w:eastAsiaTheme="minorEastAsia"/>
          <w:b/>
          <w:bCs/>
          <w:sz w:val="24"/>
        </w:rPr>
        <w:t>. 需要补充的其他内容</w:t>
      </w:r>
    </w:p>
    <w:p w14:paraId="1A5265C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3</w:t>
      </w:r>
      <w:r>
        <w:rPr>
          <w:rFonts w:asciiTheme="minorEastAsia" w:hAnsiTheme="minorEastAsia" w:eastAsiaTheme="minorEastAsia"/>
          <w:szCs w:val="21"/>
        </w:rPr>
        <w:t>.1招标文件需要补充的其</w:t>
      </w:r>
      <w:r>
        <w:rPr>
          <w:rFonts w:hint="eastAsia" w:asciiTheme="minorEastAsia" w:hAnsiTheme="minorEastAsia" w:eastAsiaTheme="minorEastAsia"/>
          <w:szCs w:val="21"/>
        </w:rPr>
        <w:t>他内容见【投标须知前附表】。</w:t>
      </w:r>
    </w:p>
    <w:p w14:paraId="52466B34">
      <w:pPr>
        <w:adjustRightInd w:val="0"/>
        <w:snapToGrid w:val="0"/>
        <w:spacing w:before="156" w:beforeLines="50" w:line="360" w:lineRule="auto"/>
        <w:jc w:val="left"/>
        <w:rPr>
          <w:rFonts w:hint="eastAsia" w:asciiTheme="minorEastAsia" w:hAnsiTheme="minorEastAsia" w:eastAsiaTheme="minorEastAsia"/>
          <w:b/>
          <w:bCs/>
          <w:sz w:val="24"/>
        </w:rPr>
      </w:pPr>
      <w:r>
        <w:rPr>
          <w:rFonts w:asciiTheme="minorEastAsia" w:hAnsiTheme="minorEastAsia" w:eastAsiaTheme="minorEastAsia"/>
          <w:b/>
          <w:bCs/>
          <w:sz w:val="24"/>
        </w:rPr>
        <w:t>3</w:t>
      </w:r>
      <w:r>
        <w:rPr>
          <w:rFonts w:hint="eastAsia" w:asciiTheme="minorEastAsia" w:hAnsiTheme="minorEastAsia" w:eastAsiaTheme="minorEastAsia"/>
          <w:b/>
          <w:bCs/>
          <w:sz w:val="24"/>
        </w:rPr>
        <w:t>4</w:t>
      </w:r>
      <w:r>
        <w:rPr>
          <w:rFonts w:asciiTheme="minorEastAsia" w:hAnsiTheme="minorEastAsia" w:eastAsiaTheme="minorEastAsia"/>
          <w:b/>
          <w:bCs/>
          <w:sz w:val="24"/>
        </w:rPr>
        <w:t>.</w:t>
      </w:r>
      <w:r>
        <w:rPr>
          <w:rFonts w:hint="eastAsia" w:asciiTheme="minorEastAsia" w:hAnsiTheme="minorEastAsia" w:eastAsiaTheme="minorEastAsia"/>
          <w:b/>
          <w:bCs/>
          <w:sz w:val="24"/>
        </w:rPr>
        <w:t>电子招投标的应急措施</w:t>
      </w:r>
    </w:p>
    <w:p w14:paraId="54A52D3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34.1电子开标、评标如出现下列情形，导致系统短时间内无法恢复正常运行，影响到招投标</w:t>
      </w:r>
      <w:r>
        <w:rPr>
          <w:rFonts w:hint="eastAsia" w:asciiTheme="minorEastAsia" w:hAnsiTheme="minorEastAsia" w:eastAsiaTheme="minorEastAsia"/>
          <w:bCs/>
          <w:color w:val="000000" w:themeColor="text1"/>
          <w:szCs w:val="21"/>
          <w14:textFill>
            <w14:solidFill>
              <w14:schemeClr w14:val="tx1"/>
            </w14:solidFill>
          </w14:textFill>
        </w:rPr>
        <w:t>活动无法继续开展</w:t>
      </w:r>
      <w:r>
        <w:rPr>
          <w:rFonts w:hint="eastAsia" w:asciiTheme="minorEastAsia" w:hAnsiTheme="minorEastAsia" w:eastAsiaTheme="minorEastAsia"/>
          <w:szCs w:val="21"/>
        </w:rPr>
        <w:t>时，按交易中心应急预案措施执行：</w:t>
      </w:r>
      <w:r>
        <w:rPr>
          <w:rFonts w:asciiTheme="minorEastAsia" w:hAnsiTheme="minorEastAsia" w:eastAsiaTheme="minorEastAsia"/>
          <w:szCs w:val="21"/>
        </w:rPr>
        <w:t xml:space="preserve"> </w:t>
      </w:r>
    </w:p>
    <w:p w14:paraId="12CCE4E4">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1）系统服务器发生故障，无法访问或无法使用系统； </w:t>
      </w:r>
    </w:p>
    <w:p w14:paraId="29F0E5C1">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2）系统的软件或数据库出现错误，不能进行正常操作； </w:t>
      </w:r>
    </w:p>
    <w:p w14:paraId="29E2B5EE">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 xml:space="preserve">3）系统发现有安全漏洞，有潜在的泄密危险； </w:t>
      </w:r>
    </w:p>
    <w:p w14:paraId="5B9986EB">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4）病毒发作或受到外来病毒的攻击；</w:t>
      </w:r>
    </w:p>
    <w:p w14:paraId="76058B42">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w:t>
      </w:r>
      <w:r>
        <w:rPr>
          <w:rFonts w:asciiTheme="minorEastAsia" w:hAnsiTheme="minorEastAsia" w:eastAsiaTheme="minorEastAsia"/>
          <w:szCs w:val="21"/>
        </w:rPr>
        <w:t>5）</w:t>
      </w:r>
      <w:r>
        <w:rPr>
          <w:rFonts w:hint="eastAsia" w:asciiTheme="minorEastAsia" w:hAnsiTheme="minorEastAsia" w:eastAsiaTheme="minorEastAsia"/>
          <w:szCs w:val="21"/>
        </w:rPr>
        <w:t>网络故障，无法访问或无法使用系统；</w:t>
      </w:r>
    </w:p>
    <w:p w14:paraId="7A8E72FD">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（6）电力中断等其他特殊情况。</w:t>
      </w:r>
    </w:p>
    <w:p w14:paraId="7EEC2E15">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szCs w:val="21"/>
        </w:rPr>
        <w:t>34.2出现上述情况之一时，经交易中心相关部门确认：</w:t>
      </w:r>
      <w:r>
        <w:rPr>
          <w:rFonts w:hint="eastAsia" w:asciiTheme="minorEastAsia" w:hAnsiTheme="minorEastAsia" w:eastAsiaTheme="minorEastAsia"/>
          <w:bCs/>
          <w:color w:val="000000" w:themeColor="text1"/>
          <w:szCs w:val="21"/>
          <w14:textFill>
            <w14:solidFill>
              <w14:schemeClr w14:val="tx1"/>
            </w14:solidFill>
          </w14:textFill>
        </w:rPr>
        <w:t>采购人或采购代理机构可选择采取如下措施，</w:t>
      </w:r>
      <w:r>
        <w:rPr>
          <w:rFonts w:asciiTheme="minorEastAsia" w:hAnsiTheme="minorEastAsia" w:eastAsiaTheme="minorEastAsia"/>
          <w:bCs/>
          <w:color w:val="000000" w:themeColor="text1"/>
          <w:szCs w:val="21"/>
          <w14:textFill>
            <w14:solidFill>
              <w14:schemeClr w14:val="tx1"/>
            </w14:solidFill>
          </w14:textFill>
        </w:rPr>
        <w:t>投标人不得对此持有异议。</w:t>
      </w:r>
    </w:p>
    <w:p w14:paraId="6D2DF5C9">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（1）酌情延长投标文件文件解密时间，采取远程解密等，以保障招投标活动的继续实施；</w:t>
      </w:r>
    </w:p>
    <w:p w14:paraId="274300DB">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（2）项目作延期开标处理，待系统恢复后再进行开标活动；</w:t>
      </w:r>
    </w:p>
    <w:p w14:paraId="05E9EA48">
      <w:pPr>
        <w:adjustRightIn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（3）对已在评标的项目，评标委员会酌情延期进行评审，待系统恢复后再进行评审工作。</w:t>
      </w:r>
    </w:p>
    <w:p w14:paraId="415F3C9B">
      <w:pPr>
        <w:pStyle w:val="12"/>
        <w:adjustRightInd w:val="0"/>
        <w:snapToGrid w:val="0"/>
        <w:spacing w:line="360" w:lineRule="auto"/>
        <w:jc w:val="center"/>
        <w:outlineLvl w:val="0"/>
        <w:rPr>
          <w:rFonts w:hint="eastAsia" w:ascii="黑体" w:hAnsi="黑体" w:eastAsia="黑体"/>
          <w:sz w:val="32"/>
          <w:szCs w:val="32"/>
        </w:rPr>
      </w:pPr>
      <w:r>
        <w:rPr>
          <w:rFonts w:cs="Times New Roman" w:asciiTheme="minorEastAsia" w:hAnsiTheme="minorEastAsia" w:eastAsiaTheme="minorEastAsia"/>
          <w:color w:val="FF0000"/>
        </w:rPr>
        <w:br w:type="page"/>
      </w:r>
      <w:bookmarkStart w:id="55" w:name="_Toc1665"/>
      <w:bookmarkStart w:id="56" w:name="_Toc29913906"/>
      <w:bookmarkStart w:id="57" w:name="_Toc19262"/>
      <w:r>
        <w:rPr>
          <w:rFonts w:hint="eastAsia" w:ascii="黑体" w:hAnsi="华文中宋" w:eastAsia="黑体"/>
          <w:b/>
          <w:sz w:val="32"/>
          <w:szCs w:val="32"/>
        </w:rPr>
        <w:t>第三章 资格审查</w:t>
      </w:r>
      <w:bookmarkEnd w:id="55"/>
      <w:bookmarkEnd w:id="56"/>
      <w:bookmarkEnd w:id="57"/>
    </w:p>
    <w:p w14:paraId="3BAE0350">
      <w:pPr>
        <w:pStyle w:val="5"/>
        <w:adjustRightInd w:val="0"/>
        <w:snapToGrid w:val="0"/>
        <w:spacing w:before="156" w:beforeLines="50" w:after="0" w:line="360" w:lineRule="auto"/>
        <w:rPr>
          <w:rFonts w:hint="eastAsia" w:ascii="黑体" w:hAnsi="黑体" w:eastAsia="黑体"/>
          <w:sz w:val="24"/>
          <w:szCs w:val="24"/>
        </w:rPr>
      </w:pPr>
      <w:bookmarkStart w:id="58" w:name="_Toc15106"/>
      <w:bookmarkStart w:id="59" w:name="_Toc4126"/>
      <w:bookmarkStart w:id="60" w:name="_Toc29913907"/>
      <w:r>
        <w:rPr>
          <w:rFonts w:hint="eastAsia" w:ascii="黑体" w:hAnsi="黑体" w:eastAsia="黑体"/>
          <w:sz w:val="24"/>
          <w:szCs w:val="24"/>
        </w:rPr>
        <w:t>1．资格审查主体</w:t>
      </w:r>
      <w:bookmarkEnd w:id="58"/>
      <w:bookmarkEnd w:id="59"/>
      <w:bookmarkEnd w:id="60"/>
    </w:p>
    <w:p w14:paraId="2E1DB4FD">
      <w:pPr>
        <w:adjustRightInd w:val="0"/>
        <w:snapToGrid w:val="0"/>
        <w:spacing w:before="156" w:beforeLines="50" w:line="360" w:lineRule="auto"/>
        <w:ind w:firstLine="417" w:firstLineChars="199"/>
        <w:jc w:val="left"/>
        <w:rPr>
          <w:rFonts w:hint="eastAsia" w:asciiTheme="minorEastAsia" w:hAnsiTheme="minorEastAsia" w:eastAsiaTheme="minorEastAsia"/>
          <w:szCs w:val="21"/>
        </w:rPr>
      </w:pPr>
      <w:r>
        <w:rPr>
          <w:rFonts w:hint="eastAsia" w:asciiTheme="minorEastAsia" w:hAnsiTheme="minorEastAsia" w:eastAsiaTheme="minorEastAsia"/>
          <w:szCs w:val="21"/>
        </w:rPr>
        <w:t>1.1资格审查主体：采购人、采购代理机构负责资格审查。</w:t>
      </w:r>
    </w:p>
    <w:p w14:paraId="19763C31">
      <w:pPr>
        <w:pStyle w:val="5"/>
        <w:adjustRightInd w:val="0"/>
        <w:snapToGrid w:val="0"/>
        <w:spacing w:before="156" w:beforeLines="50" w:after="0" w:line="360" w:lineRule="auto"/>
        <w:rPr>
          <w:rFonts w:hint="eastAsia" w:ascii="黑体" w:hAnsi="黑体" w:eastAsia="黑体"/>
          <w:sz w:val="24"/>
          <w:szCs w:val="24"/>
        </w:rPr>
      </w:pPr>
      <w:bookmarkStart w:id="61" w:name="_Toc29913908"/>
      <w:bookmarkStart w:id="62" w:name="_Toc29312"/>
      <w:bookmarkStart w:id="63" w:name="_Toc30987"/>
      <w:r>
        <w:rPr>
          <w:rFonts w:hint="eastAsia" w:ascii="黑体" w:hAnsi="黑体" w:eastAsia="黑体"/>
          <w:sz w:val="24"/>
          <w:szCs w:val="24"/>
        </w:rPr>
        <w:t>2．资格审查</w:t>
      </w:r>
      <w:bookmarkEnd w:id="61"/>
      <w:bookmarkEnd w:id="62"/>
      <w:bookmarkEnd w:id="63"/>
    </w:p>
    <w:p w14:paraId="4232861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2.1资格审查依据法律法规和招标文件的规定，对投标文件中的资格证明文件、投标报价等进行审查，以确定投标供应商是否具备投标资格。</w:t>
      </w:r>
    </w:p>
    <w:p w14:paraId="16679FB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2.2在资格审查时，投标人存在下列情况之一的，资格审查不合格，其投标无效：</w:t>
      </w:r>
    </w:p>
    <w:p w14:paraId="50AD9BE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（1）不具备招标文件中规定的资格要求的，或提交的资格证明文件不符合招标文件要求的；</w:t>
      </w:r>
    </w:p>
    <w:p w14:paraId="381168F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（2）联合体投标未提交联合体协议书，或未提交联合体各方资格证明文件的；</w:t>
      </w:r>
    </w:p>
    <w:p w14:paraId="0CDC57B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（3）投标文件的资格证明文件未按照招标文件要求进行电子签名、盖章的；</w:t>
      </w:r>
    </w:p>
    <w:p w14:paraId="35E8AAF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（4）投标报价超过招标文件中规定的预算金额或者最高限价的；</w:t>
      </w:r>
    </w:p>
    <w:p w14:paraId="26AC785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（5）法律、法规和招标文件规定的其他投标无效情形的。</w:t>
      </w:r>
    </w:p>
    <w:p w14:paraId="659BE589">
      <w:pPr>
        <w:adjustRightInd w:val="0"/>
        <w:snapToGrid w:val="0"/>
        <w:spacing w:before="156" w:beforeLines="50" w:line="360" w:lineRule="auto"/>
        <w:ind w:firstLine="420" w:firstLineChars="200"/>
        <w:jc w:val="left"/>
        <w:rPr>
          <w:rFonts w:hint="eastAsia" w:asciiTheme="minorEastAsia" w:hAnsiTheme="minorEastAsia" w:eastAsiaTheme="minorEastAsia"/>
          <w:b/>
          <w:sz w:val="32"/>
          <w:szCs w:val="32"/>
        </w:rPr>
      </w:pPr>
      <w:r>
        <w:rPr>
          <w:rFonts w:hint="eastAsia" w:asciiTheme="minorEastAsia" w:hAnsiTheme="minorEastAsia" w:eastAsiaTheme="minorEastAsia"/>
        </w:rPr>
        <w:t>2.3信用记录。开标结束后</w:t>
      </w:r>
      <w:r>
        <w:rPr>
          <w:rFonts w:hint="eastAsia" w:asciiTheme="minorEastAsia" w:hAnsiTheme="minorEastAsia" w:eastAsiaTheme="minorEastAsia"/>
          <w:szCs w:val="21"/>
        </w:rPr>
        <w:t>资格审查时，采购人、采购代理机构将对投标人信用记录进行甄别。</w:t>
      </w:r>
    </w:p>
    <w:p w14:paraId="79142E9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信用信息查询的查询渠道：信用中国（www.creditchina.gov.cn）、信用湖南（https://credit.fgw.hunan.gov.cn/）、信用郴州（http://xycz.czs.gov.cn/）、中国政府采购网（www.ccgp.gov.cn）、湖南省政府采购网（http://www.ccgp-hunan.gov.cn/）。</w:t>
      </w:r>
    </w:p>
    <w:p w14:paraId="7BDEBED7">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不良信用记录是指：投标人在“信用中国”、“信用湖南”、“信用郴州”网站被列入失信被执行人和重大税收违法案件当事人名单，或在“中国政府采购网”、“湖南省政府采购网”网站被列入政府采购严重违法失信行为记录名单。投标人有上述不良信用记录的，其投标无效，其中，列入政府采购严重违法失信行为记录名单的，按处罚结果执行。</w:t>
      </w:r>
    </w:p>
    <w:p w14:paraId="6608C0E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（3）联合体形式投标的，联合体成员存在不良信用记录的，视同联合体存在不良信用记录。</w:t>
      </w:r>
    </w:p>
    <w:p w14:paraId="25DEC4F5">
      <w:pPr>
        <w:adjustRightInd w:val="0"/>
        <w:snapToGrid w:val="0"/>
        <w:spacing w:before="156" w:beforeLines="50" w:line="360" w:lineRule="auto"/>
        <w:ind w:firstLine="420" w:firstLineChars="200"/>
        <w:jc w:val="left"/>
        <w:rPr>
          <w:rFonts w:hint="eastAsia" w:asciiTheme="minorEastAsia" w:hAnsiTheme="minorEastAsia" w:eastAsiaTheme="minorEastAsia"/>
          <w:color w:val="FF0000"/>
          <w:szCs w:val="21"/>
        </w:rPr>
      </w:pPr>
      <w:r>
        <w:rPr>
          <w:rFonts w:hint="eastAsia" w:asciiTheme="minorEastAsia" w:hAnsiTheme="minorEastAsia" w:eastAsiaTheme="minorEastAsia"/>
          <w:szCs w:val="21"/>
        </w:rPr>
        <w:t>（4）信用信息查询记录和证据留存具体方式：</w:t>
      </w:r>
      <w:r>
        <w:rPr>
          <w:rFonts w:hint="eastAsia" w:ascii="宋体" w:hAnsi="宋体"/>
          <w:szCs w:val="21"/>
        </w:rPr>
        <w:t>采购人、采购代理机构</w:t>
      </w:r>
      <w:r>
        <w:rPr>
          <w:rFonts w:ascii="宋体" w:hAnsi="宋体"/>
          <w:szCs w:val="21"/>
        </w:rPr>
        <w:t>经办人将查询网页</w:t>
      </w:r>
      <w:r>
        <w:rPr>
          <w:rFonts w:hint="eastAsia" w:ascii="宋体" w:hAnsi="宋体"/>
          <w:szCs w:val="21"/>
        </w:rPr>
        <w:t>截图、</w:t>
      </w:r>
      <w:r>
        <w:rPr>
          <w:rFonts w:ascii="宋体" w:hAnsi="宋体"/>
          <w:szCs w:val="21"/>
        </w:rPr>
        <w:t>打印、签字</w:t>
      </w:r>
      <w:r>
        <w:rPr>
          <w:rFonts w:hint="eastAsia" w:ascii="宋体" w:hAnsi="宋体"/>
          <w:szCs w:val="21"/>
        </w:rPr>
        <w:t>，作为查询记录和证据，与其他采购文件一并保存。</w:t>
      </w:r>
      <w:r>
        <w:rPr>
          <w:rFonts w:ascii="宋体" w:hAnsi="宋体"/>
          <w:szCs w:val="21"/>
        </w:rPr>
        <w:t>投标人不良信用记录以</w:t>
      </w:r>
      <w:r>
        <w:rPr>
          <w:rFonts w:hint="eastAsia" w:ascii="宋体" w:hAnsi="宋体"/>
          <w:szCs w:val="21"/>
        </w:rPr>
        <w:t>采购人、采购代理机构</w:t>
      </w:r>
      <w:r>
        <w:rPr>
          <w:rFonts w:ascii="宋体" w:hAnsi="宋体"/>
          <w:szCs w:val="21"/>
        </w:rPr>
        <w:t>查询结果为准</w:t>
      </w:r>
      <w:r>
        <w:rPr>
          <w:rFonts w:hint="eastAsia" w:ascii="宋体" w:hAnsi="宋体"/>
          <w:szCs w:val="21"/>
        </w:rPr>
        <w:t>。</w:t>
      </w:r>
    </w:p>
    <w:p w14:paraId="7F13A223">
      <w:pPr>
        <w:pStyle w:val="5"/>
        <w:adjustRightInd w:val="0"/>
        <w:snapToGrid w:val="0"/>
        <w:spacing w:before="156" w:beforeLines="50" w:after="0" w:line="360" w:lineRule="auto"/>
        <w:rPr>
          <w:rFonts w:hint="eastAsia" w:ascii="黑体" w:hAnsi="黑体" w:eastAsia="黑体"/>
          <w:sz w:val="24"/>
          <w:szCs w:val="24"/>
        </w:rPr>
      </w:pPr>
      <w:bookmarkStart w:id="64" w:name="_Toc16936"/>
      <w:bookmarkStart w:id="65" w:name="_Toc29913909"/>
      <w:bookmarkStart w:id="66" w:name="_Toc30489"/>
      <w:r>
        <w:rPr>
          <w:rFonts w:hint="eastAsia" w:ascii="黑体" w:hAnsi="黑体" w:eastAsia="黑体"/>
          <w:sz w:val="24"/>
          <w:szCs w:val="24"/>
        </w:rPr>
        <w:t>3．资格审查结果</w:t>
      </w:r>
      <w:bookmarkEnd w:id="64"/>
      <w:bookmarkEnd w:id="65"/>
      <w:bookmarkEnd w:id="66"/>
    </w:p>
    <w:p w14:paraId="0204C39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3.1未通过资格审查的投标人，采购人、采购代理机构应当告知其未通过的原因。</w:t>
      </w:r>
    </w:p>
    <w:p w14:paraId="3EC560B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3.2资格审查结束后，采购人、采购代理机构应将资格审查结果告知评标委员会。</w:t>
      </w:r>
    </w:p>
    <w:p w14:paraId="37D1894F">
      <w:pPr>
        <w:adjustRightInd w:val="0"/>
        <w:snapToGrid w:val="0"/>
        <w:spacing w:before="156" w:beforeLines="50" w:line="360" w:lineRule="auto"/>
        <w:ind w:firstLine="420" w:firstLineChars="200"/>
        <w:jc w:val="left"/>
        <w:rPr>
          <w:rFonts w:hint="eastAsia" w:ascii="华文中宋" w:hAnsi="华文中宋" w:eastAsia="华文中宋"/>
          <w:b/>
          <w:bCs/>
          <w:sz w:val="32"/>
        </w:rPr>
      </w:pPr>
      <w:r>
        <w:rPr>
          <w:rFonts w:ascii="华文中宋" w:hAnsi="华文中宋" w:eastAsia="华文中宋"/>
        </w:rPr>
        <w:br w:type="page"/>
      </w:r>
    </w:p>
    <w:p w14:paraId="496227DC">
      <w:pPr>
        <w:pStyle w:val="7"/>
        <w:adjustRightInd w:val="0"/>
        <w:snapToGrid w:val="0"/>
        <w:spacing w:before="0" w:after="0" w:line="360" w:lineRule="auto"/>
        <w:rPr>
          <w:rFonts w:hint="eastAsia" w:asciiTheme="minorEastAsia" w:hAnsiTheme="minorEastAsia" w:eastAsiaTheme="minorEastAsia"/>
          <w:sz w:val="21"/>
          <w:szCs w:val="21"/>
        </w:rPr>
      </w:pPr>
      <w:bookmarkStart w:id="67" w:name="_Toc23442"/>
      <w:bookmarkStart w:id="68" w:name="_Toc20651210"/>
      <w:bookmarkStart w:id="69" w:name="_Toc27072"/>
      <w:bookmarkStart w:id="70" w:name="_Toc29913910"/>
      <w:r>
        <w:rPr>
          <w:rFonts w:hint="eastAsia" w:asciiTheme="minorEastAsia" w:hAnsiTheme="minorEastAsia" w:eastAsiaTheme="minorEastAsia"/>
          <w:sz w:val="21"/>
          <w:szCs w:val="21"/>
        </w:rPr>
        <w:t>附表1</w:t>
      </w:r>
      <w:r>
        <w:rPr>
          <w:rFonts w:asciiTheme="minorEastAsia" w:hAnsiTheme="minorEastAsia" w:eastAsiaTheme="minorEastAsia"/>
          <w:sz w:val="21"/>
          <w:szCs w:val="21"/>
        </w:rPr>
        <w:t>资格审查表</w:t>
      </w:r>
      <w:bookmarkEnd w:id="67"/>
      <w:bookmarkEnd w:id="68"/>
      <w:bookmarkEnd w:id="69"/>
    </w:p>
    <w:p w14:paraId="2920E682">
      <w:pPr>
        <w:adjustRightInd w:val="0"/>
        <w:snapToGrid w:val="0"/>
        <w:spacing w:line="360" w:lineRule="auto"/>
        <w:jc w:val="center"/>
        <w:rPr>
          <w:rFonts w:hint="eastAsia" w:ascii="黑体" w:hAnsi="黑体" w:eastAsia="黑体"/>
          <w:b/>
          <w:sz w:val="28"/>
          <w:szCs w:val="28"/>
        </w:rPr>
      </w:pPr>
      <w:r>
        <w:rPr>
          <w:rFonts w:ascii="黑体" w:hAnsi="黑体" w:eastAsia="黑体"/>
          <w:b/>
          <w:sz w:val="28"/>
          <w:szCs w:val="28"/>
        </w:rPr>
        <w:t>资格审查表</w:t>
      </w:r>
    </w:p>
    <w:p w14:paraId="5F49725F">
      <w:pPr>
        <w:adjustRightInd w:val="0"/>
        <w:snapToGrid w:val="0"/>
        <w:spacing w:line="360" w:lineRule="auto"/>
        <w:rPr>
          <w:rFonts w:hint="eastAsia" w:ascii="黑体" w:hAnsi="黑体" w:eastAsia="黑体"/>
          <w:sz w:val="28"/>
          <w:szCs w:val="28"/>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22"/>
        <w:tblW w:w="895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57"/>
        <w:gridCol w:w="2644"/>
        <w:gridCol w:w="5655"/>
      </w:tblGrid>
      <w:tr w14:paraId="1A40FA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57" w:type="dxa"/>
            <w:vAlign w:val="center"/>
          </w:tcPr>
          <w:p w14:paraId="7444D03F">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2644" w:type="dxa"/>
            <w:vAlign w:val="center"/>
          </w:tcPr>
          <w:p w14:paraId="6292233F">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5655" w:type="dxa"/>
            <w:vAlign w:val="center"/>
          </w:tcPr>
          <w:p w14:paraId="034D5750">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00F1F9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4C5C8C44">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2644" w:type="dxa"/>
          </w:tcPr>
          <w:p w14:paraId="0FD4B4FC">
            <w:pPr>
              <w:adjustRightInd w:val="0"/>
              <w:snapToGrid w:val="0"/>
              <w:spacing w:before="156" w:beforeLines="50" w:line="360" w:lineRule="auto"/>
              <w:jc w:val="left"/>
              <w:rPr>
                <w:rFonts w:hint="eastAsia" w:cs="宋体" w:asciiTheme="minorEastAsia" w:hAnsiTheme="minorEastAsia" w:eastAsiaTheme="minorEastAsia"/>
                <w:kern w:val="0"/>
                <w:szCs w:val="21"/>
              </w:rPr>
            </w:pPr>
            <w:r>
              <w:rPr>
                <w:rFonts w:hint="eastAsia" w:ascii="宋体" w:hAnsi="宋体"/>
              </w:rPr>
              <w:t>不具备招标文件中规定的资格要求的，或提交的资格证明文件不符合招标文件要求的</w:t>
            </w:r>
          </w:p>
        </w:tc>
        <w:tc>
          <w:tcPr>
            <w:tcW w:w="5655" w:type="dxa"/>
            <w:vAlign w:val="center"/>
          </w:tcPr>
          <w:p w14:paraId="7E60AD38">
            <w:pPr>
              <w:jc w:val="left"/>
              <w:rPr>
                <w:color w:val="000000" w:themeColor="text1"/>
                <w14:textFill>
                  <w14:solidFill>
                    <w14:schemeClr w14:val="tx1"/>
                  </w14:solidFill>
                </w14:textFill>
              </w:rPr>
            </w:pPr>
            <w:bookmarkStart w:id="71" w:name="OLE_LINK4"/>
            <w:r>
              <w:rPr>
                <w:rFonts w:hint="eastAsia" w:ascii="宋体" w:hAnsi="宋体"/>
                <w:color w:val="000000" w:themeColor="text1"/>
                <w14:textFill>
                  <w14:solidFill>
                    <w14:schemeClr w14:val="tx1"/>
                  </w14:solidFill>
                </w14:textFill>
              </w:rPr>
              <w:t>（1）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3B54F520">
            <w:pPr>
              <w:jc w:val="left"/>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（2）提供投标人资格声明（格式）</w:t>
            </w:r>
            <w:bookmarkEnd w:id="71"/>
          </w:p>
          <w:p w14:paraId="584412D9">
            <w:pPr>
              <w:jc w:val="left"/>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w:t>
            </w:r>
            <w:r>
              <w:rPr>
                <w:rFonts w:hint="eastAsia" w:ascii="宋体" w:hAnsi="宋体" w:eastAsia="宋体" w:cs="Times New Roman"/>
                <w:color w:val="000000" w:themeColor="text1"/>
                <w:lang w:val="en-US" w:eastAsia="zh-CN"/>
                <w14:textFill>
                  <w14:solidFill>
                    <w14:schemeClr w14:val="tx1"/>
                  </w14:solidFill>
                </w14:textFill>
              </w:rPr>
              <w:t>3</w:t>
            </w:r>
            <w:r>
              <w:rPr>
                <w:rFonts w:hint="eastAsia" w:ascii="宋体" w:hAnsi="宋体" w:eastAsia="宋体" w:cs="Times New Roman"/>
                <w:color w:val="000000" w:themeColor="text1"/>
                <w14:textFill>
                  <w14:solidFill>
                    <w14:schemeClr w14:val="tx1"/>
                  </w14:solidFill>
                </w14:textFill>
              </w:rPr>
              <w:t>）提供有效的湖南省政府采购供应商资格承诺函(格式)</w:t>
            </w:r>
          </w:p>
        </w:tc>
      </w:tr>
      <w:tr w14:paraId="32178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78767AB6">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2644" w:type="dxa"/>
            <w:vAlign w:val="center"/>
          </w:tcPr>
          <w:p w14:paraId="71A4F63C">
            <w:pPr>
              <w:adjustRightInd w:val="0"/>
              <w:snapToGrid w:val="0"/>
              <w:spacing w:before="156" w:beforeLines="50" w:line="360" w:lineRule="auto"/>
              <w:jc w:val="left"/>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kern w:val="0"/>
                <w:szCs w:val="21"/>
                <w:lang w:eastAsia="zh-CN"/>
              </w:rPr>
              <w:t>特定资格要求</w:t>
            </w:r>
          </w:p>
        </w:tc>
        <w:tc>
          <w:tcPr>
            <w:tcW w:w="5655" w:type="dxa"/>
            <w:vAlign w:val="center"/>
          </w:tcPr>
          <w:p w14:paraId="42F7E7A6">
            <w:pPr>
              <w:adjustRightInd w:val="0"/>
              <w:snapToGrid w:val="0"/>
              <w:spacing w:before="156" w:beforeLines="50" w:line="360" w:lineRule="auto"/>
              <w:jc w:val="center"/>
              <w:rPr>
                <w:rFonts w:hint="eastAsia" w:cs="宋体" w:asciiTheme="minorEastAsia" w:hAnsiTheme="minorEastAsia" w:eastAsiaTheme="minorEastAsia"/>
                <w:color w:val="000000" w:themeColor="text1"/>
                <w:kern w:val="0"/>
                <w:szCs w:val="21"/>
                <w:lang w:val="en-US" w:eastAsia="zh-CN"/>
                <w14:textFill>
                  <w14:solidFill>
                    <w14:schemeClr w14:val="tx1"/>
                  </w14:solidFill>
                </w14:textFill>
              </w:rPr>
            </w:pPr>
            <w:r>
              <w:rPr>
                <w:rFonts w:hint="eastAsia" w:cs="宋体" w:asciiTheme="minorEastAsia" w:hAnsiTheme="minorEastAsia" w:eastAsiaTheme="minorEastAsia"/>
                <w:color w:val="000000" w:themeColor="text1"/>
                <w:kern w:val="0"/>
                <w:szCs w:val="21"/>
                <w14:textFill>
                  <w14:solidFill>
                    <w14:schemeClr w14:val="tx1"/>
                  </w14:solidFill>
                </w14:textFill>
              </w:rPr>
              <w:t>投标人具备工信部颁发的基础电信业务或增值电信业务经营许可证</w:t>
            </w:r>
            <w:r>
              <w:rPr>
                <w:rFonts w:hint="eastAsia" w:cs="宋体" w:asciiTheme="minorEastAsia" w:hAnsiTheme="minorEastAsia" w:eastAsiaTheme="minorEastAsia"/>
                <w:color w:val="000000" w:themeColor="text1"/>
                <w:kern w:val="0"/>
                <w:szCs w:val="21"/>
                <w:lang w:eastAsia="zh-CN"/>
                <w14:textFill>
                  <w14:solidFill>
                    <w14:schemeClr w14:val="tx1"/>
                  </w14:solidFill>
                </w14:textFill>
              </w:rPr>
              <w:t>。</w:t>
            </w:r>
          </w:p>
        </w:tc>
      </w:tr>
      <w:tr w14:paraId="5960B9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6BA0643C">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2644" w:type="dxa"/>
            <w:vAlign w:val="center"/>
          </w:tcPr>
          <w:p w14:paraId="00A3DAF9">
            <w:pPr>
              <w:adjustRightInd w:val="0"/>
              <w:snapToGrid w:val="0"/>
              <w:spacing w:before="156" w:beforeLines="50" w:line="360" w:lineRule="auto"/>
              <w:jc w:val="left"/>
              <w:rPr>
                <w:rFonts w:hint="eastAsia" w:cs="宋体" w:asciiTheme="minorEastAsia" w:hAnsiTheme="minorEastAsia" w:eastAsiaTheme="minorEastAsia"/>
                <w:kern w:val="0"/>
                <w:szCs w:val="21"/>
              </w:rPr>
            </w:pPr>
            <w:r>
              <w:rPr>
                <w:rFonts w:hint="eastAsia"/>
              </w:rPr>
              <w:t>投标文件的资格证明文件未按照招标文件要求进行电子签名、盖章的</w:t>
            </w:r>
          </w:p>
        </w:tc>
        <w:tc>
          <w:tcPr>
            <w:tcW w:w="5655" w:type="dxa"/>
            <w:vAlign w:val="center"/>
          </w:tcPr>
          <w:p w14:paraId="1962FCD2">
            <w:pPr>
              <w:adjustRightInd w:val="0"/>
              <w:snapToGrid w:val="0"/>
              <w:spacing w:before="156" w:beforeLines="50" w:line="360" w:lineRule="auto"/>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投标人的资格证明文件均应为有效文件并加盖投标人单位章，并按招标文件规定签署。</w:t>
            </w:r>
          </w:p>
        </w:tc>
      </w:tr>
      <w:tr w14:paraId="022A8F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39487BC9">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2644" w:type="dxa"/>
            <w:vAlign w:val="center"/>
          </w:tcPr>
          <w:p w14:paraId="2A66D243">
            <w:pPr>
              <w:adjustRightInd w:val="0"/>
              <w:snapToGrid w:val="0"/>
              <w:spacing w:before="156" w:beforeLines="50" w:line="360" w:lineRule="auto"/>
              <w:jc w:val="left"/>
              <w:rPr>
                <w:rFonts w:hint="eastAsia" w:cs="宋体" w:asciiTheme="minorEastAsia" w:hAnsiTheme="minorEastAsia" w:eastAsiaTheme="minorEastAsia"/>
                <w:kern w:val="0"/>
                <w:szCs w:val="21"/>
              </w:rPr>
            </w:pPr>
            <w:r>
              <w:rPr>
                <w:rFonts w:hint="eastAsia" w:ascii="宋体" w:hAnsi="宋体"/>
              </w:rPr>
              <w:t>投标报价超过招标文件中规定的预算金额和最高限价的</w:t>
            </w:r>
          </w:p>
        </w:tc>
        <w:tc>
          <w:tcPr>
            <w:tcW w:w="5655" w:type="dxa"/>
            <w:vAlign w:val="center"/>
          </w:tcPr>
          <w:p w14:paraId="4EC9D431">
            <w:pPr>
              <w:adjustRightInd w:val="0"/>
              <w:snapToGrid w:val="0"/>
              <w:spacing w:before="156" w:beforeLines="50" w:line="360" w:lineRule="auto"/>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投标报价未超过招标文件中规定的预算金额和最高限价。</w:t>
            </w:r>
          </w:p>
        </w:tc>
      </w:tr>
      <w:tr w14:paraId="4F05EE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259BA4E2">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2644" w:type="dxa"/>
            <w:vAlign w:val="center"/>
          </w:tcPr>
          <w:p w14:paraId="03D11019">
            <w:pPr>
              <w:adjustRightInd w:val="0"/>
              <w:snapToGrid w:val="0"/>
              <w:spacing w:before="156" w:beforeLines="50" w:line="360" w:lineRule="auto"/>
              <w:jc w:val="left"/>
              <w:rPr>
                <w:rFonts w:hint="eastAsia" w:cs="宋体" w:asciiTheme="minorEastAsia" w:hAnsiTheme="minorEastAsia" w:eastAsiaTheme="minorEastAsia"/>
                <w:kern w:val="0"/>
                <w:szCs w:val="21"/>
              </w:rPr>
            </w:pPr>
            <w:r>
              <w:rPr>
                <w:rFonts w:ascii="宋体" w:hAnsi="宋体"/>
              </w:rPr>
              <w:t>信用记录</w:t>
            </w:r>
          </w:p>
        </w:tc>
        <w:tc>
          <w:tcPr>
            <w:tcW w:w="5655" w:type="dxa"/>
            <w:vAlign w:val="center"/>
          </w:tcPr>
          <w:p w14:paraId="79939CBF">
            <w:pPr>
              <w:adjustRightInd w:val="0"/>
              <w:snapToGrid w:val="0"/>
              <w:spacing w:before="156" w:beforeLines="50" w:line="360" w:lineRule="auto"/>
              <w:jc w:val="center"/>
              <w:rPr>
                <w:rFonts w:hint="eastAsia" w:cs="宋体" w:asciiTheme="minorEastAsia" w:hAnsiTheme="minorEastAsia" w:eastAsiaTheme="minorEastAsia"/>
                <w:color w:val="000000" w:themeColor="text1"/>
                <w:kern w:val="0"/>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人在“信用中国”、“信用湖南”、“信用郴州”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tc>
      </w:tr>
      <w:tr w14:paraId="3F51BE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57" w:type="dxa"/>
            <w:vAlign w:val="center"/>
          </w:tcPr>
          <w:p w14:paraId="74CF1734">
            <w:pPr>
              <w:adjustRightInd w:val="0"/>
              <w:snapToGrid w:val="0"/>
              <w:spacing w:before="156" w:beforeLines="50" w:line="360" w:lineRule="auto"/>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6</w:t>
            </w:r>
          </w:p>
        </w:tc>
        <w:tc>
          <w:tcPr>
            <w:tcW w:w="2644" w:type="dxa"/>
            <w:shd w:val="clear" w:color="auto" w:fill="auto"/>
            <w:vAlign w:val="center"/>
          </w:tcPr>
          <w:p w14:paraId="0D0B8E73">
            <w:pPr>
              <w:adjustRightInd w:val="0"/>
              <w:snapToGrid w:val="0"/>
              <w:spacing w:before="156" w:beforeLines="50" w:line="360" w:lineRule="auto"/>
              <w:jc w:val="left"/>
              <w:rPr>
                <w:rFonts w:hint="eastAsia" w:cs="宋体" w:asciiTheme="minorEastAsia" w:hAnsiTheme="minorEastAsia" w:eastAsiaTheme="minorEastAsia"/>
                <w:kern w:val="0"/>
                <w:sz w:val="21"/>
                <w:szCs w:val="21"/>
                <w:lang w:val="en-US" w:eastAsia="zh-CN" w:bidi="ar-SA"/>
              </w:rPr>
            </w:pPr>
            <w:r>
              <w:rPr>
                <w:rFonts w:hint="eastAsia" w:ascii="宋体" w:hAnsi="宋体"/>
              </w:rPr>
              <w:t>法律、法规和招标文件规定的其他投标无效情形的</w:t>
            </w:r>
          </w:p>
        </w:tc>
        <w:tc>
          <w:tcPr>
            <w:tcW w:w="5655" w:type="dxa"/>
            <w:shd w:val="clear" w:color="auto" w:fill="auto"/>
            <w:vAlign w:val="center"/>
          </w:tcPr>
          <w:p w14:paraId="34600D32">
            <w:pPr>
              <w:adjustRightInd w:val="0"/>
              <w:snapToGrid w:val="0"/>
              <w:spacing w:before="156" w:beforeLines="50" w:line="360" w:lineRule="auto"/>
              <w:jc w:val="center"/>
              <w:rPr>
                <w:rFonts w:hint="eastAsia" w:cs="宋体" w:asciiTheme="minorEastAsia" w:hAnsiTheme="minorEastAsia" w:eastAsiaTheme="minorEastAsia"/>
                <w:color w:val="000000" w:themeColor="text1"/>
                <w:kern w:val="0"/>
                <w:sz w:val="21"/>
                <w:szCs w:val="21"/>
                <w:lang w:val="en-US" w:eastAsia="zh-CN" w:bidi="ar-SA"/>
                <w14:textFill>
                  <w14:solidFill>
                    <w14:schemeClr w14:val="tx1"/>
                  </w14:solidFill>
                </w14:textFill>
              </w:rPr>
            </w:pPr>
            <w:r>
              <w:rPr>
                <w:rFonts w:hint="eastAsia" w:ascii="宋体" w:hAnsi="宋体"/>
                <w:bCs/>
                <w:color w:val="000000" w:themeColor="text1"/>
                <w:szCs w:val="21"/>
                <w14:textFill>
                  <w14:solidFill>
                    <w14:schemeClr w14:val="tx1"/>
                  </w14:solidFill>
                </w14:textFill>
              </w:rPr>
              <w:t>无法律、法规和招标文件规定的其他投标无效情形。</w:t>
            </w:r>
          </w:p>
        </w:tc>
      </w:tr>
      <w:tr w14:paraId="3317B4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trPr>
        <w:tc>
          <w:tcPr>
            <w:tcW w:w="657" w:type="dxa"/>
            <w:vAlign w:val="center"/>
          </w:tcPr>
          <w:p w14:paraId="71B7477F">
            <w:pPr>
              <w:adjustRightInd w:val="0"/>
              <w:snapToGrid w:val="0"/>
              <w:spacing w:before="156" w:beforeLines="50" w:line="360" w:lineRule="auto"/>
              <w:jc w:val="center"/>
              <w:rPr>
                <w:rFonts w:hint="eastAsia" w:cs="宋体" w:asciiTheme="minorEastAsia" w:hAnsiTheme="minorEastAsia" w:eastAsiaTheme="minorEastAsia"/>
                <w:kern w:val="0"/>
                <w:sz w:val="20"/>
                <w:szCs w:val="21"/>
              </w:rPr>
            </w:pPr>
            <w:r>
              <w:rPr>
                <w:rFonts w:hint="eastAsia" w:asciiTheme="minorEastAsia" w:hAnsiTheme="minorEastAsia" w:eastAsiaTheme="minorEastAsia"/>
                <w:kern w:val="0"/>
                <w:sz w:val="20"/>
                <w:szCs w:val="21"/>
              </w:rPr>
              <w:t>结论</w:t>
            </w:r>
          </w:p>
        </w:tc>
        <w:tc>
          <w:tcPr>
            <w:tcW w:w="8299" w:type="dxa"/>
            <w:gridSpan w:val="2"/>
            <w:vAlign w:val="center"/>
          </w:tcPr>
          <w:p w14:paraId="57A022EA">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ascii="宋体" w:hAnsi="宋体" w:cs="宋体"/>
                <w:kern w:val="0"/>
                <w:szCs w:val="21"/>
              </w:rPr>
              <w:t>通过/不通过</w:t>
            </w:r>
          </w:p>
        </w:tc>
      </w:tr>
    </w:tbl>
    <w:p w14:paraId="46187506">
      <w:pPr>
        <w:spacing w:line="360" w:lineRule="exact"/>
        <w:jc w:val="left"/>
        <w:rPr>
          <w:rFonts w:ascii="宋体" w:hAnsi="宋体"/>
          <w:szCs w:val="21"/>
          <w:u w:val="dottedHeavy"/>
        </w:rPr>
      </w:pPr>
      <w:r>
        <w:rPr>
          <w:rFonts w:hint="eastAsia" w:ascii="宋体" w:hAnsi="宋体"/>
          <w:szCs w:val="21"/>
          <w:u w:val="dottedHeavy"/>
          <w:lang w:eastAsia="zh-CN"/>
        </w:rPr>
        <w:t>注：</w:t>
      </w:r>
      <w:r>
        <w:rPr>
          <w:rFonts w:hint="eastAsia" w:ascii="宋体" w:hAnsi="宋体"/>
          <w:szCs w:val="21"/>
          <w:u w:val="dottedHeavy"/>
        </w:rPr>
        <w:t>根据《</w:t>
      </w:r>
      <w:r>
        <w:rPr>
          <w:rFonts w:hint="eastAsia" w:ascii="宋体" w:hAnsi="宋体"/>
          <w:szCs w:val="21"/>
          <w:u w:val="dottedHeavy"/>
          <w:lang w:eastAsia="zh-CN"/>
        </w:rPr>
        <w:t>中华人民共和国政府采购法实施条例释义</w:t>
      </w:r>
      <w:r>
        <w:rPr>
          <w:rFonts w:hint="eastAsia" w:ascii="宋体" w:hAnsi="宋体"/>
          <w:szCs w:val="21"/>
          <w:u w:val="dottedHeavy"/>
        </w:rPr>
        <w:t>》，银行、保险、石油石化、电力、电信等有行业特殊情况的，取得营业执照的分支机构可</w:t>
      </w:r>
      <w:r>
        <w:rPr>
          <w:rFonts w:hint="eastAsia" w:ascii="宋体" w:hAnsi="宋体"/>
          <w:szCs w:val="21"/>
          <w:u w:val="dottedHeavy"/>
          <w:lang w:eastAsia="zh-CN"/>
        </w:rPr>
        <w:t>释义</w:t>
      </w:r>
      <w:r>
        <w:rPr>
          <w:rFonts w:hint="eastAsia" w:ascii="宋体" w:hAnsi="宋体"/>
          <w:szCs w:val="21"/>
          <w:u w:val="dottedHeavy"/>
        </w:rPr>
        <w:t>以分公司的名义直接参与本项目投标；</w:t>
      </w:r>
    </w:p>
    <w:p w14:paraId="57070AA9">
      <w:pPr>
        <w:rPr>
          <w:rFonts w:hint="eastAsia" w:ascii="黑体" w:hAnsi="黑体" w:eastAsia="黑体"/>
          <w:bCs/>
          <w:szCs w:val="21"/>
        </w:rPr>
      </w:pPr>
    </w:p>
    <w:p w14:paraId="5723266A">
      <w:pPr>
        <w:widowControl/>
        <w:jc w:val="left"/>
        <w:rPr>
          <w:rFonts w:hint="eastAsia" w:ascii="黑体" w:hAnsi="黑体" w:eastAsia="黑体"/>
          <w:bCs/>
          <w:szCs w:val="21"/>
        </w:rPr>
      </w:pPr>
    </w:p>
    <w:p w14:paraId="53678E4E">
      <w:pPr>
        <w:pStyle w:val="7"/>
        <w:adjustRightInd w:val="0"/>
        <w:snapToGrid w:val="0"/>
        <w:spacing w:before="0" w:after="0" w:line="360" w:lineRule="auto"/>
        <w:rPr>
          <w:rFonts w:hint="eastAsia" w:ascii="黑体" w:hAnsi="黑体"/>
          <w:b w:val="0"/>
          <w:sz w:val="21"/>
          <w:szCs w:val="21"/>
        </w:rPr>
      </w:pPr>
      <w:bookmarkStart w:id="72" w:name="_Toc19302"/>
      <w:bookmarkStart w:id="73" w:name="_Toc20651211"/>
      <w:bookmarkStart w:id="74" w:name="_Toc28611"/>
      <w:r>
        <w:rPr>
          <w:rFonts w:hint="eastAsia" w:ascii="黑体" w:hAnsi="黑体"/>
          <w:b w:val="0"/>
          <w:sz w:val="21"/>
          <w:szCs w:val="21"/>
        </w:rPr>
        <w:t>附表2 资格审查结果一览表</w:t>
      </w:r>
      <w:bookmarkEnd w:id="72"/>
      <w:bookmarkEnd w:id="73"/>
      <w:bookmarkEnd w:id="74"/>
    </w:p>
    <w:p w14:paraId="522F3280">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资格审查结果一览表</w:t>
      </w:r>
    </w:p>
    <w:p w14:paraId="16797296">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460E0C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385D2063">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5D6D0BE5">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1D9E7BAE">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资格审查结果</w:t>
            </w:r>
          </w:p>
          <w:p w14:paraId="7F151300">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5E6BA7DC">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资格审查不合格原因</w:t>
            </w:r>
          </w:p>
        </w:tc>
      </w:tr>
      <w:tr w14:paraId="579A39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CB55448">
            <w:pPr>
              <w:adjustRightInd w:val="0"/>
              <w:snapToGrid w:val="0"/>
              <w:spacing w:line="360" w:lineRule="auto"/>
              <w:rPr>
                <w:rFonts w:hint="eastAsia" w:asciiTheme="minorEastAsia" w:hAnsiTheme="minorEastAsia" w:eastAsiaTheme="minorEastAsia"/>
                <w:kern w:val="0"/>
                <w:sz w:val="24"/>
              </w:rPr>
            </w:pPr>
          </w:p>
        </w:tc>
        <w:tc>
          <w:tcPr>
            <w:tcW w:w="2963" w:type="dxa"/>
          </w:tcPr>
          <w:p w14:paraId="3B4A9645">
            <w:pPr>
              <w:adjustRightInd w:val="0"/>
              <w:snapToGrid w:val="0"/>
              <w:spacing w:line="360" w:lineRule="auto"/>
              <w:rPr>
                <w:rFonts w:hint="eastAsia" w:asciiTheme="minorEastAsia" w:hAnsiTheme="minorEastAsia" w:eastAsiaTheme="minorEastAsia"/>
                <w:kern w:val="0"/>
                <w:sz w:val="24"/>
              </w:rPr>
            </w:pPr>
          </w:p>
        </w:tc>
        <w:tc>
          <w:tcPr>
            <w:tcW w:w="2439" w:type="dxa"/>
          </w:tcPr>
          <w:p w14:paraId="525D2274">
            <w:pPr>
              <w:adjustRightInd w:val="0"/>
              <w:snapToGrid w:val="0"/>
              <w:spacing w:line="360" w:lineRule="auto"/>
              <w:rPr>
                <w:rFonts w:hint="eastAsia" w:asciiTheme="minorEastAsia" w:hAnsiTheme="minorEastAsia" w:eastAsiaTheme="minorEastAsia"/>
                <w:kern w:val="0"/>
                <w:sz w:val="24"/>
              </w:rPr>
            </w:pPr>
          </w:p>
        </w:tc>
        <w:tc>
          <w:tcPr>
            <w:tcW w:w="2961" w:type="dxa"/>
          </w:tcPr>
          <w:p w14:paraId="7436536C">
            <w:pPr>
              <w:adjustRightInd w:val="0"/>
              <w:snapToGrid w:val="0"/>
              <w:spacing w:line="360" w:lineRule="auto"/>
              <w:rPr>
                <w:rFonts w:hint="eastAsia" w:asciiTheme="minorEastAsia" w:hAnsiTheme="minorEastAsia" w:eastAsiaTheme="minorEastAsia"/>
                <w:kern w:val="0"/>
                <w:sz w:val="24"/>
              </w:rPr>
            </w:pPr>
          </w:p>
        </w:tc>
      </w:tr>
      <w:tr w14:paraId="2D68FD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E6864BA">
            <w:pPr>
              <w:adjustRightInd w:val="0"/>
              <w:snapToGrid w:val="0"/>
              <w:spacing w:line="360" w:lineRule="auto"/>
              <w:rPr>
                <w:rFonts w:hint="eastAsia" w:asciiTheme="minorEastAsia" w:hAnsiTheme="minorEastAsia" w:eastAsiaTheme="minorEastAsia"/>
                <w:kern w:val="0"/>
                <w:sz w:val="24"/>
              </w:rPr>
            </w:pPr>
          </w:p>
        </w:tc>
        <w:tc>
          <w:tcPr>
            <w:tcW w:w="2963" w:type="dxa"/>
          </w:tcPr>
          <w:p w14:paraId="4BE23AE9">
            <w:pPr>
              <w:adjustRightInd w:val="0"/>
              <w:snapToGrid w:val="0"/>
              <w:spacing w:line="360" w:lineRule="auto"/>
              <w:rPr>
                <w:rFonts w:hint="eastAsia" w:asciiTheme="minorEastAsia" w:hAnsiTheme="minorEastAsia" w:eastAsiaTheme="minorEastAsia"/>
                <w:kern w:val="0"/>
                <w:sz w:val="24"/>
              </w:rPr>
            </w:pPr>
          </w:p>
        </w:tc>
        <w:tc>
          <w:tcPr>
            <w:tcW w:w="2439" w:type="dxa"/>
          </w:tcPr>
          <w:p w14:paraId="297A9A84">
            <w:pPr>
              <w:adjustRightInd w:val="0"/>
              <w:snapToGrid w:val="0"/>
              <w:spacing w:line="360" w:lineRule="auto"/>
              <w:rPr>
                <w:rFonts w:hint="eastAsia" w:asciiTheme="minorEastAsia" w:hAnsiTheme="minorEastAsia" w:eastAsiaTheme="minorEastAsia"/>
                <w:kern w:val="0"/>
                <w:sz w:val="24"/>
              </w:rPr>
            </w:pPr>
          </w:p>
        </w:tc>
        <w:tc>
          <w:tcPr>
            <w:tcW w:w="2961" w:type="dxa"/>
          </w:tcPr>
          <w:p w14:paraId="0DC39EC6">
            <w:pPr>
              <w:adjustRightInd w:val="0"/>
              <w:snapToGrid w:val="0"/>
              <w:spacing w:line="360" w:lineRule="auto"/>
              <w:rPr>
                <w:rFonts w:hint="eastAsia" w:asciiTheme="minorEastAsia" w:hAnsiTheme="minorEastAsia" w:eastAsiaTheme="minorEastAsia"/>
                <w:kern w:val="0"/>
                <w:sz w:val="24"/>
              </w:rPr>
            </w:pPr>
          </w:p>
        </w:tc>
      </w:tr>
      <w:tr w14:paraId="4BAF24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D15B8FB">
            <w:pPr>
              <w:adjustRightInd w:val="0"/>
              <w:snapToGrid w:val="0"/>
              <w:spacing w:line="360" w:lineRule="auto"/>
              <w:rPr>
                <w:rFonts w:hint="eastAsia" w:asciiTheme="minorEastAsia" w:hAnsiTheme="minorEastAsia" w:eastAsiaTheme="minorEastAsia"/>
                <w:kern w:val="0"/>
                <w:sz w:val="24"/>
              </w:rPr>
            </w:pPr>
          </w:p>
        </w:tc>
        <w:tc>
          <w:tcPr>
            <w:tcW w:w="2963" w:type="dxa"/>
          </w:tcPr>
          <w:p w14:paraId="1E6E7489">
            <w:pPr>
              <w:adjustRightInd w:val="0"/>
              <w:snapToGrid w:val="0"/>
              <w:spacing w:line="360" w:lineRule="auto"/>
              <w:rPr>
                <w:rFonts w:hint="eastAsia" w:asciiTheme="minorEastAsia" w:hAnsiTheme="minorEastAsia" w:eastAsiaTheme="minorEastAsia"/>
                <w:kern w:val="0"/>
                <w:sz w:val="24"/>
              </w:rPr>
            </w:pPr>
          </w:p>
        </w:tc>
        <w:tc>
          <w:tcPr>
            <w:tcW w:w="2439" w:type="dxa"/>
          </w:tcPr>
          <w:p w14:paraId="46723BA1">
            <w:pPr>
              <w:adjustRightInd w:val="0"/>
              <w:snapToGrid w:val="0"/>
              <w:spacing w:line="360" w:lineRule="auto"/>
              <w:rPr>
                <w:rFonts w:hint="eastAsia" w:asciiTheme="minorEastAsia" w:hAnsiTheme="minorEastAsia" w:eastAsiaTheme="minorEastAsia"/>
                <w:kern w:val="0"/>
                <w:sz w:val="24"/>
              </w:rPr>
            </w:pPr>
          </w:p>
        </w:tc>
        <w:tc>
          <w:tcPr>
            <w:tcW w:w="2961" w:type="dxa"/>
          </w:tcPr>
          <w:p w14:paraId="70252515">
            <w:pPr>
              <w:adjustRightInd w:val="0"/>
              <w:snapToGrid w:val="0"/>
              <w:spacing w:line="360" w:lineRule="auto"/>
              <w:rPr>
                <w:rFonts w:hint="eastAsia" w:asciiTheme="minorEastAsia" w:hAnsiTheme="minorEastAsia" w:eastAsiaTheme="minorEastAsia"/>
                <w:kern w:val="0"/>
                <w:sz w:val="24"/>
              </w:rPr>
            </w:pPr>
          </w:p>
        </w:tc>
      </w:tr>
      <w:tr w14:paraId="08239A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5CECCF8">
            <w:pPr>
              <w:adjustRightInd w:val="0"/>
              <w:snapToGrid w:val="0"/>
              <w:spacing w:line="360" w:lineRule="auto"/>
              <w:rPr>
                <w:rFonts w:hint="eastAsia" w:asciiTheme="minorEastAsia" w:hAnsiTheme="minorEastAsia" w:eastAsiaTheme="minorEastAsia"/>
                <w:kern w:val="0"/>
                <w:sz w:val="24"/>
              </w:rPr>
            </w:pPr>
          </w:p>
        </w:tc>
        <w:tc>
          <w:tcPr>
            <w:tcW w:w="2963" w:type="dxa"/>
          </w:tcPr>
          <w:p w14:paraId="1B7934F6">
            <w:pPr>
              <w:adjustRightInd w:val="0"/>
              <w:snapToGrid w:val="0"/>
              <w:spacing w:line="360" w:lineRule="auto"/>
              <w:rPr>
                <w:rFonts w:hint="eastAsia" w:asciiTheme="minorEastAsia" w:hAnsiTheme="minorEastAsia" w:eastAsiaTheme="minorEastAsia"/>
                <w:kern w:val="0"/>
                <w:sz w:val="24"/>
              </w:rPr>
            </w:pPr>
          </w:p>
        </w:tc>
        <w:tc>
          <w:tcPr>
            <w:tcW w:w="2439" w:type="dxa"/>
          </w:tcPr>
          <w:p w14:paraId="68E3BD58">
            <w:pPr>
              <w:adjustRightInd w:val="0"/>
              <w:snapToGrid w:val="0"/>
              <w:spacing w:line="360" w:lineRule="auto"/>
              <w:rPr>
                <w:rFonts w:hint="eastAsia" w:asciiTheme="minorEastAsia" w:hAnsiTheme="minorEastAsia" w:eastAsiaTheme="minorEastAsia"/>
                <w:kern w:val="0"/>
                <w:sz w:val="24"/>
              </w:rPr>
            </w:pPr>
          </w:p>
        </w:tc>
        <w:tc>
          <w:tcPr>
            <w:tcW w:w="2961" w:type="dxa"/>
          </w:tcPr>
          <w:p w14:paraId="6534C089">
            <w:pPr>
              <w:adjustRightInd w:val="0"/>
              <w:snapToGrid w:val="0"/>
              <w:spacing w:line="360" w:lineRule="auto"/>
              <w:rPr>
                <w:rFonts w:hint="eastAsia" w:asciiTheme="minorEastAsia" w:hAnsiTheme="minorEastAsia" w:eastAsiaTheme="minorEastAsia"/>
                <w:kern w:val="0"/>
                <w:sz w:val="24"/>
              </w:rPr>
            </w:pPr>
          </w:p>
        </w:tc>
      </w:tr>
      <w:tr w14:paraId="297940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E242631">
            <w:pPr>
              <w:adjustRightInd w:val="0"/>
              <w:snapToGrid w:val="0"/>
              <w:spacing w:line="360" w:lineRule="auto"/>
              <w:rPr>
                <w:rFonts w:hint="eastAsia" w:asciiTheme="minorEastAsia" w:hAnsiTheme="minorEastAsia" w:eastAsiaTheme="minorEastAsia"/>
                <w:kern w:val="0"/>
                <w:sz w:val="24"/>
              </w:rPr>
            </w:pPr>
          </w:p>
        </w:tc>
        <w:tc>
          <w:tcPr>
            <w:tcW w:w="2963" w:type="dxa"/>
          </w:tcPr>
          <w:p w14:paraId="5F7DDC91">
            <w:pPr>
              <w:adjustRightInd w:val="0"/>
              <w:snapToGrid w:val="0"/>
              <w:spacing w:line="360" w:lineRule="auto"/>
              <w:rPr>
                <w:rFonts w:hint="eastAsia" w:asciiTheme="minorEastAsia" w:hAnsiTheme="minorEastAsia" w:eastAsiaTheme="minorEastAsia"/>
                <w:kern w:val="0"/>
                <w:sz w:val="24"/>
              </w:rPr>
            </w:pPr>
          </w:p>
        </w:tc>
        <w:tc>
          <w:tcPr>
            <w:tcW w:w="2439" w:type="dxa"/>
          </w:tcPr>
          <w:p w14:paraId="6E73A9EF">
            <w:pPr>
              <w:adjustRightInd w:val="0"/>
              <w:snapToGrid w:val="0"/>
              <w:spacing w:line="360" w:lineRule="auto"/>
              <w:rPr>
                <w:rFonts w:hint="eastAsia" w:asciiTheme="minorEastAsia" w:hAnsiTheme="minorEastAsia" w:eastAsiaTheme="minorEastAsia"/>
                <w:kern w:val="0"/>
                <w:sz w:val="24"/>
              </w:rPr>
            </w:pPr>
          </w:p>
        </w:tc>
        <w:tc>
          <w:tcPr>
            <w:tcW w:w="2961" w:type="dxa"/>
          </w:tcPr>
          <w:p w14:paraId="55879BA9">
            <w:pPr>
              <w:adjustRightInd w:val="0"/>
              <w:snapToGrid w:val="0"/>
              <w:spacing w:line="360" w:lineRule="auto"/>
              <w:rPr>
                <w:rFonts w:hint="eastAsia" w:asciiTheme="minorEastAsia" w:hAnsiTheme="minorEastAsia" w:eastAsiaTheme="minorEastAsia"/>
                <w:kern w:val="0"/>
                <w:sz w:val="24"/>
              </w:rPr>
            </w:pPr>
          </w:p>
        </w:tc>
      </w:tr>
      <w:tr w14:paraId="64AA9F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99BC2E2">
            <w:pPr>
              <w:adjustRightInd w:val="0"/>
              <w:snapToGrid w:val="0"/>
              <w:spacing w:line="360" w:lineRule="auto"/>
              <w:rPr>
                <w:rFonts w:hint="eastAsia" w:asciiTheme="minorEastAsia" w:hAnsiTheme="minorEastAsia" w:eastAsiaTheme="minorEastAsia"/>
                <w:kern w:val="0"/>
                <w:sz w:val="24"/>
              </w:rPr>
            </w:pPr>
          </w:p>
        </w:tc>
        <w:tc>
          <w:tcPr>
            <w:tcW w:w="2963" w:type="dxa"/>
          </w:tcPr>
          <w:p w14:paraId="4FA84576">
            <w:pPr>
              <w:adjustRightInd w:val="0"/>
              <w:snapToGrid w:val="0"/>
              <w:spacing w:line="360" w:lineRule="auto"/>
              <w:rPr>
                <w:rFonts w:hint="eastAsia" w:asciiTheme="minorEastAsia" w:hAnsiTheme="minorEastAsia" w:eastAsiaTheme="minorEastAsia"/>
                <w:kern w:val="0"/>
                <w:sz w:val="24"/>
              </w:rPr>
            </w:pPr>
          </w:p>
        </w:tc>
        <w:tc>
          <w:tcPr>
            <w:tcW w:w="2439" w:type="dxa"/>
          </w:tcPr>
          <w:p w14:paraId="0F1ABCBB">
            <w:pPr>
              <w:adjustRightInd w:val="0"/>
              <w:snapToGrid w:val="0"/>
              <w:spacing w:line="360" w:lineRule="auto"/>
              <w:rPr>
                <w:rFonts w:hint="eastAsia" w:asciiTheme="minorEastAsia" w:hAnsiTheme="minorEastAsia" w:eastAsiaTheme="minorEastAsia"/>
                <w:kern w:val="0"/>
                <w:sz w:val="24"/>
              </w:rPr>
            </w:pPr>
          </w:p>
        </w:tc>
        <w:tc>
          <w:tcPr>
            <w:tcW w:w="2961" w:type="dxa"/>
          </w:tcPr>
          <w:p w14:paraId="5AFAE87B">
            <w:pPr>
              <w:adjustRightInd w:val="0"/>
              <w:snapToGrid w:val="0"/>
              <w:spacing w:line="360" w:lineRule="auto"/>
              <w:rPr>
                <w:rFonts w:hint="eastAsia" w:asciiTheme="minorEastAsia" w:hAnsiTheme="minorEastAsia" w:eastAsiaTheme="minorEastAsia"/>
                <w:kern w:val="0"/>
                <w:sz w:val="24"/>
              </w:rPr>
            </w:pPr>
          </w:p>
        </w:tc>
      </w:tr>
      <w:tr w14:paraId="3221E4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368C0EF">
            <w:pPr>
              <w:adjustRightInd w:val="0"/>
              <w:snapToGrid w:val="0"/>
              <w:spacing w:line="360" w:lineRule="auto"/>
              <w:rPr>
                <w:rFonts w:hint="eastAsia" w:asciiTheme="minorEastAsia" w:hAnsiTheme="minorEastAsia" w:eastAsiaTheme="minorEastAsia"/>
                <w:kern w:val="0"/>
                <w:sz w:val="24"/>
              </w:rPr>
            </w:pPr>
          </w:p>
        </w:tc>
        <w:tc>
          <w:tcPr>
            <w:tcW w:w="2963" w:type="dxa"/>
          </w:tcPr>
          <w:p w14:paraId="46C7C8F6">
            <w:pPr>
              <w:adjustRightInd w:val="0"/>
              <w:snapToGrid w:val="0"/>
              <w:spacing w:line="360" w:lineRule="auto"/>
              <w:rPr>
                <w:rFonts w:hint="eastAsia" w:asciiTheme="minorEastAsia" w:hAnsiTheme="minorEastAsia" w:eastAsiaTheme="minorEastAsia"/>
                <w:kern w:val="0"/>
                <w:sz w:val="24"/>
              </w:rPr>
            </w:pPr>
          </w:p>
        </w:tc>
        <w:tc>
          <w:tcPr>
            <w:tcW w:w="2439" w:type="dxa"/>
          </w:tcPr>
          <w:p w14:paraId="5DF273DC">
            <w:pPr>
              <w:adjustRightInd w:val="0"/>
              <w:snapToGrid w:val="0"/>
              <w:spacing w:line="360" w:lineRule="auto"/>
              <w:rPr>
                <w:rFonts w:hint="eastAsia" w:asciiTheme="minorEastAsia" w:hAnsiTheme="minorEastAsia" w:eastAsiaTheme="minorEastAsia"/>
                <w:kern w:val="0"/>
                <w:sz w:val="24"/>
              </w:rPr>
            </w:pPr>
          </w:p>
        </w:tc>
        <w:tc>
          <w:tcPr>
            <w:tcW w:w="2961" w:type="dxa"/>
          </w:tcPr>
          <w:p w14:paraId="727DCFF3">
            <w:pPr>
              <w:adjustRightInd w:val="0"/>
              <w:snapToGrid w:val="0"/>
              <w:spacing w:line="360" w:lineRule="auto"/>
              <w:rPr>
                <w:rFonts w:hint="eastAsia" w:asciiTheme="minorEastAsia" w:hAnsiTheme="minorEastAsia" w:eastAsiaTheme="minorEastAsia"/>
                <w:kern w:val="0"/>
                <w:sz w:val="24"/>
              </w:rPr>
            </w:pPr>
          </w:p>
        </w:tc>
      </w:tr>
      <w:tr w14:paraId="3CB95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04C07A7">
            <w:pPr>
              <w:adjustRightInd w:val="0"/>
              <w:snapToGrid w:val="0"/>
              <w:spacing w:line="360" w:lineRule="auto"/>
              <w:rPr>
                <w:rFonts w:hint="eastAsia" w:asciiTheme="minorEastAsia" w:hAnsiTheme="minorEastAsia" w:eastAsiaTheme="minorEastAsia"/>
                <w:kern w:val="0"/>
                <w:sz w:val="24"/>
              </w:rPr>
            </w:pPr>
          </w:p>
        </w:tc>
        <w:tc>
          <w:tcPr>
            <w:tcW w:w="2963" w:type="dxa"/>
          </w:tcPr>
          <w:p w14:paraId="7637A511">
            <w:pPr>
              <w:adjustRightInd w:val="0"/>
              <w:snapToGrid w:val="0"/>
              <w:spacing w:line="360" w:lineRule="auto"/>
              <w:rPr>
                <w:rFonts w:hint="eastAsia" w:asciiTheme="minorEastAsia" w:hAnsiTheme="minorEastAsia" w:eastAsiaTheme="minorEastAsia"/>
                <w:kern w:val="0"/>
                <w:sz w:val="24"/>
              </w:rPr>
            </w:pPr>
          </w:p>
        </w:tc>
        <w:tc>
          <w:tcPr>
            <w:tcW w:w="2439" w:type="dxa"/>
          </w:tcPr>
          <w:p w14:paraId="211E9DC0">
            <w:pPr>
              <w:adjustRightInd w:val="0"/>
              <w:snapToGrid w:val="0"/>
              <w:spacing w:line="360" w:lineRule="auto"/>
              <w:rPr>
                <w:rFonts w:hint="eastAsia" w:asciiTheme="minorEastAsia" w:hAnsiTheme="minorEastAsia" w:eastAsiaTheme="minorEastAsia"/>
                <w:kern w:val="0"/>
                <w:sz w:val="24"/>
              </w:rPr>
            </w:pPr>
          </w:p>
        </w:tc>
        <w:tc>
          <w:tcPr>
            <w:tcW w:w="2961" w:type="dxa"/>
          </w:tcPr>
          <w:p w14:paraId="6AA341DB">
            <w:pPr>
              <w:adjustRightInd w:val="0"/>
              <w:snapToGrid w:val="0"/>
              <w:spacing w:line="360" w:lineRule="auto"/>
              <w:rPr>
                <w:rFonts w:hint="eastAsia" w:asciiTheme="minorEastAsia" w:hAnsiTheme="minorEastAsia" w:eastAsiaTheme="minorEastAsia"/>
                <w:kern w:val="0"/>
                <w:sz w:val="24"/>
              </w:rPr>
            </w:pPr>
          </w:p>
        </w:tc>
      </w:tr>
      <w:tr w14:paraId="002FE1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0E92C75">
            <w:pPr>
              <w:adjustRightInd w:val="0"/>
              <w:snapToGrid w:val="0"/>
              <w:spacing w:line="360" w:lineRule="auto"/>
              <w:rPr>
                <w:rFonts w:hint="eastAsia" w:asciiTheme="minorEastAsia" w:hAnsiTheme="minorEastAsia" w:eastAsiaTheme="minorEastAsia"/>
                <w:kern w:val="0"/>
                <w:sz w:val="24"/>
              </w:rPr>
            </w:pPr>
          </w:p>
        </w:tc>
        <w:tc>
          <w:tcPr>
            <w:tcW w:w="2963" w:type="dxa"/>
          </w:tcPr>
          <w:p w14:paraId="07A0C9ED">
            <w:pPr>
              <w:adjustRightInd w:val="0"/>
              <w:snapToGrid w:val="0"/>
              <w:spacing w:line="360" w:lineRule="auto"/>
              <w:rPr>
                <w:rFonts w:hint="eastAsia" w:asciiTheme="minorEastAsia" w:hAnsiTheme="minorEastAsia" w:eastAsiaTheme="minorEastAsia"/>
                <w:kern w:val="0"/>
                <w:sz w:val="24"/>
              </w:rPr>
            </w:pPr>
          </w:p>
        </w:tc>
        <w:tc>
          <w:tcPr>
            <w:tcW w:w="2439" w:type="dxa"/>
          </w:tcPr>
          <w:p w14:paraId="1F2E7572">
            <w:pPr>
              <w:adjustRightInd w:val="0"/>
              <w:snapToGrid w:val="0"/>
              <w:spacing w:line="360" w:lineRule="auto"/>
              <w:rPr>
                <w:rFonts w:hint="eastAsia" w:asciiTheme="minorEastAsia" w:hAnsiTheme="minorEastAsia" w:eastAsiaTheme="minorEastAsia"/>
                <w:kern w:val="0"/>
                <w:sz w:val="24"/>
              </w:rPr>
            </w:pPr>
          </w:p>
        </w:tc>
        <w:tc>
          <w:tcPr>
            <w:tcW w:w="2961" w:type="dxa"/>
          </w:tcPr>
          <w:p w14:paraId="396008B6">
            <w:pPr>
              <w:adjustRightInd w:val="0"/>
              <w:snapToGrid w:val="0"/>
              <w:spacing w:line="360" w:lineRule="auto"/>
              <w:rPr>
                <w:rFonts w:hint="eastAsia" w:asciiTheme="minorEastAsia" w:hAnsiTheme="minorEastAsia" w:eastAsiaTheme="minorEastAsia"/>
                <w:kern w:val="0"/>
                <w:sz w:val="24"/>
              </w:rPr>
            </w:pPr>
          </w:p>
        </w:tc>
      </w:tr>
    </w:tbl>
    <w:p w14:paraId="3FA273B4">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2F6EA76E">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34D199B6">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407817BB">
      <w:pPr>
        <w:widowControl/>
        <w:jc w:val="left"/>
        <w:rPr>
          <w:rFonts w:hint="eastAsia" w:asciiTheme="minorEastAsia" w:hAnsiTheme="minorEastAsia" w:eastAsiaTheme="minorEastAsia"/>
          <w:sz w:val="24"/>
        </w:rPr>
      </w:pPr>
      <w:r>
        <w:rPr>
          <w:rFonts w:asciiTheme="minorEastAsia" w:hAnsiTheme="minorEastAsia" w:eastAsiaTheme="minorEastAsia"/>
          <w:sz w:val="24"/>
        </w:rPr>
        <w:br w:type="page"/>
      </w:r>
    </w:p>
    <w:p w14:paraId="6F5D1E28">
      <w:pPr>
        <w:pStyle w:val="7"/>
        <w:adjustRightInd w:val="0"/>
        <w:snapToGrid w:val="0"/>
        <w:spacing w:before="0" w:after="0" w:line="360" w:lineRule="auto"/>
        <w:rPr>
          <w:rFonts w:hint="eastAsia" w:ascii="黑体" w:hAnsi="黑体"/>
          <w:b w:val="0"/>
          <w:sz w:val="21"/>
          <w:szCs w:val="21"/>
        </w:rPr>
      </w:pPr>
      <w:bookmarkStart w:id="75" w:name="_Toc5584"/>
      <w:bookmarkStart w:id="76" w:name="_Toc20651212"/>
      <w:bookmarkStart w:id="77" w:name="_Toc2261"/>
      <w:r>
        <w:rPr>
          <w:rFonts w:hint="eastAsia" w:ascii="黑体" w:hAnsi="黑体"/>
          <w:b w:val="0"/>
          <w:sz w:val="21"/>
          <w:szCs w:val="21"/>
        </w:rPr>
        <w:t>附表3 资格审查合格投标人名单</w:t>
      </w:r>
      <w:bookmarkEnd w:id="75"/>
      <w:bookmarkEnd w:id="76"/>
      <w:bookmarkEnd w:id="77"/>
    </w:p>
    <w:p w14:paraId="4A26E1F3">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资格审查合格投标人名单</w:t>
      </w:r>
    </w:p>
    <w:p w14:paraId="66CABF3F">
      <w:pPr>
        <w:adjustRightInd w:val="0"/>
        <w:snapToGrid w:val="0"/>
        <w:spacing w:line="360" w:lineRule="auto"/>
        <w:rPr>
          <w:rFonts w:hint="eastAsia" w:ascii="华文中宋" w:hAnsi="华文中宋" w:eastAsia="华文中宋"/>
          <w:sz w:val="32"/>
          <w:szCs w:val="32"/>
        </w:rPr>
      </w:pP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采购代理编号：</w:t>
      </w:r>
      <w:r>
        <w:rPr>
          <w:rFonts w:hint="eastAsia" w:asciiTheme="minorEastAsia" w:hAnsiTheme="minorEastAsia" w:eastAsiaTheme="minorEastAsia"/>
          <w:szCs w:val="21"/>
          <w:u w:val="single"/>
        </w:rPr>
        <w:t xml:space="preserve">           </w:t>
      </w:r>
    </w:p>
    <w:tbl>
      <w:tblPr>
        <w:tblStyle w:val="2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BAAEB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28C15F56">
            <w:pPr>
              <w:jc w:val="center"/>
              <w:rPr>
                <w:b/>
                <w:kern w:val="0"/>
                <w:szCs w:val="21"/>
              </w:rPr>
            </w:pPr>
            <w:r>
              <w:rPr>
                <w:rFonts w:hint="eastAsia"/>
                <w:b/>
                <w:kern w:val="0"/>
                <w:szCs w:val="21"/>
              </w:rPr>
              <w:t>序号</w:t>
            </w:r>
          </w:p>
        </w:tc>
        <w:tc>
          <w:tcPr>
            <w:tcW w:w="7796" w:type="dxa"/>
            <w:vAlign w:val="center"/>
          </w:tcPr>
          <w:p w14:paraId="1A85A538">
            <w:pPr>
              <w:jc w:val="center"/>
              <w:rPr>
                <w:b/>
                <w:kern w:val="0"/>
                <w:szCs w:val="21"/>
              </w:rPr>
            </w:pPr>
            <w:r>
              <w:rPr>
                <w:rFonts w:hint="eastAsia"/>
                <w:b/>
                <w:kern w:val="0"/>
                <w:szCs w:val="21"/>
              </w:rPr>
              <w:t>合格投标人名称</w:t>
            </w:r>
          </w:p>
        </w:tc>
      </w:tr>
      <w:tr w14:paraId="776C46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4C1C0741">
            <w:pPr>
              <w:adjustRightInd w:val="0"/>
              <w:snapToGrid w:val="0"/>
              <w:spacing w:line="360" w:lineRule="auto"/>
              <w:rPr>
                <w:rFonts w:hint="eastAsia" w:asciiTheme="minorEastAsia" w:hAnsiTheme="minorEastAsia" w:eastAsiaTheme="minorEastAsia"/>
                <w:kern w:val="0"/>
                <w:szCs w:val="21"/>
              </w:rPr>
            </w:pPr>
          </w:p>
        </w:tc>
        <w:tc>
          <w:tcPr>
            <w:tcW w:w="7796" w:type="dxa"/>
          </w:tcPr>
          <w:p w14:paraId="478E4BF1">
            <w:pPr>
              <w:adjustRightInd w:val="0"/>
              <w:snapToGrid w:val="0"/>
              <w:spacing w:line="360" w:lineRule="auto"/>
              <w:rPr>
                <w:rFonts w:hint="eastAsia" w:asciiTheme="minorEastAsia" w:hAnsiTheme="minorEastAsia" w:eastAsiaTheme="minorEastAsia"/>
                <w:kern w:val="0"/>
                <w:szCs w:val="21"/>
              </w:rPr>
            </w:pPr>
          </w:p>
        </w:tc>
      </w:tr>
      <w:tr w14:paraId="4BD802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A000E59">
            <w:pPr>
              <w:adjustRightInd w:val="0"/>
              <w:snapToGrid w:val="0"/>
              <w:spacing w:line="360" w:lineRule="auto"/>
              <w:rPr>
                <w:rFonts w:hint="eastAsia" w:asciiTheme="minorEastAsia" w:hAnsiTheme="minorEastAsia" w:eastAsiaTheme="minorEastAsia"/>
                <w:kern w:val="0"/>
                <w:sz w:val="24"/>
              </w:rPr>
            </w:pPr>
          </w:p>
        </w:tc>
        <w:tc>
          <w:tcPr>
            <w:tcW w:w="7796" w:type="dxa"/>
          </w:tcPr>
          <w:p w14:paraId="3D67ACFB">
            <w:pPr>
              <w:adjustRightInd w:val="0"/>
              <w:snapToGrid w:val="0"/>
              <w:spacing w:line="360" w:lineRule="auto"/>
              <w:rPr>
                <w:rFonts w:hint="eastAsia" w:asciiTheme="minorEastAsia" w:hAnsiTheme="minorEastAsia" w:eastAsiaTheme="minorEastAsia"/>
                <w:kern w:val="0"/>
                <w:sz w:val="24"/>
              </w:rPr>
            </w:pPr>
          </w:p>
        </w:tc>
      </w:tr>
      <w:tr w14:paraId="33A23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CA32D57">
            <w:pPr>
              <w:adjustRightInd w:val="0"/>
              <w:snapToGrid w:val="0"/>
              <w:spacing w:line="360" w:lineRule="auto"/>
              <w:rPr>
                <w:rFonts w:hint="eastAsia" w:asciiTheme="minorEastAsia" w:hAnsiTheme="minorEastAsia" w:eastAsiaTheme="minorEastAsia"/>
                <w:kern w:val="0"/>
                <w:sz w:val="24"/>
              </w:rPr>
            </w:pPr>
          </w:p>
        </w:tc>
        <w:tc>
          <w:tcPr>
            <w:tcW w:w="7796" w:type="dxa"/>
          </w:tcPr>
          <w:p w14:paraId="4C2A8C84">
            <w:pPr>
              <w:adjustRightInd w:val="0"/>
              <w:snapToGrid w:val="0"/>
              <w:spacing w:line="360" w:lineRule="auto"/>
              <w:rPr>
                <w:rFonts w:hint="eastAsia" w:asciiTheme="minorEastAsia" w:hAnsiTheme="minorEastAsia" w:eastAsiaTheme="minorEastAsia"/>
                <w:kern w:val="0"/>
                <w:sz w:val="24"/>
              </w:rPr>
            </w:pPr>
          </w:p>
        </w:tc>
      </w:tr>
      <w:tr w14:paraId="626649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BB14487">
            <w:pPr>
              <w:adjustRightInd w:val="0"/>
              <w:snapToGrid w:val="0"/>
              <w:spacing w:line="360" w:lineRule="auto"/>
              <w:rPr>
                <w:rFonts w:hint="eastAsia" w:asciiTheme="minorEastAsia" w:hAnsiTheme="minorEastAsia" w:eastAsiaTheme="minorEastAsia"/>
                <w:kern w:val="0"/>
                <w:sz w:val="24"/>
              </w:rPr>
            </w:pPr>
          </w:p>
        </w:tc>
        <w:tc>
          <w:tcPr>
            <w:tcW w:w="7796" w:type="dxa"/>
          </w:tcPr>
          <w:p w14:paraId="36C68534">
            <w:pPr>
              <w:adjustRightInd w:val="0"/>
              <w:snapToGrid w:val="0"/>
              <w:spacing w:line="360" w:lineRule="auto"/>
              <w:rPr>
                <w:rFonts w:hint="eastAsia" w:asciiTheme="minorEastAsia" w:hAnsiTheme="minorEastAsia" w:eastAsiaTheme="minorEastAsia"/>
                <w:kern w:val="0"/>
                <w:sz w:val="24"/>
              </w:rPr>
            </w:pPr>
          </w:p>
        </w:tc>
      </w:tr>
      <w:tr w14:paraId="1C5BEE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2666C1A">
            <w:pPr>
              <w:adjustRightInd w:val="0"/>
              <w:snapToGrid w:val="0"/>
              <w:spacing w:line="360" w:lineRule="auto"/>
              <w:rPr>
                <w:rFonts w:hint="eastAsia" w:asciiTheme="minorEastAsia" w:hAnsiTheme="minorEastAsia" w:eastAsiaTheme="minorEastAsia"/>
                <w:kern w:val="0"/>
                <w:sz w:val="24"/>
              </w:rPr>
            </w:pPr>
          </w:p>
        </w:tc>
        <w:tc>
          <w:tcPr>
            <w:tcW w:w="7796" w:type="dxa"/>
          </w:tcPr>
          <w:p w14:paraId="17CECE50">
            <w:pPr>
              <w:adjustRightInd w:val="0"/>
              <w:snapToGrid w:val="0"/>
              <w:spacing w:line="360" w:lineRule="auto"/>
              <w:rPr>
                <w:rFonts w:hint="eastAsia" w:asciiTheme="minorEastAsia" w:hAnsiTheme="minorEastAsia" w:eastAsiaTheme="minorEastAsia"/>
                <w:kern w:val="0"/>
                <w:sz w:val="24"/>
              </w:rPr>
            </w:pPr>
          </w:p>
        </w:tc>
      </w:tr>
      <w:tr w14:paraId="5F480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83328D4">
            <w:pPr>
              <w:adjustRightInd w:val="0"/>
              <w:snapToGrid w:val="0"/>
              <w:spacing w:line="360" w:lineRule="auto"/>
              <w:rPr>
                <w:rFonts w:hint="eastAsia" w:asciiTheme="minorEastAsia" w:hAnsiTheme="minorEastAsia" w:eastAsiaTheme="minorEastAsia"/>
                <w:kern w:val="0"/>
                <w:sz w:val="24"/>
              </w:rPr>
            </w:pPr>
          </w:p>
        </w:tc>
        <w:tc>
          <w:tcPr>
            <w:tcW w:w="7796" w:type="dxa"/>
          </w:tcPr>
          <w:p w14:paraId="314AB44A">
            <w:pPr>
              <w:adjustRightInd w:val="0"/>
              <w:snapToGrid w:val="0"/>
              <w:spacing w:line="360" w:lineRule="auto"/>
              <w:rPr>
                <w:rFonts w:hint="eastAsia" w:asciiTheme="minorEastAsia" w:hAnsiTheme="minorEastAsia" w:eastAsiaTheme="minorEastAsia"/>
                <w:kern w:val="0"/>
                <w:sz w:val="24"/>
              </w:rPr>
            </w:pPr>
          </w:p>
        </w:tc>
      </w:tr>
    </w:tbl>
    <w:p w14:paraId="17174243">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采购人（签字）：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F63A830">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采购代理机构（签字）：</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F5EF902">
      <w:r>
        <w:rPr>
          <w:rFonts w:hint="eastAsia"/>
        </w:rPr>
        <w:t>日期：       年   月   日</w:t>
      </w:r>
    </w:p>
    <w:p w14:paraId="30412462">
      <w:pPr>
        <w:pStyle w:val="12"/>
        <w:adjustRightInd w:val="0"/>
        <w:snapToGrid w:val="0"/>
        <w:spacing w:line="360" w:lineRule="auto"/>
        <w:jc w:val="center"/>
        <w:outlineLvl w:val="0"/>
        <w:rPr>
          <w:rFonts w:hint="eastAsia" w:ascii="黑体" w:hAnsi="华文中宋" w:eastAsia="黑体"/>
          <w:b/>
          <w:sz w:val="28"/>
          <w:szCs w:val="28"/>
        </w:rPr>
      </w:pPr>
      <w:r>
        <w:rPr>
          <w:rFonts w:hAnsi="宋体"/>
        </w:rPr>
        <w:br w:type="page"/>
      </w:r>
      <w:bookmarkStart w:id="78" w:name="_Toc15313"/>
      <w:bookmarkStart w:id="79" w:name="_Toc12282"/>
      <w:r>
        <w:rPr>
          <w:rFonts w:hint="eastAsia" w:ascii="黑体" w:hAnsi="华文中宋" w:eastAsia="黑体"/>
          <w:b/>
          <w:sz w:val="32"/>
          <w:szCs w:val="32"/>
        </w:rPr>
        <w:t>第四章 评标方法及标准（综合评分法）</w:t>
      </w:r>
      <w:bookmarkEnd w:id="70"/>
      <w:bookmarkEnd w:id="78"/>
      <w:bookmarkEnd w:id="79"/>
    </w:p>
    <w:p w14:paraId="5D463D31">
      <w:pPr>
        <w:pStyle w:val="4"/>
        <w:adjustRightInd w:val="0"/>
        <w:snapToGrid w:val="0"/>
        <w:jc w:val="center"/>
        <w:rPr>
          <w:rFonts w:hint="eastAsia" w:ascii="黑体" w:hAnsi="华文中宋" w:eastAsia="黑体"/>
          <w:sz w:val="28"/>
          <w:szCs w:val="28"/>
        </w:rPr>
      </w:pPr>
      <w:bookmarkStart w:id="80" w:name="_Toc29913911"/>
      <w:bookmarkStart w:id="81" w:name="_Toc24566"/>
      <w:bookmarkStart w:id="82" w:name="_Toc27055"/>
      <w:r>
        <w:rPr>
          <w:rFonts w:hint="eastAsia" w:ascii="黑体" w:hAnsi="华文中宋" w:eastAsia="黑体"/>
          <w:sz w:val="28"/>
          <w:szCs w:val="28"/>
        </w:rPr>
        <w:t>第一节 评标方法及标准前附表</w:t>
      </w:r>
      <w:bookmarkEnd w:id="80"/>
      <w:bookmarkEnd w:id="81"/>
      <w:bookmarkEnd w:id="82"/>
    </w:p>
    <w:tbl>
      <w:tblPr>
        <w:tblStyle w:val="2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0"/>
        <w:gridCol w:w="2271"/>
        <w:gridCol w:w="4818"/>
      </w:tblGrid>
      <w:tr w14:paraId="4D007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double" w:color="auto" w:sz="4" w:space="0"/>
              <w:bottom w:val="single" w:color="auto" w:sz="6" w:space="0"/>
            </w:tcBorders>
          </w:tcPr>
          <w:p w14:paraId="0AE0E34F">
            <w:pPr>
              <w:adjustRightInd w:val="0"/>
              <w:snapToGrid w:val="0"/>
              <w:spacing w:before="156" w:beforeLines="50" w:line="360" w:lineRule="auto"/>
              <w:jc w:val="center"/>
              <w:rPr>
                <w:b/>
              </w:rPr>
            </w:pPr>
            <w:r>
              <w:rPr>
                <w:rFonts w:hint="eastAsia"/>
                <w:b/>
              </w:rPr>
              <w:t>条款号</w:t>
            </w:r>
          </w:p>
        </w:tc>
        <w:tc>
          <w:tcPr>
            <w:tcW w:w="2271" w:type="dxa"/>
            <w:tcBorders>
              <w:top w:val="double" w:color="auto" w:sz="4" w:space="0"/>
              <w:bottom w:val="single" w:color="auto" w:sz="6" w:space="0"/>
            </w:tcBorders>
          </w:tcPr>
          <w:p w14:paraId="0CBBFE73">
            <w:pPr>
              <w:adjustRightInd w:val="0"/>
              <w:snapToGrid w:val="0"/>
              <w:spacing w:before="156" w:beforeLines="50" w:line="360" w:lineRule="auto"/>
              <w:jc w:val="center"/>
              <w:rPr>
                <w:b/>
              </w:rPr>
            </w:pPr>
            <w:r>
              <w:rPr>
                <w:rFonts w:hint="eastAsia"/>
                <w:b/>
              </w:rPr>
              <w:t>条款名称</w:t>
            </w:r>
          </w:p>
        </w:tc>
        <w:tc>
          <w:tcPr>
            <w:tcW w:w="4818" w:type="dxa"/>
            <w:tcBorders>
              <w:top w:val="double" w:color="auto" w:sz="4" w:space="0"/>
              <w:bottom w:val="single" w:color="auto" w:sz="6" w:space="0"/>
            </w:tcBorders>
          </w:tcPr>
          <w:p w14:paraId="5C67B1A6">
            <w:pPr>
              <w:adjustRightInd w:val="0"/>
              <w:snapToGrid w:val="0"/>
              <w:spacing w:before="156" w:beforeLines="50" w:line="360" w:lineRule="auto"/>
              <w:jc w:val="center"/>
              <w:rPr>
                <w:b/>
              </w:rPr>
            </w:pPr>
            <w:r>
              <w:rPr>
                <w:rFonts w:hint="eastAsia"/>
                <w:b/>
              </w:rPr>
              <w:t>编列内容规定</w:t>
            </w:r>
          </w:p>
        </w:tc>
      </w:tr>
      <w:tr w14:paraId="3533C4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24A0F9B1">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第1.2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0C4DDD93">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评标方法</w:t>
            </w:r>
          </w:p>
        </w:tc>
        <w:tc>
          <w:tcPr>
            <w:tcW w:w="4818" w:type="dxa"/>
            <w:tcBorders>
              <w:top w:val="single" w:color="auto" w:sz="6" w:space="0"/>
              <w:bottom w:val="single" w:color="auto" w:sz="6" w:space="0"/>
            </w:tcBorders>
            <w:vAlign w:val="center"/>
          </w:tcPr>
          <w:p w14:paraId="0883DC43">
            <w:pPr>
              <w:adjustRightInd w:val="0"/>
              <w:snapToGrid w:val="0"/>
              <w:spacing w:before="156" w:beforeLines="50"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综合评分法</w:t>
            </w:r>
          </w:p>
        </w:tc>
      </w:tr>
      <w:tr w14:paraId="44A326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3DB0D6B7">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第3.4</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41820F74">
            <w:pPr>
              <w:adjustRightInd w:val="0"/>
              <w:snapToGrid w:val="0"/>
              <w:spacing w:before="156" w:beforeLines="50" w:line="360" w:lineRule="auto"/>
              <w:jc w:val="center"/>
              <w:rPr>
                <w:rFonts w:hint="eastAsia" w:asciiTheme="minorEastAsia" w:hAnsiTheme="minorEastAsia" w:eastAsiaTheme="minorEastAsia"/>
                <w:bCs/>
                <w:szCs w:val="21"/>
              </w:rPr>
            </w:pPr>
            <w:r>
              <w:rPr>
                <w:rFonts w:hint="eastAsia" w:asciiTheme="minorEastAsia" w:hAnsiTheme="minorEastAsia" w:eastAsiaTheme="minorEastAsia"/>
                <w:bCs/>
                <w:szCs w:val="21"/>
              </w:rPr>
              <w:t>服务中配套货物非单一产品采购项目的核心产品</w:t>
            </w:r>
          </w:p>
        </w:tc>
        <w:tc>
          <w:tcPr>
            <w:tcW w:w="4818" w:type="dxa"/>
            <w:tcBorders>
              <w:top w:val="single" w:color="auto" w:sz="6" w:space="0"/>
              <w:bottom w:val="single" w:color="auto" w:sz="6" w:space="0"/>
            </w:tcBorders>
            <w:vAlign w:val="center"/>
          </w:tcPr>
          <w:p w14:paraId="2981C714">
            <w:pPr>
              <w:adjustRightInd w:val="0"/>
              <w:snapToGrid w:val="0"/>
              <w:spacing w:line="360" w:lineRule="auto"/>
              <w:rPr>
                <w:rFonts w:hint="eastAsia" w:asciiTheme="minorEastAsia" w:hAnsiTheme="minorEastAsia" w:eastAsiaTheme="minorEastAsia"/>
                <w:szCs w:val="21"/>
                <w:u w:val="single"/>
              </w:rPr>
            </w:pPr>
            <w:r>
              <w:rPr>
                <w:rFonts w:hint="eastAsia" w:ascii="宋体" w:hAnsi="宋体"/>
              </w:rPr>
              <w:t>核心产品为：</w:t>
            </w:r>
            <w:r>
              <w:rPr>
                <w:rFonts w:hint="eastAsia" w:ascii="宋体" w:hAnsi="宋体"/>
                <w:szCs w:val="21"/>
              </w:rPr>
              <w:t>/</w:t>
            </w:r>
            <w:r>
              <w:rPr>
                <w:rFonts w:hint="eastAsia" w:ascii="宋体" w:hAnsi="宋体"/>
              </w:rPr>
              <w:t>。</w:t>
            </w:r>
            <w:r>
              <w:rPr>
                <w:rFonts w:hint="eastAsia" w:ascii="宋体" w:hAnsi="宋体" w:cs="宋体"/>
                <w:kern w:val="0"/>
              </w:rPr>
              <w:t>（提示：根据采购项目技术构成、产品价格比重等合理确定具体产品为核心产品）</w:t>
            </w:r>
          </w:p>
        </w:tc>
      </w:tr>
      <w:tr w14:paraId="4401B5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4F0707FE">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第4.2</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single" w:color="auto" w:sz="6" w:space="0"/>
            </w:tcBorders>
            <w:vAlign w:val="center"/>
          </w:tcPr>
          <w:p w14:paraId="6099C639">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投标文件报价出现前后不一致的修正</w:t>
            </w:r>
          </w:p>
        </w:tc>
        <w:tc>
          <w:tcPr>
            <w:tcW w:w="4818" w:type="dxa"/>
            <w:tcBorders>
              <w:top w:val="single" w:color="auto" w:sz="6" w:space="0"/>
              <w:bottom w:val="single" w:color="auto" w:sz="6" w:space="0"/>
            </w:tcBorders>
            <w:vAlign w:val="center"/>
          </w:tcPr>
          <w:p w14:paraId="407031B7">
            <w:pPr>
              <w:adjustRightInd w:val="0"/>
              <w:snapToGrid w:val="0"/>
              <w:spacing w:line="420" w:lineRule="exact"/>
              <w:rPr>
                <w:szCs w:val="21"/>
                <w:u w:val="single"/>
              </w:rPr>
            </w:pPr>
            <w:r>
              <w:rPr>
                <w:rFonts w:hint="eastAsia" w:ascii="宋体" w:hAnsi="宋体"/>
              </w:rPr>
              <w:t>投标文件报价出现前后不一致的，按招标文件规定修正。投标人应对修正进行签字确认，如不确认，将视为</w:t>
            </w:r>
            <w:r>
              <w:rPr>
                <w:rFonts w:hint="eastAsia" w:ascii="宋体" w:hAnsi="宋体"/>
                <w:b/>
              </w:rPr>
              <w:t>无效投标。</w:t>
            </w:r>
          </w:p>
        </w:tc>
      </w:tr>
      <w:tr w14:paraId="3B81EA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0" w:type="dxa"/>
            <w:tcBorders>
              <w:top w:val="single" w:color="auto" w:sz="6" w:space="0"/>
              <w:bottom w:val="single" w:color="auto" w:sz="6" w:space="0"/>
            </w:tcBorders>
            <w:vAlign w:val="center"/>
          </w:tcPr>
          <w:p w14:paraId="0A3895D9">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第5.2</w:t>
            </w:r>
            <w:r>
              <w:rPr>
                <w:rFonts w:hint="eastAsia" w:cs="宋体" w:asciiTheme="minorEastAsia" w:hAnsiTheme="minorEastAsia" w:eastAsiaTheme="minorEastAsia"/>
                <w:kern w:val="0"/>
                <w:szCs w:val="21"/>
                <w:lang w:val="zh-CN"/>
              </w:rPr>
              <w:t>项</w:t>
            </w:r>
          </w:p>
        </w:tc>
        <w:tc>
          <w:tcPr>
            <w:tcW w:w="2271" w:type="dxa"/>
            <w:tcBorders>
              <w:top w:val="single" w:color="auto" w:sz="6" w:space="0"/>
              <w:bottom w:val="single" w:color="auto" w:sz="6" w:space="0"/>
            </w:tcBorders>
            <w:vAlign w:val="center"/>
          </w:tcPr>
          <w:p w14:paraId="3A2AA761">
            <w:pPr>
              <w:adjustRightInd w:val="0"/>
              <w:snapToGrid w:val="0"/>
              <w:spacing w:before="156" w:beforeLines="50" w:line="360" w:lineRule="auto"/>
              <w:jc w:val="center"/>
              <w:rPr>
                <w:rFonts w:hint="eastAsia" w:asciiTheme="minorEastAsia" w:hAnsiTheme="minorEastAsia" w:eastAsiaTheme="minorEastAsia"/>
                <w:bCs/>
                <w:szCs w:val="21"/>
              </w:rPr>
            </w:pPr>
            <w:r>
              <w:rPr>
                <w:rFonts w:hint="eastAsia" w:asciiTheme="minorEastAsia" w:hAnsiTheme="minorEastAsia" w:eastAsiaTheme="minorEastAsia"/>
                <w:bCs/>
                <w:szCs w:val="21"/>
              </w:rPr>
              <w:t>相同品牌产品评审得分相同的规定</w:t>
            </w:r>
          </w:p>
        </w:tc>
        <w:tc>
          <w:tcPr>
            <w:tcW w:w="4818" w:type="dxa"/>
            <w:tcBorders>
              <w:top w:val="single" w:color="auto" w:sz="6" w:space="0"/>
              <w:bottom w:val="single" w:color="auto" w:sz="6" w:space="0"/>
            </w:tcBorders>
            <w:vAlign w:val="center"/>
          </w:tcPr>
          <w:p w14:paraId="62B9C355">
            <w:pPr>
              <w:adjustRightInd w:val="0"/>
              <w:snapToGrid w:val="0"/>
              <w:spacing w:line="360" w:lineRule="auto"/>
              <w:rPr>
                <w:rFonts w:hint="eastAsia" w:ascii="宋体" w:hAnsi="宋体"/>
                <w:szCs w:val="21"/>
              </w:rPr>
            </w:pPr>
            <w:r>
              <w:rPr>
                <w:rFonts w:hint="eastAsia" w:ascii="宋体" w:hAnsi="宋体"/>
              </w:rPr>
              <w:sym w:font="Wingdings 2" w:char="F052"/>
            </w:r>
            <w:r>
              <w:rPr>
                <w:rFonts w:hint="eastAsia" w:ascii="宋体" w:hAnsi="宋体"/>
              </w:rPr>
              <w:t xml:space="preserve"> 得分相同的，按投标报价由低到高顺序排列。得分且投标报价相同的，按技术指标优劣顺序排列。</w:t>
            </w:r>
            <w:r>
              <w:rPr>
                <w:rFonts w:hint="eastAsia" w:ascii="宋体" w:hAnsi="宋体"/>
                <w:szCs w:val="21"/>
              </w:rPr>
              <w:t>（</w:t>
            </w:r>
            <w:r>
              <w:rPr>
                <w:rFonts w:hint="eastAsia" w:ascii="宋体" w:hAnsi="宋体"/>
                <w:i/>
                <w:szCs w:val="21"/>
              </w:rPr>
              <w:t>提示：也可另行规定</w:t>
            </w:r>
            <w:r>
              <w:rPr>
                <w:rFonts w:hint="eastAsia" w:ascii="宋体" w:hAnsi="宋体"/>
                <w:szCs w:val="21"/>
              </w:rPr>
              <w:t xml:space="preserve">）——————————————  </w:t>
            </w:r>
          </w:p>
          <w:p w14:paraId="1921BF71">
            <w:pPr>
              <w:adjustRightInd w:val="0"/>
              <w:snapToGrid w:val="0"/>
              <w:spacing w:line="360" w:lineRule="auto"/>
              <w:rPr>
                <w:szCs w:val="21"/>
                <w:u w:val="single"/>
              </w:rPr>
            </w:pPr>
            <w:r>
              <w:rPr>
                <w:rFonts w:hint="eastAsia" w:ascii="宋体" w:hAnsi="宋体"/>
              </w:rPr>
              <w:t>□ 随机抽取方式确定。</w:t>
            </w:r>
          </w:p>
        </w:tc>
      </w:tr>
      <w:tr w14:paraId="4A75F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trPr>
        <w:tc>
          <w:tcPr>
            <w:tcW w:w="1700" w:type="dxa"/>
            <w:tcBorders>
              <w:top w:val="single" w:color="auto" w:sz="6" w:space="0"/>
            </w:tcBorders>
            <w:vAlign w:val="center"/>
          </w:tcPr>
          <w:p w14:paraId="4D408A99">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第5.4（1）</w:t>
            </w:r>
            <w:r>
              <w:rPr>
                <w:rFonts w:hint="eastAsia" w:cs="宋体" w:asciiTheme="minorEastAsia" w:hAnsiTheme="minorEastAsia" w:eastAsiaTheme="minorEastAsia"/>
                <w:kern w:val="0"/>
                <w:szCs w:val="21"/>
                <w:lang w:val="zh-CN"/>
              </w:rPr>
              <w:t>项</w:t>
            </w:r>
          </w:p>
        </w:tc>
        <w:tc>
          <w:tcPr>
            <w:tcW w:w="2271" w:type="dxa"/>
            <w:tcBorders>
              <w:top w:val="single" w:color="auto" w:sz="6" w:space="0"/>
            </w:tcBorders>
            <w:vAlign w:val="center"/>
          </w:tcPr>
          <w:p w14:paraId="71762613">
            <w:pPr>
              <w:adjustRightInd w:val="0"/>
              <w:snapToGrid w:val="0"/>
              <w:spacing w:before="156" w:beforeLines="50" w:line="360" w:lineRule="auto"/>
              <w:jc w:val="center"/>
              <w:rPr>
                <w:szCs w:val="21"/>
                <w:highlight w:val="none"/>
              </w:rPr>
            </w:pPr>
            <w:r>
              <w:rPr>
                <w:rFonts w:hint="eastAsia" w:asciiTheme="minorEastAsia" w:hAnsiTheme="minorEastAsia" w:eastAsiaTheme="minorEastAsia"/>
                <w:szCs w:val="21"/>
                <w:highlight w:val="none"/>
              </w:rPr>
              <w:t>价格评审优惠</w:t>
            </w:r>
          </w:p>
        </w:tc>
        <w:tc>
          <w:tcPr>
            <w:tcW w:w="4818" w:type="dxa"/>
            <w:tcBorders>
              <w:top w:val="single" w:color="auto" w:sz="6" w:space="0"/>
              <w:bottom w:val="single" w:color="auto" w:sz="4" w:space="0"/>
            </w:tcBorders>
            <w:vAlign w:val="center"/>
          </w:tcPr>
          <w:p w14:paraId="37E28D56">
            <w:pPr>
              <w:spacing w:line="360" w:lineRule="atLeast"/>
              <w:rPr>
                <w:rFonts w:hint="eastAsia" w:ascii="宋体" w:hAnsi="宋体" w:cs="宋体"/>
                <w:szCs w:val="21"/>
                <w:highlight w:val="none"/>
              </w:rPr>
            </w:pPr>
            <w:r>
              <w:rPr>
                <w:rFonts w:ascii="宋体" w:hAnsi="宋体" w:cs="宋体"/>
                <w:szCs w:val="21"/>
                <w:highlight w:val="none"/>
              </w:rPr>
              <w:t>投标人如提供有小</w:t>
            </w:r>
            <w:r>
              <w:rPr>
                <w:rFonts w:hint="eastAsia" w:ascii="宋体" w:hAnsi="宋体" w:cs="宋体"/>
                <w:szCs w:val="21"/>
                <w:highlight w:val="none"/>
              </w:rPr>
              <w:t>微</w:t>
            </w:r>
            <w:r>
              <w:rPr>
                <w:rFonts w:ascii="宋体" w:hAnsi="宋体" w:cs="宋体"/>
                <w:szCs w:val="21"/>
                <w:highlight w:val="none"/>
              </w:rPr>
              <w:t>企业产品，投标文件必</w:t>
            </w:r>
            <w:r>
              <w:rPr>
                <w:rFonts w:hint="eastAsia" w:ascii="宋体" w:hAnsi="宋体" w:cs="宋体"/>
                <w:szCs w:val="21"/>
                <w:highlight w:val="none"/>
              </w:rPr>
              <w:t>须</w:t>
            </w:r>
            <w:r>
              <w:rPr>
                <w:rFonts w:ascii="宋体" w:hAnsi="宋体" w:cs="宋体"/>
                <w:szCs w:val="21"/>
                <w:highlight w:val="none"/>
              </w:rPr>
              <w:t>按招标文件</w:t>
            </w:r>
            <w:r>
              <w:rPr>
                <w:rFonts w:hint="eastAsia" w:ascii="宋体" w:hAnsi="宋体" w:cs="宋体"/>
                <w:szCs w:val="21"/>
                <w:highlight w:val="none"/>
              </w:rPr>
              <w:t>要求提供“享受政府采购政策优惠的证明材料”</w:t>
            </w:r>
            <w:r>
              <w:rPr>
                <w:rFonts w:ascii="宋体" w:hAnsi="宋体" w:cs="宋体"/>
                <w:szCs w:val="21"/>
                <w:highlight w:val="none"/>
              </w:rPr>
              <w:t>，否则评审时不予以考虑</w:t>
            </w:r>
            <w:r>
              <w:rPr>
                <w:rFonts w:hint="eastAsia" w:ascii="宋体" w:hAnsi="宋体" w:cs="宋体"/>
                <w:szCs w:val="21"/>
                <w:highlight w:val="none"/>
              </w:rPr>
              <w:t>。</w:t>
            </w:r>
          </w:p>
          <w:p w14:paraId="4F5280D7">
            <w:pPr>
              <w:spacing w:line="360" w:lineRule="atLeast"/>
              <w:rPr>
                <w:rFonts w:hint="eastAsia" w:ascii="宋体" w:hAnsi="宋体" w:cs="宋体"/>
                <w:szCs w:val="21"/>
                <w:highlight w:val="none"/>
              </w:rPr>
            </w:pPr>
            <w:r>
              <w:rPr>
                <w:rFonts w:hint="eastAsia" w:ascii="宋体" w:hAnsi="宋体" w:cs="宋体"/>
                <w:szCs w:val="21"/>
                <w:highlight w:val="none"/>
                <w:lang w:val="en-US" w:eastAsia="zh-CN"/>
              </w:rPr>
              <w:t>1、</w:t>
            </w:r>
            <w:r>
              <w:rPr>
                <w:rFonts w:ascii="宋体" w:hAnsi="宋体" w:cs="宋体"/>
                <w:szCs w:val="21"/>
                <w:highlight w:val="none"/>
              </w:rPr>
              <w:t>给予小型和微型企业产品的价格给予</w:t>
            </w:r>
            <w:r>
              <w:rPr>
                <w:rFonts w:hint="eastAsia" w:ascii="宋体" w:hAnsi="宋体" w:cs="宋体"/>
                <w:szCs w:val="21"/>
                <w:highlight w:val="none"/>
              </w:rPr>
              <w:t>10</w:t>
            </w:r>
            <w:r>
              <w:rPr>
                <w:rFonts w:ascii="宋体" w:hAnsi="宋体" w:cs="宋体"/>
                <w:szCs w:val="21"/>
                <w:highlight w:val="none"/>
              </w:rPr>
              <w:t>%-</w:t>
            </w:r>
            <w:r>
              <w:rPr>
                <w:rFonts w:hint="eastAsia" w:ascii="宋体" w:hAnsi="宋体" w:cs="宋体"/>
                <w:szCs w:val="21"/>
                <w:highlight w:val="none"/>
              </w:rPr>
              <w:t>20</w:t>
            </w:r>
            <w:r>
              <w:rPr>
                <w:rFonts w:ascii="宋体" w:hAnsi="宋体" w:cs="宋体"/>
                <w:szCs w:val="21"/>
                <w:highlight w:val="none"/>
              </w:rPr>
              <w:t>%</w:t>
            </w:r>
            <w:r>
              <w:rPr>
                <w:rFonts w:hint="eastAsia" w:ascii="宋体" w:hAnsi="宋体" w:cs="宋体"/>
                <w:szCs w:val="21"/>
                <w:highlight w:val="none"/>
              </w:rPr>
              <w:t>（工程项目6%-10%）</w:t>
            </w:r>
            <w:r>
              <w:rPr>
                <w:rFonts w:ascii="宋体" w:hAnsi="宋体" w:cs="宋体"/>
                <w:szCs w:val="21"/>
                <w:highlight w:val="none"/>
              </w:rPr>
              <w:t>的扣除，用扣除后的价格参与评审，本项目具体扣除比例为：价格部分</w:t>
            </w:r>
            <w:r>
              <w:rPr>
                <w:rFonts w:hint="eastAsia" w:ascii="宋体" w:hAnsi="宋体" w:cs="宋体"/>
                <w:szCs w:val="21"/>
                <w:highlight w:val="none"/>
                <w:u w:val="single"/>
              </w:rPr>
              <w:t xml:space="preserve"> 10 </w:t>
            </w:r>
            <w:r>
              <w:rPr>
                <w:rFonts w:ascii="宋体" w:hAnsi="宋体" w:cs="宋体"/>
                <w:szCs w:val="21"/>
                <w:highlight w:val="none"/>
              </w:rPr>
              <w:t>%</w:t>
            </w:r>
            <w:r>
              <w:rPr>
                <w:rFonts w:hint="eastAsia" w:ascii="宋体" w:hAnsi="宋体" w:cs="宋体"/>
                <w:szCs w:val="21"/>
                <w:highlight w:val="none"/>
              </w:rPr>
              <w:t>。</w:t>
            </w:r>
          </w:p>
          <w:p w14:paraId="25E4CAD5">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、政府采购支持残疾人福利性单位发展：</w:t>
            </w:r>
          </w:p>
          <w:p w14:paraId="6654F8A3">
            <w:pPr>
              <w:spacing w:line="360" w:lineRule="exact"/>
              <w:jc w:val="left"/>
              <w:rPr>
                <w:rFonts w:hint="eastAsia" w:ascii="宋体" w:hAnsi="宋体" w:cs="宋体"/>
                <w:szCs w:val="21"/>
                <w:highlight w:val="none"/>
              </w:rPr>
            </w:pPr>
            <w:r>
              <w:rPr>
                <w:rFonts w:hint="eastAsia" w:ascii="宋体" w:hAnsi="宋体"/>
                <w:color w:val="auto"/>
                <w:szCs w:val="21"/>
                <w:highlight w:val="none"/>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tc>
      </w:tr>
      <w:tr w14:paraId="7A0FE1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84" w:hRule="atLeast"/>
        </w:trPr>
        <w:tc>
          <w:tcPr>
            <w:tcW w:w="1700" w:type="dxa"/>
            <w:tcBorders>
              <w:top w:val="single" w:color="auto" w:sz="6" w:space="0"/>
              <w:bottom w:val="single" w:color="auto" w:sz="6" w:space="0"/>
              <w:right w:val="single" w:color="auto" w:sz="6" w:space="0"/>
            </w:tcBorders>
            <w:vAlign w:val="center"/>
          </w:tcPr>
          <w:p w14:paraId="74A33C37">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第5.4（2）</w:t>
            </w:r>
            <w:r>
              <w:rPr>
                <w:rFonts w:hint="eastAsia" w:cs="宋体" w:asciiTheme="minorEastAsia" w:hAnsiTheme="minorEastAsia" w:eastAsiaTheme="minorEastAsia"/>
                <w:kern w:val="0"/>
                <w:szCs w:val="21"/>
                <w:lang w:val="zh-CN"/>
              </w:rPr>
              <w:t>项</w:t>
            </w:r>
          </w:p>
        </w:tc>
        <w:tc>
          <w:tcPr>
            <w:tcW w:w="2271" w:type="dxa"/>
            <w:tcBorders>
              <w:top w:val="single" w:color="auto" w:sz="6" w:space="0"/>
              <w:left w:val="single" w:color="auto" w:sz="6" w:space="0"/>
              <w:right w:val="single" w:color="auto" w:sz="6" w:space="0"/>
            </w:tcBorders>
            <w:vAlign w:val="center"/>
          </w:tcPr>
          <w:p w14:paraId="0FAC0EA5">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优先采购</w:t>
            </w:r>
          </w:p>
        </w:tc>
        <w:tc>
          <w:tcPr>
            <w:tcW w:w="4818" w:type="dxa"/>
            <w:tcBorders>
              <w:top w:val="single" w:color="auto" w:sz="6" w:space="0"/>
              <w:left w:val="single" w:color="auto" w:sz="6" w:space="0"/>
              <w:bottom w:val="single" w:color="auto" w:sz="6" w:space="0"/>
            </w:tcBorders>
            <w:vAlign w:val="center"/>
          </w:tcPr>
          <w:p w14:paraId="421E3C1C">
            <w:pPr>
              <w:widowControl/>
              <w:spacing w:line="360" w:lineRule="atLeast"/>
              <w:ind w:firstLine="420" w:firstLineChars="200"/>
              <w:jc w:val="left"/>
              <w:rPr>
                <w:rFonts w:hint="eastAsia" w:ascii="宋体" w:hAnsi="宋体"/>
                <w:szCs w:val="21"/>
              </w:rPr>
            </w:pPr>
            <w:r>
              <w:rPr>
                <w:rFonts w:ascii="宋体" w:hAnsi="宋体" w:cs="宋体"/>
                <w:kern w:val="0"/>
                <w:szCs w:val="21"/>
              </w:rPr>
              <w:t>①非强制采购节能产品:</w:t>
            </w:r>
            <w:r>
              <w:rPr>
                <w:rFonts w:hint="eastAsia" w:ascii="宋体" w:hAnsi="宋体"/>
                <w:szCs w:val="21"/>
              </w:rPr>
              <w:t>对于技术和价格分，应分别给予</w:t>
            </w:r>
            <w:r>
              <w:rPr>
                <w:rFonts w:ascii="宋体" w:hAnsi="宋体" w:cs="宋体"/>
                <w:kern w:val="0"/>
                <w:szCs w:val="21"/>
              </w:rPr>
              <w:t>一级评标因素权重</w:t>
            </w:r>
            <w:r>
              <w:rPr>
                <w:rFonts w:hint="eastAsia" w:ascii="宋体" w:hAnsi="宋体"/>
                <w:szCs w:val="21"/>
              </w:rPr>
              <w:t>4%-8%的加分。本项目具体加分比例分别为 ：技术</w:t>
            </w:r>
            <w:r>
              <w:rPr>
                <w:rFonts w:hint="eastAsia" w:ascii="宋体" w:hAnsi="宋体"/>
                <w:b/>
                <w:szCs w:val="21"/>
                <w:u w:val="single"/>
              </w:rPr>
              <w:t xml:space="preserve">  / </w:t>
            </w:r>
            <w:r>
              <w:rPr>
                <w:rFonts w:hint="eastAsia" w:ascii="宋体" w:hAnsi="宋体"/>
                <w:szCs w:val="21"/>
              </w:rPr>
              <w:t>%、价格</w:t>
            </w:r>
            <w:r>
              <w:rPr>
                <w:rFonts w:hint="eastAsia" w:ascii="宋体" w:hAnsi="宋体"/>
                <w:b/>
                <w:szCs w:val="21"/>
                <w:u w:val="single"/>
              </w:rPr>
              <w:t xml:space="preserve">  / </w:t>
            </w:r>
            <w:r>
              <w:rPr>
                <w:rFonts w:hint="eastAsia" w:ascii="宋体" w:hAnsi="宋体"/>
                <w:szCs w:val="21"/>
              </w:rPr>
              <w:t>%。</w:t>
            </w:r>
          </w:p>
          <w:p w14:paraId="31EC99BD">
            <w:pPr>
              <w:widowControl/>
              <w:ind w:firstLine="420" w:firstLineChars="200"/>
              <w:jc w:val="left"/>
              <w:rPr>
                <w:rFonts w:hint="eastAsia" w:ascii="宋体" w:hAnsi="宋体" w:cs="宋体"/>
                <w:szCs w:val="21"/>
              </w:rPr>
            </w:pPr>
            <w:r>
              <w:rPr>
                <w:rFonts w:ascii="宋体" w:hAnsi="宋体" w:cs="宋体"/>
                <w:kern w:val="0"/>
                <w:szCs w:val="21"/>
              </w:rPr>
              <w:t>②环境标志产品:</w:t>
            </w:r>
            <w:r>
              <w:rPr>
                <w:rFonts w:hint="eastAsia" w:ascii="宋体" w:hAnsi="宋体"/>
                <w:szCs w:val="21"/>
              </w:rPr>
              <w:t>对于技术和价格分，应分别给予</w:t>
            </w:r>
            <w:r>
              <w:rPr>
                <w:rFonts w:ascii="宋体" w:hAnsi="宋体" w:cs="宋体"/>
                <w:kern w:val="0"/>
                <w:szCs w:val="21"/>
              </w:rPr>
              <w:t>一级评标因素权重</w:t>
            </w:r>
            <w:r>
              <w:rPr>
                <w:rFonts w:hint="eastAsia" w:ascii="宋体" w:hAnsi="宋体"/>
                <w:szCs w:val="21"/>
              </w:rPr>
              <w:t>4%-8%的加分。本项目具体加分比例分别为 ：技术</w:t>
            </w:r>
            <w:r>
              <w:rPr>
                <w:rFonts w:hint="eastAsia" w:ascii="宋体" w:hAnsi="宋体"/>
                <w:b/>
                <w:szCs w:val="21"/>
                <w:u w:val="single"/>
              </w:rPr>
              <w:t xml:space="preserve">  /  </w:t>
            </w:r>
            <w:r>
              <w:rPr>
                <w:rFonts w:hint="eastAsia" w:ascii="宋体" w:hAnsi="宋体"/>
                <w:szCs w:val="21"/>
              </w:rPr>
              <w:t>%、价格</w:t>
            </w:r>
            <w:r>
              <w:rPr>
                <w:rFonts w:hint="eastAsia" w:ascii="宋体" w:hAnsi="宋体"/>
                <w:b/>
                <w:szCs w:val="21"/>
                <w:u w:val="single"/>
              </w:rPr>
              <w:t xml:space="preserve"> / </w:t>
            </w:r>
            <w:r>
              <w:rPr>
                <w:rFonts w:hint="eastAsia" w:ascii="宋体" w:hAnsi="宋体"/>
                <w:szCs w:val="21"/>
              </w:rPr>
              <w:t>%</w:t>
            </w:r>
            <w:r>
              <w:rPr>
                <w:rFonts w:ascii="宋体" w:hAnsi="宋体" w:cs="宋体"/>
                <w:kern w:val="0"/>
                <w:szCs w:val="21"/>
              </w:rPr>
              <w:br w:type="textWrapping"/>
            </w:r>
            <w:r>
              <w:rPr>
                <w:rFonts w:hint="eastAsia" w:ascii="宋体" w:hAnsi="宋体" w:cs="宋体"/>
                <w:kern w:val="0"/>
                <w:szCs w:val="21"/>
              </w:rPr>
              <w:t xml:space="preserve">    注：以上</w:t>
            </w:r>
            <w:r>
              <w:rPr>
                <w:rFonts w:hint="eastAsia" w:ascii="宋体" w:hAnsi="宋体" w:cs="宋体"/>
                <w:kern w:val="0"/>
                <w:szCs w:val="21"/>
                <w:lang w:eastAsia="zh-CN"/>
              </w:rPr>
              <w:t>二</w:t>
            </w:r>
            <w:r>
              <w:rPr>
                <w:rFonts w:hint="eastAsia" w:ascii="宋体" w:hAnsi="宋体" w:cs="宋体"/>
                <w:kern w:val="0"/>
                <w:szCs w:val="21"/>
              </w:rPr>
              <w:t>项优先采购产品中，</w:t>
            </w:r>
            <w:r>
              <w:rPr>
                <w:rFonts w:hint="eastAsia" w:asciiTheme="minorEastAsia" w:hAnsiTheme="minorEastAsia" w:eastAsiaTheme="minorEastAsia"/>
              </w:rPr>
              <w:t>投标产品取得两项及以上优先采购产品认证的，评审时只有其中一项产品能享受优先采购优惠。</w:t>
            </w:r>
          </w:p>
        </w:tc>
      </w:tr>
      <w:tr w14:paraId="7E9237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1700" w:type="dxa"/>
            <w:tcBorders>
              <w:top w:val="single" w:color="auto" w:sz="6" w:space="0"/>
              <w:bottom w:val="double" w:color="auto" w:sz="4" w:space="0"/>
            </w:tcBorders>
            <w:vAlign w:val="center"/>
          </w:tcPr>
          <w:p w14:paraId="79A969A5">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271" w:type="dxa"/>
            <w:tcBorders>
              <w:top w:val="single" w:color="auto" w:sz="6" w:space="0"/>
              <w:bottom w:val="double" w:color="auto" w:sz="4" w:space="0"/>
              <w:right w:val="single" w:color="auto" w:sz="6" w:space="0"/>
            </w:tcBorders>
            <w:vAlign w:val="center"/>
          </w:tcPr>
          <w:p w14:paraId="642F3BB8">
            <w:pPr>
              <w:adjustRightInd w:val="0"/>
              <w:snapToGrid w:val="0"/>
              <w:spacing w:before="156" w:beforeLines="50" w:line="360" w:lineRule="auto"/>
              <w:jc w:val="center"/>
              <w:rPr>
                <w:rFonts w:hint="eastAsia" w:asciiTheme="minorEastAsia" w:hAnsiTheme="minorEastAsia" w:eastAsiaTheme="minorEastAsia"/>
                <w:szCs w:val="21"/>
              </w:rPr>
            </w:pPr>
            <w:r>
              <w:rPr>
                <w:rFonts w:hint="eastAsia" w:asciiTheme="minorEastAsia" w:hAnsiTheme="minorEastAsia" w:eastAsiaTheme="minorEastAsia"/>
                <w:szCs w:val="21"/>
              </w:rPr>
              <w:t>中标候选人并列的确定中标人的方式</w:t>
            </w:r>
          </w:p>
        </w:tc>
        <w:tc>
          <w:tcPr>
            <w:tcW w:w="4818" w:type="dxa"/>
            <w:tcBorders>
              <w:top w:val="single" w:color="auto" w:sz="6" w:space="0"/>
              <w:left w:val="single" w:color="auto" w:sz="6" w:space="0"/>
              <w:bottom w:val="double" w:color="auto" w:sz="4" w:space="0"/>
              <w:right w:val="double" w:color="auto" w:sz="4" w:space="0"/>
            </w:tcBorders>
            <w:vAlign w:val="center"/>
          </w:tcPr>
          <w:p w14:paraId="597902A4">
            <w:pPr>
              <w:adjustRightInd w:val="0"/>
              <w:snapToGrid w:val="0"/>
              <w:spacing w:line="420" w:lineRule="exact"/>
              <w:rPr>
                <w:rFonts w:hint="eastAsia" w:ascii="宋体" w:hAnsi="宋体" w:eastAsia="宋体" w:cs="宋体"/>
                <w:kern w:val="0"/>
                <w:szCs w:val="21"/>
                <w:lang w:val="en-US" w:eastAsia="zh-CN"/>
              </w:rPr>
            </w:pPr>
            <w:r>
              <w:rPr>
                <w:rFonts w:hint="eastAsia"/>
              </w:rPr>
              <w:t>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tc>
      </w:tr>
    </w:tbl>
    <w:p w14:paraId="3E6DE4A7">
      <w:pPr>
        <w:adjustRightInd w:val="0"/>
        <w:snapToGrid w:val="0"/>
        <w:spacing w:before="156" w:beforeLines="50" w:line="360" w:lineRule="auto"/>
        <w:ind w:firstLine="420" w:firstLineChars="200"/>
        <w:jc w:val="left"/>
        <w:rPr>
          <w:rFonts w:hint="eastAsia" w:ascii="黑体" w:hAnsi="华文中宋" w:eastAsia="黑体"/>
          <w:b/>
          <w:sz w:val="28"/>
          <w:szCs w:val="28"/>
        </w:rPr>
      </w:pPr>
      <w:r>
        <w:rPr>
          <w:rFonts w:asciiTheme="minorEastAsia" w:hAnsiTheme="minorEastAsia" w:eastAsiaTheme="minorEastAsia"/>
        </w:rPr>
        <w:br w:type="page"/>
      </w:r>
    </w:p>
    <w:p w14:paraId="22E75546">
      <w:pPr>
        <w:pStyle w:val="4"/>
        <w:keepNext w:val="0"/>
        <w:keepLines w:val="0"/>
        <w:adjustRightInd w:val="0"/>
        <w:snapToGrid w:val="0"/>
        <w:spacing w:before="156" w:beforeLines="50"/>
        <w:jc w:val="center"/>
        <w:rPr>
          <w:rFonts w:hint="eastAsia" w:ascii="黑体" w:hAnsi="华文中宋" w:eastAsia="黑体"/>
          <w:sz w:val="28"/>
          <w:szCs w:val="28"/>
        </w:rPr>
      </w:pPr>
      <w:bookmarkStart w:id="83" w:name="_Toc29913912"/>
      <w:bookmarkStart w:id="84" w:name="_Toc10823"/>
      <w:bookmarkStart w:id="85" w:name="_Toc12691"/>
      <w:r>
        <w:rPr>
          <w:rFonts w:hint="eastAsia" w:ascii="黑体" w:hAnsi="华文中宋" w:eastAsia="黑体"/>
          <w:sz w:val="28"/>
          <w:szCs w:val="28"/>
        </w:rPr>
        <w:t>第二节 评标方法及标准</w:t>
      </w:r>
      <w:bookmarkEnd w:id="83"/>
      <w:bookmarkEnd w:id="84"/>
      <w:bookmarkEnd w:id="85"/>
    </w:p>
    <w:p w14:paraId="560E8BC9">
      <w:pPr>
        <w:pStyle w:val="5"/>
        <w:keepNext w:val="0"/>
        <w:keepLines w:val="0"/>
        <w:adjustRightInd w:val="0"/>
        <w:snapToGrid w:val="0"/>
        <w:spacing w:before="156" w:beforeLines="50" w:after="0" w:line="360" w:lineRule="auto"/>
        <w:rPr>
          <w:rFonts w:hint="eastAsia" w:ascii="黑体" w:hAnsi="黑体" w:eastAsia="黑体"/>
          <w:sz w:val="24"/>
          <w:szCs w:val="24"/>
        </w:rPr>
      </w:pPr>
      <w:bookmarkStart w:id="86" w:name="_Toc31611"/>
      <w:bookmarkStart w:id="87" w:name="_Toc29913913"/>
      <w:bookmarkStart w:id="88" w:name="_Toc13213"/>
      <w:r>
        <w:rPr>
          <w:rFonts w:hint="eastAsia" w:ascii="黑体" w:hAnsi="黑体" w:eastAsia="黑体"/>
          <w:sz w:val="24"/>
          <w:szCs w:val="24"/>
        </w:rPr>
        <w:t>1．评标方法</w:t>
      </w:r>
      <w:bookmarkEnd w:id="86"/>
      <w:bookmarkEnd w:id="87"/>
      <w:bookmarkEnd w:id="88"/>
    </w:p>
    <w:p w14:paraId="5C4DBD0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14:paraId="2DEDF5D6">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1.2本采购项目评标方法见本章第一节“评标规范前附表”</w:t>
      </w:r>
      <w:r>
        <w:rPr>
          <w:rFonts w:hint="eastAsia" w:ascii="华文中宋" w:hAnsi="华文中宋" w:eastAsia="华文中宋"/>
          <w:bCs/>
          <w:szCs w:val="21"/>
        </w:rPr>
        <w:t>（</w:t>
      </w:r>
      <w:r>
        <w:rPr>
          <w:rFonts w:hint="eastAsia" w:asciiTheme="minorEastAsia" w:hAnsiTheme="minorEastAsia" w:eastAsiaTheme="minorEastAsia"/>
          <w:bCs/>
          <w:szCs w:val="21"/>
        </w:rPr>
        <w:t>以下简称</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w:t>
      </w:r>
    </w:p>
    <w:p w14:paraId="43198AB0">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89" w:name="_Toc30157"/>
      <w:bookmarkStart w:id="90" w:name="_Toc29913914"/>
      <w:bookmarkStart w:id="91" w:name="_Toc31385"/>
      <w:r>
        <w:rPr>
          <w:rFonts w:hint="eastAsia" w:ascii="黑体" w:hAnsi="黑体" w:eastAsia="黑体"/>
          <w:bCs w:val="0"/>
          <w:sz w:val="24"/>
          <w:szCs w:val="24"/>
        </w:rPr>
        <w:t>2．评标程序</w:t>
      </w:r>
      <w:bookmarkEnd w:id="89"/>
      <w:bookmarkEnd w:id="90"/>
      <w:bookmarkEnd w:id="91"/>
    </w:p>
    <w:p w14:paraId="4D25A843">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2.1评标程序分为投标文件符合性审查、澄清有关问题、比较和评价、推荐中标候选人。</w:t>
      </w:r>
    </w:p>
    <w:p w14:paraId="5A436C4F">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92" w:name="_Toc29913915"/>
      <w:bookmarkStart w:id="93" w:name="_Toc5640"/>
      <w:bookmarkStart w:id="94" w:name="_Toc23423"/>
      <w:r>
        <w:rPr>
          <w:rFonts w:hint="eastAsia" w:ascii="黑体" w:hAnsi="黑体" w:eastAsia="黑体"/>
          <w:bCs w:val="0"/>
          <w:sz w:val="24"/>
          <w:szCs w:val="24"/>
        </w:rPr>
        <w:t>3．投标文件的符合性审查</w:t>
      </w:r>
      <w:bookmarkEnd w:id="92"/>
      <w:bookmarkEnd w:id="93"/>
      <w:bookmarkEnd w:id="94"/>
    </w:p>
    <w:p w14:paraId="52DBC1A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3.1资格审查结束后，评标委员会依法按照本章第三节“投标文件的符合性审查”规定进行投标文件符合性。</w:t>
      </w:r>
    </w:p>
    <w:p w14:paraId="24ED9BE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3.2符合性审查合格投标人少于3家的，应予废标。</w:t>
      </w:r>
    </w:p>
    <w:p w14:paraId="755D87D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3.3单一产品采购项目：提供相同品牌产品的不同投标人参加同一合同项下投标的，按一家投标人计算。提供不同品牌产品的投标人不足三家的，应予废标。</w:t>
      </w:r>
    </w:p>
    <w:p w14:paraId="4718D5A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3.4非单一产品采购项目：采购人或者采购代理机构将在</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中载明核心产品。多家投标人提供的核心产品品牌相同的，视为相同品牌，按本章本节第3.3款规定处理。</w:t>
      </w:r>
    </w:p>
    <w:p w14:paraId="34698084">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95" w:name="_Toc483"/>
      <w:bookmarkStart w:id="96" w:name="_Toc15039"/>
      <w:bookmarkStart w:id="97" w:name="_Toc29913916"/>
      <w:r>
        <w:rPr>
          <w:rFonts w:hint="eastAsia" w:ascii="黑体" w:hAnsi="黑体" w:eastAsia="黑体"/>
          <w:bCs w:val="0"/>
          <w:sz w:val="24"/>
          <w:szCs w:val="24"/>
        </w:rPr>
        <w:t>4．投标文件的澄清</w:t>
      </w:r>
      <w:bookmarkEnd w:id="95"/>
      <w:bookmarkEnd w:id="96"/>
      <w:bookmarkEnd w:id="97"/>
    </w:p>
    <w:p w14:paraId="64BB6F8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4.1对于投标文件中含义不明确、同类问题表述不一致或者有明显文字和计算错误的内容，评标委员会应当以数据电文形式要求投标人作出必要的澄清、说明或者补正。</w:t>
      </w:r>
    </w:p>
    <w:p w14:paraId="03D068F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4.2投标文件的投标报价出现前后不一致的，除</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另有规定外，按照下列规定修正：</w:t>
      </w:r>
    </w:p>
    <w:p w14:paraId="279CBEB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（1）投标文件中开标一览表内容与投标文件中相应内容不一致的，以开标一览表为准；</w:t>
      </w:r>
    </w:p>
    <w:p w14:paraId="43D1FDA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（2）大写金额和小写金额不一致的，以大写金额为准；</w:t>
      </w:r>
    </w:p>
    <w:p w14:paraId="133F0D5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（3）单价金额小数点或者百分比有明显错位的，以开标一览表的总价为准，并修改单价；</w:t>
      </w:r>
    </w:p>
    <w:p w14:paraId="49F0101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（4）总价金额与按单价汇总金额不一致的，以单价金额计算结果为准。</w:t>
      </w:r>
    </w:p>
    <w:p w14:paraId="74612000">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4.3投标文件报价同时出现两种以上不一致的，按照前款规定的顺序修正。修正后的报价由投标人代表电子签名或者加盖单位电子章确认后产生约束力，投标人不确认的，其投标无效。</w:t>
      </w:r>
    </w:p>
    <w:p w14:paraId="78C0B77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68BE349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4.5有效的澄清材料，是投标文件的补充材料，成为投标文件的组成部分。</w:t>
      </w:r>
    </w:p>
    <w:p w14:paraId="5188E933">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09155DF6">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98" w:name="_Toc29913917"/>
      <w:bookmarkStart w:id="99" w:name="_Toc5596"/>
      <w:bookmarkStart w:id="100" w:name="_Toc282"/>
      <w:r>
        <w:rPr>
          <w:rFonts w:hint="eastAsia" w:ascii="黑体" w:hAnsi="黑体" w:eastAsia="黑体"/>
          <w:bCs w:val="0"/>
          <w:sz w:val="24"/>
          <w:szCs w:val="24"/>
        </w:rPr>
        <w:t>5．投标文件的比较与评价</w:t>
      </w:r>
      <w:bookmarkEnd w:id="98"/>
      <w:bookmarkEnd w:id="99"/>
      <w:bookmarkEnd w:id="100"/>
    </w:p>
    <w:p w14:paraId="34B7CE83">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5.1评标委员会依法按照本章第三节“投标文件的比较与评价”规定，对资格性检查和符合性检查合格的投标文件进行比较和评价。</w:t>
      </w:r>
    </w:p>
    <w:p w14:paraId="79D00D47">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5.2单一产品采购项目：</w:t>
      </w:r>
    </w:p>
    <w:p w14:paraId="734C1A4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规定的方式确定一个投标人获得中标人推荐资格，招标文件未规定的采取随机抽取方式确定，其他同品牌投标人</w:t>
      </w:r>
      <w:r>
        <w:rPr>
          <w:rFonts w:hint="eastAsia" w:asciiTheme="minorEastAsia" w:hAnsiTheme="minorEastAsia" w:eastAsiaTheme="minorEastAsia"/>
          <w:b/>
          <w:szCs w:val="21"/>
        </w:rPr>
        <w:t>不作为中标候选人</w:t>
      </w:r>
      <w:r>
        <w:rPr>
          <w:rFonts w:hint="eastAsia" w:asciiTheme="minorEastAsia" w:hAnsiTheme="minorEastAsia" w:eastAsiaTheme="minorEastAsia"/>
          <w:szCs w:val="21"/>
        </w:rPr>
        <w:t>。</w:t>
      </w:r>
    </w:p>
    <w:p w14:paraId="3BD27026">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5.3非单一产品采购项目：多家投标人提供的核心产品品牌相同的，视为相同品牌，按本章本节第 5.2 款规定处理。</w:t>
      </w:r>
    </w:p>
    <w:p w14:paraId="5D513109">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5.4政府采购政策：</w:t>
      </w:r>
    </w:p>
    <w:p w14:paraId="56D86490">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szCs w:val="21"/>
        </w:rPr>
        <w:t>（1）</w:t>
      </w:r>
      <w:r>
        <w:rPr>
          <w:rFonts w:hint="eastAsia" w:asciiTheme="minorEastAsia" w:hAnsiTheme="minorEastAsia" w:eastAsiaTheme="minorEastAsia"/>
          <w:bCs/>
          <w:szCs w:val="21"/>
        </w:rPr>
        <w:t>价格评审优惠：</w:t>
      </w:r>
      <w:r>
        <w:rPr>
          <w:rFonts w:hint="eastAsia" w:asciiTheme="minorEastAsia" w:hAnsiTheme="minorEastAsia" w:eastAsiaTheme="minorEastAsia"/>
          <w:szCs w:val="21"/>
        </w:rPr>
        <w:t>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szCs w:val="21"/>
        </w:rPr>
        <w:t>及第二章“投标须知”的相关规定给予一定的价格折扣。</w:t>
      </w:r>
    </w:p>
    <w:p w14:paraId="79017F29">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szCs w:val="21"/>
        </w:rPr>
        <w:t>（2）优先采购：</w:t>
      </w:r>
      <w:r>
        <w:rPr>
          <w:rFonts w:hint="eastAsia" w:asciiTheme="minorEastAsia" w:hAnsiTheme="minorEastAsia" w:eastAsiaTheme="minorEastAsia"/>
          <w:bCs/>
          <w:szCs w:val="21"/>
        </w:rPr>
        <w:t>评审时按</w:t>
      </w:r>
      <w:r>
        <w:rPr>
          <w:rFonts w:hint="eastAsia" w:asciiTheme="minorEastAsia" w:hAnsiTheme="minorEastAsia" w:eastAsiaTheme="minorEastAsia"/>
          <w:b/>
          <w:szCs w:val="21"/>
        </w:rPr>
        <w:t>【评标方法及标准前附表】</w:t>
      </w:r>
      <w:r>
        <w:rPr>
          <w:rFonts w:hint="eastAsia" w:asciiTheme="minorEastAsia" w:hAnsiTheme="minorEastAsia" w:eastAsiaTheme="minorEastAsia"/>
          <w:bCs/>
          <w:szCs w:val="21"/>
        </w:rPr>
        <w:t>及第二章</w:t>
      </w:r>
      <w:r>
        <w:rPr>
          <w:rFonts w:hint="eastAsia" w:asciiTheme="minorEastAsia" w:hAnsiTheme="minorEastAsia" w:eastAsiaTheme="minorEastAsia"/>
          <w:szCs w:val="21"/>
        </w:rPr>
        <w:t>“投标须知”</w:t>
      </w:r>
      <w:r>
        <w:rPr>
          <w:rFonts w:hint="eastAsia" w:asciiTheme="minorEastAsia" w:hAnsiTheme="minorEastAsia" w:eastAsiaTheme="minorEastAsia"/>
          <w:bCs/>
          <w:szCs w:val="21"/>
        </w:rPr>
        <w:t>的相关规定给予价格折扣或者加分。</w:t>
      </w:r>
    </w:p>
    <w:p w14:paraId="17FE3B21">
      <w:pPr>
        <w:pStyle w:val="5"/>
        <w:keepNext w:val="0"/>
        <w:keepLines w:val="0"/>
        <w:adjustRightInd w:val="0"/>
        <w:snapToGrid w:val="0"/>
        <w:spacing w:before="156" w:beforeLines="50" w:after="0" w:line="360" w:lineRule="auto"/>
        <w:rPr>
          <w:rFonts w:hint="eastAsia" w:ascii="黑体" w:hAnsi="黑体" w:eastAsia="黑体"/>
          <w:color w:val="FF0000"/>
          <w:sz w:val="24"/>
          <w:szCs w:val="24"/>
        </w:rPr>
      </w:pPr>
      <w:bookmarkStart w:id="101" w:name="_Toc23499"/>
      <w:bookmarkStart w:id="102" w:name="_Toc29913918"/>
      <w:bookmarkStart w:id="103" w:name="_Toc1000"/>
      <w:r>
        <w:rPr>
          <w:rFonts w:hint="eastAsia" w:ascii="黑体" w:hAnsi="黑体" w:eastAsia="黑体"/>
          <w:bCs w:val="0"/>
          <w:sz w:val="24"/>
          <w:szCs w:val="24"/>
        </w:rPr>
        <w:t>6．</w:t>
      </w:r>
      <w:r>
        <w:rPr>
          <w:rFonts w:hint="eastAsia" w:ascii="黑体" w:hAnsi="黑体" w:eastAsia="黑体"/>
          <w:sz w:val="24"/>
          <w:szCs w:val="24"/>
        </w:rPr>
        <w:t>推荐中标候选人</w:t>
      </w:r>
      <w:bookmarkEnd w:id="101"/>
      <w:bookmarkEnd w:id="102"/>
      <w:bookmarkEnd w:id="103"/>
    </w:p>
    <w:p w14:paraId="365C0A62">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综合评分法：评标结果按评审后得分由高到低顺序排列。得分相同的，按投标报价由低到高顺序排列。得分且投标报价相同的并列，按</w:t>
      </w:r>
      <w:r>
        <w:rPr>
          <w:rFonts w:hint="eastAsia" w:asciiTheme="minorEastAsia" w:hAnsiTheme="minorEastAsia" w:eastAsiaTheme="minorEastAsia"/>
          <w:b/>
          <w:bCs/>
          <w:szCs w:val="21"/>
        </w:rPr>
        <w:t>【评标方法及标准前附表】</w:t>
      </w:r>
      <w:r>
        <w:rPr>
          <w:rFonts w:hint="eastAsia" w:asciiTheme="minorEastAsia" w:hAnsiTheme="minorEastAsia" w:eastAsiaTheme="minorEastAsia"/>
          <w:bCs/>
          <w:szCs w:val="21"/>
        </w:rPr>
        <w:t>规定的方式确定中标人；招标文件未规定的，采取随机抽取的方式确定。</w:t>
      </w:r>
    </w:p>
    <w:p w14:paraId="61BF0BE6">
      <w:pPr>
        <w:pStyle w:val="5"/>
        <w:keepNext w:val="0"/>
        <w:keepLines w:val="0"/>
        <w:adjustRightInd w:val="0"/>
        <w:snapToGrid w:val="0"/>
        <w:spacing w:before="156" w:beforeLines="50" w:after="0" w:line="360" w:lineRule="auto"/>
        <w:rPr>
          <w:rFonts w:hint="eastAsia" w:ascii="黑体" w:hAnsi="黑体" w:eastAsia="黑体"/>
          <w:sz w:val="24"/>
          <w:szCs w:val="24"/>
        </w:rPr>
      </w:pPr>
      <w:bookmarkStart w:id="104" w:name="_Toc11040"/>
      <w:bookmarkStart w:id="105" w:name="_Toc29913919"/>
      <w:bookmarkStart w:id="106" w:name="_Toc13136"/>
      <w:r>
        <w:rPr>
          <w:rFonts w:hint="eastAsia" w:ascii="黑体" w:hAnsi="黑体" w:eastAsia="黑体"/>
          <w:bCs w:val="0"/>
          <w:sz w:val="24"/>
          <w:szCs w:val="24"/>
        </w:rPr>
        <w:t>7．</w:t>
      </w:r>
      <w:r>
        <w:rPr>
          <w:rFonts w:hint="eastAsia" w:ascii="黑体" w:hAnsi="黑体" w:eastAsia="黑体"/>
          <w:sz w:val="24"/>
          <w:szCs w:val="24"/>
        </w:rPr>
        <w:t>编写评标报告</w:t>
      </w:r>
      <w:bookmarkEnd w:id="104"/>
      <w:bookmarkEnd w:id="105"/>
      <w:bookmarkEnd w:id="106"/>
    </w:p>
    <w:p w14:paraId="4847C391">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7.1评标</w:t>
      </w:r>
      <w:r>
        <w:rPr>
          <w:rFonts w:hint="eastAsia" w:asciiTheme="minorEastAsia" w:hAnsiTheme="minorEastAsia" w:eastAsiaTheme="minorEastAsia"/>
          <w:bCs/>
          <w:szCs w:val="21"/>
        </w:rPr>
        <w:t>委员会</w:t>
      </w:r>
      <w:r>
        <w:rPr>
          <w:rFonts w:hint="eastAsia" w:asciiTheme="minorEastAsia" w:hAnsiTheme="minorEastAsia" w:eastAsiaTheme="minorEastAsia"/>
          <w:szCs w:val="21"/>
        </w:rPr>
        <w:t>根据全体评标成员电子签名的原始评标记录和评标结果编写评标报告。</w:t>
      </w:r>
    </w:p>
    <w:p w14:paraId="19179C79">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szCs w:val="21"/>
        </w:rPr>
        <w:t>7.2</w:t>
      </w:r>
      <w:r>
        <w:rPr>
          <w:rFonts w:hint="eastAsia"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62C3B31D">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107" w:name="_Toc29913920"/>
      <w:bookmarkStart w:id="108" w:name="_Toc9642"/>
      <w:bookmarkStart w:id="109" w:name="_Toc4435"/>
      <w:r>
        <w:rPr>
          <w:rFonts w:hint="eastAsia" w:ascii="黑体" w:hAnsi="黑体" w:eastAsia="黑体"/>
          <w:bCs w:val="0"/>
          <w:sz w:val="24"/>
          <w:szCs w:val="24"/>
        </w:rPr>
        <w:t>8．</w:t>
      </w:r>
      <w:r>
        <w:rPr>
          <w:rFonts w:hint="eastAsia" w:ascii="黑体" w:hAnsi="黑体" w:eastAsia="黑体"/>
          <w:sz w:val="24"/>
          <w:szCs w:val="24"/>
        </w:rPr>
        <w:t>评标报告</w:t>
      </w:r>
      <w:r>
        <w:rPr>
          <w:rFonts w:hint="eastAsia" w:ascii="黑体" w:hAnsi="黑体" w:eastAsia="黑体"/>
          <w:bCs w:val="0"/>
          <w:sz w:val="24"/>
          <w:szCs w:val="24"/>
        </w:rPr>
        <w:t>复核</w:t>
      </w:r>
      <w:bookmarkEnd w:id="107"/>
      <w:bookmarkEnd w:id="108"/>
      <w:bookmarkEnd w:id="109"/>
    </w:p>
    <w:p w14:paraId="766D888E">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14:paraId="25334BE0">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8.2汇总完成后，除下列情形外，任何人不得修改评标结果：</w:t>
      </w:r>
    </w:p>
    <w:p w14:paraId="4C1C6D96">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14:paraId="2B12BC6E">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14:paraId="1E4C59C2">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14:paraId="76611348">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14:paraId="6220E4C4">
      <w:pPr>
        <w:adjustRightInd w:val="0"/>
        <w:snapToGrid w:val="0"/>
        <w:spacing w:before="156" w:beforeLines="50" w:line="360" w:lineRule="auto"/>
        <w:ind w:firstLine="420" w:firstLineChars="200"/>
        <w:jc w:val="left"/>
        <w:rPr>
          <w:rFonts w:hint="eastAsia" w:asciiTheme="minorEastAsia" w:hAnsiTheme="minorEastAsia" w:eastAsiaTheme="minorEastAsia"/>
          <w:b/>
          <w:bCs/>
          <w:szCs w:val="21"/>
        </w:rPr>
      </w:pPr>
      <w:r>
        <w:rPr>
          <w:rFonts w:hint="eastAsia"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30EB32C">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110" w:name="_Toc14213"/>
      <w:bookmarkStart w:id="111" w:name="_Toc29913921"/>
      <w:bookmarkStart w:id="112" w:name="_Toc22688"/>
      <w:r>
        <w:rPr>
          <w:rFonts w:hint="eastAsia" w:ascii="黑体" w:hAnsi="黑体" w:eastAsia="黑体"/>
          <w:sz w:val="24"/>
          <w:szCs w:val="24"/>
        </w:rPr>
        <w:t>9．</w:t>
      </w:r>
      <w:r>
        <w:rPr>
          <w:rFonts w:hint="eastAsia" w:ascii="黑体" w:hAnsi="黑体" w:eastAsia="黑体"/>
          <w:bCs w:val="0"/>
          <w:sz w:val="24"/>
          <w:szCs w:val="24"/>
        </w:rPr>
        <w:t>停止评标</w:t>
      </w:r>
      <w:bookmarkEnd w:id="110"/>
      <w:bookmarkEnd w:id="111"/>
      <w:bookmarkEnd w:id="112"/>
    </w:p>
    <w:p w14:paraId="44EF493D">
      <w:pPr>
        <w:adjustRightInd w:val="0"/>
        <w:snapToGrid w:val="0"/>
        <w:spacing w:before="156" w:beforeLines="50" w:line="360" w:lineRule="auto"/>
        <w:ind w:firstLine="420" w:firstLineChars="200"/>
        <w:jc w:val="left"/>
        <w:rPr>
          <w:rFonts w:hint="eastAsia" w:cs="宋体" w:asciiTheme="minorEastAsia" w:hAnsiTheme="minorEastAsia" w:eastAsiaTheme="minorEastAsia"/>
          <w:kern w:val="0"/>
          <w:szCs w:val="21"/>
        </w:rPr>
      </w:pPr>
      <w:r>
        <w:rPr>
          <w:rFonts w:hint="eastAsia"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074D7C34">
      <w:pPr>
        <w:pStyle w:val="5"/>
        <w:rPr>
          <w:rFonts w:hint="eastAsia" w:ascii="黑体" w:hAnsi="黑体" w:eastAsia="黑体" w:cs="黑体"/>
          <w:sz w:val="28"/>
          <w:szCs w:val="28"/>
        </w:rPr>
      </w:pPr>
      <w:bookmarkStart w:id="113" w:name="_Toc13679"/>
      <w:r>
        <w:rPr>
          <w:rFonts w:hint="eastAsia" w:ascii="黑体" w:hAnsi="黑体" w:eastAsia="黑体" w:cs="黑体"/>
          <w:sz w:val="28"/>
          <w:szCs w:val="28"/>
        </w:rPr>
        <w:t>10.废标</w:t>
      </w:r>
      <w:bookmarkEnd w:id="113"/>
    </w:p>
    <w:p w14:paraId="134B0FD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10.1 根据有关法律法规和招标文件的有关规定，如出现下列情况之一的，应予以废标：</w:t>
      </w:r>
    </w:p>
    <w:p w14:paraId="19459F2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（1）符合专业条件的投标人或者对招标文件作实质响应的投标人不足三家的；</w:t>
      </w:r>
    </w:p>
    <w:p w14:paraId="0B75298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（2）出现影响采购公正的违法、违规行为的；</w:t>
      </w:r>
    </w:p>
    <w:p w14:paraId="69D656A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（3）投标人的报价均超过招标人项目采购预算，招标人不能支付的；</w:t>
      </w:r>
    </w:p>
    <w:p w14:paraId="4851195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（4）因重大变故，采购任务取消的。</w:t>
      </w:r>
    </w:p>
    <w:p w14:paraId="68756E74">
      <w:pPr>
        <w:pStyle w:val="5"/>
        <w:keepNext w:val="0"/>
        <w:keepLines w:val="0"/>
        <w:adjustRightInd w:val="0"/>
        <w:snapToGrid w:val="0"/>
        <w:spacing w:before="156" w:beforeLines="50" w:after="0" w:line="360" w:lineRule="auto"/>
        <w:rPr>
          <w:rFonts w:hint="eastAsia" w:ascii="黑体" w:hAnsi="黑体" w:eastAsia="黑体"/>
          <w:bCs w:val="0"/>
          <w:sz w:val="24"/>
          <w:szCs w:val="24"/>
        </w:rPr>
      </w:pPr>
      <w:bookmarkStart w:id="114" w:name="_Toc29913922"/>
      <w:bookmarkStart w:id="115" w:name="_Toc5791"/>
      <w:bookmarkStart w:id="116" w:name="_Toc881"/>
      <w:r>
        <w:rPr>
          <w:rFonts w:hint="eastAsia" w:ascii="黑体" w:hAnsi="黑体" w:eastAsia="黑体" w:cs="宋体"/>
          <w:kern w:val="0"/>
          <w:sz w:val="24"/>
          <w:szCs w:val="24"/>
        </w:rPr>
        <w:t>11．重新组建评标委员会进行评标</w:t>
      </w:r>
      <w:bookmarkEnd w:id="114"/>
      <w:bookmarkEnd w:id="115"/>
      <w:bookmarkEnd w:id="116"/>
    </w:p>
    <w:p w14:paraId="0A7AE41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14:paraId="2DF12EF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（1）评标委员会组成不符合《政府采购货物和服务招标投标管理办法》规定的；</w:t>
      </w:r>
    </w:p>
    <w:p w14:paraId="124F3A3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（2）有《政府采购货物和服务招标投标管理办法》第六十二条第一至五项情形的；</w:t>
      </w:r>
    </w:p>
    <w:p w14:paraId="0A66472E">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（3）评标委员会及其成员独立评标受到非法干预的；</w:t>
      </w:r>
    </w:p>
    <w:p w14:paraId="17606B0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（4）有政府采购法实施条例第七十五条规定的违法行为的。</w:t>
      </w:r>
    </w:p>
    <w:p w14:paraId="007D20E1">
      <w:pPr>
        <w:adjustRightInd w:val="0"/>
        <w:snapToGrid w:val="0"/>
        <w:spacing w:before="156" w:beforeLines="50" w:line="360" w:lineRule="auto"/>
        <w:ind w:firstLine="420" w:firstLineChars="200"/>
        <w:jc w:val="left"/>
        <w:rPr>
          <w:rFonts w:hint="eastAsia" w:ascii="黑体" w:hAnsi="华文中宋" w:eastAsia="黑体"/>
          <w:b/>
          <w:sz w:val="32"/>
          <w:szCs w:val="32"/>
        </w:rPr>
      </w:pPr>
      <w:r>
        <w:rPr>
          <w:rFonts w:hint="eastAsia" w:asciiTheme="minorEastAsia" w:hAnsiTheme="minorEastAsia" w:eastAsiaTheme="minorEastAsia"/>
          <w:szCs w:val="21"/>
        </w:rPr>
        <w:t>11.2有违法违规行为的原评标委员会成员不得参加重新组建的评标委员会。</w:t>
      </w:r>
      <w:r>
        <w:rPr>
          <w:rFonts w:ascii="黑体" w:hAnsi="华文中宋" w:eastAsia="黑体"/>
          <w:b/>
          <w:sz w:val="32"/>
          <w:szCs w:val="32"/>
        </w:rPr>
        <w:br w:type="page"/>
      </w:r>
    </w:p>
    <w:p w14:paraId="32640A39">
      <w:pPr>
        <w:pStyle w:val="4"/>
        <w:adjustRightInd w:val="0"/>
        <w:snapToGrid w:val="0"/>
        <w:jc w:val="center"/>
        <w:rPr>
          <w:rFonts w:hint="eastAsia" w:ascii="黑体" w:hAnsi="华文中宋" w:eastAsia="黑体"/>
          <w:sz w:val="28"/>
          <w:szCs w:val="28"/>
        </w:rPr>
      </w:pPr>
      <w:bookmarkStart w:id="117" w:name="_Toc29913923"/>
      <w:bookmarkStart w:id="118" w:name="_Toc7410"/>
      <w:bookmarkStart w:id="119" w:name="_Toc30098"/>
      <w:r>
        <w:rPr>
          <w:rFonts w:hint="eastAsia" w:ascii="黑体" w:hAnsi="华文中宋" w:eastAsia="黑体"/>
          <w:sz w:val="28"/>
          <w:szCs w:val="28"/>
        </w:rPr>
        <w:t>第三节 投标文件的符合性审查</w:t>
      </w:r>
      <w:bookmarkEnd w:id="117"/>
      <w:bookmarkEnd w:id="118"/>
      <w:bookmarkEnd w:id="119"/>
    </w:p>
    <w:p w14:paraId="06C0603D">
      <w:pPr>
        <w:adjustRightInd w:val="0"/>
        <w:snapToGrid w:val="0"/>
        <w:spacing w:before="156" w:beforeLines="50" w:line="360" w:lineRule="auto"/>
        <w:rPr>
          <w:rFonts w:hint="eastAsia" w:ascii="黑体" w:hAnsi="黑体" w:eastAsia="黑体"/>
          <w:b/>
          <w:sz w:val="24"/>
        </w:rPr>
      </w:pPr>
      <w:r>
        <w:rPr>
          <w:rFonts w:hint="eastAsia" w:ascii="黑体" w:hAnsi="黑体" w:eastAsia="黑体"/>
          <w:b/>
          <w:sz w:val="24"/>
        </w:rPr>
        <w:t>1.符合性审查</w:t>
      </w:r>
    </w:p>
    <w:p w14:paraId="2889B643">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szCs w:val="21"/>
        </w:rPr>
        <w:t>评标委员会应</w:t>
      </w:r>
      <w:r>
        <w:rPr>
          <w:rFonts w:hint="eastAsia" w:asciiTheme="minorEastAsia" w:hAnsiTheme="minorEastAsia" w:eastAsiaTheme="minorEastAsia"/>
        </w:rPr>
        <w:t>对符合资格条件的投标人的投标文件进行符合性审查，以确定其是否满足招标文件的实质性要求。</w:t>
      </w:r>
    </w:p>
    <w:p w14:paraId="3981F9E4">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440B283D">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（2）投标人不得通过修正或撤销不合要求的偏离从而使其投标成为实质上响应的投标。</w:t>
      </w:r>
    </w:p>
    <w:p w14:paraId="08A53E62">
      <w:pPr>
        <w:adjustRightInd w:val="0"/>
        <w:snapToGrid w:val="0"/>
        <w:spacing w:before="156" w:beforeLines="50" w:line="360" w:lineRule="auto"/>
        <w:ind w:firstLine="420" w:firstLineChars="200"/>
        <w:jc w:val="left"/>
        <w:rPr>
          <w:rFonts w:hint="eastAsia" w:asciiTheme="minorEastAsia" w:hAnsiTheme="minorEastAsia" w:eastAsiaTheme="minorEastAsia"/>
        </w:rPr>
      </w:pPr>
      <w:r>
        <w:rPr>
          <w:rFonts w:hint="eastAsia" w:asciiTheme="minorEastAsia" w:hAnsiTheme="minorEastAsia" w:eastAsiaTheme="minorEastAsia"/>
          <w:kern w:val="0"/>
          <w:szCs w:val="21"/>
        </w:rPr>
        <w:t>1.2</w:t>
      </w:r>
      <w:r>
        <w:rPr>
          <w:rFonts w:hint="eastAsia"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14:paraId="6406FCA6">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2.投标无效</w:t>
      </w:r>
    </w:p>
    <w:p w14:paraId="0965AA2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2.1投标人存在下列情况之一的，符合性审查不合格，投标无效：</w:t>
      </w:r>
    </w:p>
    <w:p w14:paraId="35989E1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（1）投标文件中商务技术文件未按照招标文件规定要求签署、盖章的；</w:t>
      </w:r>
    </w:p>
    <w:p w14:paraId="761642CA">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（2）投标文件没有对招标文件的实质性要求和条件作出响应，或者对招标文件的偏离超出招标文件规定的偏离</w:t>
      </w:r>
      <w:r>
        <w:rPr>
          <w:rFonts w:hint="eastAsia" w:asciiTheme="minorEastAsia" w:hAnsiTheme="minorEastAsia" w:eastAsiaTheme="minorEastAsia"/>
        </w:rPr>
        <w:t>范围和幅度</w:t>
      </w:r>
      <w:r>
        <w:rPr>
          <w:rFonts w:hint="eastAsia" w:asciiTheme="minorEastAsia" w:hAnsiTheme="minorEastAsia" w:eastAsiaTheme="minorEastAsia"/>
          <w:szCs w:val="21"/>
        </w:rPr>
        <w:t>；</w:t>
      </w:r>
    </w:p>
    <w:p w14:paraId="40CF286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（3）投标有效期不足的；</w:t>
      </w:r>
    </w:p>
    <w:p w14:paraId="079F7D57">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（4）投标文件含有采购人不能接受的附加条件的；</w:t>
      </w:r>
    </w:p>
    <w:p w14:paraId="75101C8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（5）不符合本节第1.1款规定符合性审查标准的；</w:t>
      </w:r>
    </w:p>
    <w:p w14:paraId="43C08ADF">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（6）法律、法规和招标文件规定的其他投标无效情形的。</w:t>
      </w:r>
    </w:p>
    <w:p w14:paraId="656F03E9">
      <w:pPr>
        <w:adjustRightInd w:val="0"/>
        <w:snapToGrid w:val="0"/>
        <w:spacing w:before="156" w:beforeLines="50" w:line="360" w:lineRule="auto"/>
        <w:ind w:firstLine="420" w:firstLineChars="200"/>
        <w:jc w:val="left"/>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asciiTheme="minorEastAsia" w:hAnsiTheme="minorEastAsia" w:eastAsiaTheme="minorEastAsia"/>
          <w:b/>
          <w:kern w:val="0"/>
          <w:szCs w:val="21"/>
        </w:rPr>
        <w:t>投标无效</w:t>
      </w:r>
      <w:r>
        <w:rPr>
          <w:rFonts w:hint="eastAsia" w:asciiTheme="minorEastAsia" w:hAnsiTheme="minorEastAsia" w:eastAsiaTheme="minorEastAsia"/>
          <w:kern w:val="0"/>
          <w:szCs w:val="21"/>
        </w:rPr>
        <w:t>，并书面报告本级财政部门。</w:t>
      </w:r>
    </w:p>
    <w:p w14:paraId="5FD90D06"/>
    <w:p w14:paraId="711F4A94"/>
    <w:p w14:paraId="21A7251B">
      <w:pPr>
        <w:widowControl/>
        <w:jc w:val="left"/>
        <w:rPr>
          <w:rFonts w:hint="eastAsia" w:ascii="黑体" w:hAnsi="黑体"/>
          <w:b/>
          <w:color w:val="FF0000"/>
          <w:szCs w:val="21"/>
        </w:rPr>
      </w:pPr>
      <w:r>
        <w:rPr>
          <w:rFonts w:ascii="黑体" w:hAnsi="黑体"/>
          <w:b/>
          <w:color w:val="FF0000"/>
          <w:szCs w:val="21"/>
        </w:rPr>
        <w:br w:type="page"/>
      </w:r>
    </w:p>
    <w:p w14:paraId="27B51CC6">
      <w:pPr>
        <w:pStyle w:val="5"/>
        <w:adjustRightInd w:val="0"/>
        <w:snapToGrid w:val="0"/>
        <w:spacing w:before="156" w:beforeLines="50" w:after="0" w:line="360" w:lineRule="auto"/>
        <w:rPr>
          <w:sz w:val="21"/>
          <w:szCs w:val="21"/>
        </w:rPr>
      </w:pPr>
      <w:bookmarkStart w:id="120" w:name="_Toc7233"/>
      <w:bookmarkStart w:id="121" w:name="_Toc20651227"/>
      <w:bookmarkStart w:id="122" w:name="_Toc20064"/>
      <w:bookmarkStart w:id="123" w:name="_Toc29913924"/>
      <w:r>
        <w:rPr>
          <w:rFonts w:hint="eastAsia"/>
          <w:sz w:val="21"/>
          <w:szCs w:val="21"/>
        </w:rPr>
        <w:t>附表1 符合性审查表</w:t>
      </w:r>
      <w:bookmarkEnd w:id="120"/>
      <w:bookmarkEnd w:id="121"/>
      <w:bookmarkEnd w:id="122"/>
    </w:p>
    <w:p w14:paraId="0AE66CD7">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符合性审查表</w:t>
      </w:r>
    </w:p>
    <w:p w14:paraId="0F414911">
      <w:pPr>
        <w:adjustRightInd w:val="0"/>
        <w:snapToGrid w:val="0"/>
        <w:spacing w:before="156" w:beforeLines="50"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项目名称：                                           采购代理编号： </w:t>
      </w:r>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2686"/>
        <w:gridCol w:w="5691"/>
      </w:tblGrid>
      <w:tr w14:paraId="0F1481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7D53E06F">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2686" w:type="dxa"/>
            <w:vAlign w:val="center"/>
          </w:tcPr>
          <w:p w14:paraId="38CEB82F">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5691" w:type="dxa"/>
            <w:vAlign w:val="center"/>
          </w:tcPr>
          <w:p w14:paraId="472359EA">
            <w:pPr>
              <w:adjustRightInd w:val="0"/>
              <w:snapToGrid w:val="0"/>
              <w:spacing w:before="156" w:beforeLines="50" w:line="360" w:lineRule="auto"/>
              <w:jc w:val="center"/>
              <w:rPr>
                <w:rFonts w:hint="eastAsia"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05B300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A35FF78">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2686" w:type="dxa"/>
            <w:vAlign w:val="center"/>
          </w:tcPr>
          <w:p w14:paraId="281FD8DC">
            <w:pPr>
              <w:adjustRightInd w:val="0"/>
              <w:snapToGrid w:val="0"/>
              <w:spacing w:before="156" w:beforeLines="50" w:line="360" w:lineRule="auto"/>
              <w:jc w:val="left"/>
              <w:rPr>
                <w:rFonts w:hint="eastAsia" w:cs="宋体" w:asciiTheme="minorEastAsia" w:hAnsiTheme="minorEastAsia" w:eastAsiaTheme="minorEastAsia"/>
                <w:color w:val="FF0000"/>
                <w:kern w:val="0"/>
                <w:szCs w:val="21"/>
              </w:rPr>
            </w:pPr>
            <w:r>
              <w:rPr>
                <w:rFonts w:hint="eastAsia"/>
              </w:rPr>
              <w:t>投标文件中商务技术文件按照招标文件规定要求签署、盖章的；</w:t>
            </w:r>
          </w:p>
        </w:tc>
        <w:tc>
          <w:tcPr>
            <w:tcW w:w="5691" w:type="dxa"/>
            <w:vAlign w:val="center"/>
          </w:tcPr>
          <w:p w14:paraId="21B1ED55">
            <w:pPr>
              <w:adjustRightInd w:val="0"/>
              <w:snapToGrid w:val="0"/>
              <w:spacing w:before="156" w:beforeLines="50" w:line="360" w:lineRule="auto"/>
              <w:jc w:val="center"/>
              <w:rPr>
                <w:rFonts w:hint="eastAsia" w:cs="宋体" w:asciiTheme="minorEastAsia" w:hAnsiTheme="minorEastAsia" w:eastAsiaTheme="minorEastAsia"/>
                <w:color w:val="FF0000"/>
                <w:kern w:val="0"/>
                <w:szCs w:val="21"/>
              </w:rPr>
            </w:pPr>
            <w:r>
              <w:rPr>
                <w:rFonts w:hint="eastAsia"/>
              </w:rPr>
              <w:t>投标文件按照招标文件规定要求签署、盖章。</w:t>
            </w:r>
          </w:p>
        </w:tc>
      </w:tr>
      <w:tr w14:paraId="25C2F9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EDCDD9D">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2686" w:type="dxa"/>
            <w:vAlign w:val="center"/>
          </w:tcPr>
          <w:p w14:paraId="1B6C63B1">
            <w:pPr>
              <w:adjustRightInd w:val="0"/>
              <w:snapToGrid w:val="0"/>
              <w:spacing w:before="156" w:beforeLines="50" w:line="360" w:lineRule="auto"/>
              <w:jc w:val="left"/>
              <w:rPr>
                <w:rFonts w:hint="eastAsia" w:cs="宋体" w:asciiTheme="minorEastAsia" w:hAnsiTheme="minorEastAsia" w:eastAsiaTheme="minorEastAsia"/>
                <w:color w:val="FF0000"/>
                <w:kern w:val="0"/>
                <w:szCs w:val="21"/>
              </w:rPr>
            </w:pPr>
            <w:r>
              <w:rPr>
                <w:rFonts w:hint="eastAsia"/>
              </w:rPr>
              <w:t>投标文件没有对招标文件的实质性要求和条件作出响应，或者对招标文件的偏离超出招标文件规定的偏离范围和幅度的；</w:t>
            </w:r>
          </w:p>
        </w:tc>
        <w:tc>
          <w:tcPr>
            <w:tcW w:w="5691" w:type="dxa"/>
            <w:vAlign w:val="center"/>
          </w:tcPr>
          <w:p w14:paraId="1F001387">
            <w:pPr>
              <w:adjustRightInd w:val="0"/>
              <w:snapToGrid w:val="0"/>
              <w:spacing w:before="156" w:beforeLines="50" w:line="360" w:lineRule="auto"/>
              <w:jc w:val="center"/>
              <w:rPr>
                <w:rFonts w:hint="eastAsia" w:cs="宋体" w:asciiTheme="minorEastAsia" w:hAnsiTheme="minorEastAsia" w:eastAsiaTheme="minorEastAsia"/>
                <w:color w:val="FF0000"/>
                <w:kern w:val="0"/>
                <w:szCs w:val="21"/>
              </w:rPr>
            </w:pPr>
            <w:r>
              <w:rPr>
                <w:rFonts w:hint="eastAsia"/>
              </w:rPr>
              <w:t>投标文件对招标文件的实质性要求和条件作出响应，或者对招标文件的偏离未超出招标文件规定的偏离范围和幅度。</w:t>
            </w:r>
          </w:p>
        </w:tc>
      </w:tr>
      <w:tr w14:paraId="74B005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9B595B">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2686" w:type="dxa"/>
            <w:vAlign w:val="center"/>
          </w:tcPr>
          <w:p w14:paraId="3633E526">
            <w:pPr>
              <w:adjustRightInd w:val="0"/>
              <w:snapToGrid w:val="0"/>
              <w:spacing w:before="156" w:beforeLines="50" w:line="360" w:lineRule="auto"/>
              <w:jc w:val="left"/>
              <w:rPr>
                <w:rFonts w:hint="eastAsia" w:cs="宋体" w:asciiTheme="minorEastAsia" w:hAnsiTheme="minorEastAsia" w:eastAsiaTheme="minorEastAsia"/>
                <w:color w:val="FF0000"/>
                <w:kern w:val="0"/>
                <w:szCs w:val="21"/>
              </w:rPr>
            </w:pPr>
            <w:r>
              <w:rPr>
                <w:rFonts w:hint="eastAsia"/>
              </w:rPr>
              <w:t>投标有效期不足的；</w:t>
            </w:r>
          </w:p>
        </w:tc>
        <w:tc>
          <w:tcPr>
            <w:tcW w:w="5691" w:type="dxa"/>
            <w:vAlign w:val="center"/>
          </w:tcPr>
          <w:p w14:paraId="118EDD29">
            <w:pPr>
              <w:adjustRightInd w:val="0"/>
              <w:snapToGrid w:val="0"/>
              <w:spacing w:before="156" w:beforeLines="50" w:line="360" w:lineRule="auto"/>
              <w:jc w:val="center"/>
              <w:rPr>
                <w:rFonts w:hint="eastAsia" w:cs="宋体" w:asciiTheme="minorEastAsia" w:hAnsiTheme="minorEastAsia" w:eastAsiaTheme="minorEastAsia"/>
                <w:color w:val="FF0000"/>
                <w:kern w:val="0"/>
                <w:szCs w:val="21"/>
              </w:rPr>
            </w:pPr>
            <w:r>
              <w:rPr>
                <w:rFonts w:hint="eastAsia"/>
              </w:rPr>
              <w:t>投标有效期是否满足招标文件要求。</w:t>
            </w:r>
          </w:p>
        </w:tc>
      </w:tr>
      <w:tr w14:paraId="7EFD0F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509FCB7">
            <w:pPr>
              <w:adjustRightInd w:val="0"/>
              <w:snapToGrid w:val="0"/>
              <w:spacing w:before="156" w:beforeLines="50" w:line="360" w:lineRule="auto"/>
              <w:jc w:val="center"/>
              <w:rPr>
                <w:rFonts w:hint="eastAsia"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2686" w:type="dxa"/>
            <w:vAlign w:val="center"/>
          </w:tcPr>
          <w:p w14:paraId="431EEA68">
            <w:pPr>
              <w:adjustRightInd w:val="0"/>
              <w:snapToGrid w:val="0"/>
              <w:spacing w:before="156" w:beforeLines="50" w:line="360" w:lineRule="auto"/>
              <w:jc w:val="left"/>
              <w:rPr>
                <w:rFonts w:hint="eastAsia" w:asciiTheme="minorEastAsia" w:hAnsiTheme="minorEastAsia" w:eastAsiaTheme="minorEastAsia"/>
                <w:color w:val="FF0000"/>
                <w:kern w:val="0"/>
                <w:szCs w:val="21"/>
              </w:rPr>
            </w:pPr>
            <w:r>
              <w:rPr>
                <w:rFonts w:hint="eastAsia"/>
              </w:rPr>
              <w:t>投标文件</w:t>
            </w:r>
            <w:r>
              <w:rPr>
                <w:rFonts w:hint="eastAsia"/>
                <w:lang w:eastAsia="zh-CN"/>
              </w:rPr>
              <w:t>未</w:t>
            </w:r>
            <w:r>
              <w:rPr>
                <w:rFonts w:hint="eastAsia"/>
              </w:rPr>
              <w:t>含有采购人不能接受的附加条件的；</w:t>
            </w:r>
          </w:p>
        </w:tc>
        <w:tc>
          <w:tcPr>
            <w:tcW w:w="5691" w:type="dxa"/>
            <w:vAlign w:val="center"/>
          </w:tcPr>
          <w:p w14:paraId="7DF2DEBE">
            <w:pPr>
              <w:jc w:val="left"/>
            </w:pPr>
            <w:r>
              <w:rPr>
                <w:rFonts w:hint="eastAsia"/>
              </w:rPr>
              <w:t>投标文件是否符合招标文件要求，没有采购人不能接受的附</w:t>
            </w:r>
          </w:p>
          <w:p w14:paraId="5FC786AA">
            <w:pPr>
              <w:adjustRightInd w:val="0"/>
              <w:snapToGrid w:val="0"/>
              <w:spacing w:before="156" w:beforeLines="50" w:line="360" w:lineRule="auto"/>
              <w:jc w:val="center"/>
              <w:rPr>
                <w:rFonts w:hint="eastAsia" w:cs="宋体" w:asciiTheme="minorEastAsia" w:hAnsiTheme="minorEastAsia" w:eastAsiaTheme="minorEastAsia"/>
                <w:color w:val="FF0000"/>
                <w:kern w:val="0"/>
                <w:szCs w:val="21"/>
              </w:rPr>
            </w:pPr>
            <w:r>
              <w:rPr>
                <w:rFonts w:hint="eastAsia"/>
              </w:rPr>
              <w:t>加条件。</w:t>
            </w:r>
          </w:p>
        </w:tc>
      </w:tr>
      <w:tr w14:paraId="254044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DB6D128">
            <w:pPr>
              <w:adjustRightInd w:val="0"/>
              <w:snapToGrid w:val="0"/>
              <w:spacing w:before="156" w:beforeLines="50" w:line="360" w:lineRule="auto"/>
              <w:jc w:val="center"/>
              <w:rPr>
                <w:rFonts w:hint="eastAsia" w:cs="宋体" w:asciiTheme="minorEastAsia" w:hAnsiTheme="minorEastAsia" w:eastAsiaTheme="minorEastAsia"/>
                <w:kern w:val="0"/>
                <w:szCs w:val="21"/>
                <w:lang w:val="en-US" w:eastAsia="zh-CN"/>
              </w:rPr>
            </w:pPr>
            <w:r>
              <w:rPr>
                <w:rFonts w:hint="eastAsia" w:cs="宋体" w:asciiTheme="minorEastAsia" w:hAnsiTheme="minorEastAsia" w:eastAsiaTheme="minorEastAsia"/>
                <w:kern w:val="0"/>
                <w:szCs w:val="21"/>
                <w:lang w:val="en-US" w:eastAsia="zh-CN"/>
              </w:rPr>
              <w:t>5</w:t>
            </w:r>
          </w:p>
        </w:tc>
        <w:tc>
          <w:tcPr>
            <w:tcW w:w="2686" w:type="dxa"/>
            <w:vAlign w:val="center"/>
          </w:tcPr>
          <w:p w14:paraId="0436A8E8">
            <w:pPr>
              <w:adjustRightInd w:val="0"/>
              <w:snapToGrid w:val="0"/>
              <w:spacing w:before="156" w:beforeLines="50" w:line="360" w:lineRule="auto"/>
              <w:jc w:val="left"/>
              <w:rPr>
                <w:rFonts w:hint="eastAsia" w:cs="宋体" w:asciiTheme="minorEastAsia" w:hAnsiTheme="minorEastAsia" w:eastAsiaTheme="minorEastAsia"/>
                <w:color w:val="FF0000"/>
                <w:kern w:val="0"/>
                <w:szCs w:val="21"/>
              </w:rPr>
            </w:pPr>
            <w:r>
              <w:rPr>
                <w:rFonts w:hint="eastAsia"/>
              </w:rPr>
              <w:t>法律、法规和招标文件规定的其他投标无效情形的。</w:t>
            </w:r>
          </w:p>
        </w:tc>
        <w:tc>
          <w:tcPr>
            <w:tcW w:w="5691" w:type="dxa"/>
            <w:vAlign w:val="center"/>
          </w:tcPr>
          <w:p w14:paraId="0C99960E">
            <w:pPr>
              <w:adjustRightInd w:val="0"/>
              <w:snapToGrid w:val="0"/>
              <w:spacing w:before="156" w:beforeLines="50" w:line="360" w:lineRule="auto"/>
              <w:jc w:val="center"/>
              <w:rPr>
                <w:rFonts w:hint="eastAsia" w:cs="宋体" w:asciiTheme="minorEastAsia" w:hAnsiTheme="minorEastAsia" w:eastAsiaTheme="minorEastAsia"/>
                <w:color w:val="FF0000"/>
                <w:kern w:val="0"/>
                <w:szCs w:val="21"/>
              </w:rPr>
            </w:pPr>
            <w:r>
              <w:rPr>
                <w:rFonts w:hint="eastAsia"/>
              </w:rPr>
              <w:t>无法律、法规和招标文件规定的其他投标无效情形。</w:t>
            </w:r>
          </w:p>
        </w:tc>
      </w:tr>
      <w:tr w14:paraId="14EDA5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B38B292">
            <w:pPr>
              <w:adjustRightInd w:val="0"/>
              <w:snapToGrid w:val="0"/>
              <w:spacing w:before="156" w:beforeLines="50" w:line="360" w:lineRule="auto"/>
              <w:jc w:val="center"/>
              <w:rPr>
                <w:rFonts w:hint="eastAsia"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14:paraId="33085FF8">
            <w:pPr>
              <w:adjustRightInd w:val="0"/>
              <w:snapToGrid w:val="0"/>
              <w:spacing w:before="156" w:beforeLines="50" w:line="360" w:lineRule="auto"/>
              <w:jc w:val="center"/>
              <w:rPr>
                <w:rFonts w:hint="eastAsia" w:cs="宋体" w:asciiTheme="minorEastAsia" w:hAnsiTheme="minorEastAsia" w:eastAsiaTheme="minorEastAsia"/>
                <w:kern w:val="0"/>
                <w:sz w:val="20"/>
                <w:szCs w:val="21"/>
              </w:rPr>
            </w:pPr>
            <w:r>
              <w:rPr>
                <w:rFonts w:hint="eastAsia" w:ascii="宋体" w:hAnsi="宋体" w:cs="宋体"/>
                <w:kern w:val="0"/>
                <w:sz w:val="20"/>
                <w:szCs w:val="21"/>
              </w:rPr>
              <w:t>通过/不通过</w:t>
            </w:r>
          </w:p>
        </w:tc>
      </w:tr>
    </w:tbl>
    <w:p w14:paraId="14187894">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14:paraId="2BB0820F">
      <w:pPr>
        <w:widowControl/>
        <w:jc w:val="left"/>
        <w:rPr>
          <w:rFonts w:hint="eastAsia" w:asciiTheme="minorEastAsia" w:hAnsiTheme="minorEastAsia" w:eastAsiaTheme="minorEastAsia"/>
          <w:szCs w:val="21"/>
        </w:rPr>
      </w:pPr>
      <w:r>
        <w:rPr>
          <w:rFonts w:asciiTheme="minorEastAsia" w:hAnsiTheme="minorEastAsia" w:eastAsiaTheme="minorEastAsia"/>
          <w:szCs w:val="21"/>
        </w:rPr>
        <w:br w:type="page"/>
      </w:r>
    </w:p>
    <w:p w14:paraId="0D872351">
      <w:pPr>
        <w:pStyle w:val="5"/>
        <w:rPr>
          <w:sz w:val="21"/>
          <w:szCs w:val="21"/>
        </w:rPr>
      </w:pPr>
      <w:bookmarkStart w:id="124" w:name="_Toc20651228"/>
      <w:bookmarkStart w:id="125" w:name="_Toc24980"/>
      <w:bookmarkStart w:id="126" w:name="_Toc30641"/>
      <w:r>
        <w:rPr>
          <w:rFonts w:hint="eastAsia"/>
          <w:sz w:val="21"/>
          <w:szCs w:val="21"/>
        </w:rPr>
        <w:t>附表2 符合性审查结果一览表</w:t>
      </w:r>
      <w:bookmarkEnd w:id="124"/>
      <w:bookmarkEnd w:id="125"/>
      <w:bookmarkEnd w:id="126"/>
    </w:p>
    <w:p w14:paraId="08DA0FEF">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符合性审查结果一览表</w:t>
      </w:r>
    </w:p>
    <w:p w14:paraId="41529329">
      <w:pPr>
        <w:adjustRightInd w:val="0"/>
        <w:snapToGrid w:val="0"/>
        <w:spacing w:before="156" w:beforeLines="50"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项目名称：                                           采购代理编号：</w:t>
      </w:r>
    </w:p>
    <w:tbl>
      <w:tblPr>
        <w:tblStyle w:val="2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ECC4C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78D96A59">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序号</w:t>
            </w:r>
          </w:p>
        </w:tc>
        <w:tc>
          <w:tcPr>
            <w:tcW w:w="2963" w:type="dxa"/>
            <w:vAlign w:val="center"/>
          </w:tcPr>
          <w:p w14:paraId="31FDEFCA">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投标人名称</w:t>
            </w:r>
          </w:p>
        </w:tc>
        <w:tc>
          <w:tcPr>
            <w:tcW w:w="2439" w:type="dxa"/>
            <w:vAlign w:val="center"/>
          </w:tcPr>
          <w:p w14:paraId="68367629">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符合性审查结果</w:t>
            </w:r>
          </w:p>
          <w:p w14:paraId="4859D8C1">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（合格/不合格）</w:t>
            </w:r>
          </w:p>
        </w:tc>
        <w:tc>
          <w:tcPr>
            <w:tcW w:w="2961" w:type="dxa"/>
            <w:vAlign w:val="center"/>
          </w:tcPr>
          <w:p w14:paraId="57CEAA77">
            <w:pPr>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符合性审查不合格原因</w:t>
            </w:r>
          </w:p>
        </w:tc>
      </w:tr>
      <w:tr w14:paraId="74A034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484D26A6">
            <w:pPr>
              <w:adjustRightInd w:val="0"/>
              <w:snapToGrid w:val="0"/>
              <w:spacing w:line="360" w:lineRule="auto"/>
              <w:rPr>
                <w:rFonts w:hint="eastAsia" w:asciiTheme="minorEastAsia" w:hAnsiTheme="minorEastAsia" w:eastAsiaTheme="minorEastAsia"/>
                <w:kern w:val="0"/>
                <w:sz w:val="24"/>
              </w:rPr>
            </w:pPr>
          </w:p>
        </w:tc>
        <w:tc>
          <w:tcPr>
            <w:tcW w:w="2963" w:type="dxa"/>
          </w:tcPr>
          <w:p w14:paraId="564C8D44">
            <w:pPr>
              <w:adjustRightInd w:val="0"/>
              <w:snapToGrid w:val="0"/>
              <w:spacing w:line="360" w:lineRule="auto"/>
              <w:rPr>
                <w:rFonts w:hint="eastAsia" w:asciiTheme="minorEastAsia" w:hAnsiTheme="minorEastAsia" w:eastAsiaTheme="minorEastAsia"/>
                <w:kern w:val="0"/>
                <w:sz w:val="24"/>
              </w:rPr>
            </w:pPr>
          </w:p>
        </w:tc>
        <w:tc>
          <w:tcPr>
            <w:tcW w:w="2439" w:type="dxa"/>
          </w:tcPr>
          <w:p w14:paraId="2E54FBDD">
            <w:pPr>
              <w:adjustRightInd w:val="0"/>
              <w:snapToGrid w:val="0"/>
              <w:spacing w:line="360" w:lineRule="auto"/>
              <w:rPr>
                <w:rFonts w:hint="eastAsia" w:asciiTheme="minorEastAsia" w:hAnsiTheme="minorEastAsia" w:eastAsiaTheme="minorEastAsia"/>
                <w:kern w:val="0"/>
                <w:sz w:val="24"/>
              </w:rPr>
            </w:pPr>
          </w:p>
        </w:tc>
        <w:tc>
          <w:tcPr>
            <w:tcW w:w="2961" w:type="dxa"/>
          </w:tcPr>
          <w:p w14:paraId="52D5A750">
            <w:pPr>
              <w:adjustRightInd w:val="0"/>
              <w:snapToGrid w:val="0"/>
              <w:spacing w:line="360" w:lineRule="auto"/>
              <w:rPr>
                <w:rFonts w:hint="eastAsia" w:asciiTheme="minorEastAsia" w:hAnsiTheme="minorEastAsia" w:eastAsiaTheme="minorEastAsia"/>
                <w:kern w:val="0"/>
                <w:sz w:val="24"/>
              </w:rPr>
            </w:pPr>
          </w:p>
        </w:tc>
      </w:tr>
      <w:tr w14:paraId="4AB9E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7A0CEB9">
            <w:pPr>
              <w:adjustRightInd w:val="0"/>
              <w:snapToGrid w:val="0"/>
              <w:spacing w:line="360" w:lineRule="auto"/>
              <w:rPr>
                <w:rFonts w:hint="eastAsia" w:asciiTheme="minorEastAsia" w:hAnsiTheme="minorEastAsia" w:eastAsiaTheme="minorEastAsia"/>
                <w:kern w:val="0"/>
                <w:sz w:val="24"/>
              </w:rPr>
            </w:pPr>
          </w:p>
        </w:tc>
        <w:tc>
          <w:tcPr>
            <w:tcW w:w="2963" w:type="dxa"/>
          </w:tcPr>
          <w:p w14:paraId="260163BB">
            <w:pPr>
              <w:adjustRightInd w:val="0"/>
              <w:snapToGrid w:val="0"/>
              <w:spacing w:line="360" w:lineRule="auto"/>
              <w:rPr>
                <w:rFonts w:hint="eastAsia" w:asciiTheme="minorEastAsia" w:hAnsiTheme="minorEastAsia" w:eastAsiaTheme="minorEastAsia"/>
                <w:kern w:val="0"/>
                <w:sz w:val="24"/>
              </w:rPr>
            </w:pPr>
          </w:p>
        </w:tc>
        <w:tc>
          <w:tcPr>
            <w:tcW w:w="2439" w:type="dxa"/>
          </w:tcPr>
          <w:p w14:paraId="030A63F4">
            <w:pPr>
              <w:adjustRightInd w:val="0"/>
              <w:snapToGrid w:val="0"/>
              <w:spacing w:line="360" w:lineRule="auto"/>
              <w:rPr>
                <w:rFonts w:hint="eastAsia" w:asciiTheme="minorEastAsia" w:hAnsiTheme="minorEastAsia" w:eastAsiaTheme="minorEastAsia"/>
                <w:kern w:val="0"/>
                <w:sz w:val="24"/>
              </w:rPr>
            </w:pPr>
          </w:p>
        </w:tc>
        <w:tc>
          <w:tcPr>
            <w:tcW w:w="2961" w:type="dxa"/>
          </w:tcPr>
          <w:p w14:paraId="67C95C40">
            <w:pPr>
              <w:adjustRightInd w:val="0"/>
              <w:snapToGrid w:val="0"/>
              <w:spacing w:line="360" w:lineRule="auto"/>
              <w:rPr>
                <w:rFonts w:hint="eastAsia" w:asciiTheme="minorEastAsia" w:hAnsiTheme="minorEastAsia" w:eastAsiaTheme="minorEastAsia"/>
                <w:kern w:val="0"/>
                <w:sz w:val="24"/>
              </w:rPr>
            </w:pPr>
          </w:p>
        </w:tc>
      </w:tr>
      <w:tr w14:paraId="77F00D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9C24E39">
            <w:pPr>
              <w:adjustRightInd w:val="0"/>
              <w:snapToGrid w:val="0"/>
              <w:spacing w:line="360" w:lineRule="auto"/>
              <w:rPr>
                <w:rFonts w:hint="eastAsia" w:asciiTheme="minorEastAsia" w:hAnsiTheme="minorEastAsia" w:eastAsiaTheme="minorEastAsia"/>
                <w:kern w:val="0"/>
                <w:sz w:val="24"/>
              </w:rPr>
            </w:pPr>
          </w:p>
        </w:tc>
        <w:tc>
          <w:tcPr>
            <w:tcW w:w="2963" w:type="dxa"/>
          </w:tcPr>
          <w:p w14:paraId="1435A0BA">
            <w:pPr>
              <w:adjustRightInd w:val="0"/>
              <w:snapToGrid w:val="0"/>
              <w:spacing w:line="360" w:lineRule="auto"/>
              <w:rPr>
                <w:rFonts w:hint="eastAsia" w:asciiTheme="minorEastAsia" w:hAnsiTheme="minorEastAsia" w:eastAsiaTheme="minorEastAsia"/>
                <w:kern w:val="0"/>
                <w:sz w:val="24"/>
              </w:rPr>
            </w:pPr>
          </w:p>
        </w:tc>
        <w:tc>
          <w:tcPr>
            <w:tcW w:w="2439" w:type="dxa"/>
          </w:tcPr>
          <w:p w14:paraId="60A4D4AB">
            <w:pPr>
              <w:adjustRightInd w:val="0"/>
              <w:snapToGrid w:val="0"/>
              <w:spacing w:line="360" w:lineRule="auto"/>
              <w:rPr>
                <w:rFonts w:hint="eastAsia" w:asciiTheme="minorEastAsia" w:hAnsiTheme="minorEastAsia" w:eastAsiaTheme="minorEastAsia"/>
                <w:kern w:val="0"/>
                <w:sz w:val="24"/>
              </w:rPr>
            </w:pPr>
          </w:p>
        </w:tc>
        <w:tc>
          <w:tcPr>
            <w:tcW w:w="2961" w:type="dxa"/>
          </w:tcPr>
          <w:p w14:paraId="37D2B734">
            <w:pPr>
              <w:adjustRightInd w:val="0"/>
              <w:snapToGrid w:val="0"/>
              <w:spacing w:line="360" w:lineRule="auto"/>
              <w:rPr>
                <w:rFonts w:hint="eastAsia" w:asciiTheme="minorEastAsia" w:hAnsiTheme="minorEastAsia" w:eastAsiaTheme="minorEastAsia"/>
                <w:kern w:val="0"/>
                <w:sz w:val="24"/>
              </w:rPr>
            </w:pPr>
          </w:p>
        </w:tc>
      </w:tr>
      <w:tr w14:paraId="002E62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6CA1BE01">
            <w:pPr>
              <w:adjustRightInd w:val="0"/>
              <w:snapToGrid w:val="0"/>
              <w:spacing w:line="360" w:lineRule="auto"/>
              <w:rPr>
                <w:rFonts w:hint="eastAsia" w:asciiTheme="minorEastAsia" w:hAnsiTheme="minorEastAsia" w:eastAsiaTheme="minorEastAsia"/>
                <w:kern w:val="0"/>
                <w:sz w:val="24"/>
              </w:rPr>
            </w:pPr>
          </w:p>
        </w:tc>
        <w:tc>
          <w:tcPr>
            <w:tcW w:w="2963" w:type="dxa"/>
          </w:tcPr>
          <w:p w14:paraId="161E988F">
            <w:pPr>
              <w:adjustRightInd w:val="0"/>
              <w:snapToGrid w:val="0"/>
              <w:spacing w:line="360" w:lineRule="auto"/>
              <w:rPr>
                <w:rFonts w:hint="eastAsia" w:asciiTheme="minorEastAsia" w:hAnsiTheme="minorEastAsia" w:eastAsiaTheme="minorEastAsia"/>
                <w:kern w:val="0"/>
                <w:sz w:val="24"/>
              </w:rPr>
            </w:pPr>
          </w:p>
        </w:tc>
        <w:tc>
          <w:tcPr>
            <w:tcW w:w="2439" w:type="dxa"/>
          </w:tcPr>
          <w:p w14:paraId="06A4B05A">
            <w:pPr>
              <w:adjustRightInd w:val="0"/>
              <w:snapToGrid w:val="0"/>
              <w:spacing w:line="360" w:lineRule="auto"/>
              <w:rPr>
                <w:rFonts w:hint="eastAsia" w:asciiTheme="minorEastAsia" w:hAnsiTheme="minorEastAsia" w:eastAsiaTheme="minorEastAsia"/>
                <w:kern w:val="0"/>
                <w:sz w:val="24"/>
              </w:rPr>
            </w:pPr>
          </w:p>
        </w:tc>
        <w:tc>
          <w:tcPr>
            <w:tcW w:w="2961" w:type="dxa"/>
          </w:tcPr>
          <w:p w14:paraId="46C73C64">
            <w:pPr>
              <w:adjustRightInd w:val="0"/>
              <w:snapToGrid w:val="0"/>
              <w:spacing w:line="360" w:lineRule="auto"/>
              <w:rPr>
                <w:rFonts w:hint="eastAsia" w:asciiTheme="minorEastAsia" w:hAnsiTheme="minorEastAsia" w:eastAsiaTheme="minorEastAsia"/>
                <w:kern w:val="0"/>
                <w:sz w:val="24"/>
              </w:rPr>
            </w:pPr>
          </w:p>
        </w:tc>
      </w:tr>
      <w:tr w14:paraId="534738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9C6488F">
            <w:pPr>
              <w:adjustRightInd w:val="0"/>
              <w:snapToGrid w:val="0"/>
              <w:spacing w:line="360" w:lineRule="auto"/>
              <w:rPr>
                <w:rFonts w:hint="eastAsia" w:asciiTheme="minorEastAsia" w:hAnsiTheme="minorEastAsia" w:eastAsiaTheme="minorEastAsia"/>
                <w:kern w:val="0"/>
                <w:sz w:val="24"/>
              </w:rPr>
            </w:pPr>
          </w:p>
        </w:tc>
        <w:tc>
          <w:tcPr>
            <w:tcW w:w="2963" w:type="dxa"/>
          </w:tcPr>
          <w:p w14:paraId="5D0E6914">
            <w:pPr>
              <w:adjustRightInd w:val="0"/>
              <w:snapToGrid w:val="0"/>
              <w:spacing w:line="360" w:lineRule="auto"/>
              <w:rPr>
                <w:rFonts w:hint="eastAsia" w:asciiTheme="minorEastAsia" w:hAnsiTheme="minorEastAsia" w:eastAsiaTheme="minorEastAsia"/>
                <w:kern w:val="0"/>
                <w:sz w:val="24"/>
              </w:rPr>
            </w:pPr>
          </w:p>
        </w:tc>
        <w:tc>
          <w:tcPr>
            <w:tcW w:w="2439" w:type="dxa"/>
          </w:tcPr>
          <w:p w14:paraId="1C65798F">
            <w:pPr>
              <w:adjustRightInd w:val="0"/>
              <w:snapToGrid w:val="0"/>
              <w:spacing w:line="360" w:lineRule="auto"/>
              <w:rPr>
                <w:rFonts w:hint="eastAsia" w:asciiTheme="minorEastAsia" w:hAnsiTheme="minorEastAsia" w:eastAsiaTheme="minorEastAsia"/>
                <w:kern w:val="0"/>
                <w:sz w:val="24"/>
              </w:rPr>
            </w:pPr>
          </w:p>
        </w:tc>
        <w:tc>
          <w:tcPr>
            <w:tcW w:w="2961" w:type="dxa"/>
          </w:tcPr>
          <w:p w14:paraId="2BCE75E0">
            <w:pPr>
              <w:adjustRightInd w:val="0"/>
              <w:snapToGrid w:val="0"/>
              <w:spacing w:line="360" w:lineRule="auto"/>
              <w:rPr>
                <w:rFonts w:hint="eastAsia" w:asciiTheme="minorEastAsia" w:hAnsiTheme="minorEastAsia" w:eastAsiaTheme="minorEastAsia"/>
                <w:kern w:val="0"/>
                <w:sz w:val="24"/>
              </w:rPr>
            </w:pPr>
          </w:p>
        </w:tc>
      </w:tr>
      <w:tr w14:paraId="5AB3BF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C4A2ECC">
            <w:pPr>
              <w:adjustRightInd w:val="0"/>
              <w:snapToGrid w:val="0"/>
              <w:spacing w:line="360" w:lineRule="auto"/>
              <w:rPr>
                <w:rFonts w:hint="eastAsia" w:asciiTheme="minorEastAsia" w:hAnsiTheme="minorEastAsia" w:eastAsiaTheme="minorEastAsia"/>
                <w:kern w:val="0"/>
                <w:sz w:val="24"/>
              </w:rPr>
            </w:pPr>
          </w:p>
        </w:tc>
        <w:tc>
          <w:tcPr>
            <w:tcW w:w="2963" w:type="dxa"/>
          </w:tcPr>
          <w:p w14:paraId="03D706DA">
            <w:pPr>
              <w:adjustRightInd w:val="0"/>
              <w:snapToGrid w:val="0"/>
              <w:spacing w:line="360" w:lineRule="auto"/>
              <w:rPr>
                <w:rFonts w:hint="eastAsia" w:asciiTheme="minorEastAsia" w:hAnsiTheme="minorEastAsia" w:eastAsiaTheme="minorEastAsia"/>
                <w:kern w:val="0"/>
                <w:sz w:val="24"/>
              </w:rPr>
            </w:pPr>
          </w:p>
        </w:tc>
        <w:tc>
          <w:tcPr>
            <w:tcW w:w="2439" w:type="dxa"/>
          </w:tcPr>
          <w:p w14:paraId="20D0242B">
            <w:pPr>
              <w:adjustRightInd w:val="0"/>
              <w:snapToGrid w:val="0"/>
              <w:spacing w:line="360" w:lineRule="auto"/>
              <w:rPr>
                <w:rFonts w:hint="eastAsia" w:asciiTheme="minorEastAsia" w:hAnsiTheme="minorEastAsia" w:eastAsiaTheme="minorEastAsia"/>
                <w:kern w:val="0"/>
                <w:sz w:val="24"/>
              </w:rPr>
            </w:pPr>
          </w:p>
        </w:tc>
        <w:tc>
          <w:tcPr>
            <w:tcW w:w="2961" w:type="dxa"/>
          </w:tcPr>
          <w:p w14:paraId="452E0EEC">
            <w:pPr>
              <w:adjustRightInd w:val="0"/>
              <w:snapToGrid w:val="0"/>
              <w:spacing w:line="360" w:lineRule="auto"/>
              <w:rPr>
                <w:rFonts w:hint="eastAsia" w:asciiTheme="minorEastAsia" w:hAnsiTheme="minorEastAsia" w:eastAsiaTheme="minorEastAsia"/>
                <w:kern w:val="0"/>
                <w:sz w:val="24"/>
              </w:rPr>
            </w:pPr>
          </w:p>
        </w:tc>
      </w:tr>
      <w:tr w14:paraId="1B19CF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D3F8905">
            <w:pPr>
              <w:adjustRightInd w:val="0"/>
              <w:snapToGrid w:val="0"/>
              <w:spacing w:line="360" w:lineRule="auto"/>
              <w:rPr>
                <w:rFonts w:hint="eastAsia" w:asciiTheme="minorEastAsia" w:hAnsiTheme="minorEastAsia" w:eastAsiaTheme="minorEastAsia"/>
                <w:kern w:val="0"/>
                <w:sz w:val="24"/>
              </w:rPr>
            </w:pPr>
          </w:p>
        </w:tc>
        <w:tc>
          <w:tcPr>
            <w:tcW w:w="2963" w:type="dxa"/>
          </w:tcPr>
          <w:p w14:paraId="523A3C7E">
            <w:pPr>
              <w:adjustRightInd w:val="0"/>
              <w:snapToGrid w:val="0"/>
              <w:spacing w:line="360" w:lineRule="auto"/>
              <w:rPr>
                <w:rFonts w:hint="eastAsia" w:asciiTheme="minorEastAsia" w:hAnsiTheme="minorEastAsia" w:eastAsiaTheme="minorEastAsia"/>
                <w:kern w:val="0"/>
                <w:sz w:val="24"/>
              </w:rPr>
            </w:pPr>
          </w:p>
        </w:tc>
        <w:tc>
          <w:tcPr>
            <w:tcW w:w="2439" w:type="dxa"/>
          </w:tcPr>
          <w:p w14:paraId="25AD0C3F">
            <w:pPr>
              <w:adjustRightInd w:val="0"/>
              <w:snapToGrid w:val="0"/>
              <w:spacing w:line="360" w:lineRule="auto"/>
              <w:rPr>
                <w:rFonts w:hint="eastAsia" w:asciiTheme="minorEastAsia" w:hAnsiTheme="minorEastAsia" w:eastAsiaTheme="minorEastAsia"/>
                <w:kern w:val="0"/>
                <w:sz w:val="24"/>
              </w:rPr>
            </w:pPr>
          </w:p>
        </w:tc>
        <w:tc>
          <w:tcPr>
            <w:tcW w:w="2961" w:type="dxa"/>
          </w:tcPr>
          <w:p w14:paraId="060030E7">
            <w:pPr>
              <w:adjustRightInd w:val="0"/>
              <w:snapToGrid w:val="0"/>
              <w:spacing w:line="360" w:lineRule="auto"/>
              <w:rPr>
                <w:rFonts w:hint="eastAsia" w:asciiTheme="minorEastAsia" w:hAnsiTheme="minorEastAsia" w:eastAsiaTheme="minorEastAsia"/>
                <w:kern w:val="0"/>
                <w:sz w:val="24"/>
              </w:rPr>
            </w:pPr>
          </w:p>
        </w:tc>
      </w:tr>
      <w:tr w14:paraId="7F49B8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5B2D8EF7">
            <w:pPr>
              <w:adjustRightInd w:val="0"/>
              <w:snapToGrid w:val="0"/>
              <w:spacing w:line="360" w:lineRule="auto"/>
              <w:rPr>
                <w:rFonts w:hint="eastAsia" w:asciiTheme="minorEastAsia" w:hAnsiTheme="minorEastAsia" w:eastAsiaTheme="minorEastAsia"/>
                <w:kern w:val="0"/>
                <w:sz w:val="24"/>
              </w:rPr>
            </w:pPr>
          </w:p>
        </w:tc>
        <w:tc>
          <w:tcPr>
            <w:tcW w:w="2963" w:type="dxa"/>
          </w:tcPr>
          <w:p w14:paraId="7A52D00F">
            <w:pPr>
              <w:adjustRightInd w:val="0"/>
              <w:snapToGrid w:val="0"/>
              <w:spacing w:line="360" w:lineRule="auto"/>
              <w:rPr>
                <w:rFonts w:hint="eastAsia" w:asciiTheme="minorEastAsia" w:hAnsiTheme="minorEastAsia" w:eastAsiaTheme="minorEastAsia"/>
                <w:kern w:val="0"/>
                <w:sz w:val="24"/>
              </w:rPr>
            </w:pPr>
          </w:p>
        </w:tc>
        <w:tc>
          <w:tcPr>
            <w:tcW w:w="2439" w:type="dxa"/>
          </w:tcPr>
          <w:p w14:paraId="7A1DBCB1">
            <w:pPr>
              <w:adjustRightInd w:val="0"/>
              <w:snapToGrid w:val="0"/>
              <w:spacing w:line="360" w:lineRule="auto"/>
              <w:rPr>
                <w:rFonts w:hint="eastAsia" w:asciiTheme="minorEastAsia" w:hAnsiTheme="minorEastAsia" w:eastAsiaTheme="minorEastAsia"/>
                <w:kern w:val="0"/>
                <w:sz w:val="24"/>
              </w:rPr>
            </w:pPr>
          </w:p>
        </w:tc>
        <w:tc>
          <w:tcPr>
            <w:tcW w:w="2961" w:type="dxa"/>
          </w:tcPr>
          <w:p w14:paraId="6BC0B5D1">
            <w:pPr>
              <w:adjustRightInd w:val="0"/>
              <w:snapToGrid w:val="0"/>
              <w:spacing w:line="360" w:lineRule="auto"/>
              <w:rPr>
                <w:rFonts w:hint="eastAsia" w:asciiTheme="minorEastAsia" w:hAnsiTheme="minorEastAsia" w:eastAsiaTheme="minorEastAsia"/>
                <w:kern w:val="0"/>
                <w:sz w:val="24"/>
              </w:rPr>
            </w:pPr>
          </w:p>
        </w:tc>
      </w:tr>
      <w:tr w14:paraId="492871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AF7DB96">
            <w:pPr>
              <w:adjustRightInd w:val="0"/>
              <w:snapToGrid w:val="0"/>
              <w:spacing w:line="360" w:lineRule="auto"/>
              <w:rPr>
                <w:rFonts w:hint="eastAsia" w:asciiTheme="minorEastAsia" w:hAnsiTheme="minorEastAsia" w:eastAsiaTheme="minorEastAsia"/>
                <w:kern w:val="0"/>
                <w:sz w:val="24"/>
              </w:rPr>
            </w:pPr>
          </w:p>
        </w:tc>
        <w:tc>
          <w:tcPr>
            <w:tcW w:w="2963" w:type="dxa"/>
          </w:tcPr>
          <w:p w14:paraId="11341FA2">
            <w:pPr>
              <w:adjustRightInd w:val="0"/>
              <w:snapToGrid w:val="0"/>
              <w:spacing w:line="360" w:lineRule="auto"/>
              <w:rPr>
                <w:rFonts w:hint="eastAsia" w:asciiTheme="minorEastAsia" w:hAnsiTheme="minorEastAsia" w:eastAsiaTheme="minorEastAsia"/>
                <w:kern w:val="0"/>
                <w:sz w:val="24"/>
              </w:rPr>
            </w:pPr>
          </w:p>
        </w:tc>
        <w:tc>
          <w:tcPr>
            <w:tcW w:w="2439" w:type="dxa"/>
          </w:tcPr>
          <w:p w14:paraId="46E31ED1">
            <w:pPr>
              <w:adjustRightInd w:val="0"/>
              <w:snapToGrid w:val="0"/>
              <w:spacing w:line="360" w:lineRule="auto"/>
              <w:rPr>
                <w:rFonts w:hint="eastAsia" w:asciiTheme="minorEastAsia" w:hAnsiTheme="minorEastAsia" w:eastAsiaTheme="minorEastAsia"/>
                <w:kern w:val="0"/>
                <w:sz w:val="24"/>
              </w:rPr>
            </w:pPr>
          </w:p>
        </w:tc>
        <w:tc>
          <w:tcPr>
            <w:tcW w:w="2961" w:type="dxa"/>
          </w:tcPr>
          <w:p w14:paraId="79C9E02C">
            <w:pPr>
              <w:adjustRightInd w:val="0"/>
              <w:snapToGrid w:val="0"/>
              <w:spacing w:line="360" w:lineRule="auto"/>
              <w:rPr>
                <w:rFonts w:hint="eastAsia" w:asciiTheme="minorEastAsia" w:hAnsiTheme="minorEastAsia" w:eastAsiaTheme="minorEastAsia"/>
                <w:kern w:val="0"/>
                <w:sz w:val="24"/>
              </w:rPr>
            </w:pPr>
          </w:p>
        </w:tc>
      </w:tr>
    </w:tbl>
    <w:p w14:paraId="214863C2">
      <w:pPr>
        <w:widowControl/>
        <w:jc w:val="left"/>
        <w:rPr>
          <w:rFonts w:hint="eastAsia" w:ascii="黑体" w:hAnsi="黑体" w:eastAsia="黑体"/>
          <w:bCs/>
          <w:szCs w:val="21"/>
        </w:rPr>
      </w:pPr>
      <w:r>
        <w:rPr>
          <w:rFonts w:ascii="黑体" w:hAnsi="黑体"/>
          <w:b/>
          <w:szCs w:val="21"/>
        </w:rPr>
        <w:br w:type="page"/>
      </w:r>
    </w:p>
    <w:p w14:paraId="488B35BD">
      <w:pPr>
        <w:pStyle w:val="5"/>
        <w:rPr>
          <w:sz w:val="21"/>
          <w:szCs w:val="21"/>
        </w:rPr>
      </w:pPr>
      <w:bookmarkStart w:id="127" w:name="_Toc3474"/>
      <w:bookmarkStart w:id="128" w:name="_Toc20651229"/>
      <w:bookmarkStart w:id="129" w:name="_Toc26810"/>
      <w:r>
        <w:rPr>
          <w:rFonts w:hint="eastAsia"/>
          <w:sz w:val="21"/>
          <w:szCs w:val="21"/>
        </w:rPr>
        <w:t>附表3 符合性审查合格投标人名单</w:t>
      </w:r>
      <w:bookmarkEnd w:id="127"/>
      <w:bookmarkEnd w:id="128"/>
      <w:bookmarkEnd w:id="129"/>
    </w:p>
    <w:p w14:paraId="274DF8E3">
      <w:pPr>
        <w:adjustRightInd w:val="0"/>
        <w:snapToGrid w:val="0"/>
        <w:spacing w:before="156" w:beforeLines="50" w:line="360" w:lineRule="auto"/>
        <w:jc w:val="center"/>
        <w:rPr>
          <w:rFonts w:hint="eastAsia" w:ascii="黑体" w:hAnsi="黑体" w:eastAsia="黑体"/>
          <w:b/>
          <w:sz w:val="28"/>
          <w:szCs w:val="28"/>
        </w:rPr>
      </w:pPr>
      <w:r>
        <w:rPr>
          <w:rFonts w:hint="eastAsia" w:ascii="黑体" w:hAnsi="黑体" w:eastAsia="黑体"/>
          <w:b/>
          <w:sz w:val="28"/>
          <w:szCs w:val="28"/>
        </w:rPr>
        <w:t>符合性审查合格投标人名单</w:t>
      </w:r>
    </w:p>
    <w:p w14:paraId="793B20A7">
      <w:pPr>
        <w:adjustRightInd w:val="0"/>
        <w:snapToGrid w:val="0"/>
        <w:spacing w:before="156" w:beforeLines="50" w:line="360" w:lineRule="auto"/>
        <w:rPr>
          <w:rFonts w:hint="eastAsia" w:ascii="华文中宋" w:hAnsi="华文中宋" w:eastAsia="华文中宋"/>
          <w:sz w:val="32"/>
          <w:szCs w:val="32"/>
        </w:rPr>
      </w:pPr>
      <w:r>
        <w:rPr>
          <w:rFonts w:hint="eastAsia" w:asciiTheme="minorEastAsia" w:hAnsiTheme="minorEastAsia" w:eastAsiaTheme="minorEastAsia"/>
          <w:szCs w:val="21"/>
        </w:rPr>
        <w:t>项目名称：                                        采购代理编号：</w:t>
      </w:r>
    </w:p>
    <w:tbl>
      <w:tblPr>
        <w:tblStyle w:val="2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721B5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4ED0ED94">
            <w:pPr>
              <w:jc w:val="center"/>
              <w:rPr>
                <w:b/>
                <w:kern w:val="0"/>
                <w:szCs w:val="21"/>
              </w:rPr>
            </w:pPr>
            <w:r>
              <w:rPr>
                <w:rFonts w:hint="eastAsia"/>
                <w:b/>
                <w:kern w:val="0"/>
                <w:szCs w:val="21"/>
              </w:rPr>
              <w:t>序号</w:t>
            </w:r>
          </w:p>
        </w:tc>
        <w:tc>
          <w:tcPr>
            <w:tcW w:w="7796" w:type="dxa"/>
            <w:vAlign w:val="center"/>
          </w:tcPr>
          <w:p w14:paraId="4CC55508">
            <w:pPr>
              <w:jc w:val="center"/>
              <w:rPr>
                <w:b/>
                <w:kern w:val="0"/>
                <w:szCs w:val="21"/>
              </w:rPr>
            </w:pPr>
            <w:r>
              <w:rPr>
                <w:rFonts w:hint="eastAsia"/>
                <w:b/>
                <w:kern w:val="0"/>
                <w:szCs w:val="21"/>
              </w:rPr>
              <w:t>合格投标人名称</w:t>
            </w:r>
          </w:p>
        </w:tc>
      </w:tr>
      <w:tr w14:paraId="730A44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BF34CED">
            <w:pPr>
              <w:adjustRightInd w:val="0"/>
              <w:snapToGrid w:val="0"/>
              <w:spacing w:line="360" w:lineRule="auto"/>
              <w:rPr>
                <w:rFonts w:hint="eastAsia" w:asciiTheme="minorEastAsia" w:hAnsiTheme="minorEastAsia" w:eastAsiaTheme="minorEastAsia"/>
                <w:kern w:val="0"/>
                <w:szCs w:val="21"/>
              </w:rPr>
            </w:pPr>
          </w:p>
        </w:tc>
        <w:tc>
          <w:tcPr>
            <w:tcW w:w="7796" w:type="dxa"/>
          </w:tcPr>
          <w:p w14:paraId="46F9C1AE">
            <w:pPr>
              <w:adjustRightInd w:val="0"/>
              <w:snapToGrid w:val="0"/>
              <w:spacing w:line="360" w:lineRule="auto"/>
              <w:rPr>
                <w:rFonts w:hint="eastAsia" w:asciiTheme="minorEastAsia" w:hAnsiTheme="minorEastAsia" w:eastAsiaTheme="minorEastAsia"/>
                <w:kern w:val="0"/>
                <w:szCs w:val="21"/>
              </w:rPr>
            </w:pPr>
          </w:p>
        </w:tc>
      </w:tr>
      <w:tr w14:paraId="367314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2F2870F">
            <w:pPr>
              <w:adjustRightInd w:val="0"/>
              <w:snapToGrid w:val="0"/>
              <w:spacing w:line="360" w:lineRule="auto"/>
              <w:rPr>
                <w:rFonts w:hint="eastAsia" w:asciiTheme="minorEastAsia" w:hAnsiTheme="minorEastAsia" w:eastAsiaTheme="minorEastAsia"/>
                <w:kern w:val="0"/>
                <w:sz w:val="24"/>
              </w:rPr>
            </w:pPr>
          </w:p>
        </w:tc>
        <w:tc>
          <w:tcPr>
            <w:tcW w:w="7796" w:type="dxa"/>
          </w:tcPr>
          <w:p w14:paraId="0A103300">
            <w:pPr>
              <w:adjustRightInd w:val="0"/>
              <w:snapToGrid w:val="0"/>
              <w:spacing w:line="360" w:lineRule="auto"/>
              <w:rPr>
                <w:rFonts w:hint="eastAsia" w:asciiTheme="minorEastAsia" w:hAnsiTheme="minorEastAsia" w:eastAsiaTheme="minorEastAsia"/>
                <w:kern w:val="0"/>
                <w:sz w:val="24"/>
              </w:rPr>
            </w:pPr>
          </w:p>
        </w:tc>
      </w:tr>
      <w:tr w14:paraId="734316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895963C">
            <w:pPr>
              <w:adjustRightInd w:val="0"/>
              <w:snapToGrid w:val="0"/>
              <w:spacing w:line="360" w:lineRule="auto"/>
              <w:rPr>
                <w:rFonts w:hint="eastAsia" w:asciiTheme="minorEastAsia" w:hAnsiTheme="minorEastAsia" w:eastAsiaTheme="minorEastAsia"/>
                <w:kern w:val="0"/>
                <w:sz w:val="24"/>
              </w:rPr>
            </w:pPr>
          </w:p>
        </w:tc>
        <w:tc>
          <w:tcPr>
            <w:tcW w:w="7796" w:type="dxa"/>
          </w:tcPr>
          <w:p w14:paraId="3205796D">
            <w:pPr>
              <w:adjustRightInd w:val="0"/>
              <w:snapToGrid w:val="0"/>
              <w:spacing w:line="360" w:lineRule="auto"/>
              <w:rPr>
                <w:rFonts w:hint="eastAsia" w:asciiTheme="minorEastAsia" w:hAnsiTheme="minorEastAsia" w:eastAsiaTheme="minorEastAsia"/>
                <w:kern w:val="0"/>
                <w:sz w:val="24"/>
              </w:rPr>
            </w:pPr>
          </w:p>
        </w:tc>
      </w:tr>
      <w:tr w14:paraId="6B9513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F763D3B">
            <w:pPr>
              <w:adjustRightInd w:val="0"/>
              <w:snapToGrid w:val="0"/>
              <w:spacing w:line="360" w:lineRule="auto"/>
              <w:rPr>
                <w:rFonts w:hint="eastAsia" w:asciiTheme="minorEastAsia" w:hAnsiTheme="minorEastAsia" w:eastAsiaTheme="minorEastAsia"/>
                <w:kern w:val="0"/>
                <w:sz w:val="24"/>
              </w:rPr>
            </w:pPr>
          </w:p>
        </w:tc>
        <w:tc>
          <w:tcPr>
            <w:tcW w:w="7796" w:type="dxa"/>
          </w:tcPr>
          <w:p w14:paraId="69EF7767">
            <w:pPr>
              <w:adjustRightInd w:val="0"/>
              <w:snapToGrid w:val="0"/>
              <w:spacing w:line="360" w:lineRule="auto"/>
              <w:rPr>
                <w:rFonts w:hint="eastAsia" w:asciiTheme="minorEastAsia" w:hAnsiTheme="minorEastAsia" w:eastAsiaTheme="minorEastAsia"/>
                <w:kern w:val="0"/>
                <w:sz w:val="24"/>
              </w:rPr>
            </w:pPr>
          </w:p>
        </w:tc>
      </w:tr>
      <w:tr w14:paraId="563943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E7B3392">
            <w:pPr>
              <w:adjustRightInd w:val="0"/>
              <w:snapToGrid w:val="0"/>
              <w:spacing w:line="360" w:lineRule="auto"/>
              <w:rPr>
                <w:rFonts w:hint="eastAsia" w:asciiTheme="minorEastAsia" w:hAnsiTheme="minorEastAsia" w:eastAsiaTheme="minorEastAsia"/>
                <w:kern w:val="0"/>
                <w:sz w:val="24"/>
              </w:rPr>
            </w:pPr>
          </w:p>
        </w:tc>
        <w:tc>
          <w:tcPr>
            <w:tcW w:w="7796" w:type="dxa"/>
          </w:tcPr>
          <w:p w14:paraId="05D73245">
            <w:pPr>
              <w:adjustRightInd w:val="0"/>
              <w:snapToGrid w:val="0"/>
              <w:spacing w:line="360" w:lineRule="auto"/>
              <w:rPr>
                <w:rFonts w:hint="eastAsia" w:asciiTheme="minorEastAsia" w:hAnsiTheme="minorEastAsia" w:eastAsiaTheme="minorEastAsia"/>
                <w:kern w:val="0"/>
                <w:sz w:val="24"/>
              </w:rPr>
            </w:pPr>
          </w:p>
        </w:tc>
      </w:tr>
      <w:tr w14:paraId="12F2E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DF7FC72">
            <w:pPr>
              <w:adjustRightInd w:val="0"/>
              <w:snapToGrid w:val="0"/>
              <w:spacing w:line="360" w:lineRule="auto"/>
              <w:rPr>
                <w:rFonts w:hint="eastAsia" w:asciiTheme="minorEastAsia" w:hAnsiTheme="minorEastAsia" w:eastAsiaTheme="minorEastAsia"/>
                <w:kern w:val="0"/>
                <w:sz w:val="24"/>
              </w:rPr>
            </w:pPr>
          </w:p>
        </w:tc>
        <w:tc>
          <w:tcPr>
            <w:tcW w:w="7796" w:type="dxa"/>
          </w:tcPr>
          <w:p w14:paraId="1AA5B6E8">
            <w:pPr>
              <w:adjustRightInd w:val="0"/>
              <w:snapToGrid w:val="0"/>
              <w:spacing w:line="360" w:lineRule="auto"/>
              <w:rPr>
                <w:rFonts w:hint="eastAsia" w:asciiTheme="minorEastAsia" w:hAnsiTheme="minorEastAsia" w:eastAsiaTheme="minorEastAsia"/>
                <w:kern w:val="0"/>
                <w:sz w:val="24"/>
              </w:rPr>
            </w:pPr>
          </w:p>
        </w:tc>
      </w:tr>
    </w:tbl>
    <w:p w14:paraId="1CD1988A">
      <w:pPr>
        <w:rPr>
          <w:w w:val="90"/>
        </w:rPr>
      </w:pPr>
    </w:p>
    <w:p w14:paraId="4E878094">
      <w:pPr>
        <w:rPr>
          <w:rFonts w:hint="eastAsia" w:ascii="黑体" w:hAnsi="黑体" w:eastAsia="黑体"/>
          <w:b/>
          <w:sz w:val="32"/>
          <w:szCs w:val="32"/>
        </w:rPr>
      </w:pPr>
    </w:p>
    <w:p w14:paraId="7043B56E">
      <w:pPr>
        <w:pStyle w:val="4"/>
        <w:adjustRightInd w:val="0"/>
        <w:snapToGrid w:val="0"/>
        <w:jc w:val="center"/>
        <w:rPr>
          <w:rFonts w:hint="eastAsia" w:ascii="黑体" w:hAnsi="华文中宋" w:eastAsia="黑体"/>
          <w:sz w:val="28"/>
          <w:szCs w:val="28"/>
        </w:rPr>
      </w:pPr>
      <w:r>
        <w:rPr>
          <w:rFonts w:ascii="黑体" w:hAnsi="黑体" w:eastAsia="黑体"/>
          <w:b w:val="0"/>
          <w:sz w:val="32"/>
        </w:rPr>
        <w:br w:type="page"/>
      </w:r>
      <w:bookmarkStart w:id="130" w:name="_Toc23932"/>
      <w:bookmarkStart w:id="131" w:name="_Toc7492"/>
      <w:r>
        <w:rPr>
          <w:rFonts w:hint="eastAsia" w:ascii="黑体" w:hAnsi="华文中宋" w:eastAsia="黑体"/>
          <w:sz w:val="28"/>
          <w:szCs w:val="28"/>
        </w:rPr>
        <w:t>第四节 投标文件的比较与评价</w:t>
      </w:r>
      <w:bookmarkEnd w:id="123"/>
      <w:bookmarkEnd w:id="130"/>
      <w:bookmarkEnd w:id="131"/>
    </w:p>
    <w:p w14:paraId="12BA7DA7">
      <w:pPr>
        <w:widowControl/>
        <w:adjustRightInd w:val="0"/>
        <w:snapToGrid w:val="0"/>
        <w:spacing w:before="156" w:beforeLines="50" w:line="360" w:lineRule="auto"/>
        <w:jc w:val="left"/>
        <w:rPr>
          <w:rFonts w:hint="eastAsia" w:ascii="黑体" w:hAnsi="黑体" w:eastAsia="黑体"/>
          <w:b/>
          <w:color w:val="000000" w:themeColor="text1"/>
          <w:sz w:val="24"/>
          <w14:textFill>
            <w14:solidFill>
              <w14:schemeClr w14:val="tx1"/>
            </w14:solidFill>
          </w14:textFill>
        </w:rPr>
      </w:pPr>
      <w:r>
        <w:rPr>
          <w:rFonts w:hint="eastAsia" w:ascii="黑体" w:hAnsi="黑体" w:eastAsia="黑体"/>
          <w:b/>
          <w:color w:val="000000" w:themeColor="text1"/>
          <w:sz w:val="24"/>
          <w14:textFill>
            <w14:solidFill>
              <w14:schemeClr w14:val="tx1"/>
            </w14:solidFill>
          </w14:textFill>
        </w:rPr>
        <w:t>1.</w:t>
      </w:r>
      <w:r>
        <w:rPr>
          <w:rFonts w:hint="eastAsia"/>
          <w:color w:val="000000" w:themeColor="text1"/>
          <w14:textFill>
            <w14:solidFill>
              <w14:schemeClr w14:val="tx1"/>
            </w14:solidFill>
          </w14:textFill>
        </w:rPr>
        <w:t xml:space="preserve"> </w:t>
      </w:r>
      <w:r>
        <w:rPr>
          <w:rFonts w:hint="eastAsia" w:ascii="黑体" w:hAnsi="黑体" w:eastAsia="黑体"/>
          <w:b/>
          <w:color w:val="000000" w:themeColor="text1"/>
          <w:sz w:val="24"/>
          <w14:textFill>
            <w14:solidFill>
              <w14:schemeClr w14:val="tx1"/>
            </w14:solidFill>
          </w14:textFill>
        </w:rPr>
        <w:t>综合评分法</w:t>
      </w:r>
    </w:p>
    <w:p w14:paraId="779823D7">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14:paraId="6B982920">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4A4D5EC9">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1.3未通过符合性审查的投标文件不得进入比较与评价。</w:t>
      </w:r>
    </w:p>
    <w:p w14:paraId="2B61362C">
      <w:pPr>
        <w:adjustRightInd w:val="0"/>
        <w:snapToGrid w:val="0"/>
        <w:spacing w:before="156" w:beforeLines="50" w:line="360" w:lineRule="auto"/>
        <w:jc w:val="left"/>
        <w:rPr>
          <w:rFonts w:hint="eastAsia"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2.</w:t>
      </w:r>
      <w:r>
        <w:rPr>
          <w:rFonts w:hint="eastAsia"/>
          <w:color w:val="000000" w:themeColor="text1"/>
          <w14:textFill>
            <w14:solidFill>
              <w14:schemeClr w14:val="tx1"/>
            </w14:solidFill>
          </w14:textFill>
        </w:rPr>
        <w:t xml:space="preserve"> </w:t>
      </w:r>
      <w:r>
        <w:rPr>
          <w:rFonts w:hint="eastAsia" w:ascii="黑体" w:hAnsi="黑体" w:eastAsia="黑体"/>
          <w:b/>
          <w:bCs/>
          <w:color w:val="000000" w:themeColor="text1"/>
          <w:sz w:val="24"/>
          <w14:textFill>
            <w14:solidFill>
              <w14:schemeClr w14:val="tx1"/>
            </w14:solidFill>
          </w14:textFill>
        </w:rPr>
        <w:t>投标报价的算术修正及政府采购政策调整</w:t>
      </w:r>
    </w:p>
    <w:p w14:paraId="2D531C98">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2.1如果有算术错误，投标报价将按本章第二节第4.2款、第4.3款规定进行算术修正。</w:t>
      </w:r>
    </w:p>
    <w:p w14:paraId="06B30F5D">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2.2需落实政府采购政策（价格评审优惠）的，按第二章“投标须知”及本章第二节第</w:t>
      </w:r>
      <w:r>
        <w:rPr>
          <w:rFonts w:asciiTheme="minorEastAsia" w:hAnsiTheme="minorEastAsia" w:eastAsiaTheme="minorEastAsia"/>
          <w:bCs/>
          <w:color w:val="000000" w:themeColor="text1"/>
          <w:szCs w:val="21"/>
          <w14:textFill>
            <w14:solidFill>
              <w14:schemeClr w14:val="tx1"/>
            </w14:solidFill>
          </w14:textFill>
        </w:rPr>
        <w:t>5.</w:t>
      </w:r>
      <w:r>
        <w:rPr>
          <w:rFonts w:hint="eastAsia" w:asciiTheme="minorEastAsia" w:hAnsiTheme="minorEastAsia" w:eastAsiaTheme="minorEastAsia"/>
          <w:bCs/>
          <w:color w:val="000000" w:themeColor="text1"/>
          <w:szCs w:val="21"/>
          <w14:textFill>
            <w14:solidFill>
              <w14:schemeClr w14:val="tx1"/>
            </w14:solidFill>
          </w14:textFill>
        </w:rPr>
        <w:t>4（1）项的相关规定进行价格调整。</w:t>
      </w:r>
    </w:p>
    <w:p w14:paraId="22ED32B3">
      <w:pPr>
        <w:adjustRightInd w:val="0"/>
        <w:snapToGrid w:val="0"/>
        <w:spacing w:before="156" w:beforeLines="50" w:line="360" w:lineRule="auto"/>
        <w:ind w:firstLine="420" w:firstLineChars="200"/>
        <w:jc w:val="left"/>
        <w:rPr>
          <w:rFonts w:hint="eastAsia" w:asciiTheme="minorEastAsia" w:hAnsiTheme="minorEastAsia" w:eastAsiaTheme="minorEastAsia"/>
          <w:bCs/>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2.3按本章本节第2.1款、第2.2款规定，以修正或调整后的价格确定投标人的投标报价和评标基准价，用于投标报价评价。</w:t>
      </w:r>
    </w:p>
    <w:p w14:paraId="0CE0888C">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3.</w:t>
      </w:r>
      <w:r>
        <w:rPr>
          <w:rFonts w:hint="eastAsia"/>
        </w:rPr>
        <w:t xml:space="preserve"> </w:t>
      </w:r>
      <w:r>
        <w:rPr>
          <w:rFonts w:hint="eastAsia" w:ascii="黑体" w:hAnsi="黑体" w:eastAsia="黑体"/>
          <w:b/>
          <w:bCs/>
          <w:sz w:val="24"/>
        </w:rPr>
        <w:t>投标报价评价</w:t>
      </w:r>
    </w:p>
    <w:p w14:paraId="595B11C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3.1投标报价评价：价格分应当采用低价优先法计算，即满足招标文件要求且投标价格最低的投标报价为评标基准价，其价格分为满分（报价权重分）。其他投标人的价格分统一按照下列公式计算：</w:t>
      </w:r>
    </w:p>
    <w:p w14:paraId="29D730C6">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投标报价得分=（评标基准价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／投标报价</w:t>
      </w:r>
      <w:r>
        <w:rPr>
          <w:rFonts w:hint="eastAsia" w:asciiTheme="minorEastAsia" w:hAnsiTheme="minorEastAsia" w:eastAsiaTheme="minorEastAsia"/>
          <w:szCs w:val="21"/>
          <w:vertAlign w:val="subscript"/>
        </w:rPr>
        <w:t>修正或调整</w:t>
      </w:r>
      <w:r>
        <w:rPr>
          <w:rFonts w:hint="eastAsia" w:asciiTheme="minorEastAsia" w:hAnsiTheme="minorEastAsia" w:eastAsiaTheme="minorEastAsia"/>
          <w:szCs w:val="21"/>
        </w:rPr>
        <w:t>） × 报价权重分</w:t>
      </w:r>
    </w:p>
    <w:p w14:paraId="1745CFB4">
      <w:pPr>
        <w:adjustRightInd w:val="0"/>
        <w:snapToGrid w:val="0"/>
        <w:spacing w:before="156" w:beforeLines="50" w:line="360" w:lineRule="auto"/>
        <w:jc w:val="left"/>
        <w:rPr>
          <w:rFonts w:hint="eastAsia" w:ascii="黑体" w:hAnsi="黑体" w:eastAsia="黑体"/>
          <w:sz w:val="24"/>
        </w:rPr>
      </w:pPr>
      <w:r>
        <w:rPr>
          <w:rFonts w:hint="eastAsia" w:ascii="黑体" w:hAnsi="黑体" w:eastAsia="黑体"/>
          <w:bCs/>
          <w:sz w:val="24"/>
        </w:rPr>
        <w:t>4.</w:t>
      </w:r>
      <w:r>
        <w:rPr>
          <w:rFonts w:hint="eastAsia" w:ascii="黑体" w:hAnsi="黑体" w:eastAsia="黑体"/>
          <w:sz w:val="24"/>
        </w:rPr>
        <w:t>技术、商务等评分项响应评价及政府采购政策加分</w:t>
      </w:r>
    </w:p>
    <w:p w14:paraId="37307B42">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4.1技术、商务等评分项响应评分。按</w:t>
      </w:r>
      <w:r>
        <w:rPr>
          <w:rFonts w:hint="eastAsia" w:asciiTheme="minorEastAsia" w:hAnsiTheme="minorEastAsia" w:eastAsiaTheme="minorEastAsia"/>
          <w:bCs/>
          <w:color w:val="000000" w:themeColor="text1"/>
          <w:szCs w:val="21"/>
          <w14:textFill>
            <w14:solidFill>
              <w14:schemeClr w14:val="tx1"/>
            </w14:solidFill>
          </w14:textFill>
        </w:rPr>
        <w:t>本章</w:t>
      </w:r>
      <w:r>
        <w:rPr>
          <w:rFonts w:hint="eastAsia" w:asciiTheme="minorEastAsia" w:hAnsiTheme="minorEastAsia" w:eastAsiaTheme="minorEastAsia"/>
          <w:szCs w:val="21"/>
        </w:rPr>
        <w:t>本节附页1“评标方法及标准表”规定的评标因素和标准，对技术、商务等评分项计算得分。</w:t>
      </w:r>
    </w:p>
    <w:p w14:paraId="092AD9E8">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14:paraId="1E0B48E8">
      <w:pPr>
        <w:adjustRightInd w:val="0"/>
        <w:snapToGrid w:val="0"/>
        <w:spacing w:before="156" w:beforeLines="50" w:line="360" w:lineRule="auto"/>
        <w:jc w:val="left"/>
        <w:rPr>
          <w:rFonts w:hint="eastAsia" w:ascii="黑体" w:hAnsi="黑体" w:eastAsia="黑体"/>
          <w:b/>
          <w:sz w:val="24"/>
        </w:rPr>
      </w:pPr>
      <w:r>
        <w:rPr>
          <w:rFonts w:hint="eastAsia" w:ascii="黑体" w:hAnsi="黑体" w:eastAsia="黑体"/>
          <w:b/>
          <w:sz w:val="24"/>
        </w:rPr>
        <w:t>5.评标总得分</w:t>
      </w:r>
    </w:p>
    <w:p w14:paraId="434513D9">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5.1评标总得分为投标报价、技术、商务等评分项得分(含优先采购政策加分)之和。</w:t>
      </w:r>
    </w:p>
    <w:p w14:paraId="4AA32F5B">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评标总得分＝A</w:t>
      </w:r>
      <w:r>
        <w:rPr>
          <w:rFonts w:hint="eastAsia" w:asciiTheme="minorEastAsia" w:hAnsiTheme="minorEastAsia" w:eastAsiaTheme="minorEastAsia"/>
          <w:szCs w:val="21"/>
          <w:vertAlign w:val="subscript"/>
        </w:rPr>
        <w:t>投标报价得分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技术项得分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商务项得分</w:t>
      </w:r>
      <w:r>
        <w:rPr>
          <w:rFonts w:hint="eastAsia" w:asciiTheme="minorEastAsia" w:hAnsiTheme="minorEastAsia" w:eastAsiaTheme="minorEastAsia"/>
          <w:szCs w:val="21"/>
        </w:rPr>
        <w:t>＋A</w:t>
      </w:r>
      <w:r>
        <w:rPr>
          <w:rFonts w:hint="eastAsia" w:asciiTheme="minorEastAsia" w:hAnsiTheme="minorEastAsia" w:eastAsiaTheme="minorEastAsia"/>
          <w:szCs w:val="21"/>
          <w:vertAlign w:val="subscript"/>
        </w:rPr>
        <w:t>优先采购加分</w:t>
      </w:r>
    </w:p>
    <w:p w14:paraId="0E07A05C">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5.2评分分值计算保留小数点后两位，小数点后第三位“四舍五入”。</w:t>
      </w:r>
    </w:p>
    <w:p w14:paraId="4A79EAB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asciiTheme="minorEastAsia" w:hAnsiTheme="minorEastAsia" w:eastAsiaTheme="minorEastAsia"/>
          <w:szCs w:val="21"/>
        </w:rPr>
        <w:t>评标时，评标委员会成员应当独立对满足招标文件全部实质性要求投标人的</w:t>
      </w:r>
      <w:r>
        <w:rPr>
          <w:rFonts w:hint="eastAsia" w:asciiTheme="minorEastAsia" w:hAnsiTheme="minorEastAsia" w:eastAsiaTheme="minorEastAsia"/>
          <w:bCs/>
          <w:szCs w:val="21"/>
        </w:rPr>
        <w:t>投标文件</w:t>
      </w:r>
      <w:r>
        <w:rPr>
          <w:rFonts w:hint="eastAsia" w:asciiTheme="minorEastAsia" w:hAnsiTheme="minorEastAsia" w:eastAsiaTheme="minorEastAsia"/>
          <w:szCs w:val="21"/>
        </w:rPr>
        <w:t>进行评价、评分，然后汇总每个投标人每项评分因素的得分。每个投标人的最终得分为所有评标委员会成员评分的算术平均值。</w:t>
      </w:r>
    </w:p>
    <w:p w14:paraId="11A1B0A0">
      <w:pPr>
        <w:adjustRightInd w:val="0"/>
        <w:snapToGrid w:val="0"/>
        <w:spacing w:before="156" w:beforeLines="50" w:line="360" w:lineRule="auto"/>
        <w:jc w:val="left"/>
        <w:rPr>
          <w:rFonts w:hint="eastAsia" w:ascii="黑体" w:hAnsi="黑体" w:eastAsia="黑体"/>
          <w:b/>
          <w:bCs/>
          <w:sz w:val="24"/>
        </w:rPr>
      </w:pPr>
      <w:r>
        <w:rPr>
          <w:rFonts w:hint="eastAsia" w:ascii="黑体" w:hAnsi="黑体" w:eastAsia="黑体"/>
          <w:b/>
          <w:bCs/>
          <w:sz w:val="24"/>
        </w:rPr>
        <w:t>6.中标候选人的推荐方法</w:t>
      </w:r>
    </w:p>
    <w:p w14:paraId="709D5AF8">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12CE7B50">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r>
        <w:rPr>
          <w:rFonts w:hint="eastAsia" w:asciiTheme="minorEastAsia" w:hAnsiTheme="minorEastAsia" w:eastAsiaTheme="minorEastAsia"/>
          <w:bCs/>
          <w:szCs w:val="21"/>
        </w:rPr>
        <w:t>6.2得分且投标报价相同的并列，按本章第二节规定确定中标候选人。</w:t>
      </w:r>
    </w:p>
    <w:p w14:paraId="2C7AD9FD">
      <w:pPr>
        <w:adjustRightInd w:val="0"/>
        <w:snapToGrid w:val="0"/>
        <w:spacing w:before="156" w:beforeLines="50" w:line="360" w:lineRule="auto"/>
        <w:ind w:firstLine="420" w:firstLineChars="200"/>
        <w:jc w:val="left"/>
        <w:rPr>
          <w:rFonts w:hint="eastAsia" w:asciiTheme="minorEastAsia" w:hAnsiTheme="minorEastAsia" w:eastAsiaTheme="minorEastAsia"/>
          <w:bCs/>
          <w:szCs w:val="21"/>
        </w:rPr>
      </w:pPr>
    </w:p>
    <w:p w14:paraId="79E1001F">
      <w:pPr>
        <w:widowControl/>
        <w:jc w:val="left"/>
        <w:rPr>
          <w:rFonts w:hint="eastAsia" w:asciiTheme="minorEastAsia" w:hAnsiTheme="minorEastAsia" w:eastAsiaTheme="minorEastAsia"/>
          <w:bCs/>
          <w:szCs w:val="21"/>
        </w:rPr>
      </w:pPr>
      <w:r>
        <w:rPr>
          <w:rFonts w:asciiTheme="minorEastAsia" w:hAnsiTheme="minorEastAsia" w:eastAsiaTheme="minorEastAsia"/>
          <w:bCs/>
          <w:szCs w:val="21"/>
        </w:rPr>
        <w:br w:type="page"/>
      </w:r>
    </w:p>
    <w:p w14:paraId="466E0567">
      <w:pPr>
        <w:spacing w:before="256" w:line="228" w:lineRule="auto"/>
        <w:ind w:left="420"/>
        <w:rPr>
          <w:rFonts w:ascii="宋体" w:hAnsi="宋体"/>
          <w:bCs/>
          <w:color w:val="auto"/>
          <w:szCs w:val="21"/>
          <w:highlight w:val="none"/>
        </w:rPr>
      </w:pPr>
      <w:bookmarkStart w:id="132" w:name="_Hlk176874850"/>
      <w:r>
        <w:rPr>
          <w:rFonts w:ascii="宋体" w:hAnsi="宋体"/>
          <w:bCs/>
          <w:color w:val="auto"/>
          <w:szCs w:val="21"/>
          <w:highlight w:val="none"/>
        </w:rPr>
        <w:t>附页 1 评标方法及标准表</w:t>
      </w:r>
    </w:p>
    <w:p w14:paraId="2209031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1.评标方法：综合评分法，即投标文件能够最大限度的满足招标文件规定的各项综合评价标</w:t>
      </w:r>
    </w:p>
    <w:p w14:paraId="665BD00A">
      <w:pPr>
        <w:adjustRightInd w:val="0"/>
        <w:snapToGrid w:val="0"/>
        <w:spacing w:before="156" w:beforeLines="50" w:line="360"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准且经评审得分最高的供应商为中标候选人的评标方法。</w:t>
      </w:r>
    </w:p>
    <w:tbl>
      <w:tblPr>
        <w:tblStyle w:val="28"/>
        <w:tblpPr w:leftFromText="180" w:rightFromText="180" w:vertAnchor="text" w:horzAnchor="page" w:tblpX="1622" w:tblpY="403"/>
        <w:tblOverlap w:val="never"/>
        <w:tblW w:w="883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85"/>
        <w:gridCol w:w="3245"/>
      </w:tblGrid>
      <w:tr w14:paraId="3ADE51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8830" w:type="dxa"/>
            <w:gridSpan w:val="2"/>
            <w:noWrap w:val="0"/>
            <w:vAlign w:val="top"/>
          </w:tcPr>
          <w:p w14:paraId="1A6D631F">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综合评分法</w:t>
            </w:r>
          </w:p>
        </w:tc>
      </w:tr>
      <w:tr w14:paraId="4B6CB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5585" w:type="dxa"/>
            <w:noWrap w:val="0"/>
            <w:vAlign w:val="top"/>
          </w:tcPr>
          <w:p w14:paraId="424FF089">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采购项目定标方式</w:t>
            </w:r>
          </w:p>
        </w:tc>
        <w:tc>
          <w:tcPr>
            <w:tcW w:w="3245" w:type="dxa"/>
            <w:noWrap w:val="0"/>
            <w:vAlign w:val="top"/>
          </w:tcPr>
          <w:p w14:paraId="0F334217">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综合评分法</w:t>
            </w:r>
          </w:p>
        </w:tc>
      </w:tr>
      <w:tr w14:paraId="12CA17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5585" w:type="dxa"/>
            <w:noWrap w:val="0"/>
            <w:vAlign w:val="top"/>
          </w:tcPr>
          <w:p w14:paraId="75AB177B">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适用范围</w:t>
            </w:r>
          </w:p>
        </w:tc>
        <w:tc>
          <w:tcPr>
            <w:tcW w:w="3245" w:type="dxa"/>
            <w:noWrap w:val="0"/>
            <w:vAlign w:val="top"/>
          </w:tcPr>
          <w:p w14:paraId="532BCC5B">
            <w:pPr>
              <w:widowControl/>
              <w:ind w:left="0" w:leftChars="0" w:firstLine="0" w:firstLineChars="0"/>
              <w:jc w:val="center"/>
              <w:rPr>
                <w:rFonts w:ascii="宋体" w:hAnsi="宋体"/>
                <w:b w:val="0"/>
                <w:bCs/>
                <w:color w:val="auto"/>
                <w:szCs w:val="21"/>
                <w:highlight w:val="none"/>
              </w:rPr>
            </w:pPr>
          </w:p>
        </w:tc>
      </w:tr>
      <w:tr w14:paraId="3AB3F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8830" w:type="dxa"/>
            <w:gridSpan w:val="2"/>
            <w:noWrap w:val="0"/>
            <w:vAlign w:val="top"/>
          </w:tcPr>
          <w:p w14:paraId="11787239">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评审因素及权值</w:t>
            </w:r>
          </w:p>
        </w:tc>
      </w:tr>
      <w:tr w14:paraId="3052C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5585" w:type="dxa"/>
            <w:noWrap w:val="0"/>
            <w:vAlign w:val="top"/>
          </w:tcPr>
          <w:p w14:paraId="78A9422D">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评审因素</w:t>
            </w:r>
          </w:p>
        </w:tc>
        <w:tc>
          <w:tcPr>
            <w:tcW w:w="3245" w:type="dxa"/>
            <w:noWrap w:val="0"/>
            <w:vAlign w:val="top"/>
          </w:tcPr>
          <w:p w14:paraId="0C2A326E">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权值范围</w:t>
            </w:r>
          </w:p>
        </w:tc>
      </w:tr>
      <w:tr w14:paraId="6167A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4" w:hRule="atLeast"/>
        </w:trPr>
        <w:tc>
          <w:tcPr>
            <w:tcW w:w="5585" w:type="dxa"/>
            <w:noWrap w:val="0"/>
            <w:vAlign w:val="top"/>
          </w:tcPr>
          <w:p w14:paraId="67895C5D">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价格部分（K1）</w:t>
            </w:r>
          </w:p>
        </w:tc>
        <w:tc>
          <w:tcPr>
            <w:tcW w:w="3245" w:type="dxa"/>
            <w:noWrap w:val="0"/>
            <w:vAlign w:val="top"/>
          </w:tcPr>
          <w:p w14:paraId="72A1AF46">
            <w:pPr>
              <w:widowControl/>
              <w:ind w:left="0" w:leftChars="0" w:firstLine="0" w:firstLineChars="0"/>
              <w:jc w:val="center"/>
              <w:rPr>
                <w:rFonts w:hint="eastAsia" w:ascii="宋体" w:hAnsi="宋体"/>
                <w:b w:val="0"/>
                <w:bCs/>
                <w:color w:val="auto"/>
                <w:szCs w:val="21"/>
                <w:highlight w:val="none"/>
                <w:lang w:eastAsia="zh-CN"/>
              </w:rPr>
            </w:pPr>
            <w:r>
              <w:rPr>
                <w:rFonts w:ascii="宋体" w:hAnsi="宋体"/>
                <w:b w:val="0"/>
                <w:bCs/>
                <w:color w:val="auto"/>
                <w:szCs w:val="21"/>
                <w:highlight w:val="none"/>
              </w:rPr>
              <w:t>0.1</w:t>
            </w:r>
            <w:r>
              <w:rPr>
                <w:rFonts w:hint="eastAsia" w:ascii="宋体" w:hAnsi="宋体"/>
                <w:b w:val="0"/>
                <w:bCs/>
                <w:color w:val="auto"/>
                <w:szCs w:val="21"/>
                <w:highlight w:val="none"/>
                <w:lang w:val="en-US" w:eastAsia="zh-CN"/>
              </w:rPr>
              <w:t>0</w:t>
            </w:r>
          </w:p>
        </w:tc>
      </w:tr>
      <w:tr w14:paraId="452597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5585" w:type="dxa"/>
            <w:noWrap w:val="0"/>
            <w:vAlign w:val="top"/>
          </w:tcPr>
          <w:p w14:paraId="47436F85">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技术部分（K2）</w:t>
            </w:r>
          </w:p>
        </w:tc>
        <w:tc>
          <w:tcPr>
            <w:tcW w:w="3245" w:type="dxa"/>
            <w:noWrap w:val="0"/>
            <w:vAlign w:val="top"/>
          </w:tcPr>
          <w:p w14:paraId="21301C42">
            <w:pPr>
              <w:widowControl/>
              <w:ind w:left="0" w:leftChars="0" w:firstLine="0" w:firstLineChars="0"/>
              <w:jc w:val="center"/>
              <w:rPr>
                <w:rFonts w:hint="default" w:ascii="宋体" w:hAnsi="宋体"/>
                <w:b w:val="0"/>
                <w:bCs/>
                <w:color w:val="auto"/>
                <w:szCs w:val="21"/>
                <w:highlight w:val="none"/>
                <w:lang w:val="en-US" w:eastAsia="zh-CN"/>
              </w:rPr>
            </w:pPr>
            <w:r>
              <w:rPr>
                <w:rFonts w:ascii="宋体" w:hAnsi="宋体"/>
                <w:b w:val="0"/>
                <w:bCs/>
                <w:color w:val="auto"/>
                <w:szCs w:val="21"/>
                <w:highlight w:val="none"/>
              </w:rPr>
              <w:t>0.</w:t>
            </w:r>
            <w:r>
              <w:rPr>
                <w:rFonts w:hint="eastAsia" w:ascii="宋体" w:hAnsi="宋体"/>
                <w:b w:val="0"/>
                <w:bCs/>
                <w:color w:val="auto"/>
                <w:szCs w:val="21"/>
                <w:highlight w:val="none"/>
                <w:lang w:val="en-US" w:eastAsia="zh-CN"/>
              </w:rPr>
              <w:t>50</w:t>
            </w:r>
          </w:p>
        </w:tc>
      </w:tr>
      <w:tr w14:paraId="3326C9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5585" w:type="dxa"/>
            <w:noWrap w:val="0"/>
            <w:vAlign w:val="top"/>
          </w:tcPr>
          <w:p w14:paraId="6CDAFDA9">
            <w:pPr>
              <w:widowControl/>
              <w:ind w:left="0" w:leftChars="0" w:firstLine="0" w:firstLineChars="0"/>
              <w:jc w:val="center"/>
              <w:rPr>
                <w:rFonts w:ascii="宋体" w:hAnsi="宋体"/>
                <w:b w:val="0"/>
                <w:bCs/>
                <w:color w:val="auto"/>
                <w:szCs w:val="21"/>
                <w:highlight w:val="none"/>
              </w:rPr>
            </w:pPr>
            <w:r>
              <w:rPr>
                <w:rFonts w:ascii="宋体" w:hAnsi="宋体"/>
                <w:b w:val="0"/>
                <w:bCs/>
                <w:color w:val="auto"/>
                <w:szCs w:val="21"/>
                <w:highlight w:val="none"/>
              </w:rPr>
              <w:t>商务部分（K3）</w:t>
            </w:r>
          </w:p>
        </w:tc>
        <w:tc>
          <w:tcPr>
            <w:tcW w:w="3245" w:type="dxa"/>
            <w:noWrap w:val="0"/>
            <w:vAlign w:val="top"/>
          </w:tcPr>
          <w:p w14:paraId="267C8AE1">
            <w:pPr>
              <w:widowControl/>
              <w:ind w:left="0" w:leftChars="0" w:firstLine="0" w:firstLineChars="0"/>
              <w:jc w:val="center"/>
              <w:rPr>
                <w:rFonts w:hint="default" w:ascii="宋体" w:hAnsi="宋体"/>
                <w:b w:val="0"/>
                <w:bCs/>
                <w:color w:val="auto"/>
                <w:szCs w:val="21"/>
                <w:highlight w:val="none"/>
                <w:lang w:val="en-US" w:eastAsia="zh-CN"/>
              </w:rPr>
            </w:pPr>
            <w:r>
              <w:rPr>
                <w:rFonts w:ascii="宋体" w:hAnsi="宋体"/>
                <w:b w:val="0"/>
                <w:bCs/>
                <w:color w:val="auto"/>
                <w:szCs w:val="21"/>
                <w:highlight w:val="none"/>
              </w:rPr>
              <w:t>0.</w:t>
            </w:r>
            <w:r>
              <w:rPr>
                <w:rFonts w:hint="eastAsia" w:ascii="宋体" w:hAnsi="宋体"/>
                <w:b w:val="0"/>
                <w:bCs/>
                <w:color w:val="auto"/>
                <w:szCs w:val="21"/>
                <w:highlight w:val="none"/>
                <w:lang w:val="en-US" w:eastAsia="zh-CN"/>
              </w:rPr>
              <w:t>40</w:t>
            </w:r>
          </w:p>
        </w:tc>
      </w:tr>
    </w:tbl>
    <w:p w14:paraId="6071B32F">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2.权值的取值范围见下表。</w:t>
      </w:r>
    </w:p>
    <w:p w14:paraId="0B1A903A">
      <w:pPr>
        <w:adjustRightInd w:val="0"/>
        <w:snapToGrid w:val="0"/>
        <w:spacing w:before="156" w:beforeLines="50" w:line="360" w:lineRule="auto"/>
        <w:ind w:firstLine="420" w:firstLineChars="200"/>
        <w:jc w:val="lef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3、综合评分表</w:t>
      </w:r>
      <w:r>
        <w:rPr>
          <w:rFonts w:hint="eastAsia" w:ascii="宋体" w:hAnsi="宋体" w:eastAsia="宋体" w:cs="宋体"/>
          <w:color w:val="auto"/>
          <w:kern w:val="0"/>
          <w:szCs w:val="21"/>
          <w:highlight w:val="none"/>
          <w:lang w:eastAsia="zh-CN"/>
        </w:rPr>
        <w:t>。</w:t>
      </w:r>
    </w:p>
    <w:tbl>
      <w:tblPr>
        <w:tblStyle w:val="28"/>
        <w:tblW w:w="887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93"/>
        <w:gridCol w:w="2022"/>
        <w:gridCol w:w="5764"/>
      </w:tblGrid>
      <w:tr w14:paraId="55F91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1093" w:type="dxa"/>
            <w:tcBorders>
              <w:bottom w:val="single" w:color="000000" w:sz="4" w:space="0"/>
            </w:tcBorders>
            <w:noWrap w:val="0"/>
            <w:vAlign w:val="center"/>
          </w:tcPr>
          <w:p w14:paraId="2F85F105">
            <w:pPr>
              <w:widowControl/>
              <w:ind w:left="0" w:leftChars="0" w:firstLine="0" w:firstLineChars="0"/>
              <w:jc w:val="center"/>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序号</w:t>
            </w:r>
          </w:p>
        </w:tc>
        <w:tc>
          <w:tcPr>
            <w:tcW w:w="2022" w:type="dxa"/>
            <w:tcBorders>
              <w:bottom w:val="single" w:color="000000" w:sz="4" w:space="0"/>
            </w:tcBorders>
            <w:noWrap w:val="0"/>
            <w:vAlign w:val="center"/>
          </w:tcPr>
          <w:p w14:paraId="243FC066">
            <w:pPr>
              <w:widowControl/>
              <w:ind w:left="0" w:leftChars="0" w:firstLine="0" w:firstLineChars="0"/>
              <w:jc w:val="center"/>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评标因素（权值分）</w:t>
            </w:r>
          </w:p>
        </w:tc>
        <w:tc>
          <w:tcPr>
            <w:tcW w:w="5764" w:type="dxa"/>
            <w:tcBorders>
              <w:bottom w:val="single" w:color="000000" w:sz="4" w:space="0"/>
            </w:tcBorders>
            <w:noWrap w:val="0"/>
            <w:vAlign w:val="center"/>
          </w:tcPr>
          <w:p w14:paraId="62BB5377">
            <w:pPr>
              <w:widowControl/>
              <w:ind w:left="0" w:leftChars="0" w:firstLine="0" w:firstLineChars="0"/>
              <w:jc w:val="center"/>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评标标准</w:t>
            </w:r>
          </w:p>
        </w:tc>
      </w:tr>
      <w:tr w14:paraId="7FF6D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6" w:hRule="atLeast"/>
        </w:trPr>
        <w:tc>
          <w:tcPr>
            <w:tcW w:w="1093" w:type="dxa"/>
            <w:tcBorders>
              <w:top w:val="single" w:color="000000" w:sz="4" w:space="0"/>
            </w:tcBorders>
            <w:noWrap w:val="0"/>
            <w:vAlign w:val="center"/>
          </w:tcPr>
          <w:p w14:paraId="031AEF7C">
            <w:pPr>
              <w:adjustRightInd w:val="0"/>
              <w:snapToGrid w:val="0"/>
              <w:spacing w:before="156" w:beforeLines="50" w:line="360" w:lineRule="auto"/>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价格评分表</w:t>
            </w:r>
          </w:p>
        </w:tc>
        <w:tc>
          <w:tcPr>
            <w:tcW w:w="2022" w:type="dxa"/>
            <w:tcBorders>
              <w:top w:val="single" w:color="000000" w:sz="4" w:space="0"/>
            </w:tcBorders>
            <w:noWrap w:val="0"/>
            <w:vAlign w:val="center"/>
          </w:tcPr>
          <w:p w14:paraId="2EEE4359">
            <w:pPr>
              <w:adjustRightInd w:val="0"/>
              <w:snapToGrid w:val="0"/>
              <w:spacing w:before="156" w:beforeLines="50" w:line="360" w:lineRule="auto"/>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价格评价项（权值1</w:t>
            </w:r>
            <w:r>
              <w:rPr>
                <w:rFonts w:hint="eastAsia" w:ascii="宋体" w:hAnsi="宋体" w:cs="Times New Roman"/>
                <w:bCs/>
                <w:color w:val="auto"/>
                <w:szCs w:val="21"/>
                <w:highlight w:val="none"/>
                <w:lang w:val="en-US" w:eastAsia="zh-CN"/>
              </w:rPr>
              <w:t>0</w:t>
            </w:r>
            <w:r>
              <w:rPr>
                <w:rFonts w:hint="eastAsia" w:ascii="宋体" w:hAnsi="宋体" w:eastAsia="宋体" w:cs="Times New Roman"/>
                <w:bCs/>
                <w:color w:val="auto"/>
                <w:szCs w:val="21"/>
                <w:highlight w:val="none"/>
              </w:rPr>
              <w:t>%，总分100分）</w:t>
            </w:r>
          </w:p>
        </w:tc>
        <w:tc>
          <w:tcPr>
            <w:tcW w:w="5764" w:type="dxa"/>
            <w:tcBorders>
              <w:top w:val="single" w:color="000000" w:sz="4" w:space="0"/>
            </w:tcBorders>
            <w:noWrap w:val="0"/>
            <w:vAlign w:val="top"/>
          </w:tcPr>
          <w:p w14:paraId="01A788A2">
            <w:pPr>
              <w:keepNext w:val="0"/>
              <w:keepLines w:val="0"/>
              <w:pageBreakBefore w:val="0"/>
              <w:widowControl w:val="0"/>
              <w:kinsoku/>
              <w:wordWrap/>
              <w:overflowPunct/>
              <w:topLinePunct w:val="0"/>
              <w:autoSpaceDE/>
              <w:autoSpaceDN/>
              <w:bidi w:val="0"/>
              <w:adjustRightInd w:val="0"/>
              <w:snapToGrid w:val="0"/>
              <w:spacing w:before="156" w:beforeLines="50" w:line="240" w:lineRule="exact"/>
              <w:ind w:firstLine="420" w:firstLineChars="200"/>
              <w:jc w:val="left"/>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价格分应当采用低价优先法计算，即满足招标文件要求且投标价格（扣除后的）最低的投标报价为评标基准价，其价格分为满分。其他投标人的价格分统一按照下列公式计算：</w:t>
            </w:r>
          </w:p>
          <w:p w14:paraId="11EB3CE7">
            <w:pPr>
              <w:keepNext w:val="0"/>
              <w:keepLines w:val="0"/>
              <w:pageBreakBefore w:val="0"/>
              <w:widowControl w:val="0"/>
              <w:kinsoku/>
              <w:wordWrap/>
              <w:overflowPunct/>
              <w:topLinePunct w:val="0"/>
              <w:autoSpaceDE/>
              <w:autoSpaceDN/>
              <w:bidi w:val="0"/>
              <w:adjustRightInd w:val="0"/>
              <w:snapToGrid w:val="0"/>
              <w:spacing w:before="156" w:beforeLines="50" w:line="240" w:lineRule="exact"/>
              <w:ind w:firstLine="420" w:firstLineChars="200"/>
              <w:jc w:val="left"/>
              <w:textAlignment w:val="auto"/>
              <w:rPr>
                <w:rFonts w:hint="default"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rPr>
              <w:t>投标报价得分=（评标基准价／投标报价）×</w:t>
            </w:r>
            <w:r>
              <w:rPr>
                <w:rFonts w:hint="eastAsia" w:ascii="宋体" w:hAnsi="宋体" w:cs="Times New Roman"/>
                <w:bCs/>
                <w:color w:val="auto"/>
                <w:szCs w:val="21"/>
                <w:highlight w:val="none"/>
                <w:lang w:val="en-US" w:eastAsia="zh-CN"/>
              </w:rPr>
              <w:t>10</w:t>
            </w:r>
          </w:p>
          <w:p w14:paraId="7E797EA8">
            <w:pPr>
              <w:keepNext w:val="0"/>
              <w:keepLines w:val="0"/>
              <w:pageBreakBefore w:val="0"/>
              <w:widowControl w:val="0"/>
              <w:kinsoku/>
              <w:wordWrap/>
              <w:overflowPunct/>
              <w:topLinePunct w:val="0"/>
              <w:autoSpaceDE/>
              <w:autoSpaceDN/>
              <w:bidi w:val="0"/>
              <w:adjustRightInd w:val="0"/>
              <w:snapToGrid w:val="0"/>
              <w:spacing w:before="156" w:beforeLines="50" w:line="320" w:lineRule="exact"/>
              <w:ind w:firstLine="420" w:firstLineChars="200"/>
              <w:jc w:val="left"/>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说明：1.因落实政府采购政策（价格评审优惠、优先采购）进行价格调整的，以调整后的价格计算评标基准价和投标报价。</w:t>
            </w:r>
          </w:p>
          <w:p w14:paraId="191A9AA5">
            <w:pPr>
              <w:pStyle w:val="19"/>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szCs w:val="21"/>
                <w:highlight w:val="none"/>
              </w:rPr>
              <w:t>2.</w:t>
            </w:r>
            <w:r>
              <w:rPr>
                <w:rFonts w:hint="eastAsia"/>
                <w:highlight w:val="none"/>
              </w:rPr>
              <w:t>根据财政部财库〔2026〕2 号文规定，出现下列情形之一的，评</w:t>
            </w:r>
            <w:r>
              <w:rPr>
                <w:rFonts w:hint="eastAsia" w:ascii="宋体" w:hAnsi="宋体" w:eastAsia="宋体" w:cs="Times New Roman"/>
                <w:bCs/>
                <w:color w:val="auto"/>
                <w:kern w:val="2"/>
                <w:sz w:val="21"/>
                <w:szCs w:val="21"/>
                <w:highlight w:val="none"/>
                <w:lang w:val="en-US" w:eastAsia="zh-CN" w:bidi="ar-SA"/>
              </w:rPr>
              <w:t>审委员会应当启动异常投标（响应审查）程序：</w:t>
            </w:r>
          </w:p>
          <w:p w14:paraId="5FCD6E71">
            <w:pPr>
              <w:pStyle w:val="19"/>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1.投标（响应）报价低于全部通过符合性审查供应商投标（响应）报价平均值 50% 的，即投标（响应）报价&lt;全部通过符合性审查供应商投标（响应 ) 报价平均值×50%；</w:t>
            </w:r>
          </w:p>
          <w:p w14:paraId="0B196B00">
            <w:pPr>
              <w:pStyle w:val="19"/>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2.投标（响应）报价低于通过符合性审查的次低报价供应商投标（响应）报价 50% 的，即投标（响应）报价&lt;通过符合性审查的次低报价供应商投标（响应）报价× 50%；</w:t>
            </w:r>
          </w:p>
          <w:p w14:paraId="6BAC8037">
            <w:pPr>
              <w:pStyle w:val="19"/>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3.投标（响应）报价低于采购项目最高限价 45% 的，即投标（响应）报价&lt;采购项目最高限价× 45% ；</w:t>
            </w:r>
          </w:p>
          <w:p w14:paraId="462D3D99">
            <w:pPr>
              <w:pStyle w:val="19"/>
              <w:keepNext w:val="0"/>
              <w:keepLines w:val="0"/>
              <w:pageBreakBefore w:val="0"/>
              <w:widowControl w:val="0"/>
              <w:kinsoku/>
              <w:wordWrap/>
              <w:overflowPunct/>
              <w:topLinePunct w:val="0"/>
              <w:autoSpaceDE/>
              <w:autoSpaceDN/>
              <w:bidi w:val="0"/>
              <w:spacing w:line="320" w:lineRule="exact"/>
              <w:ind w:firstLine="420" w:firstLineChars="200"/>
              <w:textAlignment w:val="auto"/>
              <w:rPr>
                <w:rFonts w:hint="eastAsia" w:ascii="宋体" w:hAnsi="宋体" w:eastAsia="宋体" w:cs="Times New Roman"/>
                <w:bCs/>
                <w:color w:val="auto"/>
                <w:kern w:val="2"/>
                <w:sz w:val="21"/>
                <w:szCs w:val="21"/>
                <w:highlight w:val="none"/>
                <w:lang w:val="en-US" w:eastAsia="zh-CN" w:bidi="ar-SA"/>
              </w:rPr>
            </w:pPr>
            <w:r>
              <w:rPr>
                <w:rFonts w:hint="eastAsia" w:ascii="宋体" w:hAnsi="宋体" w:eastAsia="宋体" w:cs="Times New Roman"/>
                <w:bCs/>
                <w:color w:val="auto"/>
                <w:kern w:val="2"/>
                <w:sz w:val="21"/>
                <w:szCs w:val="21"/>
                <w:highlight w:val="none"/>
                <w:lang w:val="en-US" w:eastAsia="zh-CN" w:bidi="ar-SA"/>
              </w:rPr>
              <w:t>4.评审委员会基于专业判断，认为供应商报价过低，有可能影响产品质量或者不能诚信履约的其他情形。</w:t>
            </w:r>
          </w:p>
          <w:p w14:paraId="6B7B0522">
            <w:pPr>
              <w:keepNext w:val="0"/>
              <w:keepLines w:val="0"/>
              <w:pageBreakBefore w:val="0"/>
              <w:widowControl w:val="0"/>
              <w:kinsoku/>
              <w:wordWrap/>
              <w:overflowPunct/>
              <w:topLinePunct w:val="0"/>
              <w:autoSpaceDE/>
              <w:autoSpaceDN/>
              <w:bidi w:val="0"/>
              <w:adjustRightInd w:val="0"/>
              <w:snapToGrid w:val="0"/>
              <w:spacing w:before="156" w:beforeLines="50" w:line="320" w:lineRule="exact"/>
              <w:ind w:firstLine="420" w:firstLineChars="200"/>
              <w:jc w:val="left"/>
              <w:textAlignment w:val="auto"/>
              <w:rPr>
                <w:rFonts w:hint="eastAsia" w:ascii="宋体" w:hAnsi="宋体" w:eastAsia="宋体" w:cs="Times New Roman"/>
                <w:bCs/>
                <w:color w:val="auto"/>
                <w:szCs w:val="21"/>
                <w:highlight w:val="none"/>
              </w:rPr>
            </w:pPr>
            <w:r>
              <w:rPr>
                <w:rFonts w:hint="eastAsia" w:ascii="宋体" w:hAnsi="宋体" w:eastAsia="宋体" w:cs="Times New Roman"/>
                <w:bCs/>
                <w:color w:val="auto"/>
                <w:kern w:val="2"/>
                <w:sz w:val="21"/>
                <w:szCs w:val="21"/>
                <w:highlight w:val="none"/>
                <w:lang w:val="en-US" w:eastAsia="zh-CN" w:bidi="ar-SA"/>
              </w:rPr>
              <w:t>5.相关法律法规对供应商报价有规定的，从其规定</w:t>
            </w:r>
            <w:r>
              <w:rPr>
                <w:rFonts w:hint="eastAsia"/>
                <w:highlight w:val="none"/>
              </w:rPr>
              <w:t>。</w:t>
            </w:r>
          </w:p>
        </w:tc>
      </w:tr>
      <w:bookmarkEnd w:id="132"/>
    </w:tbl>
    <w:p w14:paraId="44A2F120">
      <w:pPr>
        <w:widowControl/>
        <w:jc w:val="center"/>
        <w:rPr>
          <w:b/>
          <w:bCs/>
          <w:color w:val="auto"/>
          <w:kern w:val="0"/>
          <w:sz w:val="24"/>
          <w:highlight w:val="none"/>
        </w:rPr>
      </w:pPr>
      <w:bookmarkStart w:id="133" w:name="_Toc22482"/>
      <w:bookmarkStart w:id="134" w:name="_Toc29913941"/>
      <w:bookmarkStart w:id="135" w:name="_Toc13241"/>
      <w:r>
        <w:rPr>
          <w:rFonts w:hint="eastAsia" w:ascii="黑体" w:hAnsi="华文中宋" w:eastAsia="黑体"/>
          <w:sz w:val="32"/>
          <w:szCs w:val="32"/>
        </w:rPr>
        <w:br w:type="page"/>
      </w:r>
      <w:r>
        <w:rPr>
          <w:b/>
          <w:bCs/>
          <w:color w:val="auto"/>
          <w:kern w:val="0"/>
          <w:sz w:val="24"/>
          <w:highlight w:val="none"/>
        </w:rPr>
        <w:t xml:space="preserve">技术评分表（权值 </w:t>
      </w:r>
      <w:r>
        <w:rPr>
          <w:rFonts w:hint="eastAsia"/>
          <w:b/>
          <w:bCs/>
          <w:color w:val="auto"/>
          <w:kern w:val="0"/>
          <w:sz w:val="24"/>
          <w:highlight w:val="none"/>
          <w:lang w:val="en-US" w:eastAsia="zh-CN"/>
        </w:rPr>
        <w:t>50</w:t>
      </w:r>
      <w:r>
        <w:rPr>
          <w:b/>
          <w:bCs/>
          <w:color w:val="auto"/>
          <w:kern w:val="0"/>
          <w:sz w:val="24"/>
          <w:highlight w:val="none"/>
        </w:rPr>
        <w:t>%，总分 100 分）</w:t>
      </w:r>
    </w:p>
    <w:tbl>
      <w:tblPr>
        <w:tblStyle w:val="21"/>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674"/>
        <w:gridCol w:w="5805"/>
        <w:gridCol w:w="674"/>
        <w:gridCol w:w="451"/>
        <w:gridCol w:w="405"/>
        <w:gridCol w:w="416"/>
      </w:tblGrid>
      <w:tr w14:paraId="6E21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672" w:type="dxa"/>
            <w:vMerge w:val="restart"/>
            <w:noWrap/>
            <w:vAlign w:val="center"/>
          </w:tcPr>
          <w:p w14:paraId="5FAC3DD0">
            <w:pPr>
              <w:widowControl/>
              <w:spacing w:line="400" w:lineRule="exact"/>
              <w:jc w:val="center"/>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序号</w:t>
            </w:r>
          </w:p>
        </w:tc>
        <w:tc>
          <w:tcPr>
            <w:tcW w:w="1674" w:type="dxa"/>
            <w:vMerge w:val="restart"/>
            <w:noWrap/>
            <w:vAlign w:val="center"/>
          </w:tcPr>
          <w:p w14:paraId="4ADA2304">
            <w:pPr>
              <w:widowControl/>
              <w:spacing w:line="400" w:lineRule="exact"/>
              <w:jc w:val="center"/>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评审项目</w:t>
            </w:r>
          </w:p>
        </w:tc>
        <w:tc>
          <w:tcPr>
            <w:tcW w:w="5805" w:type="dxa"/>
            <w:vMerge w:val="restart"/>
            <w:noWrap/>
            <w:vAlign w:val="center"/>
          </w:tcPr>
          <w:p w14:paraId="49BFA529">
            <w:pPr>
              <w:widowControl/>
              <w:spacing w:line="400" w:lineRule="exact"/>
              <w:jc w:val="center"/>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评价标准及方法</w:t>
            </w:r>
          </w:p>
        </w:tc>
        <w:tc>
          <w:tcPr>
            <w:tcW w:w="674" w:type="dxa"/>
            <w:vMerge w:val="restart"/>
            <w:noWrap/>
            <w:vAlign w:val="center"/>
          </w:tcPr>
          <w:p w14:paraId="609EEF88">
            <w:pPr>
              <w:widowControl/>
              <w:spacing w:line="400" w:lineRule="exact"/>
              <w:jc w:val="center"/>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分值</w:t>
            </w:r>
          </w:p>
        </w:tc>
        <w:tc>
          <w:tcPr>
            <w:tcW w:w="1272" w:type="dxa"/>
            <w:gridSpan w:val="3"/>
            <w:noWrap/>
            <w:vAlign w:val="center"/>
          </w:tcPr>
          <w:p w14:paraId="061C2981">
            <w:pPr>
              <w:widowControl/>
              <w:spacing w:line="400" w:lineRule="exact"/>
              <w:jc w:val="center"/>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计分</w:t>
            </w:r>
          </w:p>
        </w:tc>
      </w:tr>
      <w:tr w14:paraId="20CC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672" w:type="dxa"/>
            <w:vMerge w:val="continue"/>
            <w:noWrap/>
            <w:vAlign w:val="center"/>
          </w:tcPr>
          <w:p w14:paraId="2E328FD8">
            <w:pPr>
              <w:widowControl/>
              <w:spacing w:line="400" w:lineRule="exact"/>
              <w:jc w:val="center"/>
              <w:rPr>
                <w:rFonts w:ascii="宋体" w:hAnsi="Times New Roman" w:cs="宋体"/>
                <w:b w:val="0"/>
                <w:bCs w:val="0"/>
                <w:color w:val="auto"/>
                <w:kern w:val="0"/>
                <w:szCs w:val="21"/>
                <w:highlight w:val="none"/>
                <w:shd w:val="clear" w:color="auto" w:fill="FFFFFF"/>
              </w:rPr>
            </w:pPr>
          </w:p>
        </w:tc>
        <w:tc>
          <w:tcPr>
            <w:tcW w:w="1674" w:type="dxa"/>
            <w:vMerge w:val="continue"/>
            <w:noWrap/>
            <w:vAlign w:val="center"/>
          </w:tcPr>
          <w:p w14:paraId="6D149832">
            <w:pPr>
              <w:widowControl/>
              <w:spacing w:line="400" w:lineRule="exact"/>
              <w:jc w:val="center"/>
              <w:rPr>
                <w:rFonts w:ascii="宋体" w:hAnsi="Times New Roman" w:cs="宋体"/>
                <w:b w:val="0"/>
                <w:bCs w:val="0"/>
                <w:color w:val="auto"/>
                <w:kern w:val="0"/>
                <w:szCs w:val="21"/>
                <w:highlight w:val="none"/>
                <w:shd w:val="clear" w:color="auto" w:fill="FFFFFF"/>
              </w:rPr>
            </w:pPr>
          </w:p>
        </w:tc>
        <w:tc>
          <w:tcPr>
            <w:tcW w:w="5805" w:type="dxa"/>
            <w:vMerge w:val="continue"/>
            <w:noWrap/>
            <w:vAlign w:val="center"/>
          </w:tcPr>
          <w:p w14:paraId="21039C60">
            <w:pPr>
              <w:widowControl/>
              <w:spacing w:line="400" w:lineRule="exact"/>
              <w:jc w:val="center"/>
              <w:rPr>
                <w:rFonts w:ascii="宋体" w:hAnsi="Times New Roman" w:cs="宋体"/>
                <w:b w:val="0"/>
                <w:bCs w:val="0"/>
                <w:color w:val="auto"/>
                <w:kern w:val="0"/>
                <w:szCs w:val="21"/>
                <w:highlight w:val="none"/>
                <w:shd w:val="clear" w:color="auto" w:fill="FFFFFF"/>
              </w:rPr>
            </w:pPr>
          </w:p>
        </w:tc>
        <w:tc>
          <w:tcPr>
            <w:tcW w:w="674" w:type="dxa"/>
            <w:vMerge w:val="continue"/>
            <w:noWrap/>
            <w:vAlign w:val="center"/>
          </w:tcPr>
          <w:p w14:paraId="6CAD4812">
            <w:pPr>
              <w:widowControl/>
              <w:spacing w:line="400" w:lineRule="exact"/>
              <w:jc w:val="center"/>
              <w:rPr>
                <w:rFonts w:ascii="宋体" w:hAnsi="Times New Roman" w:cs="宋体"/>
                <w:b w:val="0"/>
                <w:bCs w:val="0"/>
                <w:color w:val="auto"/>
                <w:kern w:val="0"/>
                <w:szCs w:val="21"/>
                <w:highlight w:val="none"/>
                <w:shd w:val="clear" w:color="auto" w:fill="FFFFFF"/>
              </w:rPr>
            </w:pPr>
          </w:p>
        </w:tc>
        <w:tc>
          <w:tcPr>
            <w:tcW w:w="451" w:type="dxa"/>
            <w:noWrap/>
            <w:vAlign w:val="center"/>
          </w:tcPr>
          <w:p w14:paraId="77972036">
            <w:pPr>
              <w:spacing w:line="400" w:lineRule="exact"/>
              <w:rPr>
                <w:rFonts w:ascii="宋体" w:hAnsi="Times New Roman" w:cs="宋体"/>
                <w:b w:val="0"/>
                <w:bCs w:val="0"/>
                <w:color w:val="auto"/>
                <w:kern w:val="0"/>
                <w:szCs w:val="21"/>
                <w:highlight w:val="none"/>
                <w:shd w:val="clear" w:color="auto" w:fill="FFFFFF"/>
              </w:rPr>
            </w:pPr>
          </w:p>
        </w:tc>
        <w:tc>
          <w:tcPr>
            <w:tcW w:w="405" w:type="dxa"/>
            <w:noWrap/>
            <w:vAlign w:val="center"/>
          </w:tcPr>
          <w:p w14:paraId="134903C1">
            <w:pPr>
              <w:widowControl/>
              <w:spacing w:line="400" w:lineRule="exact"/>
              <w:rPr>
                <w:rFonts w:ascii="宋体" w:hAnsi="Times New Roman" w:cs="宋体"/>
                <w:b w:val="0"/>
                <w:bCs w:val="0"/>
                <w:color w:val="auto"/>
                <w:kern w:val="0"/>
                <w:szCs w:val="21"/>
                <w:highlight w:val="none"/>
                <w:shd w:val="clear" w:color="auto" w:fill="FFFFFF"/>
              </w:rPr>
            </w:pPr>
          </w:p>
        </w:tc>
        <w:tc>
          <w:tcPr>
            <w:tcW w:w="416" w:type="dxa"/>
            <w:noWrap/>
            <w:vAlign w:val="center"/>
          </w:tcPr>
          <w:p w14:paraId="0CAF506F">
            <w:pPr>
              <w:widowControl/>
              <w:spacing w:line="400" w:lineRule="exact"/>
              <w:rPr>
                <w:rFonts w:ascii="宋体" w:hAnsi="Times New Roman" w:cs="宋体"/>
                <w:b w:val="0"/>
                <w:bCs w:val="0"/>
                <w:color w:val="auto"/>
                <w:kern w:val="0"/>
                <w:szCs w:val="21"/>
                <w:highlight w:val="none"/>
                <w:shd w:val="clear" w:color="auto" w:fill="FFFFFF"/>
              </w:rPr>
            </w:pPr>
          </w:p>
        </w:tc>
      </w:tr>
      <w:tr w14:paraId="6EF1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672" w:type="dxa"/>
            <w:shd w:val="clear" w:color="auto" w:fill="auto"/>
            <w:noWrap/>
            <w:vAlign w:val="center"/>
          </w:tcPr>
          <w:p w14:paraId="1F5A4837">
            <w:pPr>
              <w:widowControl/>
              <w:adjustRightInd w:val="0"/>
              <w:snapToGrid w:val="0"/>
              <w:spacing w:line="300" w:lineRule="exact"/>
              <w:jc w:val="center"/>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1</w:t>
            </w:r>
          </w:p>
        </w:tc>
        <w:tc>
          <w:tcPr>
            <w:tcW w:w="1674" w:type="dxa"/>
            <w:shd w:val="clear" w:color="auto" w:fill="auto"/>
            <w:noWrap/>
            <w:vAlign w:val="center"/>
          </w:tcPr>
          <w:p w14:paraId="1D6641D6">
            <w:pPr>
              <w:adjustRightInd w:val="0"/>
              <w:snapToGrid w:val="0"/>
              <w:spacing w:line="300" w:lineRule="exact"/>
              <w:jc w:val="center"/>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lang w:val="en-US" w:eastAsia="zh-CN"/>
              </w:rPr>
              <w:t>对网络组网方案的评价</w:t>
            </w:r>
          </w:p>
        </w:tc>
        <w:tc>
          <w:tcPr>
            <w:tcW w:w="5805" w:type="dxa"/>
            <w:shd w:val="clear" w:color="auto" w:fill="FFFFFF"/>
            <w:noWrap/>
            <w:vAlign w:val="center"/>
          </w:tcPr>
          <w:p w14:paraId="41E42FEE">
            <w:pPr>
              <w:adjustRightInd w:val="0"/>
              <w:snapToGrid w:val="0"/>
              <w:spacing w:line="300" w:lineRule="exact"/>
              <w:jc w:val="both"/>
              <w:rPr>
                <w:rFonts w:hint="eastAsia" w:ascii="宋体" w:hAnsi="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1.</w:t>
            </w:r>
            <w:r>
              <w:rPr>
                <w:rFonts w:hint="eastAsia" w:ascii="宋体" w:hAnsi="宋体" w:cs="宋体"/>
                <w:b w:val="0"/>
                <w:bCs w:val="0"/>
                <w:color w:val="auto"/>
                <w:kern w:val="0"/>
                <w:szCs w:val="21"/>
                <w:highlight w:val="none"/>
                <w:shd w:val="clear" w:color="auto" w:fill="FFFFFF"/>
              </w:rPr>
              <w:t>为确保电子政务外网上各业务系统</w:t>
            </w:r>
            <w:r>
              <w:rPr>
                <w:rFonts w:hint="eastAsia" w:ascii="宋体" w:hAnsi="宋体" w:cs="宋体"/>
                <w:b w:val="0"/>
                <w:bCs w:val="0"/>
                <w:color w:val="auto"/>
                <w:kern w:val="0"/>
                <w:szCs w:val="21"/>
                <w:highlight w:val="none"/>
                <w:shd w:val="clear" w:color="auto" w:fill="FFFFFF"/>
                <w:lang w:val="en-US" w:eastAsia="zh-CN"/>
              </w:rPr>
              <w:t>安全</w:t>
            </w:r>
            <w:r>
              <w:rPr>
                <w:rFonts w:hint="eastAsia" w:ascii="宋体" w:hAnsi="宋体" w:cs="宋体"/>
                <w:b w:val="0"/>
                <w:bCs w:val="0"/>
                <w:color w:val="auto"/>
                <w:kern w:val="0"/>
                <w:szCs w:val="21"/>
                <w:highlight w:val="none"/>
                <w:shd w:val="clear" w:color="auto" w:fill="FFFFFF"/>
              </w:rPr>
              <w:t>稳定运行</w:t>
            </w:r>
            <w:r>
              <w:rPr>
                <w:rFonts w:hint="eastAsia" w:ascii="宋体" w:hAnsi="宋体" w:cs="宋体"/>
                <w:b w:val="0"/>
                <w:bCs w:val="0"/>
                <w:color w:val="auto"/>
                <w:kern w:val="0"/>
                <w:szCs w:val="21"/>
                <w:highlight w:val="none"/>
                <w:shd w:val="clear" w:color="auto" w:fill="FFFFFF"/>
                <w:lang w:eastAsia="zh-CN"/>
              </w:rPr>
              <w:t>，</w:t>
            </w:r>
            <w:r>
              <w:rPr>
                <w:rFonts w:hint="eastAsia" w:ascii="宋体" w:hAnsi="宋体" w:cs="宋体"/>
                <w:b w:val="0"/>
                <w:bCs w:val="0"/>
                <w:color w:val="auto"/>
                <w:kern w:val="0"/>
                <w:szCs w:val="21"/>
                <w:highlight w:val="none"/>
                <w:shd w:val="clear" w:color="auto" w:fill="FFFFFF"/>
                <w:lang w:val="en-US" w:eastAsia="zh-CN"/>
              </w:rPr>
              <w:t>投标人提供的网络组网方案，需对项目背景有较深刻的理解；2.对网络现状基础情况有较全面掌握；3.</w:t>
            </w:r>
            <w:r>
              <w:rPr>
                <w:rFonts w:hint="eastAsia" w:ascii="宋体" w:hAnsi="宋体" w:cs="宋体"/>
                <w:b w:val="0"/>
                <w:bCs w:val="0"/>
                <w:color w:val="auto"/>
                <w:kern w:val="0"/>
                <w:szCs w:val="21"/>
                <w:highlight w:val="none"/>
                <w:shd w:val="clear" w:color="auto" w:fill="FFFFFF"/>
              </w:rPr>
              <w:t>制定完善的电子政务外网组网方案</w:t>
            </w:r>
            <w:r>
              <w:rPr>
                <w:rFonts w:hint="eastAsia" w:ascii="宋体" w:hAnsi="宋体" w:cs="宋体"/>
                <w:b w:val="0"/>
                <w:bCs w:val="0"/>
                <w:color w:val="auto"/>
                <w:kern w:val="0"/>
                <w:szCs w:val="21"/>
                <w:highlight w:val="none"/>
                <w:shd w:val="clear" w:color="auto" w:fill="FFFFFF"/>
                <w:lang w:eastAsia="zh-CN"/>
              </w:rPr>
              <w:t>；</w:t>
            </w:r>
            <w:r>
              <w:rPr>
                <w:rFonts w:hint="eastAsia" w:ascii="宋体" w:hAnsi="宋体" w:cs="宋体"/>
                <w:b w:val="0"/>
                <w:bCs w:val="0"/>
                <w:color w:val="auto"/>
                <w:kern w:val="0"/>
                <w:szCs w:val="21"/>
                <w:highlight w:val="none"/>
                <w:shd w:val="clear" w:color="auto" w:fill="FFFFFF"/>
                <w:lang w:val="en-US" w:eastAsia="zh-CN"/>
              </w:rPr>
              <w:t>4.</w:t>
            </w:r>
            <w:r>
              <w:rPr>
                <w:rFonts w:hint="eastAsia" w:ascii="宋体" w:hAnsi="宋体" w:cs="宋体"/>
                <w:b w:val="0"/>
                <w:bCs w:val="0"/>
                <w:color w:val="auto"/>
                <w:kern w:val="0"/>
                <w:szCs w:val="21"/>
                <w:highlight w:val="none"/>
                <w:shd w:val="clear" w:color="auto" w:fill="FFFFFF"/>
              </w:rPr>
              <w:t>提供科学、合理的IP地址规划</w:t>
            </w:r>
            <w:r>
              <w:rPr>
                <w:rFonts w:hint="eastAsia" w:ascii="宋体" w:hAnsi="宋体" w:cs="宋体"/>
                <w:b w:val="0"/>
                <w:bCs w:val="0"/>
                <w:color w:val="auto"/>
                <w:kern w:val="0"/>
                <w:szCs w:val="21"/>
                <w:highlight w:val="none"/>
                <w:shd w:val="clear" w:color="auto" w:fill="FFFFFF"/>
                <w:lang w:eastAsia="zh-CN"/>
              </w:rPr>
              <w:t>；</w:t>
            </w:r>
            <w:r>
              <w:rPr>
                <w:rFonts w:hint="eastAsia" w:ascii="宋体" w:hAnsi="宋体" w:cs="宋体"/>
                <w:b w:val="0"/>
                <w:bCs w:val="0"/>
                <w:color w:val="auto"/>
                <w:kern w:val="0"/>
                <w:szCs w:val="21"/>
                <w:highlight w:val="none"/>
                <w:shd w:val="clear" w:color="auto" w:fill="FFFFFF"/>
                <w:lang w:val="en-US" w:eastAsia="zh-CN"/>
              </w:rPr>
              <w:t>5.</w:t>
            </w:r>
            <w:r>
              <w:rPr>
                <w:rFonts w:hint="eastAsia" w:ascii="宋体" w:hAnsi="宋体" w:cs="宋体"/>
                <w:b w:val="0"/>
                <w:bCs w:val="0"/>
                <w:color w:val="auto"/>
                <w:kern w:val="0"/>
                <w:szCs w:val="21"/>
                <w:highlight w:val="none"/>
                <w:shd w:val="clear" w:color="auto" w:fill="FFFFFF"/>
                <w:lang w:eastAsia="zh-CN"/>
              </w:rPr>
              <w:t>提供</w:t>
            </w:r>
            <w:r>
              <w:rPr>
                <w:rFonts w:hint="eastAsia" w:ascii="宋体" w:hAnsi="宋体" w:cs="宋体"/>
                <w:b w:val="0"/>
                <w:bCs w:val="0"/>
                <w:color w:val="auto"/>
                <w:kern w:val="0"/>
                <w:szCs w:val="21"/>
                <w:highlight w:val="none"/>
                <w:shd w:val="clear" w:color="auto" w:fill="FFFFFF"/>
                <w:lang w:val="en-US" w:eastAsia="zh-CN"/>
              </w:rPr>
              <w:t>具有前瞻性的网络安全</w:t>
            </w:r>
            <w:r>
              <w:rPr>
                <w:rFonts w:hint="eastAsia" w:ascii="宋体" w:hAnsi="宋体" w:cs="宋体"/>
                <w:b w:val="0"/>
                <w:bCs w:val="0"/>
                <w:color w:val="auto"/>
                <w:kern w:val="0"/>
                <w:szCs w:val="21"/>
                <w:highlight w:val="none"/>
                <w:shd w:val="clear" w:color="auto" w:fill="FFFFFF"/>
              </w:rPr>
              <w:t>解决方案</w:t>
            </w:r>
            <w:r>
              <w:rPr>
                <w:rFonts w:hint="eastAsia" w:ascii="宋体" w:hAnsi="宋体" w:cs="宋体"/>
                <w:b w:val="0"/>
                <w:bCs w:val="0"/>
                <w:color w:val="auto"/>
                <w:kern w:val="0"/>
                <w:szCs w:val="21"/>
                <w:highlight w:val="none"/>
                <w:shd w:val="clear" w:color="auto" w:fill="FFFFFF"/>
                <w:lang w:eastAsia="zh-CN"/>
              </w:rPr>
              <w:t>。</w:t>
            </w:r>
          </w:p>
          <w:p w14:paraId="628B6E8E">
            <w:pPr>
              <w:adjustRightInd w:val="0"/>
              <w:snapToGrid w:val="0"/>
              <w:spacing w:line="300" w:lineRule="exact"/>
              <w:jc w:val="both"/>
              <w:rPr>
                <w:rFonts w:hint="eastAsia" w:ascii="宋体" w:hAnsi="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网络建设方案内容阐述全面、具体，清晰合理，符合本项目需求、可行性强的记30分；缺一项扣6分；每有一项内容不完整或有缺陷或与项目不匹配的扣3分，扣完为止。</w:t>
            </w:r>
          </w:p>
          <w:p w14:paraId="1B056A27">
            <w:pPr>
              <w:adjustRightInd w:val="0"/>
              <w:snapToGrid w:val="0"/>
              <w:spacing w:line="300" w:lineRule="exact"/>
              <w:jc w:val="both"/>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lang w:val="en-US" w:eastAsia="zh-CN"/>
              </w:rPr>
              <w:t>注：内容不完整或有缺陷或与项目不匹配是指：非专门针对本项目或不适用项目的情形、内容不完整或缺少关键节点、套用其他项目方案、内容前后矛盾、涉及的规范及标准错误、不利于项目的贴切服务等任意一种情形。</w:t>
            </w:r>
          </w:p>
        </w:tc>
        <w:tc>
          <w:tcPr>
            <w:tcW w:w="674" w:type="dxa"/>
            <w:noWrap/>
            <w:vAlign w:val="center"/>
          </w:tcPr>
          <w:p w14:paraId="5723767D">
            <w:pPr>
              <w:widowControl/>
              <w:adjustRightInd w:val="0"/>
              <w:snapToGrid w:val="0"/>
              <w:spacing w:line="300" w:lineRule="exact"/>
              <w:jc w:val="center"/>
              <w:rPr>
                <w:rFonts w:hint="default" w:ascii="宋体" w:hAnsi="宋体" w:eastAsia="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30</w:t>
            </w:r>
          </w:p>
        </w:tc>
        <w:tc>
          <w:tcPr>
            <w:tcW w:w="451" w:type="dxa"/>
            <w:noWrap/>
            <w:vAlign w:val="center"/>
          </w:tcPr>
          <w:p w14:paraId="3B87D9D5">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05" w:type="dxa"/>
            <w:noWrap/>
            <w:vAlign w:val="center"/>
          </w:tcPr>
          <w:p w14:paraId="18B01BB3">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16" w:type="dxa"/>
            <w:noWrap/>
            <w:vAlign w:val="center"/>
          </w:tcPr>
          <w:p w14:paraId="49243DD1">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r>
      <w:tr w14:paraId="062AD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672" w:type="dxa"/>
            <w:shd w:val="clear" w:color="auto" w:fill="auto"/>
            <w:noWrap/>
            <w:vAlign w:val="center"/>
          </w:tcPr>
          <w:p w14:paraId="1D70DDB7">
            <w:pPr>
              <w:widowControl/>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lang w:eastAsia="zh-CN"/>
              </w:rPr>
            </w:pPr>
            <w:r>
              <w:rPr>
                <w:rFonts w:hint="eastAsia" w:ascii="宋体" w:hAnsi="宋体" w:cs="宋体"/>
                <w:b w:val="0"/>
                <w:bCs w:val="0"/>
                <w:color w:val="auto"/>
                <w:kern w:val="0"/>
                <w:szCs w:val="21"/>
                <w:highlight w:val="none"/>
                <w:shd w:val="clear" w:color="auto" w:fill="FFFFFF"/>
                <w:lang w:val="en-US" w:eastAsia="zh-CN"/>
              </w:rPr>
              <w:t>2</w:t>
            </w:r>
          </w:p>
        </w:tc>
        <w:tc>
          <w:tcPr>
            <w:tcW w:w="1674" w:type="dxa"/>
            <w:shd w:val="clear" w:color="auto" w:fill="auto"/>
            <w:noWrap/>
            <w:vAlign w:val="center"/>
          </w:tcPr>
          <w:p w14:paraId="594E3778">
            <w:pPr>
              <w:spacing w:line="360" w:lineRule="auto"/>
              <w:jc w:val="center"/>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lang w:val="en-US" w:eastAsia="zh-CN"/>
              </w:rPr>
              <w:t>对项目实施方案的评价</w:t>
            </w:r>
          </w:p>
        </w:tc>
        <w:tc>
          <w:tcPr>
            <w:tcW w:w="5805" w:type="dxa"/>
            <w:shd w:val="clear" w:color="auto" w:fill="FFFFFF"/>
            <w:noWrap/>
            <w:vAlign w:val="center"/>
          </w:tcPr>
          <w:p w14:paraId="616FF4CD">
            <w:pPr>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投标人实施方案需与实际情况相吻合，方案内容全面、详细、准确，符合通信行业工程建设施工标准规范要求，主要包括但不限于：1.项目实施流程；2.人员配置方案；3.网络资源保障；4.割接调测方案；5.应急预案等方面实施方案内容完整，思路清晰合理，布局结构严谨，符合实际情况，人员配备及安排合理，实施措施切实可行，计划保证措施完善，质量保证措施周全的计30分；缺一项扣6分；每有一项内容不完整或有缺陷或与项目不匹配的扣3分，扣完为止。</w:t>
            </w:r>
          </w:p>
          <w:p w14:paraId="721201FB">
            <w:pPr>
              <w:jc w:val="left"/>
              <w:rPr>
                <w:rFonts w:ascii="宋体" w:hAnsi="宋体"/>
                <w:b w:val="0"/>
                <w:bCs w:val="0"/>
                <w:color w:val="auto"/>
                <w:szCs w:val="21"/>
                <w:highlight w:val="none"/>
              </w:rPr>
            </w:pPr>
            <w:r>
              <w:rPr>
                <w:rFonts w:hint="eastAsia" w:ascii="宋体" w:hAnsi="宋体"/>
                <w:b w:val="0"/>
                <w:bCs w:val="0"/>
                <w:color w:val="auto"/>
                <w:szCs w:val="21"/>
                <w:highlight w:val="none"/>
                <w:lang w:val="en-US" w:eastAsia="zh-CN"/>
              </w:rPr>
              <w:t>注：内容不完整或有缺陷或与项目不匹配是指：非专门针对本项目或不适用项目的情形、内容不完整或缺少关键节点、套用其他项目方案、内容前后矛盾、涉及的规范及标准错误、不利于项目的贴切服务等任意一种情形。</w:t>
            </w:r>
          </w:p>
        </w:tc>
        <w:tc>
          <w:tcPr>
            <w:tcW w:w="674" w:type="dxa"/>
            <w:noWrap/>
            <w:vAlign w:val="center"/>
          </w:tcPr>
          <w:p w14:paraId="48035577">
            <w:pPr>
              <w:widowControl/>
              <w:adjustRightInd w:val="0"/>
              <w:snapToGrid w:val="0"/>
              <w:spacing w:line="300" w:lineRule="exact"/>
              <w:jc w:val="center"/>
              <w:rPr>
                <w:rFonts w:hint="default" w:ascii="宋体" w:hAnsi="宋体" w:eastAsia="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30</w:t>
            </w:r>
          </w:p>
        </w:tc>
        <w:tc>
          <w:tcPr>
            <w:tcW w:w="451" w:type="dxa"/>
            <w:noWrap/>
            <w:vAlign w:val="center"/>
          </w:tcPr>
          <w:p w14:paraId="34D8986F">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05" w:type="dxa"/>
            <w:noWrap/>
            <w:vAlign w:val="center"/>
          </w:tcPr>
          <w:p w14:paraId="40FBCCC1">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16" w:type="dxa"/>
            <w:noWrap/>
            <w:vAlign w:val="center"/>
          </w:tcPr>
          <w:p w14:paraId="7FFF74D9">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r>
      <w:tr w14:paraId="6E9A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 w:hRule="atLeast"/>
          <w:jc w:val="center"/>
        </w:trPr>
        <w:tc>
          <w:tcPr>
            <w:tcW w:w="672" w:type="dxa"/>
            <w:shd w:val="clear" w:color="auto" w:fill="auto"/>
            <w:noWrap/>
            <w:vAlign w:val="center"/>
          </w:tcPr>
          <w:p w14:paraId="0E6C1CB4">
            <w:pPr>
              <w:widowControl/>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3</w:t>
            </w:r>
          </w:p>
        </w:tc>
        <w:tc>
          <w:tcPr>
            <w:tcW w:w="1674" w:type="dxa"/>
            <w:shd w:val="clear" w:color="auto" w:fill="auto"/>
            <w:noWrap/>
            <w:vAlign w:val="center"/>
          </w:tcPr>
          <w:p w14:paraId="468F3281">
            <w:pPr>
              <w:adjustRightInd w:val="0"/>
              <w:snapToGrid w:val="0"/>
              <w:spacing w:line="300" w:lineRule="exact"/>
              <w:jc w:val="center"/>
              <w:rPr>
                <w:rFonts w:ascii="宋体" w:hAnsi="Times New Roman" w:cs="宋体"/>
                <w:b w:val="0"/>
                <w:bCs w:val="0"/>
                <w:color w:val="auto"/>
                <w:kern w:val="0"/>
                <w:szCs w:val="21"/>
                <w:highlight w:val="none"/>
                <w:shd w:val="clear" w:color="auto" w:fill="FFFFFF"/>
              </w:rPr>
            </w:pPr>
            <w:r>
              <w:rPr>
                <w:rFonts w:hint="eastAsia" w:ascii="宋体" w:hAnsi="Times New Roman" w:cs="宋体"/>
                <w:b w:val="0"/>
                <w:bCs w:val="0"/>
                <w:color w:val="auto"/>
                <w:kern w:val="0"/>
                <w:szCs w:val="21"/>
                <w:highlight w:val="none"/>
                <w:shd w:val="clear" w:color="auto" w:fill="FFFFFF"/>
                <w:lang w:val="en-US" w:eastAsia="zh-CN"/>
              </w:rPr>
              <w:t>对</w:t>
            </w:r>
            <w:r>
              <w:rPr>
                <w:rFonts w:hint="eastAsia" w:ascii="宋体" w:cs="宋体"/>
                <w:b w:val="0"/>
                <w:bCs w:val="0"/>
                <w:color w:val="auto"/>
                <w:kern w:val="0"/>
                <w:szCs w:val="21"/>
                <w:highlight w:val="none"/>
                <w:shd w:val="clear" w:color="auto" w:fill="FFFFFF"/>
                <w:lang w:val="en-US" w:eastAsia="zh-CN"/>
              </w:rPr>
              <w:t>运维服务</w:t>
            </w:r>
            <w:r>
              <w:rPr>
                <w:rFonts w:hint="eastAsia" w:ascii="宋体" w:hAnsi="Times New Roman" w:cs="宋体"/>
                <w:b w:val="0"/>
                <w:bCs w:val="0"/>
                <w:color w:val="auto"/>
                <w:kern w:val="0"/>
                <w:szCs w:val="21"/>
                <w:highlight w:val="none"/>
                <w:shd w:val="clear" w:color="auto" w:fill="FFFFFF"/>
                <w:lang w:val="en-US" w:eastAsia="zh-CN"/>
              </w:rPr>
              <w:t>方案评价</w:t>
            </w:r>
          </w:p>
        </w:tc>
        <w:tc>
          <w:tcPr>
            <w:tcW w:w="5805" w:type="dxa"/>
            <w:shd w:val="clear" w:color="auto" w:fill="FFFFFF"/>
            <w:noWrap/>
            <w:vAlign w:val="center"/>
          </w:tcPr>
          <w:p w14:paraId="263C0C7F">
            <w:pPr>
              <w:jc w:val="left"/>
              <w:rPr>
                <w:rFonts w:hint="eastAsia" w:ascii="宋体" w:hAnsi="宋体"/>
                <w:b w:val="0"/>
                <w:bCs w:val="0"/>
                <w:color w:val="auto"/>
                <w:szCs w:val="21"/>
                <w:highlight w:val="none"/>
                <w:lang w:val="en-US" w:eastAsia="zh-CN"/>
              </w:rPr>
            </w:pPr>
            <w:r>
              <w:rPr>
                <w:rFonts w:hint="eastAsia" w:ascii="宋体" w:hAnsi="宋体"/>
                <w:b w:val="0"/>
                <w:bCs w:val="0"/>
                <w:color w:val="auto"/>
                <w:szCs w:val="21"/>
                <w:highlight w:val="none"/>
                <w:lang w:val="en-US" w:eastAsia="zh-CN"/>
              </w:rPr>
              <w:t>对投标人提供的售后运维服务方案进行评分，售后服务方案应包含但不限于：1.培训方案；2.售后服务保障体系；3.故障处理体系；4.运维保障体系；5.专线维护方案等，方案科学合理，针对性强，满足本项目要求的计40分，缺一项扣8分，每有一项内容不完整或有缺陷或与项目不匹配的扣4分，扣完为止。</w:t>
            </w:r>
          </w:p>
          <w:p w14:paraId="4BF8D834">
            <w:pPr>
              <w:jc w:val="left"/>
              <w:rPr>
                <w:rFonts w:hint="eastAsia" w:ascii="宋体" w:hAnsi="宋体"/>
                <w:b w:val="0"/>
                <w:bCs w:val="0"/>
                <w:color w:val="auto"/>
                <w:szCs w:val="21"/>
                <w:highlight w:val="none"/>
              </w:rPr>
            </w:pPr>
            <w:r>
              <w:rPr>
                <w:rFonts w:hint="eastAsia" w:ascii="宋体" w:hAnsi="宋体"/>
                <w:b w:val="0"/>
                <w:bCs w:val="0"/>
                <w:color w:val="auto"/>
                <w:szCs w:val="21"/>
                <w:highlight w:val="none"/>
                <w:lang w:val="en-US" w:eastAsia="zh-CN"/>
              </w:rPr>
              <w:t>注：内容不完整或有缺陷或与项目不匹配是指：非专门针对本项目或不适用项目的情形、内容不完整或缺少关键节点、套用其他项目方案、内容前后矛盾、涉及的规范及标准错误、不利于项目的贴切服务等任意一种情形。</w:t>
            </w:r>
          </w:p>
        </w:tc>
        <w:tc>
          <w:tcPr>
            <w:tcW w:w="674" w:type="dxa"/>
            <w:noWrap/>
            <w:vAlign w:val="center"/>
          </w:tcPr>
          <w:p w14:paraId="0C4B73CC">
            <w:pPr>
              <w:widowControl/>
              <w:adjustRightInd w:val="0"/>
              <w:snapToGrid w:val="0"/>
              <w:spacing w:line="300" w:lineRule="exact"/>
              <w:jc w:val="center"/>
              <w:rPr>
                <w:rFonts w:hint="default" w:ascii="宋体" w:cs="宋体"/>
                <w:b w:val="0"/>
                <w:bCs w:val="0"/>
                <w:color w:val="auto"/>
                <w:kern w:val="0"/>
                <w:szCs w:val="21"/>
                <w:highlight w:val="none"/>
                <w:shd w:val="clear" w:color="auto" w:fill="FFFFFF"/>
                <w:lang w:val="en-US" w:eastAsia="zh-CN"/>
              </w:rPr>
            </w:pPr>
            <w:r>
              <w:rPr>
                <w:rFonts w:hint="eastAsia" w:ascii="宋体" w:cs="宋体"/>
                <w:b w:val="0"/>
                <w:bCs w:val="0"/>
                <w:color w:val="auto"/>
                <w:kern w:val="0"/>
                <w:szCs w:val="21"/>
                <w:highlight w:val="none"/>
                <w:shd w:val="clear" w:color="auto" w:fill="FFFFFF"/>
                <w:lang w:val="en-US" w:eastAsia="zh-CN"/>
              </w:rPr>
              <w:t>40</w:t>
            </w:r>
          </w:p>
        </w:tc>
        <w:tc>
          <w:tcPr>
            <w:tcW w:w="451" w:type="dxa"/>
            <w:noWrap/>
            <w:vAlign w:val="center"/>
          </w:tcPr>
          <w:p w14:paraId="383EE9DF">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05" w:type="dxa"/>
            <w:noWrap/>
            <w:vAlign w:val="center"/>
          </w:tcPr>
          <w:p w14:paraId="2FC947F4">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c>
          <w:tcPr>
            <w:tcW w:w="416" w:type="dxa"/>
            <w:noWrap/>
            <w:vAlign w:val="center"/>
          </w:tcPr>
          <w:p w14:paraId="289DAB39">
            <w:pPr>
              <w:widowControl/>
              <w:adjustRightInd w:val="0"/>
              <w:snapToGrid w:val="0"/>
              <w:spacing w:line="300" w:lineRule="exact"/>
              <w:jc w:val="left"/>
              <w:rPr>
                <w:rFonts w:ascii="宋体" w:hAnsi="Times New Roman" w:cs="宋体"/>
                <w:b w:val="0"/>
                <w:bCs w:val="0"/>
                <w:color w:val="auto"/>
                <w:kern w:val="0"/>
                <w:szCs w:val="21"/>
                <w:highlight w:val="none"/>
                <w:shd w:val="clear" w:color="auto" w:fill="FFFFFF"/>
              </w:rPr>
            </w:pPr>
          </w:p>
        </w:tc>
      </w:tr>
      <w:tr w14:paraId="0F63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6" w:hRule="atLeast"/>
          <w:jc w:val="center"/>
        </w:trPr>
        <w:tc>
          <w:tcPr>
            <w:tcW w:w="10097" w:type="dxa"/>
            <w:gridSpan w:val="7"/>
            <w:noWrap/>
            <w:vAlign w:val="center"/>
          </w:tcPr>
          <w:p w14:paraId="54633112">
            <w:pPr>
              <w:widowControl/>
              <w:spacing w:line="400" w:lineRule="exact"/>
              <w:jc w:val="left"/>
              <w:rPr>
                <w:rFonts w:ascii="宋体" w:hAnsi="Times New Roman"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评委签字：</w:t>
            </w:r>
          </w:p>
        </w:tc>
      </w:tr>
    </w:tbl>
    <w:p w14:paraId="66158BBB">
      <w:pPr>
        <w:rPr>
          <w:rFonts w:hint="eastAsia" w:ascii="黑体" w:hAnsi="华文中宋" w:eastAsia="黑体"/>
          <w:b/>
          <w:bCs/>
          <w:color w:val="auto"/>
          <w:sz w:val="32"/>
          <w:szCs w:val="32"/>
          <w:highlight w:val="none"/>
        </w:rPr>
      </w:pPr>
      <w:r>
        <w:rPr>
          <w:rFonts w:hint="eastAsia" w:ascii="黑体" w:hAnsi="华文中宋" w:eastAsia="黑体"/>
          <w:b/>
          <w:bCs/>
          <w:color w:val="auto"/>
          <w:sz w:val="32"/>
          <w:szCs w:val="32"/>
          <w:highlight w:val="none"/>
        </w:rPr>
        <w:br w:type="page"/>
      </w:r>
    </w:p>
    <w:p w14:paraId="79E3DAFC">
      <w:pPr>
        <w:rPr>
          <w:rFonts w:hint="eastAsia" w:ascii="黑体" w:hAnsi="华文中宋" w:eastAsia="黑体"/>
          <w:b/>
          <w:bCs/>
          <w:color w:val="auto"/>
          <w:sz w:val="32"/>
          <w:szCs w:val="32"/>
          <w:highlight w:val="none"/>
        </w:rPr>
      </w:pPr>
    </w:p>
    <w:p w14:paraId="591E1940">
      <w:pPr>
        <w:widowControl/>
        <w:ind w:firstLine="420"/>
        <w:jc w:val="center"/>
        <w:rPr>
          <w:b/>
          <w:bCs/>
          <w:color w:val="auto"/>
          <w:kern w:val="0"/>
          <w:sz w:val="24"/>
          <w:highlight w:val="none"/>
        </w:rPr>
      </w:pPr>
      <w:r>
        <w:rPr>
          <w:rFonts w:ascii="Times New Roman" w:hAnsi="Times New Roman" w:cs="Times New Roman"/>
          <w:b/>
          <w:bCs/>
          <w:color w:val="auto"/>
          <w:kern w:val="0"/>
          <w:sz w:val="24"/>
          <w:highlight w:val="none"/>
        </w:rPr>
        <w:t xml:space="preserve">商务评分表（权值 </w:t>
      </w:r>
      <w:r>
        <w:rPr>
          <w:rFonts w:hint="eastAsia" w:cs="Times New Roman"/>
          <w:b/>
          <w:bCs/>
          <w:color w:val="auto"/>
          <w:kern w:val="0"/>
          <w:sz w:val="24"/>
          <w:highlight w:val="none"/>
          <w:lang w:val="en-US" w:eastAsia="zh-CN"/>
        </w:rPr>
        <w:t>40</w:t>
      </w:r>
      <w:r>
        <w:rPr>
          <w:rFonts w:ascii="Times New Roman" w:hAnsi="Times New Roman" w:cs="Times New Roman"/>
          <w:b/>
          <w:bCs/>
          <w:color w:val="auto"/>
          <w:kern w:val="0"/>
          <w:sz w:val="24"/>
          <w:highlight w:val="none"/>
        </w:rPr>
        <w:t>%，总分 100 分）</w:t>
      </w:r>
    </w:p>
    <w:tbl>
      <w:tblPr>
        <w:tblStyle w:val="21"/>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200"/>
        <w:gridCol w:w="6497"/>
        <w:gridCol w:w="585"/>
        <w:gridCol w:w="436"/>
        <w:gridCol w:w="435"/>
        <w:gridCol w:w="393"/>
      </w:tblGrid>
      <w:tr w14:paraId="343B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2" w:type="dxa"/>
            <w:vMerge w:val="restart"/>
            <w:noWrap/>
            <w:vAlign w:val="center"/>
          </w:tcPr>
          <w:p w14:paraId="4814BA41">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rPr>
              <w:t>序号</w:t>
            </w:r>
          </w:p>
        </w:tc>
        <w:tc>
          <w:tcPr>
            <w:tcW w:w="1200" w:type="dxa"/>
            <w:vMerge w:val="restart"/>
            <w:noWrap/>
            <w:vAlign w:val="center"/>
          </w:tcPr>
          <w:p w14:paraId="4EE9BEF9">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rPr>
              <w:t>评审项目</w:t>
            </w:r>
          </w:p>
        </w:tc>
        <w:tc>
          <w:tcPr>
            <w:tcW w:w="6497" w:type="dxa"/>
            <w:vMerge w:val="restart"/>
            <w:noWrap/>
            <w:vAlign w:val="center"/>
          </w:tcPr>
          <w:p w14:paraId="4FB362EC">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rPr>
              <w:t>评价标准及方法</w:t>
            </w:r>
          </w:p>
        </w:tc>
        <w:tc>
          <w:tcPr>
            <w:tcW w:w="585" w:type="dxa"/>
            <w:vMerge w:val="restart"/>
            <w:noWrap/>
            <w:vAlign w:val="center"/>
          </w:tcPr>
          <w:p w14:paraId="2D947392">
            <w:pPr>
              <w:adjustRightInd w:val="0"/>
              <w:snapToGrid w:val="0"/>
              <w:spacing w:line="300" w:lineRule="exact"/>
              <w:jc w:val="center"/>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分值</w:t>
            </w:r>
          </w:p>
        </w:tc>
        <w:tc>
          <w:tcPr>
            <w:tcW w:w="1264" w:type="dxa"/>
            <w:gridSpan w:val="3"/>
            <w:noWrap/>
            <w:vAlign w:val="center"/>
          </w:tcPr>
          <w:p w14:paraId="5636AB5F">
            <w:pPr>
              <w:adjustRightInd w:val="0"/>
              <w:snapToGrid w:val="0"/>
              <w:spacing w:line="300" w:lineRule="exact"/>
              <w:jc w:val="center"/>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计分</w:t>
            </w:r>
          </w:p>
        </w:tc>
      </w:tr>
      <w:tr w14:paraId="441E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732" w:type="dxa"/>
            <w:vMerge w:val="continue"/>
            <w:noWrap/>
            <w:vAlign w:val="center"/>
          </w:tcPr>
          <w:p w14:paraId="2546C8C7">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p>
        </w:tc>
        <w:tc>
          <w:tcPr>
            <w:tcW w:w="1200" w:type="dxa"/>
            <w:vMerge w:val="continue"/>
            <w:noWrap/>
            <w:vAlign w:val="center"/>
          </w:tcPr>
          <w:p w14:paraId="0C9F17F0">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p>
        </w:tc>
        <w:tc>
          <w:tcPr>
            <w:tcW w:w="6497" w:type="dxa"/>
            <w:vMerge w:val="continue"/>
            <w:noWrap/>
            <w:vAlign w:val="center"/>
          </w:tcPr>
          <w:p w14:paraId="222B4C7F">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p>
        </w:tc>
        <w:tc>
          <w:tcPr>
            <w:tcW w:w="585" w:type="dxa"/>
            <w:vMerge w:val="continue"/>
            <w:noWrap/>
            <w:vAlign w:val="center"/>
          </w:tcPr>
          <w:p w14:paraId="7BA2B5FF">
            <w:pPr>
              <w:adjustRightInd w:val="0"/>
              <w:snapToGrid w:val="0"/>
              <w:spacing w:line="300" w:lineRule="exact"/>
              <w:jc w:val="center"/>
              <w:rPr>
                <w:rFonts w:ascii="宋体" w:hAnsi="宋体" w:cs="宋体"/>
                <w:b w:val="0"/>
                <w:bCs w:val="0"/>
                <w:color w:val="auto"/>
                <w:kern w:val="0"/>
                <w:szCs w:val="21"/>
                <w:highlight w:val="none"/>
                <w:shd w:val="clear" w:color="auto" w:fill="FFFFFF"/>
              </w:rPr>
            </w:pPr>
          </w:p>
        </w:tc>
        <w:tc>
          <w:tcPr>
            <w:tcW w:w="436" w:type="dxa"/>
            <w:noWrap/>
            <w:vAlign w:val="center"/>
          </w:tcPr>
          <w:p w14:paraId="27355016">
            <w:pPr>
              <w:adjustRightInd w:val="0"/>
              <w:snapToGrid w:val="0"/>
              <w:spacing w:line="300" w:lineRule="exact"/>
              <w:rPr>
                <w:rFonts w:ascii="宋体" w:hAnsi="宋体" w:cs="宋体"/>
                <w:b w:val="0"/>
                <w:bCs w:val="0"/>
                <w:color w:val="auto"/>
                <w:kern w:val="0"/>
                <w:szCs w:val="21"/>
                <w:highlight w:val="none"/>
                <w:shd w:val="clear" w:color="auto" w:fill="FFFFFF"/>
              </w:rPr>
            </w:pPr>
          </w:p>
        </w:tc>
        <w:tc>
          <w:tcPr>
            <w:tcW w:w="435" w:type="dxa"/>
            <w:noWrap/>
            <w:vAlign w:val="center"/>
          </w:tcPr>
          <w:p w14:paraId="76FF8438">
            <w:pPr>
              <w:adjustRightInd w:val="0"/>
              <w:snapToGrid w:val="0"/>
              <w:spacing w:line="300" w:lineRule="exact"/>
              <w:rPr>
                <w:rFonts w:ascii="宋体" w:hAnsi="宋体" w:cs="宋体"/>
                <w:b w:val="0"/>
                <w:bCs w:val="0"/>
                <w:color w:val="auto"/>
                <w:kern w:val="0"/>
                <w:szCs w:val="21"/>
                <w:highlight w:val="none"/>
                <w:shd w:val="clear" w:color="auto" w:fill="FFFFFF"/>
              </w:rPr>
            </w:pPr>
          </w:p>
        </w:tc>
        <w:tc>
          <w:tcPr>
            <w:tcW w:w="393" w:type="dxa"/>
            <w:noWrap/>
            <w:vAlign w:val="center"/>
          </w:tcPr>
          <w:p w14:paraId="69653B7B">
            <w:pPr>
              <w:widowControl/>
              <w:adjustRightInd w:val="0"/>
              <w:snapToGrid w:val="0"/>
              <w:spacing w:line="300" w:lineRule="exact"/>
              <w:jc w:val="center"/>
              <w:rPr>
                <w:rFonts w:ascii="宋体" w:hAnsi="宋体" w:cs="宋体"/>
                <w:b w:val="0"/>
                <w:bCs w:val="0"/>
                <w:color w:val="auto"/>
                <w:kern w:val="0"/>
                <w:szCs w:val="21"/>
                <w:highlight w:val="none"/>
                <w:shd w:val="clear" w:color="auto" w:fill="FFFFFF"/>
              </w:rPr>
            </w:pPr>
          </w:p>
        </w:tc>
      </w:tr>
      <w:tr w14:paraId="478F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32" w:type="dxa"/>
            <w:noWrap/>
            <w:vAlign w:val="center"/>
          </w:tcPr>
          <w:p w14:paraId="309CBCF6">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rPr>
              <w:t>1</w:t>
            </w:r>
          </w:p>
        </w:tc>
        <w:tc>
          <w:tcPr>
            <w:tcW w:w="1200" w:type="dxa"/>
            <w:noWrap/>
            <w:vAlign w:val="center"/>
          </w:tcPr>
          <w:p w14:paraId="41B97CA4">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对投标人综合</w:t>
            </w:r>
          </w:p>
          <w:p w14:paraId="73315491">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lang w:val="en-US" w:eastAsia="zh-CN"/>
              </w:rPr>
              <w:t>实力评价</w:t>
            </w:r>
          </w:p>
        </w:tc>
        <w:tc>
          <w:tcPr>
            <w:tcW w:w="6497" w:type="dxa"/>
            <w:noWrap/>
            <w:vAlign w:val="center"/>
          </w:tcPr>
          <w:p w14:paraId="55126884">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1、投标人（或其总公司）具有ITSS 信息技术服务标准符合性证书，且业务领域为：咨询设计、运行维护，提供一个证书复印件并加盖投标人公章计</w:t>
            </w:r>
            <w:r>
              <w:rPr>
                <w:rFonts w:hint="eastAsia" w:ascii="宋体" w:hAnsi="宋体" w:cs="宋体"/>
                <w:b w:val="0"/>
                <w:bCs w:val="0"/>
                <w:color w:val="auto"/>
                <w:kern w:val="0"/>
                <w:szCs w:val="21"/>
                <w:highlight w:val="none"/>
                <w:shd w:val="clear" w:color="auto" w:fill="FFFFFF"/>
                <w:lang w:val="en-US" w:eastAsia="zh-CN"/>
              </w:rPr>
              <w:t>10</w:t>
            </w:r>
            <w:r>
              <w:rPr>
                <w:rFonts w:hint="eastAsia" w:ascii="宋体" w:hAnsi="宋体" w:eastAsia="宋体" w:cs="宋体"/>
                <w:b w:val="0"/>
                <w:bCs w:val="0"/>
                <w:color w:val="auto"/>
                <w:kern w:val="0"/>
                <w:szCs w:val="21"/>
                <w:highlight w:val="none"/>
                <w:shd w:val="clear" w:color="auto" w:fill="FFFFFF"/>
                <w:lang w:val="en-US" w:eastAsia="zh-CN"/>
              </w:rPr>
              <w:t>分，提供两个证书复印件并加盖投标人公章计</w:t>
            </w:r>
            <w:r>
              <w:rPr>
                <w:rFonts w:hint="eastAsia" w:ascii="宋体" w:hAnsi="宋体" w:cs="宋体"/>
                <w:b w:val="0"/>
                <w:bCs w:val="0"/>
                <w:color w:val="auto"/>
                <w:kern w:val="0"/>
                <w:szCs w:val="21"/>
                <w:highlight w:val="none"/>
                <w:shd w:val="clear" w:color="auto" w:fill="FFFFFF"/>
                <w:lang w:val="en-US" w:eastAsia="zh-CN"/>
              </w:rPr>
              <w:t>20</w:t>
            </w:r>
            <w:r>
              <w:rPr>
                <w:rFonts w:hint="eastAsia" w:ascii="宋体" w:hAnsi="宋体" w:eastAsia="宋体" w:cs="宋体"/>
                <w:b w:val="0"/>
                <w:bCs w:val="0"/>
                <w:color w:val="auto"/>
                <w:kern w:val="0"/>
                <w:szCs w:val="21"/>
                <w:highlight w:val="none"/>
                <w:shd w:val="clear" w:color="auto" w:fill="FFFFFF"/>
                <w:lang w:val="en-US" w:eastAsia="zh-CN"/>
              </w:rPr>
              <w:t>分，不提供的不计分。</w:t>
            </w:r>
          </w:p>
          <w:p w14:paraId="7BAA5F5E">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lang w:val="en-US" w:eastAsia="zh-CN"/>
              </w:rPr>
              <w:t>2、投标人（或其总公司）具有(GB/T37988) DSMM 数据安全能力成熟度认证证书，四级及以上计</w:t>
            </w:r>
            <w:r>
              <w:rPr>
                <w:rFonts w:hint="eastAsia" w:ascii="宋体" w:hAnsi="宋体" w:cs="宋体"/>
                <w:b w:val="0"/>
                <w:bCs w:val="0"/>
                <w:color w:val="auto"/>
                <w:kern w:val="0"/>
                <w:szCs w:val="21"/>
                <w:highlight w:val="none"/>
                <w:shd w:val="clear" w:color="auto" w:fill="FFFFFF"/>
                <w:lang w:val="en-US" w:eastAsia="zh-CN"/>
              </w:rPr>
              <w:t>20</w:t>
            </w:r>
            <w:r>
              <w:rPr>
                <w:rFonts w:hint="eastAsia" w:ascii="宋体" w:hAnsi="宋体" w:eastAsia="宋体" w:cs="宋体"/>
                <w:b w:val="0"/>
                <w:bCs w:val="0"/>
                <w:color w:val="auto"/>
                <w:kern w:val="0"/>
                <w:szCs w:val="21"/>
                <w:highlight w:val="none"/>
                <w:shd w:val="clear" w:color="auto" w:fill="FFFFFF"/>
                <w:lang w:val="en-US" w:eastAsia="zh-CN"/>
              </w:rPr>
              <w:t>分，三级计10分，二级及以下计5分。提供证书复印件并加盖投标人公章，不提供的不计分。</w:t>
            </w:r>
          </w:p>
        </w:tc>
        <w:tc>
          <w:tcPr>
            <w:tcW w:w="585" w:type="dxa"/>
            <w:noWrap/>
            <w:vAlign w:val="center"/>
          </w:tcPr>
          <w:p w14:paraId="1B9652B4">
            <w:pPr>
              <w:pStyle w:val="32"/>
              <w:keepNext w:val="0"/>
              <w:keepLines w:val="0"/>
              <w:pageBreakBefore w:val="0"/>
              <w:widowControl/>
              <w:tabs>
                <w:tab w:val="left" w:pos="6340"/>
              </w:tabs>
              <w:kinsoku w:val="0"/>
              <w:wordWrap/>
              <w:overflowPunct/>
              <w:topLinePunct w:val="0"/>
              <w:autoSpaceDE w:val="0"/>
              <w:autoSpaceDN w:val="0"/>
              <w:bidi w:val="0"/>
              <w:adjustRightInd w:val="0"/>
              <w:snapToGrid w:val="0"/>
              <w:spacing w:line="360" w:lineRule="auto"/>
              <w:ind w:left="80" w:leftChars="0" w:right="71" w:rightChars="34" w:firstLine="0" w:firstLineChars="0"/>
              <w:jc w:val="center"/>
              <w:textAlignment w:val="baseline"/>
              <w:rPr>
                <w:rFonts w:hint="default" w:ascii="宋体" w:eastAsia="宋体" w:cs="Calibri"/>
                <w:b w:val="0"/>
                <w:bCs w:val="0"/>
                <w:color w:val="auto"/>
                <w:szCs w:val="21"/>
                <w:highlight w:val="none"/>
                <w:lang w:val="en-US" w:eastAsia="zh-CN"/>
              </w:rPr>
            </w:pPr>
            <w:r>
              <w:rPr>
                <w:rFonts w:hint="eastAsia" w:cs="Calibri"/>
                <w:b w:val="0"/>
                <w:bCs w:val="0"/>
                <w:color w:val="auto"/>
                <w:szCs w:val="21"/>
                <w:highlight w:val="none"/>
                <w:lang w:val="en-US" w:eastAsia="zh-CN"/>
              </w:rPr>
              <w:t>40</w:t>
            </w:r>
          </w:p>
        </w:tc>
        <w:tc>
          <w:tcPr>
            <w:tcW w:w="436" w:type="dxa"/>
            <w:noWrap/>
            <w:vAlign w:val="center"/>
          </w:tcPr>
          <w:p w14:paraId="533A5DB8">
            <w:pPr>
              <w:tabs>
                <w:tab w:val="left" w:pos="0"/>
              </w:tabs>
              <w:adjustRightInd w:val="0"/>
              <w:spacing w:line="400" w:lineRule="exact"/>
              <w:ind w:left="81" w:leftChars="39" w:right="73" w:rightChars="35" w:firstLine="4"/>
              <w:rPr>
                <w:rFonts w:ascii="宋体" w:cs="Calibri"/>
                <w:b w:val="0"/>
                <w:bCs w:val="0"/>
                <w:color w:val="auto"/>
                <w:szCs w:val="21"/>
                <w:highlight w:val="none"/>
              </w:rPr>
            </w:pPr>
          </w:p>
        </w:tc>
        <w:tc>
          <w:tcPr>
            <w:tcW w:w="435" w:type="dxa"/>
            <w:noWrap/>
            <w:vAlign w:val="center"/>
          </w:tcPr>
          <w:p w14:paraId="27BB832F">
            <w:pPr>
              <w:tabs>
                <w:tab w:val="left" w:pos="0"/>
              </w:tabs>
              <w:adjustRightInd w:val="0"/>
              <w:spacing w:line="400" w:lineRule="exact"/>
              <w:ind w:left="81" w:leftChars="39" w:right="73" w:rightChars="35" w:firstLine="4"/>
              <w:rPr>
                <w:rFonts w:ascii="宋体" w:cs="Calibri"/>
                <w:b w:val="0"/>
                <w:bCs w:val="0"/>
                <w:color w:val="auto"/>
                <w:szCs w:val="21"/>
                <w:highlight w:val="none"/>
              </w:rPr>
            </w:pPr>
          </w:p>
        </w:tc>
        <w:tc>
          <w:tcPr>
            <w:tcW w:w="393" w:type="dxa"/>
            <w:noWrap/>
            <w:vAlign w:val="center"/>
          </w:tcPr>
          <w:p w14:paraId="7AFCC34B">
            <w:pPr>
              <w:tabs>
                <w:tab w:val="left" w:pos="0"/>
              </w:tabs>
              <w:adjustRightInd w:val="0"/>
              <w:spacing w:line="400" w:lineRule="exact"/>
              <w:ind w:left="81" w:leftChars="39" w:right="73" w:rightChars="35" w:firstLine="4"/>
              <w:rPr>
                <w:rFonts w:ascii="宋体" w:cs="Calibri"/>
                <w:b w:val="0"/>
                <w:bCs w:val="0"/>
                <w:color w:val="auto"/>
                <w:szCs w:val="21"/>
                <w:highlight w:val="none"/>
              </w:rPr>
            </w:pPr>
          </w:p>
        </w:tc>
      </w:tr>
      <w:tr w14:paraId="28CC0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732" w:type="dxa"/>
            <w:noWrap/>
            <w:vAlign w:val="center"/>
          </w:tcPr>
          <w:p w14:paraId="76F7BA3D">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rPr>
              <w:t>2</w:t>
            </w:r>
          </w:p>
        </w:tc>
        <w:tc>
          <w:tcPr>
            <w:tcW w:w="1200" w:type="dxa"/>
            <w:noWrap/>
            <w:vAlign w:val="center"/>
          </w:tcPr>
          <w:p w14:paraId="0CF4BCF1">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对拟投入本项目技术力量的评价</w:t>
            </w:r>
          </w:p>
        </w:tc>
        <w:tc>
          <w:tcPr>
            <w:tcW w:w="6497" w:type="dxa"/>
            <w:noWrap/>
            <w:vAlign w:val="center"/>
          </w:tcPr>
          <w:p w14:paraId="5CBC8D5D">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根据投标人拟投入本项目运维保障组织技术力量的职业资格的情况进行评分（相关证书需由政府行政主管机构颁发）：</w:t>
            </w:r>
            <w:r>
              <w:rPr>
                <w:rFonts w:hint="eastAsia" w:ascii="宋体" w:hAnsi="宋体" w:eastAsia="宋体" w:cs="宋体"/>
                <w:b w:val="0"/>
                <w:bCs w:val="0"/>
                <w:color w:val="auto"/>
                <w:kern w:val="0"/>
                <w:szCs w:val="21"/>
                <w:highlight w:val="none"/>
                <w:shd w:val="clear" w:color="auto" w:fill="FFFFFF"/>
                <w:lang w:val="en-US" w:eastAsia="zh-CN"/>
              </w:rPr>
              <w:br w:type="textWrapping"/>
            </w:r>
            <w:r>
              <w:rPr>
                <w:rFonts w:hint="eastAsia" w:ascii="宋体" w:hAnsi="宋体" w:eastAsia="宋体" w:cs="宋体"/>
                <w:b w:val="0"/>
                <w:bCs w:val="0"/>
                <w:color w:val="auto"/>
                <w:kern w:val="0"/>
                <w:szCs w:val="21"/>
                <w:highlight w:val="none"/>
                <w:shd w:val="clear" w:color="auto" w:fill="FFFFFF"/>
                <w:lang w:val="en-US" w:eastAsia="zh-CN"/>
              </w:rPr>
              <w:t>1</w:t>
            </w:r>
            <w:r>
              <w:rPr>
                <w:rFonts w:hint="eastAsia" w:ascii="宋体" w:hAnsi="宋体" w:cs="宋体"/>
                <w:b w:val="0"/>
                <w:bCs w:val="0"/>
                <w:color w:val="auto"/>
                <w:kern w:val="0"/>
                <w:szCs w:val="21"/>
                <w:highlight w:val="none"/>
                <w:shd w:val="clear" w:color="auto" w:fill="FFFFFF"/>
                <w:lang w:val="en-US" w:eastAsia="zh-CN"/>
              </w:rPr>
              <w:t>.</w:t>
            </w:r>
            <w:r>
              <w:rPr>
                <w:rFonts w:hint="eastAsia" w:ascii="宋体" w:hAnsi="宋体" w:eastAsia="宋体" w:cs="宋体"/>
                <w:b w:val="0"/>
                <w:bCs w:val="0"/>
                <w:color w:val="auto"/>
                <w:kern w:val="0"/>
                <w:szCs w:val="21"/>
                <w:highlight w:val="none"/>
                <w:shd w:val="clear" w:color="auto" w:fill="FFFFFF"/>
                <w:lang w:val="en-US" w:eastAsia="zh-CN"/>
              </w:rPr>
              <w:t>投标人拟投入本项目的项目经理具有信息系统项目管理师证书</w:t>
            </w:r>
            <w:r>
              <w:rPr>
                <w:rFonts w:hint="eastAsia" w:ascii="宋体" w:hAnsi="宋体" w:cs="宋体"/>
                <w:b w:val="0"/>
                <w:bCs w:val="0"/>
                <w:color w:val="auto"/>
                <w:kern w:val="0"/>
                <w:szCs w:val="21"/>
                <w:highlight w:val="none"/>
                <w:shd w:val="clear" w:color="auto" w:fill="FFFFFF"/>
                <w:lang w:val="en-US" w:eastAsia="zh-CN"/>
              </w:rPr>
              <w:t>、</w:t>
            </w:r>
            <w:r>
              <w:rPr>
                <w:rFonts w:hint="eastAsia" w:ascii="宋体" w:hAnsi="宋体" w:eastAsia="宋体" w:cs="宋体"/>
                <w:b w:val="0"/>
                <w:bCs w:val="0"/>
                <w:color w:val="auto"/>
                <w:kern w:val="0"/>
                <w:szCs w:val="21"/>
                <w:highlight w:val="none"/>
                <w:shd w:val="clear" w:color="auto" w:fill="FFFFFF"/>
                <w:lang w:val="en-US" w:eastAsia="zh-CN"/>
              </w:rPr>
              <w:t>网络规划设计师证书的</w:t>
            </w:r>
            <w:r>
              <w:rPr>
                <w:rFonts w:hint="eastAsia" w:ascii="宋体" w:hAnsi="宋体" w:cs="宋体"/>
                <w:b w:val="0"/>
                <w:bCs w:val="0"/>
                <w:color w:val="auto"/>
                <w:kern w:val="0"/>
                <w:szCs w:val="21"/>
                <w:highlight w:val="none"/>
                <w:shd w:val="clear" w:color="auto" w:fill="FFFFFF"/>
                <w:lang w:val="en-US" w:eastAsia="zh-CN"/>
              </w:rPr>
              <w:t>每提供一个计6</w:t>
            </w:r>
            <w:r>
              <w:rPr>
                <w:rFonts w:hint="eastAsia" w:ascii="宋体" w:hAnsi="宋体" w:eastAsia="宋体" w:cs="宋体"/>
                <w:b w:val="0"/>
                <w:bCs w:val="0"/>
                <w:color w:val="auto"/>
                <w:kern w:val="0"/>
                <w:szCs w:val="21"/>
                <w:highlight w:val="none"/>
                <w:shd w:val="clear" w:color="auto" w:fill="FFFFFF"/>
                <w:lang w:val="en-US" w:eastAsia="zh-CN"/>
              </w:rPr>
              <w:t>分,</w:t>
            </w:r>
            <w:r>
              <w:rPr>
                <w:rFonts w:hint="eastAsia" w:ascii="宋体" w:hAnsi="宋体" w:cs="宋体"/>
                <w:b w:val="0"/>
                <w:bCs w:val="0"/>
                <w:color w:val="auto"/>
                <w:kern w:val="0"/>
                <w:szCs w:val="21"/>
                <w:highlight w:val="none"/>
                <w:shd w:val="clear" w:color="auto" w:fill="FFFFFF"/>
                <w:lang w:val="en-US" w:eastAsia="zh-CN"/>
              </w:rPr>
              <w:t>最多得12分，</w:t>
            </w:r>
            <w:r>
              <w:rPr>
                <w:rFonts w:hint="eastAsia" w:ascii="宋体" w:hAnsi="宋体" w:eastAsia="宋体" w:cs="宋体"/>
                <w:b w:val="0"/>
                <w:bCs w:val="0"/>
                <w:color w:val="auto"/>
                <w:kern w:val="0"/>
                <w:szCs w:val="21"/>
                <w:highlight w:val="none"/>
                <w:shd w:val="clear" w:color="auto" w:fill="FFFFFF"/>
                <w:lang w:val="en-US" w:eastAsia="zh-CN"/>
              </w:rPr>
              <w:t>不提供不得分。</w:t>
            </w:r>
          </w:p>
          <w:p w14:paraId="2B0F534E">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2.投标人拟投入本项目的实施团队成员具有相关专业（信息类或网络类或计算机类）中级工程师证书</w:t>
            </w:r>
            <w:r>
              <w:rPr>
                <w:rFonts w:hint="eastAsia" w:ascii="宋体" w:hAnsi="宋体" w:cs="宋体"/>
                <w:b w:val="0"/>
                <w:bCs w:val="0"/>
                <w:color w:val="auto"/>
                <w:kern w:val="0"/>
                <w:szCs w:val="21"/>
                <w:highlight w:val="none"/>
                <w:shd w:val="clear" w:color="auto" w:fill="FFFFFF"/>
                <w:lang w:val="en-US" w:eastAsia="zh-CN"/>
              </w:rPr>
              <w:t>及以上</w:t>
            </w:r>
            <w:r>
              <w:rPr>
                <w:rFonts w:hint="eastAsia" w:ascii="宋体" w:hAnsi="宋体" w:eastAsia="宋体" w:cs="宋体"/>
                <w:b w:val="0"/>
                <w:bCs w:val="0"/>
                <w:color w:val="auto"/>
                <w:kern w:val="0"/>
                <w:szCs w:val="21"/>
                <w:highlight w:val="none"/>
                <w:shd w:val="clear" w:color="auto" w:fill="FFFFFF"/>
                <w:lang w:val="en-US" w:eastAsia="zh-CN"/>
              </w:rPr>
              <w:t>的：每提供一个证书</w:t>
            </w:r>
            <w:r>
              <w:rPr>
                <w:rFonts w:hint="eastAsia" w:ascii="宋体" w:hAnsi="宋体" w:cs="宋体"/>
                <w:b w:val="0"/>
                <w:bCs w:val="0"/>
                <w:color w:val="auto"/>
                <w:kern w:val="0"/>
                <w:szCs w:val="21"/>
                <w:highlight w:val="none"/>
                <w:shd w:val="clear" w:color="auto" w:fill="FFFFFF"/>
                <w:lang w:val="en-US" w:eastAsia="zh-CN"/>
              </w:rPr>
              <w:t>计3</w:t>
            </w:r>
            <w:r>
              <w:rPr>
                <w:rFonts w:hint="eastAsia" w:ascii="宋体" w:hAnsi="宋体" w:eastAsia="宋体" w:cs="宋体"/>
                <w:b w:val="0"/>
                <w:bCs w:val="0"/>
                <w:color w:val="auto"/>
                <w:kern w:val="0"/>
                <w:szCs w:val="21"/>
                <w:highlight w:val="none"/>
                <w:shd w:val="clear" w:color="auto" w:fill="FFFFFF"/>
                <w:lang w:val="en-US" w:eastAsia="zh-CN"/>
              </w:rPr>
              <w:t>分，最多记1</w:t>
            </w:r>
            <w:r>
              <w:rPr>
                <w:rFonts w:hint="eastAsia" w:ascii="宋体" w:hAnsi="宋体" w:cs="宋体"/>
                <w:b w:val="0"/>
                <w:bCs w:val="0"/>
                <w:color w:val="auto"/>
                <w:kern w:val="0"/>
                <w:szCs w:val="21"/>
                <w:highlight w:val="none"/>
                <w:shd w:val="clear" w:color="auto" w:fill="FFFFFF"/>
                <w:lang w:val="en-US" w:eastAsia="zh-CN"/>
              </w:rPr>
              <w:t>8</w:t>
            </w:r>
            <w:r>
              <w:rPr>
                <w:rFonts w:hint="eastAsia" w:ascii="宋体" w:hAnsi="宋体" w:eastAsia="宋体" w:cs="宋体"/>
                <w:b w:val="0"/>
                <w:bCs w:val="0"/>
                <w:color w:val="auto"/>
                <w:kern w:val="0"/>
                <w:szCs w:val="21"/>
                <w:highlight w:val="none"/>
                <w:shd w:val="clear" w:color="auto" w:fill="FFFFFF"/>
                <w:lang w:val="en-US" w:eastAsia="zh-CN"/>
              </w:rPr>
              <w:t>分。</w:t>
            </w:r>
            <w:r>
              <w:rPr>
                <w:rFonts w:hint="eastAsia" w:ascii="宋体" w:hAnsi="宋体" w:cs="宋体"/>
                <w:b w:val="0"/>
                <w:bCs w:val="0"/>
                <w:color w:val="auto"/>
                <w:kern w:val="0"/>
                <w:szCs w:val="21"/>
                <w:highlight w:val="none"/>
                <w:shd w:val="clear" w:color="auto" w:fill="FFFFFF"/>
                <w:lang w:val="en-US" w:eastAsia="zh-CN"/>
              </w:rPr>
              <w:t>（一人多证按一个证书计算）</w:t>
            </w:r>
          </w:p>
          <w:p w14:paraId="4698E72C">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lang w:val="en-US" w:eastAsia="zh-CN"/>
              </w:rPr>
              <w:t>注：要求投标文件中提供以上人员证书及其近半年在本单位缴纳社会养老保险任意连续三个月的证明材料（复印件加盖投标人公章），没有提供或提供资料不全的不计分。</w:t>
            </w:r>
          </w:p>
        </w:tc>
        <w:tc>
          <w:tcPr>
            <w:tcW w:w="585" w:type="dxa"/>
            <w:noWrap/>
            <w:vAlign w:val="center"/>
          </w:tcPr>
          <w:p w14:paraId="22EAD9E2">
            <w:pPr>
              <w:adjustRightInd w:val="0"/>
              <w:snapToGrid w:val="0"/>
              <w:spacing w:line="300" w:lineRule="exact"/>
              <w:jc w:val="center"/>
              <w:rPr>
                <w:rFonts w:hint="default" w:ascii="宋体" w:cs="Calibri"/>
                <w:b w:val="0"/>
                <w:bCs w:val="0"/>
                <w:color w:val="auto"/>
                <w:szCs w:val="21"/>
                <w:highlight w:val="none"/>
                <w:lang w:val="en-US" w:eastAsia="zh-CN"/>
              </w:rPr>
            </w:pPr>
            <w:r>
              <w:rPr>
                <w:rFonts w:hint="eastAsia" w:ascii="宋体" w:cs="Calibri"/>
                <w:b w:val="0"/>
                <w:bCs w:val="0"/>
                <w:color w:val="auto"/>
                <w:szCs w:val="21"/>
                <w:highlight w:val="none"/>
                <w:lang w:val="en-US" w:eastAsia="zh-CN"/>
              </w:rPr>
              <w:t>30</w:t>
            </w:r>
          </w:p>
        </w:tc>
        <w:tc>
          <w:tcPr>
            <w:tcW w:w="436" w:type="dxa"/>
            <w:noWrap/>
            <w:vAlign w:val="center"/>
          </w:tcPr>
          <w:p w14:paraId="21A5D0C6">
            <w:pPr>
              <w:tabs>
                <w:tab w:val="left" w:pos="0"/>
              </w:tabs>
              <w:adjustRightInd w:val="0"/>
              <w:spacing w:line="400" w:lineRule="exact"/>
              <w:ind w:left="81" w:leftChars="39" w:right="73" w:rightChars="35" w:firstLine="4"/>
              <w:rPr>
                <w:rFonts w:ascii="宋体" w:cs="Calibri"/>
                <w:b w:val="0"/>
                <w:bCs w:val="0"/>
                <w:color w:val="auto"/>
                <w:szCs w:val="21"/>
                <w:highlight w:val="none"/>
              </w:rPr>
            </w:pPr>
          </w:p>
        </w:tc>
        <w:tc>
          <w:tcPr>
            <w:tcW w:w="435" w:type="dxa"/>
            <w:noWrap/>
            <w:vAlign w:val="center"/>
          </w:tcPr>
          <w:p w14:paraId="595CC4F6">
            <w:pPr>
              <w:tabs>
                <w:tab w:val="left" w:pos="0"/>
              </w:tabs>
              <w:adjustRightInd w:val="0"/>
              <w:spacing w:line="400" w:lineRule="exact"/>
              <w:ind w:left="81" w:leftChars="39" w:right="73" w:rightChars="35" w:firstLine="4"/>
              <w:rPr>
                <w:rFonts w:ascii="宋体" w:cs="Calibri"/>
                <w:b w:val="0"/>
                <w:bCs w:val="0"/>
                <w:color w:val="auto"/>
                <w:szCs w:val="21"/>
                <w:highlight w:val="none"/>
              </w:rPr>
            </w:pPr>
          </w:p>
        </w:tc>
        <w:tc>
          <w:tcPr>
            <w:tcW w:w="393" w:type="dxa"/>
            <w:noWrap/>
            <w:vAlign w:val="center"/>
          </w:tcPr>
          <w:p w14:paraId="3EAA5433">
            <w:pPr>
              <w:tabs>
                <w:tab w:val="left" w:pos="0"/>
              </w:tabs>
              <w:adjustRightInd w:val="0"/>
              <w:spacing w:line="400" w:lineRule="exact"/>
              <w:ind w:left="81" w:leftChars="39" w:right="73" w:rightChars="35" w:firstLine="4"/>
              <w:rPr>
                <w:rFonts w:ascii="宋体" w:cs="Calibri"/>
                <w:b w:val="0"/>
                <w:bCs w:val="0"/>
                <w:color w:val="auto"/>
                <w:szCs w:val="21"/>
                <w:highlight w:val="none"/>
              </w:rPr>
            </w:pPr>
          </w:p>
        </w:tc>
      </w:tr>
      <w:tr w14:paraId="218C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2" w:hRule="atLeast"/>
          <w:jc w:val="center"/>
        </w:trPr>
        <w:tc>
          <w:tcPr>
            <w:tcW w:w="732" w:type="dxa"/>
            <w:shd w:val="clear" w:color="auto" w:fill="FFFFFF"/>
            <w:noWrap/>
            <w:vAlign w:val="center"/>
          </w:tcPr>
          <w:p w14:paraId="4DA15534">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lang w:val="en-US" w:eastAsia="zh-CN"/>
              </w:rPr>
            </w:pPr>
            <w:r>
              <w:rPr>
                <w:rFonts w:hint="eastAsia" w:ascii="宋体" w:hAnsi="宋体" w:eastAsia="宋体" w:cs="宋体"/>
                <w:b w:val="0"/>
                <w:bCs w:val="0"/>
                <w:color w:val="auto"/>
                <w:kern w:val="0"/>
                <w:szCs w:val="21"/>
                <w:highlight w:val="none"/>
                <w:shd w:val="clear" w:color="auto" w:fill="FFFFFF"/>
                <w:lang w:val="en-US" w:eastAsia="zh-CN"/>
              </w:rPr>
              <w:t>3</w:t>
            </w:r>
          </w:p>
        </w:tc>
        <w:tc>
          <w:tcPr>
            <w:tcW w:w="1200" w:type="dxa"/>
            <w:shd w:val="clear" w:color="auto" w:fill="FFFFFF"/>
            <w:noWrap/>
            <w:vAlign w:val="center"/>
          </w:tcPr>
          <w:p w14:paraId="0E632F4A">
            <w:pPr>
              <w:adjustRightInd w:val="0"/>
              <w:snapToGrid w:val="0"/>
              <w:spacing w:line="300" w:lineRule="exact"/>
              <w:jc w:val="center"/>
              <w:rPr>
                <w:rFonts w:hint="eastAsia" w:ascii="宋体" w:hAnsi="宋体" w:eastAsia="宋体" w:cs="宋体"/>
                <w:b w:val="0"/>
                <w:bCs w:val="0"/>
                <w:color w:val="auto"/>
                <w:kern w:val="0"/>
                <w:szCs w:val="21"/>
                <w:highlight w:val="none"/>
                <w:shd w:val="clear" w:color="auto" w:fill="FFFFFF"/>
              </w:rPr>
            </w:pPr>
            <w:r>
              <w:rPr>
                <w:rFonts w:hint="eastAsia" w:ascii="宋体" w:hAnsi="宋体" w:eastAsia="宋体" w:cs="宋体"/>
                <w:b w:val="0"/>
                <w:bCs w:val="0"/>
                <w:color w:val="auto"/>
                <w:kern w:val="0"/>
                <w:szCs w:val="21"/>
                <w:highlight w:val="none"/>
                <w:shd w:val="clear" w:color="auto" w:fill="FFFFFF"/>
                <w:lang w:val="en-US" w:eastAsia="zh-CN"/>
              </w:rPr>
              <w:t>对投标人业绩评价</w:t>
            </w:r>
          </w:p>
        </w:tc>
        <w:tc>
          <w:tcPr>
            <w:tcW w:w="6497" w:type="dxa"/>
            <w:shd w:val="clear" w:color="auto" w:fill="FFFFFF"/>
            <w:noWrap/>
            <w:vAlign w:val="center"/>
          </w:tcPr>
          <w:p w14:paraId="79FFD35F">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lang w:eastAsia="zh-CN"/>
              </w:rPr>
            </w:pPr>
            <w:r>
              <w:rPr>
                <w:rFonts w:hint="eastAsia" w:ascii="宋体" w:hAnsi="宋体" w:eastAsia="宋体" w:cs="宋体"/>
                <w:b w:val="0"/>
                <w:bCs w:val="0"/>
                <w:color w:val="auto"/>
                <w:kern w:val="0"/>
                <w:szCs w:val="21"/>
                <w:highlight w:val="none"/>
                <w:shd w:val="clear" w:color="auto" w:fill="FFFFFF"/>
                <w:lang w:eastAsia="zh-CN"/>
              </w:rPr>
              <w:t>投标人具有类似业绩的，每提供一个计 10 分，最多计 30分。</w:t>
            </w:r>
          </w:p>
          <w:p w14:paraId="4A9513A5">
            <w:pPr>
              <w:adjustRightInd w:val="0"/>
              <w:snapToGrid w:val="0"/>
              <w:spacing w:line="300" w:lineRule="exact"/>
              <w:jc w:val="left"/>
              <w:rPr>
                <w:rFonts w:hint="eastAsia" w:ascii="宋体" w:hAnsi="宋体" w:eastAsia="宋体" w:cs="宋体"/>
                <w:b w:val="0"/>
                <w:bCs w:val="0"/>
                <w:color w:val="auto"/>
                <w:kern w:val="0"/>
                <w:szCs w:val="21"/>
                <w:highlight w:val="none"/>
                <w:shd w:val="clear" w:color="auto" w:fill="FFFFFF"/>
                <w:lang w:eastAsia="zh-CN"/>
              </w:rPr>
            </w:pPr>
            <w:r>
              <w:rPr>
                <w:rFonts w:hint="eastAsia" w:ascii="宋体" w:hAnsi="宋体" w:eastAsia="宋体" w:cs="宋体"/>
                <w:b w:val="0"/>
                <w:bCs w:val="0"/>
                <w:color w:val="auto"/>
                <w:kern w:val="0"/>
                <w:szCs w:val="21"/>
                <w:highlight w:val="none"/>
                <w:shd w:val="clear" w:color="auto" w:fill="FFFFFF"/>
                <w:lang w:eastAsia="zh-CN"/>
              </w:rPr>
              <w:t xml:space="preserve"> 注：提供相应合同复印件并加盖投标人公章，否则不计分。</w:t>
            </w:r>
          </w:p>
        </w:tc>
        <w:tc>
          <w:tcPr>
            <w:tcW w:w="585" w:type="dxa"/>
            <w:shd w:val="clear" w:color="auto" w:fill="FFFFFF"/>
            <w:noWrap/>
            <w:vAlign w:val="center"/>
          </w:tcPr>
          <w:p w14:paraId="0E234D63">
            <w:pPr>
              <w:adjustRightInd w:val="0"/>
              <w:snapToGrid w:val="0"/>
              <w:spacing w:line="300" w:lineRule="exact"/>
              <w:jc w:val="center"/>
              <w:rPr>
                <w:rFonts w:hint="default" w:ascii="宋体" w:hAnsi="宋体" w:eastAsia="宋体" w:cs="宋体"/>
                <w:b w:val="0"/>
                <w:bCs w:val="0"/>
                <w:color w:val="auto"/>
                <w:kern w:val="0"/>
                <w:szCs w:val="21"/>
                <w:highlight w:val="none"/>
                <w:shd w:val="clear" w:color="auto" w:fill="FFFFFF"/>
                <w:lang w:val="en-US" w:eastAsia="zh-CN"/>
              </w:rPr>
            </w:pPr>
            <w:r>
              <w:rPr>
                <w:rFonts w:hint="eastAsia" w:ascii="宋体" w:hAnsi="宋体" w:cs="宋体"/>
                <w:b w:val="0"/>
                <w:bCs w:val="0"/>
                <w:color w:val="auto"/>
                <w:kern w:val="0"/>
                <w:szCs w:val="21"/>
                <w:highlight w:val="none"/>
                <w:shd w:val="clear" w:color="auto" w:fill="FFFFFF"/>
                <w:lang w:val="en-US" w:eastAsia="zh-CN"/>
              </w:rPr>
              <w:t>30</w:t>
            </w:r>
          </w:p>
        </w:tc>
        <w:tc>
          <w:tcPr>
            <w:tcW w:w="436" w:type="dxa"/>
            <w:shd w:val="clear" w:color="auto" w:fill="FFFFFF"/>
            <w:noWrap/>
            <w:vAlign w:val="center"/>
          </w:tcPr>
          <w:p w14:paraId="45B44A50">
            <w:pPr>
              <w:adjustRightInd w:val="0"/>
              <w:snapToGrid w:val="0"/>
              <w:spacing w:line="300" w:lineRule="exact"/>
              <w:rPr>
                <w:rFonts w:ascii="宋体" w:hAnsi="宋体" w:cs="宋体"/>
                <w:b w:val="0"/>
                <w:bCs w:val="0"/>
                <w:color w:val="auto"/>
                <w:kern w:val="0"/>
                <w:szCs w:val="21"/>
                <w:highlight w:val="none"/>
                <w:shd w:val="clear" w:color="auto" w:fill="FFFFFF"/>
              </w:rPr>
            </w:pPr>
          </w:p>
        </w:tc>
        <w:tc>
          <w:tcPr>
            <w:tcW w:w="435" w:type="dxa"/>
            <w:shd w:val="clear" w:color="auto" w:fill="FFFFFF"/>
            <w:noWrap/>
            <w:vAlign w:val="center"/>
          </w:tcPr>
          <w:p w14:paraId="58EE0B01">
            <w:pPr>
              <w:adjustRightInd w:val="0"/>
              <w:snapToGrid w:val="0"/>
              <w:spacing w:line="300" w:lineRule="exact"/>
              <w:rPr>
                <w:rFonts w:ascii="宋体" w:hAnsi="宋体" w:cs="宋体"/>
                <w:b w:val="0"/>
                <w:bCs w:val="0"/>
                <w:color w:val="auto"/>
                <w:kern w:val="0"/>
                <w:szCs w:val="21"/>
                <w:highlight w:val="none"/>
                <w:shd w:val="clear" w:color="auto" w:fill="FFFFFF"/>
              </w:rPr>
            </w:pPr>
          </w:p>
        </w:tc>
        <w:tc>
          <w:tcPr>
            <w:tcW w:w="393" w:type="dxa"/>
            <w:shd w:val="clear" w:color="auto" w:fill="FFFFFF"/>
            <w:noWrap/>
            <w:vAlign w:val="center"/>
          </w:tcPr>
          <w:p w14:paraId="08D8DDDC">
            <w:pPr>
              <w:adjustRightInd w:val="0"/>
              <w:snapToGrid w:val="0"/>
              <w:spacing w:line="260" w:lineRule="exact"/>
              <w:jc w:val="center"/>
              <w:rPr>
                <w:rFonts w:ascii="宋体" w:hAnsi="宋体" w:cs="宋体"/>
                <w:b w:val="0"/>
                <w:bCs w:val="0"/>
                <w:color w:val="auto"/>
                <w:kern w:val="0"/>
                <w:szCs w:val="21"/>
                <w:highlight w:val="none"/>
                <w:shd w:val="clear" w:color="auto" w:fill="FFFFFF"/>
              </w:rPr>
            </w:pPr>
          </w:p>
        </w:tc>
      </w:tr>
      <w:tr w14:paraId="02667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0278" w:type="dxa"/>
            <w:gridSpan w:val="7"/>
            <w:shd w:val="clear" w:color="auto" w:fill="FFFFFF"/>
            <w:noWrap/>
            <w:vAlign w:val="center"/>
          </w:tcPr>
          <w:p w14:paraId="3366C55C">
            <w:pPr>
              <w:widowControl/>
              <w:adjustRightInd w:val="0"/>
              <w:snapToGrid w:val="0"/>
              <w:spacing w:line="300" w:lineRule="exact"/>
              <w:jc w:val="left"/>
              <w:rPr>
                <w:rFonts w:ascii="宋体" w:hAnsi="宋体" w:cs="宋体"/>
                <w:b w:val="0"/>
                <w:bCs w:val="0"/>
                <w:color w:val="auto"/>
                <w:kern w:val="0"/>
                <w:szCs w:val="21"/>
                <w:highlight w:val="none"/>
                <w:shd w:val="clear" w:color="auto" w:fill="FFFFFF"/>
              </w:rPr>
            </w:pPr>
            <w:r>
              <w:rPr>
                <w:rFonts w:hint="eastAsia" w:ascii="宋体" w:hAnsi="宋体" w:cs="宋体"/>
                <w:b w:val="0"/>
                <w:bCs w:val="0"/>
                <w:color w:val="auto"/>
                <w:kern w:val="0"/>
                <w:szCs w:val="21"/>
                <w:highlight w:val="none"/>
                <w:shd w:val="clear" w:color="auto" w:fill="FFFFFF"/>
              </w:rPr>
              <w:t>专家评委签字：</w:t>
            </w:r>
          </w:p>
          <w:p w14:paraId="098F02B7">
            <w:pPr>
              <w:widowControl/>
              <w:adjustRightInd w:val="0"/>
              <w:snapToGrid w:val="0"/>
              <w:spacing w:line="300" w:lineRule="exact"/>
              <w:jc w:val="center"/>
              <w:rPr>
                <w:rFonts w:ascii="宋体" w:hAnsi="宋体" w:cs="宋体"/>
                <w:b w:val="0"/>
                <w:bCs w:val="0"/>
                <w:color w:val="auto"/>
                <w:kern w:val="0"/>
                <w:szCs w:val="21"/>
                <w:highlight w:val="none"/>
                <w:shd w:val="clear" w:color="auto" w:fill="FFFFFF"/>
              </w:rPr>
            </w:pPr>
          </w:p>
        </w:tc>
      </w:tr>
    </w:tbl>
    <w:p w14:paraId="7E2AA838">
      <w:pPr>
        <w:rPr>
          <w:rFonts w:hint="eastAsia" w:ascii="黑体" w:hAnsi="华文中宋" w:eastAsia="黑体"/>
          <w:sz w:val="32"/>
          <w:szCs w:val="32"/>
        </w:rPr>
      </w:pPr>
      <w:r>
        <w:rPr>
          <w:rFonts w:hint="eastAsia" w:ascii="黑体" w:hAnsi="华文中宋" w:eastAsia="黑体"/>
          <w:sz w:val="32"/>
          <w:szCs w:val="32"/>
        </w:rPr>
        <w:br w:type="page"/>
      </w:r>
    </w:p>
    <w:p w14:paraId="5C305E84">
      <w:pPr>
        <w:pStyle w:val="3"/>
        <w:rPr>
          <w:rFonts w:hint="eastAsia"/>
        </w:rPr>
      </w:pPr>
    </w:p>
    <w:p w14:paraId="562AA7F6">
      <w:pPr>
        <w:pStyle w:val="2"/>
        <w:keepNext w:val="0"/>
        <w:adjustRightInd w:val="0"/>
        <w:snapToGrid w:val="0"/>
        <w:spacing w:before="156" w:beforeLines="50" w:line="360" w:lineRule="auto"/>
        <w:rPr>
          <w:rFonts w:hint="eastAsia" w:ascii="黑体" w:hAnsi="华文中宋" w:eastAsia="黑体"/>
          <w:sz w:val="32"/>
          <w:szCs w:val="32"/>
        </w:rPr>
      </w:pPr>
      <w:r>
        <w:rPr>
          <w:rFonts w:hint="eastAsia" w:ascii="黑体" w:hAnsi="华文中宋" w:eastAsia="黑体"/>
          <w:sz w:val="32"/>
          <w:szCs w:val="32"/>
        </w:rPr>
        <w:t>第五章 采购需求</w:t>
      </w:r>
      <w:bookmarkEnd w:id="133"/>
      <w:bookmarkEnd w:id="134"/>
      <w:bookmarkEnd w:id="135"/>
    </w:p>
    <w:p w14:paraId="09CE3060">
      <w:pPr>
        <w:pStyle w:val="4"/>
        <w:adjustRightInd w:val="0"/>
        <w:snapToGrid w:val="0"/>
        <w:spacing w:before="156" w:beforeLines="50"/>
        <w:jc w:val="center"/>
        <w:rPr>
          <w:rFonts w:hint="eastAsia" w:ascii="黑体" w:hAnsi="黑体" w:eastAsia="黑体"/>
          <w:color w:val="8497B0" w:themeColor="text2" w:themeTint="99"/>
          <w:sz w:val="52"/>
          <w:szCs w:val="52"/>
          <w14:textFill>
            <w14:solidFill>
              <w14:schemeClr w14:val="tx2">
                <w14:lumMod w14:val="60000"/>
                <w14:lumOff w14:val="40000"/>
              </w14:schemeClr>
            </w14:solidFill>
          </w14:textFill>
        </w:rPr>
      </w:pPr>
      <w:bookmarkStart w:id="136" w:name="_Toc26541"/>
      <w:bookmarkStart w:id="137" w:name="_Toc3144"/>
      <w:r>
        <w:rPr>
          <w:rFonts w:hint="eastAsia" w:ascii="黑体" w:hAnsi="黑体" w:eastAsia="黑体"/>
          <w:sz w:val="28"/>
          <w:szCs w:val="28"/>
        </w:rPr>
        <w:t>第一节 采购清单一览表</w:t>
      </w:r>
      <w:bookmarkEnd w:id="136"/>
      <w:bookmarkEnd w:id="137"/>
    </w:p>
    <w:tbl>
      <w:tblPr>
        <w:tblStyle w:val="21"/>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678"/>
        <w:gridCol w:w="2460"/>
        <w:gridCol w:w="2850"/>
        <w:gridCol w:w="1140"/>
        <w:gridCol w:w="1431"/>
        <w:gridCol w:w="501"/>
      </w:tblGrid>
      <w:tr w14:paraId="1AD979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678" w:type="dxa"/>
            <w:vMerge w:val="restart"/>
            <w:vAlign w:val="center"/>
          </w:tcPr>
          <w:p w14:paraId="462FBE28">
            <w:pPr>
              <w:adjustRightInd w:val="0"/>
              <w:snapToGrid w:val="0"/>
              <w:spacing w:line="360" w:lineRule="auto"/>
              <w:jc w:val="center"/>
              <w:rPr>
                <w:szCs w:val="21"/>
              </w:rPr>
            </w:pPr>
            <w:r>
              <w:rPr>
                <w:rFonts w:hint="eastAsia"/>
                <w:szCs w:val="21"/>
              </w:rPr>
              <w:t xml:space="preserve">包号 </w:t>
            </w:r>
          </w:p>
        </w:tc>
        <w:tc>
          <w:tcPr>
            <w:tcW w:w="2460" w:type="dxa"/>
            <w:vMerge w:val="restart"/>
            <w:vAlign w:val="center"/>
          </w:tcPr>
          <w:p w14:paraId="7CDFD1CE">
            <w:pPr>
              <w:adjustRightInd w:val="0"/>
              <w:snapToGrid w:val="0"/>
              <w:spacing w:line="360" w:lineRule="auto"/>
              <w:jc w:val="center"/>
              <w:rPr>
                <w:szCs w:val="21"/>
              </w:rPr>
            </w:pPr>
            <w:r>
              <w:rPr>
                <w:rFonts w:hint="eastAsia"/>
                <w:szCs w:val="21"/>
              </w:rPr>
              <w:t>包名称</w:t>
            </w:r>
          </w:p>
        </w:tc>
        <w:tc>
          <w:tcPr>
            <w:tcW w:w="2850" w:type="dxa"/>
            <w:vMerge w:val="restart"/>
            <w:vAlign w:val="center"/>
          </w:tcPr>
          <w:p w14:paraId="62B79DF0">
            <w:pPr>
              <w:adjustRightInd w:val="0"/>
              <w:snapToGrid w:val="0"/>
              <w:spacing w:line="360" w:lineRule="auto"/>
              <w:jc w:val="center"/>
              <w:rPr>
                <w:szCs w:val="21"/>
              </w:rPr>
            </w:pPr>
            <w:r>
              <w:rPr>
                <w:rFonts w:hint="eastAsia"/>
                <w:szCs w:val="21"/>
              </w:rPr>
              <w:t>分项项目名称</w:t>
            </w:r>
          </w:p>
          <w:p w14:paraId="3BBF69CA">
            <w:pPr>
              <w:adjustRightInd w:val="0"/>
              <w:snapToGrid w:val="0"/>
              <w:spacing w:line="360" w:lineRule="auto"/>
              <w:jc w:val="center"/>
              <w:rPr>
                <w:szCs w:val="21"/>
              </w:rPr>
            </w:pPr>
            <w:r>
              <w:rPr>
                <w:rFonts w:hint="eastAsia"/>
                <w:szCs w:val="21"/>
              </w:rPr>
              <w:t>（条目号/品目名称）</w:t>
            </w:r>
          </w:p>
          <w:p w14:paraId="57358F79">
            <w:pPr>
              <w:adjustRightInd w:val="0"/>
              <w:snapToGrid w:val="0"/>
              <w:spacing w:line="360" w:lineRule="auto"/>
              <w:jc w:val="center"/>
              <w:rPr>
                <w:szCs w:val="21"/>
              </w:rPr>
            </w:pPr>
            <w:r>
              <w:rPr>
                <w:rFonts w:hint="eastAsia"/>
                <w:szCs w:val="21"/>
              </w:rPr>
              <w:t>数量</w:t>
            </w:r>
          </w:p>
        </w:tc>
        <w:tc>
          <w:tcPr>
            <w:tcW w:w="2571" w:type="dxa"/>
            <w:gridSpan w:val="2"/>
            <w:vAlign w:val="center"/>
          </w:tcPr>
          <w:p w14:paraId="6BBE11D8">
            <w:pPr>
              <w:adjustRightInd w:val="0"/>
              <w:snapToGrid w:val="0"/>
              <w:spacing w:line="360" w:lineRule="auto"/>
              <w:jc w:val="center"/>
              <w:rPr>
                <w:szCs w:val="21"/>
              </w:rPr>
            </w:pPr>
            <w:r>
              <w:rPr>
                <w:rFonts w:hint="eastAsia"/>
                <w:szCs w:val="21"/>
              </w:rPr>
              <w:t>服务要求</w:t>
            </w:r>
          </w:p>
        </w:tc>
        <w:tc>
          <w:tcPr>
            <w:tcW w:w="0" w:type="auto"/>
            <w:vMerge w:val="restart"/>
            <w:vAlign w:val="center"/>
          </w:tcPr>
          <w:p w14:paraId="605EDE82">
            <w:pPr>
              <w:adjustRightInd w:val="0"/>
              <w:snapToGrid w:val="0"/>
              <w:spacing w:line="360" w:lineRule="auto"/>
              <w:jc w:val="center"/>
              <w:rPr>
                <w:szCs w:val="21"/>
              </w:rPr>
            </w:pPr>
            <w:r>
              <w:rPr>
                <w:rFonts w:hint="eastAsia"/>
                <w:szCs w:val="21"/>
              </w:rPr>
              <w:t>备注</w:t>
            </w:r>
          </w:p>
        </w:tc>
      </w:tr>
      <w:tr w14:paraId="2EAC4E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678" w:type="dxa"/>
            <w:vMerge w:val="continue"/>
            <w:vAlign w:val="center"/>
          </w:tcPr>
          <w:p w14:paraId="6D847D55">
            <w:pPr>
              <w:adjustRightInd w:val="0"/>
              <w:snapToGrid w:val="0"/>
              <w:spacing w:before="156" w:beforeLines="50" w:line="360" w:lineRule="auto"/>
              <w:jc w:val="center"/>
              <w:rPr>
                <w:szCs w:val="21"/>
              </w:rPr>
            </w:pPr>
          </w:p>
        </w:tc>
        <w:tc>
          <w:tcPr>
            <w:tcW w:w="2460" w:type="dxa"/>
            <w:vMerge w:val="continue"/>
            <w:vAlign w:val="center"/>
          </w:tcPr>
          <w:p w14:paraId="08332380">
            <w:pPr>
              <w:adjustRightInd w:val="0"/>
              <w:snapToGrid w:val="0"/>
              <w:spacing w:before="156" w:beforeLines="50" w:line="360" w:lineRule="auto"/>
              <w:jc w:val="center"/>
              <w:rPr>
                <w:szCs w:val="21"/>
              </w:rPr>
            </w:pPr>
          </w:p>
        </w:tc>
        <w:tc>
          <w:tcPr>
            <w:tcW w:w="2850" w:type="dxa"/>
            <w:vMerge w:val="continue"/>
            <w:vAlign w:val="center"/>
          </w:tcPr>
          <w:p w14:paraId="1012521B">
            <w:pPr>
              <w:adjustRightInd w:val="0"/>
              <w:snapToGrid w:val="0"/>
              <w:spacing w:before="156" w:beforeLines="50" w:line="360" w:lineRule="auto"/>
              <w:jc w:val="center"/>
              <w:rPr>
                <w:szCs w:val="21"/>
              </w:rPr>
            </w:pPr>
          </w:p>
        </w:tc>
        <w:tc>
          <w:tcPr>
            <w:tcW w:w="1140" w:type="dxa"/>
            <w:vAlign w:val="center"/>
          </w:tcPr>
          <w:p w14:paraId="76C7D2D6">
            <w:pPr>
              <w:adjustRightInd w:val="0"/>
              <w:snapToGrid w:val="0"/>
              <w:spacing w:before="156" w:beforeLines="50" w:line="360" w:lineRule="auto"/>
              <w:jc w:val="center"/>
              <w:rPr>
                <w:szCs w:val="21"/>
              </w:rPr>
            </w:pPr>
            <w:r>
              <w:rPr>
                <w:rFonts w:hint="eastAsia"/>
                <w:szCs w:val="21"/>
              </w:rPr>
              <w:t>时间</w:t>
            </w:r>
          </w:p>
        </w:tc>
        <w:tc>
          <w:tcPr>
            <w:tcW w:w="1431" w:type="dxa"/>
            <w:vAlign w:val="center"/>
          </w:tcPr>
          <w:p w14:paraId="2C727C20">
            <w:pPr>
              <w:adjustRightInd w:val="0"/>
              <w:snapToGrid w:val="0"/>
              <w:spacing w:before="156" w:beforeLines="50" w:line="360" w:lineRule="auto"/>
              <w:jc w:val="center"/>
              <w:rPr>
                <w:szCs w:val="21"/>
              </w:rPr>
            </w:pPr>
            <w:r>
              <w:rPr>
                <w:rFonts w:hint="eastAsia"/>
                <w:szCs w:val="21"/>
              </w:rPr>
              <w:t>地点</w:t>
            </w:r>
          </w:p>
        </w:tc>
        <w:tc>
          <w:tcPr>
            <w:tcW w:w="0" w:type="auto"/>
            <w:vMerge w:val="continue"/>
          </w:tcPr>
          <w:p w14:paraId="2ED5E51E">
            <w:pPr>
              <w:adjustRightInd w:val="0"/>
              <w:snapToGrid w:val="0"/>
              <w:spacing w:before="156" w:beforeLines="50" w:line="360" w:lineRule="auto"/>
              <w:rPr>
                <w:szCs w:val="21"/>
              </w:rPr>
            </w:pPr>
          </w:p>
        </w:tc>
      </w:tr>
      <w:tr w14:paraId="359CC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678" w:type="dxa"/>
          </w:tcPr>
          <w:p w14:paraId="5DE5A39E">
            <w:pPr>
              <w:adjustRightInd w:val="0"/>
              <w:snapToGrid w:val="0"/>
              <w:spacing w:before="156" w:beforeLines="50" w:line="360" w:lineRule="auto"/>
              <w:jc w:val="center"/>
              <w:rPr>
                <w:rFonts w:hint="eastAsia"/>
                <w:color w:val="000000" w:themeColor="text1"/>
                <w:szCs w:val="21"/>
                <w14:textFill>
                  <w14:solidFill>
                    <w14:schemeClr w14:val="tx1"/>
                  </w14:solidFill>
                </w14:textFill>
              </w:rPr>
            </w:pPr>
          </w:p>
          <w:p w14:paraId="1D6F2C8F">
            <w:pPr>
              <w:adjustRightInd w:val="0"/>
              <w:snapToGrid w:val="0"/>
              <w:spacing w:before="156" w:beforeLines="50"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1</w:t>
            </w:r>
          </w:p>
        </w:tc>
        <w:tc>
          <w:tcPr>
            <w:tcW w:w="2460" w:type="dxa"/>
          </w:tcPr>
          <w:p w14:paraId="20093EFC">
            <w:pPr>
              <w:adjustRightInd w:val="0"/>
              <w:snapToGrid w:val="0"/>
              <w:spacing w:before="156" w:beforeLines="50" w:line="360" w:lineRule="auto"/>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郴州市2026年度电子政务外网网络租赁及相关运维</w:t>
            </w:r>
            <w:r>
              <w:rPr>
                <w:rFonts w:hint="eastAsia"/>
                <w:color w:val="000000" w:themeColor="text1"/>
                <w:szCs w:val="21"/>
                <w:lang w:val="en-US" w:eastAsia="zh-CN"/>
                <w14:textFill>
                  <w14:solidFill>
                    <w14:schemeClr w14:val="tx1"/>
                  </w14:solidFill>
                </w14:textFill>
              </w:rPr>
              <w:t>服务</w:t>
            </w:r>
            <w:r>
              <w:rPr>
                <w:rFonts w:hint="eastAsia"/>
                <w:color w:val="000000" w:themeColor="text1"/>
                <w:szCs w:val="21"/>
                <w:lang w:eastAsia="zh-CN"/>
                <w14:textFill>
                  <w14:solidFill>
                    <w14:schemeClr w14:val="tx1"/>
                  </w14:solidFill>
                </w14:textFill>
              </w:rPr>
              <w:t>项目</w:t>
            </w:r>
          </w:p>
        </w:tc>
        <w:tc>
          <w:tcPr>
            <w:tcW w:w="2850" w:type="dxa"/>
          </w:tcPr>
          <w:p w14:paraId="23F38271">
            <w:pPr>
              <w:adjustRightInd w:val="0"/>
              <w:snapToGrid w:val="0"/>
              <w:spacing w:before="156" w:beforeLines="50" w:line="360" w:lineRule="auto"/>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eastAsia="zh-CN"/>
                <w14:textFill>
                  <w14:solidFill>
                    <w14:schemeClr w14:val="tx1"/>
                  </w14:solidFill>
                </w14:textFill>
              </w:rPr>
              <w:t>郴州市2026年度电子政务外网网络租赁及相关运维</w:t>
            </w:r>
            <w:r>
              <w:rPr>
                <w:rFonts w:hint="eastAsia"/>
                <w:color w:val="000000" w:themeColor="text1"/>
                <w:szCs w:val="21"/>
                <w:lang w:val="en-US" w:eastAsia="zh-CN"/>
                <w14:textFill>
                  <w14:solidFill>
                    <w14:schemeClr w14:val="tx1"/>
                  </w14:solidFill>
                </w14:textFill>
              </w:rPr>
              <w:t>服务</w:t>
            </w:r>
            <w:r>
              <w:rPr>
                <w:rFonts w:hint="eastAsia"/>
                <w:color w:val="000000" w:themeColor="text1"/>
                <w:szCs w:val="21"/>
                <w:lang w:eastAsia="zh-CN"/>
                <w14:textFill>
                  <w14:solidFill>
                    <w14:schemeClr w14:val="tx1"/>
                  </w14:solidFill>
                </w14:textFill>
              </w:rPr>
              <w:t>项目</w:t>
            </w:r>
          </w:p>
        </w:tc>
        <w:tc>
          <w:tcPr>
            <w:tcW w:w="1140" w:type="dxa"/>
            <w:vAlign w:val="center"/>
          </w:tcPr>
          <w:p w14:paraId="49B53B2C">
            <w:pPr>
              <w:adjustRightInd w:val="0"/>
              <w:snapToGrid w:val="0"/>
              <w:spacing w:before="156" w:beforeLines="50" w:line="360" w:lineRule="auto"/>
              <w:jc w:val="center"/>
              <w:rPr>
                <w:rFonts w:hint="eastAsia" w:eastAsia="宋体"/>
                <w:color w:val="000000" w:themeColor="text1"/>
                <w:szCs w:val="21"/>
                <w:lang w:eastAsia="zh-CN"/>
                <w14:textFill>
                  <w14:solidFill>
                    <w14:schemeClr w14:val="tx1"/>
                  </w14:solidFill>
                </w14:textFill>
              </w:rPr>
            </w:pPr>
            <w:r>
              <w:rPr>
                <w:rFonts w:hint="eastAsia"/>
                <w:color w:val="000000" w:themeColor="text1"/>
                <w:szCs w:val="21"/>
                <w:lang w:val="en-US" w:eastAsia="zh-CN"/>
                <w14:textFill>
                  <w14:solidFill>
                    <w14:schemeClr w14:val="tx1"/>
                  </w14:solidFill>
                </w14:textFill>
              </w:rPr>
              <w:t>1年</w:t>
            </w:r>
          </w:p>
        </w:tc>
        <w:tc>
          <w:tcPr>
            <w:tcW w:w="1431" w:type="dxa"/>
            <w:vAlign w:val="center"/>
          </w:tcPr>
          <w:p w14:paraId="5B5EACAC">
            <w:pPr>
              <w:adjustRightInd w:val="0"/>
              <w:snapToGrid w:val="0"/>
              <w:spacing w:before="156" w:beforeLines="50" w:line="360" w:lineRule="auto"/>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采购人指定地点</w:t>
            </w:r>
          </w:p>
        </w:tc>
        <w:tc>
          <w:tcPr>
            <w:tcW w:w="0" w:type="auto"/>
          </w:tcPr>
          <w:p w14:paraId="2FC15475">
            <w:pPr>
              <w:adjustRightInd w:val="0"/>
              <w:snapToGrid w:val="0"/>
              <w:spacing w:before="156" w:beforeLines="50" w:line="360" w:lineRule="auto"/>
              <w:rPr>
                <w:szCs w:val="21"/>
              </w:rPr>
            </w:pPr>
          </w:p>
        </w:tc>
      </w:tr>
    </w:tbl>
    <w:p w14:paraId="3369DD60">
      <w:pPr>
        <w:adjustRightInd w:val="0"/>
        <w:snapToGrid w:val="0"/>
        <w:spacing w:before="156" w:beforeLines="50"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注：1、“包”为最小合同单位（最小投标单位）。每“包”内容应细化到“品目”（如果分品目的）。</w:t>
      </w:r>
    </w:p>
    <w:p w14:paraId="5406F5FC">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2、投标人必须对一个完整、独立的包进行投标，不得仅对一个包中的部分品目投标，否则</w:t>
      </w:r>
      <w:r>
        <w:rPr>
          <w:rFonts w:hint="eastAsia" w:asciiTheme="minorEastAsia" w:hAnsiTheme="minorEastAsia" w:eastAsiaTheme="minorEastAsia"/>
          <w:b/>
          <w:szCs w:val="21"/>
        </w:rPr>
        <w:t>投标无效。</w:t>
      </w:r>
    </w:p>
    <w:p w14:paraId="35865595">
      <w:pPr>
        <w:adjustRightInd w:val="0"/>
        <w:snapToGrid w:val="0"/>
        <w:spacing w:before="156" w:beforeLines="50" w:line="360" w:lineRule="auto"/>
        <w:ind w:firstLine="420" w:firstLineChars="200"/>
        <w:rPr>
          <w:rFonts w:hint="eastAsia" w:cs="宋体" w:asciiTheme="minorEastAsia" w:hAnsiTheme="minorEastAsia" w:eastAsiaTheme="minorEastAsia"/>
          <w:color w:val="000000"/>
          <w:kern w:val="0"/>
          <w:szCs w:val="21"/>
        </w:rPr>
      </w:pPr>
      <w:r>
        <w:rPr>
          <w:rFonts w:hint="eastAsia" w:asciiTheme="minorEastAsia" w:hAnsiTheme="minorEastAsia" w:eastAsiaTheme="minorEastAsia"/>
          <w:szCs w:val="21"/>
        </w:rPr>
        <w:t>3、服务的主要技术参数或规格：</w:t>
      </w:r>
      <w:r>
        <w:rPr>
          <w:rFonts w:cs="宋体" w:asciiTheme="minorEastAsia" w:hAnsiTheme="minorEastAsia" w:eastAsiaTheme="minorEastAsia"/>
          <w:color w:val="000000"/>
          <w:kern w:val="0"/>
          <w:szCs w:val="21"/>
        </w:rPr>
        <w:t>详见“技术要求”中的具体技术参数</w:t>
      </w:r>
      <w:r>
        <w:rPr>
          <w:rFonts w:hint="eastAsia" w:cs="宋体" w:asciiTheme="minorEastAsia" w:hAnsiTheme="minorEastAsia" w:eastAsiaTheme="minorEastAsia"/>
          <w:color w:val="000000"/>
          <w:kern w:val="0"/>
          <w:szCs w:val="21"/>
        </w:rPr>
        <w:t>。</w:t>
      </w:r>
    </w:p>
    <w:p w14:paraId="579487D3">
      <w:pPr>
        <w:adjustRightInd w:val="0"/>
        <w:snapToGrid w:val="0"/>
        <w:spacing w:before="156" w:beforeLines="50" w:line="360" w:lineRule="auto"/>
        <w:ind w:firstLine="420" w:firstLineChars="200"/>
        <w:rPr>
          <w:rFonts w:hint="eastAsia" w:ascii="宋体" w:hAnsi="宋体" w:cs="宋体"/>
          <w:kern w:val="0"/>
          <w:szCs w:val="21"/>
        </w:rPr>
      </w:pPr>
      <w:r>
        <w:rPr>
          <w:rFonts w:hint="eastAsia" w:ascii="宋体" w:hAnsi="宋体" w:cs="宋体"/>
          <w:bCs/>
          <w:kern w:val="0"/>
          <w:szCs w:val="21"/>
        </w:rPr>
        <w:t>4、投标人应</w:t>
      </w:r>
      <w:r>
        <w:rPr>
          <w:rFonts w:hint="eastAsia" w:ascii="宋体" w:hAnsi="宋体" w:cs="宋体"/>
          <w:kern w:val="0"/>
          <w:szCs w:val="21"/>
        </w:rPr>
        <w:t>在投标文件《分项报价明细表》中按</w:t>
      </w:r>
      <w:r>
        <w:rPr>
          <w:rFonts w:hint="eastAsia" w:ascii="宋体" w:hAnsi="宋体"/>
          <w:color w:val="000000"/>
          <w:szCs w:val="21"/>
        </w:rPr>
        <w:t>分项项目名称（包括</w:t>
      </w:r>
      <w:r>
        <w:rPr>
          <w:rFonts w:hint="eastAsia" w:ascii="宋体" w:hAnsi="宋体" w:cs="宋体"/>
          <w:kern w:val="0"/>
          <w:szCs w:val="21"/>
        </w:rPr>
        <w:t>条目号/品目名称）顺序逐项填写，且每个品目中的条目均需按招标文件规定报价。如有缺项、漏项，其</w:t>
      </w:r>
      <w:r>
        <w:rPr>
          <w:rFonts w:hint="eastAsia" w:ascii="宋体" w:hAnsi="宋体" w:cs="宋体"/>
          <w:b/>
          <w:kern w:val="0"/>
          <w:szCs w:val="21"/>
        </w:rPr>
        <w:t>投标无效</w:t>
      </w:r>
      <w:r>
        <w:rPr>
          <w:rFonts w:hint="eastAsia" w:ascii="宋体" w:hAnsi="宋体" w:cs="宋体"/>
          <w:kern w:val="0"/>
          <w:szCs w:val="21"/>
        </w:rPr>
        <w:t>。</w:t>
      </w:r>
    </w:p>
    <w:p w14:paraId="136AF525">
      <w:pPr>
        <w:widowControl/>
        <w:jc w:val="left"/>
        <w:rPr>
          <w:rFonts w:hint="eastAsia" w:ascii="黑体" w:hAnsi="华文中宋" w:eastAsia="黑体"/>
          <w:b/>
          <w:sz w:val="32"/>
          <w:szCs w:val="32"/>
        </w:rPr>
      </w:pPr>
      <w:bookmarkStart w:id="138" w:name="_Toc12779"/>
      <w:bookmarkStart w:id="139" w:name="_Toc20704"/>
      <w:r>
        <w:rPr>
          <w:rFonts w:hint="eastAsia" w:ascii="黑体" w:hAnsi="黑体" w:eastAsia="黑体"/>
          <w:sz w:val="28"/>
          <w:szCs w:val="28"/>
        </w:rPr>
        <w:br w:type="page"/>
      </w:r>
      <w:bookmarkEnd w:id="138"/>
      <w:bookmarkEnd w:id="139"/>
      <w:bookmarkStart w:id="140" w:name="_Toc12981"/>
      <w:bookmarkStart w:id="141" w:name="_Toc29913944"/>
      <w:bookmarkStart w:id="142" w:name="_Toc3642"/>
    </w:p>
    <w:p w14:paraId="0F916577">
      <w:pPr>
        <w:pStyle w:val="2"/>
        <w:keepNext w:val="0"/>
        <w:adjustRightInd w:val="0"/>
        <w:snapToGrid w:val="0"/>
        <w:spacing w:before="156" w:beforeLines="50" w:line="360" w:lineRule="auto"/>
        <w:ind w:left="0" w:leftChars="0" w:firstLine="0" w:firstLineChars="0"/>
        <w:rPr>
          <w:rFonts w:hint="eastAsia" w:ascii="黑体" w:hAnsi="华文中宋" w:eastAsia="黑体"/>
          <w:color w:val="auto"/>
          <w:sz w:val="32"/>
          <w:szCs w:val="32"/>
          <w:highlight w:val="none"/>
          <w:lang w:eastAsia="zh-CN"/>
        </w:rPr>
      </w:pPr>
      <w:r>
        <w:rPr>
          <w:rFonts w:hint="eastAsia" w:ascii="黑体" w:hAnsi="华文中宋" w:eastAsia="黑体"/>
          <w:color w:val="auto"/>
          <w:sz w:val="32"/>
          <w:szCs w:val="32"/>
          <w:highlight w:val="none"/>
          <w:lang w:eastAsia="zh-CN"/>
        </w:rPr>
        <w:t>第二节</w:t>
      </w:r>
      <w:r>
        <w:rPr>
          <w:rFonts w:hint="eastAsia" w:ascii="黑体" w:hAnsi="华文中宋" w:eastAsia="黑体"/>
          <w:color w:val="auto"/>
          <w:sz w:val="32"/>
          <w:szCs w:val="32"/>
          <w:highlight w:val="none"/>
          <w:lang w:val="en-US" w:eastAsia="zh-CN"/>
        </w:rPr>
        <w:t xml:space="preserve"> </w:t>
      </w:r>
      <w:r>
        <w:rPr>
          <w:rFonts w:hint="eastAsia" w:ascii="黑体" w:hAnsi="华文中宋" w:eastAsia="黑体"/>
          <w:color w:val="auto"/>
          <w:sz w:val="32"/>
          <w:szCs w:val="32"/>
          <w:highlight w:val="none"/>
          <w:lang w:eastAsia="zh-CN"/>
        </w:rPr>
        <w:t>技术要求</w:t>
      </w:r>
    </w:p>
    <w:p w14:paraId="2DB44682">
      <w:pPr>
        <w:pStyle w:val="9"/>
        <w:spacing w:before="126" w:line="227" w:lineRule="auto"/>
        <w:ind w:left="11"/>
        <w:outlineLvl w:val="3"/>
        <w:rPr>
          <w:rFonts w:hint="eastAsia" w:ascii="宋体" w:hAnsi="宋体" w:eastAsia="宋体" w:cs="宋体"/>
          <w:color w:val="000000"/>
          <w:kern w:val="2"/>
          <w:sz w:val="24"/>
          <w:szCs w:val="24"/>
          <w:highlight w:val="none"/>
          <w:lang w:val="en-US" w:eastAsia="zh-CN" w:bidi="ar-SA"/>
        </w:rPr>
      </w:pPr>
      <w:bookmarkStart w:id="143" w:name="_Toc6195"/>
      <w:bookmarkStart w:id="144" w:name="_Toc16797"/>
      <w:r>
        <w:rPr>
          <w:rFonts w:hint="eastAsia" w:ascii="宋体" w:hAnsi="宋体" w:eastAsia="宋体" w:cs="宋体"/>
          <w:b/>
          <w:bCs/>
          <w:color w:val="000000"/>
          <w:kern w:val="2"/>
          <w:sz w:val="24"/>
          <w:szCs w:val="24"/>
          <w:highlight w:val="none"/>
          <w:lang w:val="en-US" w:eastAsia="zh-CN" w:bidi="ar-SA"/>
        </w:rPr>
        <w:t>一、采购项目名称及最高限价</w:t>
      </w:r>
      <w:bookmarkEnd w:id="143"/>
      <w:bookmarkEnd w:id="144"/>
    </w:p>
    <w:p w14:paraId="3687981C">
      <w:pPr>
        <w:pStyle w:val="29"/>
        <w:spacing w:line="360" w:lineRule="auto"/>
        <w:ind w:firstLine="480" w:firstLineChars="200"/>
        <w:jc w:val="left"/>
        <w:rPr>
          <w:rFonts w:hint="eastAsia" w:ascii="宋体" w:hAnsi="宋体" w:cs="宋体"/>
          <w:color w:val="000000"/>
          <w:sz w:val="24"/>
          <w:szCs w:val="24"/>
          <w:highlight w:val="none"/>
          <w:lang w:eastAsia="zh-CN"/>
        </w:rPr>
      </w:pPr>
      <w:r>
        <w:rPr>
          <w:rFonts w:hint="eastAsia" w:ascii="宋体" w:hAnsi="宋体" w:cs="宋体"/>
          <w:color w:val="000000"/>
          <w:sz w:val="24"/>
          <w:szCs w:val="24"/>
          <w:highlight w:val="none"/>
        </w:rPr>
        <w:t>1、采购项目名称：</w:t>
      </w:r>
      <w:r>
        <w:rPr>
          <w:rFonts w:hint="eastAsia" w:ascii="宋体" w:hAnsi="宋体" w:cs="宋体"/>
          <w:color w:val="000000"/>
          <w:sz w:val="24"/>
          <w:szCs w:val="24"/>
          <w:highlight w:val="none"/>
          <w:lang w:eastAsia="zh-CN"/>
        </w:rPr>
        <w:t>郴州市2026年度电子政务外网网络租赁及相关运维</w:t>
      </w:r>
      <w:r>
        <w:rPr>
          <w:rFonts w:hint="eastAsia" w:ascii="宋体" w:hAnsi="宋体" w:cs="宋体"/>
          <w:color w:val="000000"/>
          <w:sz w:val="24"/>
          <w:szCs w:val="24"/>
          <w:highlight w:val="none"/>
          <w:lang w:val="en-US" w:eastAsia="zh-CN"/>
        </w:rPr>
        <w:t>服务</w:t>
      </w:r>
      <w:r>
        <w:rPr>
          <w:rFonts w:hint="eastAsia" w:ascii="宋体" w:hAnsi="宋体" w:cs="宋体"/>
          <w:color w:val="000000"/>
          <w:sz w:val="24"/>
          <w:szCs w:val="24"/>
          <w:highlight w:val="none"/>
          <w:lang w:eastAsia="zh-CN"/>
        </w:rPr>
        <w:t>项目</w:t>
      </w:r>
    </w:p>
    <w:p w14:paraId="55F964CA">
      <w:pPr>
        <w:pStyle w:val="29"/>
        <w:spacing w:line="360" w:lineRule="auto"/>
        <w:ind w:firstLine="480" w:firstLineChars="200"/>
        <w:jc w:val="left"/>
        <w:rPr>
          <w:rFonts w:hint="eastAsia" w:ascii="宋体" w:hAnsi="宋体" w:cs="宋体"/>
          <w:color w:val="000000"/>
          <w:sz w:val="24"/>
          <w:szCs w:val="24"/>
          <w:highlight w:val="none"/>
        </w:rPr>
      </w:pPr>
      <w:r>
        <w:rPr>
          <w:rFonts w:hint="default" w:ascii="宋体" w:hAnsi="宋体" w:cs="宋体"/>
          <w:color w:val="000000"/>
          <w:sz w:val="24"/>
          <w:szCs w:val="24"/>
          <w:highlight w:val="none"/>
          <w:lang w:val="en-US"/>
        </w:rPr>
        <w:t>2</w:t>
      </w:r>
      <w:r>
        <w:rPr>
          <w:rFonts w:hint="eastAsia" w:ascii="宋体" w:hAnsi="宋体" w:cs="宋体"/>
          <w:color w:val="000000"/>
          <w:sz w:val="24"/>
          <w:szCs w:val="24"/>
          <w:highlight w:val="none"/>
        </w:rPr>
        <w:t>、采购预算及最高限价：</w:t>
      </w:r>
      <w:r>
        <w:rPr>
          <w:rFonts w:hint="eastAsia" w:ascii="宋体" w:hAnsi="宋体" w:cs="宋体"/>
          <w:color w:val="000000"/>
          <w:sz w:val="24"/>
          <w:szCs w:val="24"/>
          <w:highlight w:val="none"/>
          <w:lang w:val="en-US" w:eastAsia="zh-CN"/>
        </w:rPr>
        <w:t>¥1661100.00元/年</w:t>
      </w:r>
    </w:p>
    <w:p w14:paraId="2B11C93E">
      <w:pPr>
        <w:pStyle w:val="29"/>
        <w:spacing w:line="360" w:lineRule="auto"/>
        <w:jc w:val="lef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二、项目概况及相关内容</w:t>
      </w:r>
    </w:p>
    <w:p w14:paraId="52829860">
      <w:pPr>
        <w:pStyle w:val="5"/>
        <w:kinsoku/>
        <w:wordWrap/>
        <w:overflowPunct/>
        <w:topLinePunct w:val="0"/>
        <w:autoSpaceDE/>
        <w:autoSpaceDN/>
        <w:bidi w:val="0"/>
        <w:adjustRightInd/>
        <w:snapToGrid/>
        <w:spacing w:before="0" w:after="0" w:line="460" w:lineRule="exact"/>
        <w:ind w:left="0" w:firstLine="560" w:firstLineChars="200"/>
        <w:textAlignment w:val="auto"/>
        <w:rPr>
          <w:rFonts w:hint="default" w:ascii="Times New Roman" w:hAnsi="Times New Roman" w:eastAsia="宋体" w:cs="Times New Roman"/>
          <w:b/>
          <w:bCs w:val="0"/>
          <w:color w:val="000000"/>
          <w:sz w:val="28"/>
          <w:szCs w:val="28"/>
          <w:highlight w:val="none"/>
        </w:rPr>
      </w:pPr>
      <w:bookmarkStart w:id="145" w:name="_Toc1991470281"/>
      <w:r>
        <w:rPr>
          <w:rFonts w:hint="eastAsia" w:eastAsia="宋体" w:cs="Times New Roman"/>
          <w:b/>
          <w:bCs w:val="0"/>
          <w:color w:val="000000"/>
          <w:sz w:val="28"/>
          <w:szCs w:val="28"/>
          <w:highlight w:val="none"/>
          <w:lang w:val="en-US" w:eastAsia="zh-CN"/>
        </w:rPr>
        <w:t>1、</w:t>
      </w:r>
      <w:r>
        <w:rPr>
          <w:rFonts w:hint="default" w:ascii="Times New Roman" w:hAnsi="Times New Roman" w:eastAsia="宋体" w:cs="Times New Roman"/>
          <w:b/>
          <w:bCs w:val="0"/>
          <w:color w:val="000000"/>
          <w:sz w:val="28"/>
          <w:szCs w:val="28"/>
          <w:highlight w:val="none"/>
        </w:rPr>
        <w:t>建设背景</w:t>
      </w:r>
      <w:bookmarkEnd w:id="145"/>
    </w:p>
    <w:p w14:paraId="0507F6AD">
      <w:pPr>
        <w:pStyle w:val="3"/>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rPr>
        <w:t>郴州市于2009年建立起电子政务外网平台</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rPr>
        <w:t>根据国家和省对电子政务网络的规范要求和发展导向，结合</w:t>
      </w:r>
      <w:r>
        <w:rPr>
          <w:rFonts w:hint="default" w:ascii="Times New Roman" w:hAnsi="Times New Roman" w:eastAsia="宋体" w:cs="Times New Roman"/>
          <w:color w:val="000000"/>
          <w:highlight w:val="none"/>
          <w:lang w:val="en-US" w:eastAsia="zh-CN"/>
        </w:rPr>
        <w:t>我市</w:t>
      </w:r>
      <w:r>
        <w:rPr>
          <w:rFonts w:hint="default" w:ascii="Times New Roman" w:hAnsi="Times New Roman" w:eastAsia="宋体" w:cs="Times New Roman"/>
          <w:color w:val="000000"/>
          <w:highlight w:val="none"/>
        </w:rPr>
        <w:t>实际情况，充分利用现有资源，按“同架构、广覆盖、高可靠”的建设思路，</w:t>
      </w:r>
      <w:r>
        <w:rPr>
          <w:rFonts w:hint="default" w:ascii="Times New Roman" w:hAnsi="Times New Roman" w:eastAsia="宋体" w:cs="Times New Roman"/>
          <w:color w:val="000000"/>
          <w:highlight w:val="none"/>
          <w:lang w:val="en-US" w:eastAsia="zh-CN"/>
        </w:rPr>
        <w:t>逐步</w:t>
      </w:r>
      <w:r>
        <w:rPr>
          <w:rFonts w:hint="default" w:ascii="Times New Roman" w:hAnsi="Times New Roman" w:eastAsia="宋体" w:cs="Times New Roman"/>
          <w:color w:val="000000"/>
          <w:highlight w:val="none"/>
          <w:lang w:eastAsia="zh-CN"/>
        </w:rPr>
        <w:t>对接整合</w:t>
      </w:r>
      <w:r>
        <w:rPr>
          <w:rFonts w:hint="default" w:ascii="Times New Roman" w:hAnsi="Times New Roman" w:eastAsia="宋体" w:cs="Times New Roman"/>
          <w:color w:val="000000"/>
          <w:highlight w:val="none"/>
          <w:lang w:val="en-US" w:eastAsia="zh-CN"/>
        </w:rPr>
        <w:t>了</w:t>
      </w:r>
      <w:r>
        <w:rPr>
          <w:rFonts w:hint="default" w:ascii="Times New Roman" w:hAnsi="Times New Roman" w:eastAsia="宋体" w:cs="Times New Roman"/>
          <w:color w:val="000000"/>
          <w:highlight w:val="none"/>
          <w:lang w:eastAsia="zh-CN"/>
        </w:rPr>
        <w:t>各部门业务专网，进一步细化电子政务网络体系，</w:t>
      </w:r>
      <w:r>
        <w:rPr>
          <w:rFonts w:hint="default" w:ascii="Times New Roman" w:hAnsi="Times New Roman" w:eastAsia="宋体" w:cs="Times New Roman"/>
          <w:color w:val="000000"/>
          <w:highlight w:val="none"/>
          <w:lang w:val="en-US" w:eastAsia="zh-CN"/>
        </w:rPr>
        <w:t>并</w:t>
      </w:r>
      <w:r>
        <w:rPr>
          <w:rFonts w:hint="default" w:ascii="Times New Roman" w:hAnsi="Times New Roman" w:eastAsia="宋体" w:cs="Times New Roman"/>
          <w:color w:val="000000"/>
          <w:highlight w:val="none"/>
          <w:lang w:eastAsia="zh-CN"/>
        </w:rPr>
        <w:t>制定相应级别的网域保护要求，部署</w:t>
      </w:r>
      <w:r>
        <w:rPr>
          <w:rFonts w:hint="default" w:ascii="Times New Roman" w:hAnsi="Times New Roman" w:eastAsia="宋体" w:cs="Times New Roman"/>
          <w:color w:val="000000"/>
          <w:highlight w:val="none"/>
          <w:lang w:val="en-US" w:eastAsia="zh-CN"/>
        </w:rPr>
        <w:t>了</w:t>
      </w:r>
      <w:r>
        <w:rPr>
          <w:rFonts w:hint="default" w:ascii="Times New Roman" w:hAnsi="Times New Roman" w:eastAsia="宋体" w:cs="Times New Roman"/>
          <w:color w:val="000000"/>
          <w:highlight w:val="none"/>
          <w:lang w:eastAsia="zh-CN"/>
        </w:rPr>
        <w:t>对应的网络和安全设备，满足不同级别业务安全需求，为分散隔离的部门自建网络纳入统一的电子政务网络体系奠定基础。</w:t>
      </w:r>
      <w:r>
        <w:rPr>
          <w:rFonts w:hint="default" w:ascii="Times New Roman" w:hAnsi="Times New Roman" w:eastAsia="宋体" w:cs="Times New Roman"/>
          <w:color w:val="000000"/>
          <w:highlight w:val="none"/>
          <w:lang w:val="en-US" w:eastAsia="zh-CN"/>
        </w:rPr>
        <w:t>通过逐步</w:t>
      </w:r>
      <w:r>
        <w:rPr>
          <w:rFonts w:hint="default" w:ascii="Times New Roman" w:hAnsi="Times New Roman" w:eastAsia="宋体" w:cs="Times New Roman"/>
          <w:color w:val="000000"/>
          <w:highlight w:val="none"/>
          <w:lang w:eastAsia="zh-CN"/>
        </w:rPr>
        <w:t>将</w:t>
      </w:r>
      <w:r>
        <w:rPr>
          <w:rFonts w:hint="default" w:ascii="Times New Roman" w:hAnsi="Times New Roman" w:eastAsia="宋体" w:cs="Times New Roman"/>
          <w:color w:val="000000"/>
          <w:highlight w:val="none"/>
          <w:lang w:val="en-US" w:eastAsia="zh-CN"/>
        </w:rPr>
        <w:t>各</w:t>
      </w:r>
      <w:r>
        <w:rPr>
          <w:rFonts w:hint="default" w:ascii="Times New Roman" w:hAnsi="Times New Roman" w:eastAsia="宋体" w:cs="Times New Roman"/>
          <w:color w:val="000000"/>
          <w:highlight w:val="none"/>
          <w:lang w:eastAsia="zh-CN"/>
        </w:rPr>
        <w:t>部门各类分散隔离的业务专网，通过网络割接、业务迁移等方式整合到统一的电子政务网络体系，推动整合</w:t>
      </w:r>
      <w:r>
        <w:rPr>
          <w:rFonts w:hint="default" w:ascii="Times New Roman" w:hAnsi="Times New Roman" w:eastAsia="宋体" w:cs="Times New Roman"/>
          <w:color w:val="000000"/>
          <w:highlight w:val="none"/>
          <w:lang w:val="en-US" w:eastAsia="zh-CN"/>
        </w:rPr>
        <w:t>各类</w:t>
      </w:r>
      <w:r>
        <w:rPr>
          <w:rFonts w:hint="default" w:ascii="Times New Roman" w:hAnsi="Times New Roman" w:eastAsia="宋体" w:cs="Times New Roman"/>
          <w:color w:val="000000"/>
          <w:highlight w:val="none"/>
          <w:lang w:eastAsia="zh-CN"/>
        </w:rPr>
        <w:t>专网，充分利用线路资源，减少重复建设，为数据共享及大数据平台提供</w:t>
      </w:r>
      <w:r>
        <w:rPr>
          <w:rFonts w:hint="default" w:ascii="Times New Roman" w:hAnsi="Times New Roman" w:eastAsia="宋体" w:cs="Times New Roman"/>
          <w:color w:val="000000"/>
          <w:highlight w:val="none"/>
          <w:lang w:val="en-US" w:eastAsia="zh-CN"/>
        </w:rPr>
        <w:t>了</w:t>
      </w:r>
      <w:r>
        <w:rPr>
          <w:rFonts w:hint="default" w:ascii="Times New Roman" w:hAnsi="Times New Roman" w:eastAsia="宋体" w:cs="Times New Roman"/>
          <w:color w:val="000000"/>
          <w:highlight w:val="none"/>
          <w:lang w:eastAsia="zh-CN"/>
        </w:rPr>
        <w:t>网络支撑。</w:t>
      </w:r>
      <w:r>
        <w:rPr>
          <w:rFonts w:hint="default" w:ascii="Times New Roman" w:hAnsi="Times New Roman" w:eastAsia="宋体" w:cs="Times New Roman"/>
          <w:color w:val="000000"/>
          <w:highlight w:val="none"/>
          <w:lang w:val="en-US" w:eastAsia="zh-CN"/>
        </w:rPr>
        <w:t>郴州市电子政务外网截至2025年已横向连接了250余家市直单位及省管企业，有力夯实了数字政府基础设施和公共支撑平台服务能力。</w:t>
      </w:r>
    </w:p>
    <w:p w14:paraId="488D4991">
      <w:pPr>
        <w:pStyle w:val="5"/>
        <w:kinsoku/>
        <w:wordWrap/>
        <w:overflowPunct/>
        <w:topLinePunct w:val="0"/>
        <w:autoSpaceDE/>
        <w:autoSpaceDN/>
        <w:bidi w:val="0"/>
        <w:adjustRightInd/>
        <w:snapToGrid/>
        <w:spacing w:before="0" w:after="0" w:line="460" w:lineRule="exact"/>
        <w:ind w:left="0" w:firstLine="560" w:firstLineChars="200"/>
        <w:textAlignment w:val="auto"/>
        <w:rPr>
          <w:rFonts w:hint="default" w:ascii="Times New Roman" w:hAnsi="Times New Roman" w:eastAsia="宋体" w:cs="Times New Roman"/>
          <w:b/>
          <w:bCs w:val="0"/>
          <w:color w:val="000000"/>
          <w:sz w:val="28"/>
          <w:szCs w:val="28"/>
          <w:highlight w:val="none"/>
        </w:rPr>
      </w:pPr>
      <w:bookmarkStart w:id="146" w:name="_Toc2108374272"/>
      <w:r>
        <w:rPr>
          <w:rFonts w:hint="eastAsia" w:eastAsia="宋体" w:cs="Times New Roman"/>
          <w:b/>
          <w:bCs w:val="0"/>
          <w:color w:val="000000"/>
          <w:sz w:val="28"/>
          <w:szCs w:val="28"/>
          <w:highlight w:val="none"/>
          <w:lang w:val="en-US" w:eastAsia="zh-CN"/>
        </w:rPr>
        <w:t>2、</w:t>
      </w:r>
      <w:r>
        <w:rPr>
          <w:rFonts w:hint="default" w:ascii="Times New Roman" w:hAnsi="Times New Roman" w:eastAsia="宋体" w:cs="Times New Roman"/>
          <w:b/>
          <w:bCs w:val="0"/>
          <w:color w:val="000000"/>
          <w:sz w:val="28"/>
          <w:szCs w:val="28"/>
          <w:highlight w:val="none"/>
        </w:rPr>
        <w:t>建设目标</w:t>
      </w:r>
      <w:bookmarkEnd w:id="146"/>
    </w:p>
    <w:p w14:paraId="6D03CB17">
      <w:pPr>
        <w:pStyle w:val="3"/>
        <w:numPr>
          <w:ilvl w:val="0"/>
          <w:numId w:val="0"/>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建立依托统一的国家电子政务通信传输网络，整合建设电子政务外网，支持</w:t>
      </w:r>
      <w:r>
        <w:rPr>
          <w:rFonts w:hint="default" w:ascii="Times New Roman" w:hAnsi="Times New Roman" w:eastAsia="宋体" w:cs="Times New Roman"/>
          <w:color w:val="000000"/>
          <w:highlight w:val="none"/>
          <w:lang w:eastAsia="zh-CN"/>
        </w:rPr>
        <w:t>非涉密</w:t>
      </w:r>
      <w:r>
        <w:rPr>
          <w:rFonts w:hint="default" w:ascii="Times New Roman" w:hAnsi="Times New Roman" w:eastAsia="宋体" w:cs="Times New Roman"/>
          <w:color w:val="000000"/>
          <w:highlight w:val="none"/>
        </w:rPr>
        <w:t>电子政务业务系统的运行，支持跨部门、跨地区的信息资源共享，支持电子政务业务系统的互联互通和信息交换，促进政府监管能力和服务水平的提高。</w:t>
      </w:r>
    </w:p>
    <w:p w14:paraId="3ACD2654">
      <w:pPr>
        <w:pStyle w:val="3"/>
        <w:numPr>
          <w:ilvl w:val="0"/>
          <w:numId w:val="0"/>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通过电子政务外网租赁服务，充分利用服务商提供公用基础通信设施，整合网络资源，完成县区各单位的横向连接，</w:t>
      </w:r>
      <w:r>
        <w:rPr>
          <w:rFonts w:hint="default" w:ascii="Times New Roman" w:hAnsi="Times New Roman" w:eastAsia="宋体" w:cs="Times New Roman"/>
          <w:color w:val="000000"/>
          <w:highlight w:val="none"/>
          <w:lang w:val="en-US" w:eastAsia="zh-CN"/>
        </w:rPr>
        <w:t>国家、省、市</w:t>
      </w:r>
      <w:r>
        <w:rPr>
          <w:rFonts w:hint="default" w:ascii="Times New Roman" w:hAnsi="Times New Roman" w:eastAsia="宋体" w:cs="Times New Roman"/>
          <w:color w:val="000000"/>
          <w:highlight w:val="none"/>
        </w:rPr>
        <w:t>的纵向连接，建设结构合理、边界清晰、技术先进、安全可靠的电子政务外网，为政务部门提供网络支撑，为各个业务应用系统的运行提供支撑，通过政务外网网络平台，促进业务系统的互联互通和信息共享，提高政府的监管能力、服务质量与政务信息化水平，为实现跨部门、跨地区的信息资源共享创造条件。</w:t>
      </w:r>
    </w:p>
    <w:p w14:paraId="681D3E0D">
      <w:pPr>
        <w:pStyle w:val="3"/>
        <w:numPr>
          <w:ilvl w:val="0"/>
          <w:numId w:val="0"/>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促进</w:t>
      </w:r>
      <w:r>
        <w:rPr>
          <w:rFonts w:hint="default" w:ascii="Times New Roman" w:hAnsi="Times New Roman" w:eastAsia="宋体" w:cs="Times New Roman"/>
          <w:color w:val="000000"/>
          <w:highlight w:val="none"/>
          <w:lang w:val="en-US" w:eastAsia="zh-CN"/>
        </w:rPr>
        <w:t>郴州市</w:t>
      </w:r>
      <w:r>
        <w:rPr>
          <w:rFonts w:hint="default" w:ascii="Times New Roman" w:hAnsi="Times New Roman" w:eastAsia="宋体" w:cs="Times New Roman"/>
          <w:color w:val="000000"/>
          <w:highlight w:val="none"/>
        </w:rPr>
        <w:t>电子政务外网及信息安全发展，响应国家和上级要求，夯实等级保护作为国家信息安全国策的成果，并落实</w:t>
      </w:r>
      <w:r>
        <w:rPr>
          <w:rFonts w:hint="default" w:ascii="Times New Roman" w:hAnsi="Times New Roman" w:eastAsia="宋体" w:cs="Times New Roman"/>
          <w:color w:val="000000"/>
          <w:highlight w:val="none"/>
          <w:lang w:val="en-US" w:eastAsia="zh-CN"/>
        </w:rPr>
        <w:t>国家信息中心、国家电子外网管理中心、省数据局</w:t>
      </w:r>
      <w:r>
        <w:rPr>
          <w:rFonts w:hint="default" w:ascii="Times New Roman" w:hAnsi="Times New Roman" w:eastAsia="宋体" w:cs="Times New Roman"/>
          <w:color w:val="000000"/>
          <w:highlight w:val="none"/>
        </w:rPr>
        <w:t>下发的</w:t>
      </w:r>
      <w:r>
        <w:rPr>
          <w:rFonts w:hint="default" w:ascii="Times New Roman" w:hAnsi="Times New Roman" w:eastAsia="宋体" w:cs="Times New Roman"/>
          <w:color w:val="000000"/>
          <w:highlight w:val="none"/>
          <w:lang w:val="en-US" w:eastAsia="zh-CN"/>
        </w:rPr>
        <w:t>各项</w:t>
      </w:r>
      <w:r>
        <w:rPr>
          <w:rFonts w:hint="default" w:ascii="Times New Roman" w:hAnsi="Times New Roman" w:eastAsia="宋体" w:cs="Times New Roman"/>
          <w:color w:val="000000"/>
          <w:highlight w:val="none"/>
        </w:rPr>
        <w:t>相关工作任务要求，对</w:t>
      </w:r>
      <w:r>
        <w:rPr>
          <w:rFonts w:hint="default" w:ascii="Times New Roman" w:hAnsi="Times New Roman" w:eastAsia="宋体" w:cs="Times New Roman"/>
          <w:color w:val="000000"/>
          <w:highlight w:val="none"/>
          <w:lang w:val="en-US" w:eastAsia="zh-CN"/>
        </w:rPr>
        <w:t>郴州市</w:t>
      </w:r>
      <w:r>
        <w:rPr>
          <w:rFonts w:hint="default" w:ascii="Times New Roman" w:hAnsi="Times New Roman" w:eastAsia="宋体" w:cs="Times New Roman"/>
          <w:color w:val="000000"/>
          <w:highlight w:val="none"/>
        </w:rPr>
        <w:t>电子政务外网进行优化提升，构建一网多平面，实现高速传输、智能融合、安全可控的新一代电子政务外网。</w:t>
      </w:r>
    </w:p>
    <w:p w14:paraId="027BE4C5">
      <w:pPr>
        <w:pStyle w:val="3"/>
        <w:numPr>
          <w:ilvl w:val="0"/>
          <w:numId w:val="0"/>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lang w:val="en-US" w:eastAsia="zh-CN"/>
        </w:rPr>
        <w:t>巩固</w:t>
      </w:r>
      <w:r>
        <w:rPr>
          <w:rFonts w:hint="default" w:ascii="Times New Roman" w:hAnsi="Times New Roman" w:eastAsia="宋体" w:cs="Times New Roman"/>
          <w:color w:val="000000"/>
          <w:highlight w:val="none"/>
        </w:rPr>
        <w:t>建设电子政务外网安全防护能力，形成电子政务外网安全综合防御体系。基于电子政务外网</w:t>
      </w:r>
      <w:r>
        <w:rPr>
          <w:rFonts w:hint="default" w:ascii="Times New Roman" w:hAnsi="Times New Roman" w:eastAsia="宋体" w:cs="Times New Roman"/>
          <w:color w:val="000000"/>
          <w:highlight w:val="none"/>
          <w:lang w:val="en-US" w:eastAsia="zh-CN"/>
        </w:rPr>
        <w:t>现行</w:t>
      </w:r>
      <w:r>
        <w:rPr>
          <w:rFonts w:hint="default" w:ascii="Times New Roman" w:hAnsi="Times New Roman" w:eastAsia="宋体" w:cs="Times New Roman"/>
          <w:color w:val="000000"/>
          <w:highlight w:val="none"/>
        </w:rPr>
        <w:t>网络架构，</w:t>
      </w:r>
      <w:r>
        <w:rPr>
          <w:rFonts w:hint="default" w:ascii="Times New Roman" w:hAnsi="Times New Roman" w:eastAsia="宋体" w:cs="Times New Roman"/>
          <w:color w:val="000000"/>
          <w:highlight w:val="none"/>
          <w:lang w:val="en-US" w:eastAsia="zh-CN"/>
        </w:rPr>
        <w:t>对部分老旧设备进行更换</w:t>
      </w:r>
      <w:r>
        <w:rPr>
          <w:rFonts w:hint="default" w:ascii="Times New Roman" w:hAnsi="Times New Roman" w:eastAsia="宋体" w:cs="Times New Roman"/>
          <w:color w:val="000000"/>
          <w:highlight w:val="none"/>
        </w:rPr>
        <w:t>等，构建安全平台化、管理一体化、态势可感知、事件可预警、事故可追溯、安全可闭环的电子政务外网安全防护体系，为各政务服务应用提供主动、动态、按需、多维度、立体化的智能安全保障能力。</w:t>
      </w:r>
    </w:p>
    <w:p w14:paraId="69846B4C">
      <w:pPr>
        <w:pStyle w:val="5"/>
        <w:kinsoku/>
        <w:wordWrap/>
        <w:overflowPunct/>
        <w:topLinePunct w:val="0"/>
        <w:autoSpaceDE/>
        <w:autoSpaceDN/>
        <w:bidi w:val="0"/>
        <w:adjustRightInd/>
        <w:snapToGrid/>
        <w:spacing w:before="0" w:after="0" w:line="460" w:lineRule="exact"/>
        <w:ind w:left="0" w:firstLine="560" w:firstLineChars="200"/>
        <w:textAlignment w:val="auto"/>
        <w:rPr>
          <w:rFonts w:hint="default" w:ascii="Times New Roman" w:hAnsi="Times New Roman" w:eastAsia="仿宋" w:cs="Times New Roman"/>
          <w:b/>
          <w:bCs w:val="0"/>
          <w:color w:val="000000"/>
          <w:sz w:val="28"/>
          <w:highlight w:val="none"/>
        </w:rPr>
      </w:pPr>
      <w:bookmarkStart w:id="147" w:name="_Toc1966214004"/>
      <w:r>
        <w:rPr>
          <w:rFonts w:hint="eastAsia" w:eastAsia="宋体" w:cs="Times New Roman"/>
          <w:b/>
          <w:bCs w:val="0"/>
          <w:color w:val="000000"/>
          <w:sz w:val="28"/>
          <w:szCs w:val="28"/>
          <w:highlight w:val="none"/>
          <w:lang w:val="en-US" w:eastAsia="zh-CN"/>
        </w:rPr>
        <w:t>3、</w:t>
      </w:r>
      <w:r>
        <w:rPr>
          <w:rFonts w:hint="default" w:ascii="Times New Roman" w:hAnsi="Times New Roman" w:eastAsia="宋体" w:cs="Times New Roman"/>
          <w:b/>
          <w:bCs w:val="0"/>
          <w:color w:val="000000"/>
          <w:sz w:val="28"/>
          <w:szCs w:val="28"/>
          <w:highlight w:val="none"/>
        </w:rPr>
        <w:t>建设内容及规模</w:t>
      </w:r>
      <w:bookmarkEnd w:id="147"/>
    </w:p>
    <w:p w14:paraId="7E2047B5">
      <w:pPr>
        <w:pStyle w:val="3"/>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eastAsia="zh-CN"/>
        </w:rPr>
      </w:pPr>
      <w:r>
        <w:rPr>
          <w:rFonts w:hint="default" w:ascii="Times New Roman" w:hAnsi="Times New Roman" w:eastAsia="宋体" w:cs="Times New Roman"/>
          <w:color w:val="000000"/>
          <w:highlight w:val="none"/>
          <w:lang w:val="en-US" w:eastAsia="zh-CN"/>
        </w:rPr>
        <w:t>郴州市电子政务外网</w:t>
      </w:r>
      <w:r>
        <w:rPr>
          <w:rFonts w:hint="eastAsia" w:ascii="Times New Roman" w:hAnsi="Times New Roman" w:eastAsia="宋体" w:cs="Times New Roman"/>
          <w:color w:val="000000"/>
          <w:highlight w:val="none"/>
          <w:lang w:val="en-US" w:eastAsia="zh-CN"/>
        </w:rPr>
        <w:t>280</w:t>
      </w:r>
      <w:r>
        <w:rPr>
          <w:rFonts w:hint="default" w:ascii="Times New Roman" w:hAnsi="Times New Roman" w:eastAsia="宋体" w:cs="Times New Roman"/>
          <w:color w:val="000000"/>
          <w:highlight w:val="none"/>
        </w:rPr>
        <w:t>条</w:t>
      </w:r>
      <w:r>
        <w:rPr>
          <w:rFonts w:hint="default" w:ascii="Times New Roman" w:hAnsi="Times New Roman" w:eastAsia="宋体" w:cs="Times New Roman"/>
          <w:color w:val="000000"/>
          <w:highlight w:val="none"/>
          <w:lang w:val="en-US" w:eastAsia="zh-CN"/>
        </w:rPr>
        <w:t>网络</w:t>
      </w:r>
      <w:r>
        <w:rPr>
          <w:rFonts w:hint="default" w:ascii="Times New Roman" w:hAnsi="Times New Roman" w:eastAsia="宋体" w:cs="Times New Roman"/>
          <w:color w:val="000000"/>
          <w:highlight w:val="none"/>
        </w:rPr>
        <w:t>链路</w:t>
      </w:r>
      <w:r>
        <w:rPr>
          <w:rFonts w:hint="default" w:ascii="Times New Roman" w:hAnsi="Times New Roman" w:eastAsia="宋体" w:cs="Times New Roman"/>
          <w:color w:val="000000"/>
          <w:highlight w:val="none"/>
          <w:lang w:val="en-US" w:eastAsia="zh-CN"/>
        </w:rPr>
        <w:t>租赁及项目运行期间相关链路、机房的运维服务</w:t>
      </w:r>
      <w:r>
        <w:rPr>
          <w:rFonts w:hint="default"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119</w:t>
      </w:r>
      <w:r>
        <w:rPr>
          <w:rFonts w:hint="default" w:ascii="Times New Roman" w:hAnsi="Times New Roman" w:eastAsia="宋体" w:cs="Times New Roman"/>
          <w:color w:val="000000"/>
          <w:highlight w:val="none"/>
        </w:rPr>
        <w:t>条20M电路、</w:t>
      </w:r>
      <w:r>
        <w:rPr>
          <w:rFonts w:hint="eastAsia" w:ascii="Times New Roman" w:hAnsi="Times New Roman" w:eastAsia="宋体" w:cs="Times New Roman"/>
          <w:color w:val="000000"/>
          <w:highlight w:val="none"/>
          <w:lang w:val="en-US" w:eastAsia="zh-CN"/>
        </w:rPr>
        <w:t>124</w:t>
      </w:r>
      <w:r>
        <w:rPr>
          <w:rFonts w:hint="default" w:ascii="Times New Roman" w:hAnsi="Times New Roman" w:eastAsia="宋体" w:cs="Times New Roman"/>
          <w:color w:val="000000"/>
          <w:highlight w:val="none"/>
        </w:rPr>
        <w:t>条</w:t>
      </w:r>
      <w:r>
        <w:rPr>
          <w:rFonts w:hint="default" w:ascii="Times New Roman" w:hAnsi="Times New Roman" w:eastAsia="宋体" w:cs="Times New Roman"/>
          <w:color w:val="000000"/>
          <w:highlight w:val="none"/>
          <w:lang w:val="en-US" w:eastAsia="zh-CN"/>
        </w:rPr>
        <w:t>10</w:t>
      </w:r>
      <w:r>
        <w:rPr>
          <w:rFonts w:hint="default" w:ascii="Times New Roman" w:hAnsi="Times New Roman" w:eastAsia="宋体" w:cs="Times New Roman"/>
          <w:color w:val="000000"/>
          <w:highlight w:val="none"/>
        </w:rPr>
        <w:t>0M电路、</w:t>
      </w:r>
      <w:r>
        <w:rPr>
          <w:rFonts w:hint="eastAsia" w:ascii="Times New Roman" w:hAnsi="Times New Roman" w:eastAsia="宋体" w:cs="Times New Roman"/>
          <w:color w:val="000000"/>
          <w:highlight w:val="none"/>
          <w:lang w:val="en-US" w:eastAsia="zh-CN"/>
        </w:rPr>
        <w:t>6</w:t>
      </w:r>
      <w:r>
        <w:rPr>
          <w:rFonts w:hint="default" w:ascii="Times New Roman" w:hAnsi="Times New Roman" w:eastAsia="宋体" w:cs="Times New Roman"/>
          <w:color w:val="000000"/>
          <w:highlight w:val="none"/>
        </w:rPr>
        <w:t>条</w:t>
      </w:r>
      <w:r>
        <w:rPr>
          <w:rFonts w:hint="default" w:ascii="Times New Roman" w:hAnsi="Times New Roman" w:eastAsia="宋体" w:cs="Times New Roman"/>
          <w:color w:val="000000"/>
          <w:highlight w:val="none"/>
          <w:lang w:val="en-US" w:eastAsia="zh-CN"/>
        </w:rPr>
        <w:t>2</w:t>
      </w:r>
      <w:r>
        <w:rPr>
          <w:rFonts w:hint="default" w:ascii="Times New Roman" w:hAnsi="Times New Roman" w:eastAsia="宋体" w:cs="Times New Roman"/>
          <w:color w:val="000000"/>
          <w:highlight w:val="none"/>
        </w:rPr>
        <w:t>00M电路、</w:t>
      </w:r>
      <w:r>
        <w:rPr>
          <w:rFonts w:hint="default" w:ascii="Times New Roman" w:hAnsi="Times New Roman" w:eastAsia="宋体" w:cs="Times New Roman"/>
          <w:color w:val="000000"/>
          <w:highlight w:val="none"/>
          <w:lang w:val="en-US" w:eastAsia="zh-CN"/>
        </w:rPr>
        <w:t>31</w:t>
      </w:r>
      <w:r>
        <w:rPr>
          <w:rFonts w:hint="default" w:ascii="Times New Roman" w:hAnsi="Times New Roman" w:eastAsia="宋体" w:cs="Times New Roman"/>
          <w:color w:val="000000"/>
          <w:highlight w:val="none"/>
        </w:rPr>
        <w:t>条1G电路</w:t>
      </w:r>
      <w:r>
        <w:rPr>
          <w:rFonts w:hint="default" w:ascii="Times New Roman" w:hAnsi="Times New Roman" w:eastAsia="宋体" w:cs="Times New Roman"/>
          <w:color w:val="000000"/>
          <w:highlight w:val="none"/>
          <w:lang w:eastAsia="zh-CN"/>
        </w:rPr>
        <w:t>。</w:t>
      </w:r>
    </w:p>
    <w:p w14:paraId="232D62B4">
      <w:pPr>
        <w:pStyle w:val="5"/>
        <w:kinsoku/>
        <w:wordWrap/>
        <w:overflowPunct/>
        <w:topLinePunct w:val="0"/>
        <w:autoSpaceDE/>
        <w:autoSpaceDN/>
        <w:bidi w:val="0"/>
        <w:adjustRightInd/>
        <w:snapToGrid/>
        <w:spacing w:before="0" w:after="0" w:line="460" w:lineRule="exact"/>
        <w:ind w:left="0" w:firstLine="560" w:firstLineChars="200"/>
        <w:textAlignment w:val="auto"/>
        <w:rPr>
          <w:rFonts w:hint="default" w:ascii="Times New Roman" w:hAnsi="Times New Roman" w:eastAsia="宋体" w:cs="Times New Roman"/>
          <w:b/>
          <w:bCs w:val="0"/>
          <w:color w:val="000000"/>
          <w:sz w:val="28"/>
          <w:szCs w:val="28"/>
          <w:highlight w:val="none"/>
        </w:rPr>
      </w:pPr>
      <w:bookmarkStart w:id="148" w:name="_Toc680405192"/>
      <w:r>
        <w:rPr>
          <w:rFonts w:hint="eastAsia" w:eastAsia="宋体" w:cs="Times New Roman"/>
          <w:b/>
          <w:bCs w:val="0"/>
          <w:color w:val="000000"/>
          <w:sz w:val="28"/>
          <w:szCs w:val="28"/>
          <w:highlight w:val="none"/>
          <w:lang w:val="en-US" w:eastAsia="zh-CN"/>
        </w:rPr>
        <w:t>4、</w:t>
      </w:r>
      <w:r>
        <w:rPr>
          <w:rFonts w:hint="default" w:ascii="Times New Roman" w:hAnsi="Times New Roman" w:eastAsia="宋体" w:cs="Times New Roman"/>
          <w:b/>
          <w:bCs w:val="0"/>
          <w:color w:val="000000"/>
          <w:sz w:val="28"/>
          <w:szCs w:val="28"/>
          <w:highlight w:val="none"/>
        </w:rPr>
        <w:t>服务周期</w:t>
      </w:r>
      <w:bookmarkEnd w:id="148"/>
      <w:r>
        <w:rPr>
          <w:rFonts w:hint="default" w:ascii="Times New Roman" w:hAnsi="Times New Roman" w:eastAsia="宋体" w:cs="Times New Roman"/>
          <w:b/>
          <w:bCs w:val="0"/>
          <w:color w:val="000000"/>
          <w:sz w:val="28"/>
          <w:szCs w:val="28"/>
          <w:highlight w:val="none"/>
        </w:rPr>
        <w:tab/>
      </w:r>
    </w:p>
    <w:p w14:paraId="74EEAC3C">
      <w:pPr>
        <w:pStyle w:val="3"/>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lang w:eastAsia="zh-CN"/>
        </w:rPr>
        <w:t>郴州市202</w:t>
      </w:r>
      <w:r>
        <w:rPr>
          <w:rFonts w:hint="default" w:ascii="Times New Roman" w:hAnsi="Times New Roman" w:eastAsia="宋体" w:cs="Times New Roman"/>
          <w:color w:val="000000"/>
          <w:highlight w:val="none"/>
          <w:lang w:val="en-US" w:eastAsia="zh-CN"/>
        </w:rPr>
        <w:t>6</w:t>
      </w:r>
      <w:r>
        <w:rPr>
          <w:rFonts w:hint="default" w:ascii="Times New Roman" w:hAnsi="Times New Roman" w:eastAsia="宋体" w:cs="Times New Roman"/>
          <w:color w:val="000000"/>
          <w:highlight w:val="none"/>
          <w:lang w:eastAsia="zh-CN"/>
        </w:rPr>
        <w:t>年度电子政务外网网络租赁及相关运维服务项目</w:t>
      </w:r>
      <w:r>
        <w:rPr>
          <w:rFonts w:hint="default" w:ascii="Times New Roman" w:hAnsi="Times New Roman" w:eastAsia="宋体" w:cs="Times New Roman"/>
          <w:color w:val="000000"/>
          <w:highlight w:val="none"/>
        </w:rPr>
        <w:t>，服务周期为</w:t>
      </w:r>
      <w:r>
        <w:rPr>
          <w:rFonts w:hint="default" w:ascii="Times New Roman" w:hAnsi="Times New Roman" w:eastAsia="宋体" w:cs="Times New Roman"/>
          <w:color w:val="000000"/>
          <w:highlight w:val="none"/>
          <w:lang w:val="en-US" w:eastAsia="zh-CN"/>
        </w:rPr>
        <w:t>12个</w:t>
      </w:r>
      <w:r>
        <w:rPr>
          <w:rFonts w:hint="default" w:ascii="Times New Roman" w:hAnsi="Times New Roman" w:eastAsia="宋体" w:cs="Times New Roman"/>
          <w:color w:val="000000"/>
          <w:highlight w:val="none"/>
        </w:rPr>
        <w:t>月</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lang w:val="en-US" w:eastAsia="zh-CN"/>
        </w:rPr>
        <w:t>具体日期以相关批复及签订合同时间为准</w:t>
      </w:r>
      <w:r>
        <w:rPr>
          <w:rFonts w:hint="default" w:ascii="Times New Roman" w:hAnsi="Times New Roman" w:eastAsia="宋体" w:cs="Times New Roman"/>
          <w:color w:val="000000"/>
          <w:highlight w:val="none"/>
        </w:rPr>
        <w:t>。</w:t>
      </w:r>
    </w:p>
    <w:p w14:paraId="328FD778">
      <w:pPr>
        <w:pStyle w:val="29"/>
        <w:spacing w:line="360" w:lineRule="auto"/>
        <w:ind w:firstLine="560" w:firstLineChars="200"/>
        <w:jc w:val="left"/>
        <w:rPr>
          <w:rFonts w:hint="eastAsia" w:ascii="Times New Roman" w:hAnsi="Times New Roman" w:eastAsia="宋体" w:cs="Times New Roman"/>
          <w:b/>
          <w:bCs w:val="0"/>
          <w:color w:val="auto"/>
          <w:kern w:val="2"/>
          <w:sz w:val="28"/>
          <w:szCs w:val="28"/>
          <w:highlight w:val="none"/>
          <w:lang w:val="en-US" w:eastAsia="zh-CN" w:bidi="ar-SA"/>
        </w:rPr>
      </w:pPr>
      <w:r>
        <w:rPr>
          <w:rFonts w:hint="eastAsia" w:ascii="Times New Roman" w:hAnsi="Times New Roman" w:eastAsia="宋体" w:cs="Times New Roman"/>
          <w:b/>
          <w:bCs w:val="0"/>
          <w:color w:val="auto"/>
          <w:kern w:val="2"/>
          <w:sz w:val="28"/>
          <w:szCs w:val="28"/>
          <w:highlight w:val="none"/>
          <w:lang w:val="en-US" w:eastAsia="zh-CN" w:bidi="ar-SA"/>
        </w:rPr>
        <w:t>5、其他要求</w:t>
      </w:r>
    </w:p>
    <w:p w14:paraId="07CA20F3">
      <w:pPr>
        <w:pStyle w:val="29"/>
        <w:spacing w:line="360" w:lineRule="auto"/>
        <w:ind w:firstLine="420" w:firstLineChars="200"/>
        <w:jc w:val="left"/>
        <w:rPr>
          <w:rFonts w:hint="eastAsia" w:ascii="Times New Roman" w:hAnsi="Times New Roman" w:eastAsia="宋体" w:cs="Times New Roman"/>
          <w:b/>
          <w:bCs/>
          <w:snapToGrid w:val="0"/>
          <w:color w:val="auto"/>
          <w:kern w:val="0"/>
          <w:sz w:val="21"/>
          <w:szCs w:val="24"/>
          <w:highlight w:val="none"/>
          <w:lang w:val="en-US" w:eastAsia="zh-CN" w:bidi="ar-SA"/>
        </w:rPr>
      </w:pPr>
      <w:r>
        <w:rPr>
          <w:rFonts w:hint="eastAsia" w:ascii="Times New Roman" w:hAnsi="Times New Roman" w:eastAsia="宋体" w:cs="Times New Roman"/>
          <w:b/>
          <w:bCs/>
          <w:snapToGrid w:val="0"/>
          <w:color w:val="auto"/>
          <w:kern w:val="0"/>
          <w:sz w:val="21"/>
          <w:szCs w:val="24"/>
          <w:highlight w:val="none"/>
          <w:lang w:val="en-US" w:eastAsia="zh-CN" w:bidi="ar-SA"/>
        </w:rPr>
        <w:t>1.如本项目中标人为非现有的电子政务外网运营商，在组网割接完成并进入网络租赁期前，中标人需保证电子政务外网业务不被中断(业务中断的判断标准：在网在线率低于85%超过24小时以上视为业务中断)。其过渡期的费用由本项目中标人按原合同价格向原供应商支付，过渡期为1个月，支付金额及方式待双方签订项目合同时另行约定。要求投标人针对此内容在投标文件中出具书面承诺书，承诺如果电子政务外网业务被中断，视为自愿放弃中标资格，承诺书格式自拟并加盖投标人公章</w:t>
      </w:r>
      <w:r>
        <w:rPr>
          <w:rFonts w:hint="eastAsia" w:ascii="Times New Roman" w:hAnsi="Times New Roman" w:cs="Times New Roman"/>
          <w:b/>
          <w:bCs/>
          <w:snapToGrid w:val="0"/>
          <w:color w:val="auto"/>
          <w:kern w:val="0"/>
          <w:sz w:val="21"/>
          <w:szCs w:val="24"/>
          <w:highlight w:val="none"/>
          <w:lang w:val="en-US" w:eastAsia="zh-CN" w:bidi="ar-SA"/>
        </w:rPr>
        <w:t>。</w:t>
      </w:r>
    </w:p>
    <w:p w14:paraId="2DCAAD22">
      <w:pPr>
        <w:pStyle w:val="29"/>
        <w:spacing w:line="360" w:lineRule="auto"/>
        <w:ind w:firstLine="420" w:firstLineChars="200"/>
        <w:jc w:val="left"/>
        <w:rPr>
          <w:rFonts w:hint="eastAsia" w:ascii="Times New Roman" w:hAnsi="Times New Roman" w:eastAsia="宋体" w:cs="Times New Roman"/>
          <w:b/>
          <w:bCs/>
          <w:snapToGrid w:val="0"/>
          <w:color w:val="auto"/>
          <w:kern w:val="0"/>
          <w:sz w:val="21"/>
          <w:szCs w:val="24"/>
          <w:highlight w:val="none"/>
          <w:lang w:val="en-US" w:eastAsia="zh-CN" w:bidi="ar-SA"/>
        </w:rPr>
      </w:pPr>
      <w:r>
        <w:rPr>
          <w:rFonts w:hint="eastAsia" w:ascii="Times New Roman" w:hAnsi="Times New Roman" w:eastAsia="宋体" w:cs="Times New Roman"/>
          <w:b/>
          <w:bCs/>
          <w:snapToGrid w:val="0"/>
          <w:color w:val="auto"/>
          <w:kern w:val="0"/>
          <w:sz w:val="21"/>
          <w:szCs w:val="24"/>
          <w:highlight w:val="none"/>
          <w:lang w:val="en-US" w:eastAsia="zh-CN" w:bidi="ar-SA"/>
        </w:rPr>
        <w:t>2.合同最终支付金额根据结算情况据实支付。</w:t>
      </w:r>
    </w:p>
    <w:p w14:paraId="30E16F57">
      <w:pPr>
        <w:pStyle w:val="29"/>
        <w:spacing w:line="360" w:lineRule="auto"/>
        <w:ind w:firstLine="420" w:firstLineChars="200"/>
        <w:jc w:val="left"/>
        <w:rPr>
          <w:rFonts w:hint="eastAsia" w:ascii="Times New Roman" w:hAnsi="Times New Roman" w:eastAsia="宋体" w:cs="Times New Roman"/>
          <w:b/>
          <w:bCs/>
          <w:snapToGrid w:val="0"/>
          <w:color w:val="auto"/>
          <w:kern w:val="0"/>
          <w:sz w:val="21"/>
          <w:szCs w:val="24"/>
          <w:highlight w:val="none"/>
          <w:lang w:val="en-US" w:eastAsia="zh-CN" w:bidi="ar-SA"/>
        </w:rPr>
      </w:pPr>
      <w:r>
        <w:rPr>
          <w:rFonts w:hint="eastAsia" w:ascii="Times New Roman" w:hAnsi="Times New Roman" w:eastAsia="宋体" w:cs="Times New Roman"/>
          <w:b/>
          <w:bCs/>
          <w:snapToGrid w:val="0"/>
          <w:color w:val="auto"/>
          <w:kern w:val="0"/>
          <w:sz w:val="21"/>
          <w:szCs w:val="24"/>
          <w:highlight w:val="none"/>
          <w:lang w:val="en-US" w:eastAsia="zh-CN" w:bidi="ar-SA"/>
        </w:rPr>
        <w:t>3.保密要求</w:t>
      </w:r>
    </w:p>
    <w:p w14:paraId="777B93AF">
      <w:pPr>
        <w:pStyle w:val="29"/>
        <w:spacing w:line="360" w:lineRule="auto"/>
        <w:ind w:firstLine="420" w:firstLineChars="200"/>
        <w:jc w:val="left"/>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snapToGrid w:val="0"/>
          <w:color w:val="auto"/>
          <w:kern w:val="0"/>
          <w:sz w:val="21"/>
          <w:szCs w:val="24"/>
          <w:highlight w:val="none"/>
          <w:lang w:val="en-US" w:eastAsia="zh-CN" w:bidi="ar-SA"/>
        </w:rPr>
        <w:t>中标人应如约承担合同履行时所应该尽的一切保密义务。中标人对项目实施过程中的资料、数据进行保密，未经采购人书面同意不得泄露，且保密责任不因合同的中止或解除而失效。要求投标人针对此内容在投标文件中出具书面承诺书（格式自拟）并加盖投标人公章。</w:t>
      </w:r>
    </w:p>
    <w:p w14:paraId="42E1739E">
      <w:pPr>
        <w:pStyle w:val="29"/>
        <w:numPr>
          <w:ilvl w:val="0"/>
          <w:numId w:val="4"/>
        </w:numPr>
        <w:spacing w:line="360" w:lineRule="auto"/>
        <w:jc w:val="left"/>
        <w:rPr>
          <w:rFonts w:hint="eastAsia" w:ascii="宋体" w:hAnsi="宋体" w:cs="宋体"/>
          <w:b/>
          <w:bCs/>
          <w:color w:val="000000"/>
          <w:sz w:val="24"/>
          <w:szCs w:val="24"/>
          <w:highlight w:val="none"/>
          <w:lang w:val="en-US" w:eastAsia="zh-CN"/>
        </w:rPr>
      </w:pPr>
      <w:r>
        <w:rPr>
          <w:rFonts w:hint="eastAsia" w:ascii="宋体" w:hAnsi="宋体" w:cs="宋体"/>
          <w:b/>
          <w:bCs/>
          <w:color w:val="000000"/>
          <w:sz w:val="24"/>
          <w:szCs w:val="24"/>
          <w:highlight w:val="none"/>
        </w:rPr>
        <w:t>项目</w:t>
      </w:r>
      <w:r>
        <w:rPr>
          <w:rFonts w:hint="eastAsia" w:ascii="宋体" w:hAnsi="宋体" w:cs="宋体"/>
          <w:b/>
          <w:bCs/>
          <w:color w:val="000000"/>
          <w:sz w:val="24"/>
          <w:szCs w:val="24"/>
          <w:highlight w:val="none"/>
          <w:lang w:val="en-US" w:eastAsia="zh-CN"/>
        </w:rPr>
        <w:t>需求分析</w:t>
      </w:r>
    </w:p>
    <w:p w14:paraId="453E260D">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rPr>
      </w:pPr>
      <w:bookmarkStart w:id="149" w:name="_Toc1289625305"/>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一</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业务</w:t>
      </w:r>
      <w:r>
        <w:rPr>
          <w:rFonts w:hint="default" w:ascii="Times New Roman" w:hAnsi="Times New Roman" w:cs="Times New Roman"/>
          <w:color w:val="000000"/>
          <w:highlight w:val="none"/>
          <w:lang w:val="en-US" w:eastAsia="zh-CN"/>
        </w:rPr>
        <w:t>功能</w:t>
      </w:r>
      <w:r>
        <w:rPr>
          <w:rFonts w:hint="default" w:ascii="Times New Roman" w:hAnsi="Times New Roman" w:cs="Times New Roman"/>
          <w:color w:val="000000"/>
          <w:highlight w:val="none"/>
        </w:rPr>
        <w:t>需求</w:t>
      </w:r>
      <w:bookmarkEnd w:id="149"/>
    </w:p>
    <w:p w14:paraId="42674C80">
      <w:pPr>
        <w:pStyle w:val="33"/>
        <w:pageBreakBefore w:val="0"/>
        <w:numPr>
          <w:ilvl w:val="0"/>
          <w:numId w:val="5"/>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公众服务功能：郴州市电子政务外网是党政机关提供对社会公共服务的窗口，是社会各级企事业单位、与政府沟通的桥梁，它将政府和人民群众紧密结合在一起。应当采取多种接入方式方便社会公众服务，为公众提供更广泛便捷的信息服务。</w:t>
      </w:r>
    </w:p>
    <w:p w14:paraId="73167D64">
      <w:pPr>
        <w:pStyle w:val="33"/>
        <w:pageBreakBefore w:val="0"/>
        <w:numPr>
          <w:ilvl w:val="0"/>
          <w:numId w:val="5"/>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网络互联互通功能：在保障接入郴州市电子政务外网的基础上，实现市内各级党政机关政务外网横向和纵向的互联互通；同时在全市电子政务外网的建设中，也需要网络系统、数据库系统和应用系统的互联互通。</w:t>
      </w:r>
    </w:p>
    <w:p w14:paraId="1AB0373D">
      <w:pPr>
        <w:pStyle w:val="33"/>
        <w:pageBreakBefore w:val="0"/>
        <w:numPr>
          <w:ilvl w:val="0"/>
          <w:numId w:val="5"/>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信息共享功能：郴州市电子政务外网为各级党政机关的业务应用系统提供了一个统一的基础信息交换平台，使信息在系统内有序流动，实现电子政务外网各级信息系统之间、电子政务外网与社会公众之间的互联互通和信息资源共享。</w:t>
      </w:r>
    </w:p>
    <w:p w14:paraId="2BE767BA">
      <w:pPr>
        <w:pStyle w:val="33"/>
        <w:pageBreakBefore w:val="0"/>
        <w:numPr>
          <w:ilvl w:val="0"/>
          <w:numId w:val="5"/>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安全防护功能：郴州市电子政务外网既要满足社会公众访问的方便、灵活，具备可扩展性，又要保证公共业务系统、部门业务系统安全可靠的运行。</w:t>
      </w:r>
    </w:p>
    <w:p w14:paraId="2634FB79">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rPr>
      </w:pPr>
      <w:bookmarkStart w:id="150" w:name="_Toc180051964"/>
      <w:r>
        <w:rPr>
          <w:rFonts w:hint="eastAsia" w:ascii="Times New Roman" w:hAnsi="Times New Roman" w:cs="Times New Roman"/>
          <w:color w:val="000000"/>
          <w:highlight w:val="none"/>
          <w:lang w:val="en-US" w:eastAsia="zh-CN"/>
        </w:rPr>
        <w:t>（二）</w:t>
      </w:r>
      <w:r>
        <w:rPr>
          <w:rFonts w:hint="default" w:ascii="Times New Roman" w:hAnsi="Times New Roman" w:cs="Times New Roman"/>
          <w:color w:val="000000"/>
          <w:highlight w:val="none"/>
          <w:lang w:val="en-US" w:eastAsia="zh-CN"/>
        </w:rPr>
        <w:t>业务量需求</w:t>
      </w:r>
      <w:bookmarkEnd w:id="150"/>
    </w:p>
    <w:p w14:paraId="6F58D673">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szCs w:val="28"/>
          <w:highlight w:val="none"/>
          <w:lang w:val="en-US" w:eastAsia="zh-CN"/>
        </w:rPr>
        <w:t>根据本期规划</w:t>
      </w:r>
      <w:r>
        <w:rPr>
          <w:rFonts w:hint="default" w:ascii="Times New Roman" w:hAnsi="Times New Roman" w:eastAsia="宋体" w:cs="Times New Roman"/>
          <w:color w:val="000000"/>
          <w:szCs w:val="28"/>
          <w:highlight w:val="none"/>
          <w:lang w:val="zh-CN"/>
        </w:rPr>
        <w:t>郴州市电子政务外网</w:t>
      </w:r>
      <w:r>
        <w:rPr>
          <w:rFonts w:hint="default" w:ascii="Times New Roman" w:hAnsi="Times New Roman" w:eastAsia="宋体" w:cs="Times New Roman"/>
          <w:color w:val="000000"/>
          <w:szCs w:val="28"/>
          <w:highlight w:val="none"/>
          <w:lang w:val="en-US" w:eastAsia="zh-CN"/>
        </w:rPr>
        <w:t>共需</w:t>
      </w:r>
      <w:r>
        <w:rPr>
          <w:rFonts w:hint="eastAsia" w:ascii="Times New Roman" w:hAnsi="Times New Roman" w:eastAsia="宋体" w:cs="Times New Roman"/>
          <w:color w:val="000000"/>
          <w:szCs w:val="28"/>
          <w:highlight w:val="none"/>
          <w:lang w:val="en-US" w:eastAsia="zh-CN"/>
        </w:rPr>
        <w:t>280</w:t>
      </w:r>
      <w:r>
        <w:rPr>
          <w:rFonts w:hint="default" w:ascii="Times New Roman" w:hAnsi="Times New Roman" w:eastAsia="宋体" w:cs="Times New Roman"/>
          <w:color w:val="000000"/>
          <w:szCs w:val="28"/>
          <w:highlight w:val="none"/>
          <w:lang w:val="zh-CN"/>
        </w:rPr>
        <w:t>条网络链路租赁，</w:t>
      </w:r>
      <w:r>
        <w:rPr>
          <w:rFonts w:hint="default" w:ascii="Times New Roman" w:hAnsi="Times New Roman" w:eastAsia="宋体" w:cs="Times New Roman"/>
          <w:color w:val="000000"/>
          <w:szCs w:val="28"/>
          <w:highlight w:val="none"/>
          <w:lang w:val="en-US" w:eastAsia="zh-CN"/>
        </w:rPr>
        <w:t>其中</w:t>
      </w:r>
      <w:r>
        <w:rPr>
          <w:rFonts w:hint="default" w:ascii="Times New Roman" w:hAnsi="Times New Roman" w:eastAsia="宋体" w:cs="Times New Roman"/>
          <w:color w:val="000000"/>
          <w:szCs w:val="28"/>
          <w:highlight w:val="none"/>
          <w:lang w:val="zh-CN"/>
        </w:rPr>
        <w:t>：</w:t>
      </w:r>
      <w:r>
        <w:rPr>
          <w:rFonts w:hint="eastAsia" w:ascii="Times New Roman" w:hAnsi="Times New Roman" w:eastAsia="宋体" w:cs="Times New Roman"/>
          <w:color w:val="000000"/>
          <w:highlight w:val="none"/>
          <w:lang w:val="en-US" w:eastAsia="zh-CN"/>
        </w:rPr>
        <w:t>119</w:t>
      </w:r>
      <w:r>
        <w:rPr>
          <w:rFonts w:hint="default" w:ascii="Times New Roman" w:hAnsi="Times New Roman" w:eastAsia="宋体" w:cs="Times New Roman"/>
          <w:color w:val="000000"/>
          <w:highlight w:val="none"/>
        </w:rPr>
        <w:t>条20M电路、</w:t>
      </w:r>
      <w:r>
        <w:rPr>
          <w:rFonts w:hint="eastAsia" w:ascii="Times New Roman" w:hAnsi="Times New Roman" w:eastAsia="宋体" w:cs="Times New Roman"/>
          <w:color w:val="000000"/>
          <w:highlight w:val="none"/>
          <w:lang w:val="en-US" w:eastAsia="zh-CN"/>
        </w:rPr>
        <w:t>124</w:t>
      </w:r>
      <w:r>
        <w:rPr>
          <w:rFonts w:hint="default" w:ascii="Times New Roman" w:hAnsi="Times New Roman" w:eastAsia="宋体" w:cs="Times New Roman"/>
          <w:color w:val="000000"/>
          <w:highlight w:val="none"/>
        </w:rPr>
        <w:t>条</w:t>
      </w:r>
      <w:r>
        <w:rPr>
          <w:rFonts w:hint="default" w:ascii="Times New Roman" w:hAnsi="Times New Roman" w:eastAsia="宋体" w:cs="Times New Roman"/>
          <w:color w:val="000000"/>
          <w:highlight w:val="none"/>
          <w:lang w:val="en-US" w:eastAsia="zh-CN"/>
        </w:rPr>
        <w:t>10</w:t>
      </w:r>
      <w:r>
        <w:rPr>
          <w:rFonts w:hint="default" w:ascii="Times New Roman" w:hAnsi="Times New Roman" w:eastAsia="宋体" w:cs="Times New Roman"/>
          <w:color w:val="000000"/>
          <w:highlight w:val="none"/>
        </w:rPr>
        <w:t>0M电路、</w:t>
      </w:r>
      <w:r>
        <w:rPr>
          <w:rFonts w:hint="eastAsia" w:ascii="Times New Roman" w:hAnsi="Times New Roman" w:eastAsia="宋体" w:cs="Times New Roman"/>
          <w:color w:val="000000"/>
          <w:highlight w:val="none"/>
          <w:lang w:val="en-US" w:eastAsia="zh-CN"/>
        </w:rPr>
        <w:t>6</w:t>
      </w:r>
      <w:r>
        <w:rPr>
          <w:rFonts w:hint="default" w:ascii="Times New Roman" w:hAnsi="Times New Roman" w:eastAsia="宋体" w:cs="Times New Roman"/>
          <w:color w:val="000000"/>
          <w:highlight w:val="none"/>
        </w:rPr>
        <w:t>条</w:t>
      </w:r>
      <w:r>
        <w:rPr>
          <w:rFonts w:hint="default" w:ascii="Times New Roman" w:hAnsi="Times New Roman" w:eastAsia="宋体" w:cs="Times New Roman"/>
          <w:color w:val="000000"/>
          <w:highlight w:val="none"/>
          <w:lang w:val="en-US" w:eastAsia="zh-CN"/>
        </w:rPr>
        <w:t>2</w:t>
      </w:r>
      <w:r>
        <w:rPr>
          <w:rFonts w:hint="default" w:ascii="Times New Roman" w:hAnsi="Times New Roman" w:eastAsia="宋体" w:cs="Times New Roman"/>
          <w:color w:val="000000"/>
          <w:highlight w:val="none"/>
        </w:rPr>
        <w:t>00M电路、</w:t>
      </w:r>
      <w:r>
        <w:rPr>
          <w:rFonts w:hint="default" w:ascii="Times New Roman" w:hAnsi="Times New Roman" w:eastAsia="宋体" w:cs="Times New Roman"/>
          <w:color w:val="000000"/>
          <w:highlight w:val="none"/>
          <w:lang w:val="en-US" w:eastAsia="zh-CN"/>
        </w:rPr>
        <w:t>31</w:t>
      </w:r>
      <w:r>
        <w:rPr>
          <w:rFonts w:hint="default" w:ascii="Times New Roman" w:hAnsi="Times New Roman" w:eastAsia="宋体" w:cs="Times New Roman"/>
          <w:color w:val="000000"/>
          <w:highlight w:val="none"/>
        </w:rPr>
        <w:t>条1G电路</w:t>
      </w:r>
      <w:r>
        <w:rPr>
          <w:rFonts w:hint="default" w:ascii="Times New Roman" w:hAnsi="Times New Roman" w:eastAsia="宋体" w:cs="Times New Roman"/>
          <w:color w:val="000000"/>
          <w:szCs w:val="28"/>
          <w:highlight w:val="none"/>
          <w:lang w:val="zh-CN"/>
        </w:rPr>
        <w:t>，</w:t>
      </w:r>
      <w:r>
        <w:rPr>
          <w:rFonts w:hint="default" w:ascii="Times New Roman" w:hAnsi="Times New Roman" w:eastAsia="宋体" w:cs="Times New Roman"/>
          <w:color w:val="000000"/>
          <w:szCs w:val="28"/>
          <w:highlight w:val="none"/>
          <w:lang w:val="en-US" w:eastAsia="zh-CN"/>
        </w:rPr>
        <w:t>其接入用户为市本级电子政务外网横向连接的2</w:t>
      </w:r>
      <w:r>
        <w:rPr>
          <w:rFonts w:hint="eastAsia" w:ascii="Times New Roman" w:hAnsi="Times New Roman" w:eastAsia="宋体" w:cs="Times New Roman"/>
          <w:color w:val="000000"/>
          <w:szCs w:val="28"/>
          <w:highlight w:val="none"/>
          <w:lang w:val="en-US" w:eastAsia="zh-CN"/>
        </w:rPr>
        <w:t>50</w:t>
      </w:r>
      <w:r>
        <w:rPr>
          <w:rFonts w:hint="default" w:ascii="Times New Roman" w:hAnsi="Times New Roman" w:eastAsia="宋体" w:cs="Times New Roman"/>
          <w:color w:val="000000"/>
          <w:szCs w:val="28"/>
          <w:highlight w:val="none"/>
          <w:lang w:val="en-US" w:eastAsia="zh-CN"/>
        </w:rPr>
        <w:t>余家市直及省管企业电子政务外网网络节点</w:t>
      </w:r>
      <w:r>
        <w:rPr>
          <w:rFonts w:hint="default" w:ascii="Times New Roman" w:hAnsi="Times New Roman" w:eastAsia="宋体" w:cs="Times New Roman"/>
          <w:color w:val="000000"/>
          <w:szCs w:val="28"/>
          <w:highlight w:val="none"/>
          <w:lang w:val="zh-CN"/>
        </w:rPr>
        <w:t>。</w:t>
      </w:r>
    </w:p>
    <w:p w14:paraId="15809E4C">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rPr>
      </w:pPr>
      <w:bookmarkStart w:id="151" w:name="_Toc328900325"/>
      <w:r>
        <w:rPr>
          <w:rFonts w:hint="eastAsia" w:ascii="Times New Roman" w:hAnsi="Times New Roman" w:cs="Times New Roman"/>
          <w:color w:val="000000"/>
          <w:highlight w:val="none"/>
          <w:lang w:val="en-US" w:eastAsia="zh-CN"/>
        </w:rPr>
        <w:t>（三）</w:t>
      </w:r>
      <w:r>
        <w:rPr>
          <w:rFonts w:hint="default" w:ascii="Times New Roman" w:hAnsi="Times New Roman" w:cs="Times New Roman"/>
          <w:color w:val="000000"/>
          <w:highlight w:val="none"/>
          <w:lang w:val="en-US" w:eastAsia="zh-CN"/>
        </w:rPr>
        <w:t>用户</w:t>
      </w:r>
      <w:r>
        <w:rPr>
          <w:rFonts w:hint="default" w:ascii="Times New Roman" w:hAnsi="Times New Roman" w:cs="Times New Roman"/>
          <w:color w:val="000000"/>
          <w:highlight w:val="none"/>
        </w:rPr>
        <w:t>需求</w:t>
      </w:r>
      <w:bookmarkEnd w:id="151"/>
    </w:p>
    <w:p w14:paraId="35B98716">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lang w:val="en-US" w:eastAsia="zh-CN"/>
        </w:rPr>
        <w:t>电子政务外网主要承载着各类政务</w:t>
      </w:r>
      <w:r>
        <w:rPr>
          <w:rFonts w:hint="default" w:ascii="Times New Roman" w:hAnsi="Times New Roman" w:eastAsia="宋体" w:cs="Times New Roman"/>
          <w:color w:val="000000"/>
          <w:highlight w:val="none"/>
        </w:rPr>
        <w:t>业务应用</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lang w:val="en-US" w:eastAsia="zh-CN"/>
        </w:rPr>
        <w:t>主要</w:t>
      </w:r>
      <w:r>
        <w:rPr>
          <w:rFonts w:hint="default" w:ascii="Times New Roman" w:hAnsi="Times New Roman" w:eastAsia="宋体" w:cs="Times New Roman"/>
          <w:color w:val="000000"/>
          <w:highlight w:val="none"/>
        </w:rPr>
        <w:t>包括公众服务类应用（如行政审批、价格管理、信息公开等）、政府内部业务类应用（如协同办公、电子监察、应急指挥、信息报送等）</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rPr>
        <w:t>基础服务类应用（如视频会议、数据备份、电子邮件等）</w:t>
      </w:r>
      <w:r>
        <w:rPr>
          <w:rFonts w:hint="default" w:ascii="Times New Roman" w:hAnsi="Times New Roman" w:eastAsia="宋体" w:cs="Times New Roman"/>
          <w:color w:val="000000"/>
          <w:highlight w:val="none"/>
          <w:lang w:eastAsia="zh-CN"/>
        </w:rPr>
        <w:t>、</w:t>
      </w:r>
      <w:r>
        <w:rPr>
          <w:rFonts w:hint="default" w:ascii="Times New Roman" w:hAnsi="Times New Roman" w:eastAsia="宋体" w:cs="Times New Roman"/>
          <w:color w:val="000000"/>
          <w:highlight w:val="none"/>
          <w:lang w:val="en-US" w:eastAsia="zh-CN"/>
        </w:rPr>
        <w:t>部分部门的专业专用网以及</w:t>
      </w:r>
      <w:r>
        <w:rPr>
          <w:rFonts w:hint="default" w:ascii="Times New Roman" w:hAnsi="Times New Roman" w:eastAsia="宋体" w:cs="Times New Roman"/>
          <w:color w:val="000000"/>
          <w:highlight w:val="none"/>
        </w:rPr>
        <w:t xml:space="preserve">使用政务外网的统一互联网出口服务。 </w:t>
      </w:r>
    </w:p>
    <w:p w14:paraId="5C71A0B4">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其中，视频监控类业务系统、视频会议业务系统以及</w:t>
      </w:r>
      <w:r>
        <w:rPr>
          <w:rFonts w:hint="default" w:ascii="Times New Roman" w:hAnsi="Times New Roman" w:eastAsia="宋体" w:cs="Times New Roman"/>
          <w:color w:val="000000"/>
          <w:highlight w:val="none"/>
        </w:rPr>
        <w:t>使用政务外网的统一互联网出口服务</w:t>
      </w:r>
      <w:r>
        <w:rPr>
          <w:rFonts w:hint="default" w:ascii="Times New Roman" w:hAnsi="Times New Roman" w:eastAsia="宋体" w:cs="Times New Roman"/>
          <w:color w:val="000000"/>
          <w:highlight w:val="none"/>
          <w:lang w:val="en-US" w:eastAsia="zh-CN"/>
        </w:rPr>
        <w:t>因网络间需传递视频、音频等大颗粒信息对象对带宽需求较大，协同办公、信息报送等业务系统则因数据量较小对带宽需求较小。</w:t>
      </w:r>
    </w:p>
    <w:p w14:paraId="774CFB8A">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本期依据各单位用户数量及业务应用对带宽进行了以下区分：</w:t>
      </w:r>
    </w:p>
    <w:p w14:paraId="3C816C04">
      <w:pPr>
        <w:pStyle w:val="8"/>
        <w:pageBreakBefore w:val="0"/>
        <w:kinsoku/>
        <w:wordWrap/>
        <w:overflowPunct/>
        <w:topLinePunct w:val="0"/>
        <w:autoSpaceDE/>
        <w:autoSpaceDN/>
        <w:bidi w:val="0"/>
        <w:adjustRightInd/>
        <w:snapToGrid/>
        <w:spacing w:line="460" w:lineRule="exact"/>
        <w:ind w:firstLine="480" w:firstLineChars="200"/>
        <w:jc w:val="center"/>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 xml:space="preserve">表 </w:t>
      </w:r>
      <w:r>
        <w:rPr>
          <w:rFonts w:hint="default" w:ascii="Times New Roman" w:hAnsi="Times New Roman" w:eastAsia="宋体" w:cs="Times New Roman"/>
          <w:color w:val="000000"/>
          <w:sz w:val="24"/>
          <w:szCs w:val="24"/>
          <w:highlight w:val="none"/>
        </w:rPr>
        <w:fldChar w:fldCharType="begin"/>
      </w:r>
      <w:r>
        <w:rPr>
          <w:rFonts w:hint="default" w:ascii="Times New Roman" w:hAnsi="Times New Roman" w:eastAsia="宋体" w:cs="Times New Roman"/>
          <w:color w:val="000000"/>
          <w:sz w:val="24"/>
          <w:szCs w:val="24"/>
          <w:highlight w:val="none"/>
        </w:rPr>
        <w:instrText xml:space="preserve"> SEQ 表 \* ARABIC </w:instrText>
      </w:r>
      <w:r>
        <w:rPr>
          <w:rFonts w:hint="default" w:ascii="Times New Roman" w:hAnsi="Times New Roman" w:eastAsia="宋体" w:cs="Times New Roman"/>
          <w:color w:val="000000"/>
          <w:sz w:val="24"/>
          <w:szCs w:val="24"/>
          <w:highlight w:val="none"/>
        </w:rPr>
        <w:fldChar w:fldCharType="separate"/>
      </w:r>
      <w:r>
        <w:rPr>
          <w:rFonts w:hint="default" w:ascii="Times New Roman" w:hAnsi="Times New Roman" w:eastAsia="宋体" w:cs="Times New Roman"/>
          <w:color w:val="000000"/>
          <w:sz w:val="24"/>
          <w:szCs w:val="24"/>
          <w:highlight w:val="none"/>
        </w:rPr>
        <w:t>1</w:t>
      </w:r>
      <w:r>
        <w:rPr>
          <w:rFonts w:hint="default" w:ascii="Times New Roman" w:hAnsi="Times New Roman" w:eastAsia="宋体" w:cs="Times New Roman"/>
          <w:color w:val="000000"/>
          <w:sz w:val="24"/>
          <w:szCs w:val="24"/>
          <w:highlight w:val="none"/>
        </w:rPr>
        <w:fldChar w:fldCharType="end"/>
      </w:r>
      <w:bookmarkStart w:id="152" w:name="_Toc20962"/>
      <w:bookmarkStart w:id="153" w:name="_Toc30377"/>
      <w:r>
        <w:rPr>
          <w:rFonts w:hint="default" w:ascii="Times New Roman" w:hAnsi="Times New Roman" w:eastAsia="宋体" w:cs="Times New Roman"/>
          <w:color w:val="000000"/>
          <w:sz w:val="24"/>
          <w:szCs w:val="24"/>
          <w:highlight w:val="none"/>
          <w:lang w:val="en-US" w:eastAsia="zh-CN"/>
        </w:rPr>
        <w:t xml:space="preserve"> 用户带宽配置情况表</w:t>
      </w:r>
      <w:bookmarkEnd w:id="152"/>
      <w:bookmarkEnd w:id="153"/>
    </w:p>
    <w:tbl>
      <w:tblPr>
        <w:tblStyle w:val="2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63"/>
        <w:gridCol w:w="1605"/>
        <w:gridCol w:w="4650"/>
        <w:gridCol w:w="1237"/>
      </w:tblGrid>
      <w:tr w14:paraId="0DA2A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3" w:type="pct"/>
            <w:tcBorders>
              <w:top w:val="single" w:color="000000" w:sz="4" w:space="0"/>
              <w:left w:val="single" w:color="000000" w:sz="4" w:space="0"/>
              <w:bottom w:val="single" w:color="000000" w:sz="4" w:space="0"/>
              <w:right w:val="single" w:color="000000" w:sz="4" w:space="0"/>
            </w:tcBorders>
            <w:noWrap/>
            <w:vAlign w:val="center"/>
          </w:tcPr>
          <w:p w14:paraId="4C3EC2C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接入带宽</w:t>
            </w:r>
          </w:p>
        </w:tc>
        <w:tc>
          <w:tcPr>
            <w:tcW w:w="886" w:type="pct"/>
            <w:tcBorders>
              <w:top w:val="single" w:color="000000" w:sz="4" w:space="0"/>
              <w:left w:val="single" w:color="000000" w:sz="4" w:space="0"/>
              <w:bottom w:val="single" w:color="000000" w:sz="4" w:space="0"/>
              <w:right w:val="single" w:color="000000" w:sz="4" w:space="0"/>
            </w:tcBorders>
            <w:noWrap/>
            <w:vAlign w:val="center"/>
          </w:tcPr>
          <w:p w14:paraId="05601999">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终端数</w:t>
            </w:r>
          </w:p>
        </w:tc>
        <w:tc>
          <w:tcPr>
            <w:tcW w:w="2567" w:type="pct"/>
            <w:tcBorders>
              <w:top w:val="single" w:color="000000" w:sz="4" w:space="0"/>
              <w:left w:val="single" w:color="000000" w:sz="4" w:space="0"/>
              <w:bottom w:val="single" w:color="000000" w:sz="4" w:space="0"/>
              <w:right w:val="single" w:color="000000" w:sz="4" w:space="0"/>
            </w:tcBorders>
            <w:noWrap/>
            <w:vAlign w:val="center"/>
          </w:tcPr>
          <w:p w14:paraId="499C1FF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主要使用业务应用</w:t>
            </w:r>
          </w:p>
        </w:tc>
        <w:tc>
          <w:tcPr>
            <w:tcW w:w="683" w:type="pct"/>
            <w:tcBorders>
              <w:top w:val="single" w:color="000000" w:sz="4" w:space="0"/>
              <w:left w:val="single" w:color="000000" w:sz="4" w:space="0"/>
              <w:bottom w:val="single" w:color="000000" w:sz="4" w:space="0"/>
              <w:right w:val="single" w:color="000000" w:sz="4" w:space="0"/>
            </w:tcBorders>
            <w:noWrap/>
            <w:vAlign w:val="center"/>
          </w:tcPr>
          <w:p w14:paraId="77B9A5A8">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eastAsia" w:ascii="Times New Roman" w:hAnsi="Times New Roman" w:eastAsia="宋体" w:cs="Times New Roman"/>
                <w:b/>
                <w:bCs/>
                <w:i w:val="0"/>
                <w:iCs w:val="0"/>
                <w:color w:val="000000"/>
                <w:kern w:val="0"/>
                <w:sz w:val="24"/>
                <w:szCs w:val="24"/>
                <w:highlight w:val="none"/>
                <w:u w:val="none"/>
                <w:lang w:val="en-US" w:eastAsia="zh-CN" w:bidi="ar"/>
              </w:rPr>
              <w:t>链路</w:t>
            </w:r>
            <w:r>
              <w:rPr>
                <w:rFonts w:hint="default" w:ascii="Times New Roman" w:hAnsi="Times New Roman" w:eastAsia="宋体" w:cs="Times New Roman"/>
                <w:b/>
                <w:bCs/>
                <w:i w:val="0"/>
                <w:iCs w:val="0"/>
                <w:color w:val="000000"/>
                <w:kern w:val="0"/>
                <w:sz w:val="24"/>
                <w:szCs w:val="24"/>
                <w:highlight w:val="none"/>
                <w:u w:val="none"/>
                <w:lang w:val="en-US" w:eastAsia="zh-CN" w:bidi="ar"/>
              </w:rPr>
              <w:t>数量</w:t>
            </w:r>
          </w:p>
        </w:tc>
      </w:tr>
      <w:tr w14:paraId="737AA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3" w:type="pct"/>
            <w:tcBorders>
              <w:top w:val="single" w:color="000000" w:sz="4" w:space="0"/>
              <w:left w:val="single" w:color="000000" w:sz="4" w:space="0"/>
              <w:bottom w:val="single" w:color="000000" w:sz="4" w:space="0"/>
              <w:right w:val="single" w:color="000000" w:sz="4" w:space="0"/>
            </w:tcBorders>
            <w:noWrap/>
            <w:vAlign w:val="center"/>
          </w:tcPr>
          <w:p w14:paraId="0A0ABA1B">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20M</w:t>
            </w:r>
          </w:p>
        </w:tc>
        <w:tc>
          <w:tcPr>
            <w:tcW w:w="886" w:type="pct"/>
            <w:tcBorders>
              <w:top w:val="single" w:color="000000" w:sz="4" w:space="0"/>
              <w:left w:val="single" w:color="000000" w:sz="4" w:space="0"/>
              <w:bottom w:val="single" w:color="000000" w:sz="4" w:space="0"/>
              <w:right w:val="single" w:color="000000" w:sz="4" w:space="0"/>
            </w:tcBorders>
            <w:noWrap w:val="0"/>
            <w:vAlign w:val="center"/>
          </w:tcPr>
          <w:p w14:paraId="499E2F24">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＜50</w:t>
            </w:r>
          </w:p>
        </w:tc>
        <w:tc>
          <w:tcPr>
            <w:tcW w:w="2567" w:type="pct"/>
            <w:tcBorders>
              <w:top w:val="single" w:color="000000" w:sz="4" w:space="0"/>
              <w:left w:val="single" w:color="000000" w:sz="4" w:space="0"/>
              <w:bottom w:val="single" w:color="000000" w:sz="4" w:space="0"/>
              <w:right w:val="single" w:color="000000" w:sz="4" w:space="0"/>
            </w:tcBorders>
            <w:noWrap/>
            <w:vAlign w:val="center"/>
          </w:tcPr>
          <w:p w14:paraId="74058A7E">
            <w:pPr>
              <w:keepNext w:val="0"/>
              <w:keepLines w:val="0"/>
              <w:widowControl/>
              <w:suppressLineNumbers w:val="0"/>
              <w:jc w:val="left"/>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协同办公、信息报送</w:t>
            </w:r>
          </w:p>
        </w:tc>
        <w:tc>
          <w:tcPr>
            <w:tcW w:w="683" w:type="pct"/>
            <w:tcBorders>
              <w:top w:val="single" w:color="000000" w:sz="4" w:space="0"/>
              <w:left w:val="single" w:color="000000" w:sz="4" w:space="0"/>
              <w:bottom w:val="single" w:color="000000" w:sz="4" w:space="0"/>
              <w:right w:val="single" w:color="000000" w:sz="4" w:space="0"/>
            </w:tcBorders>
            <w:noWrap/>
            <w:vAlign w:val="center"/>
          </w:tcPr>
          <w:p w14:paraId="40B01674">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eastAsia" w:ascii="Times New Roman" w:hAnsi="Times New Roman" w:eastAsia="宋体" w:cs="Times New Roman"/>
                <w:b w:val="0"/>
                <w:bCs w:val="0"/>
                <w:snapToGrid w:val="0"/>
                <w:color w:val="auto"/>
                <w:kern w:val="0"/>
                <w:sz w:val="21"/>
                <w:szCs w:val="24"/>
                <w:highlight w:val="none"/>
                <w:lang w:val="en-US" w:eastAsia="zh-CN" w:bidi="ar-SA"/>
              </w:rPr>
              <w:t>119</w:t>
            </w:r>
          </w:p>
        </w:tc>
      </w:tr>
      <w:tr w14:paraId="5A0FF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3" w:type="pct"/>
            <w:tcBorders>
              <w:top w:val="single" w:color="000000" w:sz="4" w:space="0"/>
              <w:left w:val="single" w:color="000000" w:sz="4" w:space="0"/>
              <w:bottom w:val="single" w:color="000000" w:sz="4" w:space="0"/>
              <w:right w:val="single" w:color="000000" w:sz="4" w:space="0"/>
            </w:tcBorders>
            <w:noWrap/>
            <w:vAlign w:val="center"/>
          </w:tcPr>
          <w:p w14:paraId="632C8554">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100M</w:t>
            </w:r>
          </w:p>
        </w:tc>
        <w:tc>
          <w:tcPr>
            <w:tcW w:w="886" w:type="pct"/>
            <w:tcBorders>
              <w:top w:val="single" w:color="000000" w:sz="4" w:space="0"/>
              <w:left w:val="single" w:color="000000" w:sz="4" w:space="0"/>
              <w:bottom w:val="single" w:color="000000" w:sz="4" w:space="0"/>
              <w:right w:val="single" w:color="000000" w:sz="4" w:space="0"/>
            </w:tcBorders>
            <w:noWrap w:val="0"/>
            <w:vAlign w:val="center"/>
          </w:tcPr>
          <w:p w14:paraId="7EDA53DF">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＞50</w:t>
            </w:r>
          </w:p>
        </w:tc>
        <w:tc>
          <w:tcPr>
            <w:tcW w:w="2567" w:type="pct"/>
            <w:tcBorders>
              <w:top w:val="single" w:color="000000" w:sz="4" w:space="0"/>
              <w:left w:val="single" w:color="000000" w:sz="4" w:space="0"/>
              <w:bottom w:val="single" w:color="000000" w:sz="4" w:space="0"/>
              <w:right w:val="single" w:color="000000" w:sz="4" w:space="0"/>
            </w:tcBorders>
            <w:noWrap w:val="0"/>
            <w:vAlign w:val="center"/>
          </w:tcPr>
          <w:p w14:paraId="1B3A4D84">
            <w:pPr>
              <w:keepNext w:val="0"/>
              <w:keepLines w:val="0"/>
              <w:widowControl/>
              <w:suppressLineNumbers w:val="0"/>
              <w:jc w:val="left"/>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协同办公、信息报送、专业系统、视频会议系统</w:t>
            </w:r>
          </w:p>
        </w:tc>
        <w:tc>
          <w:tcPr>
            <w:tcW w:w="683" w:type="pct"/>
            <w:tcBorders>
              <w:top w:val="single" w:color="000000" w:sz="4" w:space="0"/>
              <w:left w:val="single" w:color="000000" w:sz="4" w:space="0"/>
              <w:bottom w:val="single" w:color="000000" w:sz="4" w:space="0"/>
              <w:right w:val="single" w:color="000000" w:sz="4" w:space="0"/>
            </w:tcBorders>
            <w:noWrap/>
            <w:vAlign w:val="center"/>
          </w:tcPr>
          <w:p w14:paraId="3B6F9E41">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eastAsia" w:ascii="Times New Roman" w:hAnsi="Times New Roman" w:eastAsia="宋体" w:cs="Times New Roman"/>
                <w:b w:val="0"/>
                <w:bCs w:val="0"/>
                <w:snapToGrid w:val="0"/>
                <w:color w:val="auto"/>
                <w:kern w:val="0"/>
                <w:sz w:val="21"/>
                <w:szCs w:val="24"/>
                <w:highlight w:val="none"/>
                <w:lang w:val="en-US" w:eastAsia="zh-CN" w:bidi="ar-SA"/>
              </w:rPr>
              <w:t>124</w:t>
            </w:r>
          </w:p>
        </w:tc>
      </w:tr>
      <w:tr w14:paraId="0834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3" w:type="pct"/>
            <w:tcBorders>
              <w:top w:val="single" w:color="000000" w:sz="4" w:space="0"/>
              <w:left w:val="single" w:color="000000" w:sz="4" w:space="0"/>
              <w:bottom w:val="single" w:color="000000" w:sz="4" w:space="0"/>
              <w:right w:val="single" w:color="000000" w:sz="4" w:space="0"/>
            </w:tcBorders>
            <w:noWrap/>
            <w:vAlign w:val="center"/>
          </w:tcPr>
          <w:p w14:paraId="5C26C92A">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200M</w:t>
            </w:r>
          </w:p>
        </w:tc>
        <w:tc>
          <w:tcPr>
            <w:tcW w:w="886" w:type="pct"/>
            <w:tcBorders>
              <w:top w:val="single" w:color="000000" w:sz="4" w:space="0"/>
              <w:left w:val="single" w:color="000000" w:sz="4" w:space="0"/>
              <w:bottom w:val="single" w:color="000000" w:sz="4" w:space="0"/>
              <w:right w:val="single" w:color="000000" w:sz="4" w:space="0"/>
            </w:tcBorders>
            <w:noWrap w:val="0"/>
            <w:vAlign w:val="center"/>
          </w:tcPr>
          <w:p w14:paraId="0DB07CC1">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＜100</w:t>
            </w:r>
          </w:p>
        </w:tc>
        <w:tc>
          <w:tcPr>
            <w:tcW w:w="2567" w:type="pct"/>
            <w:tcBorders>
              <w:top w:val="single" w:color="000000" w:sz="4" w:space="0"/>
              <w:left w:val="single" w:color="000000" w:sz="4" w:space="0"/>
              <w:bottom w:val="single" w:color="000000" w:sz="4" w:space="0"/>
              <w:right w:val="single" w:color="000000" w:sz="4" w:space="0"/>
            </w:tcBorders>
            <w:noWrap w:val="0"/>
            <w:vAlign w:val="center"/>
          </w:tcPr>
          <w:p w14:paraId="2D822F7A">
            <w:pPr>
              <w:keepNext w:val="0"/>
              <w:keepLines w:val="0"/>
              <w:widowControl/>
              <w:suppressLineNumbers w:val="0"/>
              <w:jc w:val="left"/>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协同办公、信息报送、专业系统、视频会议系统</w:t>
            </w:r>
          </w:p>
        </w:tc>
        <w:tc>
          <w:tcPr>
            <w:tcW w:w="683" w:type="pct"/>
            <w:tcBorders>
              <w:top w:val="single" w:color="000000" w:sz="4" w:space="0"/>
              <w:left w:val="single" w:color="000000" w:sz="4" w:space="0"/>
              <w:bottom w:val="single" w:color="000000" w:sz="4" w:space="0"/>
              <w:right w:val="single" w:color="000000" w:sz="4" w:space="0"/>
            </w:tcBorders>
            <w:noWrap/>
            <w:vAlign w:val="center"/>
          </w:tcPr>
          <w:p w14:paraId="37BBBEE5">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eastAsia" w:ascii="Times New Roman" w:hAnsi="Times New Roman" w:eastAsia="宋体" w:cs="Times New Roman"/>
                <w:b w:val="0"/>
                <w:bCs w:val="0"/>
                <w:snapToGrid w:val="0"/>
                <w:color w:val="auto"/>
                <w:kern w:val="0"/>
                <w:sz w:val="21"/>
                <w:szCs w:val="24"/>
                <w:highlight w:val="none"/>
                <w:lang w:val="en-US" w:eastAsia="zh-CN" w:bidi="ar-SA"/>
              </w:rPr>
              <w:t>6</w:t>
            </w:r>
          </w:p>
        </w:tc>
      </w:tr>
      <w:tr w14:paraId="5F44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3" w:type="pct"/>
            <w:tcBorders>
              <w:top w:val="single" w:color="000000" w:sz="4" w:space="0"/>
              <w:left w:val="single" w:color="000000" w:sz="4" w:space="0"/>
              <w:bottom w:val="single" w:color="000000" w:sz="4" w:space="0"/>
              <w:right w:val="single" w:color="000000" w:sz="4" w:space="0"/>
            </w:tcBorders>
            <w:noWrap/>
            <w:vAlign w:val="center"/>
          </w:tcPr>
          <w:p w14:paraId="7EF97F80">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1G</w:t>
            </w:r>
          </w:p>
        </w:tc>
        <w:tc>
          <w:tcPr>
            <w:tcW w:w="886" w:type="pct"/>
            <w:tcBorders>
              <w:top w:val="single" w:color="000000" w:sz="4" w:space="0"/>
              <w:left w:val="single" w:color="000000" w:sz="4" w:space="0"/>
              <w:bottom w:val="single" w:color="000000" w:sz="4" w:space="0"/>
              <w:right w:val="single" w:color="000000" w:sz="4" w:space="0"/>
            </w:tcBorders>
            <w:noWrap w:val="0"/>
            <w:vAlign w:val="center"/>
          </w:tcPr>
          <w:p w14:paraId="048B1BBD">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＞100</w:t>
            </w:r>
          </w:p>
        </w:tc>
        <w:tc>
          <w:tcPr>
            <w:tcW w:w="2567" w:type="pct"/>
            <w:tcBorders>
              <w:top w:val="single" w:color="000000" w:sz="4" w:space="0"/>
              <w:left w:val="single" w:color="000000" w:sz="4" w:space="0"/>
              <w:bottom w:val="single" w:color="000000" w:sz="4" w:space="0"/>
              <w:right w:val="single" w:color="000000" w:sz="4" w:space="0"/>
            </w:tcBorders>
            <w:noWrap w:val="0"/>
            <w:vAlign w:val="center"/>
          </w:tcPr>
          <w:p w14:paraId="5A59577E">
            <w:pPr>
              <w:keepNext w:val="0"/>
              <w:keepLines w:val="0"/>
              <w:widowControl/>
              <w:suppressLineNumbers w:val="0"/>
              <w:jc w:val="left"/>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协同办公、信息报送、专业系统、视频会议系统、视频监控类引用</w:t>
            </w:r>
          </w:p>
        </w:tc>
        <w:tc>
          <w:tcPr>
            <w:tcW w:w="683" w:type="pct"/>
            <w:tcBorders>
              <w:top w:val="single" w:color="000000" w:sz="4" w:space="0"/>
              <w:left w:val="single" w:color="000000" w:sz="4" w:space="0"/>
              <w:bottom w:val="single" w:color="000000" w:sz="4" w:space="0"/>
              <w:right w:val="single" w:color="000000" w:sz="4" w:space="0"/>
            </w:tcBorders>
            <w:noWrap/>
            <w:vAlign w:val="center"/>
          </w:tcPr>
          <w:p w14:paraId="2E8196D9">
            <w:pPr>
              <w:keepNext w:val="0"/>
              <w:keepLines w:val="0"/>
              <w:widowControl/>
              <w:suppressLineNumbers w:val="0"/>
              <w:jc w:val="center"/>
              <w:textAlignment w:val="center"/>
              <w:rPr>
                <w:rFonts w:hint="default" w:ascii="Times New Roman" w:hAnsi="Times New Roman" w:eastAsia="宋体" w:cs="Times New Roman"/>
                <w:b w:val="0"/>
                <w:bCs w:val="0"/>
                <w:snapToGrid w:val="0"/>
                <w:color w:val="auto"/>
                <w:kern w:val="0"/>
                <w:sz w:val="21"/>
                <w:szCs w:val="24"/>
                <w:highlight w:val="none"/>
                <w:lang w:val="en-US" w:eastAsia="zh-CN" w:bidi="ar-SA"/>
              </w:rPr>
            </w:pPr>
            <w:r>
              <w:rPr>
                <w:rFonts w:hint="default" w:ascii="Times New Roman" w:hAnsi="Times New Roman" w:eastAsia="宋体" w:cs="Times New Roman"/>
                <w:b w:val="0"/>
                <w:bCs w:val="0"/>
                <w:snapToGrid w:val="0"/>
                <w:color w:val="auto"/>
                <w:kern w:val="0"/>
                <w:sz w:val="21"/>
                <w:szCs w:val="24"/>
                <w:highlight w:val="none"/>
                <w:lang w:val="en-US" w:eastAsia="zh-CN" w:bidi="ar-SA"/>
              </w:rPr>
              <w:t>31</w:t>
            </w:r>
          </w:p>
        </w:tc>
      </w:tr>
    </w:tbl>
    <w:p w14:paraId="26A60C93">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p>
    <w:p w14:paraId="03074065">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eastAsia="宋体" w:cs="Times New Roman"/>
          <w:color w:val="000000"/>
          <w:highlight w:val="none"/>
        </w:rPr>
      </w:pPr>
      <w:bookmarkStart w:id="154" w:name="_Toc204854897"/>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四</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网络质量及性能需求</w:t>
      </w:r>
      <w:bookmarkEnd w:id="154"/>
    </w:p>
    <w:p w14:paraId="3CF5FE52">
      <w:pPr>
        <w:pStyle w:val="3"/>
        <w:keepNext w:val="0"/>
        <w:keepLines w:val="0"/>
        <w:pageBreakBefore w:val="0"/>
        <w:widowControl/>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网络质量方面的设计依据：本网络</w:t>
      </w:r>
      <w:r>
        <w:rPr>
          <w:rFonts w:hint="default" w:ascii="Times New Roman" w:hAnsi="Times New Roman" w:eastAsia="宋体" w:cs="Times New Roman"/>
          <w:color w:val="000000"/>
          <w:highlight w:val="none"/>
          <w:lang w:val="en-US" w:eastAsia="zh-CN"/>
        </w:rPr>
        <w:t>为郴州市级电子政务外网</w:t>
      </w:r>
      <w:r>
        <w:rPr>
          <w:rFonts w:hint="default" w:ascii="Times New Roman" w:hAnsi="Times New Roman" w:eastAsia="宋体" w:cs="Times New Roman"/>
          <w:color w:val="000000"/>
          <w:highlight w:val="none"/>
        </w:rPr>
        <w:t>，对网络实时性与服务质量的要求非常严格，必须满足如下指标：</w:t>
      </w:r>
    </w:p>
    <w:p w14:paraId="79B72563">
      <w:pPr>
        <w:pStyle w:val="3"/>
        <w:keepNext w:val="0"/>
        <w:keepLines w:val="0"/>
        <w:pageBreakBefore w:val="0"/>
        <w:widowControl/>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p>
    <w:p w14:paraId="4EABE354">
      <w:pPr>
        <w:pStyle w:val="8"/>
        <w:pageBreakBefore w:val="0"/>
        <w:kinsoku/>
        <w:wordWrap/>
        <w:overflowPunct/>
        <w:topLinePunct w:val="0"/>
        <w:autoSpaceDE/>
        <w:autoSpaceDN/>
        <w:bidi w:val="0"/>
        <w:adjustRightInd/>
        <w:snapToGrid/>
        <w:spacing w:line="460" w:lineRule="exact"/>
        <w:ind w:left="0" w:firstLine="480" w:firstLineChars="200"/>
        <w:jc w:val="center"/>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 xml:space="preserve">表 </w:t>
      </w:r>
      <w:r>
        <w:rPr>
          <w:rFonts w:hint="default" w:ascii="Times New Roman" w:hAnsi="Times New Roman" w:eastAsia="宋体" w:cs="Times New Roman"/>
          <w:color w:val="000000"/>
          <w:sz w:val="24"/>
          <w:szCs w:val="24"/>
          <w:highlight w:val="none"/>
        </w:rPr>
        <w:fldChar w:fldCharType="begin"/>
      </w:r>
      <w:r>
        <w:rPr>
          <w:rFonts w:hint="default" w:ascii="Times New Roman" w:hAnsi="Times New Roman" w:eastAsia="宋体" w:cs="Times New Roman"/>
          <w:color w:val="000000"/>
          <w:sz w:val="24"/>
          <w:szCs w:val="24"/>
          <w:highlight w:val="none"/>
        </w:rPr>
        <w:instrText xml:space="preserve"> SEQ 表 \* ARABIC </w:instrText>
      </w:r>
      <w:r>
        <w:rPr>
          <w:rFonts w:hint="default" w:ascii="Times New Roman" w:hAnsi="Times New Roman" w:eastAsia="宋体" w:cs="Times New Roman"/>
          <w:color w:val="000000"/>
          <w:sz w:val="24"/>
          <w:szCs w:val="24"/>
          <w:highlight w:val="none"/>
        </w:rPr>
        <w:fldChar w:fldCharType="separate"/>
      </w:r>
      <w:r>
        <w:rPr>
          <w:rFonts w:hint="default" w:ascii="Times New Roman" w:hAnsi="Times New Roman" w:eastAsia="宋体" w:cs="Times New Roman"/>
          <w:color w:val="000000"/>
          <w:sz w:val="24"/>
          <w:szCs w:val="24"/>
          <w:highlight w:val="none"/>
        </w:rPr>
        <w:t>2</w:t>
      </w:r>
      <w:r>
        <w:rPr>
          <w:rFonts w:hint="default" w:ascii="Times New Roman" w:hAnsi="Times New Roman" w:eastAsia="宋体" w:cs="Times New Roman"/>
          <w:color w:val="000000"/>
          <w:sz w:val="24"/>
          <w:szCs w:val="24"/>
          <w:highlight w:val="none"/>
        </w:rPr>
        <w:fldChar w:fldCharType="end"/>
      </w:r>
      <w:bookmarkStart w:id="155" w:name="_Toc1591"/>
      <w:bookmarkStart w:id="156" w:name="_Toc28993"/>
      <w:r>
        <w:rPr>
          <w:rFonts w:hint="default" w:ascii="Times New Roman" w:hAnsi="Times New Roman" w:eastAsia="宋体" w:cs="Times New Roman"/>
          <w:color w:val="000000"/>
          <w:sz w:val="24"/>
          <w:szCs w:val="24"/>
          <w:highlight w:val="none"/>
        </w:rPr>
        <w:t xml:space="preserve"> IP承载网络端到端通信质量要求表</w:t>
      </w:r>
      <w:bookmarkEnd w:id="155"/>
      <w:bookmarkEnd w:id="156"/>
    </w:p>
    <w:tbl>
      <w:tblPr>
        <w:tblStyle w:val="21"/>
        <w:tblW w:w="5980" w:type="dxa"/>
        <w:jc w:val="center"/>
        <w:tblLayout w:type="autofit"/>
        <w:tblCellMar>
          <w:top w:w="0" w:type="dxa"/>
          <w:left w:w="108" w:type="dxa"/>
          <w:bottom w:w="0" w:type="dxa"/>
          <w:right w:w="108" w:type="dxa"/>
        </w:tblCellMar>
      </w:tblPr>
      <w:tblGrid>
        <w:gridCol w:w="2040"/>
        <w:gridCol w:w="2170"/>
        <w:gridCol w:w="1770"/>
      </w:tblGrid>
      <w:tr w14:paraId="598317B9">
        <w:tblPrEx>
          <w:tblCellMar>
            <w:top w:w="0" w:type="dxa"/>
            <w:left w:w="108" w:type="dxa"/>
            <w:bottom w:w="0" w:type="dxa"/>
            <w:right w:w="108" w:type="dxa"/>
          </w:tblCellMar>
        </w:tblPrEx>
        <w:trPr>
          <w:trHeight w:val="280" w:hRule="atLeast"/>
          <w:tblHeader/>
          <w:jc w:val="center"/>
        </w:trPr>
        <w:tc>
          <w:tcPr>
            <w:tcW w:w="2040" w:type="dxa"/>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2ECBA830">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丢包率上限</w:t>
            </w:r>
          </w:p>
        </w:tc>
        <w:tc>
          <w:tcPr>
            <w:tcW w:w="2170" w:type="dxa"/>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458CD889">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网络延时上限</w:t>
            </w:r>
          </w:p>
        </w:tc>
        <w:tc>
          <w:tcPr>
            <w:tcW w:w="1770" w:type="dxa"/>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7AF550B1">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延时抖动上限</w:t>
            </w:r>
          </w:p>
        </w:tc>
      </w:tr>
      <w:tr w14:paraId="3A6E8501">
        <w:tblPrEx>
          <w:tblCellMar>
            <w:top w:w="0" w:type="dxa"/>
            <w:left w:w="108" w:type="dxa"/>
            <w:bottom w:w="0" w:type="dxa"/>
            <w:right w:w="108" w:type="dxa"/>
          </w:tblCellMar>
        </w:tblPrEx>
        <w:trPr>
          <w:trHeight w:val="280"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BAD6329">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1/1000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F977081">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150ms</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6ED76FD">
            <w:pPr>
              <w:widowControl/>
              <w:spacing w:line="240" w:lineRule="auto"/>
              <w:textAlignment w:val="center"/>
              <w:rPr>
                <w:rFonts w:hint="default" w:ascii="Times New Roman" w:hAnsi="Times New Roman" w:eastAsia="宋体" w:cs="Times New Roman"/>
                <w:color w:val="000000"/>
                <w:szCs w:val="24"/>
                <w:highlight w:val="none"/>
              </w:rPr>
            </w:pPr>
            <w:r>
              <w:rPr>
                <w:rFonts w:hint="default" w:ascii="Times New Roman" w:hAnsi="Times New Roman" w:eastAsia="宋体" w:cs="Times New Roman"/>
                <w:color w:val="000000"/>
                <w:kern w:val="0"/>
                <w:szCs w:val="24"/>
                <w:highlight w:val="none"/>
                <w:lang w:bidi="ar"/>
              </w:rPr>
              <w:t>50ms</w:t>
            </w:r>
          </w:p>
        </w:tc>
      </w:tr>
    </w:tbl>
    <w:p w14:paraId="4E58AF87">
      <w:pPr>
        <w:pStyle w:val="3"/>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在带宽方面要求不能少于规定的带宽约定，且带宽峰值要高于要求带宽的10%。</w:t>
      </w:r>
    </w:p>
    <w:p w14:paraId="2C82078D">
      <w:pPr>
        <w:pStyle w:val="3"/>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网络传输性能：实时传输时，IP承载网的QoS等级要达到1级（交互式）或1级以上；端到端通信的网络时延应小于150ms；端到端通信的时延抖动应小于50ms；端到端通信的丢包率应小于1×10</w:t>
      </w:r>
      <w:r>
        <w:rPr>
          <w:rFonts w:hint="default" w:ascii="Times New Roman" w:hAnsi="Times New Roman" w:eastAsia="宋体" w:cs="Times New Roman"/>
          <w:color w:val="000000"/>
          <w:highlight w:val="none"/>
          <w:vertAlign w:val="superscript"/>
        </w:rPr>
        <w:t>-3</w:t>
      </w:r>
      <w:r>
        <w:rPr>
          <w:rFonts w:hint="default" w:ascii="Times New Roman" w:hAnsi="Times New Roman" w:eastAsia="宋体" w:cs="Times New Roman"/>
          <w:color w:val="000000"/>
          <w:highlight w:val="none"/>
        </w:rPr>
        <w:t>。</w:t>
      </w:r>
    </w:p>
    <w:p w14:paraId="57BCBB5E">
      <w:pPr>
        <w:pStyle w:val="3"/>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为了保证系统具有高可靠性、可用性，必须尽量减少系统的平均无故障时间（MTBR）。因此，必须提高单元的独立性、可修复性、故障可维护性，实现故障部件的在线维护和更换。在用、备用部件之间的故障须做到尽可能互不影响或影响的概率相当小（0.01%），以保证处于备用状态的部件发生故障时，不影响冗余工作部件或其他关联部件的正常运行，确保冗余的有效性。</w:t>
      </w:r>
    </w:p>
    <w:p w14:paraId="7B5A6C59">
      <w:pPr>
        <w:pStyle w:val="3"/>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其它性能指标需求如下：</w:t>
      </w:r>
    </w:p>
    <w:p w14:paraId="7B3FB4E1">
      <w:pPr>
        <w:pStyle w:val="33"/>
        <w:keepNext w:val="0"/>
        <w:keepLines w:val="0"/>
        <w:pageBreakBefore w:val="0"/>
        <w:numPr>
          <w:ilvl w:val="0"/>
          <w:numId w:val="6"/>
        </w:numPr>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电路可用率：≥99.9%；</w:t>
      </w:r>
    </w:p>
    <w:p w14:paraId="641EB215">
      <w:pPr>
        <w:pStyle w:val="33"/>
        <w:keepNext w:val="0"/>
        <w:keepLines w:val="0"/>
        <w:pageBreakBefore w:val="0"/>
        <w:numPr>
          <w:ilvl w:val="0"/>
          <w:numId w:val="6"/>
        </w:numPr>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网络平均丢包率：≤0.5%（郴州市电子政务外网内ping）；</w:t>
      </w:r>
    </w:p>
    <w:p w14:paraId="112DA875">
      <w:pPr>
        <w:pStyle w:val="33"/>
        <w:keepNext w:val="0"/>
        <w:keepLines w:val="0"/>
        <w:pageBreakBefore w:val="0"/>
        <w:numPr>
          <w:ilvl w:val="0"/>
          <w:numId w:val="6"/>
        </w:numPr>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网络平均时延：≤20ms（郴州市电子政务外网内ping）；</w:t>
      </w:r>
    </w:p>
    <w:p w14:paraId="12B744B8">
      <w:pPr>
        <w:pStyle w:val="33"/>
        <w:keepNext w:val="0"/>
        <w:keepLines w:val="0"/>
        <w:pageBreakBefore w:val="0"/>
        <w:numPr>
          <w:ilvl w:val="0"/>
          <w:numId w:val="6"/>
        </w:numPr>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网络带宽为上下行一致的带宽；</w:t>
      </w:r>
    </w:p>
    <w:p w14:paraId="1BCFAD89">
      <w:pPr>
        <w:pStyle w:val="33"/>
        <w:keepNext w:val="0"/>
        <w:keepLines w:val="0"/>
        <w:pageBreakBefore w:val="0"/>
        <w:numPr>
          <w:ilvl w:val="0"/>
          <w:numId w:val="6"/>
        </w:numPr>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支持IPv6。</w:t>
      </w:r>
    </w:p>
    <w:p w14:paraId="0C31A56C">
      <w:pPr>
        <w:pStyle w:val="3"/>
        <w:keepNext w:val="0"/>
        <w:keepLines w:val="0"/>
        <w:pageBreakBefore w:val="0"/>
        <w:kinsoku/>
        <w:wordWrap/>
        <w:overflowPunct/>
        <w:topLinePunct w:val="0"/>
        <w:autoSpaceDE/>
        <w:autoSpaceDN/>
        <w:bidi w:val="0"/>
        <w:adjustRightInd/>
        <w:snapToGrid/>
        <w:spacing w:line="460" w:lineRule="exact"/>
        <w:ind w:firstLine="420" w:firstLineChars="200"/>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highlight w:val="none"/>
          <w:lang w:val="en-US" w:eastAsia="zh-CN"/>
        </w:rPr>
        <w:t>带宽速率指标需求如下：</w:t>
      </w:r>
    </w:p>
    <w:p w14:paraId="0154C42D">
      <w:pPr>
        <w:pStyle w:val="8"/>
        <w:keepNext w:val="0"/>
        <w:keepLines w:val="0"/>
        <w:pageBreakBefore w:val="0"/>
        <w:kinsoku/>
        <w:wordWrap/>
        <w:overflowPunct/>
        <w:topLinePunct w:val="0"/>
        <w:autoSpaceDE/>
        <w:autoSpaceDN/>
        <w:bidi w:val="0"/>
        <w:adjustRightInd/>
        <w:snapToGrid/>
        <w:spacing w:line="460" w:lineRule="exact"/>
        <w:ind w:firstLine="480" w:firstLineChars="200"/>
        <w:jc w:val="center"/>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 xml:space="preserve">表 </w:t>
      </w:r>
      <w:r>
        <w:rPr>
          <w:rFonts w:hint="default" w:ascii="Times New Roman" w:hAnsi="Times New Roman" w:eastAsia="宋体" w:cs="Times New Roman"/>
          <w:color w:val="000000"/>
          <w:sz w:val="24"/>
          <w:szCs w:val="24"/>
          <w:highlight w:val="none"/>
        </w:rPr>
        <w:fldChar w:fldCharType="begin"/>
      </w:r>
      <w:r>
        <w:rPr>
          <w:rFonts w:hint="default" w:ascii="Times New Roman" w:hAnsi="Times New Roman" w:eastAsia="宋体" w:cs="Times New Roman"/>
          <w:color w:val="000000"/>
          <w:sz w:val="24"/>
          <w:szCs w:val="24"/>
          <w:highlight w:val="none"/>
        </w:rPr>
        <w:instrText xml:space="preserve"> SEQ 表 \* ARABIC </w:instrText>
      </w:r>
      <w:r>
        <w:rPr>
          <w:rFonts w:hint="default" w:ascii="Times New Roman" w:hAnsi="Times New Roman" w:eastAsia="宋体" w:cs="Times New Roman"/>
          <w:color w:val="000000"/>
          <w:sz w:val="24"/>
          <w:szCs w:val="24"/>
          <w:highlight w:val="none"/>
        </w:rPr>
        <w:fldChar w:fldCharType="separate"/>
      </w:r>
      <w:r>
        <w:rPr>
          <w:rFonts w:hint="default" w:ascii="Times New Roman" w:hAnsi="Times New Roman" w:eastAsia="宋体" w:cs="Times New Roman"/>
          <w:color w:val="000000"/>
          <w:sz w:val="24"/>
          <w:szCs w:val="24"/>
          <w:highlight w:val="none"/>
        </w:rPr>
        <w:t>3</w:t>
      </w:r>
      <w:r>
        <w:rPr>
          <w:rFonts w:hint="default" w:ascii="Times New Roman" w:hAnsi="Times New Roman" w:eastAsia="宋体" w:cs="Times New Roman"/>
          <w:color w:val="000000"/>
          <w:sz w:val="24"/>
          <w:szCs w:val="24"/>
          <w:highlight w:val="none"/>
        </w:rPr>
        <w:fldChar w:fldCharType="end"/>
      </w:r>
      <w:bookmarkStart w:id="157" w:name="_Toc15267"/>
      <w:bookmarkStart w:id="158" w:name="_Toc12573"/>
      <w:r>
        <w:rPr>
          <w:rFonts w:hint="default" w:ascii="Times New Roman" w:hAnsi="Times New Roman" w:eastAsia="宋体" w:cs="Times New Roman"/>
          <w:color w:val="000000"/>
          <w:sz w:val="24"/>
          <w:szCs w:val="24"/>
          <w:highlight w:val="none"/>
        </w:rPr>
        <w:t xml:space="preserve"> 带宽速率指标表</w:t>
      </w:r>
      <w:bookmarkEnd w:id="157"/>
      <w:bookmarkEnd w:id="158"/>
    </w:p>
    <w:tbl>
      <w:tblPr>
        <w:tblStyle w:val="21"/>
        <w:tblW w:w="5076" w:type="dxa"/>
        <w:jc w:val="center"/>
        <w:tblLayout w:type="autofit"/>
        <w:tblCellMar>
          <w:top w:w="0" w:type="dxa"/>
          <w:left w:w="108" w:type="dxa"/>
          <w:bottom w:w="0" w:type="dxa"/>
          <w:right w:w="108" w:type="dxa"/>
        </w:tblCellMar>
      </w:tblPr>
      <w:tblGrid>
        <w:gridCol w:w="2020"/>
        <w:gridCol w:w="3056"/>
      </w:tblGrid>
      <w:tr w14:paraId="21066B94">
        <w:tblPrEx>
          <w:tblCellMar>
            <w:top w:w="0" w:type="dxa"/>
            <w:left w:w="108" w:type="dxa"/>
            <w:bottom w:w="0" w:type="dxa"/>
            <w:right w:w="108" w:type="dxa"/>
          </w:tblCellMar>
        </w:tblPrEx>
        <w:trPr>
          <w:trHeight w:val="413"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1C0484C9">
            <w:pPr>
              <w:widowControl/>
              <w:spacing w:line="240" w:lineRule="auto"/>
              <w:jc w:val="center"/>
              <w:rPr>
                <w:rFonts w:hint="default" w:ascii="Times New Roman" w:hAnsi="Times New Roman" w:eastAsia="宋体" w:cs="Times New Roman"/>
                <w:b/>
                <w:bCs/>
                <w:color w:val="000000"/>
                <w:kern w:val="0"/>
                <w:szCs w:val="24"/>
                <w:highlight w:val="none"/>
              </w:rPr>
            </w:pPr>
            <w:r>
              <w:rPr>
                <w:rFonts w:hint="default" w:ascii="Times New Roman" w:hAnsi="Times New Roman" w:eastAsia="宋体" w:cs="Times New Roman"/>
                <w:b/>
                <w:bCs/>
                <w:color w:val="000000"/>
                <w:kern w:val="0"/>
                <w:szCs w:val="24"/>
                <w:highlight w:val="none"/>
              </w:rPr>
              <w:t>带宽</w:t>
            </w:r>
          </w:p>
        </w:tc>
        <w:tc>
          <w:tcPr>
            <w:tcW w:w="0" w:type="auto"/>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7ED0F518">
            <w:pPr>
              <w:widowControl/>
              <w:spacing w:line="240" w:lineRule="auto"/>
              <w:jc w:val="center"/>
              <w:rPr>
                <w:rFonts w:hint="default" w:ascii="Times New Roman" w:hAnsi="Times New Roman" w:eastAsia="宋体" w:cs="Times New Roman"/>
                <w:b/>
                <w:bCs/>
                <w:color w:val="000000"/>
                <w:kern w:val="0"/>
                <w:szCs w:val="24"/>
                <w:highlight w:val="none"/>
              </w:rPr>
            </w:pPr>
            <w:r>
              <w:rPr>
                <w:rFonts w:hint="default" w:ascii="Times New Roman" w:hAnsi="Times New Roman" w:eastAsia="宋体" w:cs="Times New Roman"/>
                <w:b/>
                <w:bCs/>
                <w:color w:val="000000"/>
                <w:kern w:val="0"/>
                <w:szCs w:val="24"/>
                <w:highlight w:val="none"/>
              </w:rPr>
              <w:t>链路速率</w:t>
            </w:r>
          </w:p>
        </w:tc>
      </w:tr>
      <w:tr w14:paraId="511A14F5">
        <w:tblPrEx>
          <w:tblCellMar>
            <w:top w:w="0" w:type="dxa"/>
            <w:left w:w="108" w:type="dxa"/>
            <w:bottom w:w="0" w:type="dxa"/>
            <w:right w:w="108" w:type="dxa"/>
          </w:tblCellMar>
        </w:tblPrEx>
        <w:trPr>
          <w:trHeight w:val="413"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DFE1838">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20M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83F8E2">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2.5MB/S</w:t>
            </w:r>
          </w:p>
        </w:tc>
      </w:tr>
      <w:tr w14:paraId="215BB61E">
        <w:tblPrEx>
          <w:tblCellMar>
            <w:top w:w="0" w:type="dxa"/>
            <w:left w:w="108" w:type="dxa"/>
            <w:bottom w:w="0" w:type="dxa"/>
            <w:right w:w="108" w:type="dxa"/>
          </w:tblCellMar>
        </w:tblPrEx>
        <w:trPr>
          <w:trHeight w:val="413"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3646FC0E">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100M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249EF06">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12.5MB/S</w:t>
            </w:r>
          </w:p>
        </w:tc>
      </w:tr>
      <w:tr w14:paraId="0582B9BF">
        <w:tblPrEx>
          <w:tblCellMar>
            <w:top w:w="0" w:type="dxa"/>
            <w:left w:w="108" w:type="dxa"/>
            <w:bottom w:w="0" w:type="dxa"/>
            <w:right w:w="108" w:type="dxa"/>
          </w:tblCellMar>
        </w:tblPrEx>
        <w:trPr>
          <w:trHeight w:val="413"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C7C6975">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200M</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D5CE99">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25MB/S</w:t>
            </w:r>
          </w:p>
        </w:tc>
      </w:tr>
      <w:tr w14:paraId="3AB8A019">
        <w:tblPrEx>
          <w:tblCellMar>
            <w:top w:w="0" w:type="dxa"/>
            <w:left w:w="108" w:type="dxa"/>
            <w:bottom w:w="0" w:type="dxa"/>
            <w:right w:w="108" w:type="dxa"/>
          </w:tblCellMar>
        </w:tblPrEx>
        <w:trPr>
          <w:trHeight w:val="413" w:hRule="atLeas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1B8E8F2B">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1G</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29F7809">
            <w:pPr>
              <w:widowControl/>
              <w:spacing w:line="240" w:lineRule="auto"/>
              <w:jc w:val="center"/>
              <w:rPr>
                <w:rFonts w:hint="default" w:ascii="Times New Roman" w:hAnsi="Times New Roman" w:eastAsia="宋体" w:cs="Times New Roman"/>
                <w:color w:val="000000"/>
                <w:kern w:val="0"/>
                <w:szCs w:val="24"/>
                <w:highlight w:val="none"/>
              </w:rPr>
            </w:pPr>
            <w:r>
              <w:rPr>
                <w:rFonts w:hint="default" w:ascii="Times New Roman" w:hAnsi="Times New Roman" w:eastAsia="宋体" w:cs="Times New Roman"/>
                <w:color w:val="000000"/>
                <w:kern w:val="0"/>
                <w:szCs w:val="24"/>
                <w:highlight w:val="none"/>
              </w:rPr>
              <w:t>128MB/S</w:t>
            </w:r>
          </w:p>
        </w:tc>
      </w:tr>
    </w:tbl>
    <w:p w14:paraId="06D44235">
      <w:pPr>
        <w:pStyle w:val="3"/>
        <w:keepNext w:val="0"/>
        <w:keepLines w:val="0"/>
        <w:pageBreakBefore w:val="0"/>
        <w:widowControl/>
        <w:kinsoku/>
        <w:wordWrap/>
        <w:overflowPunct/>
        <w:topLinePunct w:val="0"/>
        <w:autoSpaceDE/>
        <w:autoSpaceDN/>
        <w:bidi w:val="0"/>
        <w:adjustRightInd/>
        <w:snapToGrid/>
        <w:spacing w:line="460" w:lineRule="exact"/>
        <w:ind w:left="0" w:leftChars="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lang w:val="zh-CN"/>
        </w:rPr>
        <w:t>上表为中标单位提供链路带宽的最低速率值，无论在网络抖动、雷暴等极端天气等何种情况下，中标单位需提供良好网络带宽，测试带宽的实时传输速率</w:t>
      </w:r>
      <w:r>
        <w:rPr>
          <w:rFonts w:hint="eastAsia" w:ascii="Times New Roman" w:hAnsi="Times New Roman" w:eastAsia="宋体" w:cs="Times New Roman"/>
          <w:color w:val="000000"/>
          <w:highlight w:val="none"/>
          <w:lang w:val="zh-CN"/>
        </w:rPr>
        <w:t>均</w:t>
      </w:r>
      <w:r>
        <w:rPr>
          <w:rFonts w:hint="default" w:ascii="Times New Roman" w:hAnsi="Times New Roman" w:eastAsia="宋体" w:cs="Times New Roman"/>
          <w:color w:val="000000"/>
          <w:highlight w:val="none"/>
          <w:lang w:val="zh-CN"/>
        </w:rPr>
        <w:t>要满足上表的链路速率，保证数据能够正常传输，不影响各使用单位视频业务使用以及用户使用体验。</w:t>
      </w:r>
    </w:p>
    <w:p w14:paraId="5C4F0A0D">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rPr>
      </w:pPr>
      <w:bookmarkStart w:id="159" w:name="_Toc579967738"/>
      <w:r>
        <w:rPr>
          <w:rFonts w:hint="eastAsia" w:ascii="Times New Roman" w:hAnsi="Times New Roman" w:cs="Times New Roman"/>
          <w:color w:val="000000"/>
          <w:highlight w:val="none"/>
          <w:lang w:eastAsia="zh-CN"/>
        </w:rPr>
        <w:t>（</w:t>
      </w:r>
      <w:r>
        <w:rPr>
          <w:rFonts w:hint="eastAsia" w:ascii="Times New Roman" w:hAnsi="Times New Roman" w:cs="Times New Roman"/>
          <w:color w:val="000000"/>
          <w:highlight w:val="none"/>
          <w:lang w:val="en-US" w:eastAsia="zh-CN"/>
        </w:rPr>
        <w:t>五</w:t>
      </w:r>
      <w:r>
        <w:rPr>
          <w:rFonts w:hint="eastAsia" w:ascii="Times New Roman" w:hAnsi="Times New Roman" w:cs="Times New Roman"/>
          <w:color w:val="000000"/>
          <w:highlight w:val="none"/>
          <w:lang w:eastAsia="zh-CN"/>
        </w:rPr>
        <w:t>）</w:t>
      </w:r>
      <w:r>
        <w:rPr>
          <w:rFonts w:hint="default" w:ascii="Times New Roman" w:hAnsi="Times New Roman" w:cs="Times New Roman"/>
          <w:color w:val="000000"/>
          <w:highlight w:val="none"/>
        </w:rPr>
        <w:t>安全需求</w:t>
      </w:r>
      <w:bookmarkEnd w:id="159"/>
    </w:p>
    <w:p w14:paraId="1446E56B">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eastAsia="宋体" w:cs="Times New Roman"/>
          <w:color w:val="000000"/>
          <w:highlight w:val="none"/>
        </w:rPr>
        <w:t>为促进</w:t>
      </w:r>
      <w:r>
        <w:rPr>
          <w:rFonts w:hint="default" w:ascii="Times New Roman" w:hAnsi="Times New Roman" w:eastAsia="宋体" w:cs="Times New Roman"/>
          <w:color w:val="000000"/>
          <w:highlight w:val="none"/>
          <w:lang w:val="en-US" w:eastAsia="zh-CN"/>
        </w:rPr>
        <w:t>郴州市</w:t>
      </w:r>
      <w:r>
        <w:rPr>
          <w:rFonts w:hint="default" w:ascii="Times New Roman" w:hAnsi="Times New Roman" w:eastAsia="宋体" w:cs="Times New Roman"/>
          <w:color w:val="000000"/>
          <w:highlight w:val="none"/>
        </w:rPr>
        <w:t>电子政务外网信息安全发展，响应国家和上级要求，进一步落实等级保护，夯实等级保护作为国家信息安全国策的成果，参照《计算机信息系统安全等级保护划分准则》（GB17859-1999）和《信息安全技术</w:t>
      </w:r>
      <w:r>
        <w:rPr>
          <w:rFonts w:hint="default" w:ascii="Times New Roman" w:hAnsi="Times New Roman" w:eastAsia="宋体" w:cs="Times New Roman"/>
          <w:color w:val="000000"/>
          <w:highlight w:val="none"/>
          <w:lang w:val="en-US"/>
        </w:rPr>
        <w:t xml:space="preserve"> 网络</w:t>
      </w:r>
      <w:r>
        <w:rPr>
          <w:rFonts w:hint="default" w:ascii="Times New Roman" w:hAnsi="Times New Roman" w:eastAsia="宋体" w:cs="Times New Roman"/>
          <w:color w:val="000000"/>
          <w:highlight w:val="none"/>
        </w:rPr>
        <w:t>安全等级保护定级指南》（GB/T 22240-20</w:t>
      </w:r>
      <w:r>
        <w:rPr>
          <w:rFonts w:hint="default" w:ascii="Times New Roman" w:hAnsi="Times New Roman" w:eastAsia="宋体" w:cs="Times New Roman"/>
          <w:color w:val="000000"/>
          <w:highlight w:val="none"/>
          <w:lang w:val="en-US"/>
        </w:rPr>
        <w:t>20</w:t>
      </w:r>
      <w:r>
        <w:rPr>
          <w:rFonts w:hint="default" w:ascii="Times New Roman" w:hAnsi="Times New Roman" w:eastAsia="宋体" w:cs="Times New Roman"/>
          <w:color w:val="000000"/>
          <w:highlight w:val="none"/>
        </w:rPr>
        <w:t>）及其</w:t>
      </w:r>
      <w:r>
        <w:rPr>
          <w:rFonts w:hint="eastAsia" w:ascii="Times New Roman" w:hAnsi="Times New Roman" w:eastAsia="宋体" w:cs="Times New Roman"/>
          <w:color w:val="000000"/>
          <w:highlight w:val="none"/>
          <w:lang w:eastAsia="zh-CN"/>
        </w:rPr>
        <w:t>《湖南省电子政务外网安全管理办法》</w:t>
      </w:r>
      <w:r>
        <w:rPr>
          <w:rFonts w:hint="default" w:ascii="Times New Roman" w:hAnsi="Times New Roman" w:eastAsia="宋体" w:cs="Times New Roman"/>
          <w:color w:val="000000"/>
          <w:highlight w:val="none"/>
          <w:lang w:eastAsia="zh-CN"/>
        </w:rPr>
        <w:t>（湘政办发〔202</w:t>
      </w:r>
      <w:r>
        <w:rPr>
          <w:rFonts w:hint="eastAsia" w:ascii="Times New Roman" w:hAnsi="Times New Roman" w:eastAsia="宋体" w:cs="Times New Roman"/>
          <w:color w:val="000000"/>
          <w:highlight w:val="none"/>
          <w:lang w:val="en-US" w:eastAsia="zh-CN"/>
        </w:rPr>
        <w:t>6</w:t>
      </w:r>
      <w:r>
        <w:rPr>
          <w:rFonts w:hint="default"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10</w:t>
      </w:r>
      <w:r>
        <w:rPr>
          <w:rFonts w:hint="default" w:ascii="Times New Roman" w:hAnsi="Times New Roman" w:eastAsia="宋体" w:cs="Times New Roman"/>
          <w:color w:val="000000"/>
          <w:highlight w:val="none"/>
          <w:lang w:eastAsia="zh-CN"/>
        </w:rPr>
        <w:t>号）</w:t>
      </w:r>
      <w:r>
        <w:rPr>
          <w:rFonts w:hint="default" w:ascii="Times New Roman" w:hAnsi="Times New Roman" w:eastAsia="宋体" w:cs="Times New Roman"/>
          <w:color w:val="000000"/>
          <w:highlight w:val="none"/>
        </w:rPr>
        <w:t>要求，在已建成满足三级等级保护的网络架构基础上，按照《信息安全技术网络安全等级保护基本要求》（GB/T 22239-2019）</w:t>
      </w:r>
      <w:r>
        <w:rPr>
          <w:rFonts w:hint="default" w:ascii="Times New Roman" w:hAnsi="Times New Roman" w:eastAsia="宋体" w:cs="Times New Roman"/>
          <w:color w:val="000000"/>
          <w:highlight w:val="none"/>
          <w:lang w:val="en-US" w:eastAsia="zh-CN"/>
        </w:rPr>
        <w:t>进行郴州市</w:t>
      </w:r>
      <w:r>
        <w:rPr>
          <w:rFonts w:hint="default" w:ascii="Times New Roman" w:hAnsi="Times New Roman" w:eastAsia="宋体" w:cs="Times New Roman"/>
          <w:color w:val="000000"/>
          <w:highlight w:val="none"/>
        </w:rPr>
        <w:t>电子政务外网三级等级保护</w:t>
      </w:r>
      <w:r>
        <w:rPr>
          <w:rFonts w:hint="default" w:ascii="Times New Roman" w:hAnsi="Times New Roman" w:eastAsia="宋体" w:cs="Times New Roman"/>
          <w:color w:val="000000"/>
          <w:highlight w:val="none"/>
          <w:lang w:val="en-US" w:eastAsia="zh-CN"/>
        </w:rPr>
        <w:t>规划实施</w:t>
      </w:r>
      <w:r>
        <w:rPr>
          <w:rFonts w:hint="default" w:ascii="Times New Roman" w:hAnsi="Times New Roman" w:eastAsia="宋体" w:cs="Times New Roman"/>
          <w:color w:val="000000"/>
          <w:highlight w:val="none"/>
        </w:rPr>
        <w:t>建设。</w:t>
      </w:r>
    </w:p>
    <w:p w14:paraId="63F987B4">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60" w:name="_Toc89498833"/>
      <w:r>
        <w:rPr>
          <w:rFonts w:hint="eastAsia" w:ascii="Times New Roman" w:hAnsi="Times New Roman" w:cs="Times New Roman"/>
          <w:color w:val="000000"/>
          <w:highlight w:val="none"/>
          <w:lang w:val="en-US" w:eastAsia="zh-CN"/>
        </w:rPr>
        <w:t>（六）</w:t>
      </w:r>
      <w:r>
        <w:rPr>
          <w:rFonts w:hint="default" w:ascii="Times New Roman" w:hAnsi="Times New Roman" w:cs="Times New Roman"/>
          <w:color w:val="000000"/>
          <w:highlight w:val="none"/>
          <w:lang w:val="en-US" w:eastAsia="zh-CN"/>
        </w:rPr>
        <w:t>安全管理中心安全需求</w:t>
      </w:r>
      <w:bookmarkEnd w:id="160"/>
    </w:p>
    <w:p w14:paraId="2939C098">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安全管理制度涉及安全方针、总体安全策略、安全管理制度体系、评审与修订管理等方面。其安全需求如下：</w:t>
      </w:r>
    </w:p>
    <w:p w14:paraId="2D9BE5E5">
      <w:pPr>
        <w:pStyle w:val="33"/>
        <w:pageBreakBefore w:val="0"/>
        <w:numPr>
          <w:ilvl w:val="0"/>
          <w:numId w:val="7"/>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需要制定信息安全工作的总体方针、政策性文件和安全策略等，说明机构安全工作的总体目标、范围、方针、原则、责任等；</w:t>
      </w:r>
    </w:p>
    <w:p w14:paraId="132AED97">
      <w:pPr>
        <w:pStyle w:val="33"/>
        <w:pageBreakBefore w:val="0"/>
        <w:numPr>
          <w:ilvl w:val="0"/>
          <w:numId w:val="7"/>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需要制定专门的部门对管理活动进行制度化管理，制定相应的制度和操作流程并正式发布；</w:t>
      </w:r>
    </w:p>
    <w:p w14:paraId="1972291F">
      <w:pPr>
        <w:pStyle w:val="33"/>
        <w:pageBreakBefore w:val="0"/>
        <w:numPr>
          <w:ilvl w:val="0"/>
          <w:numId w:val="7"/>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需要定期对安全管理制度进行评审和修订，不断完善、健全安全制度。</w:t>
      </w:r>
    </w:p>
    <w:p w14:paraId="41702B6F">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61" w:name="_Toc968333331"/>
      <w:r>
        <w:rPr>
          <w:rFonts w:hint="eastAsia" w:ascii="Times New Roman" w:hAnsi="Times New Roman" w:cs="Times New Roman"/>
          <w:color w:val="000000"/>
          <w:highlight w:val="none"/>
          <w:lang w:val="en-US" w:eastAsia="zh-CN"/>
        </w:rPr>
        <w:t>（七）</w:t>
      </w:r>
      <w:r>
        <w:rPr>
          <w:rFonts w:hint="default" w:ascii="Times New Roman" w:hAnsi="Times New Roman" w:cs="Times New Roman"/>
          <w:color w:val="000000"/>
          <w:highlight w:val="none"/>
          <w:lang w:val="en-US" w:eastAsia="zh-CN"/>
        </w:rPr>
        <w:t>安全建设管理需求</w:t>
      </w:r>
      <w:bookmarkEnd w:id="161"/>
    </w:p>
    <w:p w14:paraId="3975D1C3">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安全建设管理涉及定级备案管理、安全方案设计、产品采购和使用、软件开发管理、安全集成建设、测试验收交付、等级测评以及服务商选择等方面。其安全需求如下：</w:t>
      </w:r>
    </w:p>
    <w:p w14:paraId="57819012">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需要建立备案管理制度，对系统的定级进行备案；</w:t>
      </w:r>
    </w:p>
    <w:p w14:paraId="0DC7BCCF">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需要具有总体安全方案设计、方案评审的流程和管理能力；</w:t>
      </w:r>
    </w:p>
    <w:p w14:paraId="7DCDC5AA">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产品采购符合国家有关规定，密码算法和密钥的使用需符合国家密码管理的规定；</w:t>
      </w:r>
    </w:p>
    <w:p w14:paraId="53B45BF0">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需要建立</w:t>
      </w:r>
      <w:r>
        <w:rPr>
          <w:rFonts w:hint="eastAsia" w:ascii="Times New Roman" w:hAnsi="Times New Roman" w:eastAsia="宋体" w:cs="Times New Roman"/>
          <w:color w:val="000000"/>
          <w:highlight w:val="none"/>
          <w:lang w:val="en-US" w:eastAsia="zh-CN"/>
        </w:rPr>
        <w:t>服务</w:t>
      </w:r>
      <w:r>
        <w:rPr>
          <w:rFonts w:hint="default" w:ascii="Times New Roman" w:hAnsi="Times New Roman" w:eastAsia="宋体" w:cs="Times New Roman"/>
          <w:color w:val="000000"/>
          <w:highlight w:val="none"/>
          <w:lang w:val="en-US" w:eastAsia="zh-CN"/>
        </w:rPr>
        <w:t>采购，系统测试和验收制度，确保</w:t>
      </w:r>
      <w:r>
        <w:rPr>
          <w:rFonts w:hint="eastAsia" w:ascii="Times New Roman" w:hAnsi="Times New Roman" w:eastAsia="宋体" w:cs="Times New Roman"/>
          <w:color w:val="000000"/>
          <w:highlight w:val="none"/>
          <w:lang w:val="en-US" w:eastAsia="zh-CN"/>
        </w:rPr>
        <w:t>成果</w:t>
      </w:r>
      <w:r>
        <w:rPr>
          <w:rFonts w:hint="default" w:ascii="Times New Roman" w:hAnsi="Times New Roman" w:eastAsia="宋体" w:cs="Times New Roman"/>
          <w:color w:val="000000"/>
          <w:highlight w:val="none"/>
          <w:lang w:val="en-US" w:eastAsia="zh-CN"/>
        </w:rPr>
        <w:t>的可信度和质量；</w:t>
      </w:r>
    </w:p>
    <w:p w14:paraId="0881B941">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需要与符合国家的有关规定的服务供应商签订协议</w:t>
      </w:r>
      <w:r>
        <w:rPr>
          <w:rFonts w:hint="eastAsia" w:ascii="Times New Roman" w:hAnsi="Times New Roman" w:eastAsia="宋体" w:cs="Times New Roman"/>
          <w:color w:val="000000"/>
          <w:highlight w:val="none"/>
          <w:lang w:val="en-US" w:eastAsia="zh-CN"/>
        </w:rPr>
        <w:t>；</w:t>
      </w:r>
    </w:p>
    <w:p w14:paraId="6C1155E5">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需要定期组织开展等级测评并及时整改；</w:t>
      </w:r>
    </w:p>
    <w:p w14:paraId="7439D459">
      <w:pPr>
        <w:pStyle w:val="33"/>
        <w:pageBreakBefore w:val="0"/>
        <w:numPr>
          <w:ilvl w:val="0"/>
          <w:numId w:val="8"/>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需要在工程实施过程中做好文档管理工作，并在系统交付时提供完整的资料交付清单，对运维人员进行技能培训。</w:t>
      </w:r>
    </w:p>
    <w:p w14:paraId="75FD37CB">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62" w:name="_Toc1147217151"/>
      <w:r>
        <w:rPr>
          <w:rFonts w:hint="eastAsia" w:ascii="Times New Roman" w:hAnsi="Times New Roman" w:cs="Times New Roman"/>
          <w:color w:val="000000"/>
          <w:highlight w:val="none"/>
          <w:lang w:val="en-US" w:eastAsia="zh-CN"/>
        </w:rPr>
        <w:t>（八）</w:t>
      </w:r>
      <w:r>
        <w:rPr>
          <w:rFonts w:hint="default" w:ascii="Times New Roman" w:hAnsi="Times New Roman" w:cs="Times New Roman"/>
          <w:color w:val="000000"/>
          <w:highlight w:val="none"/>
          <w:lang w:val="en-US" w:eastAsia="zh-CN"/>
        </w:rPr>
        <w:t>安全运维管理需求</w:t>
      </w:r>
      <w:bookmarkEnd w:id="162"/>
    </w:p>
    <w:p w14:paraId="3603BD10">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安全运维管理涉及环境管理、资产管理、系统安全运行维护管理、配置与变更管理、安全事件处置及应急响应管理等方面。其安全需求如下：</w:t>
      </w:r>
    </w:p>
    <w:p w14:paraId="7EC2E900">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需要保证机房具有良好的运行环境；</w:t>
      </w:r>
    </w:p>
    <w:p w14:paraId="10F567AC">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需要建立机房安全管理制度来规范物理访问、物品进出和环境安全；</w:t>
      </w:r>
    </w:p>
    <w:p w14:paraId="28D589A0">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需要对信息资产进行分类标识、规范化管理；</w:t>
      </w:r>
    </w:p>
    <w:p w14:paraId="07DD218C">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需要对各种软硬件设备的选型、采购、使用和保管等过程进行控制；</w:t>
      </w:r>
    </w:p>
    <w:p w14:paraId="1109C89C">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需要各种网络设备、服务器正确使用和维护；</w:t>
      </w:r>
    </w:p>
    <w:p w14:paraId="52D102A5">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需要采取措施对安全漏洞和隐患进行识别，并及时修补；</w:t>
      </w:r>
    </w:p>
    <w:p w14:paraId="5EE40EE2">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需要对网络、操作系统、数据库系统和应用系统进行安全管理；</w:t>
      </w:r>
    </w:p>
    <w:p w14:paraId="4B58956F">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需要定期地对通信线路进行检查和维护；</w:t>
      </w:r>
    </w:p>
    <w:p w14:paraId="423524D5">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需要对恶意代码防范有效性进行验证；</w:t>
      </w:r>
    </w:p>
    <w:p w14:paraId="0CCFED4D">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需要对运维工具的使用和远程运维的权限进行管理控制；</w:t>
      </w:r>
    </w:p>
    <w:p w14:paraId="41BBD9C9">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需要硬件设备、存储介质存放环境安全，对其使用进行控制和保护；</w:t>
      </w:r>
    </w:p>
    <w:p w14:paraId="1AF28122">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需要对支撑设施、硬件设备、存储介质进行日常维护和管理；</w:t>
      </w:r>
    </w:p>
    <w:p w14:paraId="129E5368">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需要对系统使用手册、维护指南等工具文档进行管理；</w:t>
      </w:r>
    </w:p>
    <w:p w14:paraId="2C84E0E8">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需要规范配置管理和变更管理流程；</w:t>
      </w:r>
    </w:p>
    <w:p w14:paraId="5F2DDFFC">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需要在事件发生后能采取积极、有效的应急策略和措施；</w:t>
      </w:r>
    </w:p>
    <w:p w14:paraId="5DF0AFF1">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需要建立应急响应机制来应对突发事件，做好应急预案并进行演练；</w:t>
      </w:r>
    </w:p>
    <w:p w14:paraId="5CED8486">
      <w:pPr>
        <w:pStyle w:val="33"/>
        <w:pageBreakBefore w:val="0"/>
        <w:numPr>
          <w:ilvl w:val="0"/>
          <w:numId w:val="9"/>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需要与符合国家有关规定的外包运维服务商签订相关协议，并明确运维服务能力要求。</w:t>
      </w:r>
    </w:p>
    <w:p w14:paraId="2EE739B3">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63" w:name="_Toc1170474091"/>
      <w:bookmarkStart w:id="164" w:name="_Toc4617"/>
      <w:r>
        <w:rPr>
          <w:rFonts w:hint="eastAsia" w:ascii="Times New Roman" w:hAnsi="Times New Roman" w:cs="Times New Roman"/>
          <w:color w:val="000000"/>
          <w:highlight w:val="none"/>
          <w:lang w:val="en-US" w:eastAsia="zh-CN"/>
        </w:rPr>
        <w:t>（九）</w:t>
      </w:r>
      <w:r>
        <w:rPr>
          <w:rFonts w:hint="default" w:ascii="Times New Roman" w:hAnsi="Times New Roman" w:cs="Times New Roman"/>
          <w:color w:val="000000"/>
          <w:highlight w:val="none"/>
          <w:lang w:val="en-US" w:eastAsia="zh-CN"/>
        </w:rPr>
        <w:t>网络安全需求</w:t>
      </w:r>
      <w:bookmarkEnd w:id="163"/>
      <w:bookmarkEnd w:id="164"/>
    </w:p>
    <w:p w14:paraId="6E2B08A0">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65" w:name="_Toc187613903"/>
      <w:r>
        <w:rPr>
          <w:rFonts w:hint="eastAsia" w:ascii="Times New Roman" w:hAnsi="Times New Roman" w:cs="Times New Roman"/>
          <w:color w:val="000000"/>
          <w:highlight w:val="none"/>
          <w:lang w:val="en-US" w:eastAsia="zh-CN"/>
        </w:rPr>
        <w:t>1、</w:t>
      </w:r>
      <w:r>
        <w:rPr>
          <w:rFonts w:hint="default" w:ascii="Times New Roman" w:hAnsi="Times New Roman" w:cs="Times New Roman"/>
          <w:color w:val="000000"/>
          <w:highlight w:val="none"/>
          <w:lang w:val="en-US" w:eastAsia="zh-CN"/>
        </w:rPr>
        <w:t>安全管理需求分析</w:t>
      </w:r>
      <w:bookmarkEnd w:id="165"/>
    </w:p>
    <w:p w14:paraId="163CFFE4">
      <w:pPr>
        <w:pStyle w:val="34"/>
        <w:pageBreakBefore w:val="0"/>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cs="Times New Roman"/>
          <w:color w:val="000000"/>
          <w:highlight w:val="none"/>
        </w:rPr>
      </w:pPr>
      <w:r>
        <w:rPr>
          <w:rFonts w:hint="eastAsia" w:cs="Times New Roman"/>
          <w:color w:val="000000"/>
          <w:highlight w:val="none"/>
          <w:lang w:eastAsia="zh-CN"/>
        </w:rPr>
        <w:t>（</w:t>
      </w:r>
      <w:r>
        <w:rPr>
          <w:rFonts w:hint="eastAsia" w:cs="Times New Roman"/>
          <w:color w:val="000000"/>
          <w:highlight w:val="none"/>
          <w:lang w:val="en-US" w:eastAsia="zh-CN"/>
        </w:rPr>
        <w:t>1</w:t>
      </w:r>
      <w:r>
        <w:rPr>
          <w:rFonts w:hint="eastAsia" w:cs="Times New Roman"/>
          <w:color w:val="000000"/>
          <w:highlight w:val="none"/>
          <w:lang w:eastAsia="zh-CN"/>
        </w:rPr>
        <w:t>）</w:t>
      </w:r>
      <w:r>
        <w:rPr>
          <w:rFonts w:hint="default" w:ascii="Times New Roman" w:hAnsi="Times New Roman" w:cs="Times New Roman"/>
          <w:color w:val="000000"/>
          <w:highlight w:val="none"/>
        </w:rPr>
        <w:t>建设期安全管理需求</w:t>
      </w:r>
    </w:p>
    <w:p w14:paraId="2EA6A27B">
      <w:pPr>
        <w:pStyle w:val="34"/>
        <w:pageBreakBefore w:val="0"/>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系统建设期包括系统的需求分析阶段、系统设计阶段、系统开发设计阶段、系统工程实施阶段、系统测试验收阶段和系统交付阶段，郴州市数据局互联网交换区信息系统属于重要业务系统，在整个建设期间需要加强以下安全管理：</w:t>
      </w:r>
    </w:p>
    <w:p w14:paraId="623D571B">
      <w:pPr>
        <w:pStyle w:val="34"/>
        <w:pageBreakBefore w:val="0"/>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cs="Times New Roman"/>
          <w:color w:val="000000"/>
          <w:highlight w:val="none"/>
        </w:rPr>
      </w:pPr>
      <w:r>
        <w:rPr>
          <w:rFonts w:hint="eastAsia" w:cs="Times New Roman"/>
          <w:color w:val="000000"/>
          <w:highlight w:val="none"/>
          <w:lang w:eastAsia="zh-CN"/>
        </w:rPr>
        <w:t>（</w:t>
      </w:r>
      <w:r>
        <w:rPr>
          <w:rFonts w:hint="eastAsia" w:cs="Times New Roman"/>
          <w:color w:val="000000"/>
          <w:highlight w:val="none"/>
          <w:lang w:val="en-US" w:eastAsia="zh-CN"/>
        </w:rPr>
        <w:t>2</w:t>
      </w:r>
      <w:r>
        <w:rPr>
          <w:rFonts w:hint="eastAsia" w:cs="Times New Roman"/>
          <w:color w:val="000000"/>
          <w:highlight w:val="none"/>
          <w:lang w:eastAsia="zh-CN"/>
        </w:rPr>
        <w:t>）</w:t>
      </w:r>
      <w:r>
        <w:rPr>
          <w:rFonts w:hint="default" w:ascii="Times New Roman" w:hAnsi="Times New Roman" w:cs="Times New Roman"/>
          <w:color w:val="000000"/>
          <w:highlight w:val="none"/>
        </w:rPr>
        <w:t>运营期安全管理需求</w:t>
      </w:r>
    </w:p>
    <w:p w14:paraId="4BC23493">
      <w:pPr>
        <w:pStyle w:val="34"/>
        <w:pageBreakBefore w:val="0"/>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rPr>
        <w:t>运营期指系统上线投入运营后到系统废止，运营期安全管理需要建设一整套信息安全管理体系并加以落实，按照等级保护和ISO27001的信息安全管理体系建设要求，信息安全管理文件体系包括信息安全方针和策略、信息安全制度、操作流程和规范、记录表单等分层级的信息安全管理制度系统，其中，每一层级文件都是对上一层级的具体化和落实，从安全管理体系构成来说包括安全管理制度、安全管理机构、安全管理人员、安全运维管理等几个方面，每个方面都需要制定和落实相关的管理制度，信息安全制度体系与信息安全技术体系和信息安全运营体系相辅相成，缺一不可。</w:t>
      </w:r>
    </w:p>
    <w:p w14:paraId="3A119F5C">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zh-CN" w:eastAsia="zh-CN"/>
        </w:rPr>
      </w:pPr>
      <w:bookmarkStart w:id="166" w:name="_Toc8743"/>
      <w:bookmarkStart w:id="167" w:name="_Toc16019"/>
      <w:bookmarkStart w:id="168" w:name="_Toc142637957"/>
      <w:bookmarkStart w:id="169" w:name="_Toc20296"/>
      <w:bookmarkStart w:id="170" w:name="_Toc1207840917"/>
      <w:r>
        <w:rPr>
          <w:rFonts w:hint="eastAsia" w:ascii="Times New Roman" w:hAnsi="Times New Roman" w:cs="Times New Roman"/>
          <w:color w:val="000000"/>
          <w:highlight w:val="none"/>
          <w:lang w:val="zh-CN" w:eastAsia="zh-CN"/>
        </w:rPr>
        <w:t>（</w:t>
      </w:r>
      <w:r>
        <w:rPr>
          <w:rFonts w:hint="eastAsia" w:ascii="Times New Roman" w:hAnsi="Times New Roman" w:cs="Times New Roman"/>
          <w:color w:val="000000"/>
          <w:highlight w:val="none"/>
          <w:lang w:val="en-US" w:eastAsia="zh-CN"/>
        </w:rPr>
        <w:t>十</w:t>
      </w:r>
      <w:r>
        <w:rPr>
          <w:rFonts w:hint="eastAsia" w:ascii="Times New Roman" w:hAnsi="Times New Roman" w:cs="Times New Roman"/>
          <w:color w:val="000000"/>
          <w:highlight w:val="none"/>
          <w:lang w:val="zh-CN" w:eastAsia="zh-CN"/>
        </w:rPr>
        <w:t>）</w:t>
      </w:r>
      <w:r>
        <w:rPr>
          <w:rFonts w:hint="default" w:ascii="Times New Roman" w:hAnsi="Times New Roman" w:cs="Times New Roman"/>
          <w:color w:val="000000"/>
          <w:highlight w:val="none"/>
          <w:lang w:val="zh-CN" w:eastAsia="zh-CN"/>
        </w:rPr>
        <w:t>其他服务</w:t>
      </w:r>
      <w:bookmarkEnd w:id="166"/>
      <w:bookmarkEnd w:id="167"/>
      <w:r>
        <w:rPr>
          <w:rFonts w:hint="default" w:ascii="Times New Roman" w:hAnsi="Times New Roman" w:cs="Times New Roman"/>
          <w:color w:val="000000"/>
          <w:highlight w:val="none"/>
          <w:lang w:val="zh-CN" w:eastAsia="zh-CN"/>
        </w:rPr>
        <w:t>需求</w:t>
      </w:r>
      <w:bookmarkEnd w:id="168"/>
      <w:bookmarkEnd w:id="169"/>
      <w:bookmarkEnd w:id="170"/>
    </w:p>
    <w:p w14:paraId="7A937044">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必须负责在用户规定时间内完成所有接入点线路的架设、接入、联调、测试工作，光纤布线接入要符合国家有关光纤布线规范。所有线路按照国家行业管理部门颁发的《通信管道与通道工程设计规范YD5007-2019》标准敷设。在施工前必须对接入点环境进行现场勘测，并做出每个网络接入点的具体设计和施工方案。</w:t>
      </w:r>
    </w:p>
    <w:p w14:paraId="79E39FB5">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服务供应商对用户所使用的链路安全负责，确保非法用户不能通过其它线路从链路层对电子政务外网发动攻击，避免非法网络入侵和攻击。</w:t>
      </w:r>
    </w:p>
    <w:p w14:paraId="3B6CAB29">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服务供应商提供7*24小时网络监控服务，并及时向用户报告异常情况。定期向业主单位进行运维报告。提供</w:t>
      </w:r>
      <w:r>
        <w:rPr>
          <w:rFonts w:hint="eastAsia" w:ascii="Times New Roman" w:hAnsi="Times New Roman" w:eastAsia="宋体" w:cs="Times New Roman"/>
          <w:color w:val="000000"/>
          <w:highlight w:val="none"/>
          <w:lang w:val="en-US" w:eastAsia="zh-CN"/>
        </w:rPr>
        <w:t>特殊</w:t>
      </w:r>
      <w:r>
        <w:rPr>
          <w:rFonts w:hint="default" w:ascii="Times New Roman" w:hAnsi="Times New Roman" w:eastAsia="宋体" w:cs="Times New Roman"/>
          <w:color w:val="000000"/>
          <w:highlight w:val="none"/>
          <w:lang w:val="en-US" w:eastAsia="zh-CN"/>
        </w:rPr>
        <w:t>时期网络保障服务。</w:t>
      </w:r>
    </w:p>
    <w:p w14:paraId="3CD21A0D">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服务供应商应给郴州市电子政务外网用户提供一站式服务体系，包括：一站业务受理、一站故障申告、一站技术支持等。</w:t>
      </w:r>
    </w:p>
    <w:p w14:paraId="5B3A18D7">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服务供应商必须提供固定的故障申报联系人和联系通道，同时提供故障即时响应服务，并对故障排除时限进行承诺，提供必要及高效快捷的故障受理渠道及故障处理流程。</w:t>
      </w:r>
    </w:p>
    <w:p w14:paraId="4D897039">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服务供应商设有丰富经验的专业人员组进行值班，可以实现对传输光/电线路、设备进行7*24小时的全天候监控，能够及时发现并及时处理线路、设备出现的一切故障。（不包含不可抗力因素造成的故障）。</w:t>
      </w:r>
    </w:p>
    <w:p w14:paraId="6817C97F">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非重大自然灾害引起的一般故障要求在3小时内排除，重大故障要求在12小时内排除；对于重大网络故障，除口头向业主单位汇报外，在24小时内向业主单位提供书面故障报告。</w:t>
      </w:r>
    </w:p>
    <w:p w14:paraId="77BDE708">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服务供应商至少每半年向业主单位提供一次线路运行报告。</w:t>
      </w:r>
    </w:p>
    <w:p w14:paraId="67EE78DB">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Times New Roman" w:hAnsi="Times New Roman" w:eastAsia="宋体" w:cs="Times New Roman"/>
          <w:color w:val="000000"/>
          <w:highlight w:val="none"/>
          <w:lang w:val="en-US" w:eastAsia="zh-CN"/>
        </w:rPr>
      </w:pPr>
      <w:r>
        <w:rPr>
          <w:rFonts w:hint="default" w:ascii="Times New Roman" w:hAnsi="Times New Roman" w:eastAsia="宋体" w:cs="Times New Roman"/>
          <w:color w:val="000000"/>
          <w:highlight w:val="none"/>
          <w:lang w:val="en-US" w:eastAsia="zh-CN"/>
        </w:rPr>
        <w:t>服务供应商由于维护原因，需中断电路进行割接操作时，必须提前至少48小时（重大自然灾害除外）通知并征得用户同意后方始进行。</w:t>
      </w:r>
    </w:p>
    <w:p w14:paraId="0E01AEC0">
      <w:pPr>
        <w:pStyle w:val="33"/>
        <w:pageBreakBefore w:val="0"/>
        <w:numPr>
          <w:ilvl w:val="0"/>
          <w:numId w:val="10"/>
        </w:numPr>
        <w:kinsoku/>
        <w:wordWrap/>
        <w:overflowPunct/>
        <w:topLinePunct w:val="0"/>
        <w:autoSpaceDE/>
        <w:autoSpaceDN/>
        <w:bidi w:val="0"/>
        <w:adjustRightInd/>
        <w:snapToGrid/>
        <w:spacing w:line="440" w:lineRule="exact"/>
        <w:ind w:left="0" w:firstLine="420" w:firstLineChars="200"/>
        <w:textAlignment w:val="auto"/>
        <w:rPr>
          <w:rFonts w:hint="default" w:ascii="宋体" w:hAnsi="宋体" w:cs="宋体"/>
          <w:b/>
          <w:bCs/>
          <w:color w:val="000000"/>
          <w:sz w:val="24"/>
          <w:szCs w:val="24"/>
          <w:highlight w:val="none"/>
          <w:lang w:val="en-US" w:eastAsia="zh-CN"/>
        </w:rPr>
      </w:pPr>
      <w:r>
        <w:rPr>
          <w:rFonts w:hint="default" w:ascii="Times New Roman" w:hAnsi="Times New Roman" w:eastAsia="宋体" w:cs="Times New Roman"/>
          <w:color w:val="000000"/>
          <w:highlight w:val="none"/>
          <w:lang w:val="en-US" w:eastAsia="zh-CN"/>
        </w:rPr>
        <w:t>服务供应商做好各种应急预案，以便在故障发生后及时快速响应，确保网络高度安全、稳定和可靠。</w:t>
      </w:r>
    </w:p>
    <w:p w14:paraId="03454CEA">
      <w:pPr>
        <w:pStyle w:val="29"/>
        <w:keepNext w:val="0"/>
        <w:keepLines w:val="0"/>
        <w:pageBreakBefore w:val="0"/>
        <w:widowControl w:val="0"/>
        <w:kinsoku/>
        <w:wordWrap/>
        <w:overflowPunct/>
        <w:topLinePunct w:val="0"/>
        <w:autoSpaceDE/>
        <w:autoSpaceDN/>
        <w:bidi w:val="0"/>
        <w:spacing w:line="360" w:lineRule="auto"/>
        <w:jc w:val="left"/>
        <w:textAlignment w:val="auto"/>
        <w:rPr>
          <w:rFonts w:hint="default" w:ascii="宋体" w:hAnsi="宋体" w:eastAsia="宋体" w:cs="宋体"/>
          <w:color w:val="000000"/>
          <w:sz w:val="24"/>
          <w:szCs w:val="24"/>
          <w:highlight w:val="none"/>
          <w:lang w:val="en-US" w:eastAsia="zh-CN"/>
        </w:rPr>
      </w:pPr>
      <w:r>
        <w:rPr>
          <w:rFonts w:hint="eastAsia" w:ascii="宋体" w:hAnsi="宋体" w:cs="宋体"/>
          <w:b/>
          <w:bCs/>
          <w:color w:val="000000"/>
          <w:sz w:val="24"/>
          <w:szCs w:val="24"/>
          <w:highlight w:val="none"/>
          <w:lang w:val="en-US" w:eastAsia="zh-CN"/>
        </w:rPr>
        <w:t>三、采购清单</w:t>
      </w:r>
    </w:p>
    <w:p w14:paraId="35CB2CAC">
      <w:pPr>
        <w:pStyle w:val="4"/>
        <w:pageBreakBefore w:val="0"/>
        <w:kinsoku/>
        <w:wordWrap/>
        <w:overflowPunct/>
        <w:topLinePunct w:val="0"/>
        <w:autoSpaceDE/>
        <w:autoSpaceDN/>
        <w:bidi w:val="0"/>
        <w:adjustRightInd/>
        <w:snapToGrid/>
        <w:spacing w:before="0" w:after="0" w:line="460" w:lineRule="exact"/>
        <w:ind w:left="0" w:leftChars="0" w:firstLine="480" w:firstLineChars="200"/>
        <w:textAlignment w:val="auto"/>
        <w:rPr>
          <w:rFonts w:hint="default" w:ascii="Times New Roman" w:hAnsi="Times New Roman" w:cs="Times New Roman"/>
          <w:color w:val="000000"/>
          <w:highlight w:val="none"/>
          <w:lang w:val="en-US" w:eastAsia="zh-CN"/>
        </w:rPr>
      </w:pPr>
      <w:bookmarkStart w:id="171" w:name="_Toc636726029"/>
      <w:r>
        <w:rPr>
          <w:rFonts w:hint="eastAsia" w:ascii="Times New Roman" w:hAnsi="Times New Roman" w:cs="Times New Roman"/>
          <w:color w:val="000000"/>
          <w:highlight w:val="none"/>
          <w:lang w:val="en-US" w:eastAsia="zh-CN"/>
        </w:rPr>
        <w:t>1、</w:t>
      </w:r>
      <w:r>
        <w:rPr>
          <w:rFonts w:hint="default" w:ascii="Times New Roman" w:hAnsi="Times New Roman" w:cs="Times New Roman"/>
          <w:color w:val="000000"/>
          <w:highlight w:val="none"/>
          <w:lang w:val="en-US" w:eastAsia="zh-CN"/>
        </w:rPr>
        <w:t>政务外网网络链路租赁</w:t>
      </w:r>
      <w:bookmarkEnd w:id="171"/>
    </w:p>
    <w:p w14:paraId="244E9045">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eastAsia"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本期建设应满足现有各单位</w:t>
      </w:r>
      <w:r>
        <w:rPr>
          <w:rFonts w:hint="eastAsia" w:ascii="Times New Roman" w:hAnsi="Times New Roman" w:cs="Times New Roman"/>
          <w:color w:val="000000"/>
          <w:highlight w:val="none"/>
          <w:lang w:val="en-US" w:eastAsia="zh-CN"/>
        </w:rPr>
        <w:t>280</w:t>
      </w:r>
      <w:r>
        <w:rPr>
          <w:rFonts w:hint="default" w:ascii="Times New Roman" w:hAnsi="Times New Roman" w:cs="Times New Roman"/>
          <w:color w:val="000000"/>
          <w:highlight w:val="none"/>
          <w:lang w:val="en-US" w:eastAsia="zh-CN"/>
        </w:rPr>
        <w:t>条政务外网网络链路的接入需求</w:t>
      </w:r>
      <w:r>
        <w:rPr>
          <w:rFonts w:hint="eastAsia" w:ascii="Times New Roman" w:hAnsi="Times New Roman" w:cs="Times New Roman"/>
          <w:color w:val="000000"/>
          <w:highlight w:val="none"/>
          <w:lang w:val="en-US" w:eastAsia="zh-CN"/>
        </w:rPr>
        <w:t>，具体如下：</w:t>
      </w:r>
    </w:p>
    <w:tbl>
      <w:tblPr>
        <w:tblStyle w:val="21"/>
        <w:tblW w:w="425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2"/>
        <w:gridCol w:w="1966"/>
        <w:gridCol w:w="1793"/>
        <w:gridCol w:w="1235"/>
        <w:gridCol w:w="1748"/>
      </w:tblGrid>
      <w:tr w14:paraId="37EBE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1FF9287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Fonts w:hint="default" w:ascii="Times New Roman" w:hAnsi="Times New Roman" w:eastAsia="宋体" w:cs="Times New Roman"/>
                <w:b/>
                <w:bCs/>
                <w:i w:val="0"/>
                <w:iCs w:val="0"/>
                <w:color w:val="000000"/>
                <w:kern w:val="0"/>
                <w:sz w:val="20"/>
                <w:szCs w:val="20"/>
                <w:highlight w:val="none"/>
                <w:u w:val="none"/>
                <w:lang w:val="en-US" w:eastAsia="zh-CN" w:bidi="ar"/>
              </w:rPr>
              <w:t>序号</w:t>
            </w:r>
          </w:p>
        </w:tc>
        <w:tc>
          <w:tcPr>
            <w:tcW w:w="1274" w:type="pc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31B1D1E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Fonts w:hint="default" w:ascii="Times New Roman" w:hAnsi="Times New Roman" w:eastAsia="宋体" w:cs="Times New Roman"/>
                <w:b/>
                <w:bCs/>
                <w:i w:val="0"/>
                <w:iCs w:val="0"/>
                <w:color w:val="000000"/>
                <w:kern w:val="0"/>
                <w:sz w:val="20"/>
                <w:szCs w:val="20"/>
                <w:highlight w:val="none"/>
                <w:u w:val="none"/>
                <w:lang w:val="en-US" w:eastAsia="zh-CN" w:bidi="ar"/>
              </w:rPr>
              <w:t>需求链路带宽</w:t>
            </w:r>
          </w:p>
        </w:tc>
        <w:tc>
          <w:tcPr>
            <w:tcW w:w="1162" w:type="pc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7A6E606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Fonts w:hint="default" w:ascii="Times New Roman" w:hAnsi="Times New Roman" w:eastAsia="宋体" w:cs="Times New Roman"/>
                <w:b/>
                <w:bCs/>
                <w:i w:val="0"/>
                <w:iCs w:val="0"/>
                <w:color w:val="000000"/>
                <w:kern w:val="0"/>
                <w:sz w:val="20"/>
                <w:szCs w:val="20"/>
                <w:highlight w:val="none"/>
                <w:u w:val="none"/>
                <w:lang w:val="en-US" w:eastAsia="zh-CN" w:bidi="ar"/>
              </w:rPr>
              <w:t>数量</w:t>
            </w:r>
          </w:p>
        </w:tc>
        <w:tc>
          <w:tcPr>
            <w:tcW w:w="800" w:type="pc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646143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Fonts w:hint="default" w:ascii="Times New Roman" w:hAnsi="Times New Roman" w:eastAsia="宋体" w:cs="Times New Roman"/>
                <w:b/>
                <w:bCs/>
                <w:i w:val="0"/>
                <w:iCs w:val="0"/>
                <w:color w:val="000000"/>
                <w:kern w:val="0"/>
                <w:sz w:val="20"/>
                <w:szCs w:val="20"/>
                <w:highlight w:val="none"/>
                <w:u w:val="none"/>
                <w:lang w:val="en-US" w:eastAsia="zh-CN" w:bidi="ar"/>
              </w:rPr>
              <w:t>单位</w:t>
            </w:r>
          </w:p>
        </w:tc>
        <w:tc>
          <w:tcPr>
            <w:tcW w:w="1132" w:type="pc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72AEF02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Fonts w:hint="default" w:ascii="Times New Roman" w:hAnsi="Times New Roman" w:eastAsia="宋体" w:cs="Times New Roman"/>
                <w:b/>
                <w:bCs/>
                <w:i w:val="0"/>
                <w:iCs w:val="0"/>
                <w:color w:val="000000"/>
                <w:kern w:val="0"/>
                <w:sz w:val="20"/>
                <w:szCs w:val="20"/>
                <w:highlight w:val="none"/>
                <w:u w:val="none"/>
                <w:lang w:val="en-US" w:eastAsia="zh-CN" w:bidi="ar"/>
              </w:rPr>
              <w:t>备注</w:t>
            </w:r>
          </w:p>
        </w:tc>
      </w:tr>
      <w:tr w14:paraId="26C64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B2B4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27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53E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20M</w:t>
            </w:r>
          </w:p>
        </w:tc>
        <w:tc>
          <w:tcPr>
            <w:tcW w:w="1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7550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eastAsia" w:ascii="Times New Roman" w:hAnsi="Times New Roman" w:eastAsia="宋体" w:cs="Times New Roman"/>
                <w:i w:val="0"/>
                <w:iCs w:val="0"/>
                <w:color w:val="000000"/>
                <w:kern w:val="0"/>
                <w:sz w:val="20"/>
                <w:szCs w:val="20"/>
                <w:highlight w:val="none"/>
                <w:u w:val="none"/>
                <w:lang w:val="en-US" w:eastAsia="zh-CN" w:bidi="ar"/>
              </w:rPr>
              <w:t>119</w:t>
            </w:r>
          </w:p>
        </w:tc>
        <w:tc>
          <w:tcPr>
            <w:tcW w:w="800" w:type="pct"/>
            <w:tcBorders>
              <w:top w:val="single" w:color="000000" w:sz="4" w:space="0"/>
              <w:left w:val="single" w:color="000000" w:sz="4" w:space="0"/>
              <w:bottom w:val="single" w:color="000000" w:sz="4" w:space="0"/>
              <w:right w:val="single" w:color="000000" w:sz="4" w:space="0"/>
            </w:tcBorders>
            <w:noWrap w:val="0"/>
            <w:vAlign w:val="center"/>
          </w:tcPr>
          <w:p w14:paraId="4B5054D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条</w:t>
            </w:r>
          </w:p>
        </w:tc>
        <w:tc>
          <w:tcPr>
            <w:tcW w:w="1132" w:type="pct"/>
            <w:tcBorders>
              <w:top w:val="single" w:color="000000" w:sz="4" w:space="0"/>
              <w:left w:val="single" w:color="000000" w:sz="4" w:space="0"/>
              <w:bottom w:val="single" w:color="000000" w:sz="4" w:space="0"/>
              <w:right w:val="single" w:color="000000" w:sz="4" w:space="0"/>
            </w:tcBorders>
            <w:noWrap w:val="0"/>
            <w:vAlign w:val="center"/>
          </w:tcPr>
          <w:p w14:paraId="767D1308">
            <w:pPr>
              <w:jc w:val="center"/>
              <w:rPr>
                <w:rFonts w:hint="default" w:ascii="Times New Roman" w:hAnsi="Times New Roman" w:eastAsia="宋体" w:cs="Times New Roman"/>
                <w:i w:val="0"/>
                <w:iCs w:val="0"/>
                <w:color w:val="000000"/>
                <w:sz w:val="20"/>
                <w:szCs w:val="20"/>
                <w:highlight w:val="none"/>
                <w:u w:val="none"/>
              </w:rPr>
            </w:pPr>
          </w:p>
        </w:tc>
      </w:tr>
      <w:tr w14:paraId="1FED2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C38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27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0E1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100M</w:t>
            </w:r>
          </w:p>
        </w:tc>
        <w:tc>
          <w:tcPr>
            <w:tcW w:w="1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D96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12</w:t>
            </w:r>
            <w:r>
              <w:rPr>
                <w:rFonts w:hint="eastAsia" w:ascii="Times New Roman" w:hAnsi="Times New Roman" w:eastAsia="宋体" w:cs="Times New Roman"/>
                <w:i w:val="0"/>
                <w:iCs w:val="0"/>
                <w:color w:val="000000"/>
                <w:kern w:val="0"/>
                <w:sz w:val="20"/>
                <w:szCs w:val="20"/>
                <w:highlight w:val="none"/>
                <w:u w:val="none"/>
                <w:lang w:val="en-US" w:eastAsia="zh-CN" w:bidi="ar"/>
              </w:rPr>
              <w:t>4</w:t>
            </w:r>
          </w:p>
        </w:tc>
        <w:tc>
          <w:tcPr>
            <w:tcW w:w="800" w:type="pct"/>
            <w:tcBorders>
              <w:top w:val="single" w:color="000000" w:sz="4" w:space="0"/>
              <w:left w:val="single" w:color="000000" w:sz="4" w:space="0"/>
              <w:bottom w:val="single" w:color="000000" w:sz="4" w:space="0"/>
              <w:right w:val="single" w:color="000000" w:sz="4" w:space="0"/>
            </w:tcBorders>
            <w:noWrap w:val="0"/>
            <w:vAlign w:val="center"/>
          </w:tcPr>
          <w:p w14:paraId="2ED384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条</w:t>
            </w:r>
          </w:p>
        </w:tc>
        <w:tc>
          <w:tcPr>
            <w:tcW w:w="1132" w:type="pct"/>
            <w:tcBorders>
              <w:top w:val="single" w:color="000000" w:sz="4" w:space="0"/>
              <w:left w:val="single" w:color="000000" w:sz="4" w:space="0"/>
              <w:bottom w:val="single" w:color="000000" w:sz="4" w:space="0"/>
              <w:right w:val="single" w:color="000000" w:sz="4" w:space="0"/>
            </w:tcBorders>
            <w:noWrap w:val="0"/>
            <w:vAlign w:val="center"/>
          </w:tcPr>
          <w:p w14:paraId="50149DBD">
            <w:pPr>
              <w:jc w:val="center"/>
              <w:rPr>
                <w:rFonts w:hint="default" w:ascii="Times New Roman" w:hAnsi="Times New Roman" w:eastAsia="宋体" w:cs="Times New Roman"/>
                <w:i w:val="0"/>
                <w:iCs w:val="0"/>
                <w:color w:val="000000"/>
                <w:sz w:val="20"/>
                <w:szCs w:val="20"/>
                <w:highlight w:val="none"/>
                <w:u w:val="none"/>
              </w:rPr>
            </w:pPr>
          </w:p>
        </w:tc>
      </w:tr>
      <w:tr w14:paraId="7AD21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E5A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27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8541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200M</w:t>
            </w:r>
          </w:p>
        </w:tc>
        <w:tc>
          <w:tcPr>
            <w:tcW w:w="1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99E59">
            <w:pPr>
              <w:keepNext w:val="0"/>
              <w:keepLines w:val="0"/>
              <w:widowControl/>
              <w:suppressLineNumbers w:val="0"/>
              <w:jc w:val="center"/>
              <w:textAlignment w:val="center"/>
              <w:rPr>
                <w:rFonts w:hint="eastAsia"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宋体" w:cs="Times New Roman"/>
                <w:i w:val="0"/>
                <w:iCs w:val="0"/>
                <w:color w:val="000000"/>
                <w:sz w:val="20"/>
                <w:szCs w:val="20"/>
                <w:highlight w:val="none"/>
                <w:u w:val="none"/>
                <w:lang w:val="en-US" w:eastAsia="zh-CN"/>
              </w:rPr>
              <w:t>6</w:t>
            </w:r>
          </w:p>
        </w:tc>
        <w:tc>
          <w:tcPr>
            <w:tcW w:w="800" w:type="pct"/>
            <w:tcBorders>
              <w:top w:val="single" w:color="000000" w:sz="4" w:space="0"/>
              <w:left w:val="single" w:color="000000" w:sz="4" w:space="0"/>
              <w:bottom w:val="single" w:color="000000" w:sz="4" w:space="0"/>
              <w:right w:val="single" w:color="000000" w:sz="4" w:space="0"/>
            </w:tcBorders>
            <w:noWrap w:val="0"/>
            <w:vAlign w:val="center"/>
          </w:tcPr>
          <w:p w14:paraId="26DEC5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条</w:t>
            </w:r>
          </w:p>
        </w:tc>
        <w:tc>
          <w:tcPr>
            <w:tcW w:w="1132" w:type="pct"/>
            <w:tcBorders>
              <w:top w:val="single" w:color="000000" w:sz="4" w:space="0"/>
              <w:left w:val="single" w:color="000000" w:sz="4" w:space="0"/>
              <w:bottom w:val="single" w:color="000000" w:sz="4" w:space="0"/>
              <w:right w:val="single" w:color="000000" w:sz="4" w:space="0"/>
            </w:tcBorders>
            <w:noWrap w:val="0"/>
            <w:vAlign w:val="center"/>
          </w:tcPr>
          <w:p w14:paraId="50984DFE">
            <w:pPr>
              <w:jc w:val="center"/>
              <w:rPr>
                <w:rFonts w:hint="default" w:ascii="Times New Roman" w:hAnsi="Times New Roman" w:eastAsia="宋体" w:cs="Times New Roman"/>
                <w:i w:val="0"/>
                <w:iCs w:val="0"/>
                <w:color w:val="000000"/>
                <w:sz w:val="20"/>
                <w:szCs w:val="20"/>
                <w:highlight w:val="none"/>
                <w:u w:val="none"/>
              </w:rPr>
            </w:pPr>
          </w:p>
        </w:tc>
      </w:tr>
      <w:tr w14:paraId="4C147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C14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27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D7B8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1G</w:t>
            </w:r>
          </w:p>
        </w:tc>
        <w:tc>
          <w:tcPr>
            <w:tcW w:w="1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44E8D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800" w:type="pct"/>
            <w:tcBorders>
              <w:top w:val="single" w:color="000000" w:sz="4" w:space="0"/>
              <w:left w:val="single" w:color="000000" w:sz="4" w:space="0"/>
              <w:bottom w:val="single" w:color="000000" w:sz="4" w:space="0"/>
              <w:right w:val="single" w:color="000000" w:sz="4" w:space="0"/>
            </w:tcBorders>
            <w:noWrap w:val="0"/>
            <w:vAlign w:val="center"/>
          </w:tcPr>
          <w:p w14:paraId="1A42A0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条</w:t>
            </w:r>
          </w:p>
        </w:tc>
        <w:tc>
          <w:tcPr>
            <w:tcW w:w="1132" w:type="pct"/>
            <w:tcBorders>
              <w:top w:val="single" w:color="000000" w:sz="4" w:space="0"/>
              <w:left w:val="single" w:color="000000" w:sz="4" w:space="0"/>
              <w:bottom w:val="single" w:color="000000" w:sz="4" w:space="0"/>
              <w:right w:val="single" w:color="000000" w:sz="4" w:space="0"/>
            </w:tcBorders>
            <w:noWrap w:val="0"/>
            <w:vAlign w:val="center"/>
          </w:tcPr>
          <w:p w14:paraId="5D14F126">
            <w:pPr>
              <w:jc w:val="center"/>
              <w:rPr>
                <w:rFonts w:hint="default" w:ascii="Times New Roman" w:hAnsi="Times New Roman" w:eastAsia="宋体" w:cs="Times New Roman"/>
                <w:i w:val="0"/>
                <w:iCs w:val="0"/>
                <w:color w:val="000000"/>
                <w:sz w:val="20"/>
                <w:szCs w:val="20"/>
                <w:highlight w:val="none"/>
                <w:u w:val="none"/>
              </w:rPr>
            </w:pPr>
          </w:p>
        </w:tc>
      </w:tr>
      <w:tr w14:paraId="76B06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630"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D48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b/>
                <w:bCs/>
                <w:i w:val="0"/>
                <w:iCs w:val="0"/>
                <w:color w:val="000000"/>
                <w:kern w:val="0"/>
                <w:sz w:val="20"/>
                <w:szCs w:val="20"/>
                <w:highlight w:val="none"/>
                <w:u w:val="none"/>
                <w:lang w:val="en-US" w:eastAsia="zh-CN" w:bidi="ar"/>
              </w:rPr>
              <w:t>小计</w:t>
            </w:r>
          </w:p>
        </w:tc>
        <w:tc>
          <w:tcPr>
            <w:tcW w:w="1274"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CDD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p>
        </w:tc>
        <w:tc>
          <w:tcPr>
            <w:tcW w:w="1162"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01A6F8">
            <w:pPr>
              <w:jc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ascii="Times New Roman" w:hAnsi="Times New Roman" w:eastAsia="宋体" w:cs="Times New Roman"/>
                <w:b/>
                <w:bCs/>
                <w:i w:val="0"/>
                <w:iCs w:val="0"/>
                <w:color w:val="000000"/>
                <w:kern w:val="0"/>
                <w:sz w:val="20"/>
                <w:szCs w:val="20"/>
                <w:highlight w:val="none"/>
                <w:u w:val="none"/>
                <w:lang w:val="en-US" w:eastAsia="zh-CN" w:bidi="ar"/>
              </w:rPr>
              <w:t>280</w:t>
            </w:r>
          </w:p>
        </w:tc>
        <w:tc>
          <w:tcPr>
            <w:tcW w:w="800" w:type="pct"/>
            <w:tcBorders>
              <w:top w:val="single" w:color="000000" w:sz="4" w:space="0"/>
              <w:left w:val="single" w:color="000000" w:sz="4" w:space="0"/>
              <w:bottom w:val="single" w:color="000000" w:sz="4" w:space="0"/>
              <w:right w:val="single" w:color="000000" w:sz="4" w:space="0"/>
            </w:tcBorders>
            <w:noWrap w:val="0"/>
            <w:vAlign w:val="center"/>
          </w:tcPr>
          <w:p w14:paraId="0521B47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eastAsia" w:cs="Times New Roman"/>
                <w:i w:val="0"/>
                <w:iCs w:val="0"/>
                <w:color w:val="000000"/>
                <w:kern w:val="0"/>
                <w:sz w:val="20"/>
                <w:szCs w:val="20"/>
                <w:highlight w:val="none"/>
                <w:u w:val="none"/>
                <w:lang w:val="en-US" w:eastAsia="zh-CN" w:bidi="ar"/>
              </w:rPr>
              <w:t>条</w:t>
            </w:r>
          </w:p>
        </w:tc>
        <w:tc>
          <w:tcPr>
            <w:tcW w:w="1132" w:type="pct"/>
            <w:tcBorders>
              <w:top w:val="single" w:color="000000" w:sz="4" w:space="0"/>
              <w:left w:val="single" w:color="000000" w:sz="4" w:space="0"/>
              <w:bottom w:val="single" w:color="000000" w:sz="4" w:space="0"/>
              <w:right w:val="single" w:color="000000" w:sz="4" w:space="0"/>
            </w:tcBorders>
            <w:noWrap w:val="0"/>
            <w:vAlign w:val="center"/>
          </w:tcPr>
          <w:p w14:paraId="4FAAB2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p>
        </w:tc>
      </w:tr>
    </w:tbl>
    <w:p w14:paraId="4E48CBD8">
      <w:pPr>
        <w:pStyle w:val="3"/>
        <w:pageBreakBefore w:val="0"/>
        <w:kinsoku/>
        <w:wordWrap/>
        <w:overflowPunct/>
        <w:topLinePunct w:val="0"/>
        <w:autoSpaceDE/>
        <w:autoSpaceDN/>
        <w:bidi w:val="0"/>
        <w:adjustRightInd/>
        <w:snapToGrid/>
        <w:spacing w:line="460" w:lineRule="exact"/>
        <w:ind w:left="0" w:leftChars="0" w:firstLine="0" w:firstLineChars="0"/>
        <w:textAlignment w:val="auto"/>
        <w:rPr>
          <w:rFonts w:hint="default" w:ascii="Times New Roman" w:hAnsi="Times New Roman" w:cs="Times New Roman"/>
          <w:color w:val="000000"/>
          <w:highlight w:val="none"/>
          <w:lang w:val="en-US" w:eastAsia="zh-CN"/>
        </w:rPr>
      </w:pPr>
    </w:p>
    <w:p w14:paraId="260CC43F">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lang w:val="en-US" w:eastAsia="zh-CN"/>
        </w:rPr>
      </w:pPr>
      <w:r>
        <w:rPr>
          <w:rFonts w:hint="default" w:ascii="Times New Roman" w:hAnsi="Times New Roman" w:cs="Times New Roman"/>
          <w:color w:val="000000"/>
          <w:highlight w:val="none"/>
          <w:lang w:val="en-US" w:eastAsia="zh-CN"/>
        </w:rPr>
        <w:t>详细清单见附件：郴州电子政务外网各单位接入清单</w:t>
      </w:r>
    </w:p>
    <w:p w14:paraId="181B4BC4">
      <w:pPr>
        <w:pStyle w:val="9"/>
        <w:rPr>
          <w:rFonts w:hint="default" w:ascii="Times New Roman" w:hAnsi="Times New Roman" w:cs="Times New Roman"/>
          <w:color w:val="000000"/>
          <w:highlight w:val="none"/>
          <w:lang w:val="en-US" w:eastAsia="zh-CN"/>
        </w:rPr>
      </w:pPr>
    </w:p>
    <w:p w14:paraId="6CC1BE0A">
      <w:pPr>
        <w:pStyle w:val="8"/>
        <w:ind w:firstLine="420" w:firstLineChars="200"/>
        <w:jc w:val="center"/>
        <w:rPr>
          <w:rFonts w:hint="default" w:ascii="Times New Roman" w:hAnsi="Times New Roman" w:eastAsia="宋体" w:cs="Times New Roman"/>
          <w:snapToGrid w:val="0"/>
          <w:color w:val="000000"/>
          <w:kern w:val="0"/>
          <w:sz w:val="21"/>
          <w:szCs w:val="24"/>
          <w:highlight w:val="none"/>
          <w:lang w:val="en-US" w:eastAsia="zh-CN" w:bidi="ar-SA"/>
        </w:rPr>
      </w:pPr>
      <w:r>
        <w:rPr>
          <w:rFonts w:hint="default" w:ascii="Times New Roman" w:hAnsi="Times New Roman" w:eastAsia="宋体" w:cs="Times New Roman"/>
          <w:snapToGrid w:val="0"/>
          <w:color w:val="000000"/>
          <w:kern w:val="0"/>
          <w:sz w:val="21"/>
          <w:szCs w:val="24"/>
          <w:highlight w:val="none"/>
          <w:lang w:val="en-US" w:eastAsia="zh-CN" w:bidi="ar-SA"/>
        </w:rPr>
        <w:t xml:space="preserve">表 </w:t>
      </w:r>
      <w:r>
        <w:rPr>
          <w:rFonts w:hint="default" w:ascii="Times New Roman" w:hAnsi="Times New Roman" w:eastAsia="宋体" w:cs="Times New Roman"/>
          <w:snapToGrid w:val="0"/>
          <w:color w:val="000000"/>
          <w:kern w:val="0"/>
          <w:sz w:val="21"/>
          <w:szCs w:val="24"/>
          <w:highlight w:val="none"/>
          <w:lang w:val="en-US" w:eastAsia="zh-CN" w:bidi="ar-SA"/>
        </w:rPr>
        <w:fldChar w:fldCharType="begin"/>
      </w:r>
      <w:r>
        <w:rPr>
          <w:rFonts w:hint="default" w:ascii="Times New Roman" w:hAnsi="Times New Roman" w:eastAsia="宋体" w:cs="Times New Roman"/>
          <w:snapToGrid w:val="0"/>
          <w:color w:val="000000"/>
          <w:kern w:val="0"/>
          <w:sz w:val="21"/>
          <w:szCs w:val="24"/>
          <w:highlight w:val="none"/>
          <w:lang w:val="en-US" w:eastAsia="zh-CN" w:bidi="ar-SA"/>
        </w:rPr>
        <w:instrText xml:space="preserve"> SEQ 表 \* ARABIC </w:instrText>
      </w:r>
      <w:r>
        <w:rPr>
          <w:rFonts w:hint="default" w:ascii="Times New Roman" w:hAnsi="Times New Roman" w:eastAsia="宋体" w:cs="Times New Roman"/>
          <w:snapToGrid w:val="0"/>
          <w:color w:val="000000"/>
          <w:kern w:val="0"/>
          <w:sz w:val="21"/>
          <w:szCs w:val="24"/>
          <w:highlight w:val="none"/>
          <w:lang w:val="en-US" w:eastAsia="zh-CN" w:bidi="ar-SA"/>
        </w:rPr>
        <w:fldChar w:fldCharType="separate"/>
      </w:r>
      <w:r>
        <w:rPr>
          <w:rFonts w:hint="default" w:ascii="Times New Roman" w:hAnsi="Times New Roman" w:eastAsia="宋体" w:cs="Times New Roman"/>
          <w:snapToGrid w:val="0"/>
          <w:color w:val="000000"/>
          <w:kern w:val="0"/>
          <w:sz w:val="21"/>
          <w:szCs w:val="24"/>
          <w:highlight w:val="none"/>
          <w:lang w:val="en-US" w:eastAsia="zh-CN" w:bidi="ar-SA"/>
        </w:rPr>
        <w:t>4</w:t>
      </w:r>
      <w:r>
        <w:rPr>
          <w:rFonts w:hint="default" w:ascii="Times New Roman" w:hAnsi="Times New Roman" w:eastAsia="宋体" w:cs="Times New Roman"/>
          <w:snapToGrid w:val="0"/>
          <w:color w:val="000000"/>
          <w:kern w:val="0"/>
          <w:sz w:val="21"/>
          <w:szCs w:val="24"/>
          <w:highlight w:val="none"/>
          <w:lang w:val="en-US" w:eastAsia="zh-CN" w:bidi="ar-SA"/>
        </w:rPr>
        <w:fldChar w:fldCharType="end"/>
      </w:r>
      <w:bookmarkStart w:id="172" w:name="_Toc22138"/>
      <w:bookmarkStart w:id="173" w:name="_Toc5277"/>
      <w:r>
        <w:rPr>
          <w:rFonts w:hint="default" w:ascii="Times New Roman" w:hAnsi="Times New Roman" w:eastAsia="宋体" w:cs="Times New Roman"/>
          <w:snapToGrid w:val="0"/>
          <w:color w:val="000000"/>
          <w:kern w:val="0"/>
          <w:sz w:val="21"/>
          <w:szCs w:val="24"/>
          <w:highlight w:val="none"/>
          <w:lang w:val="en-US" w:eastAsia="zh-CN" w:bidi="ar-SA"/>
        </w:rPr>
        <w:t xml:space="preserve"> </w:t>
      </w:r>
      <w:bookmarkEnd w:id="172"/>
      <w:bookmarkEnd w:id="173"/>
      <w:r>
        <w:rPr>
          <w:rFonts w:hint="default" w:ascii="Times New Roman" w:hAnsi="Times New Roman" w:eastAsia="宋体" w:cs="Times New Roman"/>
          <w:snapToGrid w:val="0"/>
          <w:color w:val="000000"/>
          <w:kern w:val="0"/>
          <w:sz w:val="21"/>
          <w:szCs w:val="24"/>
          <w:highlight w:val="none"/>
          <w:lang w:val="en-US" w:eastAsia="zh-CN" w:bidi="ar-SA"/>
        </w:rPr>
        <w:t>郴州电子政务外网各单位接入清单</w:t>
      </w:r>
    </w:p>
    <w:tbl>
      <w:tblPr>
        <w:tblStyle w:val="21"/>
        <w:tblpPr w:leftFromText="180" w:rightFromText="180" w:vertAnchor="text" w:horzAnchor="page" w:tblpX="1800" w:tblpY="488"/>
        <w:tblOverlap w:val="never"/>
        <w:tblW w:w="9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9"/>
        <w:gridCol w:w="4583"/>
        <w:gridCol w:w="700"/>
        <w:gridCol w:w="815"/>
        <w:gridCol w:w="2180"/>
      </w:tblGrid>
      <w:tr w14:paraId="52AF1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vMerge w:val="restar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1EBEB88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4583" w:type="dxa"/>
            <w:vMerge w:val="restar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7BB9FA5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单位名称</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295682EE">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链路要求</w:t>
            </w:r>
          </w:p>
        </w:tc>
        <w:tc>
          <w:tcPr>
            <w:tcW w:w="815"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1B266747">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w:t>
            </w:r>
          </w:p>
        </w:tc>
        <w:tc>
          <w:tcPr>
            <w:tcW w:w="2180" w:type="dxa"/>
            <w:vMerge w:val="restart"/>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221298F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备注</w:t>
            </w:r>
          </w:p>
        </w:tc>
      </w:tr>
      <w:tr w14:paraId="0E99E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vMerge w:val="continue"/>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5C2705FA">
            <w:pPr>
              <w:jc w:val="center"/>
              <w:rPr>
                <w:rFonts w:hint="eastAsia" w:ascii="宋体" w:hAnsi="宋体" w:eastAsia="宋体" w:cs="宋体"/>
                <w:b/>
                <w:bCs/>
                <w:i w:val="0"/>
                <w:iCs w:val="0"/>
                <w:color w:val="000000"/>
                <w:sz w:val="21"/>
                <w:szCs w:val="21"/>
                <w:highlight w:val="none"/>
                <w:u w:val="none"/>
              </w:rPr>
            </w:pPr>
          </w:p>
        </w:tc>
        <w:tc>
          <w:tcPr>
            <w:tcW w:w="4583" w:type="dxa"/>
            <w:vMerge w:val="continue"/>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670E1708">
            <w:pPr>
              <w:jc w:val="center"/>
              <w:rPr>
                <w:rFonts w:hint="eastAsia" w:ascii="宋体" w:hAnsi="宋体" w:eastAsia="宋体" w:cs="宋体"/>
                <w:b/>
                <w:bCs/>
                <w:i w:val="0"/>
                <w:iCs w:val="0"/>
                <w:color w:val="000000"/>
                <w:sz w:val="21"/>
                <w:szCs w:val="21"/>
                <w:highlight w:val="none"/>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60EAB729">
            <w:pPr>
              <w:jc w:val="center"/>
              <w:rPr>
                <w:rFonts w:hint="eastAsia" w:ascii="宋体" w:hAnsi="宋体" w:eastAsia="宋体" w:cs="宋体"/>
                <w:b/>
                <w:bCs/>
                <w:i w:val="0"/>
                <w:iCs w:val="0"/>
                <w:color w:val="000000"/>
                <w:sz w:val="21"/>
                <w:szCs w:val="21"/>
                <w:highlight w:val="none"/>
                <w:u w:val="none"/>
              </w:rPr>
            </w:pPr>
          </w:p>
        </w:tc>
        <w:tc>
          <w:tcPr>
            <w:tcW w:w="815" w:type="dxa"/>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4D09DC99">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（条）</w:t>
            </w:r>
          </w:p>
        </w:tc>
        <w:tc>
          <w:tcPr>
            <w:tcW w:w="2180" w:type="dxa"/>
            <w:vMerge w:val="continue"/>
            <w:tcBorders>
              <w:top w:val="single" w:color="000000" w:sz="4" w:space="0"/>
              <w:left w:val="single" w:color="000000" w:sz="4" w:space="0"/>
              <w:bottom w:val="single" w:color="000000" w:sz="4" w:space="0"/>
              <w:right w:val="single" w:color="000000" w:sz="4" w:space="0"/>
            </w:tcBorders>
            <w:shd w:val="clear" w:color="auto" w:fill="A6A6A6"/>
            <w:noWrap/>
            <w:vAlign w:val="center"/>
          </w:tcPr>
          <w:p w14:paraId="3878CB04">
            <w:pPr>
              <w:jc w:val="center"/>
              <w:rPr>
                <w:rFonts w:hint="eastAsia" w:ascii="宋体" w:hAnsi="宋体" w:eastAsia="宋体" w:cs="宋体"/>
                <w:b/>
                <w:bCs/>
                <w:i w:val="0"/>
                <w:iCs w:val="0"/>
                <w:color w:val="000000"/>
                <w:sz w:val="21"/>
                <w:szCs w:val="21"/>
                <w:highlight w:val="none"/>
                <w:u w:val="none"/>
              </w:rPr>
            </w:pPr>
          </w:p>
        </w:tc>
      </w:tr>
      <w:tr w14:paraId="36E6C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1DFC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4583"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95C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中共郴州市委政法委员会</w:t>
            </w: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7D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C0C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07DC0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7E817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5CAD5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F33EB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郴州市公安局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D2C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E44C5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4024CD2">
            <w:pPr>
              <w:jc w:val="center"/>
              <w:rPr>
                <w:rFonts w:hint="default" w:ascii="Times New Roman" w:hAnsi="Times New Roman" w:cs="Times New Roman"/>
                <w:i w:val="0"/>
                <w:iCs w:val="0"/>
                <w:color w:val="000000"/>
                <w:sz w:val="21"/>
                <w:szCs w:val="21"/>
                <w:highlight w:val="none"/>
                <w:u w:val="none"/>
              </w:rPr>
            </w:pPr>
          </w:p>
        </w:tc>
      </w:tr>
      <w:tr w14:paraId="09D93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4AE9B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57BC2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郴州市城市管理和综合执法局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7929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7F05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C0CAE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数字城管中心</w:t>
            </w:r>
          </w:p>
        </w:tc>
      </w:tr>
      <w:tr w14:paraId="67E25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243B0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C0F7C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郴州市数据局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64B4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E06A3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B61C9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1EFD6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D9CBA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F8DBD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北湖区政务服务中心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37C39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4B3D1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7192F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0D089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C35F8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60E64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苏仙区政务服务中心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93C66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D60CC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07CF37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474FE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44F54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17326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资兴市政务服务中心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1CB2C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74A23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A9AB8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18679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1B9CF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FE90D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桂阳县政务服务中心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645B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D0872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02EF5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4B3FF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38A18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EDAD5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宜章县政务服务中心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2023A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3AD49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739A0D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13B88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A4E3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7A84D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永兴县政务服务中心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8DBE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6F7F9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6840F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70470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70C3D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32BD0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嘉禾县政务服务中心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6D74C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FBD2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33831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6B2BC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E8C36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AF9A3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临武县政务服务中心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5D41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84BE5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AB301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5400E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A41E7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A5144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汝城县政务服务中心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B680E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E1E0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9E88D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55C62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E895C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AF2C1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桂东县政务服务中心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BA0F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587F3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A9A32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300E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334E9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330CD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安仁县政务服务中心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A191A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84BB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9668D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45D5A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D9157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84C1B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城市大脑指挥中心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A5D87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75BE5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01FD7C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5C9F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F2E17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1D894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郴州市公共资源交易中心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9515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1G</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CA0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8382C13">
            <w:pPr>
              <w:jc w:val="center"/>
              <w:rPr>
                <w:rFonts w:hint="default" w:ascii="Times New Roman" w:hAnsi="Times New Roman" w:cs="Times New Roman"/>
                <w:i w:val="0"/>
                <w:iCs w:val="0"/>
                <w:color w:val="000000"/>
                <w:sz w:val="21"/>
                <w:szCs w:val="21"/>
                <w:highlight w:val="none"/>
                <w:u w:val="none"/>
              </w:rPr>
            </w:pPr>
          </w:p>
        </w:tc>
      </w:tr>
      <w:tr w14:paraId="60CF6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4177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D3422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郴州市应急管理局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5077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923D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E2F80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4C647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9C303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0B34D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郴州市民政局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54561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4697B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2719A3A">
            <w:pPr>
              <w:jc w:val="center"/>
              <w:rPr>
                <w:rFonts w:hint="default" w:ascii="Times New Roman" w:hAnsi="Times New Roman" w:cs="Times New Roman"/>
                <w:i w:val="0"/>
                <w:iCs w:val="0"/>
                <w:color w:val="000000"/>
                <w:sz w:val="21"/>
                <w:szCs w:val="21"/>
                <w:highlight w:val="none"/>
                <w:u w:val="none"/>
              </w:rPr>
            </w:pPr>
          </w:p>
        </w:tc>
      </w:tr>
      <w:tr w14:paraId="5A5EA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CA11A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9F207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郴州市市场监督管理局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581F7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19C86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E7539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办公室</w:t>
            </w:r>
          </w:p>
        </w:tc>
      </w:tr>
      <w:tr w14:paraId="0F848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E38B9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9E9E0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郴州市纪律检查委员会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D0083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43286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B9C9D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办公室</w:t>
            </w:r>
          </w:p>
        </w:tc>
      </w:tr>
      <w:tr w14:paraId="1A82F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E28A3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3B806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9AC16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6A01B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7B7BE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机要和内网科</w:t>
            </w:r>
          </w:p>
        </w:tc>
      </w:tr>
      <w:tr w14:paraId="3F09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4F3E9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F0185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郴州市档案馆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5B05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A2322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D753C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市委办公室</w:t>
            </w:r>
          </w:p>
        </w:tc>
      </w:tr>
      <w:tr w14:paraId="60879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8A0ED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3C154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中共郴州市委组织部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9FE25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CF200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487CEBC">
            <w:pPr>
              <w:jc w:val="center"/>
              <w:rPr>
                <w:rFonts w:hint="default" w:ascii="Times New Roman" w:hAnsi="Times New Roman" w:cs="Times New Roman"/>
                <w:i w:val="0"/>
                <w:iCs w:val="0"/>
                <w:color w:val="000000"/>
                <w:sz w:val="21"/>
                <w:szCs w:val="21"/>
                <w:highlight w:val="none"/>
                <w:u w:val="none"/>
              </w:rPr>
            </w:pPr>
          </w:p>
        </w:tc>
      </w:tr>
      <w:tr w14:paraId="7FB53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83E75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62F21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中共郴州市委宣传部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DA67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CD4F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1998ADB">
            <w:pPr>
              <w:jc w:val="center"/>
              <w:rPr>
                <w:rFonts w:hint="default" w:ascii="Times New Roman" w:hAnsi="Times New Roman" w:cs="Times New Roman"/>
                <w:i w:val="0"/>
                <w:iCs w:val="0"/>
                <w:color w:val="000000"/>
                <w:sz w:val="21"/>
                <w:szCs w:val="21"/>
                <w:highlight w:val="none"/>
                <w:u w:val="none"/>
              </w:rPr>
            </w:pPr>
          </w:p>
        </w:tc>
      </w:tr>
      <w:tr w14:paraId="3A265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338E8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B0BDE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中共郴州市委统一战线工作部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3685A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CDD59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E31E56C">
            <w:pPr>
              <w:jc w:val="center"/>
              <w:rPr>
                <w:rFonts w:hint="default" w:ascii="Times New Roman" w:hAnsi="Times New Roman" w:cs="Times New Roman"/>
                <w:i w:val="0"/>
                <w:iCs w:val="0"/>
                <w:color w:val="000000"/>
                <w:sz w:val="21"/>
                <w:szCs w:val="21"/>
                <w:highlight w:val="none"/>
                <w:u w:val="none"/>
              </w:rPr>
            </w:pPr>
          </w:p>
        </w:tc>
      </w:tr>
      <w:tr w14:paraId="78589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B9768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97251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中共郴州市委政策研究室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E14F8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2E90A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6D7DD5A">
            <w:pPr>
              <w:jc w:val="center"/>
              <w:rPr>
                <w:rFonts w:hint="default" w:ascii="Times New Roman" w:hAnsi="Times New Roman" w:cs="Times New Roman"/>
                <w:i w:val="0"/>
                <w:iCs w:val="0"/>
                <w:color w:val="000000"/>
                <w:sz w:val="21"/>
                <w:szCs w:val="21"/>
                <w:highlight w:val="none"/>
                <w:u w:val="none"/>
              </w:rPr>
            </w:pPr>
          </w:p>
        </w:tc>
      </w:tr>
      <w:tr w14:paraId="44719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2601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A32D3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中共郴州市委机构编制委员会办公室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24D50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75652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26F9B8A">
            <w:pPr>
              <w:jc w:val="center"/>
              <w:rPr>
                <w:rFonts w:hint="default" w:ascii="Times New Roman" w:hAnsi="Times New Roman" w:cs="Times New Roman"/>
                <w:i w:val="0"/>
                <w:iCs w:val="0"/>
                <w:color w:val="000000"/>
                <w:sz w:val="21"/>
                <w:szCs w:val="21"/>
                <w:highlight w:val="none"/>
                <w:u w:val="none"/>
              </w:rPr>
            </w:pPr>
          </w:p>
        </w:tc>
      </w:tr>
      <w:tr w14:paraId="5E1D8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610C9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731A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中共郴州市委网络安全和信息化委员会办公室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354F8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9CCCC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806DC00">
            <w:pPr>
              <w:jc w:val="center"/>
              <w:rPr>
                <w:rFonts w:hint="default" w:ascii="Times New Roman" w:hAnsi="Times New Roman" w:cs="Times New Roman"/>
                <w:i w:val="0"/>
                <w:iCs w:val="0"/>
                <w:color w:val="000000"/>
                <w:sz w:val="21"/>
                <w:szCs w:val="21"/>
                <w:highlight w:val="none"/>
                <w:u w:val="none"/>
              </w:rPr>
            </w:pPr>
          </w:p>
        </w:tc>
      </w:tr>
      <w:tr w14:paraId="569EA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5ACE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EBA98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中共郴州市直属机关工作委员会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7680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7C8AD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AD0C174">
            <w:pPr>
              <w:jc w:val="center"/>
              <w:rPr>
                <w:rFonts w:hint="default" w:ascii="Times New Roman" w:hAnsi="Times New Roman" w:cs="Times New Roman"/>
                <w:i w:val="0"/>
                <w:iCs w:val="0"/>
                <w:color w:val="000000"/>
                <w:sz w:val="21"/>
                <w:szCs w:val="21"/>
                <w:highlight w:val="none"/>
                <w:u w:val="none"/>
              </w:rPr>
            </w:pPr>
          </w:p>
        </w:tc>
      </w:tr>
      <w:tr w14:paraId="66323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C4A72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B0B63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中共郴州市委老干部局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0B41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0CD86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46E092A">
            <w:pPr>
              <w:jc w:val="center"/>
              <w:rPr>
                <w:rFonts w:hint="default" w:ascii="Times New Roman" w:hAnsi="Times New Roman" w:cs="Times New Roman"/>
                <w:i w:val="0"/>
                <w:iCs w:val="0"/>
                <w:color w:val="000000"/>
                <w:sz w:val="21"/>
                <w:szCs w:val="21"/>
                <w:highlight w:val="none"/>
                <w:u w:val="none"/>
              </w:rPr>
            </w:pPr>
          </w:p>
        </w:tc>
      </w:tr>
      <w:tr w14:paraId="68438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FC8E7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E4545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郴州市农业农村局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56120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FFC78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3620E3F">
            <w:pPr>
              <w:jc w:val="center"/>
              <w:rPr>
                <w:rFonts w:hint="default" w:ascii="Times New Roman" w:hAnsi="Times New Roman" w:cs="Times New Roman"/>
                <w:i w:val="0"/>
                <w:iCs w:val="0"/>
                <w:color w:val="000000"/>
                <w:sz w:val="21"/>
                <w:szCs w:val="21"/>
                <w:highlight w:val="none"/>
                <w:u w:val="none"/>
              </w:rPr>
            </w:pPr>
          </w:p>
        </w:tc>
      </w:tr>
      <w:tr w14:paraId="4552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E088D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2042C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郴州市林业局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2443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F4AFB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12514AE">
            <w:pPr>
              <w:jc w:val="center"/>
              <w:rPr>
                <w:rFonts w:hint="default" w:ascii="Times New Roman" w:hAnsi="Times New Roman" w:cs="Times New Roman"/>
                <w:i w:val="0"/>
                <w:iCs w:val="0"/>
                <w:color w:val="000000"/>
                <w:sz w:val="21"/>
                <w:szCs w:val="21"/>
                <w:highlight w:val="none"/>
                <w:u w:val="none"/>
              </w:rPr>
            </w:pPr>
          </w:p>
        </w:tc>
      </w:tr>
      <w:tr w14:paraId="42D93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901D8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215E8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郴州市水利局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7883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769D3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8C1C2AA">
            <w:pPr>
              <w:jc w:val="center"/>
              <w:rPr>
                <w:rFonts w:hint="default" w:ascii="Times New Roman" w:hAnsi="Times New Roman" w:cs="Times New Roman"/>
                <w:i w:val="0"/>
                <w:iCs w:val="0"/>
                <w:color w:val="000000"/>
                <w:sz w:val="21"/>
                <w:szCs w:val="21"/>
                <w:highlight w:val="none"/>
                <w:u w:val="none"/>
              </w:rPr>
            </w:pPr>
          </w:p>
        </w:tc>
      </w:tr>
      <w:tr w14:paraId="117E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553E8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4AE6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郴州市统计局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04CA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332E5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5D1B025">
            <w:pPr>
              <w:jc w:val="center"/>
              <w:rPr>
                <w:rFonts w:hint="default" w:ascii="Times New Roman" w:hAnsi="Times New Roman" w:cs="Times New Roman"/>
                <w:i w:val="0"/>
                <w:iCs w:val="0"/>
                <w:color w:val="000000"/>
                <w:sz w:val="21"/>
                <w:szCs w:val="21"/>
                <w:highlight w:val="none"/>
                <w:u w:val="none"/>
              </w:rPr>
            </w:pPr>
          </w:p>
        </w:tc>
      </w:tr>
      <w:tr w14:paraId="0B48D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CB7C3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921BA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郴州市审计局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21850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EFF52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7A5CDCC">
            <w:pPr>
              <w:jc w:val="center"/>
              <w:rPr>
                <w:rFonts w:hint="default" w:ascii="Times New Roman" w:hAnsi="Times New Roman" w:cs="Times New Roman"/>
                <w:i w:val="0"/>
                <w:iCs w:val="0"/>
                <w:color w:val="000000"/>
                <w:sz w:val="21"/>
                <w:szCs w:val="21"/>
                <w:highlight w:val="none"/>
                <w:u w:val="none"/>
              </w:rPr>
            </w:pPr>
          </w:p>
        </w:tc>
      </w:tr>
      <w:tr w14:paraId="1986E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6CC1B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A8F99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郴州市财政局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AABF4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5AA7C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999D16A">
            <w:pPr>
              <w:jc w:val="center"/>
              <w:rPr>
                <w:rFonts w:hint="default" w:ascii="Times New Roman" w:hAnsi="Times New Roman" w:cs="Times New Roman"/>
                <w:i w:val="0"/>
                <w:iCs w:val="0"/>
                <w:color w:val="000000"/>
                <w:sz w:val="21"/>
                <w:szCs w:val="21"/>
                <w:highlight w:val="none"/>
                <w:u w:val="none"/>
              </w:rPr>
            </w:pPr>
          </w:p>
        </w:tc>
      </w:tr>
      <w:tr w14:paraId="69FB3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77349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68409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郴州市司法局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CDC4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39FF6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CA696E5">
            <w:pPr>
              <w:jc w:val="center"/>
              <w:rPr>
                <w:rFonts w:hint="default" w:ascii="Times New Roman" w:hAnsi="Times New Roman" w:cs="Times New Roman"/>
                <w:i w:val="0"/>
                <w:iCs w:val="0"/>
                <w:color w:val="000000"/>
                <w:sz w:val="21"/>
                <w:szCs w:val="21"/>
                <w:highlight w:val="none"/>
                <w:u w:val="none"/>
              </w:rPr>
            </w:pPr>
          </w:p>
        </w:tc>
      </w:tr>
      <w:tr w14:paraId="76CC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DD0E7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2AC4D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郴州市工业和信息化局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E401D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FFA50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578DC04">
            <w:pPr>
              <w:jc w:val="center"/>
              <w:rPr>
                <w:rFonts w:hint="default" w:ascii="Times New Roman" w:hAnsi="Times New Roman" w:cs="Times New Roman"/>
                <w:i w:val="0"/>
                <w:iCs w:val="0"/>
                <w:color w:val="000000"/>
                <w:sz w:val="21"/>
                <w:szCs w:val="21"/>
                <w:highlight w:val="none"/>
                <w:u w:val="none"/>
              </w:rPr>
            </w:pPr>
          </w:p>
        </w:tc>
      </w:tr>
      <w:tr w14:paraId="19DEE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C869A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2D7CF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郴州市人力资源和社会保障局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9D78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17332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E73B78">
            <w:pPr>
              <w:jc w:val="center"/>
              <w:rPr>
                <w:rFonts w:hint="default" w:ascii="Times New Roman" w:hAnsi="Times New Roman" w:cs="Times New Roman"/>
                <w:i w:val="0"/>
                <w:iCs w:val="0"/>
                <w:color w:val="000000"/>
                <w:sz w:val="21"/>
                <w:szCs w:val="21"/>
                <w:highlight w:val="none"/>
                <w:u w:val="none"/>
              </w:rPr>
            </w:pPr>
          </w:p>
        </w:tc>
      </w:tr>
      <w:tr w14:paraId="7B7BF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3AD9D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A3E86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郴州市市场监督管理局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C259B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B7286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78B524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食品药品监督管理</w:t>
            </w:r>
          </w:p>
        </w:tc>
      </w:tr>
      <w:tr w14:paraId="7B0F6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F1866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B866F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郴州市住房和城乡建设局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F0FC9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B1BD4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33A32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510F5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A7B6F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20185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郴州市交通运输局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09A5D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36685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24C6C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四楼会议室</w:t>
            </w:r>
          </w:p>
        </w:tc>
      </w:tr>
      <w:tr w14:paraId="62620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AC47A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89727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郴州市自然资源和规划局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06D3B7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DCD78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E5B03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1621E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3CB6F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9AEB0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郴州市城市管理和综合执法局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56C9B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3E08E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4D85E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办公室</w:t>
            </w:r>
          </w:p>
        </w:tc>
      </w:tr>
      <w:tr w14:paraId="25B0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8259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4FA78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郴州市教育局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DD4EB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BE07A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1514898">
            <w:pPr>
              <w:jc w:val="center"/>
              <w:rPr>
                <w:rFonts w:hint="default" w:ascii="Times New Roman" w:hAnsi="Times New Roman" w:cs="Times New Roman"/>
                <w:i w:val="0"/>
                <w:iCs w:val="0"/>
                <w:color w:val="000000"/>
                <w:sz w:val="21"/>
                <w:szCs w:val="21"/>
                <w:highlight w:val="none"/>
                <w:u w:val="none"/>
              </w:rPr>
            </w:pPr>
          </w:p>
        </w:tc>
      </w:tr>
      <w:tr w14:paraId="24923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5EB52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4ADA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郴州市科学技术局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834C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48F64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9D669A1">
            <w:pPr>
              <w:jc w:val="center"/>
              <w:rPr>
                <w:rFonts w:hint="default" w:ascii="Times New Roman" w:hAnsi="Times New Roman" w:cs="Times New Roman"/>
                <w:i w:val="0"/>
                <w:iCs w:val="0"/>
                <w:color w:val="000000"/>
                <w:sz w:val="21"/>
                <w:szCs w:val="21"/>
                <w:highlight w:val="none"/>
                <w:u w:val="none"/>
              </w:rPr>
            </w:pPr>
          </w:p>
        </w:tc>
      </w:tr>
      <w:tr w14:paraId="68A72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1FF88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8805B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郴州市文化旅游广电体育局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82629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E0108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7E76B2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35A56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CACA5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E2F7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郴州市商务局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973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C2AF9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EDFA66E">
            <w:pPr>
              <w:jc w:val="center"/>
              <w:rPr>
                <w:rFonts w:hint="default" w:ascii="Times New Roman" w:hAnsi="Times New Roman" w:cs="Times New Roman"/>
                <w:i w:val="0"/>
                <w:iCs w:val="0"/>
                <w:color w:val="000000"/>
                <w:sz w:val="21"/>
                <w:szCs w:val="21"/>
                <w:highlight w:val="none"/>
                <w:u w:val="none"/>
              </w:rPr>
            </w:pPr>
          </w:p>
        </w:tc>
      </w:tr>
      <w:tr w14:paraId="62E54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93060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034E2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郴州市退役军人事务局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4371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134E7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80E6909">
            <w:pPr>
              <w:jc w:val="center"/>
              <w:rPr>
                <w:rFonts w:hint="default" w:ascii="Times New Roman" w:hAnsi="Times New Roman" w:cs="Times New Roman"/>
                <w:i w:val="0"/>
                <w:iCs w:val="0"/>
                <w:color w:val="000000"/>
                <w:sz w:val="21"/>
                <w:szCs w:val="21"/>
                <w:highlight w:val="none"/>
                <w:u w:val="none"/>
              </w:rPr>
            </w:pPr>
          </w:p>
        </w:tc>
      </w:tr>
      <w:tr w14:paraId="6E9C8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AB21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928CB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郴州市医疗保障局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1DA6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5F0C3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512D122">
            <w:pPr>
              <w:jc w:val="center"/>
              <w:rPr>
                <w:rFonts w:hint="default" w:ascii="Times New Roman" w:hAnsi="Times New Roman" w:cs="Times New Roman"/>
                <w:i w:val="0"/>
                <w:iCs w:val="0"/>
                <w:color w:val="000000"/>
                <w:sz w:val="21"/>
                <w:szCs w:val="21"/>
                <w:highlight w:val="none"/>
                <w:u w:val="none"/>
              </w:rPr>
            </w:pPr>
          </w:p>
        </w:tc>
      </w:tr>
      <w:tr w14:paraId="09245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8B52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9FE1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郴州市机关事务管理局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834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86019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7AFE6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市政府小区</w:t>
            </w:r>
          </w:p>
        </w:tc>
      </w:tr>
      <w:tr w14:paraId="0CBC6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FFA25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B1765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郴州市人民政府国有资产监督管理委员会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7EC1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3530A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40A628F">
            <w:pPr>
              <w:jc w:val="center"/>
              <w:rPr>
                <w:rFonts w:hint="default" w:ascii="Times New Roman" w:hAnsi="Times New Roman" w:cs="Times New Roman"/>
                <w:i w:val="0"/>
                <w:iCs w:val="0"/>
                <w:color w:val="000000"/>
                <w:sz w:val="21"/>
                <w:szCs w:val="21"/>
                <w:highlight w:val="none"/>
                <w:u w:val="none"/>
              </w:rPr>
            </w:pPr>
          </w:p>
        </w:tc>
      </w:tr>
      <w:tr w14:paraId="2EF36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71C1B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F63DD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郴州市卫生健康委员会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94D63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BC119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78EC17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市政府4楼</w:t>
            </w:r>
          </w:p>
        </w:tc>
      </w:tr>
      <w:tr w14:paraId="75486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5ED2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51150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郴州市发展和改革委员会（郴州市国防动员办公室）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22927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A2A5B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EC37633">
            <w:pPr>
              <w:jc w:val="center"/>
              <w:rPr>
                <w:rFonts w:hint="default" w:ascii="Times New Roman" w:hAnsi="Times New Roman" w:cs="Times New Roman"/>
                <w:i w:val="0"/>
                <w:iCs w:val="0"/>
                <w:color w:val="000000"/>
                <w:sz w:val="21"/>
                <w:szCs w:val="21"/>
                <w:highlight w:val="none"/>
                <w:u w:val="none"/>
              </w:rPr>
            </w:pPr>
          </w:p>
        </w:tc>
      </w:tr>
      <w:tr w14:paraId="1DEDA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7A63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30C4F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郴州市机关事务管理局（市委）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0EA5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DA4D0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6C2A86D">
            <w:pPr>
              <w:jc w:val="center"/>
              <w:rPr>
                <w:rFonts w:hint="default" w:ascii="Times New Roman" w:hAnsi="Times New Roman" w:cs="Times New Roman"/>
                <w:i w:val="0"/>
                <w:iCs w:val="0"/>
                <w:color w:val="000000"/>
                <w:sz w:val="21"/>
                <w:szCs w:val="21"/>
                <w:highlight w:val="none"/>
                <w:u w:val="none"/>
              </w:rPr>
            </w:pPr>
          </w:p>
        </w:tc>
      </w:tr>
      <w:tr w14:paraId="117E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C4F03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4672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郴州市重点建设项目事务中心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E633C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FEFA3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DD17451">
            <w:pPr>
              <w:jc w:val="center"/>
              <w:rPr>
                <w:rFonts w:hint="default" w:ascii="Times New Roman" w:hAnsi="Times New Roman" w:cs="Times New Roman"/>
                <w:i w:val="0"/>
                <w:iCs w:val="0"/>
                <w:color w:val="000000"/>
                <w:sz w:val="21"/>
                <w:szCs w:val="21"/>
                <w:highlight w:val="none"/>
                <w:u w:val="none"/>
              </w:rPr>
            </w:pPr>
          </w:p>
        </w:tc>
      </w:tr>
      <w:tr w14:paraId="27DD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6F5FE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82EA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市农业农村局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127A1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F2E3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A480D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用于</w:t>
            </w:r>
            <w:r>
              <w:rPr>
                <w:rFonts w:hint="eastAsia" w:ascii="宋体" w:hAnsi="宋体" w:eastAsia="宋体" w:cs="宋体"/>
                <w:i w:val="0"/>
                <w:iCs w:val="0"/>
                <w:color w:val="auto"/>
                <w:kern w:val="0"/>
                <w:sz w:val="21"/>
                <w:szCs w:val="21"/>
                <w:highlight w:val="none"/>
                <w:u w:val="none"/>
                <w:lang w:val="en-US" w:eastAsia="zh-CN" w:bidi="ar"/>
              </w:rPr>
              <w:t>乡村振兴局</w:t>
            </w:r>
            <w:r>
              <w:rPr>
                <w:rFonts w:hint="eastAsia" w:ascii="宋体" w:hAnsi="宋体" w:cs="宋体"/>
                <w:i w:val="0"/>
                <w:iCs w:val="0"/>
                <w:color w:val="auto"/>
                <w:kern w:val="0"/>
                <w:sz w:val="21"/>
                <w:szCs w:val="21"/>
                <w:highlight w:val="none"/>
                <w:u w:val="none"/>
                <w:lang w:val="en-US" w:eastAsia="zh-CN" w:bidi="ar"/>
              </w:rPr>
              <w:t>办公</w:t>
            </w:r>
          </w:p>
        </w:tc>
      </w:tr>
      <w:tr w14:paraId="64DD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46313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3CDA1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湖南省郴州市农业科学研究所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E189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2C137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C00F5AF">
            <w:pPr>
              <w:jc w:val="center"/>
              <w:rPr>
                <w:rFonts w:hint="default" w:ascii="Times New Roman" w:hAnsi="Times New Roman" w:cs="Times New Roman"/>
                <w:i w:val="0"/>
                <w:iCs w:val="0"/>
                <w:color w:val="auto"/>
                <w:sz w:val="21"/>
                <w:szCs w:val="21"/>
                <w:highlight w:val="none"/>
                <w:u w:val="none"/>
              </w:rPr>
            </w:pPr>
          </w:p>
        </w:tc>
      </w:tr>
      <w:tr w14:paraId="371C9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05978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6E0DB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郴州市精神病医院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9842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A6B28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8D765BB">
            <w:pPr>
              <w:jc w:val="center"/>
              <w:rPr>
                <w:rFonts w:hint="default" w:ascii="Times New Roman" w:hAnsi="Times New Roman" w:cs="Times New Roman"/>
                <w:i w:val="0"/>
                <w:iCs w:val="0"/>
                <w:color w:val="auto"/>
                <w:sz w:val="21"/>
                <w:szCs w:val="21"/>
                <w:highlight w:val="none"/>
                <w:u w:val="none"/>
              </w:rPr>
            </w:pPr>
          </w:p>
        </w:tc>
      </w:tr>
      <w:tr w14:paraId="5CDE1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EC86A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B5BC0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郴州市中医医院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1934F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74BE6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52DEFB0">
            <w:pPr>
              <w:jc w:val="center"/>
              <w:rPr>
                <w:rFonts w:hint="default" w:ascii="Times New Roman" w:hAnsi="Times New Roman" w:cs="Times New Roman"/>
                <w:i w:val="0"/>
                <w:iCs w:val="0"/>
                <w:color w:val="000000"/>
                <w:sz w:val="21"/>
                <w:szCs w:val="21"/>
                <w:highlight w:val="none"/>
                <w:u w:val="none"/>
              </w:rPr>
            </w:pPr>
          </w:p>
        </w:tc>
      </w:tr>
      <w:tr w14:paraId="055D6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53D7C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54B84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郴州市疾病预防控制中心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1F46F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CA916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011C7E9">
            <w:pPr>
              <w:jc w:val="center"/>
              <w:rPr>
                <w:rFonts w:hint="default" w:ascii="Times New Roman" w:hAnsi="Times New Roman" w:cs="Times New Roman"/>
                <w:i w:val="0"/>
                <w:iCs w:val="0"/>
                <w:color w:val="000000"/>
                <w:sz w:val="21"/>
                <w:szCs w:val="21"/>
                <w:highlight w:val="none"/>
                <w:u w:val="none"/>
              </w:rPr>
            </w:pPr>
          </w:p>
        </w:tc>
      </w:tr>
      <w:tr w14:paraId="1B7E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7F69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B2CFE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郴州市中心血站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81FB8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F55B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E378EC6">
            <w:pPr>
              <w:jc w:val="center"/>
              <w:rPr>
                <w:rFonts w:hint="default" w:ascii="Times New Roman" w:hAnsi="Times New Roman" w:cs="Times New Roman"/>
                <w:i w:val="0"/>
                <w:iCs w:val="0"/>
                <w:color w:val="000000"/>
                <w:sz w:val="21"/>
                <w:szCs w:val="21"/>
                <w:highlight w:val="none"/>
                <w:u w:val="none"/>
              </w:rPr>
            </w:pPr>
          </w:p>
        </w:tc>
      </w:tr>
      <w:tr w14:paraId="73772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1ECDC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8367F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郴州市公安局交通警察支队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EA92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AB5DA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1563F77">
            <w:pPr>
              <w:jc w:val="center"/>
              <w:rPr>
                <w:rFonts w:hint="default" w:ascii="Times New Roman" w:hAnsi="Times New Roman" w:cs="Times New Roman"/>
                <w:i w:val="0"/>
                <w:iCs w:val="0"/>
                <w:color w:val="000000"/>
                <w:sz w:val="21"/>
                <w:szCs w:val="21"/>
                <w:highlight w:val="none"/>
                <w:u w:val="none"/>
              </w:rPr>
            </w:pPr>
          </w:p>
        </w:tc>
      </w:tr>
      <w:tr w14:paraId="4A61A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23378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C9708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郴州市文化市场综合行政执法支队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6D525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D3E4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2AE8081">
            <w:pPr>
              <w:jc w:val="center"/>
              <w:rPr>
                <w:rFonts w:hint="default" w:ascii="Times New Roman" w:hAnsi="Times New Roman" w:cs="Times New Roman"/>
                <w:i w:val="0"/>
                <w:iCs w:val="0"/>
                <w:color w:val="000000"/>
                <w:sz w:val="21"/>
                <w:szCs w:val="21"/>
                <w:highlight w:val="none"/>
                <w:u w:val="none"/>
              </w:rPr>
            </w:pPr>
          </w:p>
        </w:tc>
      </w:tr>
      <w:tr w14:paraId="2203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4BB46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9E609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郴州市人民代表大会常务委员会机关</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E0E7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5F544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F1183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3D9A7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2D04D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0C92C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市政协办公室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409EA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8247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87B2229">
            <w:pPr>
              <w:jc w:val="center"/>
              <w:rPr>
                <w:rFonts w:hint="default" w:ascii="Times New Roman" w:hAnsi="Times New Roman" w:cs="Times New Roman"/>
                <w:i w:val="0"/>
                <w:iCs w:val="0"/>
                <w:color w:val="000000"/>
                <w:sz w:val="21"/>
                <w:szCs w:val="21"/>
                <w:highlight w:val="none"/>
                <w:u w:val="none"/>
              </w:rPr>
            </w:pPr>
          </w:p>
        </w:tc>
      </w:tr>
      <w:tr w14:paraId="75585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022A0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8D3FE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中共郴州市委党史资料征集办公室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8F253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14CF3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9096B15">
            <w:pPr>
              <w:jc w:val="center"/>
              <w:rPr>
                <w:rFonts w:hint="default" w:ascii="Times New Roman" w:hAnsi="Times New Roman" w:cs="Times New Roman"/>
                <w:i w:val="0"/>
                <w:iCs w:val="0"/>
                <w:color w:val="000000"/>
                <w:sz w:val="21"/>
                <w:szCs w:val="21"/>
                <w:highlight w:val="none"/>
                <w:u w:val="none"/>
              </w:rPr>
            </w:pPr>
          </w:p>
        </w:tc>
      </w:tr>
      <w:tr w14:paraId="3F8BA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EC50E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D5995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郴州市接待服务中心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C5874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D2536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32BA8D8">
            <w:pPr>
              <w:jc w:val="center"/>
              <w:rPr>
                <w:rFonts w:hint="default" w:ascii="Times New Roman" w:hAnsi="Times New Roman" w:cs="Times New Roman"/>
                <w:i w:val="0"/>
                <w:iCs w:val="0"/>
                <w:color w:val="000000"/>
                <w:sz w:val="21"/>
                <w:szCs w:val="21"/>
                <w:highlight w:val="none"/>
                <w:u w:val="none"/>
              </w:rPr>
            </w:pPr>
          </w:p>
        </w:tc>
      </w:tr>
      <w:tr w14:paraId="2A0E8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15256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05328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中共郴州市委党校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0F637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4EEDF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B72202B">
            <w:pPr>
              <w:jc w:val="center"/>
              <w:rPr>
                <w:rFonts w:hint="default" w:ascii="Times New Roman" w:hAnsi="Times New Roman" w:cs="Times New Roman"/>
                <w:i w:val="0"/>
                <w:iCs w:val="0"/>
                <w:color w:val="000000"/>
                <w:sz w:val="21"/>
                <w:szCs w:val="21"/>
                <w:highlight w:val="none"/>
                <w:u w:val="none"/>
              </w:rPr>
            </w:pPr>
          </w:p>
        </w:tc>
      </w:tr>
      <w:tr w14:paraId="4DADC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C6F6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A20E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郴州日报社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C700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3F436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87EA60">
            <w:pPr>
              <w:jc w:val="center"/>
              <w:rPr>
                <w:rFonts w:hint="default" w:ascii="Times New Roman" w:hAnsi="Times New Roman" w:cs="Times New Roman"/>
                <w:i w:val="0"/>
                <w:iCs w:val="0"/>
                <w:color w:val="000000"/>
                <w:sz w:val="21"/>
                <w:szCs w:val="21"/>
                <w:highlight w:val="none"/>
                <w:u w:val="none"/>
              </w:rPr>
            </w:pPr>
          </w:p>
        </w:tc>
      </w:tr>
      <w:tr w14:paraId="5DBFC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95AB7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41EDE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郴州技师学院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3D1F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60784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D8883EC">
            <w:pPr>
              <w:jc w:val="center"/>
              <w:rPr>
                <w:rFonts w:hint="default" w:ascii="Times New Roman" w:hAnsi="Times New Roman" w:cs="Times New Roman"/>
                <w:i w:val="0"/>
                <w:iCs w:val="0"/>
                <w:color w:val="000000"/>
                <w:sz w:val="21"/>
                <w:szCs w:val="21"/>
                <w:highlight w:val="none"/>
                <w:u w:val="none"/>
              </w:rPr>
            </w:pPr>
          </w:p>
        </w:tc>
      </w:tr>
      <w:tr w14:paraId="06141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782DF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126A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湘南幼儿师范高等专科学校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B43D3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59AD5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6567C1C">
            <w:pPr>
              <w:jc w:val="center"/>
              <w:rPr>
                <w:rFonts w:hint="default" w:ascii="Times New Roman" w:hAnsi="Times New Roman" w:cs="Times New Roman"/>
                <w:i w:val="0"/>
                <w:iCs w:val="0"/>
                <w:color w:val="000000"/>
                <w:sz w:val="21"/>
                <w:szCs w:val="21"/>
                <w:highlight w:val="none"/>
                <w:u w:val="none"/>
              </w:rPr>
            </w:pPr>
          </w:p>
        </w:tc>
      </w:tr>
      <w:tr w14:paraId="6D31A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9E5C1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0E9995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郴州市科学技术协会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8BA6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7E3B9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756D691">
            <w:pPr>
              <w:jc w:val="center"/>
              <w:rPr>
                <w:rFonts w:hint="default" w:ascii="Times New Roman" w:hAnsi="Times New Roman" w:cs="Times New Roman"/>
                <w:i w:val="0"/>
                <w:iCs w:val="0"/>
                <w:color w:val="000000"/>
                <w:sz w:val="21"/>
                <w:szCs w:val="21"/>
                <w:highlight w:val="none"/>
                <w:u w:val="none"/>
              </w:rPr>
            </w:pPr>
          </w:p>
        </w:tc>
      </w:tr>
      <w:tr w14:paraId="10D0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EB723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DD369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郴州市生态环境局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55D3E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438F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0BAC25">
            <w:pPr>
              <w:jc w:val="center"/>
              <w:rPr>
                <w:rFonts w:hint="default" w:ascii="Times New Roman" w:hAnsi="Times New Roman" w:cs="Times New Roman"/>
                <w:i w:val="0"/>
                <w:iCs w:val="0"/>
                <w:color w:val="000000"/>
                <w:sz w:val="21"/>
                <w:szCs w:val="21"/>
                <w:highlight w:val="none"/>
                <w:u w:val="none"/>
              </w:rPr>
            </w:pPr>
          </w:p>
        </w:tc>
      </w:tr>
      <w:tr w14:paraId="2FABF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C2EBA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CAE99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郴州市国家保密局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C3F45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A592B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299AA47">
            <w:pPr>
              <w:jc w:val="center"/>
              <w:rPr>
                <w:rFonts w:hint="default" w:ascii="Times New Roman" w:hAnsi="Times New Roman" w:cs="Times New Roman"/>
                <w:i w:val="0"/>
                <w:iCs w:val="0"/>
                <w:color w:val="000000"/>
                <w:sz w:val="21"/>
                <w:szCs w:val="21"/>
                <w:highlight w:val="none"/>
                <w:u w:val="none"/>
              </w:rPr>
            </w:pPr>
          </w:p>
        </w:tc>
      </w:tr>
      <w:tr w14:paraId="4A11E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70EFF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B14AD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中共郴州市委巡察工作领导小组办公室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2C6AE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19A89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2BC2F3C">
            <w:pPr>
              <w:jc w:val="center"/>
              <w:rPr>
                <w:rFonts w:hint="default" w:ascii="Times New Roman" w:hAnsi="Times New Roman" w:cs="Times New Roman"/>
                <w:i w:val="0"/>
                <w:iCs w:val="0"/>
                <w:color w:val="000000"/>
                <w:sz w:val="21"/>
                <w:szCs w:val="21"/>
                <w:highlight w:val="none"/>
                <w:u w:val="none"/>
              </w:rPr>
            </w:pPr>
          </w:p>
        </w:tc>
      </w:tr>
      <w:tr w14:paraId="0B94B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6E0E0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9A14C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中共郴州市委台湾工作办公室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5A1F7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B7E29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8097F4">
            <w:pPr>
              <w:jc w:val="center"/>
              <w:rPr>
                <w:rFonts w:hint="default" w:ascii="Times New Roman" w:hAnsi="Times New Roman" w:cs="Times New Roman"/>
                <w:i w:val="0"/>
                <w:iCs w:val="0"/>
                <w:color w:val="000000"/>
                <w:sz w:val="21"/>
                <w:szCs w:val="21"/>
                <w:highlight w:val="none"/>
                <w:u w:val="none"/>
              </w:rPr>
            </w:pPr>
          </w:p>
        </w:tc>
      </w:tr>
      <w:tr w14:paraId="13F457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6E422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79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B5DA3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市委大礼堂</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A24C9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26149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9FD1254">
            <w:pPr>
              <w:jc w:val="center"/>
              <w:rPr>
                <w:rFonts w:hint="default" w:ascii="Times New Roman" w:hAnsi="Times New Roman" w:cs="Times New Roman"/>
                <w:i w:val="0"/>
                <w:iCs w:val="0"/>
                <w:color w:val="000000"/>
                <w:sz w:val="21"/>
                <w:szCs w:val="21"/>
                <w:highlight w:val="none"/>
                <w:u w:val="none"/>
              </w:rPr>
            </w:pPr>
          </w:p>
        </w:tc>
      </w:tr>
      <w:tr w14:paraId="664C1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B17E8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518EA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市委督查室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A9197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9994D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A0B3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w:t>
            </w:r>
          </w:p>
        </w:tc>
      </w:tr>
      <w:tr w14:paraId="69AE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05BD1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E1D9C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市委总值班室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C3998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30BE3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3FA1ADB">
            <w:pPr>
              <w:jc w:val="center"/>
              <w:rPr>
                <w:rFonts w:hint="default" w:ascii="Times New Roman" w:hAnsi="Times New Roman" w:cs="Times New Roman"/>
                <w:i w:val="0"/>
                <w:iCs w:val="0"/>
                <w:color w:val="000000"/>
                <w:sz w:val="21"/>
                <w:szCs w:val="21"/>
                <w:highlight w:val="none"/>
                <w:u w:val="none"/>
              </w:rPr>
            </w:pPr>
          </w:p>
        </w:tc>
      </w:tr>
      <w:tr w14:paraId="3AE3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35626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6C7F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市委大楼第一办公楼</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410DC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F6A6D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AE6C6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19126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31492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F642B96">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郴州市人民政府办公室督察室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CBB3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D1BD6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A75A662">
            <w:pPr>
              <w:jc w:val="center"/>
              <w:rPr>
                <w:rFonts w:hint="default" w:ascii="Times New Roman" w:hAnsi="Times New Roman" w:cs="Times New Roman"/>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833、837室</w:t>
            </w:r>
          </w:p>
        </w:tc>
      </w:tr>
      <w:tr w14:paraId="3068D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0A446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FD5A3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市政府总值班室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92A0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49961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73E11E5">
            <w:pPr>
              <w:jc w:val="center"/>
              <w:rPr>
                <w:rFonts w:hint="default" w:ascii="Times New Roman" w:hAnsi="Times New Roman" w:cs="Times New Roman"/>
                <w:i w:val="0"/>
                <w:iCs w:val="0"/>
                <w:color w:val="000000"/>
                <w:sz w:val="21"/>
                <w:szCs w:val="21"/>
                <w:highlight w:val="none"/>
                <w:u w:val="none"/>
              </w:rPr>
            </w:pPr>
          </w:p>
        </w:tc>
      </w:tr>
      <w:tr w14:paraId="676CE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F7062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FB363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市政府公电办</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F4E84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DA57F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D1107C0">
            <w:pPr>
              <w:jc w:val="center"/>
              <w:rPr>
                <w:rFonts w:hint="default" w:ascii="Times New Roman" w:hAnsi="Times New Roman" w:cs="Times New Roman"/>
                <w:i w:val="0"/>
                <w:iCs w:val="0"/>
                <w:color w:val="000000"/>
                <w:sz w:val="21"/>
                <w:szCs w:val="21"/>
                <w:highlight w:val="none"/>
                <w:u w:val="none"/>
              </w:rPr>
            </w:pPr>
          </w:p>
        </w:tc>
      </w:tr>
      <w:tr w14:paraId="6458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07FC26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8126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郴州通信发展管理办公室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3F34D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221CB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AD2374B">
            <w:pPr>
              <w:jc w:val="center"/>
              <w:rPr>
                <w:rFonts w:hint="default" w:ascii="Times New Roman" w:hAnsi="Times New Roman" w:cs="Times New Roman"/>
                <w:i w:val="0"/>
                <w:iCs w:val="0"/>
                <w:color w:val="000000"/>
                <w:sz w:val="21"/>
                <w:szCs w:val="21"/>
                <w:highlight w:val="none"/>
                <w:u w:val="none"/>
              </w:rPr>
            </w:pPr>
          </w:p>
        </w:tc>
      </w:tr>
      <w:tr w14:paraId="36215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E88A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28945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郴州市归侨侨眷联合会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DACC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E7E8D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494B957">
            <w:pPr>
              <w:jc w:val="center"/>
              <w:rPr>
                <w:rFonts w:hint="default" w:ascii="Times New Roman" w:hAnsi="Times New Roman" w:cs="Times New Roman"/>
                <w:i w:val="0"/>
                <w:iCs w:val="0"/>
                <w:color w:val="000000"/>
                <w:sz w:val="21"/>
                <w:szCs w:val="21"/>
                <w:highlight w:val="none"/>
                <w:u w:val="none"/>
              </w:rPr>
            </w:pPr>
          </w:p>
        </w:tc>
      </w:tr>
      <w:tr w14:paraId="34F29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AD9B8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061AD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郴州市红十字会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B9FF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C3618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B4BE87B">
            <w:pPr>
              <w:jc w:val="center"/>
              <w:rPr>
                <w:rFonts w:hint="default" w:ascii="Times New Roman" w:hAnsi="Times New Roman" w:cs="Times New Roman"/>
                <w:i w:val="0"/>
                <w:iCs w:val="0"/>
                <w:color w:val="000000"/>
                <w:sz w:val="21"/>
                <w:szCs w:val="21"/>
                <w:highlight w:val="none"/>
                <w:u w:val="none"/>
              </w:rPr>
            </w:pPr>
          </w:p>
        </w:tc>
      </w:tr>
      <w:tr w14:paraId="1105E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BEC1D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7F823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郴州市社会科学界联合会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85F2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0781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0217C87">
            <w:pPr>
              <w:jc w:val="center"/>
              <w:rPr>
                <w:rFonts w:hint="default" w:ascii="Times New Roman" w:hAnsi="Times New Roman" w:cs="Times New Roman"/>
                <w:i w:val="0"/>
                <w:iCs w:val="0"/>
                <w:color w:val="000000"/>
                <w:sz w:val="21"/>
                <w:szCs w:val="21"/>
                <w:highlight w:val="none"/>
                <w:u w:val="none"/>
              </w:rPr>
            </w:pPr>
          </w:p>
        </w:tc>
      </w:tr>
      <w:tr w14:paraId="7F3CE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D2334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ADAE2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郴州市文学艺术界联合会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8B4FB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DDE3E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2598A0B">
            <w:pPr>
              <w:jc w:val="center"/>
              <w:rPr>
                <w:rFonts w:hint="default" w:ascii="Times New Roman" w:hAnsi="Times New Roman" w:cs="Times New Roman"/>
                <w:i w:val="0"/>
                <w:iCs w:val="0"/>
                <w:color w:val="000000"/>
                <w:sz w:val="21"/>
                <w:szCs w:val="21"/>
                <w:highlight w:val="none"/>
                <w:u w:val="none"/>
              </w:rPr>
            </w:pPr>
          </w:p>
        </w:tc>
      </w:tr>
      <w:tr w14:paraId="5E2F2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C675B9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AE1D3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驻市人民检察院纪检监察组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685A4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F8E9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6947A04">
            <w:pPr>
              <w:jc w:val="center"/>
              <w:rPr>
                <w:rFonts w:hint="default" w:ascii="Times New Roman" w:hAnsi="Times New Roman" w:cs="Times New Roman"/>
                <w:i w:val="0"/>
                <w:iCs w:val="0"/>
                <w:color w:val="000000"/>
                <w:sz w:val="21"/>
                <w:szCs w:val="21"/>
                <w:highlight w:val="none"/>
                <w:u w:val="none"/>
              </w:rPr>
            </w:pPr>
          </w:p>
        </w:tc>
      </w:tr>
      <w:tr w14:paraId="09BA9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2EC8C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DEE92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郴州高新区政务中心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C17A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73722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D0819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6D8A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DF94C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F2818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郴州市电子政务内网管理中心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76B5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C4286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076B71D">
            <w:pPr>
              <w:jc w:val="center"/>
              <w:rPr>
                <w:rFonts w:hint="default" w:ascii="Times New Roman" w:hAnsi="Times New Roman" w:cs="Times New Roman"/>
                <w:i w:val="0"/>
                <w:iCs w:val="0"/>
                <w:color w:val="000000"/>
                <w:sz w:val="21"/>
                <w:szCs w:val="21"/>
                <w:highlight w:val="none"/>
                <w:u w:val="none"/>
              </w:rPr>
            </w:pPr>
          </w:p>
        </w:tc>
      </w:tr>
      <w:tr w14:paraId="34F61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26AED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D7D6F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郴州市地震局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A931A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50F41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5B216C2">
            <w:pPr>
              <w:jc w:val="center"/>
              <w:rPr>
                <w:rFonts w:hint="default" w:ascii="Times New Roman" w:hAnsi="Times New Roman" w:cs="Times New Roman"/>
                <w:i w:val="0"/>
                <w:iCs w:val="0"/>
                <w:color w:val="000000"/>
                <w:sz w:val="21"/>
                <w:szCs w:val="21"/>
                <w:highlight w:val="none"/>
                <w:u w:val="none"/>
              </w:rPr>
            </w:pPr>
          </w:p>
        </w:tc>
      </w:tr>
      <w:tr w14:paraId="368C2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38ECB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8AB27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郴州市道路运输服务中心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67594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276B0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94676FF">
            <w:pPr>
              <w:jc w:val="center"/>
              <w:rPr>
                <w:rFonts w:hint="default" w:ascii="Times New Roman" w:hAnsi="Times New Roman" w:cs="Times New Roman"/>
                <w:i w:val="0"/>
                <w:iCs w:val="0"/>
                <w:color w:val="000000"/>
                <w:sz w:val="21"/>
                <w:szCs w:val="21"/>
                <w:highlight w:val="none"/>
                <w:u w:val="none"/>
              </w:rPr>
            </w:pPr>
          </w:p>
        </w:tc>
      </w:tr>
      <w:tr w14:paraId="22A8E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7EAF7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B728B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郴州市直属机关幼儿园</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FF1F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16AF5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0A18881">
            <w:pPr>
              <w:jc w:val="center"/>
              <w:rPr>
                <w:rFonts w:hint="default" w:ascii="Times New Roman" w:hAnsi="Times New Roman" w:cs="Times New Roman"/>
                <w:i w:val="0"/>
                <w:iCs w:val="0"/>
                <w:color w:val="000000"/>
                <w:sz w:val="21"/>
                <w:szCs w:val="21"/>
                <w:highlight w:val="none"/>
                <w:u w:val="none"/>
              </w:rPr>
            </w:pPr>
          </w:p>
        </w:tc>
      </w:tr>
      <w:tr w14:paraId="4DEA5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CB73E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83417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郴州市公安局编码防伪室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61D24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11D1B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D98DAEA">
            <w:pPr>
              <w:jc w:val="center"/>
              <w:rPr>
                <w:rFonts w:hint="default" w:ascii="Times New Roman" w:hAnsi="Times New Roman" w:cs="Times New Roman"/>
                <w:i w:val="0"/>
                <w:iCs w:val="0"/>
                <w:color w:val="000000"/>
                <w:sz w:val="21"/>
                <w:szCs w:val="21"/>
                <w:highlight w:val="none"/>
                <w:u w:val="none"/>
              </w:rPr>
            </w:pPr>
          </w:p>
        </w:tc>
      </w:tr>
      <w:tr w14:paraId="53120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293D5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BEEB6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4FB00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61E4A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7E823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市委内网中心</w:t>
            </w:r>
          </w:p>
        </w:tc>
      </w:tr>
      <w:tr w14:paraId="2C44C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227B1F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99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DC0B4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郴州市档案馆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70716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769E3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E05D6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飞虹路处</w:t>
            </w:r>
          </w:p>
        </w:tc>
      </w:tr>
      <w:tr w14:paraId="2AD02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475D4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911EA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郴州市信访局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5251E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60069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76F8538">
            <w:pPr>
              <w:jc w:val="center"/>
              <w:rPr>
                <w:rFonts w:hint="default" w:ascii="Times New Roman" w:hAnsi="Times New Roman" w:cs="Times New Roman"/>
                <w:i w:val="0"/>
                <w:iCs w:val="0"/>
                <w:color w:val="000000"/>
                <w:sz w:val="21"/>
                <w:szCs w:val="21"/>
                <w:highlight w:val="none"/>
                <w:u w:val="none"/>
              </w:rPr>
            </w:pPr>
          </w:p>
        </w:tc>
      </w:tr>
      <w:tr w14:paraId="1728D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41921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EE20A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郴州市市场监督管理局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29A2C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0D1F2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10205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中小企业服务中心</w:t>
            </w:r>
          </w:p>
        </w:tc>
      </w:tr>
      <w:tr w14:paraId="393AF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406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9657C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郴州市机关事务管理局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5CBFA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F08D0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0B642C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中山院</w:t>
            </w:r>
          </w:p>
        </w:tc>
      </w:tr>
      <w:tr w14:paraId="70FB2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1DB99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57B40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郴州市广播电视台</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F0007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2CC11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B0A0BEF">
            <w:pPr>
              <w:jc w:val="center"/>
              <w:rPr>
                <w:rFonts w:hint="default" w:ascii="Times New Roman" w:hAnsi="Times New Roman" w:cs="Times New Roman"/>
                <w:i w:val="0"/>
                <w:iCs w:val="0"/>
                <w:color w:val="000000"/>
                <w:sz w:val="21"/>
                <w:szCs w:val="21"/>
                <w:highlight w:val="none"/>
                <w:u w:val="none"/>
              </w:rPr>
            </w:pPr>
          </w:p>
        </w:tc>
      </w:tr>
      <w:tr w14:paraId="2CA28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46536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E925D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九三学社郴州市委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BBBF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86AD3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9812300">
            <w:pPr>
              <w:jc w:val="center"/>
              <w:rPr>
                <w:rFonts w:hint="default" w:ascii="Times New Roman" w:hAnsi="Times New Roman" w:cs="Times New Roman"/>
                <w:i w:val="0"/>
                <w:iCs w:val="0"/>
                <w:color w:val="000000"/>
                <w:sz w:val="21"/>
                <w:szCs w:val="21"/>
                <w:highlight w:val="none"/>
                <w:u w:val="none"/>
              </w:rPr>
            </w:pPr>
          </w:p>
        </w:tc>
      </w:tr>
      <w:tr w14:paraId="4BECA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524A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F3346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团市委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B87F6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84DC7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42A6182">
            <w:pPr>
              <w:jc w:val="center"/>
              <w:rPr>
                <w:rFonts w:hint="default" w:ascii="Times New Roman" w:hAnsi="Times New Roman" w:cs="Times New Roman"/>
                <w:i w:val="0"/>
                <w:iCs w:val="0"/>
                <w:color w:val="000000"/>
                <w:sz w:val="21"/>
                <w:szCs w:val="21"/>
                <w:highlight w:val="none"/>
                <w:u w:val="none"/>
              </w:rPr>
            </w:pPr>
          </w:p>
        </w:tc>
      </w:tr>
      <w:tr w14:paraId="5EAC4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B77DCD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FA8A6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郴州市妇女联合会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24B4F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EB02F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E3FD67E">
            <w:pPr>
              <w:jc w:val="center"/>
              <w:rPr>
                <w:rFonts w:hint="default" w:ascii="Times New Roman" w:hAnsi="Times New Roman" w:cs="Times New Roman"/>
                <w:i w:val="0"/>
                <w:iCs w:val="0"/>
                <w:color w:val="000000"/>
                <w:sz w:val="21"/>
                <w:szCs w:val="21"/>
                <w:highlight w:val="none"/>
                <w:u w:val="none"/>
              </w:rPr>
            </w:pPr>
          </w:p>
        </w:tc>
      </w:tr>
      <w:tr w14:paraId="69D8A2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0087C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24FB7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郴州市总工会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614CF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34B6D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769D771">
            <w:pPr>
              <w:jc w:val="center"/>
              <w:rPr>
                <w:rFonts w:hint="default" w:ascii="Times New Roman" w:hAnsi="Times New Roman" w:cs="Times New Roman"/>
                <w:i w:val="0"/>
                <w:iCs w:val="0"/>
                <w:color w:val="000000"/>
                <w:sz w:val="21"/>
                <w:szCs w:val="21"/>
                <w:highlight w:val="none"/>
                <w:u w:val="none"/>
              </w:rPr>
            </w:pPr>
          </w:p>
        </w:tc>
      </w:tr>
      <w:tr w14:paraId="4A120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43B8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89321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中共郴州市纪律检查委员会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B3B7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02CF8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322D6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留置园区</w:t>
            </w:r>
          </w:p>
        </w:tc>
      </w:tr>
      <w:tr w14:paraId="68EAE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097E6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21DA4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郴州市专用通信局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1CDB9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8C888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477A5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主备电路</w:t>
            </w:r>
          </w:p>
        </w:tc>
      </w:tr>
      <w:tr w14:paraId="7980F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DBB25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B2F6E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民主促进会郴州市委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E5F64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3DED0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8C11D92">
            <w:pPr>
              <w:jc w:val="center"/>
              <w:rPr>
                <w:rFonts w:hint="default" w:ascii="Times New Roman" w:hAnsi="Times New Roman" w:cs="Times New Roman"/>
                <w:i w:val="0"/>
                <w:iCs w:val="0"/>
                <w:color w:val="000000"/>
                <w:sz w:val="21"/>
                <w:szCs w:val="21"/>
                <w:highlight w:val="none"/>
                <w:u w:val="none"/>
              </w:rPr>
            </w:pPr>
          </w:p>
        </w:tc>
      </w:tr>
      <w:tr w14:paraId="6A85A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4B35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551752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卫生健康信息中心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5F2C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A5514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472F9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残联办公大楼</w:t>
            </w:r>
          </w:p>
        </w:tc>
      </w:tr>
      <w:tr w14:paraId="065D9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EA8A30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0709E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郴州市文化馆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38D4D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A54DC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59C10A8">
            <w:pPr>
              <w:jc w:val="center"/>
              <w:rPr>
                <w:rFonts w:hint="default" w:ascii="Times New Roman" w:hAnsi="Times New Roman" w:cs="Times New Roman"/>
                <w:i w:val="0"/>
                <w:iCs w:val="0"/>
                <w:color w:val="000000"/>
                <w:sz w:val="21"/>
                <w:szCs w:val="21"/>
                <w:highlight w:val="none"/>
                <w:u w:val="none"/>
              </w:rPr>
            </w:pPr>
          </w:p>
        </w:tc>
      </w:tr>
      <w:tr w14:paraId="7B7114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EB9AF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2EF19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中共郴州市委社会工作部</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7D03B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73DFC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E1D5CF5">
            <w:pPr>
              <w:jc w:val="center"/>
              <w:rPr>
                <w:rFonts w:hint="default" w:ascii="Times New Roman" w:hAnsi="Times New Roman" w:cs="Times New Roman"/>
                <w:i w:val="0"/>
                <w:iCs w:val="0"/>
                <w:color w:val="000000"/>
                <w:sz w:val="21"/>
                <w:szCs w:val="21"/>
                <w:highlight w:val="none"/>
                <w:u w:val="none"/>
              </w:rPr>
            </w:pPr>
          </w:p>
        </w:tc>
      </w:tr>
      <w:tr w14:paraId="4FB0F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8B4AA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10DF1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郴州市第一人民医院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19702D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BACDE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5FD1AA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综合楼</w:t>
            </w:r>
          </w:p>
        </w:tc>
      </w:tr>
      <w:tr w14:paraId="10136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A16C5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C40D2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郴州市交通运输局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531F4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657EB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D5968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综合执法支队</w:t>
            </w:r>
          </w:p>
        </w:tc>
      </w:tr>
      <w:tr w14:paraId="7C6A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C221D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FBB8B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郴州市烟草办（市农业局四楼）</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50EB1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731A0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08DE0D9">
            <w:pPr>
              <w:jc w:val="center"/>
              <w:rPr>
                <w:rFonts w:hint="default" w:ascii="Times New Roman" w:hAnsi="Times New Roman" w:cs="Times New Roman"/>
                <w:i w:val="0"/>
                <w:iCs w:val="0"/>
                <w:color w:val="000000"/>
                <w:sz w:val="21"/>
                <w:szCs w:val="21"/>
                <w:highlight w:val="none"/>
                <w:u w:val="none"/>
              </w:rPr>
            </w:pPr>
          </w:p>
        </w:tc>
      </w:tr>
      <w:tr w14:paraId="7D116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A73A4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A0D6C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郴州市住房保障服务中心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72A4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04A6C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9DF9DDF">
            <w:pPr>
              <w:jc w:val="center"/>
              <w:rPr>
                <w:rFonts w:hint="default" w:ascii="Times New Roman" w:hAnsi="Times New Roman" w:cs="Times New Roman"/>
                <w:i w:val="0"/>
                <w:iCs w:val="0"/>
                <w:color w:val="000000"/>
                <w:sz w:val="21"/>
                <w:szCs w:val="21"/>
                <w:highlight w:val="none"/>
                <w:u w:val="none"/>
              </w:rPr>
            </w:pPr>
          </w:p>
        </w:tc>
      </w:tr>
      <w:tr w14:paraId="526E0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58E71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79C3A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郴州广播电视大学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B3C61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C83702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AB53CDE">
            <w:pPr>
              <w:jc w:val="center"/>
              <w:rPr>
                <w:rFonts w:hint="default" w:ascii="Times New Roman" w:hAnsi="Times New Roman" w:cs="Times New Roman"/>
                <w:i w:val="0"/>
                <w:iCs w:val="0"/>
                <w:color w:val="000000"/>
                <w:sz w:val="21"/>
                <w:szCs w:val="21"/>
                <w:highlight w:val="none"/>
                <w:u w:val="none"/>
              </w:rPr>
            </w:pPr>
          </w:p>
        </w:tc>
      </w:tr>
      <w:tr w14:paraId="16714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7438F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E084A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郴州工业交通学校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C78C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2675B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E4EEE33">
            <w:pPr>
              <w:jc w:val="center"/>
              <w:rPr>
                <w:rFonts w:hint="default" w:ascii="Times New Roman" w:hAnsi="Times New Roman" w:cs="Times New Roman"/>
                <w:i w:val="0"/>
                <w:iCs w:val="0"/>
                <w:color w:val="000000"/>
                <w:sz w:val="21"/>
                <w:szCs w:val="21"/>
                <w:highlight w:val="none"/>
                <w:u w:val="none"/>
              </w:rPr>
            </w:pPr>
          </w:p>
        </w:tc>
      </w:tr>
      <w:tr w14:paraId="016CE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DFA82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F6ACD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郴州理工职业技术学校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9794A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1E8F9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6700B81">
            <w:pPr>
              <w:jc w:val="center"/>
              <w:rPr>
                <w:rFonts w:hint="default" w:ascii="Times New Roman" w:hAnsi="Times New Roman" w:cs="Times New Roman"/>
                <w:i w:val="0"/>
                <w:iCs w:val="0"/>
                <w:color w:val="000000"/>
                <w:sz w:val="21"/>
                <w:szCs w:val="21"/>
                <w:highlight w:val="none"/>
                <w:u w:val="none"/>
              </w:rPr>
            </w:pPr>
          </w:p>
        </w:tc>
      </w:tr>
      <w:tr w14:paraId="2E48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04BE1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79371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郴州市第一中学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EC4DC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99C63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60AC4EA">
            <w:pPr>
              <w:jc w:val="center"/>
              <w:rPr>
                <w:rFonts w:hint="default" w:ascii="Times New Roman" w:hAnsi="Times New Roman" w:cs="Times New Roman"/>
                <w:i w:val="0"/>
                <w:iCs w:val="0"/>
                <w:color w:val="000000"/>
                <w:sz w:val="21"/>
                <w:szCs w:val="21"/>
                <w:highlight w:val="none"/>
                <w:u w:val="none"/>
              </w:rPr>
            </w:pPr>
          </w:p>
        </w:tc>
      </w:tr>
      <w:tr w14:paraId="09E6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B4867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E5367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郴州市第一人民医院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1801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ADEB3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4F9210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信息中心</w:t>
            </w:r>
          </w:p>
        </w:tc>
      </w:tr>
      <w:tr w14:paraId="3BBBB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B46EA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FE0D5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郴州市第二人民医院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D409F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33482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795EF2A">
            <w:pPr>
              <w:jc w:val="center"/>
              <w:rPr>
                <w:rFonts w:hint="default" w:ascii="Times New Roman" w:hAnsi="Times New Roman" w:cs="Times New Roman"/>
                <w:i w:val="0"/>
                <w:iCs w:val="0"/>
                <w:color w:val="000000"/>
                <w:sz w:val="21"/>
                <w:szCs w:val="21"/>
                <w:highlight w:val="none"/>
                <w:u w:val="none"/>
              </w:rPr>
            </w:pPr>
          </w:p>
        </w:tc>
      </w:tr>
      <w:tr w14:paraId="28ED9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21976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63C4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郴州市公共卫生服务中心郴州市妇幼保健院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ED5FE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C925A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099954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新办公楼</w:t>
            </w:r>
          </w:p>
        </w:tc>
      </w:tr>
      <w:tr w14:paraId="2D325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2B280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6EA8D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湖南省昆剧团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F9C2F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1AFE5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3F1F215">
            <w:pPr>
              <w:jc w:val="center"/>
              <w:rPr>
                <w:rFonts w:hint="default" w:ascii="Times New Roman" w:hAnsi="Times New Roman" w:cs="Times New Roman"/>
                <w:i w:val="0"/>
                <w:iCs w:val="0"/>
                <w:color w:val="000000"/>
                <w:sz w:val="21"/>
                <w:szCs w:val="21"/>
                <w:highlight w:val="none"/>
                <w:u w:val="none"/>
              </w:rPr>
            </w:pPr>
          </w:p>
        </w:tc>
      </w:tr>
      <w:tr w14:paraId="055AE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2ABC0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44CDCC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郴州市征地拆迁事务中心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71E2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DC2ED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012DC8C">
            <w:pPr>
              <w:jc w:val="center"/>
              <w:rPr>
                <w:rFonts w:hint="default" w:ascii="Times New Roman" w:hAnsi="Times New Roman" w:cs="Times New Roman"/>
                <w:i w:val="0"/>
                <w:iCs w:val="0"/>
                <w:color w:val="000000"/>
                <w:sz w:val="21"/>
                <w:szCs w:val="21"/>
                <w:highlight w:val="none"/>
                <w:u w:val="none"/>
              </w:rPr>
            </w:pPr>
          </w:p>
        </w:tc>
      </w:tr>
      <w:tr w14:paraId="61048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024BD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40521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郴州市库区移民事务中心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63128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67ABD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58D52DA">
            <w:pPr>
              <w:jc w:val="center"/>
              <w:rPr>
                <w:rFonts w:hint="default" w:ascii="Times New Roman" w:hAnsi="Times New Roman" w:cs="Times New Roman"/>
                <w:i w:val="0"/>
                <w:iCs w:val="0"/>
                <w:color w:val="000000"/>
                <w:sz w:val="21"/>
                <w:szCs w:val="21"/>
                <w:highlight w:val="none"/>
                <w:u w:val="none"/>
              </w:rPr>
            </w:pPr>
          </w:p>
        </w:tc>
      </w:tr>
      <w:tr w14:paraId="150F5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9984C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3D967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郴州市畜牧水产事务中心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618C1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7BA9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2DBD8A4">
            <w:pPr>
              <w:jc w:val="center"/>
              <w:rPr>
                <w:rFonts w:hint="default" w:ascii="Times New Roman" w:hAnsi="Times New Roman" w:cs="Times New Roman"/>
                <w:i w:val="0"/>
                <w:iCs w:val="0"/>
                <w:color w:val="000000"/>
                <w:sz w:val="21"/>
                <w:szCs w:val="21"/>
                <w:highlight w:val="none"/>
                <w:u w:val="none"/>
              </w:rPr>
            </w:pPr>
          </w:p>
        </w:tc>
      </w:tr>
      <w:tr w14:paraId="5C199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4ADCF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79B68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郴州市食品药品检验检测中心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18CDB5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8495F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0733248">
            <w:pPr>
              <w:jc w:val="center"/>
              <w:rPr>
                <w:rFonts w:hint="default" w:ascii="Times New Roman" w:hAnsi="Times New Roman" w:cs="Times New Roman"/>
                <w:i w:val="0"/>
                <w:iCs w:val="0"/>
                <w:color w:val="000000"/>
                <w:sz w:val="21"/>
                <w:szCs w:val="21"/>
                <w:highlight w:val="none"/>
                <w:u w:val="none"/>
              </w:rPr>
            </w:pPr>
          </w:p>
        </w:tc>
      </w:tr>
      <w:tr w14:paraId="3A0DF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D4CC8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F0B2E0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郴州市救助管理站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6DBE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E8807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5553AEF">
            <w:pPr>
              <w:jc w:val="center"/>
              <w:rPr>
                <w:rFonts w:hint="default" w:ascii="Times New Roman" w:hAnsi="Times New Roman" w:cs="Times New Roman"/>
                <w:i w:val="0"/>
                <w:iCs w:val="0"/>
                <w:color w:val="000000"/>
                <w:sz w:val="21"/>
                <w:szCs w:val="21"/>
                <w:highlight w:val="none"/>
                <w:u w:val="none"/>
              </w:rPr>
            </w:pPr>
          </w:p>
        </w:tc>
      </w:tr>
      <w:tr w14:paraId="34377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62E26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4054B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郴州市强制隔离戒毒所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2098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0999E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A2CA903">
            <w:pPr>
              <w:jc w:val="center"/>
              <w:rPr>
                <w:rFonts w:hint="default" w:ascii="Times New Roman" w:hAnsi="Times New Roman" w:cs="Times New Roman"/>
                <w:i w:val="0"/>
                <w:iCs w:val="0"/>
                <w:color w:val="000000"/>
                <w:sz w:val="21"/>
                <w:szCs w:val="21"/>
                <w:highlight w:val="none"/>
                <w:u w:val="none"/>
              </w:rPr>
            </w:pPr>
          </w:p>
        </w:tc>
      </w:tr>
      <w:tr w14:paraId="4AB56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525B7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4F06E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郴州市农村经营服务站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5F190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10EB2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BE58A8B">
            <w:pPr>
              <w:jc w:val="center"/>
              <w:rPr>
                <w:rFonts w:hint="default" w:ascii="Times New Roman" w:hAnsi="Times New Roman" w:cs="Times New Roman"/>
                <w:i w:val="0"/>
                <w:iCs w:val="0"/>
                <w:color w:val="000000"/>
                <w:sz w:val="21"/>
                <w:szCs w:val="21"/>
                <w:highlight w:val="none"/>
                <w:u w:val="none"/>
              </w:rPr>
            </w:pPr>
          </w:p>
        </w:tc>
      </w:tr>
      <w:tr w14:paraId="48A6D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FAD60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89633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郴州市市场服务中心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9946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3591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6376061">
            <w:pPr>
              <w:jc w:val="center"/>
              <w:rPr>
                <w:rFonts w:hint="default" w:ascii="Times New Roman" w:hAnsi="Times New Roman" w:cs="Times New Roman"/>
                <w:i w:val="0"/>
                <w:iCs w:val="0"/>
                <w:color w:val="000000"/>
                <w:sz w:val="21"/>
                <w:szCs w:val="21"/>
                <w:highlight w:val="none"/>
                <w:u w:val="none"/>
              </w:rPr>
            </w:pPr>
          </w:p>
        </w:tc>
      </w:tr>
      <w:tr w14:paraId="69355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915F48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3550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郴州市军队离退休干部休养所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C7383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EEE12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1F14713">
            <w:pPr>
              <w:jc w:val="center"/>
              <w:rPr>
                <w:rFonts w:hint="default" w:ascii="Times New Roman" w:hAnsi="Times New Roman" w:cs="Times New Roman"/>
                <w:i w:val="0"/>
                <w:iCs w:val="0"/>
                <w:color w:val="000000"/>
                <w:sz w:val="21"/>
                <w:szCs w:val="21"/>
                <w:highlight w:val="none"/>
                <w:u w:val="none"/>
              </w:rPr>
            </w:pPr>
          </w:p>
        </w:tc>
      </w:tr>
      <w:tr w14:paraId="7D99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2C781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D26F9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郴州市青山垅灌区水电管理局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1E93B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D8B9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1D9F11F">
            <w:pPr>
              <w:jc w:val="center"/>
              <w:rPr>
                <w:rFonts w:hint="default" w:ascii="Times New Roman" w:hAnsi="Times New Roman" w:cs="Times New Roman"/>
                <w:i w:val="0"/>
                <w:iCs w:val="0"/>
                <w:color w:val="000000"/>
                <w:sz w:val="21"/>
                <w:szCs w:val="21"/>
                <w:highlight w:val="none"/>
                <w:u w:val="none"/>
              </w:rPr>
            </w:pPr>
          </w:p>
        </w:tc>
      </w:tr>
      <w:tr w14:paraId="691FB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AA44E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4B106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郴州市交通建设质量安全监督管理处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835F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FBC6F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40425A1">
            <w:pPr>
              <w:jc w:val="center"/>
              <w:rPr>
                <w:rFonts w:hint="default" w:ascii="Times New Roman" w:hAnsi="Times New Roman" w:cs="Times New Roman"/>
                <w:i w:val="0"/>
                <w:iCs w:val="0"/>
                <w:color w:val="auto"/>
                <w:sz w:val="21"/>
                <w:szCs w:val="21"/>
                <w:highlight w:val="none"/>
                <w:u w:val="none"/>
              </w:rPr>
            </w:pPr>
          </w:p>
        </w:tc>
      </w:tr>
      <w:tr w14:paraId="36D42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48EA9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D445D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郴州市农业农村局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A58E2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6542E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0C93C9D">
            <w:pPr>
              <w:jc w:val="center"/>
              <w:rPr>
                <w:rFonts w:hint="eastAsia" w:ascii="Times New Roman" w:hAnsi="Times New Roman" w:eastAsia="宋体" w:cs="Times New Roman"/>
                <w:i w:val="0"/>
                <w:iCs w:val="0"/>
                <w:color w:val="auto"/>
                <w:sz w:val="21"/>
                <w:szCs w:val="21"/>
                <w:highlight w:val="none"/>
                <w:u w:val="none"/>
                <w:lang w:eastAsia="zh-CN"/>
              </w:rPr>
            </w:pPr>
            <w:r>
              <w:rPr>
                <w:rFonts w:hint="eastAsia" w:cs="Times New Roman"/>
                <w:i w:val="0"/>
                <w:iCs w:val="0"/>
                <w:color w:val="auto"/>
                <w:sz w:val="21"/>
                <w:szCs w:val="21"/>
                <w:highlight w:val="none"/>
                <w:u w:val="none"/>
                <w:lang w:eastAsia="zh-CN"/>
              </w:rPr>
              <w:t>农业农村科</w:t>
            </w:r>
          </w:p>
        </w:tc>
      </w:tr>
      <w:tr w14:paraId="477EB7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2CF16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5017A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市建设工程质量安全监督管理站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1CAD4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0764C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9F6B0AB">
            <w:pPr>
              <w:jc w:val="center"/>
              <w:rPr>
                <w:rFonts w:hint="default" w:ascii="Times New Roman" w:hAnsi="Times New Roman" w:cs="Times New Roman"/>
                <w:i w:val="0"/>
                <w:iCs w:val="0"/>
                <w:color w:val="auto"/>
                <w:sz w:val="21"/>
                <w:szCs w:val="21"/>
                <w:highlight w:val="none"/>
                <w:u w:val="none"/>
              </w:rPr>
            </w:pPr>
          </w:p>
        </w:tc>
      </w:tr>
      <w:tr w14:paraId="50893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AAAED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139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C57F7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苏仙岭－万华岩风景名胜区管理处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31D4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12B4C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AE18354">
            <w:pPr>
              <w:jc w:val="center"/>
              <w:rPr>
                <w:rFonts w:hint="default" w:ascii="Times New Roman" w:hAnsi="Times New Roman" w:cs="Times New Roman"/>
                <w:i w:val="0"/>
                <w:iCs w:val="0"/>
                <w:color w:val="000000"/>
                <w:sz w:val="21"/>
                <w:szCs w:val="21"/>
                <w:highlight w:val="none"/>
                <w:u w:val="none"/>
              </w:rPr>
            </w:pPr>
          </w:p>
        </w:tc>
      </w:tr>
      <w:tr w14:paraId="0BCE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4E493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95DD0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郴州市环境卫生服务中心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006D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0BE31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1F0E599">
            <w:pPr>
              <w:jc w:val="center"/>
              <w:rPr>
                <w:rFonts w:hint="default" w:ascii="Times New Roman" w:hAnsi="Times New Roman" w:cs="Times New Roman"/>
                <w:i w:val="0"/>
                <w:iCs w:val="0"/>
                <w:color w:val="000000"/>
                <w:sz w:val="21"/>
                <w:szCs w:val="21"/>
                <w:highlight w:val="none"/>
                <w:u w:val="none"/>
              </w:rPr>
            </w:pPr>
          </w:p>
        </w:tc>
      </w:tr>
      <w:tr w14:paraId="5AC27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7ED2C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D9D8A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市卫生计生综合监督执法局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32AD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F3D72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F5B42BA">
            <w:pPr>
              <w:jc w:val="center"/>
              <w:rPr>
                <w:rFonts w:hint="default" w:ascii="Times New Roman" w:hAnsi="Times New Roman" w:cs="Times New Roman"/>
                <w:i w:val="0"/>
                <w:iCs w:val="0"/>
                <w:color w:val="000000"/>
                <w:sz w:val="21"/>
                <w:szCs w:val="21"/>
                <w:highlight w:val="none"/>
                <w:u w:val="none"/>
              </w:rPr>
            </w:pPr>
          </w:p>
        </w:tc>
      </w:tr>
      <w:tr w14:paraId="6054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085AD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19B9D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郴州市供销合作联社</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B0B7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BB52E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E17B089">
            <w:pPr>
              <w:jc w:val="center"/>
              <w:rPr>
                <w:rFonts w:hint="default" w:ascii="Times New Roman" w:hAnsi="Times New Roman" w:cs="Times New Roman"/>
                <w:i w:val="0"/>
                <w:iCs w:val="0"/>
                <w:color w:val="000000"/>
                <w:sz w:val="21"/>
                <w:szCs w:val="21"/>
                <w:highlight w:val="none"/>
                <w:u w:val="none"/>
              </w:rPr>
            </w:pPr>
          </w:p>
        </w:tc>
      </w:tr>
      <w:tr w14:paraId="6C933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B0A4C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3480E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郴州职业技术学院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556B8E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FF9B0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473C2B1">
            <w:pPr>
              <w:jc w:val="center"/>
              <w:rPr>
                <w:rFonts w:hint="default" w:ascii="Times New Roman" w:hAnsi="Times New Roman" w:cs="Times New Roman"/>
                <w:i w:val="0"/>
                <w:iCs w:val="0"/>
                <w:color w:val="000000"/>
                <w:sz w:val="21"/>
                <w:szCs w:val="21"/>
                <w:highlight w:val="none"/>
                <w:u w:val="none"/>
              </w:rPr>
            </w:pPr>
          </w:p>
        </w:tc>
      </w:tr>
      <w:tr w14:paraId="3C85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5FABA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DC688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农工民主党郴州市委会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779C1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15FBC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5DF00C1">
            <w:pPr>
              <w:jc w:val="center"/>
              <w:rPr>
                <w:rFonts w:hint="default" w:ascii="Times New Roman" w:hAnsi="Times New Roman" w:cs="Times New Roman"/>
                <w:i w:val="0"/>
                <w:iCs w:val="0"/>
                <w:color w:val="000000"/>
                <w:sz w:val="21"/>
                <w:szCs w:val="21"/>
                <w:highlight w:val="none"/>
                <w:u w:val="none"/>
              </w:rPr>
            </w:pPr>
          </w:p>
        </w:tc>
      </w:tr>
      <w:tr w14:paraId="3C091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E09CE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10709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郴州市残疾人联合会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B9BC0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C6A20B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BF2B674">
            <w:pPr>
              <w:jc w:val="center"/>
              <w:rPr>
                <w:rFonts w:hint="default" w:ascii="Times New Roman" w:hAnsi="Times New Roman" w:cs="Times New Roman"/>
                <w:i w:val="0"/>
                <w:iCs w:val="0"/>
                <w:color w:val="000000"/>
                <w:sz w:val="21"/>
                <w:szCs w:val="21"/>
                <w:highlight w:val="none"/>
                <w:u w:val="none"/>
              </w:rPr>
            </w:pPr>
          </w:p>
        </w:tc>
      </w:tr>
      <w:tr w14:paraId="4FF36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1F92F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146C1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郴州市贸促会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72E0C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45D0C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6C50B3D">
            <w:pPr>
              <w:jc w:val="center"/>
              <w:rPr>
                <w:rFonts w:hint="default" w:ascii="Times New Roman" w:hAnsi="Times New Roman" w:cs="Times New Roman"/>
                <w:i w:val="0"/>
                <w:iCs w:val="0"/>
                <w:color w:val="000000"/>
                <w:sz w:val="21"/>
                <w:szCs w:val="21"/>
                <w:highlight w:val="none"/>
                <w:u w:val="none"/>
              </w:rPr>
            </w:pPr>
          </w:p>
        </w:tc>
      </w:tr>
      <w:tr w14:paraId="23F6A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5CB19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76183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市直纪检监察工委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827C0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03099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1C5CF9E">
            <w:pPr>
              <w:jc w:val="center"/>
              <w:rPr>
                <w:rFonts w:hint="default" w:ascii="Times New Roman" w:hAnsi="Times New Roman" w:cs="Times New Roman"/>
                <w:i w:val="0"/>
                <w:iCs w:val="0"/>
                <w:color w:val="000000"/>
                <w:sz w:val="21"/>
                <w:szCs w:val="21"/>
                <w:highlight w:val="none"/>
                <w:u w:val="none"/>
              </w:rPr>
            </w:pPr>
          </w:p>
        </w:tc>
      </w:tr>
      <w:tr w14:paraId="706C8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C9F57A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6D6C9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郴州市人民政府办公室督察室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51D35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0FA29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C9480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日常办公使用</w:t>
            </w:r>
          </w:p>
        </w:tc>
      </w:tr>
      <w:tr w14:paraId="4E006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F78B1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F9CFF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扶贫办会议室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FD7EEE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4202C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EF939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农业局四楼</w:t>
            </w:r>
          </w:p>
        </w:tc>
      </w:tr>
      <w:tr w14:paraId="2915D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8CD38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AF41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郴州市烟草工作办公室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1F8E6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8D10D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379D4DD">
            <w:pPr>
              <w:jc w:val="center"/>
              <w:rPr>
                <w:rFonts w:hint="default" w:ascii="Times New Roman" w:hAnsi="Times New Roman" w:cs="Times New Roman"/>
                <w:i w:val="0"/>
                <w:iCs w:val="0"/>
                <w:color w:val="000000"/>
                <w:sz w:val="21"/>
                <w:szCs w:val="21"/>
                <w:highlight w:val="none"/>
                <w:u w:val="none"/>
              </w:rPr>
            </w:pPr>
          </w:p>
        </w:tc>
      </w:tr>
      <w:tr w14:paraId="4246B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2439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1CADB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市慈善总会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72F17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F8D8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22F888E">
            <w:pPr>
              <w:jc w:val="center"/>
              <w:rPr>
                <w:rFonts w:hint="default" w:ascii="Times New Roman" w:hAnsi="Times New Roman" w:cs="Times New Roman"/>
                <w:i w:val="0"/>
                <w:iCs w:val="0"/>
                <w:color w:val="000000"/>
                <w:sz w:val="21"/>
                <w:szCs w:val="21"/>
                <w:highlight w:val="none"/>
                <w:u w:val="none"/>
              </w:rPr>
            </w:pPr>
          </w:p>
        </w:tc>
      </w:tr>
      <w:tr w14:paraId="7C201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72E89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D9284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郴州市投资促进事务中心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2B091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9A770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16264D0">
            <w:pPr>
              <w:jc w:val="center"/>
              <w:rPr>
                <w:rFonts w:hint="default" w:ascii="Times New Roman" w:hAnsi="Times New Roman" w:cs="Times New Roman"/>
                <w:i w:val="0"/>
                <w:iCs w:val="0"/>
                <w:color w:val="000000"/>
                <w:sz w:val="21"/>
                <w:szCs w:val="21"/>
                <w:highlight w:val="none"/>
                <w:u w:val="none"/>
              </w:rPr>
            </w:pPr>
          </w:p>
        </w:tc>
      </w:tr>
      <w:tr w14:paraId="36BF4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54FC7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CB76A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郴州市治超办公室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250F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61384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FFC0E51">
            <w:pPr>
              <w:jc w:val="center"/>
              <w:rPr>
                <w:rFonts w:hint="default" w:ascii="Times New Roman" w:hAnsi="Times New Roman" w:cs="Times New Roman"/>
                <w:i w:val="0"/>
                <w:iCs w:val="0"/>
                <w:color w:val="000000"/>
                <w:sz w:val="21"/>
                <w:szCs w:val="21"/>
                <w:highlight w:val="none"/>
                <w:u w:val="none"/>
              </w:rPr>
            </w:pPr>
          </w:p>
        </w:tc>
      </w:tr>
      <w:tr w14:paraId="367F0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504E3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5BCFA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郴州市地方志办公室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4C7087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8875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2560C20">
            <w:pPr>
              <w:jc w:val="center"/>
              <w:rPr>
                <w:rFonts w:hint="default" w:ascii="Times New Roman" w:hAnsi="Times New Roman" w:cs="Times New Roman"/>
                <w:i w:val="0"/>
                <w:iCs w:val="0"/>
                <w:color w:val="000000"/>
                <w:sz w:val="21"/>
                <w:szCs w:val="21"/>
                <w:highlight w:val="none"/>
                <w:u w:val="none"/>
              </w:rPr>
            </w:pPr>
          </w:p>
        </w:tc>
      </w:tr>
      <w:tr w14:paraId="65A4F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93D40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3D6131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中国国际贸易促进委员会郴州支会</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2C872C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5F7D6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953D10D">
            <w:pPr>
              <w:jc w:val="center"/>
              <w:rPr>
                <w:rFonts w:hint="default" w:ascii="Times New Roman" w:hAnsi="Times New Roman" w:cs="Times New Roman"/>
                <w:i w:val="0"/>
                <w:iCs w:val="0"/>
                <w:color w:val="000000"/>
                <w:sz w:val="21"/>
                <w:szCs w:val="21"/>
                <w:highlight w:val="none"/>
                <w:u w:val="none"/>
              </w:rPr>
            </w:pPr>
          </w:p>
        </w:tc>
      </w:tr>
      <w:tr w14:paraId="3C7D9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6DA44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64E10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郴州市特殊教育中心学校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F550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BC42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53D86FF">
            <w:pPr>
              <w:jc w:val="center"/>
              <w:rPr>
                <w:rFonts w:hint="default" w:ascii="Times New Roman" w:hAnsi="Times New Roman" w:cs="Times New Roman"/>
                <w:i w:val="0"/>
                <w:iCs w:val="0"/>
                <w:color w:val="000000"/>
                <w:sz w:val="21"/>
                <w:szCs w:val="21"/>
                <w:highlight w:val="none"/>
                <w:u w:val="none"/>
              </w:rPr>
            </w:pPr>
          </w:p>
        </w:tc>
      </w:tr>
      <w:tr w14:paraId="0C97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21AE2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19E25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郴州市体育学校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F64F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226E3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C408752">
            <w:pPr>
              <w:jc w:val="center"/>
              <w:rPr>
                <w:rFonts w:hint="default" w:ascii="Times New Roman" w:hAnsi="Times New Roman" w:cs="Times New Roman"/>
                <w:i w:val="0"/>
                <w:iCs w:val="0"/>
                <w:color w:val="000000"/>
                <w:sz w:val="21"/>
                <w:szCs w:val="21"/>
                <w:highlight w:val="none"/>
                <w:u w:val="none"/>
              </w:rPr>
            </w:pPr>
          </w:p>
        </w:tc>
      </w:tr>
      <w:tr w14:paraId="31832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21EC4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5D54B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郴州市第六中学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8508E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16C9A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6D32E02">
            <w:pPr>
              <w:jc w:val="center"/>
              <w:rPr>
                <w:rFonts w:hint="default" w:ascii="Times New Roman" w:hAnsi="Times New Roman" w:cs="Times New Roman"/>
                <w:i w:val="0"/>
                <w:iCs w:val="0"/>
                <w:color w:val="000000"/>
                <w:sz w:val="21"/>
                <w:szCs w:val="21"/>
                <w:highlight w:val="none"/>
                <w:u w:val="none"/>
              </w:rPr>
            </w:pPr>
          </w:p>
        </w:tc>
      </w:tr>
      <w:tr w14:paraId="13AB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34F09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F7DDB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郴州市第十五中学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69E83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A401A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DA5FCC5">
            <w:pPr>
              <w:jc w:val="center"/>
              <w:rPr>
                <w:rFonts w:hint="default" w:ascii="Times New Roman" w:hAnsi="Times New Roman" w:cs="Times New Roman"/>
                <w:i w:val="0"/>
                <w:iCs w:val="0"/>
                <w:color w:val="000000"/>
                <w:sz w:val="21"/>
                <w:szCs w:val="21"/>
                <w:highlight w:val="none"/>
                <w:u w:val="none"/>
              </w:rPr>
            </w:pPr>
          </w:p>
        </w:tc>
      </w:tr>
      <w:tr w14:paraId="09926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14515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C18B6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郴州市一中北校区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F53F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418E7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5A33F66">
            <w:pPr>
              <w:jc w:val="center"/>
              <w:rPr>
                <w:rFonts w:hint="default" w:ascii="Times New Roman" w:hAnsi="Times New Roman" w:cs="Times New Roman"/>
                <w:i w:val="0"/>
                <w:iCs w:val="0"/>
                <w:color w:val="000000"/>
                <w:sz w:val="21"/>
                <w:szCs w:val="21"/>
                <w:highlight w:val="none"/>
                <w:u w:val="none"/>
              </w:rPr>
            </w:pPr>
          </w:p>
        </w:tc>
      </w:tr>
      <w:tr w14:paraId="06109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9913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BC638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湘南学院附属小学</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CC32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AEF4BB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8F049D5">
            <w:pPr>
              <w:jc w:val="center"/>
              <w:rPr>
                <w:rFonts w:hint="default" w:ascii="Times New Roman" w:hAnsi="Times New Roman" w:cs="Times New Roman"/>
                <w:i w:val="0"/>
                <w:iCs w:val="0"/>
                <w:color w:val="000000"/>
                <w:sz w:val="21"/>
                <w:szCs w:val="21"/>
                <w:highlight w:val="none"/>
                <w:u w:val="none"/>
              </w:rPr>
            </w:pPr>
          </w:p>
        </w:tc>
      </w:tr>
      <w:tr w14:paraId="09085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FE470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257B49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驻市委办纪检监察组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9B0B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CE442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CF1C271">
            <w:pPr>
              <w:jc w:val="center"/>
              <w:rPr>
                <w:rFonts w:hint="default" w:ascii="Times New Roman" w:hAnsi="Times New Roman" w:cs="Times New Roman"/>
                <w:i w:val="0"/>
                <w:iCs w:val="0"/>
                <w:color w:val="000000"/>
                <w:sz w:val="21"/>
                <w:szCs w:val="21"/>
                <w:highlight w:val="none"/>
                <w:u w:val="none"/>
              </w:rPr>
            </w:pPr>
          </w:p>
        </w:tc>
      </w:tr>
      <w:tr w14:paraId="78232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BBD5A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405F1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驻市宣传部纪检监察组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5A1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0E650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3ED7C29">
            <w:pPr>
              <w:jc w:val="center"/>
              <w:rPr>
                <w:rFonts w:hint="default" w:ascii="Times New Roman" w:hAnsi="Times New Roman" w:cs="Times New Roman"/>
                <w:i w:val="0"/>
                <w:iCs w:val="0"/>
                <w:color w:val="000000"/>
                <w:sz w:val="21"/>
                <w:szCs w:val="21"/>
                <w:highlight w:val="none"/>
                <w:u w:val="none"/>
              </w:rPr>
            </w:pPr>
          </w:p>
        </w:tc>
      </w:tr>
      <w:tr w14:paraId="2EBAC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77F22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1D780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驻市统战部纪检监察组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D5CA6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5835F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B430145">
            <w:pPr>
              <w:jc w:val="center"/>
              <w:rPr>
                <w:rFonts w:hint="default" w:ascii="Times New Roman" w:hAnsi="Times New Roman" w:cs="Times New Roman"/>
                <w:i w:val="0"/>
                <w:iCs w:val="0"/>
                <w:color w:val="000000"/>
                <w:sz w:val="21"/>
                <w:szCs w:val="21"/>
                <w:highlight w:val="none"/>
                <w:u w:val="none"/>
              </w:rPr>
            </w:pPr>
          </w:p>
        </w:tc>
      </w:tr>
      <w:tr w14:paraId="0EB7A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2CA44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879679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驻市委组织部纪检监察组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11EB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69A3B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F511BD3">
            <w:pPr>
              <w:jc w:val="center"/>
              <w:rPr>
                <w:rFonts w:hint="default" w:ascii="Times New Roman" w:hAnsi="Times New Roman" w:cs="Times New Roman"/>
                <w:i w:val="0"/>
                <w:iCs w:val="0"/>
                <w:color w:val="000000"/>
                <w:sz w:val="21"/>
                <w:szCs w:val="21"/>
                <w:highlight w:val="none"/>
                <w:u w:val="none"/>
              </w:rPr>
            </w:pPr>
          </w:p>
        </w:tc>
      </w:tr>
      <w:tr w14:paraId="48C1D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6AD56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E1079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驻市委政法委纪检监察组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BB06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BB468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CC66415">
            <w:pPr>
              <w:jc w:val="center"/>
              <w:rPr>
                <w:rFonts w:hint="default" w:ascii="Times New Roman" w:hAnsi="Times New Roman" w:cs="Times New Roman"/>
                <w:i w:val="0"/>
                <w:iCs w:val="0"/>
                <w:color w:val="000000"/>
                <w:sz w:val="21"/>
                <w:szCs w:val="21"/>
                <w:highlight w:val="none"/>
                <w:u w:val="none"/>
              </w:rPr>
            </w:pPr>
          </w:p>
        </w:tc>
      </w:tr>
      <w:tr w14:paraId="452D9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6FAFC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367D4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驻市人大机关纪检监察组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EF63D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4AD36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FF7116A">
            <w:pPr>
              <w:jc w:val="center"/>
              <w:rPr>
                <w:rFonts w:hint="default" w:ascii="Times New Roman" w:hAnsi="Times New Roman" w:cs="Times New Roman"/>
                <w:i w:val="0"/>
                <w:iCs w:val="0"/>
                <w:color w:val="000000"/>
                <w:sz w:val="21"/>
                <w:szCs w:val="21"/>
                <w:highlight w:val="none"/>
                <w:u w:val="none"/>
              </w:rPr>
            </w:pPr>
          </w:p>
        </w:tc>
      </w:tr>
      <w:tr w14:paraId="0F755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20B61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9A6A9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驻市政协机关纪检监察组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1F2F0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66DAE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37211BE">
            <w:pPr>
              <w:jc w:val="center"/>
              <w:rPr>
                <w:rFonts w:hint="default" w:ascii="Times New Roman" w:hAnsi="Times New Roman" w:cs="Times New Roman"/>
                <w:i w:val="0"/>
                <w:iCs w:val="0"/>
                <w:color w:val="000000"/>
                <w:sz w:val="21"/>
                <w:szCs w:val="21"/>
                <w:highlight w:val="none"/>
                <w:u w:val="none"/>
              </w:rPr>
            </w:pPr>
          </w:p>
        </w:tc>
      </w:tr>
      <w:tr w14:paraId="766A4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801AB0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6FF5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驻市司法局纪检监察组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C3D3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F3D43E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D624A08">
            <w:pPr>
              <w:jc w:val="center"/>
              <w:rPr>
                <w:rFonts w:hint="default" w:ascii="Times New Roman" w:hAnsi="Times New Roman" w:cs="Times New Roman"/>
                <w:i w:val="0"/>
                <w:iCs w:val="0"/>
                <w:color w:val="000000"/>
                <w:sz w:val="21"/>
                <w:szCs w:val="21"/>
                <w:highlight w:val="none"/>
                <w:u w:val="none"/>
              </w:rPr>
            </w:pPr>
          </w:p>
        </w:tc>
      </w:tr>
      <w:tr w14:paraId="56C77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CC336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96CEF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驻市财政局纪检监察组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97018A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EF6C0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3B2074A">
            <w:pPr>
              <w:jc w:val="center"/>
              <w:rPr>
                <w:rFonts w:hint="default" w:ascii="Times New Roman" w:hAnsi="Times New Roman" w:cs="Times New Roman"/>
                <w:i w:val="0"/>
                <w:iCs w:val="0"/>
                <w:color w:val="000000"/>
                <w:sz w:val="21"/>
                <w:szCs w:val="21"/>
                <w:highlight w:val="none"/>
                <w:u w:val="none"/>
              </w:rPr>
            </w:pPr>
          </w:p>
        </w:tc>
      </w:tr>
      <w:tr w14:paraId="3CF76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0FF5A1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D3199F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驻市住房和城乡建设局纪检监察组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0907A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E3FFB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7675718">
            <w:pPr>
              <w:jc w:val="center"/>
              <w:rPr>
                <w:rFonts w:hint="default" w:ascii="Times New Roman" w:hAnsi="Times New Roman" w:cs="Times New Roman"/>
                <w:i w:val="0"/>
                <w:iCs w:val="0"/>
                <w:color w:val="000000"/>
                <w:sz w:val="21"/>
                <w:szCs w:val="21"/>
                <w:highlight w:val="none"/>
                <w:u w:val="none"/>
              </w:rPr>
            </w:pPr>
          </w:p>
        </w:tc>
      </w:tr>
      <w:tr w14:paraId="5B8FA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9DDC8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8579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驻市农业农村局纪检监察组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330C1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F2DB9D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526F47F">
            <w:pPr>
              <w:jc w:val="center"/>
              <w:rPr>
                <w:rFonts w:hint="default" w:ascii="Times New Roman" w:hAnsi="Times New Roman" w:cs="Times New Roman"/>
                <w:i w:val="0"/>
                <w:iCs w:val="0"/>
                <w:color w:val="000000"/>
                <w:sz w:val="21"/>
                <w:szCs w:val="21"/>
                <w:highlight w:val="none"/>
                <w:u w:val="none"/>
              </w:rPr>
            </w:pPr>
          </w:p>
        </w:tc>
      </w:tr>
      <w:tr w14:paraId="203A9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6296F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172EF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驻市生态环境局纪检监察组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AB1C6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BDDD6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B00970F">
            <w:pPr>
              <w:jc w:val="center"/>
              <w:rPr>
                <w:rFonts w:hint="default" w:ascii="Times New Roman" w:hAnsi="Times New Roman" w:cs="Times New Roman"/>
                <w:i w:val="0"/>
                <w:iCs w:val="0"/>
                <w:color w:val="000000"/>
                <w:sz w:val="21"/>
                <w:szCs w:val="21"/>
                <w:highlight w:val="none"/>
                <w:u w:val="none"/>
              </w:rPr>
            </w:pPr>
          </w:p>
        </w:tc>
      </w:tr>
      <w:tr w14:paraId="12FD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9E4B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649D5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驻市市场监督管理局纪检监察组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C9314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50A0B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A1CC19F">
            <w:pPr>
              <w:jc w:val="center"/>
              <w:rPr>
                <w:rFonts w:hint="default" w:ascii="Times New Roman" w:hAnsi="Times New Roman" w:cs="Times New Roman"/>
                <w:i w:val="0"/>
                <w:iCs w:val="0"/>
                <w:color w:val="000000"/>
                <w:sz w:val="21"/>
                <w:szCs w:val="21"/>
                <w:highlight w:val="none"/>
                <w:u w:val="none"/>
              </w:rPr>
            </w:pPr>
          </w:p>
        </w:tc>
      </w:tr>
      <w:tr w14:paraId="68E31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A3A66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19092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驻市中级人民法院纪检监察组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76954A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2AD92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6C6DEEF">
            <w:pPr>
              <w:jc w:val="center"/>
              <w:rPr>
                <w:rFonts w:hint="default" w:ascii="Times New Roman" w:hAnsi="Times New Roman" w:cs="Times New Roman"/>
                <w:i w:val="0"/>
                <w:iCs w:val="0"/>
                <w:color w:val="000000"/>
                <w:sz w:val="21"/>
                <w:szCs w:val="21"/>
                <w:highlight w:val="none"/>
                <w:u w:val="none"/>
              </w:rPr>
            </w:pPr>
          </w:p>
        </w:tc>
      </w:tr>
      <w:tr w14:paraId="39E9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10EB9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73057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郴州市应急救援指挥中心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06200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E8496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4978F56">
            <w:pPr>
              <w:jc w:val="center"/>
              <w:rPr>
                <w:rFonts w:hint="default" w:ascii="Times New Roman" w:hAnsi="Times New Roman" w:cs="Times New Roman"/>
                <w:i w:val="0"/>
                <w:iCs w:val="0"/>
                <w:color w:val="000000"/>
                <w:sz w:val="21"/>
                <w:szCs w:val="21"/>
                <w:highlight w:val="none"/>
                <w:u w:val="none"/>
              </w:rPr>
            </w:pPr>
          </w:p>
        </w:tc>
      </w:tr>
      <w:tr w14:paraId="2989E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C3C9A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2DBAA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郴州市市政公用设施维护服务中心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0CE8E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8E96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1C689A5">
            <w:pPr>
              <w:jc w:val="center"/>
              <w:rPr>
                <w:rFonts w:hint="default" w:ascii="Times New Roman" w:hAnsi="Times New Roman" w:cs="Times New Roman"/>
                <w:i w:val="0"/>
                <w:iCs w:val="0"/>
                <w:color w:val="000000"/>
                <w:sz w:val="21"/>
                <w:szCs w:val="21"/>
                <w:highlight w:val="none"/>
                <w:u w:val="none"/>
              </w:rPr>
            </w:pPr>
          </w:p>
        </w:tc>
      </w:tr>
      <w:tr w14:paraId="4834A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678B6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3F051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郴州市财政干部和会计人员培训中心(郴州市财税职工中等专业学校)</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B17F1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79C63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95C4D4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财政局旁边</w:t>
            </w:r>
          </w:p>
        </w:tc>
      </w:tr>
      <w:tr w14:paraId="2DD02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DA219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0C0B8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郴州市中小企业服务中心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E3EA17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61A6D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10D4D15">
            <w:pPr>
              <w:jc w:val="center"/>
              <w:rPr>
                <w:rFonts w:hint="default" w:ascii="Times New Roman" w:hAnsi="Times New Roman" w:cs="Times New Roman"/>
                <w:i w:val="0"/>
                <w:iCs w:val="0"/>
                <w:color w:val="000000"/>
                <w:sz w:val="21"/>
                <w:szCs w:val="21"/>
                <w:highlight w:val="none"/>
                <w:u w:val="none"/>
              </w:rPr>
            </w:pPr>
          </w:p>
        </w:tc>
      </w:tr>
      <w:tr w14:paraId="740F4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F8CA1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F90DFF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郴州市规划设计档案馆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220C8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13E46B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D1A4064">
            <w:pPr>
              <w:jc w:val="center"/>
              <w:rPr>
                <w:rFonts w:hint="default" w:ascii="Times New Roman" w:hAnsi="Times New Roman" w:cs="Times New Roman"/>
                <w:i w:val="0"/>
                <w:iCs w:val="0"/>
                <w:color w:val="000000"/>
                <w:sz w:val="21"/>
                <w:szCs w:val="21"/>
                <w:highlight w:val="none"/>
                <w:u w:val="none"/>
              </w:rPr>
            </w:pPr>
          </w:p>
        </w:tc>
      </w:tr>
      <w:tr w14:paraId="3CDE7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02E75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47C3C6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郴州市质量监督管理所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A2AA5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B543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A126523">
            <w:pPr>
              <w:jc w:val="center"/>
              <w:rPr>
                <w:rFonts w:hint="default" w:ascii="Times New Roman" w:hAnsi="Times New Roman" w:cs="Times New Roman"/>
                <w:i w:val="0"/>
                <w:iCs w:val="0"/>
                <w:color w:val="000000"/>
                <w:sz w:val="21"/>
                <w:szCs w:val="21"/>
                <w:highlight w:val="none"/>
                <w:u w:val="none"/>
              </w:rPr>
            </w:pPr>
          </w:p>
        </w:tc>
      </w:tr>
      <w:tr w14:paraId="4F1F5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BE091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EF53DD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郴州市公安局警官培训中心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6EB7F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D48C6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E514BE7">
            <w:pPr>
              <w:jc w:val="center"/>
              <w:rPr>
                <w:rFonts w:hint="default" w:ascii="Times New Roman" w:hAnsi="Times New Roman" w:cs="Times New Roman"/>
                <w:i w:val="0"/>
                <w:iCs w:val="0"/>
                <w:color w:val="000000"/>
                <w:sz w:val="21"/>
                <w:szCs w:val="21"/>
                <w:highlight w:val="none"/>
                <w:u w:val="none"/>
              </w:rPr>
            </w:pPr>
          </w:p>
        </w:tc>
      </w:tr>
      <w:tr w14:paraId="3CD4E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0ED2E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BDB243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郴州市会展局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44C8F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87EA71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5146CB9">
            <w:pPr>
              <w:jc w:val="center"/>
              <w:rPr>
                <w:rFonts w:hint="default" w:ascii="Times New Roman" w:hAnsi="Times New Roman" w:cs="Times New Roman"/>
                <w:i w:val="0"/>
                <w:iCs w:val="0"/>
                <w:color w:val="000000"/>
                <w:sz w:val="21"/>
                <w:szCs w:val="21"/>
                <w:highlight w:val="none"/>
                <w:u w:val="none"/>
              </w:rPr>
            </w:pPr>
          </w:p>
        </w:tc>
      </w:tr>
      <w:tr w14:paraId="0F649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682DA3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B7D42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郴州电视调频转播台</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9C6F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6D8A8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3FB1D2A">
            <w:pPr>
              <w:jc w:val="center"/>
              <w:rPr>
                <w:rFonts w:hint="default" w:ascii="Times New Roman" w:hAnsi="Times New Roman" w:cs="Times New Roman"/>
                <w:i w:val="0"/>
                <w:iCs w:val="0"/>
                <w:color w:val="000000"/>
                <w:sz w:val="21"/>
                <w:szCs w:val="21"/>
                <w:highlight w:val="none"/>
                <w:u w:val="none"/>
              </w:rPr>
            </w:pPr>
          </w:p>
        </w:tc>
      </w:tr>
      <w:tr w14:paraId="0BCA3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BF0DA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E6D56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郴州市军供站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13AF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C9DB3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516E572">
            <w:pPr>
              <w:jc w:val="center"/>
              <w:rPr>
                <w:rFonts w:hint="default" w:ascii="Times New Roman" w:hAnsi="Times New Roman" w:cs="Times New Roman"/>
                <w:i w:val="0"/>
                <w:iCs w:val="0"/>
                <w:color w:val="000000"/>
                <w:sz w:val="21"/>
                <w:szCs w:val="21"/>
                <w:highlight w:val="none"/>
                <w:u w:val="none"/>
              </w:rPr>
            </w:pPr>
          </w:p>
        </w:tc>
      </w:tr>
      <w:tr w14:paraId="53BD4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ED42A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C75008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交通道路运输管理处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BD55A1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7E7FF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9722007">
            <w:pPr>
              <w:jc w:val="center"/>
              <w:rPr>
                <w:rFonts w:hint="default" w:ascii="Times New Roman" w:hAnsi="Times New Roman" w:cs="Times New Roman"/>
                <w:i w:val="0"/>
                <w:iCs w:val="0"/>
                <w:color w:val="000000"/>
                <w:sz w:val="21"/>
                <w:szCs w:val="21"/>
                <w:highlight w:val="none"/>
                <w:u w:val="none"/>
              </w:rPr>
            </w:pPr>
          </w:p>
        </w:tc>
      </w:tr>
      <w:tr w14:paraId="2214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4C082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1BB94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市公安局监所管理支队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8645F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C78DC1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7DA322">
            <w:pPr>
              <w:jc w:val="center"/>
              <w:rPr>
                <w:rFonts w:hint="default" w:ascii="Times New Roman" w:hAnsi="Times New Roman" w:cs="Times New Roman"/>
                <w:i w:val="0"/>
                <w:iCs w:val="0"/>
                <w:color w:val="000000"/>
                <w:sz w:val="21"/>
                <w:szCs w:val="21"/>
                <w:highlight w:val="none"/>
                <w:u w:val="none"/>
              </w:rPr>
            </w:pPr>
          </w:p>
        </w:tc>
      </w:tr>
      <w:tr w14:paraId="5E029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B587BE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9BD46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郴州市园林处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CAA39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45C788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090792E">
            <w:pPr>
              <w:jc w:val="center"/>
              <w:rPr>
                <w:rFonts w:hint="default" w:ascii="Times New Roman" w:hAnsi="Times New Roman" w:cs="Times New Roman"/>
                <w:i w:val="0"/>
                <w:iCs w:val="0"/>
                <w:color w:val="000000"/>
                <w:sz w:val="21"/>
                <w:szCs w:val="21"/>
                <w:highlight w:val="none"/>
                <w:u w:val="none"/>
              </w:rPr>
            </w:pPr>
          </w:p>
        </w:tc>
      </w:tr>
      <w:tr w14:paraId="491D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EE320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68DFA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郴州市博物馆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F7BD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D5070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7441EED">
            <w:pPr>
              <w:jc w:val="center"/>
              <w:rPr>
                <w:rFonts w:hint="default" w:ascii="Times New Roman" w:hAnsi="Times New Roman" w:cs="Times New Roman"/>
                <w:i w:val="0"/>
                <w:iCs w:val="0"/>
                <w:color w:val="auto"/>
                <w:sz w:val="21"/>
                <w:szCs w:val="21"/>
                <w:highlight w:val="none"/>
                <w:u w:val="none"/>
              </w:rPr>
            </w:pPr>
          </w:p>
        </w:tc>
      </w:tr>
      <w:tr w14:paraId="2A9BB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B9C73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6294C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郴州市计量测试检定</w:t>
            </w:r>
            <w:r>
              <w:rPr>
                <w:rFonts w:hint="eastAsia" w:ascii="宋体" w:hAnsi="宋体" w:cs="宋体"/>
                <w:i w:val="0"/>
                <w:iCs w:val="0"/>
                <w:color w:val="auto"/>
                <w:kern w:val="0"/>
                <w:sz w:val="21"/>
                <w:szCs w:val="21"/>
                <w:highlight w:val="none"/>
                <w:u w:val="none"/>
                <w:lang w:val="en-US" w:eastAsia="zh-CN" w:bidi="ar"/>
              </w:rPr>
              <w:t>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6F74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27278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5A125B8">
            <w:pPr>
              <w:jc w:val="center"/>
              <w:rPr>
                <w:rFonts w:hint="default" w:ascii="Times New Roman" w:hAnsi="Times New Roman" w:cs="Times New Roman"/>
                <w:i w:val="0"/>
                <w:iCs w:val="0"/>
                <w:color w:val="auto"/>
                <w:sz w:val="21"/>
                <w:szCs w:val="21"/>
                <w:highlight w:val="none"/>
                <w:u w:val="none"/>
              </w:rPr>
            </w:pPr>
          </w:p>
        </w:tc>
      </w:tr>
      <w:tr w14:paraId="05032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9C83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004A9E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郴州市城管执法支队燕泉执法中队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F9F6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03E65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1608AF9">
            <w:pPr>
              <w:jc w:val="center"/>
              <w:rPr>
                <w:rFonts w:hint="default" w:ascii="Times New Roman" w:hAnsi="Times New Roman" w:cs="Times New Roman"/>
                <w:i w:val="0"/>
                <w:iCs w:val="0"/>
                <w:color w:val="000000"/>
                <w:sz w:val="21"/>
                <w:szCs w:val="21"/>
                <w:highlight w:val="none"/>
                <w:u w:val="none"/>
              </w:rPr>
            </w:pPr>
          </w:p>
        </w:tc>
      </w:tr>
      <w:tr w14:paraId="25D26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7F3B0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D8E6E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市城管执法支队下湄桥执法中队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E8A43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DA0CE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7CA449F">
            <w:pPr>
              <w:jc w:val="center"/>
              <w:rPr>
                <w:rFonts w:hint="default" w:ascii="Times New Roman" w:hAnsi="Times New Roman" w:cs="Times New Roman"/>
                <w:i w:val="0"/>
                <w:iCs w:val="0"/>
                <w:color w:val="000000"/>
                <w:sz w:val="21"/>
                <w:szCs w:val="21"/>
                <w:highlight w:val="none"/>
                <w:u w:val="none"/>
              </w:rPr>
            </w:pPr>
          </w:p>
        </w:tc>
      </w:tr>
      <w:tr w14:paraId="55B53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C476B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FA0AF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郴州市城管执法支队骆仙执法中队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FBCD5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FB5D1E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CBBEE78">
            <w:pPr>
              <w:jc w:val="center"/>
              <w:rPr>
                <w:rFonts w:hint="default" w:ascii="Times New Roman" w:hAnsi="Times New Roman" w:cs="Times New Roman"/>
                <w:i w:val="0"/>
                <w:iCs w:val="0"/>
                <w:color w:val="000000"/>
                <w:sz w:val="21"/>
                <w:szCs w:val="21"/>
                <w:highlight w:val="none"/>
                <w:u w:val="none"/>
              </w:rPr>
            </w:pPr>
          </w:p>
        </w:tc>
      </w:tr>
      <w:tr w14:paraId="5185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85572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373C9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郴州市城管执法支队增湖执法中队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3DD9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84203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166EB98">
            <w:pPr>
              <w:jc w:val="center"/>
              <w:rPr>
                <w:rFonts w:hint="default" w:ascii="Times New Roman" w:hAnsi="Times New Roman" w:cs="Times New Roman"/>
                <w:i w:val="0"/>
                <w:iCs w:val="0"/>
                <w:color w:val="000000"/>
                <w:sz w:val="21"/>
                <w:szCs w:val="21"/>
                <w:highlight w:val="none"/>
                <w:u w:val="none"/>
              </w:rPr>
            </w:pPr>
          </w:p>
        </w:tc>
      </w:tr>
      <w:tr w14:paraId="3840D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6982CF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09227B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郴州市园林绿化服务中心南塔公园管理所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2DA4E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064C3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1EA8B8C">
            <w:pPr>
              <w:jc w:val="center"/>
              <w:rPr>
                <w:rFonts w:hint="default" w:ascii="Times New Roman" w:hAnsi="Times New Roman" w:cs="Times New Roman"/>
                <w:i w:val="0"/>
                <w:iCs w:val="0"/>
                <w:color w:val="000000"/>
                <w:sz w:val="21"/>
                <w:szCs w:val="21"/>
                <w:highlight w:val="none"/>
                <w:u w:val="none"/>
              </w:rPr>
            </w:pPr>
          </w:p>
        </w:tc>
      </w:tr>
      <w:tr w14:paraId="211CA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9F1F2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15458F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市城管执法支队人民路执法中队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DED809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D5C95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34F1700">
            <w:pPr>
              <w:jc w:val="center"/>
              <w:rPr>
                <w:rFonts w:hint="default" w:ascii="Times New Roman" w:hAnsi="Times New Roman" w:cs="Times New Roman"/>
                <w:i w:val="0"/>
                <w:iCs w:val="0"/>
                <w:color w:val="000000"/>
                <w:sz w:val="21"/>
                <w:szCs w:val="21"/>
                <w:highlight w:val="none"/>
                <w:u w:val="none"/>
              </w:rPr>
            </w:pPr>
          </w:p>
        </w:tc>
      </w:tr>
      <w:tr w14:paraId="0E2C3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FE330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96924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市园林绿化服务中心城市道路绿化队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142D8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0C10E7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1A09204">
            <w:pPr>
              <w:jc w:val="center"/>
              <w:rPr>
                <w:rFonts w:hint="default" w:ascii="Times New Roman" w:hAnsi="Times New Roman" w:cs="Times New Roman"/>
                <w:i w:val="0"/>
                <w:iCs w:val="0"/>
                <w:color w:val="000000"/>
                <w:sz w:val="21"/>
                <w:szCs w:val="21"/>
                <w:highlight w:val="none"/>
                <w:u w:val="none"/>
              </w:rPr>
            </w:pPr>
          </w:p>
        </w:tc>
      </w:tr>
      <w:tr w14:paraId="0526A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C8E44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17434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市园林绿化服务中心北湖公园管理所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FFDD3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C3A98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27769F6">
            <w:pPr>
              <w:jc w:val="center"/>
              <w:rPr>
                <w:rFonts w:hint="default" w:ascii="Times New Roman" w:hAnsi="Times New Roman" w:cs="Times New Roman"/>
                <w:i w:val="0"/>
                <w:iCs w:val="0"/>
                <w:color w:val="000000"/>
                <w:sz w:val="21"/>
                <w:szCs w:val="21"/>
                <w:highlight w:val="none"/>
                <w:u w:val="none"/>
              </w:rPr>
            </w:pPr>
          </w:p>
        </w:tc>
      </w:tr>
      <w:tr w14:paraId="010A4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BA816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C9EDBA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郴州市城管执法支队北湖执法中队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4DB06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80756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7BBE90B">
            <w:pPr>
              <w:jc w:val="center"/>
              <w:rPr>
                <w:rFonts w:hint="default" w:ascii="Times New Roman" w:hAnsi="Times New Roman" w:cs="Times New Roman"/>
                <w:i w:val="0"/>
                <w:iCs w:val="0"/>
                <w:color w:val="000000"/>
                <w:sz w:val="21"/>
                <w:szCs w:val="21"/>
                <w:highlight w:val="none"/>
                <w:u w:val="none"/>
              </w:rPr>
            </w:pPr>
          </w:p>
        </w:tc>
      </w:tr>
      <w:tr w14:paraId="3BC3B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C3BC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3752B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郴州市城管执法支队郴江执法中队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463F0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4249E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C2018B3">
            <w:pPr>
              <w:jc w:val="center"/>
              <w:rPr>
                <w:rFonts w:hint="default" w:ascii="Times New Roman" w:hAnsi="Times New Roman" w:cs="Times New Roman"/>
                <w:i w:val="0"/>
                <w:iCs w:val="0"/>
                <w:color w:val="000000"/>
                <w:sz w:val="21"/>
                <w:szCs w:val="21"/>
                <w:highlight w:val="none"/>
                <w:u w:val="none"/>
              </w:rPr>
            </w:pPr>
          </w:p>
        </w:tc>
      </w:tr>
      <w:tr w14:paraId="5F4AC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00324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6814D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郴州市园林绿化服务中心五岭公园管理所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24900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979339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2A4FE3E">
            <w:pPr>
              <w:jc w:val="center"/>
              <w:rPr>
                <w:rFonts w:hint="default" w:ascii="Times New Roman" w:hAnsi="Times New Roman" w:cs="Times New Roman"/>
                <w:i w:val="0"/>
                <w:iCs w:val="0"/>
                <w:color w:val="000000"/>
                <w:sz w:val="21"/>
                <w:szCs w:val="21"/>
                <w:highlight w:val="none"/>
                <w:u w:val="none"/>
              </w:rPr>
            </w:pPr>
          </w:p>
        </w:tc>
      </w:tr>
      <w:tr w14:paraId="0795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2D4AE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7532B6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郴州市城管执法支队苏仙执法中队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F09B1B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E37E9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CCA1472">
            <w:pPr>
              <w:jc w:val="center"/>
              <w:rPr>
                <w:rFonts w:hint="default" w:ascii="Times New Roman" w:hAnsi="Times New Roman" w:cs="Times New Roman"/>
                <w:i w:val="0"/>
                <w:iCs w:val="0"/>
                <w:color w:val="000000"/>
                <w:sz w:val="21"/>
                <w:szCs w:val="21"/>
                <w:highlight w:val="none"/>
                <w:u w:val="none"/>
              </w:rPr>
            </w:pPr>
          </w:p>
        </w:tc>
      </w:tr>
      <w:tr w14:paraId="5D102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B9BA04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F305D5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郴州市城管执法支队高新区执法中队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1EDC2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2DBF81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22D8257">
            <w:pPr>
              <w:jc w:val="center"/>
              <w:rPr>
                <w:rFonts w:hint="default" w:ascii="Times New Roman" w:hAnsi="Times New Roman" w:cs="Times New Roman"/>
                <w:i w:val="0"/>
                <w:iCs w:val="0"/>
                <w:color w:val="000000"/>
                <w:sz w:val="21"/>
                <w:szCs w:val="21"/>
                <w:highlight w:val="none"/>
                <w:u w:val="none"/>
              </w:rPr>
            </w:pPr>
          </w:p>
        </w:tc>
      </w:tr>
      <w:tr w14:paraId="0EA49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A1B8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349C2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郴州市城管执法支队涌泉执法中队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42680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2A4EDF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ECA8532">
            <w:pPr>
              <w:jc w:val="center"/>
              <w:rPr>
                <w:rFonts w:hint="default" w:ascii="Times New Roman" w:hAnsi="Times New Roman" w:cs="Times New Roman"/>
                <w:i w:val="0"/>
                <w:iCs w:val="0"/>
                <w:color w:val="000000"/>
                <w:sz w:val="21"/>
                <w:szCs w:val="21"/>
                <w:highlight w:val="none"/>
                <w:u w:val="none"/>
              </w:rPr>
            </w:pPr>
          </w:p>
        </w:tc>
      </w:tr>
      <w:tr w14:paraId="5B761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A5823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7F62D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郴州市竹园宾馆二楼会议室二厅</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C5EE3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E4F5BE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C0BAE9D">
            <w:pPr>
              <w:jc w:val="center"/>
              <w:rPr>
                <w:rFonts w:hint="default" w:ascii="Times New Roman" w:hAnsi="Times New Roman" w:cs="Times New Roman"/>
                <w:i w:val="0"/>
                <w:iCs w:val="0"/>
                <w:color w:val="000000"/>
                <w:sz w:val="21"/>
                <w:szCs w:val="21"/>
                <w:highlight w:val="none"/>
                <w:u w:val="none"/>
              </w:rPr>
            </w:pPr>
          </w:p>
        </w:tc>
      </w:tr>
      <w:tr w14:paraId="513D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ADA5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71DE2F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市高新区纪工委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8632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138C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DA0ACDB">
            <w:pPr>
              <w:jc w:val="center"/>
              <w:rPr>
                <w:rFonts w:hint="default" w:ascii="Times New Roman" w:hAnsi="Times New Roman" w:cs="Times New Roman"/>
                <w:i w:val="0"/>
                <w:iCs w:val="0"/>
                <w:color w:val="000000"/>
                <w:sz w:val="21"/>
                <w:szCs w:val="21"/>
                <w:highlight w:val="none"/>
                <w:u w:val="none"/>
              </w:rPr>
            </w:pPr>
          </w:p>
        </w:tc>
      </w:tr>
      <w:tr w14:paraId="19490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A3A078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406A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市经开区纪工委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7C45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E68E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A691EDD">
            <w:pPr>
              <w:jc w:val="center"/>
              <w:rPr>
                <w:rFonts w:hint="default" w:ascii="Times New Roman" w:hAnsi="Times New Roman" w:cs="Times New Roman"/>
                <w:i w:val="0"/>
                <w:iCs w:val="0"/>
                <w:color w:val="000000"/>
                <w:sz w:val="21"/>
                <w:szCs w:val="21"/>
                <w:highlight w:val="none"/>
                <w:u w:val="none"/>
              </w:rPr>
            </w:pPr>
          </w:p>
        </w:tc>
      </w:tr>
      <w:tr w14:paraId="38902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A54BC2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E6782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武警郴州支队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499D0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0FD22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9A212D">
            <w:pPr>
              <w:jc w:val="center"/>
              <w:rPr>
                <w:rFonts w:hint="default" w:ascii="Times New Roman" w:hAnsi="Times New Roman" w:cs="Times New Roman"/>
                <w:i w:val="0"/>
                <w:iCs w:val="0"/>
                <w:color w:val="000000"/>
                <w:sz w:val="21"/>
                <w:szCs w:val="21"/>
                <w:highlight w:val="none"/>
                <w:u w:val="none"/>
              </w:rPr>
            </w:pPr>
          </w:p>
        </w:tc>
      </w:tr>
      <w:tr w14:paraId="2FB0E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8793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4C146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郴州军分区</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865250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62679A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B17A24B">
            <w:pPr>
              <w:jc w:val="center"/>
              <w:rPr>
                <w:rFonts w:hint="default" w:ascii="Times New Roman" w:hAnsi="Times New Roman" w:cs="Times New Roman"/>
                <w:i w:val="0"/>
                <w:iCs w:val="0"/>
                <w:color w:val="000000"/>
                <w:sz w:val="21"/>
                <w:szCs w:val="21"/>
                <w:highlight w:val="none"/>
                <w:u w:val="none"/>
              </w:rPr>
            </w:pPr>
          </w:p>
        </w:tc>
      </w:tr>
      <w:tr w14:paraId="6ACDA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30CAA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10209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郴州市中级人民法院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4B2937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45E27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8484529">
            <w:pPr>
              <w:jc w:val="center"/>
              <w:rPr>
                <w:rFonts w:hint="default" w:ascii="Times New Roman" w:hAnsi="Times New Roman" w:cs="Times New Roman"/>
                <w:i w:val="0"/>
                <w:iCs w:val="0"/>
                <w:color w:val="000000"/>
                <w:sz w:val="21"/>
                <w:szCs w:val="21"/>
                <w:highlight w:val="none"/>
                <w:u w:val="none"/>
              </w:rPr>
            </w:pPr>
          </w:p>
        </w:tc>
      </w:tr>
      <w:tr w14:paraId="0329F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82218C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0E6BB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郴州市人民检察院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EB87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5BF01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3EB1F2A">
            <w:pPr>
              <w:jc w:val="center"/>
              <w:rPr>
                <w:rFonts w:hint="default" w:ascii="Times New Roman" w:hAnsi="Times New Roman" w:cs="Times New Roman"/>
                <w:i w:val="0"/>
                <w:iCs w:val="0"/>
                <w:color w:val="000000"/>
                <w:sz w:val="21"/>
                <w:szCs w:val="21"/>
                <w:highlight w:val="none"/>
                <w:u w:val="none"/>
              </w:rPr>
            </w:pPr>
          </w:p>
        </w:tc>
      </w:tr>
      <w:tr w14:paraId="38964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E37A7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0AA146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郴州市国家安全局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B8568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03E27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09CD2F4">
            <w:pPr>
              <w:jc w:val="center"/>
              <w:rPr>
                <w:rFonts w:hint="default" w:ascii="Times New Roman" w:hAnsi="Times New Roman" w:cs="Times New Roman"/>
                <w:i w:val="0"/>
                <w:iCs w:val="0"/>
                <w:color w:val="000000"/>
                <w:sz w:val="21"/>
                <w:szCs w:val="21"/>
                <w:highlight w:val="none"/>
                <w:u w:val="none"/>
              </w:rPr>
            </w:pPr>
          </w:p>
        </w:tc>
      </w:tr>
      <w:tr w14:paraId="2716B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FE2CB4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3EA93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郴州市烟草专卖局（公司）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104F2B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2536F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331601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烟草专卖局</w:t>
            </w:r>
          </w:p>
        </w:tc>
      </w:tr>
      <w:tr w14:paraId="22B7C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C3BACA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B110E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长沙海关驻郴州办事处</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3797F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8EB6D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EDCA631">
            <w:pPr>
              <w:jc w:val="center"/>
              <w:rPr>
                <w:rFonts w:hint="default" w:ascii="Times New Roman" w:hAnsi="Times New Roman" w:cs="Times New Roman"/>
                <w:i w:val="0"/>
                <w:iCs w:val="0"/>
                <w:color w:val="000000"/>
                <w:sz w:val="21"/>
                <w:szCs w:val="21"/>
                <w:highlight w:val="none"/>
                <w:u w:val="none"/>
              </w:rPr>
            </w:pPr>
          </w:p>
        </w:tc>
      </w:tr>
      <w:tr w14:paraId="618E1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852E04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49315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郴州市公路管理局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54CC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42FE9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2F35B6B">
            <w:pPr>
              <w:jc w:val="center"/>
              <w:rPr>
                <w:rFonts w:hint="default" w:ascii="Times New Roman" w:hAnsi="Times New Roman" w:cs="Times New Roman"/>
                <w:i w:val="0"/>
                <w:iCs w:val="0"/>
                <w:color w:val="000000"/>
                <w:sz w:val="21"/>
                <w:szCs w:val="21"/>
                <w:highlight w:val="none"/>
                <w:u w:val="none"/>
              </w:rPr>
            </w:pPr>
          </w:p>
        </w:tc>
      </w:tr>
      <w:tr w14:paraId="0BE9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31051F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1D2CC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郴州市旅游外事侨务局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3F7E2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B5AF5A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6A1E85B">
            <w:pPr>
              <w:jc w:val="center"/>
              <w:rPr>
                <w:rFonts w:hint="default" w:ascii="Times New Roman" w:hAnsi="Times New Roman" w:cs="Times New Roman"/>
                <w:i w:val="0"/>
                <w:iCs w:val="0"/>
                <w:color w:val="000000"/>
                <w:sz w:val="21"/>
                <w:szCs w:val="21"/>
                <w:highlight w:val="none"/>
                <w:u w:val="none"/>
              </w:rPr>
            </w:pPr>
          </w:p>
        </w:tc>
      </w:tr>
      <w:tr w14:paraId="3890C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52800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34B76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郴州市人民政府老政务服务中心（公汽、燃气便民点）</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53813A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2C14A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20A510D">
            <w:pPr>
              <w:jc w:val="center"/>
              <w:rPr>
                <w:rFonts w:hint="default" w:ascii="Times New Roman" w:hAnsi="Times New Roman" w:cs="Times New Roman"/>
                <w:i w:val="0"/>
                <w:iCs w:val="0"/>
                <w:color w:val="000000"/>
                <w:sz w:val="21"/>
                <w:szCs w:val="21"/>
                <w:highlight w:val="none"/>
                <w:u w:val="none"/>
              </w:rPr>
            </w:pPr>
          </w:p>
        </w:tc>
      </w:tr>
      <w:tr w14:paraId="4E02C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754AD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50365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郴州市地方海事局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0495AD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A99323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686736C">
            <w:pPr>
              <w:jc w:val="center"/>
              <w:rPr>
                <w:rFonts w:hint="default" w:ascii="Times New Roman" w:hAnsi="Times New Roman" w:cs="Times New Roman"/>
                <w:i w:val="0"/>
                <w:iCs w:val="0"/>
                <w:color w:val="000000"/>
                <w:sz w:val="21"/>
                <w:szCs w:val="21"/>
                <w:highlight w:val="none"/>
                <w:u w:val="none"/>
              </w:rPr>
            </w:pPr>
          </w:p>
        </w:tc>
      </w:tr>
      <w:tr w14:paraId="74F46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8585B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853B6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市陆军预备役工兵团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99D95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CF74F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D2106F4">
            <w:pPr>
              <w:jc w:val="center"/>
              <w:rPr>
                <w:rFonts w:hint="default" w:ascii="Times New Roman" w:hAnsi="Times New Roman" w:cs="Times New Roman"/>
                <w:i w:val="0"/>
                <w:iCs w:val="0"/>
                <w:color w:val="000000"/>
                <w:sz w:val="21"/>
                <w:szCs w:val="21"/>
                <w:highlight w:val="none"/>
                <w:u w:val="none"/>
              </w:rPr>
            </w:pPr>
          </w:p>
        </w:tc>
      </w:tr>
      <w:tr w14:paraId="7079E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BDF97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220</w:t>
            </w:r>
          </w:p>
        </w:tc>
        <w:tc>
          <w:tcPr>
            <w:tcW w:w="4583" w:type="dxa"/>
            <w:tcBorders>
              <w:top w:val="single" w:color="000000" w:sz="4" w:space="0"/>
              <w:left w:val="single" w:color="000000" w:sz="4" w:space="0"/>
              <w:bottom w:val="single" w:color="000000" w:sz="4" w:space="0"/>
              <w:right w:val="single" w:color="000000" w:sz="4" w:space="0"/>
            </w:tcBorders>
            <w:noWrap w:val="0"/>
            <w:vAlign w:val="bottom"/>
          </w:tcPr>
          <w:p w14:paraId="7D92A761">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郴州市消防救援支队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AE1E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0B0A31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B10F07B">
            <w:pPr>
              <w:keepNext w:val="0"/>
              <w:keepLines w:val="0"/>
              <w:widowControl/>
              <w:suppressLineNumbers w:val="0"/>
              <w:jc w:val="center"/>
              <w:textAlignment w:val="bottom"/>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市消防救援局</w:t>
            </w:r>
          </w:p>
        </w:tc>
      </w:tr>
      <w:tr w14:paraId="26E7C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DF41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A4DBA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郴州市烟草专卖局（公司）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AD13A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90CAF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1C8AB1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烟草物流公司</w:t>
            </w:r>
          </w:p>
        </w:tc>
      </w:tr>
      <w:tr w14:paraId="2285D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B15C2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1A83EC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市城市建设综合开发实业总公司</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34849CA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28C580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B700B55">
            <w:pPr>
              <w:jc w:val="center"/>
              <w:rPr>
                <w:rFonts w:hint="default" w:ascii="Times New Roman" w:hAnsi="Times New Roman" w:cs="Times New Roman"/>
                <w:i w:val="0"/>
                <w:iCs w:val="0"/>
                <w:color w:val="000000"/>
                <w:sz w:val="21"/>
                <w:szCs w:val="21"/>
                <w:highlight w:val="none"/>
                <w:u w:val="none"/>
              </w:rPr>
            </w:pPr>
          </w:p>
        </w:tc>
      </w:tr>
      <w:tr w14:paraId="00195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E6FC3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25D4F9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国家税务总局郴州市税务局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77A849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8ED8B0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0E36475">
            <w:pPr>
              <w:jc w:val="center"/>
              <w:rPr>
                <w:rFonts w:hint="default" w:ascii="Times New Roman" w:hAnsi="Times New Roman" w:cs="Times New Roman"/>
                <w:i w:val="0"/>
                <w:iCs w:val="0"/>
                <w:color w:val="000000"/>
                <w:sz w:val="21"/>
                <w:szCs w:val="21"/>
                <w:highlight w:val="none"/>
                <w:u w:val="none"/>
              </w:rPr>
            </w:pPr>
          </w:p>
        </w:tc>
      </w:tr>
      <w:tr w14:paraId="74C4B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9288F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C4A70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郴州市银保监局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7478E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AA7BE0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627EED0">
            <w:pPr>
              <w:jc w:val="center"/>
              <w:rPr>
                <w:rFonts w:hint="default" w:ascii="Times New Roman" w:hAnsi="Times New Roman" w:cs="Times New Roman"/>
                <w:i w:val="0"/>
                <w:iCs w:val="0"/>
                <w:color w:val="000000"/>
                <w:sz w:val="21"/>
                <w:szCs w:val="21"/>
                <w:highlight w:val="none"/>
                <w:u w:val="none"/>
              </w:rPr>
            </w:pPr>
          </w:p>
        </w:tc>
      </w:tr>
      <w:tr w14:paraId="2A357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17BEC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6EF64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国家统计局郴州调查队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DCC95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D6BF8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E37BB8B">
            <w:pPr>
              <w:jc w:val="center"/>
              <w:rPr>
                <w:rFonts w:hint="default" w:ascii="Times New Roman" w:hAnsi="Times New Roman" w:cs="Times New Roman"/>
                <w:i w:val="0"/>
                <w:iCs w:val="0"/>
                <w:color w:val="000000"/>
                <w:sz w:val="21"/>
                <w:szCs w:val="21"/>
                <w:highlight w:val="none"/>
                <w:u w:val="none"/>
              </w:rPr>
            </w:pPr>
          </w:p>
        </w:tc>
      </w:tr>
      <w:tr w14:paraId="6059A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174265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8615B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中国人民银行郴州市分行</w:t>
            </w:r>
          </w:p>
        </w:tc>
        <w:tc>
          <w:tcPr>
            <w:tcW w:w="700" w:type="dxa"/>
            <w:tcBorders>
              <w:top w:val="single" w:color="000000" w:sz="4" w:space="0"/>
              <w:left w:val="single" w:color="000000" w:sz="4" w:space="0"/>
              <w:bottom w:val="single" w:color="000000" w:sz="4" w:space="0"/>
              <w:right w:val="single" w:color="000000" w:sz="4" w:space="0"/>
            </w:tcBorders>
            <w:noWrap w:val="0"/>
            <w:vAlign w:val="top"/>
          </w:tcPr>
          <w:p w14:paraId="434ACD5C">
            <w:pPr>
              <w:keepNext w:val="0"/>
              <w:keepLines w:val="0"/>
              <w:widowControl/>
              <w:suppressLineNumbers w:val="0"/>
              <w:jc w:val="center"/>
              <w:textAlignment w:val="top"/>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0F478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F375E95">
            <w:pPr>
              <w:jc w:val="center"/>
              <w:rPr>
                <w:rFonts w:hint="default" w:ascii="Times New Roman" w:hAnsi="Times New Roman" w:cs="Times New Roman"/>
                <w:i w:val="0"/>
                <w:iCs w:val="0"/>
                <w:color w:val="000000"/>
                <w:sz w:val="21"/>
                <w:szCs w:val="21"/>
                <w:highlight w:val="none"/>
                <w:u w:val="none"/>
              </w:rPr>
            </w:pPr>
          </w:p>
        </w:tc>
      </w:tr>
      <w:tr w14:paraId="28B6F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34F83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F6048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郴州银监分局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3C7B5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80BED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92CA229">
            <w:pPr>
              <w:jc w:val="center"/>
              <w:rPr>
                <w:rFonts w:hint="default" w:ascii="Times New Roman" w:hAnsi="Times New Roman" w:cs="Times New Roman"/>
                <w:i w:val="0"/>
                <w:iCs w:val="0"/>
                <w:color w:val="000000"/>
                <w:sz w:val="21"/>
                <w:szCs w:val="21"/>
                <w:highlight w:val="none"/>
                <w:u w:val="none"/>
              </w:rPr>
            </w:pPr>
          </w:p>
        </w:tc>
      </w:tr>
      <w:tr w14:paraId="34D319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D1F46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51490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郴州市粮食质量检测中心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649D28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A6F66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DA69D39">
            <w:pPr>
              <w:jc w:val="center"/>
              <w:rPr>
                <w:rFonts w:hint="default" w:ascii="Times New Roman" w:hAnsi="Times New Roman" w:cs="Times New Roman"/>
                <w:i w:val="0"/>
                <w:iCs w:val="0"/>
                <w:color w:val="000000"/>
                <w:sz w:val="21"/>
                <w:szCs w:val="21"/>
                <w:highlight w:val="none"/>
                <w:u w:val="none"/>
              </w:rPr>
            </w:pPr>
          </w:p>
        </w:tc>
      </w:tr>
      <w:tr w14:paraId="4585C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FFCBC3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7C9208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疫情防控办公室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82141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755A9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8145D6C">
            <w:pPr>
              <w:jc w:val="center"/>
              <w:rPr>
                <w:rFonts w:hint="default" w:ascii="Times New Roman" w:hAnsi="Times New Roman" w:cs="Times New Roman"/>
                <w:i w:val="0"/>
                <w:iCs w:val="0"/>
                <w:color w:val="000000"/>
                <w:sz w:val="21"/>
                <w:szCs w:val="21"/>
                <w:highlight w:val="none"/>
                <w:u w:val="none"/>
              </w:rPr>
            </w:pPr>
          </w:p>
        </w:tc>
      </w:tr>
      <w:tr w14:paraId="73E644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9E3A34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CD24E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郴州高新区消防大队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D5B2C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B62F91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827382A">
            <w:pPr>
              <w:jc w:val="center"/>
              <w:rPr>
                <w:rFonts w:hint="default" w:ascii="Times New Roman" w:hAnsi="Times New Roman" w:cs="Times New Roman"/>
                <w:i w:val="0"/>
                <w:iCs w:val="0"/>
                <w:color w:val="000000"/>
                <w:sz w:val="21"/>
                <w:szCs w:val="21"/>
                <w:highlight w:val="none"/>
                <w:u w:val="none"/>
              </w:rPr>
            </w:pPr>
          </w:p>
        </w:tc>
      </w:tr>
      <w:tr w14:paraId="7A73A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B5837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B68F9E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郴州市流管站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939A4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2063E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3C3CC4D">
            <w:pPr>
              <w:jc w:val="center"/>
              <w:rPr>
                <w:rFonts w:hint="default" w:ascii="Times New Roman" w:hAnsi="Times New Roman" w:cs="Times New Roman"/>
                <w:i w:val="0"/>
                <w:iCs w:val="0"/>
                <w:color w:val="000000"/>
                <w:sz w:val="21"/>
                <w:szCs w:val="21"/>
                <w:highlight w:val="none"/>
                <w:u w:val="none"/>
              </w:rPr>
            </w:pPr>
          </w:p>
        </w:tc>
      </w:tr>
      <w:tr w14:paraId="0239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B4C2F4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63479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郴州市妇幼保健院</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674200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58BC9AB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F9797D5">
            <w:pPr>
              <w:jc w:val="center"/>
              <w:rPr>
                <w:rFonts w:hint="default" w:ascii="Times New Roman" w:hAnsi="Times New Roman" w:cs="Times New Roman"/>
                <w:i w:val="0"/>
                <w:iCs w:val="0"/>
                <w:color w:val="000000"/>
                <w:sz w:val="21"/>
                <w:szCs w:val="21"/>
                <w:highlight w:val="none"/>
                <w:u w:val="none"/>
              </w:rPr>
            </w:pPr>
          </w:p>
        </w:tc>
      </w:tr>
      <w:tr w14:paraId="6246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E14FD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0F247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郴州市市场监管局开发区分局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D194D6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9BD73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D544CDC">
            <w:pPr>
              <w:jc w:val="center"/>
              <w:rPr>
                <w:rFonts w:hint="default" w:ascii="Times New Roman" w:hAnsi="Times New Roman" w:cs="Times New Roman"/>
                <w:i w:val="0"/>
                <w:iCs w:val="0"/>
                <w:color w:val="000000"/>
                <w:sz w:val="21"/>
                <w:szCs w:val="21"/>
                <w:highlight w:val="none"/>
                <w:u w:val="none"/>
              </w:rPr>
            </w:pPr>
          </w:p>
        </w:tc>
      </w:tr>
      <w:tr w14:paraId="55742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9144E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975B22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郴州市住房公积金管理中心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C2EE4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143E0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3A82ED8">
            <w:pPr>
              <w:jc w:val="center"/>
              <w:rPr>
                <w:rFonts w:hint="default" w:ascii="Times New Roman" w:hAnsi="Times New Roman" w:cs="Times New Roman"/>
                <w:i w:val="0"/>
                <w:iCs w:val="0"/>
                <w:color w:val="000000"/>
                <w:sz w:val="21"/>
                <w:szCs w:val="21"/>
                <w:highlight w:val="none"/>
                <w:u w:val="none"/>
              </w:rPr>
            </w:pPr>
          </w:p>
        </w:tc>
      </w:tr>
      <w:tr w14:paraId="6DFAE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D5D7F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34054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郴州市交通建设服务中心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54747F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27AC8EC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0CF6966">
            <w:pPr>
              <w:jc w:val="center"/>
              <w:rPr>
                <w:rFonts w:hint="default" w:ascii="Times New Roman" w:hAnsi="Times New Roman" w:cs="Times New Roman"/>
                <w:i w:val="0"/>
                <w:iCs w:val="0"/>
                <w:color w:val="000000"/>
                <w:sz w:val="21"/>
                <w:szCs w:val="21"/>
                <w:highlight w:val="none"/>
                <w:u w:val="none"/>
              </w:rPr>
            </w:pPr>
          </w:p>
        </w:tc>
      </w:tr>
      <w:tr w14:paraId="7E70F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2E88F0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D48567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郴州市交通运输综合行政执法支队</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F8231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F8704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5768EF1">
            <w:pPr>
              <w:jc w:val="center"/>
              <w:rPr>
                <w:rFonts w:hint="default" w:ascii="Times New Roman" w:hAnsi="Times New Roman" w:cs="Times New Roman"/>
                <w:i w:val="0"/>
                <w:iCs w:val="0"/>
                <w:color w:val="000000"/>
                <w:sz w:val="21"/>
                <w:szCs w:val="21"/>
                <w:highlight w:val="none"/>
                <w:u w:val="none"/>
              </w:rPr>
            </w:pPr>
          </w:p>
        </w:tc>
      </w:tr>
      <w:tr w14:paraId="43E78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E3612D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6D1B953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郴州市工业和信息化局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9AFC1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D6B1AB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vMerge w:val="restart"/>
            <w:tcBorders>
              <w:top w:val="single" w:color="000000" w:sz="4" w:space="0"/>
              <w:left w:val="single" w:color="000000" w:sz="4" w:space="0"/>
              <w:bottom w:val="single" w:color="000000" w:sz="4" w:space="0"/>
              <w:right w:val="single" w:color="000000" w:sz="4" w:space="0"/>
            </w:tcBorders>
            <w:noWrap w:val="0"/>
            <w:vAlign w:val="center"/>
          </w:tcPr>
          <w:p w14:paraId="3ED0E23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接入应急指挥部视频会议系统</w:t>
            </w:r>
          </w:p>
        </w:tc>
      </w:tr>
      <w:tr w14:paraId="565F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6B015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AC9D7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郴州市卫生健康委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1CE26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BCF93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3EF71D">
            <w:pPr>
              <w:jc w:val="left"/>
              <w:rPr>
                <w:rFonts w:hint="eastAsia" w:ascii="宋体" w:hAnsi="宋体" w:eastAsia="宋体" w:cs="宋体"/>
                <w:i w:val="0"/>
                <w:iCs w:val="0"/>
                <w:color w:val="000000"/>
                <w:sz w:val="21"/>
                <w:szCs w:val="21"/>
                <w:highlight w:val="none"/>
                <w:u w:val="none"/>
              </w:rPr>
            </w:pPr>
          </w:p>
        </w:tc>
      </w:tr>
      <w:tr w14:paraId="39DC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6E93B9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2E1941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郴州市商务局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3D039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B9EEAC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48FFB4">
            <w:pPr>
              <w:jc w:val="left"/>
              <w:rPr>
                <w:rFonts w:hint="eastAsia" w:ascii="宋体" w:hAnsi="宋体" w:eastAsia="宋体" w:cs="宋体"/>
                <w:i w:val="0"/>
                <w:iCs w:val="0"/>
                <w:color w:val="000000"/>
                <w:sz w:val="21"/>
                <w:szCs w:val="21"/>
                <w:highlight w:val="none"/>
                <w:u w:val="none"/>
              </w:rPr>
            </w:pPr>
          </w:p>
        </w:tc>
      </w:tr>
      <w:tr w14:paraId="299CC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B782D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9E0BE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郴州市民政事务中心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D41102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6B1919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CA21171">
            <w:pPr>
              <w:jc w:val="center"/>
              <w:rPr>
                <w:rFonts w:hint="default" w:ascii="Times New Roman" w:hAnsi="Times New Roman" w:cs="Times New Roman"/>
                <w:i w:val="0"/>
                <w:iCs w:val="0"/>
                <w:color w:val="000000"/>
                <w:sz w:val="21"/>
                <w:szCs w:val="21"/>
                <w:highlight w:val="none"/>
                <w:u w:val="none"/>
              </w:rPr>
            </w:pPr>
          </w:p>
        </w:tc>
      </w:tr>
      <w:tr w14:paraId="2786B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36E1D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26606E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郴州市财政局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D2B62F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A197C7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615FA257">
            <w:pPr>
              <w:keepNext w:val="0"/>
              <w:keepLines w:val="0"/>
              <w:widowControl/>
              <w:suppressLineNumbers w:val="0"/>
              <w:jc w:val="both"/>
              <w:textAlignment w:val="center"/>
              <w:rPr>
                <w:rFonts w:hint="eastAsia" w:ascii="宋体" w:hAnsi="宋体" w:eastAsia="宋体" w:cs="宋体"/>
                <w:i w:val="0"/>
                <w:iCs w:val="0"/>
                <w:color w:val="000000"/>
                <w:sz w:val="21"/>
                <w:szCs w:val="21"/>
                <w:highlight w:val="none"/>
                <w:u w:val="none"/>
              </w:rPr>
            </w:pPr>
          </w:p>
        </w:tc>
      </w:tr>
      <w:tr w14:paraId="1D00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7EE2FF7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736165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郴州市市委机要局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A95F0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CA8545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7AF1178D">
            <w:pPr>
              <w:jc w:val="center"/>
              <w:rPr>
                <w:rFonts w:hint="default" w:ascii="Times New Roman" w:hAnsi="Times New Roman" w:cs="Times New Roman"/>
                <w:i w:val="0"/>
                <w:iCs w:val="0"/>
                <w:color w:val="000000"/>
                <w:sz w:val="21"/>
                <w:szCs w:val="21"/>
                <w:highlight w:val="none"/>
                <w:u w:val="none"/>
              </w:rPr>
            </w:pPr>
          </w:p>
        </w:tc>
      </w:tr>
      <w:tr w14:paraId="1F90D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2F08C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2BC14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市委一办3楼常委会议室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7ABBB0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D4BB7D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13BA8A89">
            <w:pPr>
              <w:jc w:val="center"/>
              <w:rPr>
                <w:rFonts w:hint="default" w:ascii="Times New Roman" w:hAnsi="Times New Roman" w:cs="Times New Roman"/>
                <w:i w:val="0"/>
                <w:iCs w:val="0"/>
                <w:color w:val="000000"/>
                <w:sz w:val="21"/>
                <w:szCs w:val="21"/>
                <w:highlight w:val="none"/>
                <w:u w:val="none"/>
              </w:rPr>
            </w:pPr>
          </w:p>
        </w:tc>
      </w:tr>
      <w:tr w14:paraId="24DDC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C42AE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0CB35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郴州市不动产登记中心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6F05D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2A19DD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0B34EE76">
            <w:pPr>
              <w:jc w:val="center"/>
              <w:rPr>
                <w:rFonts w:hint="default" w:ascii="Times New Roman" w:hAnsi="Times New Roman" w:cs="Times New Roman"/>
                <w:i w:val="0"/>
                <w:iCs w:val="0"/>
                <w:color w:val="000000"/>
                <w:sz w:val="21"/>
                <w:szCs w:val="21"/>
                <w:highlight w:val="none"/>
                <w:u w:val="none"/>
              </w:rPr>
            </w:pPr>
          </w:p>
        </w:tc>
      </w:tr>
      <w:tr w14:paraId="1D09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270EAC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245</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36CE47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市创建提质工作领导办公室</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52E34C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9658B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4FE1E4F7">
            <w:pPr>
              <w:jc w:val="center"/>
              <w:rPr>
                <w:rFonts w:hint="default" w:ascii="Times New Roman" w:hAnsi="Times New Roman" w:cs="Times New Roman"/>
                <w:i w:val="0"/>
                <w:iCs w:val="0"/>
                <w:color w:val="000000"/>
                <w:sz w:val="21"/>
                <w:szCs w:val="21"/>
                <w:highlight w:val="none"/>
                <w:u w:val="none"/>
              </w:rPr>
            </w:pPr>
          </w:p>
        </w:tc>
      </w:tr>
      <w:tr w14:paraId="34257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7C4149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246</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83BC0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郴州市城市管理和综合执法局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115E1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6FCF35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F9D38E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城市基础生命线安全工程项目服务器</w:t>
            </w:r>
          </w:p>
        </w:tc>
      </w:tr>
      <w:tr w14:paraId="5F493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49BBF3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247</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1A9D4A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郴州市科技馆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652CE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B863C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286757CE">
            <w:pPr>
              <w:jc w:val="center"/>
              <w:rPr>
                <w:rFonts w:hint="default" w:ascii="Times New Roman" w:hAnsi="Times New Roman" w:cs="Times New Roman"/>
                <w:i w:val="0"/>
                <w:iCs w:val="0"/>
                <w:color w:val="000000"/>
                <w:sz w:val="21"/>
                <w:szCs w:val="21"/>
                <w:highlight w:val="none"/>
                <w:u w:val="none"/>
              </w:rPr>
            </w:pPr>
          </w:p>
        </w:tc>
      </w:tr>
      <w:tr w14:paraId="3DDB5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04A3C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248</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05AD6ED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郴州市军粮供应站</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4270673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3C6CC7B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62797F8C">
            <w:pPr>
              <w:jc w:val="center"/>
              <w:rPr>
                <w:rFonts w:hint="default" w:ascii="Times New Roman" w:hAnsi="Times New Roman" w:cs="Times New Roman"/>
                <w:i w:val="0"/>
                <w:iCs w:val="0"/>
                <w:color w:val="000000"/>
                <w:sz w:val="21"/>
                <w:szCs w:val="21"/>
                <w:highlight w:val="none"/>
                <w:u w:val="none"/>
              </w:rPr>
            </w:pPr>
          </w:p>
        </w:tc>
      </w:tr>
      <w:tr w14:paraId="58AA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410B2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249</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18A877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郴州市生态环境监测中心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1DEA42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177493B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83A16A1">
            <w:pPr>
              <w:jc w:val="center"/>
              <w:rPr>
                <w:rFonts w:hint="default" w:ascii="Times New Roman" w:hAnsi="Times New Roman" w:cs="Times New Roman"/>
                <w:i w:val="0"/>
                <w:iCs w:val="0"/>
                <w:color w:val="000000"/>
                <w:sz w:val="21"/>
                <w:szCs w:val="21"/>
                <w:highlight w:val="none"/>
                <w:u w:val="none"/>
              </w:rPr>
            </w:pPr>
          </w:p>
        </w:tc>
      </w:tr>
      <w:tr w14:paraId="41B82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5D1D651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250</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712BB66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郴州市营商环境局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32450A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4805B59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A212177">
            <w:pPr>
              <w:jc w:val="center"/>
              <w:rPr>
                <w:rFonts w:hint="default" w:ascii="Times New Roman" w:hAnsi="Times New Roman" w:cs="Times New Roman"/>
                <w:i w:val="0"/>
                <w:iCs w:val="0"/>
                <w:color w:val="000000"/>
                <w:sz w:val="21"/>
                <w:szCs w:val="21"/>
                <w:highlight w:val="none"/>
                <w:u w:val="none"/>
              </w:rPr>
            </w:pPr>
          </w:p>
        </w:tc>
      </w:tr>
      <w:tr w14:paraId="329C3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C18D51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251</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5FE36D4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郴州市殡仪馆</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252E791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791D2BC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5078B8D7">
            <w:pPr>
              <w:jc w:val="center"/>
              <w:rPr>
                <w:rFonts w:hint="default" w:ascii="Times New Roman" w:hAnsi="Times New Roman" w:cs="Times New Roman"/>
                <w:i w:val="0"/>
                <w:iCs w:val="0"/>
                <w:color w:val="000000"/>
                <w:sz w:val="21"/>
                <w:szCs w:val="21"/>
                <w:highlight w:val="none"/>
                <w:u w:val="none"/>
              </w:rPr>
            </w:pPr>
          </w:p>
        </w:tc>
      </w:tr>
      <w:tr w14:paraId="5930B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1AD898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252</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575D2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市信访局</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BB707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A03A1D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0FC1C1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市政府大门右侧</w:t>
            </w:r>
          </w:p>
        </w:tc>
      </w:tr>
      <w:tr w14:paraId="21A9E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1BD1F9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253</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2DECB02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郴州市应急管理事务中心</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022C7B5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62328BF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bottom"/>
          </w:tcPr>
          <w:p w14:paraId="3D17C9E1">
            <w:pPr>
              <w:jc w:val="center"/>
              <w:rPr>
                <w:rFonts w:hint="default" w:ascii="Times New Roman" w:hAnsi="Times New Roman" w:cs="Times New Roman"/>
                <w:i w:val="0"/>
                <w:iCs w:val="0"/>
                <w:color w:val="000000"/>
                <w:sz w:val="21"/>
                <w:szCs w:val="21"/>
                <w:highlight w:val="none"/>
                <w:u w:val="none"/>
              </w:rPr>
            </w:pPr>
          </w:p>
        </w:tc>
      </w:tr>
      <w:tr w14:paraId="1FAA2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729" w:type="dxa"/>
            <w:tcBorders>
              <w:top w:val="single" w:color="000000" w:sz="4" w:space="0"/>
              <w:left w:val="single" w:color="000000" w:sz="4" w:space="0"/>
              <w:bottom w:val="single" w:color="000000" w:sz="4" w:space="0"/>
              <w:right w:val="single" w:color="000000" w:sz="4" w:space="0"/>
            </w:tcBorders>
            <w:noWrap w:val="0"/>
            <w:vAlign w:val="center"/>
          </w:tcPr>
          <w:p w14:paraId="0D2C4C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254</w:t>
            </w:r>
          </w:p>
        </w:tc>
        <w:tc>
          <w:tcPr>
            <w:tcW w:w="4583" w:type="dxa"/>
            <w:tcBorders>
              <w:top w:val="single" w:color="000000" w:sz="4" w:space="0"/>
              <w:left w:val="single" w:color="000000" w:sz="4" w:space="0"/>
              <w:bottom w:val="single" w:color="000000" w:sz="4" w:space="0"/>
              <w:right w:val="single" w:color="000000" w:sz="4" w:space="0"/>
            </w:tcBorders>
            <w:noWrap w:val="0"/>
            <w:vAlign w:val="center"/>
          </w:tcPr>
          <w:p w14:paraId="4FD5F1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郴州市纪委监委</w:t>
            </w:r>
          </w:p>
        </w:tc>
        <w:tc>
          <w:tcPr>
            <w:tcW w:w="700" w:type="dxa"/>
            <w:tcBorders>
              <w:top w:val="single" w:color="000000" w:sz="4" w:space="0"/>
              <w:left w:val="single" w:color="000000" w:sz="4" w:space="0"/>
              <w:bottom w:val="single" w:color="000000" w:sz="4" w:space="0"/>
              <w:right w:val="single" w:color="000000" w:sz="4" w:space="0"/>
            </w:tcBorders>
            <w:noWrap w:val="0"/>
            <w:vAlign w:val="center"/>
          </w:tcPr>
          <w:p w14:paraId="75C2B27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100M</w:t>
            </w:r>
          </w:p>
        </w:tc>
        <w:tc>
          <w:tcPr>
            <w:tcW w:w="815" w:type="dxa"/>
            <w:tcBorders>
              <w:top w:val="single" w:color="000000" w:sz="4" w:space="0"/>
              <w:left w:val="single" w:color="000000" w:sz="4" w:space="0"/>
              <w:bottom w:val="single" w:color="000000" w:sz="4" w:space="0"/>
              <w:right w:val="single" w:color="000000" w:sz="4" w:space="0"/>
            </w:tcBorders>
            <w:noWrap w:val="0"/>
            <w:vAlign w:val="center"/>
          </w:tcPr>
          <w:p w14:paraId="03ED442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2180" w:type="dxa"/>
            <w:tcBorders>
              <w:top w:val="single" w:color="000000" w:sz="4" w:space="0"/>
              <w:left w:val="single" w:color="000000" w:sz="4" w:space="0"/>
              <w:bottom w:val="single" w:color="000000" w:sz="4" w:space="0"/>
              <w:right w:val="single" w:color="000000" w:sz="4" w:space="0"/>
            </w:tcBorders>
            <w:noWrap w:val="0"/>
            <w:vAlign w:val="center"/>
          </w:tcPr>
          <w:p w14:paraId="2291A8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梨树山路案管中心</w:t>
            </w:r>
          </w:p>
        </w:tc>
      </w:tr>
      <w:tr w14:paraId="324E6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012" w:type="dxa"/>
            <w:gridSpan w:val="3"/>
            <w:tcBorders>
              <w:top w:val="single" w:color="000000" w:sz="4" w:space="0"/>
              <w:left w:val="single" w:color="000000" w:sz="4" w:space="0"/>
              <w:bottom w:val="single" w:color="000000" w:sz="4" w:space="0"/>
              <w:right w:val="single" w:color="000000" w:sz="4" w:space="0"/>
            </w:tcBorders>
            <w:noWrap w:val="0"/>
            <w:vAlign w:val="center"/>
          </w:tcPr>
          <w:p w14:paraId="2B3BB39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小计</w:t>
            </w:r>
          </w:p>
        </w:tc>
        <w:tc>
          <w:tcPr>
            <w:tcW w:w="815" w:type="dxa"/>
            <w:tcBorders>
              <w:top w:val="single" w:color="000000" w:sz="4" w:space="0"/>
              <w:left w:val="single" w:color="000000" w:sz="4" w:space="0"/>
              <w:bottom w:val="single" w:color="000000" w:sz="4" w:space="0"/>
              <w:right w:val="single" w:color="000000" w:sz="4" w:space="0"/>
            </w:tcBorders>
            <w:noWrap/>
            <w:vAlign w:val="center"/>
          </w:tcPr>
          <w:p w14:paraId="40F5E4E3">
            <w:pPr>
              <w:keepNext w:val="0"/>
              <w:keepLines w:val="0"/>
              <w:widowControl/>
              <w:suppressLineNumbers w:val="0"/>
              <w:jc w:val="center"/>
              <w:textAlignment w:val="center"/>
              <w:rPr>
                <w:rFonts w:hint="default" w:ascii="Times New Roman" w:hAnsi="Times New Roman" w:cs="Times New Roman"/>
                <w:b/>
                <w:bCs/>
                <w:i w:val="0"/>
                <w:iCs w:val="0"/>
                <w:color w:val="000000"/>
                <w:sz w:val="21"/>
                <w:szCs w:val="21"/>
                <w:highlight w:val="none"/>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280</w:t>
            </w:r>
          </w:p>
        </w:tc>
        <w:tc>
          <w:tcPr>
            <w:tcW w:w="2180" w:type="dxa"/>
            <w:tcBorders>
              <w:top w:val="single" w:color="000000" w:sz="4" w:space="0"/>
              <w:left w:val="single" w:color="000000" w:sz="4" w:space="0"/>
              <w:bottom w:val="single" w:color="000000" w:sz="4" w:space="0"/>
              <w:right w:val="single" w:color="000000" w:sz="4" w:space="0"/>
            </w:tcBorders>
            <w:noWrap/>
            <w:vAlign w:val="bottom"/>
          </w:tcPr>
          <w:p w14:paraId="47E43B59">
            <w:pPr>
              <w:rPr>
                <w:rFonts w:hint="eastAsia" w:ascii="Arial" w:hAnsi="Arial" w:cs="Arial"/>
                <w:i w:val="0"/>
                <w:iCs w:val="0"/>
                <w:color w:val="000000"/>
                <w:sz w:val="21"/>
                <w:szCs w:val="21"/>
                <w:highlight w:val="none"/>
                <w:u w:val="none"/>
              </w:rPr>
            </w:pPr>
          </w:p>
        </w:tc>
      </w:tr>
    </w:tbl>
    <w:p w14:paraId="79070817">
      <w:pPr>
        <w:pStyle w:val="5"/>
        <w:pageBreakBefore w:val="0"/>
        <w:kinsoku/>
        <w:overflowPunct/>
        <w:topLinePunct w:val="0"/>
        <w:bidi w:val="0"/>
        <w:spacing w:before="0" w:after="0" w:line="460" w:lineRule="exact"/>
        <w:ind w:left="0" w:firstLine="480" w:firstLineChars="200"/>
        <w:textAlignment w:val="auto"/>
        <w:rPr>
          <w:rFonts w:hint="default" w:eastAsia="宋体" w:cs="Times New Roman"/>
          <w:color w:val="000000"/>
          <w:sz w:val="24"/>
          <w:szCs w:val="24"/>
          <w:highlight w:val="none"/>
          <w:lang w:val="en-US" w:eastAsia="zh-CN"/>
        </w:rPr>
      </w:pPr>
      <w:r>
        <w:rPr>
          <w:rFonts w:hint="eastAsia" w:eastAsia="宋体" w:cs="Times New Roman"/>
          <w:color w:val="000000"/>
          <w:sz w:val="24"/>
          <w:szCs w:val="24"/>
          <w:highlight w:val="none"/>
          <w:lang w:val="en-US" w:eastAsia="zh-CN"/>
        </w:rPr>
        <w:t>四、运维要求</w:t>
      </w:r>
    </w:p>
    <w:p w14:paraId="3E93B0EE">
      <w:pPr>
        <w:pStyle w:val="5"/>
        <w:pageBreakBefore w:val="0"/>
        <w:kinsoku/>
        <w:overflowPunct/>
        <w:topLinePunct w:val="0"/>
        <w:bidi w:val="0"/>
        <w:spacing w:before="0" w:after="0" w:line="460" w:lineRule="exact"/>
        <w:ind w:left="0" w:firstLine="480" w:firstLineChars="200"/>
        <w:textAlignment w:val="auto"/>
        <w:rPr>
          <w:rFonts w:hint="default" w:eastAsia="宋体" w:cs="Times New Roman"/>
          <w:color w:val="000000"/>
          <w:sz w:val="24"/>
          <w:szCs w:val="24"/>
          <w:highlight w:val="none"/>
          <w:lang w:val="en-US" w:eastAsia="zh-CN"/>
        </w:rPr>
      </w:pPr>
      <w:bookmarkStart w:id="174" w:name="_Toc2114015604"/>
      <w:bookmarkStart w:id="175" w:name="_Toc11566"/>
      <w:bookmarkStart w:id="176" w:name="_Toc8377"/>
      <w:r>
        <w:rPr>
          <w:rFonts w:hint="eastAsia" w:eastAsia="宋体" w:cs="Times New Roman"/>
          <w:color w:val="000000"/>
          <w:sz w:val="24"/>
          <w:szCs w:val="24"/>
          <w:highlight w:val="none"/>
          <w:lang w:val="en-US" w:eastAsia="zh-CN"/>
        </w:rPr>
        <w:t>（一）</w:t>
      </w:r>
      <w:r>
        <w:rPr>
          <w:rFonts w:hint="default" w:eastAsia="宋体" w:cs="Times New Roman"/>
          <w:color w:val="000000"/>
          <w:sz w:val="24"/>
          <w:szCs w:val="24"/>
          <w:highlight w:val="none"/>
          <w:lang w:val="en-US" w:eastAsia="zh-CN"/>
        </w:rPr>
        <w:t>运行维护目标</w:t>
      </w:r>
      <w:bookmarkEnd w:id="174"/>
      <w:bookmarkEnd w:id="175"/>
      <w:bookmarkEnd w:id="176"/>
    </w:p>
    <w:p w14:paraId="5B2909A2">
      <w:pPr>
        <w:pageBreakBefore w:val="0"/>
        <w:numPr>
          <w:ilvl w:val="0"/>
          <w:numId w:val="11"/>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通过采取主动的运行维护，确保</w:t>
      </w:r>
      <w:r>
        <w:rPr>
          <w:rFonts w:hint="default" w:ascii="Times New Roman" w:hAnsi="Times New Roman" w:cs="Times New Roman"/>
          <w:color w:val="000000"/>
          <w:highlight w:val="none"/>
          <w:lang w:val="en-US" w:eastAsia="zh-CN"/>
        </w:rPr>
        <w:t>整个网络</w:t>
      </w:r>
      <w:r>
        <w:rPr>
          <w:rFonts w:hint="default" w:ascii="Times New Roman" w:hAnsi="Times New Roman" w:cs="Times New Roman"/>
          <w:color w:val="000000"/>
          <w:highlight w:val="none"/>
        </w:rPr>
        <w:t xml:space="preserve">的安全、稳定运行，尽量减少运行故障。 </w:t>
      </w:r>
    </w:p>
    <w:p w14:paraId="2521AB63">
      <w:pPr>
        <w:pageBreakBefore w:val="0"/>
        <w:numPr>
          <w:ilvl w:val="0"/>
          <w:numId w:val="11"/>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在</w:t>
      </w:r>
      <w:r>
        <w:rPr>
          <w:rFonts w:hint="default" w:ascii="Times New Roman" w:hAnsi="Times New Roman" w:cs="Times New Roman"/>
          <w:color w:val="000000"/>
          <w:highlight w:val="none"/>
          <w:lang w:val="en-US" w:eastAsia="zh-CN"/>
        </w:rPr>
        <w:t>出现</w:t>
      </w:r>
      <w:r>
        <w:rPr>
          <w:rFonts w:hint="default" w:ascii="Times New Roman" w:hAnsi="Times New Roman" w:cs="Times New Roman"/>
          <w:color w:val="000000"/>
          <w:highlight w:val="none"/>
        </w:rPr>
        <w:t>故障无法避免及突发故障的情况下，也可保证系统能够得到最快的响应和最及时的恢复。</w:t>
      </w:r>
    </w:p>
    <w:p w14:paraId="3AEC5DC9">
      <w:pPr>
        <w:pageBreakBefore w:val="0"/>
        <w:numPr>
          <w:ilvl w:val="0"/>
          <w:numId w:val="11"/>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适时地对</w:t>
      </w:r>
      <w:r>
        <w:rPr>
          <w:rFonts w:hint="default" w:ascii="Times New Roman" w:hAnsi="Times New Roman" w:cs="Times New Roman"/>
          <w:color w:val="000000"/>
          <w:highlight w:val="none"/>
          <w:lang w:val="en-US" w:eastAsia="zh-CN"/>
        </w:rPr>
        <w:t>提供的硬件及相关软件</w:t>
      </w:r>
      <w:r>
        <w:rPr>
          <w:rFonts w:hint="default" w:ascii="Times New Roman" w:hAnsi="Times New Roman" w:cs="Times New Roman"/>
          <w:color w:val="000000"/>
          <w:highlight w:val="none"/>
        </w:rPr>
        <w:t>进行更新，以保证</w:t>
      </w:r>
      <w:r>
        <w:rPr>
          <w:rFonts w:hint="default" w:ascii="Times New Roman" w:hAnsi="Times New Roman" w:cs="Times New Roman"/>
          <w:color w:val="000000"/>
          <w:highlight w:val="none"/>
          <w:lang w:val="en-US" w:eastAsia="zh-CN"/>
        </w:rPr>
        <w:t>网络及相关设备</w:t>
      </w:r>
      <w:r>
        <w:rPr>
          <w:rFonts w:hint="default" w:ascii="Times New Roman" w:hAnsi="Times New Roman" w:cs="Times New Roman"/>
          <w:color w:val="000000"/>
          <w:highlight w:val="none"/>
        </w:rPr>
        <w:t xml:space="preserve">的准确性和系统的可用性。 </w:t>
      </w:r>
    </w:p>
    <w:p w14:paraId="401511C8">
      <w:pPr>
        <w:pageBreakBefore w:val="0"/>
        <w:numPr>
          <w:ilvl w:val="0"/>
          <w:numId w:val="11"/>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运行维护期自最终验收合格之日起算，</w:t>
      </w:r>
      <w:r>
        <w:rPr>
          <w:rFonts w:hint="default" w:ascii="Times New Roman" w:hAnsi="Times New Roman" w:cs="Times New Roman"/>
          <w:color w:val="000000"/>
          <w:highlight w:val="none"/>
          <w:lang w:val="en-US" w:eastAsia="zh-CN"/>
        </w:rPr>
        <w:t>网络链路运维期为</w:t>
      </w:r>
      <w:r>
        <w:rPr>
          <w:rFonts w:hint="default" w:ascii="Times New Roman" w:hAnsi="Times New Roman" w:cs="Times New Roman"/>
          <w:color w:val="000000"/>
          <w:highlight w:val="none"/>
        </w:rPr>
        <w:t>一年。</w:t>
      </w:r>
    </w:p>
    <w:p w14:paraId="53C5357E">
      <w:pPr>
        <w:pageBreakBefore w:val="0"/>
        <w:numPr>
          <w:ilvl w:val="0"/>
          <w:numId w:val="11"/>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重大故障立即响应，重大活动全程提供人员现场保障。</w:t>
      </w:r>
    </w:p>
    <w:p w14:paraId="0E402FC9">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77" w:name="_Toc143316813"/>
      <w:bookmarkStart w:id="178" w:name="_Toc23997"/>
      <w:bookmarkStart w:id="179" w:name="_Toc18823"/>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二</w:t>
      </w:r>
      <w:r>
        <w:rPr>
          <w:rFonts w:hint="eastAsia" w:cs="Times New Roman"/>
          <w:color w:val="000000"/>
          <w:sz w:val="24"/>
          <w:szCs w:val="24"/>
          <w:highlight w:val="none"/>
          <w:lang w:eastAsia="zh-CN"/>
        </w:rPr>
        <w:t>）</w:t>
      </w:r>
      <w:r>
        <w:rPr>
          <w:rFonts w:hint="default" w:cs="Times New Roman"/>
          <w:color w:val="000000"/>
          <w:sz w:val="24"/>
          <w:szCs w:val="24"/>
          <w:highlight w:val="none"/>
          <w:lang w:eastAsia="zh-CN"/>
        </w:rPr>
        <w:t>运行维护管理</w:t>
      </w:r>
      <w:bookmarkEnd w:id="177"/>
      <w:bookmarkEnd w:id="178"/>
      <w:bookmarkEnd w:id="179"/>
    </w:p>
    <w:p w14:paraId="32101ECE">
      <w:pPr>
        <w:pageBreakBefore w:val="0"/>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本项目建设完成投入运行后，由承建单位负责</w:t>
      </w:r>
      <w:r>
        <w:rPr>
          <w:rFonts w:hint="default" w:ascii="Times New Roman" w:hAnsi="Times New Roman" w:cs="Times New Roman"/>
          <w:color w:val="000000"/>
          <w:highlight w:val="none"/>
          <w:lang w:val="en-US" w:eastAsia="zh-CN"/>
        </w:rPr>
        <w:t>网络链路</w:t>
      </w:r>
      <w:r>
        <w:rPr>
          <w:rFonts w:hint="default" w:ascii="Times New Roman" w:hAnsi="Times New Roman" w:cs="Times New Roman"/>
          <w:color w:val="000000"/>
          <w:highlight w:val="none"/>
        </w:rPr>
        <w:t>的维护</w:t>
      </w:r>
      <w:r>
        <w:rPr>
          <w:rFonts w:hint="default" w:ascii="Times New Roman" w:hAnsi="Times New Roman" w:cs="Times New Roman"/>
          <w:color w:val="000000"/>
          <w:highlight w:val="none"/>
          <w:lang w:val="en-US" w:eastAsia="zh-CN"/>
        </w:rPr>
        <w:t>工作</w:t>
      </w:r>
      <w:r>
        <w:rPr>
          <w:rFonts w:hint="default" w:ascii="Times New Roman" w:hAnsi="Times New Roman" w:cs="Times New Roman"/>
          <w:color w:val="000000"/>
          <w:highlight w:val="none"/>
        </w:rPr>
        <w:t xml:space="preserve">，由建设单位相关人员负责前期协助，以稳定的技术队伍保障系统的长期正常运行。 </w:t>
      </w:r>
    </w:p>
    <w:p w14:paraId="5F3A3A9E">
      <w:pPr>
        <w:pageBreakBefore w:val="0"/>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lang w:val="en-US" w:eastAsia="zh-CN"/>
        </w:rPr>
        <w:t>项目</w:t>
      </w:r>
      <w:r>
        <w:rPr>
          <w:rFonts w:hint="default" w:ascii="Times New Roman" w:hAnsi="Times New Roman" w:cs="Times New Roman"/>
          <w:color w:val="000000"/>
          <w:highlight w:val="none"/>
        </w:rPr>
        <w:t>终验后，承建单位负责提供</w:t>
      </w:r>
      <w:r>
        <w:rPr>
          <w:rFonts w:hint="default" w:ascii="Times New Roman" w:hAnsi="Times New Roman" w:cs="Times New Roman"/>
          <w:color w:val="000000"/>
          <w:highlight w:val="none"/>
          <w:lang w:val="en-US" w:eastAsia="zh-CN"/>
        </w:rPr>
        <w:t>网络链路运行</w:t>
      </w:r>
      <w:r>
        <w:rPr>
          <w:rFonts w:hint="default" w:ascii="Times New Roman" w:hAnsi="Times New Roman" w:cs="Times New Roman"/>
          <w:color w:val="000000"/>
          <w:highlight w:val="none"/>
        </w:rPr>
        <w:t>维护</w:t>
      </w:r>
      <w:r>
        <w:rPr>
          <w:rFonts w:hint="default" w:ascii="Times New Roman" w:hAnsi="Times New Roman" w:cs="Times New Roman"/>
          <w:color w:val="000000"/>
          <w:highlight w:val="none"/>
          <w:lang w:val="en-US" w:eastAsia="zh-CN"/>
        </w:rPr>
        <w:t>一</w:t>
      </w:r>
      <w:r>
        <w:rPr>
          <w:rFonts w:hint="default" w:ascii="Times New Roman" w:hAnsi="Times New Roman" w:cs="Times New Roman"/>
          <w:color w:val="000000"/>
          <w:highlight w:val="none"/>
        </w:rPr>
        <w:t>年，在投入运行以后，要通过定期或不定期地举办各种短训班，加强对各</w:t>
      </w:r>
      <w:r>
        <w:rPr>
          <w:rFonts w:hint="default" w:ascii="Times New Roman" w:hAnsi="Times New Roman" w:cs="Times New Roman"/>
          <w:color w:val="000000"/>
          <w:highlight w:val="none"/>
          <w:lang w:val="en-US" w:eastAsia="zh-CN"/>
        </w:rPr>
        <w:t>运维、售后</w:t>
      </w:r>
      <w:r>
        <w:rPr>
          <w:rFonts w:hint="default" w:ascii="Times New Roman" w:hAnsi="Times New Roman" w:cs="Times New Roman"/>
          <w:color w:val="000000"/>
          <w:highlight w:val="none"/>
        </w:rPr>
        <w:t>工作人员的应用技术培训，提高网络及</w:t>
      </w:r>
      <w:r>
        <w:rPr>
          <w:rFonts w:hint="default" w:ascii="Times New Roman" w:hAnsi="Times New Roman" w:cs="Times New Roman"/>
          <w:color w:val="000000"/>
          <w:highlight w:val="none"/>
          <w:lang w:val="en-US" w:eastAsia="zh-CN"/>
        </w:rPr>
        <w:t>设备</w:t>
      </w:r>
      <w:r>
        <w:rPr>
          <w:rFonts w:hint="default" w:ascii="Times New Roman" w:hAnsi="Times New Roman" w:cs="Times New Roman"/>
          <w:color w:val="000000"/>
          <w:highlight w:val="none"/>
        </w:rPr>
        <w:t xml:space="preserve">的运维管理队伍的信息技术应用水平。 </w:t>
      </w:r>
    </w:p>
    <w:p w14:paraId="2A9DCCDF">
      <w:pPr>
        <w:pageBreakBefore w:val="0"/>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同时，本项目主要为</w:t>
      </w:r>
      <w:r>
        <w:rPr>
          <w:rFonts w:hint="default" w:ascii="Times New Roman" w:hAnsi="Times New Roman" w:cs="Times New Roman"/>
          <w:color w:val="000000"/>
          <w:highlight w:val="none"/>
          <w:lang w:val="en-US" w:eastAsia="zh-CN"/>
        </w:rPr>
        <w:t>郴州市电子政务外网组网链路及相关</w:t>
      </w:r>
      <w:r>
        <w:rPr>
          <w:rFonts w:hint="default" w:ascii="Times New Roman" w:hAnsi="Times New Roman" w:cs="Times New Roman"/>
          <w:color w:val="000000"/>
          <w:highlight w:val="none"/>
          <w:lang w:val="en-US" w:eastAsia="zh-Hans"/>
        </w:rPr>
        <w:t>运维服务</w:t>
      </w:r>
      <w:r>
        <w:rPr>
          <w:rFonts w:hint="default" w:ascii="Times New Roman" w:hAnsi="Times New Roman" w:cs="Times New Roman"/>
          <w:color w:val="000000"/>
          <w:highlight w:val="none"/>
        </w:rPr>
        <w:t>，因此，安全性、可靠性、稳定性是运行维护管理的首要目标。</w:t>
      </w:r>
      <w:r>
        <w:rPr>
          <w:rFonts w:hint="default" w:ascii="Times New Roman" w:hAnsi="Times New Roman" w:cs="Times New Roman"/>
          <w:color w:val="000000"/>
          <w:highlight w:val="none"/>
          <w:lang w:eastAsia="zh-CN"/>
        </w:rPr>
        <w:t>针对</w:t>
      </w:r>
      <w:r>
        <w:rPr>
          <w:rFonts w:hint="default" w:ascii="Times New Roman" w:hAnsi="Times New Roman" w:cs="Times New Roman"/>
          <w:color w:val="000000"/>
          <w:highlight w:val="none"/>
        </w:rPr>
        <w:t>本项目的运行、维护及管理涉及网络通信</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rPr>
        <w:t>管理制度等方面采取以下几项措施：</w:t>
      </w:r>
    </w:p>
    <w:p w14:paraId="5B90211C">
      <w:pPr>
        <w:pageBreakBefore w:val="0"/>
        <w:numPr>
          <w:ilvl w:val="0"/>
          <w:numId w:val="12"/>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建立健全组织机构，实行统一归口管理。 </w:t>
      </w:r>
    </w:p>
    <w:p w14:paraId="1C87D3F7">
      <w:pPr>
        <w:pageBreakBefore w:val="0"/>
        <w:numPr>
          <w:ilvl w:val="0"/>
          <w:numId w:val="12"/>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信息技术管理人员应具有计算机</w:t>
      </w:r>
      <w:r>
        <w:rPr>
          <w:rFonts w:hint="default" w:ascii="Times New Roman" w:hAnsi="Times New Roman" w:cs="Times New Roman"/>
          <w:color w:val="000000"/>
          <w:highlight w:val="none"/>
          <w:lang w:val="en-US" w:eastAsia="zh-CN"/>
        </w:rPr>
        <w:t>、通信或网络</w:t>
      </w:r>
      <w:r>
        <w:rPr>
          <w:rFonts w:hint="default" w:ascii="Times New Roman" w:hAnsi="Times New Roman" w:cs="Times New Roman"/>
          <w:color w:val="000000"/>
          <w:highlight w:val="none"/>
        </w:rPr>
        <w:t>基础理论知识和专业技术经验、较强的业务工作能力和再学习能力、良好的职业道德和服务意识，富有敬业精神和团队合作精神。关键技术岗位必须经过严格考核，合格后方可上岗。</w:t>
      </w:r>
    </w:p>
    <w:p w14:paraId="0C938204">
      <w:pPr>
        <w:pageBreakBefore w:val="0"/>
        <w:numPr>
          <w:ilvl w:val="0"/>
          <w:numId w:val="12"/>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建立安全管理组织，制定计算机安全管理制度、机房安全管理制度、操作安全管理制度及计算机病毒防范制度。 </w:t>
      </w:r>
    </w:p>
    <w:p w14:paraId="581616BC">
      <w:pPr>
        <w:pageBreakBefore w:val="0"/>
        <w:numPr>
          <w:ilvl w:val="0"/>
          <w:numId w:val="12"/>
        </w:numPr>
        <w:kinsoku/>
        <w:overflowPunct/>
        <w:topLinePunct w:val="0"/>
        <w:bidi w:val="0"/>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制定技术资料的管理制度，明确执行管理制度的责任人，重要技术资料应有副本并异地存放。  </w:t>
      </w:r>
    </w:p>
    <w:p w14:paraId="7BC12C78">
      <w:pPr>
        <w:pageBreakBefore w:val="0"/>
        <w:numPr>
          <w:ilvl w:val="0"/>
          <w:numId w:val="12"/>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制定技术事故应急计划，对执行应急计划的全体人员进行专项培训。 </w:t>
      </w:r>
    </w:p>
    <w:p w14:paraId="0D1E1984">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80" w:name="_Toc1396507804"/>
      <w:r>
        <w:rPr>
          <w:rFonts w:hint="eastAsia" w:cs="Times New Roman"/>
          <w:color w:val="000000"/>
          <w:sz w:val="24"/>
          <w:szCs w:val="24"/>
          <w:highlight w:val="none"/>
          <w:lang w:val="en-US" w:eastAsia="zh-CN"/>
        </w:rPr>
        <w:t>（三）</w:t>
      </w:r>
      <w:r>
        <w:rPr>
          <w:rFonts w:hint="default" w:cs="Times New Roman"/>
          <w:color w:val="000000"/>
          <w:sz w:val="24"/>
          <w:szCs w:val="24"/>
          <w:highlight w:val="none"/>
          <w:lang w:val="en-US" w:eastAsia="zh-CN"/>
        </w:rPr>
        <w:t>运行维护范围</w:t>
      </w:r>
      <w:bookmarkEnd w:id="180"/>
    </w:p>
    <w:p w14:paraId="25D4C7ED">
      <w:pPr>
        <w:pageBreakBefore w:val="0"/>
        <w:numPr>
          <w:ilvl w:val="0"/>
          <w:numId w:val="13"/>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运维服务期内</w:t>
      </w:r>
      <w:r>
        <w:rPr>
          <w:rFonts w:hint="default" w:ascii="Times New Roman" w:hAnsi="Times New Roman" w:cs="Times New Roman"/>
          <w:color w:val="000000"/>
          <w:highlight w:val="none"/>
          <w:lang w:val="en-US" w:eastAsia="zh-CN"/>
        </w:rPr>
        <w:t>的</w:t>
      </w:r>
      <w:r>
        <w:rPr>
          <w:rFonts w:hint="eastAsia" w:ascii="Times New Roman" w:hAnsi="Times New Roman" w:cs="Times New Roman"/>
          <w:color w:val="000000"/>
          <w:highlight w:val="none"/>
          <w:lang w:val="en-US" w:eastAsia="zh-CN"/>
        </w:rPr>
        <w:t>280</w:t>
      </w:r>
      <w:r>
        <w:rPr>
          <w:rFonts w:hint="default" w:ascii="Times New Roman" w:hAnsi="Times New Roman" w:cs="Times New Roman"/>
          <w:color w:val="000000"/>
          <w:highlight w:val="none"/>
          <w:lang w:val="en-US" w:eastAsia="zh-CN"/>
        </w:rPr>
        <w:t>条组网网络链路</w:t>
      </w:r>
      <w:r>
        <w:rPr>
          <w:rFonts w:hint="default" w:ascii="Times New Roman" w:hAnsi="Times New Roman" w:cs="Times New Roman"/>
          <w:color w:val="000000"/>
          <w:highlight w:val="none"/>
        </w:rPr>
        <w:t>。</w:t>
      </w:r>
    </w:p>
    <w:p w14:paraId="70715BDC">
      <w:pPr>
        <w:pageBreakBefore w:val="0"/>
        <w:numPr>
          <w:ilvl w:val="0"/>
          <w:numId w:val="13"/>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在运行维服务期内，</w:t>
      </w:r>
      <w:r>
        <w:rPr>
          <w:rFonts w:hint="default" w:ascii="Times New Roman" w:hAnsi="Times New Roman" w:cs="Times New Roman"/>
          <w:color w:val="000000"/>
          <w:highlight w:val="none"/>
          <w:lang w:val="en-US" w:eastAsia="zh-CN"/>
        </w:rPr>
        <w:t>组网网络链路</w:t>
      </w:r>
      <w:r>
        <w:rPr>
          <w:rFonts w:hint="default" w:ascii="Times New Roman" w:hAnsi="Times New Roman" w:cs="Times New Roman"/>
          <w:color w:val="000000"/>
          <w:highlight w:val="none"/>
        </w:rPr>
        <w:t>可能存在主体变更、地址变更的可能，承建单位需根据</w:t>
      </w:r>
      <w:r>
        <w:rPr>
          <w:rFonts w:hint="default" w:ascii="Times New Roman" w:hAnsi="Times New Roman" w:cs="Times New Roman"/>
          <w:color w:val="000000"/>
          <w:highlight w:val="none"/>
          <w:lang w:val="en-US" w:eastAsia="zh-CN"/>
        </w:rPr>
        <w:t>业主单位的</w:t>
      </w:r>
      <w:r>
        <w:rPr>
          <w:rFonts w:hint="default" w:ascii="Times New Roman" w:hAnsi="Times New Roman" w:cs="Times New Roman"/>
          <w:color w:val="000000"/>
          <w:highlight w:val="none"/>
        </w:rPr>
        <w:t>的要求无条件接收</w:t>
      </w:r>
      <w:r>
        <w:rPr>
          <w:rFonts w:hint="eastAsia" w:ascii="Times New Roman" w:hAnsi="Times New Roman" w:cs="Times New Roman"/>
          <w:color w:val="000000"/>
          <w:highlight w:val="none"/>
          <w:lang w:val="en-US" w:eastAsia="zh-CN"/>
        </w:rPr>
        <w:t>280</w:t>
      </w:r>
      <w:r>
        <w:rPr>
          <w:rFonts w:hint="default" w:ascii="Times New Roman" w:hAnsi="Times New Roman" w:cs="Times New Roman"/>
          <w:color w:val="000000"/>
          <w:highlight w:val="none"/>
          <w:lang w:val="en-US" w:eastAsia="zh-CN"/>
        </w:rPr>
        <w:t>条</w:t>
      </w:r>
      <w:r>
        <w:rPr>
          <w:rFonts w:hint="default" w:ascii="Times New Roman" w:hAnsi="Times New Roman" w:cs="Times New Roman"/>
          <w:color w:val="000000"/>
          <w:highlight w:val="none"/>
        </w:rPr>
        <w:t>数量范围内</w:t>
      </w:r>
      <w:r>
        <w:rPr>
          <w:rFonts w:hint="default" w:ascii="Times New Roman" w:hAnsi="Times New Roman" w:cs="Times New Roman"/>
          <w:color w:val="000000"/>
          <w:highlight w:val="none"/>
          <w:lang w:val="en-US" w:eastAsia="zh-CN"/>
        </w:rPr>
        <w:t>网络链路</w:t>
      </w:r>
      <w:r>
        <w:rPr>
          <w:rFonts w:hint="default" w:ascii="Times New Roman" w:hAnsi="Times New Roman" w:cs="Times New Roman"/>
          <w:color w:val="000000"/>
          <w:highlight w:val="none"/>
        </w:rPr>
        <w:t>的维护工作。</w:t>
      </w:r>
    </w:p>
    <w:p w14:paraId="5CA64F01">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81" w:name="_Toc1257883765"/>
      <w:bookmarkStart w:id="182" w:name="_Toc10785"/>
      <w:bookmarkStart w:id="183" w:name="_Toc10702"/>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四</w:t>
      </w:r>
      <w:r>
        <w:rPr>
          <w:rFonts w:hint="eastAsia" w:cs="Times New Roman"/>
          <w:color w:val="000000"/>
          <w:sz w:val="24"/>
          <w:szCs w:val="24"/>
          <w:highlight w:val="none"/>
          <w:lang w:eastAsia="zh-CN"/>
        </w:rPr>
        <w:t>）</w:t>
      </w:r>
      <w:r>
        <w:rPr>
          <w:rFonts w:hint="default" w:cs="Times New Roman"/>
          <w:color w:val="000000"/>
          <w:sz w:val="24"/>
          <w:szCs w:val="24"/>
          <w:highlight w:val="none"/>
          <w:lang w:eastAsia="zh-CN"/>
        </w:rPr>
        <w:t>运行维护内容</w:t>
      </w:r>
      <w:bookmarkEnd w:id="181"/>
      <w:bookmarkEnd w:id="182"/>
      <w:bookmarkEnd w:id="183"/>
    </w:p>
    <w:p w14:paraId="47DF3EAC">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84" w:name="_Toc24310069"/>
      <w:bookmarkStart w:id="185" w:name="_Toc521922213"/>
      <w:bookmarkStart w:id="186" w:name="_Toc384460614"/>
      <w:bookmarkStart w:id="187" w:name="_Toc270496119"/>
      <w:bookmarkStart w:id="188" w:name="_Toc87305524"/>
      <w:r>
        <w:rPr>
          <w:rFonts w:hint="eastAsia" w:cs="Times New Roman"/>
          <w:color w:val="000000"/>
          <w:sz w:val="24"/>
          <w:szCs w:val="24"/>
          <w:highlight w:val="none"/>
          <w:lang w:val="en-US" w:eastAsia="zh-CN"/>
        </w:rPr>
        <w:t>1、</w:t>
      </w:r>
      <w:r>
        <w:rPr>
          <w:rFonts w:hint="default" w:cs="Times New Roman"/>
          <w:color w:val="000000"/>
          <w:sz w:val="24"/>
          <w:szCs w:val="24"/>
          <w:highlight w:val="none"/>
          <w:lang w:eastAsia="zh-CN"/>
        </w:rPr>
        <w:t>信息资产统计服务</w:t>
      </w:r>
      <w:bookmarkEnd w:id="184"/>
      <w:bookmarkEnd w:id="185"/>
      <w:bookmarkEnd w:id="186"/>
      <w:bookmarkEnd w:id="187"/>
      <w:bookmarkEnd w:id="188"/>
    </w:p>
    <w:p w14:paraId="58FBAB18">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此项服务为基本服务，包含在运行维护服务中，对郴州市</w:t>
      </w:r>
      <w:r>
        <w:rPr>
          <w:rFonts w:hint="default" w:ascii="Times New Roman" w:hAnsi="Times New Roman" w:eastAsia="宋体" w:cs="Times New Roman"/>
          <w:color w:val="000000"/>
          <w:highlight w:val="none"/>
          <w:lang w:val="en-US" w:eastAsia="zh-CN"/>
        </w:rPr>
        <w:t>电子政务外网</w:t>
      </w:r>
      <w:r>
        <w:rPr>
          <w:rFonts w:hint="default" w:ascii="Times New Roman" w:hAnsi="Times New Roman" w:eastAsia="宋体" w:cs="Times New Roman"/>
          <w:color w:val="000000"/>
          <w:highlight w:val="none"/>
        </w:rPr>
        <w:t>现有的信息资产情况进行统计，更好的提供系统的运行维护服务。</w:t>
      </w:r>
    </w:p>
    <w:p w14:paraId="436C11E6">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服务内容包括：</w:t>
      </w:r>
    </w:p>
    <w:p w14:paraId="1B7B13AC">
      <w:pPr>
        <w:pStyle w:val="33"/>
        <w:pageBreakBefore w:val="0"/>
        <w:numPr>
          <w:ilvl w:val="0"/>
          <w:numId w:val="14"/>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硬件设备型号、数量、版本等信息统计记录；</w:t>
      </w:r>
    </w:p>
    <w:p w14:paraId="025294C5">
      <w:pPr>
        <w:pStyle w:val="33"/>
        <w:pageBreakBefore w:val="0"/>
        <w:numPr>
          <w:ilvl w:val="0"/>
          <w:numId w:val="14"/>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软件产品型号、版本和补丁等信息统计记录；</w:t>
      </w:r>
    </w:p>
    <w:p w14:paraId="720CD63F">
      <w:pPr>
        <w:pStyle w:val="33"/>
        <w:pageBreakBefore w:val="0"/>
        <w:numPr>
          <w:ilvl w:val="0"/>
          <w:numId w:val="14"/>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网络结构、网络路由、网络IP地址统计记录；</w:t>
      </w:r>
    </w:p>
    <w:p w14:paraId="5815DD0D">
      <w:pPr>
        <w:pStyle w:val="33"/>
        <w:pageBreakBefore w:val="0"/>
        <w:numPr>
          <w:ilvl w:val="0"/>
          <w:numId w:val="14"/>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rPr>
        <w:t>其它附属设备的统计记录。</w:t>
      </w:r>
    </w:p>
    <w:p w14:paraId="0BA91A42">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89" w:name="_Toc87305526"/>
      <w:r>
        <w:rPr>
          <w:rFonts w:hint="eastAsia" w:cs="Times New Roman"/>
          <w:color w:val="000000"/>
          <w:sz w:val="24"/>
          <w:szCs w:val="24"/>
          <w:highlight w:val="none"/>
          <w:lang w:val="en-US" w:eastAsia="zh-CN"/>
        </w:rPr>
        <w:t>2、</w:t>
      </w:r>
      <w:r>
        <w:rPr>
          <w:rFonts w:hint="default" w:cs="Times New Roman"/>
          <w:color w:val="000000"/>
          <w:sz w:val="24"/>
          <w:szCs w:val="24"/>
          <w:highlight w:val="none"/>
          <w:lang w:eastAsia="zh-CN"/>
        </w:rPr>
        <w:t>网络链路类运维服务</w:t>
      </w:r>
      <w:bookmarkEnd w:id="189"/>
    </w:p>
    <w:p w14:paraId="4F6E9758">
      <w:pPr>
        <w:pStyle w:val="33"/>
        <w:pageBreakBefore w:val="0"/>
        <w:numPr>
          <w:ilvl w:val="0"/>
          <w:numId w:val="15"/>
        </w:numPr>
        <w:tabs>
          <w:tab w:val="left" w:pos="840"/>
        </w:tabs>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bookmarkStart w:id="190" w:name="_Toc12183_WPSOffice_Level3"/>
      <w:r>
        <w:rPr>
          <w:rFonts w:hint="default" w:ascii="Times New Roman" w:hAnsi="Times New Roman" w:eastAsia="宋体" w:cs="Times New Roman"/>
          <w:color w:val="000000"/>
          <w:highlight w:val="none"/>
          <w:lang w:val="en-US" w:eastAsia="zh-CN"/>
        </w:rPr>
        <w:t>网络链路相关线路</w:t>
      </w:r>
      <w:r>
        <w:rPr>
          <w:rFonts w:hint="default" w:ascii="Times New Roman" w:hAnsi="Times New Roman" w:eastAsia="宋体" w:cs="Times New Roman"/>
          <w:color w:val="000000"/>
          <w:highlight w:val="none"/>
        </w:rPr>
        <w:t>的日常巡检、保养、维护和故障排除工作</w:t>
      </w:r>
      <w:bookmarkEnd w:id="190"/>
      <w:r>
        <w:rPr>
          <w:rFonts w:hint="default" w:ascii="Times New Roman" w:hAnsi="Times New Roman" w:eastAsia="宋体" w:cs="Times New Roman"/>
          <w:color w:val="000000"/>
          <w:highlight w:val="none"/>
        </w:rPr>
        <w:t>。</w:t>
      </w:r>
    </w:p>
    <w:p w14:paraId="2045AAE6">
      <w:pPr>
        <w:pStyle w:val="33"/>
        <w:pageBreakBefore w:val="0"/>
        <w:numPr>
          <w:ilvl w:val="0"/>
          <w:numId w:val="15"/>
        </w:numPr>
        <w:tabs>
          <w:tab w:val="left" w:pos="840"/>
        </w:tabs>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bookmarkStart w:id="191" w:name="_Toc31697_WPSOffice_Level3"/>
      <w:r>
        <w:rPr>
          <w:rFonts w:hint="default" w:ascii="Times New Roman" w:hAnsi="Times New Roman" w:eastAsia="宋体" w:cs="Times New Roman"/>
          <w:color w:val="000000"/>
          <w:highlight w:val="none"/>
          <w:lang w:val="en-US" w:eastAsia="zh-CN"/>
        </w:rPr>
        <w:t>网络链路相关设备的</w:t>
      </w:r>
      <w:r>
        <w:rPr>
          <w:rFonts w:hint="default" w:ascii="Times New Roman" w:hAnsi="Times New Roman" w:eastAsia="宋体" w:cs="Times New Roman"/>
          <w:color w:val="000000"/>
          <w:highlight w:val="none"/>
        </w:rPr>
        <w:t>日常巡检、保养、维护和故障排除工作</w:t>
      </w:r>
      <w:bookmarkEnd w:id="191"/>
      <w:r>
        <w:rPr>
          <w:rFonts w:hint="default" w:ascii="Times New Roman" w:hAnsi="Times New Roman" w:eastAsia="宋体" w:cs="Times New Roman"/>
          <w:color w:val="000000"/>
          <w:highlight w:val="none"/>
        </w:rPr>
        <w:t>。</w:t>
      </w:r>
    </w:p>
    <w:p w14:paraId="0110BDE5">
      <w:pPr>
        <w:pStyle w:val="33"/>
        <w:pageBreakBefore w:val="0"/>
        <w:numPr>
          <w:ilvl w:val="0"/>
          <w:numId w:val="15"/>
        </w:numPr>
        <w:tabs>
          <w:tab w:val="left" w:pos="840"/>
        </w:tabs>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eastAsia="宋体" w:cs="Times New Roman"/>
          <w:color w:val="000000"/>
          <w:highlight w:val="none"/>
          <w:lang w:val="en-US" w:eastAsia="zh-CN"/>
        </w:rPr>
        <w:t>网络链路相关机房的</w:t>
      </w:r>
      <w:r>
        <w:rPr>
          <w:rFonts w:hint="default" w:ascii="Times New Roman" w:hAnsi="Times New Roman" w:eastAsia="宋体" w:cs="Times New Roman"/>
          <w:color w:val="000000"/>
          <w:highlight w:val="none"/>
        </w:rPr>
        <w:t>日常巡检、保养、维护和故障排除工作</w:t>
      </w:r>
      <w:r>
        <w:rPr>
          <w:rFonts w:hint="default" w:ascii="Times New Roman" w:hAnsi="Times New Roman" w:eastAsia="宋体" w:cs="Times New Roman"/>
          <w:color w:val="000000"/>
          <w:highlight w:val="none"/>
          <w:lang w:eastAsia="zh-CN"/>
        </w:rPr>
        <w:t>。</w:t>
      </w:r>
    </w:p>
    <w:p w14:paraId="5E999D15">
      <w:pPr>
        <w:pStyle w:val="33"/>
        <w:pageBreakBefore w:val="0"/>
        <w:numPr>
          <w:ilvl w:val="0"/>
          <w:numId w:val="15"/>
        </w:numPr>
        <w:tabs>
          <w:tab w:val="left" w:pos="840"/>
        </w:tabs>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eastAsia="宋体" w:cs="Times New Roman"/>
          <w:color w:val="000000"/>
          <w:highlight w:val="none"/>
        </w:rPr>
      </w:pPr>
      <w:r>
        <w:rPr>
          <w:rFonts w:hint="default" w:ascii="Times New Roman" w:hAnsi="Times New Roman" w:cs="Times New Roman"/>
          <w:color w:val="000000"/>
          <w:highlight w:val="none"/>
          <w:lang w:val="en-US" w:eastAsia="zh-CN"/>
        </w:rPr>
        <w:t>建设单位或使用单位</w:t>
      </w:r>
      <w:r>
        <w:rPr>
          <w:rFonts w:hint="default" w:ascii="Times New Roman" w:hAnsi="Times New Roman" w:cs="Times New Roman"/>
          <w:color w:val="000000"/>
          <w:highlight w:val="none"/>
        </w:rPr>
        <w:t>重大活动全程提供人员现场保障。</w:t>
      </w:r>
    </w:p>
    <w:p w14:paraId="4D0E43B4">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92" w:name="_Toc1423417287"/>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五</w:t>
      </w:r>
      <w:r>
        <w:rPr>
          <w:rFonts w:hint="eastAsia" w:cs="Times New Roman"/>
          <w:color w:val="000000"/>
          <w:sz w:val="24"/>
          <w:szCs w:val="24"/>
          <w:highlight w:val="none"/>
          <w:lang w:eastAsia="zh-CN"/>
        </w:rPr>
        <w:t>）</w:t>
      </w:r>
      <w:r>
        <w:rPr>
          <w:rFonts w:hint="default" w:cs="Times New Roman"/>
          <w:color w:val="000000"/>
          <w:sz w:val="24"/>
          <w:szCs w:val="24"/>
          <w:highlight w:val="none"/>
          <w:lang w:eastAsia="zh-CN"/>
        </w:rPr>
        <w:t>运行维护方式</w:t>
      </w:r>
      <w:bookmarkEnd w:id="192"/>
    </w:p>
    <w:p w14:paraId="34AB466C">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r>
        <w:rPr>
          <w:rFonts w:hint="eastAsia" w:cs="Times New Roman"/>
          <w:color w:val="000000"/>
          <w:sz w:val="24"/>
          <w:szCs w:val="24"/>
          <w:highlight w:val="none"/>
          <w:lang w:val="en-US" w:eastAsia="zh-CN"/>
        </w:rPr>
        <w:t>1、</w:t>
      </w:r>
      <w:r>
        <w:rPr>
          <w:rFonts w:hint="default" w:cs="Times New Roman"/>
          <w:color w:val="000000"/>
          <w:sz w:val="24"/>
          <w:szCs w:val="24"/>
          <w:highlight w:val="none"/>
          <w:lang w:eastAsia="zh-CN"/>
        </w:rPr>
        <w:t>日常驻地运维服务</w:t>
      </w:r>
    </w:p>
    <w:p w14:paraId="0573B073">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选派</w:t>
      </w:r>
      <w:r>
        <w:rPr>
          <w:rFonts w:hint="default" w:ascii="Times New Roman" w:hAnsi="Times New Roman" w:cs="Times New Roman"/>
          <w:color w:val="000000"/>
          <w:highlight w:val="none"/>
          <w:lang w:val="en-US" w:eastAsia="zh-CN"/>
        </w:rPr>
        <w:t>的</w:t>
      </w:r>
      <w:r>
        <w:rPr>
          <w:rFonts w:hint="default" w:ascii="Times New Roman" w:hAnsi="Times New Roman" w:cs="Times New Roman"/>
          <w:color w:val="000000"/>
          <w:highlight w:val="none"/>
        </w:rPr>
        <w:t>运维工程师</w:t>
      </w:r>
      <w:r>
        <w:rPr>
          <w:rFonts w:hint="default" w:ascii="Times New Roman" w:hAnsi="Times New Roman" w:cs="Times New Roman"/>
          <w:color w:val="000000"/>
          <w:highlight w:val="none"/>
          <w:lang w:val="en-US" w:eastAsia="zh-CN"/>
        </w:rPr>
        <w:t>应</w:t>
      </w:r>
      <w:r>
        <w:rPr>
          <w:rFonts w:hint="default" w:ascii="Times New Roman" w:hAnsi="Times New Roman" w:cs="Times New Roman"/>
          <w:color w:val="000000"/>
          <w:highlight w:val="none"/>
        </w:rPr>
        <w:t>在</w:t>
      </w:r>
      <w:r>
        <w:rPr>
          <w:rFonts w:hint="default" w:ascii="Times New Roman" w:hAnsi="Times New Roman" w:cs="Times New Roman"/>
          <w:color w:val="000000"/>
          <w:highlight w:val="none"/>
          <w:lang w:val="en-US" w:eastAsia="zh-CN"/>
        </w:rPr>
        <w:t>郴州市内</w:t>
      </w:r>
      <w:r>
        <w:rPr>
          <w:rFonts w:hint="default" w:ascii="Times New Roman" w:hAnsi="Times New Roman" w:cs="Times New Roman"/>
          <w:color w:val="000000"/>
          <w:highlight w:val="none"/>
        </w:rPr>
        <w:t>驻点，为</w:t>
      </w:r>
      <w:r>
        <w:rPr>
          <w:rFonts w:hint="default" w:ascii="Times New Roman" w:hAnsi="Times New Roman" w:cs="Times New Roman"/>
          <w:color w:val="000000"/>
          <w:highlight w:val="none"/>
          <w:lang w:val="en-US" w:eastAsia="zh-CN"/>
        </w:rPr>
        <w:t>建设单位</w:t>
      </w:r>
      <w:r>
        <w:rPr>
          <w:rFonts w:hint="default" w:ascii="Times New Roman" w:hAnsi="Times New Roman" w:cs="Times New Roman"/>
          <w:color w:val="000000"/>
          <w:highlight w:val="none"/>
        </w:rPr>
        <w:t>解答日常工作中碰到的问题并提供各种形式的技术服务，配合完成本项目的网络</w:t>
      </w:r>
      <w:r>
        <w:rPr>
          <w:rFonts w:hint="default" w:ascii="Times New Roman" w:hAnsi="Times New Roman" w:cs="Times New Roman"/>
          <w:color w:val="000000"/>
          <w:highlight w:val="none"/>
          <w:lang w:val="en-US" w:eastAsia="zh-CN"/>
        </w:rPr>
        <w:t>的</w:t>
      </w:r>
      <w:r>
        <w:rPr>
          <w:rFonts w:hint="default" w:ascii="Times New Roman" w:hAnsi="Times New Roman" w:cs="Times New Roman"/>
          <w:color w:val="000000"/>
          <w:highlight w:val="none"/>
        </w:rPr>
        <w:t>管理、日常运营操作及使用指导等服务工作，解决运行中的故障和问题，并在</w:t>
      </w:r>
      <w:r>
        <w:rPr>
          <w:rFonts w:hint="default" w:ascii="Times New Roman" w:hAnsi="Times New Roman" w:cs="Times New Roman"/>
          <w:color w:val="000000"/>
          <w:highlight w:val="none"/>
          <w:lang w:val="en-US" w:eastAsia="zh-CN"/>
        </w:rPr>
        <w:t>运维</w:t>
      </w:r>
      <w:r>
        <w:rPr>
          <w:rFonts w:hint="default" w:ascii="Times New Roman" w:hAnsi="Times New Roman" w:cs="Times New Roman"/>
          <w:color w:val="000000"/>
          <w:highlight w:val="none"/>
        </w:rPr>
        <w:t>范围内根据</w:t>
      </w:r>
      <w:r>
        <w:rPr>
          <w:rFonts w:hint="default" w:ascii="Times New Roman" w:hAnsi="Times New Roman" w:cs="Times New Roman"/>
          <w:color w:val="000000"/>
          <w:highlight w:val="none"/>
          <w:lang w:val="en-US" w:eastAsia="zh-CN"/>
        </w:rPr>
        <w:t>建设单位的</w:t>
      </w:r>
      <w:r>
        <w:rPr>
          <w:rFonts w:hint="default" w:ascii="Times New Roman" w:hAnsi="Times New Roman" w:cs="Times New Roman"/>
          <w:color w:val="000000"/>
          <w:highlight w:val="none"/>
        </w:rPr>
        <w:t>业务管理要求完善调整相关</w:t>
      </w:r>
      <w:r>
        <w:rPr>
          <w:rFonts w:hint="default" w:ascii="Times New Roman" w:hAnsi="Times New Roman" w:cs="Times New Roman"/>
          <w:color w:val="000000"/>
          <w:highlight w:val="none"/>
          <w:lang w:val="en-US" w:eastAsia="zh-CN"/>
        </w:rPr>
        <w:t>功能</w:t>
      </w:r>
      <w:r>
        <w:rPr>
          <w:rFonts w:hint="default" w:ascii="Times New Roman" w:hAnsi="Times New Roman" w:cs="Times New Roman"/>
          <w:color w:val="000000"/>
          <w:highlight w:val="none"/>
        </w:rPr>
        <w:t>，使</w:t>
      </w:r>
      <w:r>
        <w:rPr>
          <w:rFonts w:hint="default" w:ascii="Times New Roman" w:hAnsi="Times New Roman" w:cs="Times New Roman"/>
          <w:color w:val="000000"/>
          <w:highlight w:val="none"/>
          <w:lang w:val="en-US" w:eastAsia="zh-CN"/>
        </w:rPr>
        <w:t>网络</w:t>
      </w:r>
      <w:r>
        <w:rPr>
          <w:rFonts w:hint="default" w:ascii="Times New Roman" w:hAnsi="Times New Roman" w:cs="Times New Roman"/>
          <w:color w:val="000000"/>
          <w:highlight w:val="none"/>
        </w:rPr>
        <w:t>能够满足使用目的。</w:t>
      </w:r>
    </w:p>
    <w:p w14:paraId="04D0671A">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r>
        <w:rPr>
          <w:rFonts w:hint="eastAsia" w:cs="Times New Roman"/>
          <w:color w:val="000000"/>
          <w:sz w:val="24"/>
          <w:szCs w:val="24"/>
          <w:highlight w:val="none"/>
          <w:lang w:val="en-US" w:eastAsia="zh-CN"/>
        </w:rPr>
        <w:t>2、</w:t>
      </w:r>
      <w:r>
        <w:rPr>
          <w:rFonts w:hint="default" w:cs="Times New Roman"/>
          <w:color w:val="000000"/>
          <w:sz w:val="24"/>
          <w:szCs w:val="24"/>
          <w:highlight w:val="none"/>
          <w:lang w:eastAsia="zh-CN"/>
        </w:rPr>
        <w:t>电话支持服务</w:t>
      </w:r>
    </w:p>
    <w:p w14:paraId="28FD28C2">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lang w:val="en-US" w:eastAsia="zh-CN"/>
        </w:rPr>
        <w:t>业主或使用单位</w:t>
      </w:r>
      <w:r>
        <w:rPr>
          <w:rFonts w:hint="default" w:ascii="Times New Roman" w:hAnsi="Times New Roman" w:cs="Times New Roman"/>
          <w:color w:val="000000"/>
          <w:highlight w:val="none"/>
        </w:rPr>
        <w:t>在使用过程中，遇到使用中的疑难或者自己不能解决的技术故障时，可通过电话、电子邮件或传真的方式向运维工程师提出服务请求，所有电话、电子邮件、传真都将被记录备案，并跟随问题的全过程。</w:t>
      </w:r>
    </w:p>
    <w:p w14:paraId="0026928E">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运维工程师将首先通过电话支持服务进行响应，向用户提供专业的技术咨询，根据故障现象划分故障的等级，在规定的时间内通过电话帮助</w:t>
      </w:r>
      <w:r>
        <w:rPr>
          <w:rFonts w:hint="default" w:ascii="Times New Roman" w:hAnsi="Times New Roman" w:cs="Times New Roman"/>
          <w:color w:val="000000"/>
          <w:highlight w:val="none"/>
          <w:lang w:val="en-US" w:eastAsia="zh-CN"/>
        </w:rPr>
        <w:t>用户</w:t>
      </w:r>
      <w:r>
        <w:rPr>
          <w:rFonts w:hint="default" w:ascii="Times New Roman" w:hAnsi="Times New Roman" w:cs="Times New Roman"/>
          <w:color w:val="000000"/>
          <w:highlight w:val="none"/>
        </w:rPr>
        <w:t>进行故障定位，并提出解决方案，指导用户排除设备故障，以最快的速度解决系统中出现的问题。（如电话支持无法解决，则进入远程/现场技术支持服务流程）</w:t>
      </w:r>
    </w:p>
    <w:p w14:paraId="7B5BE686">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r>
        <w:rPr>
          <w:rFonts w:hint="eastAsia" w:cs="Times New Roman"/>
          <w:color w:val="000000"/>
          <w:sz w:val="24"/>
          <w:szCs w:val="24"/>
          <w:highlight w:val="none"/>
          <w:lang w:val="en-US" w:eastAsia="zh-CN"/>
        </w:rPr>
        <w:t>3、</w:t>
      </w:r>
      <w:r>
        <w:rPr>
          <w:rFonts w:hint="default" w:cs="Times New Roman"/>
          <w:color w:val="000000"/>
          <w:sz w:val="24"/>
          <w:szCs w:val="24"/>
          <w:highlight w:val="none"/>
          <w:lang w:eastAsia="zh-CN"/>
        </w:rPr>
        <w:t>远程技术支持服务</w:t>
      </w:r>
    </w:p>
    <w:p w14:paraId="26B4178D">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售后工程师在电话指导不能排除故障时，在征得用户同意的前提下，启动远程服务网络，采取2—3名有丰富经验的运维工程师会诊的方式，进行远程登录技术支持，在规定时间内做出响应，保证系统故障的快速诊断和排除。 </w:t>
      </w:r>
    </w:p>
    <w:p w14:paraId="4FD4E0FA">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售后工程师通过诊断，分析故障产生的原因，制定故障解决技术方案，电话通知</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，技术方案经</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批准后，指导</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 xml:space="preserve">的现场技术人员具体实施方案。 </w:t>
      </w:r>
    </w:p>
    <w:p w14:paraId="1269043E">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r>
        <w:rPr>
          <w:rFonts w:hint="eastAsia" w:cs="Times New Roman"/>
          <w:color w:val="000000"/>
          <w:sz w:val="24"/>
          <w:szCs w:val="24"/>
          <w:highlight w:val="none"/>
          <w:lang w:val="en-US" w:eastAsia="zh-CN"/>
        </w:rPr>
        <w:t>4、</w:t>
      </w:r>
      <w:r>
        <w:rPr>
          <w:rFonts w:hint="default" w:cs="Times New Roman"/>
          <w:color w:val="000000"/>
          <w:sz w:val="24"/>
          <w:szCs w:val="24"/>
          <w:highlight w:val="none"/>
          <w:lang w:eastAsia="zh-CN"/>
        </w:rPr>
        <w:t>现场技术支持服务</w:t>
      </w:r>
    </w:p>
    <w:p w14:paraId="18F6942B">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对于通过电话支持服务和远程技术支持服务都不能解决的</w:t>
      </w:r>
      <w:r>
        <w:rPr>
          <w:rFonts w:hint="default" w:ascii="Times New Roman" w:hAnsi="Times New Roman" w:cs="Times New Roman"/>
          <w:color w:val="000000"/>
          <w:highlight w:val="none"/>
          <w:lang w:val="en-US" w:eastAsia="zh-CN"/>
        </w:rPr>
        <w:t>网络</w:t>
      </w:r>
      <w:r>
        <w:rPr>
          <w:rFonts w:hint="default" w:ascii="Times New Roman" w:hAnsi="Times New Roman" w:cs="Times New Roman"/>
          <w:color w:val="000000"/>
          <w:highlight w:val="none"/>
        </w:rPr>
        <w:t xml:space="preserve">故障，售后团队需迅速提供现场支持服务，安排经验丰富的售后工程师赴现场分析故障原因，制定故障解决方案，并最终排除故障。 </w:t>
      </w:r>
    </w:p>
    <w:p w14:paraId="72EA63A5">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售后工程师在进行现场支持服务前应做好以下准备： </w:t>
      </w:r>
    </w:p>
    <w:p w14:paraId="1E2B6380">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了解</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lang w:val="en-US" w:eastAsia="zh-CN"/>
        </w:rPr>
        <w:t>网络</w:t>
      </w:r>
      <w:r>
        <w:rPr>
          <w:rFonts w:hint="default" w:ascii="Times New Roman" w:hAnsi="Times New Roman" w:cs="Times New Roman"/>
          <w:color w:val="000000"/>
          <w:highlight w:val="none"/>
        </w:rPr>
        <w:t>运行情况及系统以往所发生过的问题的处理办法。</w:t>
      </w:r>
    </w:p>
    <w:p w14:paraId="4DF0916B">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 xml:space="preserve">准备现场技术服务工具、技术服务资料、交通工具、必要的备件及软件。 </w:t>
      </w:r>
    </w:p>
    <w:p w14:paraId="0ED6C077">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售后工程师抵达</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现场，首先提交技术服务申请报告给</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负责人签字确认。</w:t>
      </w:r>
    </w:p>
    <w:p w14:paraId="3DCF2D6C">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了解</w:t>
      </w:r>
      <w:r>
        <w:rPr>
          <w:rFonts w:hint="default" w:ascii="Times New Roman" w:hAnsi="Times New Roman" w:cs="Times New Roman"/>
          <w:color w:val="000000"/>
          <w:highlight w:val="none"/>
          <w:lang w:val="en-US" w:eastAsia="zh-CN"/>
        </w:rPr>
        <w:t>网络</w:t>
      </w:r>
      <w:r>
        <w:rPr>
          <w:rFonts w:hint="default" w:ascii="Times New Roman" w:hAnsi="Times New Roman" w:cs="Times New Roman"/>
          <w:color w:val="000000"/>
          <w:highlight w:val="none"/>
        </w:rPr>
        <w:t>运行情况，核实故障现象，并根据故障现象进行故障分析、测试、诊断，并制定故障解决技术方案。技术方案经</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批准后，由</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的技术人员具体实施方案；或在</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允许下，由售后工程师进行具体实施，避免因盲目动手给</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 xml:space="preserve">造成损失。 </w:t>
      </w:r>
    </w:p>
    <w:p w14:paraId="249A934B">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售后工程师在处理故障时不能影响到</w:t>
      </w:r>
      <w:r>
        <w:rPr>
          <w:rFonts w:hint="default" w:ascii="Times New Roman" w:hAnsi="Times New Roman" w:cs="Times New Roman"/>
          <w:color w:val="000000"/>
          <w:highlight w:val="none"/>
          <w:lang w:val="en-US" w:eastAsia="zh-CN"/>
        </w:rPr>
        <w:t>其它设备</w:t>
      </w:r>
      <w:r>
        <w:rPr>
          <w:rFonts w:hint="default" w:ascii="Times New Roman" w:hAnsi="Times New Roman" w:cs="Times New Roman"/>
          <w:color w:val="000000"/>
          <w:highlight w:val="none"/>
        </w:rPr>
        <w:t>的正常运行，并应有</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单位人员在场协同处理；在必须进行系统重装或系统启动等较大运作时，须经</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批准方可实施。</w:t>
      </w:r>
    </w:p>
    <w:p w14:paraId="42001662">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售后工程师在处理故障后，要向</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 xml:space="preserve">维护人员解释故障原因和解决方法，以及在日常维护中的预防措施。 </w:t>
      </w:r>
    </w:p>
    <w:p w14:paraId="1977B6DF">
      <w:pPr>
        <w:pageBreakBefore w:val="0"/>
        <w:numPr>
          <w:ilvl w:val="0"/>
          <w:numId w:val="16"/>
        </w:numPr>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售后工程师在处理故障时，要认真填写《运维服务报告》，并在离开现场前交</w:t>
      </w:r>
      <w:r>
        <w:rPr>
          <w:rFonts w:hint="default" w:ascii="Times New Roman" w:hAnsi="Times New Roman" w:cs="Times New Roman"/>
          <w:color w:val="000000"/>
          <w:highlight w:val="none"/>
          <w:lang w:eastAsia="zh-CN"/>
        </w:rPr>
        <w:t>用户</w:t>
      </w:r>
      <w:r>
        <w:rPr>
          <w:rFonts w:hint="default" w:ascii="Times New Roman" w:hAnsi="Times New Roman" w:cs="Times New Roman"/>
          <w:color w:val="000000"/>
          <w:highlight w:val="none"/>
        </w:rPr>
        <w:t>存档。</w:t>
      </w:r>
    </w:p>
    <w:p w14:paraId="232F99D6">
      <w:pPr>
        <w:pStyle w:val="5"/>
        <w:pageBreakBefore w:val="0"/>
        <w:kinsoku/>
        <w:overflowPunct/>
        <w:topLinePunct w:val="0"/>
        <w:bidi w:val="0"/>
        <w:spacing w:before="0" w:after="0" w:line="460" w:lineRule="exact"/>
        <w:ind w:left="0" w:firstLine="480" w:firstLineChars="200"/>
        <w:textAlignment w:val="auto"/>
        <w:rPr>
          <w:rFonts w:hint="default" w:cs="Times New Roman"/>
          <w:color w:val="000000"/>
          <w:sz w:val="24"/>
          <w:szCs w:val="24"/>
          <w:highlight w:val="none"/>
          <w:lang w:eastAsia="zh-CN"/>
        </w:rPr>
      </w:pPr>
      <w:bookmarkStart w:id="193" w:name="_Toc406515029"/>
      <w:r>
        <w:rPr>
          <w:rFonts w:hint="eastAsia" w:cs="Times New Roman"/>
          <w:color w:val="000000"/>
          <w:sz w:val="24"/>
          <w:szCs w:val="24"/>
          <w:highlight w:val="none"/>
          <w:lang w:eastAsia="zh-CN"/>
        </w:rPr>
        <w:t>（</w:t>
      </w:r>
      <w:r>
        <w:rPr>
          <w:rFonts w:hint="eastAsia" w:cs="Times New Roman"/>
          <w:color w:val="000000"/>
          <w:sz w:val="24"/>
          <w:szCs w:val="24"/>
          <w:highlight w:val="none"/>
          <w:lang w:val="en-US" w:eastAsia="zh-CN"/>
        </w:rPr>
        <w:t>六</w:t>
      </w:r>
      <w:r>
        <w:rPr>
          <w:rFonts w:hint="eastAsia" w:cs="Times New Roman"/>
          <w:color w:val="000000"/>
          <w:sz w:val="24"/>
          <w:szCs w:val="24"/>
          <w:highlight w:val="none"/>
          <w:lang w:eastAsia="zh-CN"/>
        </w:rPr>
        <w:t>）</w:t>
      </w:r>
      <w:r>
        <w:rPr>
          <w:rFonts w:hint="default" w:cs="Times New Roman"/>
          <w:color w:val="000000"/>
          <w:sz w:val="24"/>
          <w:szCs w:val="24"/>
          <w:highlight w:val="none"/>
          <w:lang w:eastAsia="zh-CN"/>
        </w:rPr>
        <w:t>运行维护时间</w:t>
      </w:r>
      <w:bookmarkEnd w:id="193"/>
    </w:p>
    <w:p w14:paraId="331BB56E">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提供7×24小时的故障服务受理，对重大故障提供7×24小时的现场支援，一般故障提供7×8小时的现场支援。</w:t>
      </w:r>
    </w:p>
    <w:p w14:paraId="15086915">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rPr>
        <w:t>技术人员须在5～10分钟内做出电话响应，并迅速判断故障等级和产生的原因，指导用户尽可能先排除故障，如有需要，需立即安排运维工程师赶赴现场，到达现场后，工程师及时诊断及解决问题，</w:t>
      </w:r>
      <w:r>
        <w:rPr>
          <w:rFonts w:hint="default" w:ascii="Times New Roman" w:hAnsi="Times New Roman" w:cs="Times New Roman"/>
          <w:color w:val="000000"/>
          <w:highlight w:val="none"/>
          <w:lang w:val="en-US" w:eastAsia="zh-CN"/>
        </w:rPr>
        <w:t>2</w:t>
      </w:r>
      <w:r>
        <w:rPr>
          <w:rFonts w:hint="default" w:ascii="Times New Roman" w:hAnsi="Times New Roman" w:cs="Times New Roman"/>
          <w:color w:val="000000"/>
          <w:highlight w:val="none"/>
        </w:rPr>
        <w:t>小时内解决故障。重大故障</w:t>
      </w:r>
      <w:r>
        <w:rPr>
          <w:rFonts w:hint="default" w:ascii="Times New Roman" w:hAnsi="Times New Roman" w:cs="Times New Roman"/>
          <w:color w:val="000000"/>
          <w:highlight w:val="none"/>
          <w:lang w:val="en-US" w:eastAsia="zh-CN"/>
        </w:rPr>
        <w:t>2</w:t>
      </w:r>
      <w:r>
        <w:rPr>
          <w:rFonts w:hint="default" w:ascii="Times New Roman" w:hAnsi="Times New Roman" w:cs="Times New Roman"/>
          <w:color w:val="000000"/>
          <w:highlight w:val="none"/>
        </w:rPr>
        <w:t>小时内不能解决的，应提供应急方案保证用户的正常工作秩序并在</w:t>
      </w:r>
      <w:r>
        <w:rPr>
          <w:rFonts w:hint="default" w:ascii="Times New Roman" w:hAnsi="Times New Roman" w:cs="Times New Roman"/>
          <w:color w:val="000000"/>
          <w:highlight w:val="none"/>
          <w:lang w:val="en-US" w:eastAsia="zh-CN"/>
        </w:rPr>
        <w:t>4</w:t>
      </w:r>
      <w:r>
        <w:rPr>
          <w:rFonts w:hint="default" w:ascii="Times New Roman" w:hAnsi="Times New Roman" w:cs="Times New Roman"/>
          <w:color w:val="000000"/>
          <w:highlight w:val="none"/>
        </w:rPr>
        <w:t>小时内解决问题</w:t>
      </w:r>
      <w:r>
        <w:rPr>
          <w:rFonts w:hint="default" w:ascii="Times New Roman" w:hAnsi="Times New Roman" w:cs="Times New Roman"/>
          <w:color w:val="000000"/>
          <w:highlight w:val="none"/>
          <w:lang w:eastAsia="zh-CN"/>
        </w:rPr>
        <w:t>，</w:t>
      </w:r>
      <w:r>
        <w:rPr>
          <w:rFonts w:hint="default" w:ascii="Times New Roman" w:hAnsi="Times New Roman" w:cs="Times New Roman"/>
          <w:color w:val="000000"/>
          <w:highlight w:val="none"/>
          <w:lang w:val="en-US" w:eastAsia="zh-CN"/>
        </w:rPr>
        <w:t>设备出现故障解决</w:t>
      </w:r>
      <w:r>
        <w:rPr>
          <w:rFonts w:hint="default" w:ascii="Times New Roman" w:hAnsi="Times New Roman" w:cs="Times New Roman"/>
          <w:color w:val="000000"/>
          <w:highlight w:val="none"/>
          <w:lang w:eastAsia="zh-CN"/>
        </w:rPr>
        <w:t>超过三个工作日</w:t>
      </w:r>
      <w:r>
        <w:rPr>
          <w:rFonts w:hint="default" w:ascii="Times New Roman" w:hAnsi="Times New Roman" w:cs="Times New Roman"/>
          <w:color w:val="000000"/>
          <w:highlight w:val="none"/>
          <w:lang w:val="en-US" w:eastAsia="zh-CN"/>
        </w:rPr>
        <w:t>的需</w:t>
      </w:r>
      <w:r>
        <w:rPr>
          <w:rFonts w:hint="default" w:ascii="Times New Roman" w:hAnsi="Times New Roman" w:cs="Times New Roman"/>
          <w:color w:val="000000"/>
          <w:highlight w:val="none"/>
          <w:lang w:eastAsia="zh-CN"/>
        </w:rPr>
        <w:t>提供同等性能备机应急使用。</w:t>
      </w:r>
    </w:p>
    <w:p w14:paraId="4EA25254">
      <w:pPr>
        <w:pageBreakBefore w:val="0"/>
        <w:kinsoku/>
        <w:wordWrap/>
        <w:overflowPunct/>
        <w:topLinePunct w:val="0"/>
        <w:autoSpaceDE/>
        <w:autoSpaceDN/>
        <w:bidi w:val="0"/>
        <w:adjustRightInd/>
        <w:snapToGrid/>
        <w:spacing w:line="460" w:lineRule="exact"/>
        <w:ind w:left="0" w:firstLine="420" w:firstLineChars="200"/>
        <w:textAlignment w:val="auto"/>
        <w:rPr>
          <w:rFonts w:hint="default" w:ascii="Times New Roman" w:hAnsi="Times New Roman" w:cs="Times New Roman"/>
          <w:color w:val="000000"/>
          <w:highlight w:val="none"/>
        </w:rPr>
      </w:pPr>
      <w:r>
        <w:rPr>
          <w:rFonts w:hint="default" w:ascii="Times New Roman" w:hAnsi="Times New Roman" w:cs="Times New Roman"/>
          <w:color w:val="000000"/>
          <w:highlight w:val="none"/>
          <w:lang w:val="en-US" w:eastAsia="zh-CN"/>
        </w:rPr>
        <w:t>网络</w:t>
      </w:r>
      <w:r>
        <w:rPr>
          <w:rFonts w:hint="default" w:ascii="Times New Roman" w:hAnsi="Times New Roman" w:cs="Times New Roman"/>
          <w:color w:val="000000"/>
          <w:highlight w:val="none"/>
        </w:rPr>
        <w:t>恢复正常运行后，于3日内提交书面故障报告，报告故障现象、原因，处理方法、配置变更内容、处理结果、可能存在的隐患以及今后避免问题的具体措施等。</w:t>
      </w:r>
    </w:p>
    <w:p w14:paraId="5855390A">
      <w:pPr>
        <w:pStyle w:val="29"/>
        <w:widowControl w:val="0"/>
        <w:numPr>
          <w:ilvl w:val="0"/>
          <w:numId w:val="0"/>
        </w:numPr>
        <w:spacing w:line="360" w:lineRule="auto"/>
        <w:jc w:val="left"/>
        <w:rPr>
          <w:rFonts w:hint="default" w:ascii="宋体" w:hAnsi="宋体" w:cs="宋体"/>
          <w:b/>
          <w:bCs/>
          <w:color w:val="000000"/>
          <w:sz w:val="24"/>
          <w:szCs w:val="24"/>
          <w:highlight w:val="none"/>
          <w:lang w:val="en-US" w:eastAsia="zh-CN"/>
        </w:rPr>
      </w:pPr>
    </w:p>
    <w:p w14:paraId="0B337CE9">
      <w:pPr>
        <w:pStyle w:val="5"/>
        <w:pageBreakBefore w:val="0"/>
        <w:kinsoku/>
        <w:overflowPunct/>
        <w:topLinePunct w:val="0"/>
        <w:bidi w:val="0"/>
        <w:spacing w:before="0" w:after="0" w:line="460" w:lineRule="exact"/>
        <w:ind w:left="0" w:firstLine="480" w:firstLineChars="200"/>
        <w:textAlignment w:val="auto"/>
        <w:rPr>
          <w:rFonts w:hint="eastAsia" w:cs="Times New Roman"/>
          <w:b/>
          <w:bCs/>
          <w:color w:val="000000"/>
          <w:sz w:val="24"/>
          <w:szCs w:val="24"/>
          <w:highlight w:val="none"/>
          <w:lang w:val="en-US" w:eastAsia="zh-CN"/>
        </w:rPr>
      </w:pPr>
      <w:r>
        <w:rPr>
          <w:rFonts w:hint="eastAsia" w:cs="Times New Roman"/>
          <w:b/>
          <w:bCs/>
          <w:color w:val="000000"/>
          <w:sz w:val="24"/>
          <w:szCs w:val="24"/>
          <w:highlight w:val="none"/>
          <w:lang w:val="en-US" w:eastAsia="zh-CN"/>
        </w:rPr>
        <w:t>五、其他事项</w:t>
      </w:r>
    </w:p>
    <w:p w14:paraId="172A75C8">
      <w:pPr>
        <w:pStyle w:val="3"/>
        <w:pageBreakBefore w:val="0"/>
        <w:kinsoku/>
        <w:wordWrap/>
        <w:overflowPunct/>
        <w:topLinePunct w:val="0"/>
        <w:autoSpaceDE/>
        <w:autoSpaceDN/>
        <w:bidi w:val="0"/>
        <w:adjustRightInd/>
        <w:snapToGrid/>
        <w:spacing w:line="460" w:lineRule="exact"/>
        <w:ind w:left="0" w:firstLine="420" w:firstLineChars="200"/>
        <w:textAlignment w:val="auto"/>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1、项目建设期：</w:t>
      </w:r>
      <w:r>
        <w:rPr>
          <w:rFonts w:hint="eastAsia" w:ascii="Times New Roman" w:hAnsi="Times New Roman" w:cs="Times New Roman"/>
          <w:b w:val="0"/>
          <w:bCs w:val="0"/>
          <w:color w:val="auto"/>
          <w:kern w:val="2"/>
          <w:sz w:val="21"/>
          <w:szCs w:val="24"/>
          <w:highlight w:val="none"/>
          <w:lang w:val="en-US" w:eastAsia="zh-CN" w:bidi="ar-SA"/>
        </w:rPr>
        <w:t>郴州市2026年度电子政务外网网络租赁及相关运维服务项目</w:t>
      </w:r>
      <w:r>
        <w:rPr>
          <w:rFonts w:hint="eastAsia" w:ascii="Times New Roman" w:hAnsi="Times New Roman" w:eastAsia="宋体" w:cs="Times New Roman"/>
          <w:b w:val="0"/>
          <w:bCs w:val="0"/>
          <w:color w:val="auto"/>
          <w:kern w:val="2"/>
          <w:sz w:val="21"/>
          <w:szCs w:val="24"/>
          <w:highlight w:val="none"/>
          <w:lang w:val="en-US" w:eastAsia="zh-CN" w:bidi="ar-SA"/>
        </w:rPr>
        <w:t>是一项系统工程，综合考虑实际业务与需求、建设内容及规模、统筹协调及项目风险控制等各种因素，按采购人要求完成所有链路的开通和软硬件设备的安装调试，并进入网络租赁期。本项目所有租赁链路，统一执行当月开通当月计费、未开通不计费的据实结算原则。计费起算节点以链路完成测试，且经使用单位和供应商现场验收确认的实际开通日期为准，按自然月据实折算租赁费用。凡未完成部署、未验收开通、未投入正式业务运行的链路，不产生任何租赁费用，不纳入服务费结算范围。项目服务期内，所有新增、变更、退租的链路资源，均按照实际开通使用时长按月折算结算，杜绝空租计费、预计费、未开通计费等情况，全程以开通验收台账作为结算唯一依据。</w:t>
      </w:r>
    </w:p>
    <w:p w14:paraId="54DD356D">
      <w:pPr>
        <w:pStyle w:val="29"/>
        <w:spacing w:line="360" w:lineRule="auto"/>
        <w:ind w:firstLine="420" w:firstLineChars="200"/>
        <w:jc w:val="left"/>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2、付款方式：</w:t>
      </w:r>
      <w:r>
        <w:rPr>
          <w:rFonts w:hint="eastAsia" w:ascii="Times New Roman" w:hAnsi="Times New Roman" w:cs="Times New Roman"/>
          <w:b w:val="0"/>
          <w:bCs w:val="0"/>
          <w:color w:val="auto"/>
          <w:kern w:val="2"/>
          <w:sz w:val="21"/>
          <w:szCs w:val="24"/>
          <w:highlight w:val="none"/>
          <w:lang w:val="en-US" w:eastAsia="zh-CN" w:bidi="ar-SA"/>
        </w:rPr>
        <w:t>签订合同后，按项目进度付款（具体以双方合同中具体约定）。</w:t>
      </w:r>
    </w:p>
    <w:p w14:paraId="71CDF857">
      <w:pPr>
        <w:pStyle w:val="29"/>
        <w:spacing w:line="360" w:lineRule="auto"/>
        <w:ind w:firstLine="420" w:firstLineChars="200"/>
        <w:jc w:val="left"/>
        <w:rPr>
          <w:rFonts w:hint="eastAsia"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3、报价要求：完成本项目全部内容所需费用的含税价，不高于采购项目的预算，且符合国家有关的价格规定（如有）。</w:t>
      </w:r>
    </w:p>
    <w:p w14:paraId="42766479">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Times New Roman" w:hAnsi="Times New Roman" w:eastAsia="宋体" w:cs="Times New Roman"/>
          <w:b w:val="0"/>
          <w:bCs w:val="0"/>
          <w:snapToGrid w:val="0"/>
          <w:color w:val="auto"/>
          <w:kern w:val="0"/>
          <w:sz w:val="24"/>
          <w:szCs w:val="21"/>
          <w:highlight w:val="none"/>
          <w:lang w:val="en-US" w:eastAsia="zh-CN" w:bidi="ar-SA"/>
        </w:rPr>
      </w:pPr>
      <w:r>
        <w:rPr>
          <w:rFonts w:hint="eastAsia" w:ascii="Times New Roman" w:hAnsi="Times New Roman" w:eastAsia="宋体" w:cs="Times New Roman"/>
          <w:b w:val="0"/>
          <w:bCs w:val="0"/>
          <w:color w:val="auto"/>
          <w:kern w:val="2"/>
          <w:sz w:val="21"/>
          <w:szCs w:val="24"/>
          <w:highlight w:val="none"/>
          <w:lang w:val="en-US" w:eastAsia="zh-CN" w:bidi="ar-SA"/>
        </w:rPr>
        <w:t>4、</w:t>
      </w:r>
      <w:r>
        <w:rPr>
          <w:rFonts w:hint="eastAsia" w:ascii="Times New Roman" w:hAnsi="Times New Roman" w:cs="Times New Roman"/>
          <w:b w:val="0"/>
          <w:bCs w:val="0"/>
          <w:color w:val="auto"/>
          <w:kern w:val="2"/>
          <w:sz w:val="21"/>
          <w:szCs w:val="24"/>
          <w:highlight w:val="none"/>
          <w:lang w:val="en-US" w:eastAsia="zh-CN" w:bidi="ar-SA"/>
        </w:rPr>
        <w:t>整体验收要求：供应商提供所有租赁链路的测试报告，作为项目整体验收依据，由业主单位进行整体验收。</w:t>
      </w:r>
    </w:p>
    <w:p w14:paraId="191CC859">
      <w:pPr>
        <w:pStyle w:val="29"/>
        <w:spacing w:line="360" w:lineRule="auto"/>
        <w:ind w:firstLine="420" w:firstLineChars="200"/>
        <w:jc w:val="left"/>
        <w:rPr>
          <w:rFonts w:hint="eastAsia" w:ascii="Times New Roman" w:hAnsi="Times New Roman" w:cs="Times New Roman"/>
          <w:b w:val="0"/>
          <w:bCs w:val="0"/>
          <w:color w:val="auto"/>
          <w:kern w:val="2"/>
          <w:sz w:val="21"/>
          <w:szCs w:val="24"/>
          <w:highlight w:val="none"/>
          <w:lang w:val="en-US" w:eastAsia="zh-CN" w:bidi="ar-SA"/>
        </w:rPr>
      </w:pPr>
      <w:r>
        <w:rPr>
          <w:rFonts w:hint="eastAsia" w:ascii="Times New Roman" w:hAnsi="Times New Roman" w:cs="Times New Roman"/>
          <w:b w:val="0"/>
          <w:bCs w:val="0"/>
          <w:color w:val="auto"/>
          <w:kern w:val="2"/>
          <w:sz w:val="21"/>
          <w:szCs w:val="24"/>
          <w:highlight w:val="none"/>
          <w:lang w:val="en-US" w:eastAsia="zh-CN" w:bidi="ar-SA"/>
        </w:rPr>
        <w:t>5、项目服务考核内容具体在</w:t>
      </w:r>
      <w:r>
        <w:rPr>
          <w:rFonts w:hint="eastAsia" w:ascii="Times New Roman" w:hAnsi="Times New Roman" w:eastAsia="宋体" w:cs="Times New Roman"/>
          <w:b w:val="0"/>
          <w:bCs w:val="0"/>
          <w:color w:val="auto"/>
          <w:kern w:val="2"/>
          <w:sz w:val="21"/>
          <w:szCs w:val="24"/>
          <w:highlight w:val="none"/>
          <w:lang w:val="en-US" w:eastAsia="zh-CN" w:bidi="ar-SA"/>
        </w:rPr>
        <w:t>双方合同中</w:t>
      </w:r>
      <w:r>
        <w:rPr>
          <w:rFonts w:hint="eastAsia" w:ascii="Times New Roman" w:hAnsi="Times New Roman" w:cs="Times New Roman"/>
          <w:b w:val="0"/>
          <w:bCs w:val="0"/>
          <w:color w:val="auto"/>
          <w:kern w:val="2"/>
          <w:sz w:val="21"/>
          <w:szCs w:val="24"/>
          <w:highlight w:val="none"/>
          <w:lang w:val="en-US" w:eastAsia="zh-CN" w:bidi="ar-SA"/>
        </w:rPr>
        <w:t>细化。</w:t>
      </w:r>
    </w:p>
    <w:p w14:paraId="4E8379E6">
      <w:pPr>
        <w:pStyle w:val="29"/>
        <w:spacing w:line="360" w:lineRule="auto"/>
        <w:ind w:firstLine="420" w:firstLineChars="200"/>
        <w:jc w:val="left"/>
        <w:rPr>
          <w:rFonts w:hint="default" w:ascii="Times New Roman" w:hAnsi="Times New Roman" w:eastAsia="宋体" w:cs="Times New Roman"/>
          <w:b w:val="0"/>
          <w:bCs w:val="0"/>
          <w:color w:val="auto"/>
          <w:kern w:val="2"/>
          <w:sz w:val="21"/>
          <w:szCs w:val="24"/>
          <w:highlight w:val="none"/>
          <w:lang w:val="en-US" w:eastAsia="zh-CN" w:bidi="ar-SA"/>
        </w:rPr>
      </w:pPr>
      <w:r>
        <w:rPr>
          <w:rFonts w:hint="eastAsia" w:ascii="Times New Roman" w:hAnsi="Times New Roman" w:cs="Times New Roman"/>
          <w:b w:val="0"/>
          <w:bCs w:val="0"/>
          <w:color w:val="auto"/>
          <w:kern w:val="2"/>
          <w:sz w:val="21"/>
          <w:szCs w:val="24"/>
          <w:highlight w:val="none"/>
          <w:lang w:val="en-US" w:eastAsia="zh-CN" w:bidi="ar-SA"/>
        </w:rPr>
        <w:t>6、</w:t>
      </w:r>
      <w:r>
        <w:rPr>
          <w:rFonts w:hint="eastAsia" w:ascii="Times New Roman" w:hAnsi="Times New Roman" w:eastAsia="宋体" w:cs="Times New Roman"/>
          <w:b w:val="0"/>
          <w:bCs w:val="0"/>
          <w:color w:val="auto"/>
          <w:kern w:val="2"/>
          <w:sz w:val="21"/>
          <w:szCs w:val="24"/>
          <w:highlight w:val="none"/>
          <w:lang w:val="en-US" w:eastAsia="zh-CN" w:bidi="ar-SA"/>
        </w:rPr>
        <w:t>其他未尽事宜双方合同中约定。</w:t>
      </w:r>
    </w:p>
    <w:p w14:paraId="0149CB61">
      <w:pPr>
        <w:rPr>
          <w:b/>
          <w:bCs/>
          <w:color w:val="auto"/>
          <w:highlight w:val="none"/>
        </w:rPr>
      </w:pPr>
    </w:p>
    <w:p w14:paraId="78A3E26D">
      <w:pPr>
        <w:adjustRightInd w:val="0"/>
        <w:snapToGrid w:val="0"/>
        <w:spacing w:line="360" w:lineRule="auto"/>
        <w:ind w:firstLine="420" w:firstLineChars="200"/>
        <w:jc w:val="left"/>
        <w:outlineLvl w:val="0"/>
        <w:rPr>
          <w:rFonts w:ascii="宋体" w:hAnsi="宋体" w:cs="宋体"/>
          <w:b/>
          <w:bCs/>
          <w:color w:val="auto"/>
          <w:szCs w:val="21"/>
          <w:highlight w:val="none"/>
        </w:rPr>
        <w:sectPr>
          <w:headerReference r:id="rId4" w:type="default"/>
          <w:footerReference r:id="rId5" w:type="default"/>
          <w:pgSz w:w="11906" w:h="16838"/>
          <w:pgMar w:top="1474" w:right="1474" w:bottom="1474" w:left="1588" w:header="851" w:footer="992" w:gutter="0"/>
          <w:pgNumType w:fmt="decimal"/>
          <w:cols w:space="720" w:num="1"/>
          <w:docGrid w:type="linesAndChars" w:linePitch="312" w:charSpace="0"/>
        </w:sectPr>
      </w:pPr>
      <w:r>
        <w:rPr>
          <w:rFonts w:hint="eastAsia" w:ascii="宋体" w:hAnsi="宋体" w:cs="宋体"/>
          <w:b/>
          <w:bCs/>
          <w:color w:val="auto"/>
          <w:szCs w:val="21"/>
          <w:highlight w:val="none"/>
          <w:lang w:eastAsia="zh-CN"/>
        </w:rPr>
        <w:t>注：</w:t>
      </w:r>
      <w:r>
        <w:rPr>
          <w:rFonts w:hint="eastAsia" w:ascii="宋体" w:hAnsi="宋体" w:cs="宋体"/>
          <w:b/>
          <w:bCs/>
          <w:color w:val="auto"/>
          <w:szCs w:val="21"/>
          <w:highlight w:val="none"/>
        </w:rPr>
        <w:t>对于上述要求，投标人不得负偏离，应在投标文件中进行回应，作出承诺</w:t>
      </w:r>
      <w:r>
        <w:rPr>
          <w:rFonts w:hint="eastAsia" w:ascii="宋体" w:hAnsi="宋体" w:cs="宋体"/>
          <w:b/>
          <w:bCs/>
          <w:color w:val="auto"/>
          <w:szCs w:val="21"/>
          <w:highlight w:val="none"/>
          <w:lang w:eastAsia="zh-CN"/>
        </w:rPr>
        <w:t>及说明，否则作无效投标处理</w:t>
      </w:r>
      <w:r>
        <w:rPr>
          <w:rFonts w:hint="eastAsia" w:ascii="宋体" w:hAnsi="宋体" w:cs="宋体"/>
          <w:b/>
          <w:bCs/>
          <w:color w:val="auto"/>
          <w:szCs w:val="21"/>
          <w:highlight w:val="none"/>
        </w:rPr>
        <w:t>。</w:t>
      </w:r>
    </w:p>
    <w:p w14:paraId="4A489C1E">
      <w:pPr>
        <w:rPr>
          <w:rFonts w:hint="eastAsia" w:ascii="黑体" w:hAnsi="华文中宋" w:eastAsia="黑体"/>
          <w:b/>
          <w:sz w:val="32"/>
          <w:szCs w:val="32"/>
        </w:rPr>
      </w:pPr>
    </w:p>
    <w:p w14:paraId="0D593FB4">
      <w:pPr>
        <w:pStyle w:val="12"/>
        <w:adjustRightInd w:val="0"/>
        <w:snapToGrid w:val="0"/>
        <w:spacing w:line="360" w:lineRule="auto"/>
        <w:jc w:val="center"/>
        <w:outlineLvl w:val="0"/>
        <w:rPr>
          <w:rFonts w:hint="eastAsia" w:ascii="黑体" w:hAnsi="华文中宋" w:eastAsia="黑体"/>
          <w:b/>
          <w:sz w:val="32"/>
          <w:szCs w:val="32"/>
        </w:rPr>
      </w:pPr>
      <w:r>
        <w:rPr>
          <w:rFonts w:hint="eastAsia" w:ascii="黑体" w:hAnsi="华文中宋" w:eastAsia="黑体"/>
          <w:b/>
          <w:sz w:val="32"/>
          <w:szCs w:val="32"/>
        </w:rPr>
        <w:t>第六章 政府采购合同</w:t>
      </w:r>
      <w:bookmarkEnd w:id="140"/>
      <w:bookmarkEnd w:id="141"/>
      <w:bookmarkEnd w:id="142"/>
    </w:p>
    <w:p w14:paraId="7DA47C2B">
      <w:pPr>
        <w:snapToGrid w:val="0"/>
        <w:spacing w:before="156"/>
        <w:ind w:firstLine="3255" w:firstLineChars="1550"/>
        <w:jc w:val="right"/>
        <w:textAlignment w:val="baseline"/>
        <w:rPr>
          <w:rFonts w:ascii="宋体" w:hAnsi="宋体"/>
          <w:b/>
          <w:color w:val="auto"/>
          <w:sz w:val="20"/>
          <w:szCs w:val="21"/>
          <w:highlight w:val="none"/>
        </w:rPr>
      </w:pPr>
      <w:bookmarkStart w:id="194" w:name="_Toc21440"/>
      <w:bookmarkStart w:id="195" w:name="_Toc29913947"/>
      <w:r>
        <w:rPr>
          <w:rFonts w:hint="eastAsia" w:ascii="宋体" w:hAnsi="宋体"/>
          <w:color w:val="auto"/>
          <w:szCs w:val="21"/>
          <w:highlight w:val="none"/>
        </w:rPr>
        <w:t>采购合同编号：</w:t>
      </w:r>
    </w:p>
    <w:p w14:paraId="54CFF975">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采购人（全称）：（甲方）</w:t>
      </w:r>
    </w:p>
    <w:p w14:paraId="605236E7">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供应商（全称）：（乙方）</w:t>
      </w:r>
    </w:p>
    <w:p w14:paraId="5D59DDDB">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为了保护甲、乙双方合法权益，根据《</w:t>
      </w:r>
      <w:r>
        <w:rPr>
          <w:rFonts w:hint="eastAsia"/>
          <w:color w:val="auto"/>
          <w:szCs w:val="21"/>
          <w:highlight w:val="none"/>
        </w:rPr>
        <w:t>中国人民共和国民法典</w:t>
      </w:r>
      <w:r>
        <w:rPr>
          <w:rFonts w:hint="eastAsia" w:ascii="宋体" w:hAnsi="宋体"/>
          <w:color w:val="auto"/>
          <w:szCs w:val="21"/>
          <w:highlight w:val="none"/>
        </w:rPr>
        <w:t>》、《中华人民共和国政府采购法》及其他有关法律、法规、规章，双方签订本合同协议书。</w:t>
      </w:r>
    </w:p>
    <w:p w14:paraId="39970D8A">
      <w:pPr>
        <w:snapToGrid w:val="0"/>
        <w:spacing w:before="156" w:line="360" w:lineRule="auto"/>
        <w:ind w:firstLine="422" w:firstLineChars="200"/>
        <w:textAlignment w:val="baseline"/>
        <w:rPr>
          <w:rFonts w:ascii="宋体" w:hAnsi="宋体"/>
          <w:b/>
          <w:color w:val="auto"/>
          <w:sz w:val="20"/>
          <w:szCs w:val="21"/>
          <w:highlight w:val="none"/>
        </w:rPr>
      </w:pPr>
      <w:r>
        <w:rPr>
          <w:rFonts w:hint="eastAsia" w:ascii="宋体" w:hAnsi="宋体"/>
          <w:b/>
          <w:color w:val="auto"/>
          <w:szCs w:val="21"/>
          <w:highlight w:val="none"/>
        </w:rPr>
        <w:t>1.项目信息</w:t>
      </w:r>
    </w:p>
    <w:p w14:paraId="406DDD84">
      <w:pPr>
        <w:snapToGrid w:val="0"/>
        <w:spacing w:before="156" w:line="360" w:lineRule="auto"/>
        <w:ind w:left="420" w:leftChars="200" w:firstLine="480"/>
        <w:textAlignment w:val="baseline"/>
        <w:rPr>
          <w:rFonts w:ascii="宋体" w:hAnsi="宋体"/>
          <w:b/>
          <w:color w:val="auto"/>
          <w:sz w:val="20"/>
          <w:szCs w:val="21"/>
          <w:highlight w:val="none"/>
        </w:rPr>
      </w:pPr>
      <w:r>
        <w:rPr>
          <w:rFonts w:hint="eastAsia" w:ascii="宋体" w:hAnsi="宋体"/>
          <w:color w:val="auto"/>
          <w:szCs w:val="21"/>
          <w:highlight w:val="none"/>
        </w:rPr>
        <w:t>（1）采购项目名称：</w:t>
      </w:r>
    </w:p>
    <w:p w14:paraId="48F66E04">
      <w:pPr>
        <w:snapToGrid w:val="0"/>
        <w:spacing w:before="156" w:line="360" w:lineRule="auto"/>
        <w:ind w:left="420" w:leftChars="200" w:firstLine="480"/>
        <w:textAlignment w:val="baseline"/>
        <w:rPr>
          <w:rFonts w:ascii="宋体" w:hAnsi="宋体"/>
          <w:color w:val="auto"/>
          <w:sz w:val="20"/>
          <w:szCs w:val="21"/>
          <w:highlight w:val="none"/>
        </w:rPr>
      </w:pPr>
      <w:r>
        <w:rPr>
          <w:rFonts w:hint="eastAsia" w:ascii="宋体" w:hAnsi="宋体"/>
          <w:color w:val="auto"/>
          <w:szCs w:val="21"/>
          <w:highlight w:val="none"/>
        </w:rPr>
        <w:t>（2）采购计划编号：</w:t>
      </w:r>
    </w:p>
    <w:p w14:paraId="19F8C161">
      <w:pPr>
        <w:snapToGrid w:val="0"/>
        <w:spacing w:before="156" w:line="360" w:lineRule="auto"/>
        <w:ind w:firstLine="420" w:firstLineChars="200"/>
        <w:textAlignment w:val="baseline"/>
        <w:rPr>
          <w:rFonts w:ascii="宋体" w:hAnsi="宋体"/>
          <w:bCs/>
          <w:color w:val="auto"/>
          <w:sz w:val="20"/>
          <w:szCs w:val="21"/>
          <w:highlight w:val="none"/>
        </w:rPr>
      </w:pPr>
      <w:r>
        <w:rPr>
          <w:rFonts w:hint="eastAsia" w:ascii="宋体" w:hAnsi="宋体"/>
          <w:color w:val="auto"/>
          <w:szCs w:val="21"/>
          <w:highlight w:val="none"/>
        </w:rPr>
        <w:t>（3）项目内容：</w:t>
      </w:r>
    </w:p>
    <w:p w14:paraId="24753493">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 xml:space="preserve">（4）项目负责人： </w:t>
      </w:r>
    </w:p>
    <w:p w14:paraId="290E0780">
      <w:pPr>
        <w:snapToGrid w:val="0"/>
        <w:spacing w:before="156" w:line="276" w:lineRule="auto"/>
        <w:ind w:left="413" w:firstLine="482"/>
        <w:textAlignment w:val="baseline"/>
        <w:rPr>
          <w:rFonts w:ascii="宋体" w:hAnsi="宋体"/>
          <w:b/>
          <w:color w:val="auto"/>
          <w:sz w:val="20"/>
          <w:szCs w:val="21"/>
          <w:highlight w:val="none"/>
        </w:rPr>
      </w:pPr>
      <w:r>
        <w:rPr>
          <w:rFonts w:hint="eastAsia" w:ascii="宋体" w:hAnsi="宋体"/>
          <w:b/>
          <w:color w:val="auto"/>
          <w:szCs w:val="21"/>
          <w:highlight w:val="none"/>
        </w:rPr>
        <w:t>2. 合同金额</w:t>
      </w:r>
    </w:p>
    <w:p w14:paraId="1AB64DA8">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（1）合同金额小写：</w:t>
      </w:r>
    </w:p>
    <w:p w14:paraId="6669AD9F">
      <w:pPr>
        <w:snapToGrid w:val="0"/>
        <w:spacing w:before="156" w:line="360" w:lineRule="auto"/>
        <w:ind w:firstLine="1260" w:firstLineChars="600"/>
        <w:textAlignment w:val="baseline"/>
        <w:rPr>
          <w:rFonts w:ascii="宋体" w:hAnsi="宋体"/>
          <w:b/>
          <w:color w:val="auto"/>
          <w:sz w:val="20"/>
          <w:szCs w:val="21"/>
          <w:highlight w:val="none"/>
        </w:rPr>
      </w:pPr>
      <w:r>
        <w:rPr>
          <w:rFonts w:hint="eastAsia" w:ascii="宋体" w:hAnsi="宋体"/>
          <w:color w:val="auto"/>
          <w:szCs w:val="21"/>
          <w:highlight w:val="none"/>
        </w:rPr>
        <w:t>大写：</w:t>
      </w:r>
    </w:p>
    <w:p w14:paraId="786A03B4">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（2合同价格形式：总价合同</w:t>
      </w:r>
    </w:p>
    <w:p w14:paraId="5401EE60">
      <w:pPr>
        <w:snapToGrid w:val="0"/>
        <w:spacing w:before="156" w:line="360" w:lineRule="auto"/>
        <w:ind w:firstLine="422" w:firstLineChars="200"/>
        <w:textAlignment w:val="baseline"/>
        <w:rPr>
          <w:rFonts w:ascii="宋体" w:hAnsi="宋体"/>
          <w:color w:val="auto"/>
          <w:sz w:val="20"/>
          <w:szCs w:val="21"/>
          <w:highlight w:val="none"/>
          <w:u w:val="single"/>
        </w:rPr>
      </w:pPr>
      <w:r>
        <w:rPr>
          <w:rFonts w:hint="eastAsia" w:ascii="宋体" w:hAnsi="宋体"/>
          <w:b/>
          <w:color w:val="auto"/>
          <w:szCs w:val="21"/>
          <w:highlight w:val="none"/>
        </w:rPr>
        <w:t>3.履行合同的时间、地点及方式</w:t>
      </w:r>
    </w:p>
    <w:p w14:paraId="63FC35CE">
      <w:pPr>
        <w:snapToGrid w:val="0"/>
        <w:spacing w:before="156" w:line="360" w:lineRule="auto"/>
        <w:ind w:firstLine="630" w:firstLineChars="300"/>
        <w:textAlignment w:val="baseline"/>
        <w:rPr>
          <w:rFonts w:ascii="宋体" w:hAnsi="宋体"/>
          <w:color w:val="auto"/>
          <w:sz w:val="20"/>
          <w:szCs w:val="21"/>
          <w:highlight w:val="none"/>
        </w:rPr>
      </w:pPr>
      <w:r>
        <w:rPr>
          <w:rFonts w:hint="eastAsia" w:ascii="宋体" w:hAnsi="宋体"/>
          <w:color w:val="auto"/>
          <w:szCs w:val="21"/>
          <w:highlight w:val="none"/>
        </w:rPr>
        <w:t>起始日期：年  月  日，完成日期：  年  月  日。总日历天数：</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w:t>
      </w:r>
    </w:p>
    <w:p w14:paraId="1B976658">
      <w:pPr>
        <w:snapToGrid w:val="0"/>
        <w:spacing w:before="156" w:line="360" w:lineRule="auto"/>
        <w:ind w:firstLine="630" w:firstLineChars="300"/>
        <w:textAlignment w:val="baseline"/>
        <w:rPr>
          <w:rFonts w:ascii="宋体" w:hAnsi="宋体"/>
          <w:color w:val="auto"/>
          <w:sz w:val="20"/>
          <w:szCs w:val="21"/>
          <w:highlight w:val="none"/>
          <w:u w:val="single"/>
        </w:rPr>
      </w:pPr>
      <w:r>
        <w:rPr>
          <w:rFonts w:hint="eastAsia" w:ascii="宋体" w:hAnsi="宋体"/>
          <w:color w:val="auto"/>
          <w:szCs w:val="21"/>
          <w:highlight w:val="none"/>
        </w:rPr>
        <w:t>地点</w:t>
      </w:r>
      <w:r>
        <w:rPr>
          <w:rFonts w:hint="eastAsia" w:ascii="宋体" w:hAnsi="宋体"/>
          <w:b/>
          <w:color w:val="auto"/>
          <w:szCs w:val="21"/>
          <w:highlight w:val="none"/>
        </w:rPr>
        <w:t>：具体以</w:t>
      </w:r>
      <w:r>
        <w:rPr>
          <w:rFonts w:hint="eastAsia" w:ascii="宋体" w:cs="宋体"/>
          <w:color w:val="auto"/>
          <w:kern w:val="0"/>
          <w:szCs w:val="21"/>
          <w:highlight w:val="none"/>
          <w:lang w:val="zh-CN"/>
        </w:rPr>
        <w:t>采购人指定地点为准</w:t>
      </w:r>
    </w:p>
    <w:p w14:paraId="1419A7B8">
      <w:pPr>
        <w:snapToGrid w:val="0"/>
        <w:spacing w:before="156" w:line="360" w:lineRule="auto"/>
        <w:ind w:firstLine="630" w:firstLineChars="300"/>
        <w:textAlignment w:val="baseline"/>
        <w:rPr>
          <w:rFonts w:ascii="宋体" w:hAnsi="宋体"/>
          <w:color w:val="auto"/>
          <w:sz w:val="20"/>
          <w:szCs w:val="21"/>
          <w:highlight w:val="none"/>
        </w:rPr>
      </w:pPr>
      <w:r>
        <w:rPr>
          <w:rFonts w:hint="eastAsia" w:ascii="宋体" w:hAnsi="宋体"/>
          <w:color w:val="auto"/>
          <w:szCs w:val="21"/>
          <w:highlight w:val="none"/>
        </w:rPr>
        <w:t>交货方式：</w:t>
      </w:r>
    </w:p>
    <w:p w14:paraId="736DE22F">
      <w:pPr>
        <w:snapToGrid w:val="0"/>
        <w:spacing w:before="156" w:line="360" w:lineRule="auto"/>
        <w:ind w:firstLine="422" w:firstLineChars="200"/>
        <w:textAlignment w:val="baseline"/>
        <w:rPr>
          <w:rFonts w:ascii="宋体" w:hAnsi="宋体"/>
          <w:b/>
          <w:color w:val="auto"/>
          <w:sz w:val="20"/>
          <w:szCs w:val="21"/>
          <w:highlight w:val="none"/>
        </w:rPr>
      </w:pPr>
      <w:r>
        <w:rPr>
          <w:rFonts w:hint="eastAsia" w:ascii="宋体" w:hAnsi="宋体"/>
          <w:b/>
          <w:color w:val="auto"/>
          <w:szCs w:val="21"/>
          <w:highlight w:val="none"/>
        </w:rPr>
        <w:t>4.付款：</w:t>
      </w:r>
    </w:p>
    <w:p w14:paraId="39214065">
      <w:pPr>
        <w:snapToGrid w:val="0"/>
        <w:spacing w:before="156" w:line="360" w:lineRule="auto"/>
        <w:ind w:firstLine="480"/>
        <w:textAlignment w:val="baseline"/>
        <w:rPr>
          <w:rFonts w:ascii="宋体" w:hAnsi="宋体" w:cs="方正小标宋简体"/>
          <w:color w:val="auto"/>
          <w:sz w:val="20"/>
          <w:szCs w:val="21"/>
          <w:highlight w:val="none"/>
        </w:rPr>
      </w:pPr>
      <w:r>
        <w:rPr>
          <w:rFonts w:hint="eastAsia" w:ascii="宋体" w:hAnsi="宋体"/>
          <w:color w:val="auto"/>
          <w:szCs w:val="21"/>
          <w:highlight w:val="none"/>
        </w:rPr>
        <w:t>（1 ）</w:t>
      </w:r>
      <w:r>
        <w:rPr>
          <w:rFonts w:hint="eastAsia" w:ascii="宋体" w:hAnsi="宋体" w:cs="方正小标宋简体"/>
          <w:color w:val="auto"/>
          <w:szCs w:val="21"/>
          <w:highlight w:val="none"/>
        </w:rPr>
        <w:t>付款方式：</w:t>
      </w:r>
    </w:p>
    <w:p w14:paraId="67A97465">
      <w:pPr>
        <w:snapToGrid w:val="0"/>
        <w:spacing w:line="0" w:lineRule="atLeast"/>
        <w:ind w:firstLine="420" w:firstLineChars="200"/>
        <w:jc w:val="left"/>
        <w:textAlignment w:val="baseline"/>
        <w:rPr>
          <w:rFonts w:ascii="宋体" w:hAnsi="宋体" w:cs="方正小标宋简体"/>
          <w:color w:val="auto"/>
          <w:sz w:val="20"/>
          <w:szCs w:val="21"/>
          <w:highlight w:val="none"/>
        </w:rPr>
      </w:pPr>
      <w:r>
        <w:rPr>
          <w:rFonts w:hint="eastAsia" w:ascii="宋体" w:hAnsi="宋体" w:cs="方正小标宋简体"/>
          <w:color w:val="auto"/>
          <w:szCs w:val="21"/>
          <w:highlight w:val="none"/>
        </w:rPr>
        <w:t>甲方采用转账方式进行付款至乙方以下账户：</w:t>
      </w:r>
    </w:p>
    <w:p w14:paraId="2ED3B011">
      <w:pPr>
        <w:snapToGrid w:val="0"/>
        <w:spacing w:line="0" w:lineRule="atLeast"/>
        <w:ind w:firstLine="420" w:firstLineChars="200"/>
        <w:jc w:val="left"/>
        <w:textAlignment w:val="baseline"/>
        <w:rPr>
          <w:rFonts w:ascii="宋体" w:hAnsi="宋体" w:cs="方正小标宋简体"/>
          <w:color w:val="auto"/>
          <w:sz w:val="20"/>
          <w:szCs w:val="21"/>
          <w:highlight w:val="none"/>
        </w:rPr>
      </w:pPr>
      <w:r>
        <w:rPr>
          <w:rFonts w:hint="eastAsia" w:ascii="宋体" w:hAnsi="宋体" w:cs="方正小标宋简体"/>
          <w:color w:val="auto"/>
          <w:szCs w:val="21"/>
          <w:highlight w:val="none"/>
        </w:rPr>
        <w:t>账户名：</w:t>
      </w:r>
    </w:p>
    <w:p w14:paraId="437BCC0B">
      <w:pPr>
        <w:snapToGrid w:val="0"/>
        <w:spacing w:line="0" w:lineRule="atLeast"/>
        <w:ind w:firstLine="420" w:firstLineChars="200"/>
        <w:jc w:val="left"/>
        <w:textAlignment w:val="baseline"/>
        <w:rPr>
          <w:rFonts w:ascii="宋体" w:hAnsi="宋体" w:cs="方正小标宋简体"/>
          <w:color w:val="auto"/>
          <w:sz w:val="20"/>
          <w:szCs w:val="21"/>
          <w:highlight w:val="none"/>
        </w:rPr>
      </w:pPr>
      <w:r>
        <w:rPr>
          <w:rFonts w:hint="eastAsia" w:ascii="宋体" w:hAnsi="宋体" w:cs="方正小标宋简体"/>
          <w:color w:val="auto"/>
          <w:szCs w:val="21"/>
          <w:highlight w:val="none"/>
        </w:rPr>
        <w:t>开户行：</w:t>
      </w:r>
    </w:p>
    <w:p w14:paraId="03123129">
      <w:pPr>
        <w:snapToGrid w:val="0"/>
        <w:spacing w:line="0" w:lineRule="atLeast"/>
        <w:ind w:firstLine="420" w:firstLineChars="200"/>
        <w:jc w:val="left"/>
        <w:textAlignment w:val="baseline"/>
        <w:rPr>
          <w:rFonts w:ascii="宋体" w:hAnsi="宋体" w:cs="方正小标宋简体"/>
          <w:color w:val="auto"/>
          <w:sz w:val="20"/>
          <w:szCs w:val="21"/>
          <w:highlight w:val="none"/>
        </w:rPr>
      </w:pPr>
      <w:r>
        <w:rPr>
          <w:rFonts w:hint="eastAsia" w:ascii="宋体" w:hAnsi="宋体" w:cs="方正小标宋简体"/>
          <w:color w:val="auto"/>
          <w:szCs w:val="21"/>
          <w:highlight w:val="none"/>
        </w:rPr>
        <w:t>账号：</w:t>
      </w:r>
    </w:p>
    <w:p w14:paraId="7780066A">
      <w:pPr>
        <w:snapToGrid w:val="0"/>
        <w:spacing w:before="156" w:line="360" w:lineRule="auto"/>
        <w:ind w:firstLine="422" w:firstLineChars="200"/>
        <w:textAlignment w:val="baseline"/>
        <w:rPr>
          <w:rFonts w:ascii="宋体" w:hAnsi="宋体"/>
          <w:b/>
          <w:color w:val="auto"/>
          <w:sz w:val="20"/>
          <w:szCs w:val="21"/>
          <w:highlight w:val="none"/>
        </w:rPr>
      </w:pPr>
      <w:r>
        <w:rPr>
          <w:rFonts w:hint="eastAsia" w:ascii="宋体" w:hAnsi="宋体"/>
          <w:b/>
          <w:color w:val="auto"/>
          <w:szCs w:val="21"/>
          <w:highlight w:val="none"/>
        </w:rPr>
        <w:t>5.解决合同纠纷方式</w:t>
      </w:r>
    </w:p>
    <w:p w14:paraId="75B91B4F">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首先通过双方协商解决，协商解决不成，则通过以下途径之一解决纠纷：</w:t>
      </w:r>
    </w:p>
    <w:p w14:paraId="5E498E77">
      <w:pPr>
        <w:snapToGrid w:val="0"/>
        <w:spacing w:before="156" w:line="360" w:lineRule="auto"/>
        <w:ind w:firstLine="840" w:firstLineChars="400"/>
        <w:textAlignment w:val="baseline"/>
        <w:rPr>
          <w:rFonts w:ascii="宋体" w:hAnsi="宋体"/>
          <w:color w:val="auto"/>
          <w:sz w:val="20"/>
          <w:szCs w:val="21"/>
          <w:highlight w:val="none"/>
        </w:rPr>
      </w:pPr>
      <w:r>
        <w:rPr>
          <w:rFonts w:hint="eastAsia" w:ascii="宋体" w:hAnsi="宋体"/>
          <w:color w:val="auto"/>
          <w:szCs w:val="21"/>
          <w:highlight w:val="none"/>
        </w:rPr>
        <w:t>■ 提请仲裁       □ 向人民法院提起诉讼</w:t>
      </w:r>
    </w:p>
    <w:p w14:paraId="70EE3559">
      <w:pPr>
        <w:snapToGrid w:val="0"/>
        <w:spacing w:before="156" w:line="360" w:lineRule="auto"/>
        <w:ind w:firstLine="422" w:firstLineChars="200"/>
        <w:textAlignment w:val="baseline"/>
        <w:rPr>
          <w:rFonts w:ascii="宋体" w:hAnsi="宋体"/>
          <w:b/>
          <w:color w:val="auto"/>
          <w:sz w:val="20"/>
          <w:szCs w:val="21"/>
          <w:highlight w:val="none"/>
        </w:rPr>
      </w:pPr>
      <w:r>
        <w:rPr>
          <w:rFonts w:hint="eastAsia" w:ascii="宋体" w:hAnsi="宋体"/>
          <w:b/>
          <w:color w:val="auto"/>
          <w:szCs w:val="21"/>
          <w:highlight w:val="none"/>
        </w:rPr>
        <w:t>6.组成合同的文件</w:t>
      </w:r>
    </w:p>
    <w:p w14:paraId="6A6C4AFC">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7BDA4329">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26EAD071">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（2）本合同协议书</w:t>
      </w:r>
    </w:p>
    <w:p w14:paraId="46D64985">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（3）中标通知书</w:t>
      </w:r>
    </w:p>
    <w:p w14:paraId="7AE4B199">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（4）投标文件</w:t>
      </w:r>
    </w:p>
    <w:p w14:paraId="5BC385EF">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（5）政府采购合同专用条款</w:t>
      </w:r>
    </w:p>
    <w:p w14:paraId="307A2A8B">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（6）政府采购合同通用条款</w:t>
      </w:r>
    </w:p>
    <w:p w14:paraId="1EAAA92A">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（7）标准、规范及有关技术文件，图纸。</w:t>
      </w:r>
    </w:p>
    <w:p w14:paraId="0D16F0D2">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（8）其他合同文件。</w:t>
      </w:r>
    </w:p>
    <w:p w14:paraId="0054BB9B">
      <w:pPr>
        <w:snapToGrid w:val="0"/>
        <w:spacing w:before="156" w:line="360" w:lineRule="auto"/>
        <w:ind w:firstLine="310" w:firstLineChars="147"/>
        <w:textAlignment w:val="baseline"/>
        <w:rPr>
          <w:rFonts w:ascii="宋体" w:hAnsi="宋体"/>
          <w:b/>
          <w:color w:val="auto"/>
          <w:sz w:val="20"/>
          <w:szCs w:val="21"/>
          <w:highlight w:val="none"/>
        </w:rPr>
      </w:pPr>
      <w:r>
        <w:rPr>
          <w:rFonts w:hint="eastAsia" w:ascii="宋体" w:hAnsi="宋体"/>
          <w:b/>
          <w:color w:val="auto"/>
          <w:szCs w:val="21"/>
          <w:highlight w:val="none"/>
        </w:rPr>
        <w:t>7.合同生效</w:t>
      </w:r>
    </w:p>
    <w:p w14:paraId="7495D07D">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本合同自生效。</w:t>
      </w:r>
    </w:p>
    <w:p w14:paraId="254D9187">
      <w:pPr>
        <w:snapToGrid w:val="0"/>
        <w:spacing w:before="156" w:line="360" w:lineRule="auto"/>
        <w:ind w:firstLine="310" w:firstLineChars="147"/>
        <w:textAlignment w:val="baseline"/>
        <w:rPr>
          <w:rFonts w:ascii="宋体" w:hAnsi="宋体"/>
          <w:b/>
          <w:color w:val="auto"/>
          <w:sz w:val="20"/>
          <w:szCs w:val="21"/>
          <w:highlight w:val="none"/>
        </w:rPr>
      </w:pPr>
      <w:r>
        <w:rPr>
          <w:rFonts w:hint="eastAsia" w:ascii="宋体" w:hAnsi="宋体"/>
          <w:b/>
          <w:color w:val="auto"/>
          <w:szCs w:val="21"/>
          <w:highlight w:val="none"/>
        </w:rPr>
        <w:t>8.合同份数</w:t>
      </w:r>
    </w:p>
    <w:p w14:paraId="48E2EDB8">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本合同一式份，采购人执份，供应商执份，均具有同等法律效力。</w:t>
      </w:r>
    </w:p>
    <w:p w14:paraId="138295C7">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合同订立时间：年月日</w:t>
      </w:r>
    </w:p>
    <w:p w14:paraId="5AEB8531">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合同订立地点：</w:t>
      </w:r>
    </w:p>
    <w:p w14:paraId="27F4AF0E">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甲      方：（公章）                     乙      方：（公章）</w:t>
      </w:r>
    </w:p>
    <w:p w14:paraId="6F3CEA5B">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法定代表人：                            法定代表人：</w:t>
      </w:r>
    </w:p>
    <w:p w14:paraId="0E7EC25A">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委托代理人：                             委托代理人：</w:t>
      </w:r>
    </w:p>
    <w:p w14:paraId="3DD2EABE">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电      话：                             电      话：</w:t>
      </w:r>
    </w:p>
    <w:p w14:paraId="78ED0A9C">
      <w:pPr>
        <w:snapToGrid w:val="0"/>
        <w:spacing w:before="156" w:line="360" w:lineRule="auto"/>
        <w:ind w:firstLine="480"/>
        <w:textAlignment w:val="baseline"/>
        <w:rPr>
          <w:rFonts w:ascii="宋体" w:hAnsi="宋体"/>
          <w:color w:val="auto"/>
          <w:sz w:val="20"/>
          <w:szCs w:val="21"/>
          <w:highlight w:val="none"/>
        </w:rPr>
      </w:pPr>
      <w:r>
        <w:rPr>
          <w:rFonts w:hint="eastAsia" w:ascii="宋体" w:hAnsi="宋体"/>
          <w:color w:val="auto"/>
          <w:szCs w:val="21"/>
          <w:highlight w:val="none"/>
        </w:rPr>
        <w:t>传      真：                             传      真：</w:t>
      </w:r>
    </w:p>
    <w:p w14:paraId="18A4E3BC">
      <w:pPr>
        <w:snapToGrid w:val="0"/>
        <w:spacing w:before="156" w:line="360" w:lineRule="auto"/>
        <w:ind w:firstLine="420" w:firstLineChars="200"/>
        <w:textAlignment w:val="baseline"/>
        <w:rPr>
          <w:rFonts w:ascii="宋体" w:hAnsi="宋体"/>
          <w:color w:val="auto"/>
          <w:sz w:val="20"/>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 xml:space="preserve"> 开 户 银 行：             账号：</w:t>
      </w:r>
    </w:p>
    <w:p w14:paraId="59AC79B3">
      <w:pPr>
        <w:pStyle w:val="4"/>
        <w:adjustRightInd w:val="0"/>
        <w:snapToGrid w:val="0"/>
        <w:spacing w:before="156" w:beforeLines="50"/>
        <w:ind w:firstLine="422"/>
        <w:jc w:val="center"/>
        <w:rPr>
          <w:rFonts w:ascii="黑体" w:hAnsi="黑体" w:eastAsia="黑体"/>
          <w:color w:val="auto"/>
          <w:sz w:val="28"/>
          <w:szCs w:val="28"/>
          <w:highlight w:val="none"/>
        </w:rPr>
      </w:pPr>
      <w:r>
        <w:rPr>
          <w:rFonts w:ascii="宋体" w:hAnsi="宋体"/>
          <w:color w:val="auto"/>
          <w:sz w:val="21"/>
          <w:szCs w:val="21"/>
          <w:highlight w:val="none"/>
          <w:u w:val="single"/>
        </w:rPr>
        <w:br w:type="page"/>
      </w:r>
      <w:bookmarkStart w:id="196" w:name="_Toc29913946"/>
      <w:bookmarkStart w:id="197" w:name="_Toc27676"/>
      <w:r>
        <w:rPr>
          <w:rFonts w:hint="eastAsia" w:ascii="黑体" w:hAnsi="黑体" w:eastAsia="黑体"/>
          <w:color w:val="auto"/>
          <w:sz w:val="28"/>
          <w:szCs w:val="28"/>
          <w:highlight w:val="none"/>
        </w:rPr>
        <w:t>第二节 政府采购合同通用条款</w:t>
      </w:r>
      <w:bookmarkEnd w:id="196"/>
      <w:bookmarkEnd w:id="197"/>
    </w:p>
    <w:p w14:paraId="383CD6F5">
      <w:pPr>
        <w:tabs>
          <w:tab w:val="left" w:pos="8820"/>
          <w:tab w:val="left" w:pos="9345"/>
          <w:tab w:val="left" w:pos="9765"/>
        </w:tabs>
        <w:adjustRightInd w:val="0"/>
        <w:snapToGrid w:val="0"/>
        <w:spacing w:before="50" w:line="360" w:lineRule="auto"/>
        <w:ind w:firstLine="482"/>
        <w:jc w:val="left"/>
        <w:rPr>
          <w:rFonts w:ascii="宋体" w:hAnsi="宋体"/>
          <w:b/>
          <w:bCs/>
          <w:color w:val="auto"/>
          <w:sz w:val="24"/>
          <w:highlight w:val="none"/>
        </w:rPr>
      </w:pPr>
      <w:r>
        <w:rPr>
          <w:rFonts w:hint="eastAsia" w:ascii="宋体" w:hAnsi="宋体"/>
          <w:b/>
          <w:color w:val="auto"/>
          <w:sz w:val="24"/>
          <w:highlight w:val="none"/>
        </w:rPr>
        <w:t>1.</w:t>
      </w:r>
      <w:r>
        <w:rPr>
          <w:rFonts w:hint="eastAsia" w:ascii="宋体" w:hAnsi="宋体"/>
          <w:b/>
          <w:bCs/>
          <w:color w:val="auto"/>
          <w:sz w:val="24"/>
          <w:highlight w:val="none"/>
        </w:rPr>
        <w:t>定义</w:t>
      </w:r>
    </w:p>
    <w:p w14:paraId="181C356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1.1合同当事人</w:t>
      </w:r>
    </w:p>
    <w:p w14:paraId="65EC303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（1）采购人（以下称甲方）是指使用财政性资金，通过政府采购程序向供应商购买货物、服务的国家机关、事业单位、团体组织。本次采购的甲方名称、地址见</w:t>
      </w:r>
      <w:r>
        <w:rPr>
          <w:rFonts w:hint="eastAsia" w:ascii="宋体" w:hAnsi="宋体"/>
          <w:b/>
          <w:color w:val="auto"/>
          <w:szCs w:val="21"/>
          <w:highlight w:val="none"/>
        </w:rPr>
        <w:t>【政府采购合同专用条款】。</w:t>
      </w:r>
    </w:p>
    <w:p w14:paraId="7CA5D477">
      <w:pPr>
        <w:autoSpaceDE w:val="0"/>
        <w:autoSpaceDN w:val="0"/>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（2）供应商（以下称乙方）是指参加政府采购活动而取得中标结果，并向采购人提供货物、服务的法人、其他组织或者自然人。</w:t>
      </w:r>
    </w:p>
    <w:p w14:paraId="340EE61F">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1.2本合同下列术语应解释为：</w:t>
      </w:r>
    </w:p>
    <w:p w14:paraId="1E0E5DAF">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（1）“合同”系指甲乙双方签署的、政府采购合同协议书中载明的甲乙双方所达成的协议，包括所有的附件、附录和上述文件所提到的构成合同的所有文件。</w:t>
      </w:r>
    </w:p>
    <w:p w14:paraId="5E91F0FA">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（2）“合同价”系指根据本合同规定乙方在正确地完全履行合同义务后甲方应支付给乙方的价款。</w:t>
      </w:r>
    </w:p>
    <w:p w14:paraId="03850EC6">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（3）“货物”系指乙方根据本合同规定须向甲方提供的各种形态和种类的物品，包括原材料、设备、产品（包括软件）及相关的其备品备件、工具、手册及其它技术资料和材料。</w:t>
      </w:r>
    </w:p>
    <w:p w14:paraId="3D67ACD4">
      <w:pPr>
        <w:tabs>
          <w:tab w:val="left" w:pos="570"/>
          <w:tab w:val="left" w:pos="888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服务”系指根据合同规定，乙方应提供的技术、管理和其它服务，包括但不限于：管理和质量保证、运输、保险、检验、现场准备、安装、集成、调试、培训、维修、技术支持等以及合同中规定乙方应承担的其它义务。</w:t>
      </w:r>
    </w:p>
    <w:p w14:paraId="4E8EA965">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（5）“合同条款”系指本合同条款。</w:t>
      </w:r>
    </w:p>
    <w:p w14:paraId="0647D23A">
      <w:pPr>
        <w:tabs>
          <w:tab w:val="left" w:pos="570"/>
          <w:tab w:val="left" w:pos="9240"/>
          <w:tab w:val="left" w:pos="9555"/>
        </w:tabs>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（6）“项目现场”系指本合同项下货物安装、运行的现场，其名称见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79E9EB74">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2.合同的适用范围</w:t>
      </w:r>
    </w:p>
    <w:p w14:paraId="3421DD9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 本合同条款适用于没有被本合同其他部分的条款所取代的范围。</w:t>
      </w:r>
    </w:p>
    <w:p w14:paraId="1B3B57D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 合同内容根据招标文件、投标文件而确定。</w:t>
      </w:r>
    </w:p>
    <w:p w14:paraId="38D6535E">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3.</w:t>
      </w:r>
      <w:r>
        <w:rPr>
          <w:rFonts w:hint="eastAsia" w:ascii="宋体" w:hAnsi="宋体"/>
          <w:b/>
          <w:color w:val="auto"/>
          <w:sz w:val="24"/>
          <w:highlight w:val="none"/>
        </w:rPr>
        <w:t>合同标的及金额</w:t>
      </w:r>
    </w:p>
    <w:p w14:paraId="56A19D9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3.1 合同标的及金额应与中标结果一致。</w:t>
      </w:r>
    </w:p>
    <w:p w14:paraId="7F2226A2">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合同价款</w:t>
      </w:r>
    </w:p>
    <w:p w14:paraId="49AB5E74">
      <w:pPr>
        <w:adjustRightInd w:val="0"/>
        <w:snapToGrid w:val="0"/>
        <w:spacing w:before="50" w:line="360" w:lineRule="auto"/>
        <w:ind w:firstLine="420" w:firstLineChars="200"/>
        <w:jc w:val="left"/>
        <w:rPr>
          <w:rFonts w:ascii="宋体" w:hAnsi="宋体"/>
          <w:b/>
          <w:bCs/>
          <w:i/>
          <w:iCs/>
          <w:color w:val="auto"/>
          <w:szCs w:val="21"/>
          <w:highlight w:val="none"/>
        </w:rPr>
      </w:pPr>
      <w:r>
        <w:rPr>
          <w:rFonts w:hint="eastAsia" w:ascii="宋体" w:hAnsi="宋体"/>
          <w:color w:val="auto"/>
          <w:szCs w:val="21"/>
          <w:highlight w:val="none"/>
        </w:rPr>
        <w:t>4.1具体合同价款见本合同第3.1条。乙方为履行本合同而发生的所有费用均应包含在合同价款中，甲方不再另行支付其它任何费用。</w:t>
      </w:r>
    </w:p>
    <w:p w14:paraId="1C2DCE0A">
      <w:pPr>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5.履行合同的时间、地点和方式</w:t>
      </w:r>
    </w:p>
    <w:p w14:paraId="40C538C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5.1 乙方应当在甲方确定的时间、指定的地点履行合同，具体的交货时间、地点和方式见</w:t>
      </w:r>
      <w:r>
        <w:rPr>
          <w:rFonts w:hint="eastAsia" w:ascii="宋体" w:hAnsi="宋体"/>
          <w:b/>
          <w:color w:val="auto"/>
          <w:szCs w:val="21"/>
          <w:highlight w:val="none"/>
        </w:rPr>
        <w:t>【政府采购合同专用条款】</w:t>
      </w:r>
      <w:r>
        <w:rPr>
          <w:rFonts w:hint="eastAsia" w:ascii="宋体" w:hAnsi="宋体"/>
          <w:color w:val="auto"/>
          <w:szCs w:val="21"/>
          <w:highlight w:val="none"/>
        </w:rPr>
        <w:t>。</w:t>
      </w:r>
    </w:p>
    <w:p w14:paraId="43735FF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5.2 乙方提供服务的应当在甲方指定的地点完成服务项目。</w:t>
      </w:r>
    </w:p>
    <w:p w14:paraId="56078EE0">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6.</w:t>
      </w:r>
      <w:r>
        <w:rPr>
          <w:rFonts w:hint="eastAsia" w:ascii="宋体" w:hAnsi="宋体"/>
          <w:b/>
          <w:color w:val="auto"/>
          <w:sz w:val="24"/>
          <w:highlight w:val="none"/>
        </w:rPr>
        <w:t>货物的验收</w:t>
      </w:r>
    </w:p>
    <w:p w14:paraId="4AA0988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6.1 甲方在收到乙方交付的货物后应当及时组织验收。</w:t>
      </w:r>
    </w:p>
    <w:p w14:paraId="39B57E1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6.2 货物的表面瑕疵，甲方应在验收时当面提出；对质量问题有异议的应在安装调试后十个工作日内提出。</w:t>
      </w:r>
    </w:p>
    <w:p w14:paraId="5CD4E76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6.3 在验收过程中发现数量不足或有质量、技术等问题，乙方应负责按照甲方的要求采取补足、更换或退货等处理措施，并承担由此发生的一切费用和损失。</w:t>
      </w:r>
    </w:p>
    <w:p w14:paraId="0D298C3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6.4 甲方在乙方按合同规定交货或安装、调试后，无正当理由而拖延接收、验收或拒绝接收、验收的，应承担因此给乙方造成的直接损失。</w:t>
      </w:r>
    </w:p>
    <w:p w14:paraId="55B12C3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6.5 甲方对货物进行检查验收合格后，应当收取发票并在《交货验收单》上签署验收意见及加盖单位印章。</w:t>
      </w:r>
    </w:p>
    <w:p w14:paraId="4D6A053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6.6 大型或者复杂的货物采购项目，甲方可以邀请国家认可的质量检测机构参加验收工作，并由其出具验收报告单。</w:t>
      </w:r>
    </w:p>
    <w:p w14:paraId="04AE97C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6.7 乙方提供的进口产品，乙方应出示中华人民共和国进出口商品检验部门出具的检验证书（招标文件第五章采购需求另有约定的除外）。</w:t>
      </w:r>
    </w:p>
    <w:p w14:paraId="0BF95DE3">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7.货物包装要求</w:t>
      </w:r>
    </w:p>
    <w:p w14:paraId="6F2D7E9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77A93D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7.2 每一个包装箱内应附一份详细装箱单、质量证书和保修保养证书。</w:t>
      </w:r>
    </w:p>
    <w:p w14:paraId="56984E1A">
      <w:pPr>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8.运输和保险</w:t>
      </w:r>
    </w:p>
    <w:p w14:paraId="166BA6E4">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8.1乙方负责办理将货物运抵本合同第5.1条规定的交货地点的一切运输事项，相关费用应包括在合同总价中。</w:t>
      </w:r>
    </w:p>
    <w:p w14:paraId="6D045E45">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8.2乙方应向保险公司投保以甲方为受益人的发运合同货物发票金额的110％运输一切险。</w:t>
      </w:r>
    </w:p>
    <w:p w14:paraId="6FAF41A0">
      <w:pPr>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9.质量标准和保证</w:t>
      </w:r>
    </w:p>
    <w:p w14:paraId="695EF392">
      <w:pPr>
        <w:pStyle w:val="12"/>
        <w:adjustRightInd w:val="0"/>
        <w:snapToGrid w:val="0"/>
        <w:spacing w:before="50" w:line="360" w:lineRule="auto"/>
        <w:ind w:firstLine="420" w:firstLineChars="200"/>
        <w:jc w:val="left"/>
        <w:rPr>
          <w:rFonts w:hAnsi="宋体"/>
          <w:b/>
          <w:color w:val="auto"/>
          <w:highlight w:val="none"/>
        </w:rPr>
      </w:pPr>
      <w:r>
        <w:rPr>
          <w:rFonts w:hint="eastAsia" w:hAnsi="宋体"/>
          <w:color w:val="auto"/>
          <w:highlight w:val="none"/>
        </w:rPr>
        <w:t>9.1 质量标准</w:t>
      </w:r>
    </w:p>
    <w:p w14:paraId="3BF55C9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（1）本合同下交付的货物应符合招标文件第四章“技术规格、参数与要求”所述的标准。如果没有提及适用标准，则应符合中华人民共和国有关机构发布的最新版本的标准。</w:t>
      </w:r>
    </w:p>
    <w:p w14:paraId="652EC861">
      <w:pPr>
        <w:pStyle w:val="12"/>
        <w:adjustRightInd w:val="0"/>
        <w:snapToGrid w:val="0"/>
        <w:spacing w:before="50" w:line="360" w:lineRule="auto"/>
        <w:ind w:firstLine="420" w:firstLineChars="200"/>
        <w:jc w:val="left"/>
        <w:rPr>
          <w:rFonts w:hAnsi="宋体"/>
          <w:color w:val="auto"/>
          <w:highlight w:val="none"/>
        </w:rPr>
      </w:pPr>
      <w:r>
        <w:rPr>
          <w:rFonts w:hint="eastAsia" w:hAnsi="宋体"/>
          <w:color w:val="auto"/>
          <w:highlight w:val="none"/>
        </w:rPr>
        <w:t>（2）采用中华人民共和国法定计量单位。</w:t>
      </w:r>
    </w:p>
    <w:p w14:paraId="74F27CF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（3）乙方所出售的货物还应符合国家有关安全、环保、卫生之规定。</w:t>
      </w:r>
    </w:p>
    <w:p w14:paraId="54151C4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9.2 保证</w:t>
      </w:r>
    </w:p>
    <w:p w14:paraId="76AC341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highlight w:val="none"/>
        </w:rPr>
        <w:t>【政府采购合同专用条款】</w:t>
      </w:r>
      <w:r>
        <w:rPr>
          <w:rFonts w:hint="eastAsia" w:ascii="宋体" w:hAnsi="宋体"/>
          <w:color w:val="auto"/>
          <w:szCs w:val="21"/>
          <w:highlight w:val="none"/>
        </w:rPr>
        <w:t>规定或乙方承诺（两者以较长的为准）的质量保证期内，本保证保持有效。</w:t>
      </w:r>
    </w:p>
    <w:p w14:paraId="1163957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（2）在质量保证期内所发现的缺陷，甲方应尽快以书面形式通知乙方。</w:t>
      </w:r>
    </w:p>
    <w:p w14:paraId="4D00577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（3）乙方收到通知后应在</w:t>
      </w:r>
      <w:r>
        <w:rPr>
          <w:rFonts w:hint="eastAsia" w:ascii="宋体" w:hAnsi="宋体"/>
          <w:b/>
          <w:color w:val="auto"/>
          <w:szCs w:val="21"/>
          <w:highlight w:val="none"/>
        </w:rPr>
        <w:t>【政府采购合同专用条款】</w:t>
      </w:r>
      <w:r>
        <w:rPr>
          <w:rFonts w:hint="eastAsia" w:ascii="宋体" w:hAnsi="宋体"/>
          <w:color w:val="auto"/>
          <w:szCs w:val="21"/>
          <w:highlight w:val="none"/>
        </w:rPr>
        <w:t>规定的响应时间内以合理的速度免费维修或更换有缺陷的货物或部件。</w:t>
      </w:r>
    </w:p>
    <w:p w14:paraId="094AB1F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797231A9">
      <w:pPr>
        <w:adjustRightInd w:val="0"/>
        <w:snapToGrid w:val="0"/>
        <w:spacing w:before="50" w:line="360" w:lineRule="auto"/>
        <w:ind w:firstLine="420" w:firstLineChars="200"/>
        <w:jc w:val="left"/>
        <w:rPr>
          <w:rFonts w:ascii="宋体" w:hAnsi="宋体"/>
          <w:b/>
          <w:color w:val="auto"/>
          <w:szCs w:val="21"/>
          <w:highlight w:val="none"/>
        </w:rPr>
      </w:pPr>
      <w:r>
        <w:rPr>
          <w:rFonts w:hint="eastAsia" w:ascii="宋体" w:hAnsi="宋体"/>
          <w:color w:val="auto"/>
          <w:szCs w:val="21"/>
          <w:highlight w:val="none"/>
        </w:rPr>
        <w:t>（5）乙方在约定的时间内未能弥补缺陷，甲方可采取必要的补救措施，但其风险和费用将由乙方承担，甲方根据合同规定对乙方行使的其他权利不受影响。</w:t>
      </w:r>
    </w:p>
    <w:p w14:paraId="5045D613">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10.权利瑕疵担保</w:t>
      </w:r>
    </w:p>
    <w:p w14:paraId="726455E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10.1 乙方保证对其出售的货物享有合法的权利。</w:t>
      </w:r>
    </w:p>
    <w:p w14:paraId="4681BB1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10.2 乙方保证在其出售的货物上不存在任何未曾向甲方透露的担保物权，如抵押权、质押权、留置权等。</w:t>
      </w:r>
    </w:p>
    <w:p w14:paraId="2CB75D2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10.3 如甲方使用该货物构成上述侵权的，则由乙方承担全部责任。</w:t>
      </w:r>
    </w:p>
    <w:p w14:paraId="4EE04ADC">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11.知识产权保护</w:t>
      </w:r>
    </w:p>
    <w:p w14:paraId="69D75C26">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11.1 乙方对其所销售的货物应当享有知识产权或经权利人合法授权，保证没有侵犯任何第三人的知识产权和商业秘密等权利。</w:t>
      </w:r>
    </w:p>
    <w:p w14:paraId="631C53E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11.2 甲方使用乙方提供的货物对第三人构成侵权的，应当由乙方承担全部法律责任，给甲方造成损害的，乙方应当承担赔偿责任。</w:t>
      </w:r>
    </w:p>
    <w:p w14:paraId="66A7858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11.3 甲方委托乙方开发的产品，甲方享有知识产权，未经甲方许可不得转让任何第三人。</w:t>
      </w:r>
    </w:p>
    <w:p w14:paraId="2261D4C8">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12.保密义务</w:t>
      </w:r>
    </w:p>
    <w:p w14:paraId="3884DFB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12.1 甲、乙双方在采购和履行合同过程中所获悉的对方属于保密的内容，双方均有保密义务。</w:t>
      </w:r>
    </w:p>
    <w:p w14:paraId="67DE921E">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13.合同价款支付</w:t>
      </w:r>
    </w:p>
    <w:p w14:paraId="1D78AD1E">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13.1验收合格后，乙方出具正规发票给甲方，凭甲方开具的《政府采购合同验收报告单》办理合同价</w:t>
      </w:r>
      <w:r>
        <w:rPr>
          <w:rFonts w:hint="eastAsia" w:ascii="宋体" w:hAnsi="宋体"/>
          <w:bCs/>
          <w:color w:val="auto"/>
          <w:szCs w:val="21"/>
          <w:highlight w:val="none"/>
        </w:rPr>
        <w:t>款</w:t>
      </w:r>
      <w:r>
        <w:rPr>
          <w:rFonts w:hint="eastAsia" w:ascii="宋体" w:hAnsi="宋体"/>
          <w:color w:val="auto"/>
          <w:szCs w:val="21"/>
          <w:highlight w:val="none"/>
        </w:rPr>
        <w:t>结算手续。</w:t>
      </w:r>
    </w:p>
    <w:p w14:paraId="0CC6F9D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13.2 合同价款构成中应当由财政支付的部分，甲方应当在货物验收合格后的十五个工作日内向国库管理部门申请支付，经国库管理部门审核后直接支付给乙方。</w:t>
      </w:r>
    </w:p>
    <w:p w14:paraId="5680DE69">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13.3 合同价款构成中应当由甲方自行支付的部分，甲方应当在货物验收合格后十五个工作内支付。</w:t>
      </w:r>
    </w:p>
    <w:p w14:paraId="4F1DA247">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13.4支付合同价</w:t>
      </w:r>
      <w:r>
        <w:rPr>
          <w:rFonts w:hint="eastAsia" w:ascii="宋体" w:hAnsi="宋体"/>
          <w:bCs/>
          <w:color w:val="auto"/>
          <w:szCs w:val="21"/>
          <w:highlight w:val="none"/>
        </w:rPr>
        <w:t>款</w:t>
      </w:r>
      <w:r>
        <w:rPr>
          <w:rFonts w:hint="eastAsia" w:ascii="宋体" w:hAnsi="宋体"/>
          <w:color w:val="auto"/>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5F5F68C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13.5 合同价款支付方式</w:t>
      </w:r>
      <w:r>
        <w:rPr>
          <w:rFonts w:hint="eastAsia" w:ascii="宋体" w:hAnsi="宋体"/>
          <w:bCs/>
          <w:color w:val="auto"/>
          <w:szCs w:val="21"/>
          <w:highlight w:val="none"/>
        </w:rPr>
        <w:t>和条件在</w:t>
      </w:r>
      <w:r>
        <w:rPr>
          <w:rFonts w:hint="eastAsia" w:ascii="宋体" w:hAnsi="宋体"/>
          <w:b/>
          <w:color w:val="auto"/>
          <w:szCs w:val="21"/>
          <w:highlight w:val="none"/>
        </w:rPr>
        <w:t>【政府采购合同专用条款】</w:t>
      </w:r>
      <w:r>
        <w:rPr>
          <w:rFonts w:hint="eastAsia" w:ascii="宋体" w:hAnsi="宋体"/>
          <w:color w:val="auto"/>
          <w:szCs w:val="21"/>
          <w:highlight w:val="none"/>
        </w:rPr>
        <w:t>中另有规定。</w:t>
      </w:r>
    </w:p>
    <w:p w14:paraId="6AF6F9CA">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bCs/>
          <w:color w:val="auto"/>
          <w:sz w:val="24"/>
          <w:highlight w:val="none"/>
        </w:rPr>
        <w:t>14.</w:t>
      </w:r>
      <w:r>
        <w:rPr>
          <w:rFonts w:hint="eastAsia"/>
          <w:b/>
          <w:color w:val="auto"/>
          <w:sz w:val="24"/>
          <w:highlight w:val="none"/>
        </w:rPr>
        <w:t>乙方应提供的</w:t>
      </w:r>
      <w:r>
        <w:rPr>
          <w:rFonts w:hint="eastAsia" w:ascii="宋体" w:hAnsi="宋体"/>
          <w:b/>
          <w:color w:val="auto"/>
          <w:sz w:val="24"/>
          <w:highlight w:val="none"/>
        </w:rPr>
        <w:t>服务</w:t>
      </w:r>
    </w:p>
    <w:p w14:paraId="3FA804D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14.1 乙方应向甲方提交所提供货物的技术文件，包括相应的中文技术文件，如：产品目录、图纸、操作手册、使用说明、维护手册或服务指南。这些文件应包装好随同货物一起发运。</w:t>
      </w:r>
    </w:p>
    <w:p w14:paraId="2969D3C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14.2 乙方还应提供下列服务：</w:t>
      </w:r>
    </w:p>
    <w:p w14:paraId="5A1CDA7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（1）货物的现场移动、安装、调试、启动监督及技术支持；</w:t>
      </w:r>
    </w:p>
    <w:p w14:paraId="2AD2A6D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（2）提供货物组装和维修所需的专用工具和辅助材料；</w:t>
      </w:r>
    </w:p>
    <w:p w14:paraId="19BC2CD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（3）在合同各方商定的一定期限内对所有的货物实施运行监督、维修，但前提条件是该服务并不能免除乙方在质量保证期内所承担的义务；</w:t>
      </w:r>
    </w:p>
    <w:p w14:paraId="1DEBE97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（4）在制造商或项目现场就货物的安装、启动、运营、维护对甲方操作人员进行培训；</w:t>
      </w:r>
    </w:p>
    <w:p w14:paraId="3D8B56B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b/>
          <w:color w:val="auto"/>
          <w:szCs w:val="21"/>
          <w:highlight w:val="none"/>
        </w:rPr>
        <w:t>【政府采购合同专用条款】</w:t>
      </w:r>
      <w:r>
        <w:rPr>
          <w:rFonts w:hint="eastAsia" w:ascii="宋体" w:hAnsi="宋体"/>
          <w:color w:val="auto"/>
          <w:szCs w:val="21"/>
          <w:highlight w:val="none"/>
        </w:rPr>
        <w:t>规定由乙方提供的其他服务。</w:t>
      </w:r>
    </w:p>
    <w:p w14:paraId="4C398F9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14.3 乙方提供的服务的费用应包含在合同价款中，甲方不再另行支付。</w:t>
      </w:r>
    </w:p>
    <w:p w14:paraId="3796918F">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15.违约责任</w:t>
      </w:r>
    </w:p>
    <w:p w14:paraId="6BF1C5CE">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15.1质量瑕疵的补救措施和索赔</w:t>
      </w:r>
    </w:p>
    <w:p w14:paraId="2C0A0F05">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73241FC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①乙方同意退货并将货款退还给甲方，由此发生的一切费用和损失由乙方承担。</w:t>
      </w:r>
    </w:p>
    <w:p w14:paraId="1E96393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②根据货物的质量状况以及甲方所遭受的损失，经过甲乙双方商定降低货物的价格。</w:t>
      </w:r>
    </w:p>
    <w:p w14:paraId="284CD87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010774B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6E8C33E5">
      <w:pPr>
        <w:autoSpaceDE w:val="0"/>
        <w:autoSpaceDN w:val="0"/>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15.2 迟延交货的违约责任</w:t>
      </w:r>
    </w:p>
    <w:p w14:paraId="1AF1FE7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FC2979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（2）除本合同</w:t>
      </w:r>
      <w:r>
        <w:rPr>
          <w:rFonts w:hint="eastAsia" w:ascii="宋体" w:hAnsi="宋体"/>
          <w:bCs/>
          <w:color w:val="auto"/>
          <w:szCs w:val="21"/>
          <w:highlight w:val="none"/>
        </w:rPr>
        <w:t>第20条</w:t>
      </w:r>
      <w:r>
        <w:rPr>
          <w:rFonts w:hint="eastAsia" w:ascii="宋体" w:hAnsi="宋体"/>
          <w:color w:val="auto"/>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370699D">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70DDCB0">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16.合同的变更</w:t>
      </w:r>
    </w:p>
    <w:p w14:paraId="5100047B">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16.1 在合同履行过程中，甲、乙双方可就合同履行的时间、地点和方式等协商进行变更。协商一致后，双方应签订书面的补充协议。</w:t>
      </w:r>
    </w:p>
    <w:p w14:paraId="07701F2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16.2 在不改变合同其他条款的前提下，甲方有权在合同价款百分之十的范围内追加与合同标的相同的货物或服务，并就此与乙方签订补充合同，乙方不得拒绝。</w:t>
      </w:r>
    </w:p>
    <w:p w14:paraId="0301228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16.3 除双方签署书面协议，并成为合同不可分割的一部分外，本合同条件不得有任何变更。</w:t>
      </w:r>
    </w:p>
    <w:p w14:paraId="51E0EBEC">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17.合同中止与终止</w:t>
      </w:r>
    </w:p>
    <w:p w14:paraId="3CCF021A">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17.1合同的中止</w:t>
      </w:r>
    </w:p>
    <w:p w14:paraId="0F25129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（1）合同在履行过程中，因采购计划调整，甲方可以要求中止履行，待计划确定后继续履行；</w:t>
      </w:r>
    </w:p>
    <w:p w14:paraId="42AAFFD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（2）合同履行过程中因供应商就采购过程或结果提起投诉的，甲方认为有必要或财政部门责令中止的，应当中止合同的履行。</w:t>
      </w:r>
    </w:p>
    <w:p w14:paraId="15F42284">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17.2合同的终止</w:t>
      </w:r>
    </w:p>
    <w:p w14:paraId="052C511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（1）合同因有效期限届满而终止；</w:t>
      </w:r>
    </w:p>
    <w:p w14:paraId="7BF46AF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（2）乙方未能依照本合同约定条件履行合同，已构成根本性违约的，甲方有权终止本合同，并追究乙方的违约责任。</w:t>
      </w:r>
    </w:p>
    <w:p w14:paraId="29B35E9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（3）如果乙方丧失履约能力或被宣告破产，甲方可在任何时候以书面形式通知乙方终止合同而不给乙方补偿。</w:t>
      </w:r>
    </w:p>
    <w:p w14:paraId="511DB35F">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（4）如果乙方在履行合同过程中有不正当竞争行为，甲方有权解除合同，并按《中华人民共和国反不正当竞争法》规定由有关部门追究其法律责任。</w:t>
      </w:r>
    </w:p>
    <w:p w14:paraId="3CBB6028">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（5）如果合同的履行将损害国家利益或社会公共利益，甲方有权终止合同的履行，给乙方造成损失的予以相应补偿。</w:t>
      </w:r>
    </w:p>
    <w:p w14:paraId="09F08130">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18.合同转让和分包</w:t>
      </w:r>
    </w:p>
    <w:p w14:paraId="43798431">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18.1 乙方不得以任何形式将合同转包。</w:t>
      </w:r>
    </w:p>
    <w:p w14:paraId="10A9D1A2">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18.2 乙方未在投标文件中说明，不得将</w:t>
      </w:r>
      <w:r>
        <w:rPr>
          <w:rFonts w:hint="eastAsia" w:ascii="宋体" w:hAnsi="宋体"/>
          <w:bCs/>
          <w:color w:val="auto"/>
          <w:szCs w:val="21"/>
          <w:highlight w:val="none"/>
        </w:rPr>
        <w:t>合同</w:t>
      </w:r>
      <w:r>
        <w:rPr>
          <w:rFonts w:hint="eastAsia" w:ascii="宋体" w:hAnsi="宋体"/>
          <w:color w:val="auto"/>
          <w:szCs w:val="21"/>
          <w:highlight w:val="none"/>
        </w:rPr>
        <w:t>的非主体、非关键性工作分包给他人。</w:t>
      </w:r>
    </w:p>
    <w:p w14:paraId="2559F9CB">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19.不可抗力</w:t>
      </w:r>
    </w:p>
    <w:p w14:paraId="2C5D24A3">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19.1 不可抗力是指合同双方不可预见、不可避免、不可克服的自然灾害和社会事件。</w:t>
      </w:r>
    </w:p>
    <w:p w14:paraId="2CEDAD0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19.2 任何一方对由于不可抗力造成的部分或全部不能履行合同不承担违约责任。但迟延履行后发生不可抗力的，不能免除责任。</w:t>
      </w:r>
    </w:p>
    <w:p w14:paraId="6F5EA54C">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19.3 遇有不可抗力的一方，应在三日内将事件的情况以书面形式通知另一方，并在事件发生后十日内，向另一方提交合同不能履行或部分不能履行或需要延期履行理由的报告。</w:t>
      </w:r>
    </w:p>
    <w:p w14:paraId="103AE808">
      <w:pPr>
        <w:autoSpaceDE w:val="0"/>
        <w:autoSpaceDN w:val="0"/>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20.解决争议的方法</w:t>
      </w:r>
    </w:p>
    <w:p w14:paraId="5EF36F10">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20.1 合同各方应通过友好协商，解决在执行合同过程中所发生的或与合同有关的一切争端。如从协商开始后十日内仍不能解决，可以向财政部门提请调解。</w:t>
      </w:r>
    </w:p>
    <w:p w14:paraId="4C5D6A39">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20.2 调解不成可以按</w:t>
      </w:r>
      <w:r>
        <w:rPr>
          <w:rFonts w:hint="eastAsia" w:ascii="宋体" w:hAnsi="宋体"/>
          <w:b/>
          <w:color w:val="auto"/>
          <w:szCs w:val="21"/>
          <w:highlight w:val="none"/>
        </w:rPr>
        <w:t>【政府采购合同专用条款】</w:t>
      </w:r>
      <w:r>
        <w:rPr>
          <w:rFonts w:hint="eastAsia" w:ascii="宋体" w:hAnsi="宋体"/>
          <w:color w:val="auto"/>
          <w:szCs w:val="21"/>
          <w:highlight w:val="none"/>
        </w:rPr>
        <w:t>中约定中规定下列方式之一提起仲裁或诉讼：</w:t>
      </w:r>
    </w:p>
    <w:p w14:paraId="46A43A6A">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（1）向甲方所在地仲裁机构提起仲裁；</w:t>
      </w:r>
    </w:p>
    <w:p w14:paraId="3E03D1C7">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（2）向甲方所在地人民法院提起诉讼。</w:t>
      </w:r>
    </w:p>
    <w:p w14:paraId="4A8AE56E">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20.3 如仲裁或诉讼事项不影响合同其它部分的履行，则在仲裁或诉讼期间，除正在进行仲裁或诉讼的部分外，合同的其它部分应继续执行。</w:t>
      </w:r>
    </w:p>
    <w:p w14:paraId="28B3A743">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color w:val="auto"/>
          <w:sz w:val="24"/>
          <w:highlight w:val="none"/>
        </w:rPr>
        <w:t>21.法律适用</w:t>
      </w:r>
    </w:p>
    <w:p w14:paraId="5CAF2074">
      <w:pPr>
        <w:autoSpaceDE w:val="0"/>
        <w:autoSpaceDN w:val="0"/>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21.1 本合同适用中华人民共和国现行法律、行政法规和规章，如合同条款与法律、行政法规和规章不一致的，按照法律、行政法规和规章修改本合同。</w:t>
      </w:r>
    </w:p>
    <w:p w14:paraId="34FBB83F">
      <w:pPr>
        <w:autoSpaceDE w:val="0"/>
        <w:autoSpaceDN w:val="0"/>
        <w:adjustRightInd w:val="0"/>
        <w:snapToGrid w:val="0"/>
        <w:spacing w:before="50" w:line="360" w:lineRule="auto"/>
        <w:ind w:firstLine="482"/>
        <w:jc w:val="left"/>
        <w:rPr>
          <w:rFonts w:ascii="宋体" w:hAnsi="宋体"/>
          <w:b/>
          <w:color w:val="auto"/>
          <w:sz w:val="24"/>
          <w:highlight w:val="none"/>
        </w:rPr>
      </w:pPr>
      <w:r>
        <w:rPr>
          <w:rFonts w:hint="eastAsia" w:ascii="宋体" w:hAnsi="宋体"/>
          <w:b/>
          <w:bCs/>
          <w:color w:val="auto"/>
          <w:sz w:val="24"/>
          <w:highlight w:val="none"/>
        </w:rPr>
        <w:t>22.</w:t>
      </w:r>
      <w:r>
        <w:rPr>
          <w:rFonts w:hint="eastAsia" w:ascii="宋体" w:hAnsi="宋体"/>
          <w:b/>
          <w:color w:val="auto"/>
          <w:sz w:val="24"/>
          <w:highlight w:val="none"/>
        </w:rPr>
        <w:t>通知</w:t>
      </w:r>
    </w:p>
    <w:p w14:paraId="2B620ECC">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22.1本合同一方给另一方的通知均应采用书面形式，传真或快递送到本合同中规定的对方的地址和办理签收手续，</w:t>
      </w:r>
    </w:p>
    <w:p w14:paraId="4616C561">
      <w:pPr>
        <w:adjustRightInd w:val="0"/>
        <w:snapToGrid w:val="0"/>
        <w:spacing w:before="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22.2通知以送到之日或通知书中规定的生效之日起生效，两者中以较迟之日为准。</w:t>
      </w:r>
    </w:p>
    <w:p w14:paraId="511FE2BA">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23. 合同未尽事项</w:t>
      </w:r>
    </w:p>
    <w:p w14:paraId="52775F3F">
      <w:pPr>
        <w:adjustRightInd w:val="0"/>
        <w:snapToGrid w:val="0"/>
        <w:spacing w:before="50"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23.1合同未尽事项见</w:t>
      </w:r>
      <w:r>
        <w:rPr>
          <w:rFonts w:hint="eastAsia" w:ascii="宋体" w:hAnsi="宋体"/>
          <w:b/>
          <w:color w:val="auto"/>
          <w:szCs w:val="21"/>
          <w:highlight w:val="none"/>
        </w:rPr>
        <w:t>【政府采购合同专用条款】。</w:t>
      </w:r>
    </w:p>
    <w:p w14:paraId="444C972D">
      <w:pPr>
        <w:adjustRightInd w:val="0"/>
        <w:snapToGrid w:val="0"/>
        <w:spacing w:before="50" w:line="360" w:lineRule="auto"/>
        <w:ind w:firstLine="482"/>
        <w:jc w:val="left"/>
        <w:rPr>
          <w:rFonts w:ascii="宋体" w:hAnsi="宋体"/>
          <w:b/>
          <w:bCs/>
          <w:color w:val="auto"/>
          <w:sz w:val="24"/>
          <w:highlight w:val="none"/>
        </w:rPr>
      </w:pPr>
      <w:r>
        <w:rPr>
          <w:rFonts w:hint="eastAsia" w:ascii="宋体" w:hAnsi="宋体"/>
          <w:b/>
          <w:bCs/>
          <w:color w:val="auto"/>
          <w:sz w:val="24"/>
          <w:highlight w:val="none"/>
        </w:rPr>
        <w:t>24.合同生效</w:t>
      </w:r>
    </w:p>
    <w:p w14:paraId="21124313">
      <w:pPr>
        <w:rPr>
          <w:b/>
          <w:szCs w:val="21"/>
        </w:rPr>
      </w:pPr>
      <w:r>
        <w:rPr>
          <w:rFonts w:hint="eastAsia" w:ascii="宋体" w:hAnsi="宋体"/>
          <w:color w:val="auto"/>
          <w:szCs w:val="21"/>
          <w:highlight w:val="none"/>
        </w:rPr>
        <w:t>24.1 本合同在合同双方签字盖章后生效。</w:t>
      </w:r>
      <w:r>
        <w:rPr>
          <w:rFonts w:ascii="黑体" w:hAnsi="黑体" w:eastAsia="黑体"/>
          <w:b/>
          <w:bCs/>
          <w:color w:val="auto"/>
          <w:sz w:val="32"/>
          <w:highlight w:val="none"/>
        </w:rPr>
        <w:br w:type="page"/>
      </w:r>
    </w:p>
    <w:p w14:paraId="4647C64B">
      <w:pPr>
        <w:autoSpaceDE w:val="0"/>
        <w:autoSpaceDN w:val="0"/>
        <w:adjustRightInd w:val="0"/>
        <w:jc w:val="left"/>
        <w:rPr>
          <w:rFonts w:ascii="宋体" w:cs="宋体"/>
          <w:color w:val="000000"/>
          <w:kern w:val="0"/>
          <w:sz w:val="2"/>
          <w:szCs w:val="2"/>
        </w:rPr>
      </w:pPr>
    </w:p>
    <w:p w14:paraId="5B03381D">
      <w:pPr>
        <w:rPr>
          <w:b/>
          <w:szCs w:val="21"/>
        </w:rPr>
      </w:pPr>
    </w:p>
    <w:p w14:paraId="1834FEE1">
      <w:pPr>
        <w:rPr>
          <w:rFonts w:ascii="宋体"/>
          <w:szCs w:val="21"/>
        </w:rPr>
      </w:pPr>
    </w:p>
    <w:p w14:paraId="3154DF02">
      <w:pPr>
        <w:rPr>
          <w:rFonts w:hint="eastAsia" w:ascii="黑体" w:hAnsi="黑体" w:eastAsia="黑体" w:cs="黑体"/>
          <w:sz w:val="28"/>
          <w:szCs w:val="28"/>
        </w:rPr>
      </w:pPr>
    </w:p>
    <w:p w14:paraId="6FAC7F78">
      <w:pPr>
        <w:pStyle w:val="4"/>
        <w:jc w:val="center"/>
        <w:rPr>
          <w:rFonts w:hint="eastAsia" w:ascii="黑体" w:hAnsi="黑体" w:eastAsia="黑体" w:cs="黑体"/>
          <w:sz w:val="28"/>
          <w:szCs w:val="28"/>
        </w:rPr>
      </w:pPr>
      <w:r>
        <w:rPr>
          <w:rFonts w:hint="eastAsia" w:ascii="黑体" w:hAnsi="黑体" w:eastAsia="黑体" w:cs="黑体"/>
          <w:sz w:val="28"/>
          <w:szCs w:val="28"/>
        </w:rPr>
        <w:t>第</w:t>
      </w:r>
      <w:r>
        <w:rPr>
          <w:rFonts w:hint="eastAsia" w:ascii="黑体" w:hAnsi="黑体" w:eastAsia="黑体" w:cs="黑体"/>
          <w:sz w:val="28"/>
          <w:szCs w:val="28"/>
          <w:lang w:eastAsia="zh-CN"/>
        </w:rPr>
        <w:t>二</w:t>
      </w:r>
      <w:r>
        <w:rPr>
          <w:rFonts w:hint="eastAsia" w:ascii="黑体" w:hAnsi="黑体" w:eastAsia="黑体" w:cs="黑体"/>
          <w:sz w:val="28"/>
          <w:szCs w:val="28"/>
        </w:rPr>
        <w:t>节 政府采购合同专用条款</w:t>
      </w:r>
      <w:bookmarkEnd w:id="194"/>
    </w:p>
    <w:tbl>
      <w:tblPr>
        <w:tblStyle w:val="21"/>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34DA7E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6E9B92E8">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7CC47079">
            <w:pPr>
              <w:adjustRightInd w:val="0"/>
              <w:snapToGrid w:val="0"/>
              <w:spacing w:line="360" w:lineRule="auto"/>
              <w:jc w:val="center"/>
              <w:rPr>
                <w:rFonts w:hint="eastAsia" w:ascii="宋体" w:hAnsi="宋体"/>
                <w:szCs w:val="21"/>
              </w:rPr>
            </w:pPr>
            <w:r>
              <w:rPr>
                <w:rFonts w:hint="eastAsia" w:ascii="宋体" w:hAnsi="宋体"/>
                <w:szCs w:val="21"/>
              </w:rPr>
              <w:t>第1.1款</w:t>
            </w:r>
          </w:p>
        </w:tc>
        <w:tc>
          <w:tcPr>
            <w:tcW w:w="1843" w:type="dxa"/>
            <w:vAlign w:val="center"/>
          </w:tcPr>
          <w:p w14:paraId="4E698ABA">
            <w:pPr>
              <w:adjustRightInd w:val="0"/>
              <w:snapToGrid w:val="0"/>
              <w:spacing w:line="360" w:lineRule="auto"/>
              <w:jc w:val="left"/>
              <w:rPr>
                <w:rFonts w:hint="eastAsia" w:ascii="宋体" w:hAnsi="宋体"/>
                <w:szCs w:val="21"/>
              </w:rPr>
            </w:pPr>
            <w:r>
              <w:rPr>
                <w:rFonts w:hint="eastAsia" w:ascii="宋体" w:hAnsi="宋体"/>
                <w:szCs w:val="21"/>
              </w:rPr>
              <w:t xml:space="preserve">甲方名称、地址 </w:t>
            </w:r>
          </w:p>
        </w:tc>
        <w:tc>
          <w:tcPr>
            <w:tcW w:w="5464" w:type="dxa"/>
            <w:vAlign w:val="center"/>
          </w:tcPr>
          <w:p w14:paraId="0BB554E7">
            <w:pPr>
              <w:adjustRightInd w:val="0"/>
              <w:snapToGrid w:val="0"/>
              <w:spacing w:line="360" w:lineRule="auto"/>
              <w:jc w:val="left"/>
              <w:rPr>
                <w:rFonts w:hint="eastAsia" w:ascii="宋体" w:hAnsi="宋体" w:eastAsia="宋体"/>
                <w:color w:val="000000" w:themeColor="text1"/>
                <w:szCs w:val="21"/>
                <w:u w:val="single"/>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名称：</w:t>
            </w:r>
            <w:r>
              <w:rPr>
                <w:rFonts w:hint="eastAsia" w:ascii="宋体" w:hAnsi="宋体"/>
                <w:color w:val="000000" w:themeColor="text1"/>
                <w:szCs w:val="21"/>
                <w:lang w:eastAsia="zh-CN"/>
                <w14:textFill>
                  <w14:solidFill>
                    <w14:schemeClr w14:val="tx1"/>
                  </w14:solidFill>
                </w14:textFill>
              </w:rPr>
              <w:t>郴州市数据局</w:t>
            </w:r>
          </w:p>
          <w:p w14:paraId="451652C1">
            <w:pPr>
              <w:adjustRightInd w:val="0"/>
              <w:snapToGrid w:val="0"/>
              <w:spacing w:line="360" w:lineRule="auto"/>
              <w:jc w:val="left"/>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14:textFill>
                  <w14:solidFill>
                    <w14:schemeClr w14:val="tx1"/>
                  </w14:solidFill>
                </w14:textFill>
              </w:rPr>
              <w:t>地址：</w:t>
            </w:r>
            <w:r>
              <w:rPr>
                <w:rFonts w:hint="eastAsia" w:ascii="宋体" w:hAnsi="宋体"/>
                <w:color w:val="000000" w:themeColor="text1"/>
                <w:szCs w:val="21"/>
                <w:lang w:eastAsia="zh-CN"/>
                <w14:textFill>
                  <w14:solidFill>
                    <w14:schemeClr w14:val="tx1"/>
                  </w14:solidFill>
                </w14:textFill>
              </w:rPr>
              <w:t>郴州市青年大道市民服务中心</w:t>
            </w:r>
          </w:p>
        </w:tc>
      </w:tr>
      <w:tr w14:paraId="380505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FD1F04F">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6494A38C">
            <w:pPr>
              <w:adjustRightInd w:val="0"/>
              <w:snapToGrid w:val="0"/>
              <w:spacing w:line="360" w:lineRule="auto"/>
              <w:jc w:val="center"/>
              <w:rPr>
                <w:rFonts w:hint="eastAsia" w:ascii="宋体" w:hAnsi="宋体"/>
                <w:szCs w:val="21"/>
              </w:rPr>
            </w:pPr>
            <w:r>
              <w:rPr>
                <w:rFonts w:hint="eastAsia" w:ascii="宋体" w:hAnsi="宋体"/>
                <w:szCs w:val="21"/>
              </w:rPr>
              <w:t>第1.2（6）项</w:t>
            </w:r>
          </w:p>
        </w:tc>
        <w:tc>
          <w:tcPr>
            <w:tcW w:w="1843" w:type="dxa"/>
            <w:vAlign w:val="center"/>
          </w:tcPr>
          <w:p w14:paraId="22022506">
            <w:pPr>
              <w:adjustRightInd w:val="0"/>
              <w:snapToGrid w:val="0"/>
              <w:spacing w:line="360" w:lineRule="auto"/>
              <w:jc w:val="left"/>
              <w:rPr>
                <w:rFonts w:hint="eastAsia" w:ascii="宋体" w:hAnsi="宋体"/>
                <w:szCs w:val="21"/>
              </w:rPr>
            </w:pPr>
            <w:r>
              <w:rPr>
                <w:rFonts w:hint="eastAsia" w:ascii="宋体" w:hAnsi="宋体"/>
                <w:szCs w:val="21"/>
              </w:rPr>
              <w:t>项目现场</w:t>
            </w:r>
          </w:p>
        </w:tc>
        <w:tc>
          <w:tcPr>
            <w:tcW w:w="5464" w:type="dxa"/>
            <w:vAlign w:val="center"/>
          </w:tcPr>
          <w:p w14:paraId="392BD435">
            <w:pPr>
              <w:adjustRightInd w:val="0"/>
              <w:snapToGrid w:val="0"/>
              <w:spacing w:line="360" w:lineRule="auto"/>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采购人指定地点</w:t>
            </w:r>
          </w:p>
        </w:tc>
      </w:tr>
      <w:tr w14:paraId="1FF5B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25B43F5">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694B47DD">
            <w:pPr>
              <w:adjustRightInd w:val="0"/>
              <w:snapToGrid w:val="0"/>
              <w:spacing w:line="360" w:lineRule="auto"/>
              <w:jc w:val="center"/>
              <w:rPr>
                <w:rFonts w:hint="eastAsia" w:ascii="宋体" w:hAnsi="宋体"/>
                <w:szCs w:val="21"/>
              </w:rPr>
            </w:pPr>
            <w:r>
              <w:rPr>
                <w:rFonts w:hint="eastAsia" w:ascii="宋体" w:hAnsi="宋体"/>
                <w:szCs w:val="21"/>
              </w:rPr>
              <w:t>第5.1款</w:t>
            </w:r>
          </w:p>
        </w:tc>
        <w:tc>
          <w:tcPr>
            <w:tcW w:w="1843" w:type="dxa"/>
            <w:vAlign w:val="center"/>
          </w:tcPr>
          <w:p w14:paraId="5498B3C1">
            <w:pPr>
              <w:adjustRightInd w:val="0"/>
              <w:snapToGrid w:val="0"/>
              <w:spacing w:line="360" w:lineRule="auto"/>
              <w:jc w:val="left"/>
              <w:rPr>
                <w:rFonts w:hint="eastAsia" w:ascii="宋体" w:hAnsi="宋体"/>
                <w:szCs w:val="21"/>
              </w:rPr>
            </w:pPr>
            <w:r>
              <w:rPr>
                <w:rFonts w:hint="eastAsia" w:ascii="宋体" w:hAnsi="宋体"/>
                <w:szCs w:val="21"/>
              </w:rPr>
              <w:t>履行合同的时间、地点及方式</w:t>
            </w:r>
          </w:p>
        </w:tc>
        <w:tc>
          <w:tcPr>
            <w:tcW w:w="5464" w:type="dxa"/>
            <w:vAlign w:val="center"/>
          </w:tcPr>
          <w:p w14:paraId="48E47E68">
            <w:pPr>
              <w:adjustRightInd w:val="0"/>
              <w:snapToGrid w:val="0"/>
              <w:spacing w:line="360" w:lineRule="auto"/>
              <w:jc w:val="left"/>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时间：</w:t>
            </w:r>
            <w:r>
              <w:rPr>
                <w:rFonts w:hint="eastAsia" w:ascii="宋体" w:hAnsi="宋体"/>
                <w:color w:val="000000" w:themeColor="text1"/>
                <w:szCs w:val="21"/>
                <w:lang w:val="en-US" w:eastAsia="zh-CN"/>
                <w14:textFill>
                  <w14:solidFill>
                    <w14:schemeClr w14:val="tx1"/>
                  </w14:solidFill>
                </w14:textFill>
              </w:rPr>
              <w:t>1年</w:t>
            </w:r>
          </w:p>
          <w:p w14:paraId="09DD2B70">
            <w:pPr>
              <w:adjustRightInd w:val="0"/>
              <w:snapToGrid w:val="0"/>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服务地点：采购人指定地点</w:t>
            </w:r>
          </w:p>
          <w:p w14:paraId="64EB6005">
            <w:pPr>
              <w:adjustRightInd w:val="0"/>
              <w:snapToGrid w:val="0"/>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 xml:space="preserve">服务交付方式：  </w:t>
            </w:r>
            <w:bookmarkStart w:id="198" w:name="OLE_LINK10"/>
            <w:r>
              <w:rPr>
                <w:rFonts w:hint="eastAsia" w:ascii="宋体" w:hAnsi="宋体"/>
                <w:color w:val="000000" w:themeColor="text1"/>
                <w:szCs w:val="21"/>
                <w:lang w:eastAsia="zh-CN"/>
                <w14:textFill>
                  <w14:solidFill>
                    <w14:schemeClr w14:val="tx1"/>
                  </w14:solidFill>
                </w14:textFill>
              </w:rPr>
              <w:t>签订合同时约定</w:t>
            </w:r>
            <w:bookmarkEnd w:id="198"/>
            <w:r>
              <w:rPr>
                <w:rFonts w:hint="eastAsia" w:ascii="宋体" w:hAnsi="宋体"/>
                <w:color w:val="000000" w:themeColor="text1"/>
                <w:szCs w:val="21"/>
                <w:lang w:eastAsia="zh-CN"/>
                <w14:textFill>
                  <w14:solidFill>
                    <w14:schemeClr w14:val="tx1"/>
                  </w14:solidFill>
                </w14:textFill>
              </w:rPr>
              <w:t xml:space="preserve">   </w:t>
            </w:r>
          </w:p>
        </w:tc>
      </w:tr>
      <w:tr w14:paraId="405740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950CB98">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70BC7DB7">
            <w:pPr>
              <w:adjustRightInd w:val="0"/>
              <w:snapToGrid w:val="0"/>
              <w:spacing w:line="360" w:lineRule="auto"/>
              <w:jc w:val="center"/>
              <w:rPr>
                <w:rFonts w:hint="eastAsia" w:ascii="宋体" w:hAnsi="宋体"/>
                <w:szCs w:val="21"/>
              </w:rPr>
            </w:pPr>
            <w:r>
              <w:rPr>
                <w:rFonts w:hint="eastAsia" w:ascii="宋体" w:hAnsi="宋体"/>
                <w:szCs w:val="21"/>
              </w:rPr>
              <w:t>第9.2（1）项</w:t>
            </w:r>
          </w:p>
        </w:tc>
        <w:tc>
          <w:tcPr>
            <w:tcW w:w="1843" w:type="dxa"/>
            <w:vAlign w:val="center"/>
          </w:tcPr>
          <w:p w14:paraId="19FBBFE2">
            <w:pPr>
              <w:adjustRightInd w:val="0"/>
              <w:snapToGrid w:val="0"/>
              <w:spacing w:line="360" w:lineRule="auto"/>
              <w:jc w:val="left"/>
              <w:rPr>
                <w:rFonts w:hint="eastAsia" w:ascii="宋体" w:hAnsi="宋体"/>
                <w:szCs w:val="21"/>
              </w:rPr>
            </w:pPr>
            <w:r>
              <w:rPr>
                <w:rFonts w:hint="eastAsia" w:ascii="宋体" w:hAnsi="宋体"/>
                <w:szCs w:val="21"/>
              </w:rPr>
              <w:t>售后服务期</w:t>
            </w:r>
          </w:p>
        </w:tc>
        <w:tc>
          <w:tcPr>
            <w:tcW w:w="5464" w:type="dxa"/>
            <w:vAlign w:val="center"/>
          </w:tcPr>
          <w:p w14:paraId="704D3422">
            <w:pPr>
              <w:adjustRightInd w:val="0"/>
              <w:snapToGrid w:val="0"/>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签订合同时约定</w:t>
            </w:r>
          </w:p>
        </w:tc>
      </w:tr>
      <w:tr w14:paraId="070D30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FA3E501">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101AAC52">
            <w:pPr>
              <w:adjustRightInd w:val="0"/>
              <w:snapToGrid w:val="0"/>
              <w:spacing w:line="360" w:lineRule="auto"/>
              <w:jc w:val="center"/>
              <w:rPr>
                <w:rFonts w:hint="eastAsia" w:ascii="宋体" w:hAnsi="宋体"/>
                <w:szCs w:val="21"/>
              </w:rPr>
            </w:pPr>
            <w:r>
              <w:rPr>
                <w:rFonts w:hint="eastAsia" w:ascii="宋体" w:hAnsi="宋体"/>
                <w:szCs w:val="21"/>
              </w:rPr>
              <w:t>第9.2（3）项</w:t>
            </w:r>
          </w:p>
        </w:tc>
        <w:tc>
          <w:tcPr>
            <w:tcW w:w="1843" w:type="dxa"/>
            <w:vAlign w:val="center"/>
          </w:tcPr>
          <w:p w14:paraId="3513A77A">
            <w:pPr>
              <w:adjustRightInd w:val="0"/>
              <w:snapToGrid w:val="0"/>
              <w:spacing w:line="360" w:lineRule="auto"/>
              <w:jc w:val="left"/>
              <w:rPr>
                <w:rFonts w:hint="eastAsia" w:ascii="宋体" w:hAnsi="宋体"/>
                <w:szCs w:val="21"/>
              </w:rPr>
            </w:pPr>
            <w:r>
              <w:rPr>
                <w:rFonts w:hint="eastAsia" w:ascii="宋体" w:hAnsi="宋体"/>
                <w:szCs w:val="21"/>
              </w:rPr>
              <w:t>响应时间</w:t>
            </w:r>
          </w:p>
        </w:tc>
        <w:tc>
          <w:tcPr>
            <w:tcW w:w="5464" w:type="dxa"/>
            <w:vAlign w:val="center"/>
          </w:tcPr>
          <w:p w14:paraId="55294870">
            <w:pPr>
              <w:adjustRightInd w:val="0"/>
              <w:snapToGrid w:val="0"/>
              <w:spacing w:line="360" w:lineRule="auto"/>
              <w:jc w:val="left"/>
              <w:rPr>
                <w:rFonts w:hint="eastAsia" w:ascii="宋体" w:hAnsi="宋体"/>
                <w:color w:val="000000" w:themeColor="text1"/>
                <w:szCs w:val="21"/>
                <w:lang w:eastAsia="zh-CN"/>
                <w14:textFill>
                  <w14:solidFill>
                    <w14:schemeClr w14:val="tx1"/>
                  </w14:solidFill>
                </w14:textFill>
              </w:rPr>
            </w:pPr>
            <w:r>
              <w:rPr>
                <w:rFonts w:hint="eastAsia" w:ascii="宋体" w:hAnsi="宋体"/>
                <w:szCs w:val="21"/>
                <w:lang w:eastAsia="zh-CN"/>
              </w:rPr>
              <w:t>详见</w:t>
            </w:r>
            <w:r>
              <w:rPr>
                <w:rFonts w:hint="eastAsia" w:ascii="宋体" w:hAnsi="宋体"/>
                <w:szCs w:val="21"/>
              </w:rPr>
              <w:t>第五章采购需求</w:t>
            </w:r>
          </w:p>
        </w:tc>
      </w:tr>
      <w:tr w14:paraId="1D9C94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5CB97D2E">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7BEF8EF0">
            <w:pPr>
              <w:adjustRightInd w:val="0"/>
              <w:snapToGrid w:val="0"/>
              <w:spacing w:line="360" w:lineRule="auto"/>
              <w:jc w:val="center"/>
              <w:rPr>
                <w:rFonts w:hint="eastAsia" w:ascii="宋体" w:hAnsi="宋体"/>
                <w:szCs w:val="21"/>
              </w:rPr>
            </w:pPr>
            <w:r>
              <w:rPr>
                <w:rFonts w:hint="eastAsia" w:ascii="宋体" w:hAnsi="宋体"/>
                <w:szCs w:val="21"/>
              </w:rPr>
              <w:t>第13.5款</w:t>
            </w:r>
          </w:p>
        </w:tc>
        <w:tc>
          <w:tcPr>
            <w:tcW w:w="1843" w:type="dxa"/>
            <w:vAlign w:val="center"/>
          </w:tcPr>
          <w:p w14:paraId="6501F3FC">
            <w:pPr>
              <w:adjustRightInd w:val="0"/>
              <w:snapToGrid w:val="0"/>
              <w:spacing w:line="360" w:lineRule="auto"/>
              <w:jc w:val="left"/>
              <w:rPr>
                <w:rFonts w:hint="eastAsia" w:ascii="宋体" w:hAnsi="宋体"/>
                <w:szCs w:val="21"/>
              </w:rPr>
            </w:pPr>
            <w:r>
              <w:rPr>
                <w:rFonts w:hint="eastAsia" w:ascii="宋体" w:hAnsi="宋体"/>
                <w:szCs w:val="21"/>
              </w:rPr>
              <w:t>合同价款支付方式</w:t>
            </w:r>
            <w:r>
              <w:rPr>
                <w:rFonts w:hint="eastAsia" w:ascii="宋体" w:hAnsi="宋体"/>
                <w:bCs/>
                <w:szCs w:val="21"/>
              </w:rPr>
              <w:t>和条件</w:t>
            </w:r>
          </w:p>
        </w:tc>
        <w:tc>
          <w:tcPr>
            <w:tcW w:w="5464" w:type="dxa"/>
            <w:vAlign w:val="center"/>
          </w:tcPr>
          <w:p w14:paraId="08A5F365">
            <w:pPr>
              <w:adjustRightInd w:val="0"/>
              <w:snapToGrid w:val="0"/>
              <w:spacing w:line="360" w:lineRule="auto"/>
              <w:jc w:val="left"/>
              <w:rPr>
                <w:rFonts w:hint="eastAsia" w:ascii="宋体" w:hAnsi="宋体"/>
                <w:szCs w:val="21"/>
                <w:u w:val="single"/>
              </w:rPr>
            </w:pPr>
            <w:r>
              <w:rPr>
                <w:rFonts w:hint="eastAsia" w:ascii="宋体" w:hAnsi="宋体"/>
                <w:szCs w:val="21"/>
              </w:rPr>
              <w:t>支付方式：</w:t>
            </w:r>
            <w:r>
              <w:rPr>
                <w:rFonts w:hint="eastAsia" w:ascii="宋体" w:hAnsi="宋体"/>
                <w:szCs w:val="21"/>
                <w:lang w:eastAsia="zh-CN"/>
              </w:rPr>
              <w:t>详见</w:t>
            </w:r>
            <w:r>
              <w:rPr>
                <w:rFonts w:hint="eastAsia" w:ascii="宋体" w:hAnsi="宋体"/>
                <w:szCs w:val="21"/>
              </w:rPr>
              <w:t>第五章采购需求</w:t>
            </w:r>
          </w:p>
          <w:p w14:paraId="30BBFBAF">
            <w:pPr>
              <w:adjustRightInd w:val="0"/>
              <w:snapToGrid w:val="0"/>
              <w:spacing w:line="360" w:lineRule="auto"/>
              <w:jc w:val="left"/>
              <w:rPr>
                <w:rFonts w:hint="eastAsia" w:ascii="宋体" w:hAnsi="宋体"/>
                <w:szCs w:val="21"/>
              </w:rPr>
            </w:pPr>
            <w:r>
              <w:rPr>
                <w:rFonts w:hint="eastAsia" w:ascii="宋体" w:hAnsi="宋体"/>
                <w:szCs w:val="21"/>
              </w:rPr>
              <w:t>支付条件：</w:t>
            </w:r>
            <w:r>
              <w:rPr>
                <w:rFonts w:hint="eastAsia" w:ascii="宋体" w:hAnsi="宋体"/>
                <w:szCs w:val="21"/>
                <w:lang w:eastAsia="zh-CN"/>
              </w:rPr>
              <w:t>详见</w:t>
            </w:r>
            <w:r>
              <w:rPr>
                <w:rFonts w:hint="eastAsia" w:ascii="宋体" w:hAnsi="宋体"/>
                <w:szCs w:val="21"/>
              </w:rPr>
              <w:t>第五章采购需求</w:t>
            </w:r>
          </w:p>
        </w:tc>
      </w:tr>
      <w:tr w14:paraId="1438AE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F92FF8E">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1CBD8E02">
            <w:pPr>
              <w:adjustRightInd w:val="0"/>
              <w:snapToGrid w:val="0"/>
              <w:spacing w:line="360" w:lineRule="auto"/>
              <w:jc w:val="center"/>
              <w:rPr>
                <w:rFonts w:hint="eastAsia" w:ascii="宋体" w:hAnsi="宋体"/>
                <w:szCs w:val="21"/>
              </w:rPr>
            </w:pPr>
            <w:r>
              <w:rPr>
                <w:rFonts w:hint="eastAsia" w:ascii="宋体" w:hAnsi="宋体"/>
                <w:szCs w:val="21"/>
              </w:rPr>
              <w:t>第14.2（5）项</w:t>
            </w:r>
          </w:p>
        </w:tc>
        <w:tc>
          <w:tcPr>
            <w:tcW w:w="1843" w:type="dxa"/>
            <w:vAlign w:val="center"/>
          </w:tcPr>
          <w:p w14:paraId="4BEF543B">
            <w:pPr>
              <w:adjustRightInd w:val="0"/>
              <w:snapToGrid w:val="0"/>
              <w:spacing w:line="360" w:lineRule="auto"/>
              <w:jc w:val="left"/>
              <w:rPr>
                <w:rFonts w:hint="eastAsia" w:ascii="宋体" w:hAnsi="宋体"/>
                <w:szCs w:val="21"/>
              </w:rPr>
            </w:pPr>
            <w:r>
              <w:rPr>
                <w:rFonts w:hint="eastAsia" w:ascii="宋体" w:hAnsi="宋体"/>
                <w:szCs w:val="21"/>
              </w:rPr>
              <w:t>乙方提供的其他服务</w:t>
            </w:r>
          </w:p>
        </w:tc>
        <w:tc>
          <w:tcPr>
            <w:tcW w:w="5464" w:type="dxa"/>
            <w:vAlign w:val="center"/>
          </w:tcPr>
          <w:p w14:paraId="38A7501A">
            <w:pPr>
              <w:adjustRightInd w:val="0"/>
              <w:snapToGrid w:val="0"/>
              <w:spacing w:line="360" w:lineRule="auto"/>
              <w:jc w:val="left"/>
              <w:rPr>
                <w:rFonts w:hint="eastAsia" w:ascii="宋体" w:hAnsi="宋体"/>
                <w:szCs w:val="21"/>
              </w:rPr>
            </w:pPr>
            <w:r>
              <w:rPr>
                <w:rFonts w:hint="eastAsia" w:ascii="宋体" w:hAnsi="宋体"/>
                <w:szCs w:val="21"/>
                <w:u w:val="single"/>
              </w:rPr>
              <w:t xml:space="preserve">              </w:t>
            </w:r>
            <w:r>
              <w:rPr>
                <w:rFonts w:hint="eastAsia" w:ascii="宋体" w:hAnsi="宋体"/>
                <w:szCs w:val="21"/>
              </w:rPr>
              <w:t>，或第五章采购需求。</w:t>
            </w:r>
          </w:p>
        </w:tc>
      </w:tr>
      <w:tr w14:paraId="3744E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10682D2">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6511D6DB">
            <w:pPr>
              <w:adjustRightInd w:val="0"/>
              <w:snapToGrid w:val="0"/>
              <w:spacing w:line="360" w:lineRule="auto"/>
              <w:jc w:val="center"/>
              <w:rPr>
                <w:rFonts w:hint="eastAsia" w:ascii="宋体" w:hAnsi="宋体"/>
                <w:bCs/>
                <w:szCs w:val="21"/>
              </w:rPr>
            </w:pPr>
            <w:r>
              <w:rPr>
                <w:rFonts w:hint="eastAsia" w:ascii="宋体" w:hAnsi="宋体"/>
                <w:szCs w:val="21"/>
              </w:rPr>
              <w:t>第20.2款</w:t>
            </w:r>
          </w:p>
        </w:tc>
        <w:tc>
          <w:tcPr>
            <w:tcW w:w="1843" w:type="dxa"/>
            <w:vAlign w:val="center"/>
          </w:tcPr>
          <w:p w14:paraId="029B1AEA">
            <w:pPr>
              <w:adjustRightInd w:val="0"/>
              <w:snapToGrid w:val="0"/>
              <w:spacing w:line="360" w:lineRule="auto"/>
              <w:jc w:val="left"/>
              <w:rPr>
                <w:rFonts w:hint="eastAsia" w:ascii="宋体" w:hAnsi="宋体"/>
                <w:bCs/>
                <w:szCs w:val="21"/>
              </w:rPr>
            </w:pPr>
            <w:r>
              <w:rPr>
                <w:rFonts w:hint="eastAsia" w:ascii="宋体" w:hAnsi="宋体"/>
                <w:szCs w:val="21"/>
              </w:rPr>
              <w:t>解决争议的方式</w:t>
            </w:r>
          </w:p>
        </w:tc>
        <w:tc>
          <w:tcPr>
            <w:tcW w:w="5464" w:type="dxa"/>
            <w:vAlign w:val="center"/>
          </w:tcPr>
          <w:p w14:paraId="094E0A4F">
            <w:pPr>
              <w:adjustRightInd w:val="0"/>
              <w:snapToGrid w:val="0"/>
              <w:spacing w:line="360" w:lineRule="auto"/>
              <w:jc w:val="left"/>
              <w:rPr>
                <w:rFonts w:hint="eastAsia" w:ascii="宋体" w:hAnsi="宋体"/>
                <w:szCs w:val="21"/>
              </w:rPr>
            </w:pPr>
            <w:r>
              <w:rPr>
                <w:rFonts w:hint="eastAsia" w:ascii="宋体" w:hAnsi="宋体"/>
                <w:szCs w:val="21"/>
              </w:rPr>
              <w:t>□ 诉讼</w:t>
            </w:r>
          </w:p>
          <w:p w14:paraId="652F5A71">
            <w:pPr>
              <w:adjustRightInd w:val="0"/>
              <w:snapToGrid w:val="0"/>
              <w:spacing w:line="360" w:lineRule="auto"/>
              <w:jc w:val="left"/>
              <w:rPr>
                <w:rFonts w:hint="eastAsia" w:ascii="宋体" w:hAnsi="宋体"/>
                <w:szCs w:val="21"/>
              </w:rPr>
            </w:pPr>
            <w:r>
              <w:rPr>
                <w:rFonts w:hint="eastAsia" w:ascii="宋体" w:hAnsi="宋体"/>
                <w:szCs w:val="21"/>
              </w:rPr>
              <w:sym w:font="Wingdings 2" w:char="F052"/>
            </w:r>
            <w:r>
              <w:rPr>
                <w:rFonts w:hint="eastAsia" w:ascii="宋体" w:hAnsi="宋体"/>
                <w:szCs w:val="21"/>
              </w:rPr>
              <w:t xml:space="preserve"> 仲裁</w:t>
            </w:r>
          </w:p>
        </w:tc>
      </w:tr>
      <w:tr w14:paraId="5AB344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F05120B">
            <w:pPr>
              <w:adjustRightInd w:val="0"/>
              <w:snapToGrid w:val="0"/>
              <w:spacing w:line="360" w:lineRule="auto"/>
              <w:jc w:val="center"/>
              <w:rPr>
                <w:rFonts w:hint="eastAsia" w:ascii="宋体" w:hAnsi="宋体"/>
                <w:szCs w:val="21"/>
              </w:rPr>
            </w:pPr>
            <w:r>
              <w:rPr>
                <w:rFonts w:hint="eastAsia" w:ascii="宋体" w:hAnsi="宋体"/>
                <w:szCs w:val="21"/>
              </w:rPr>
              <w:t>本章第二节</w:t>
            </w:r>
          </w:p>
          <w:p w14:paraId="49A4B229">
            <w:pPr>
              <w:adjustRightInd w:val="0"/>
              <w:snapToGrid w:val="0"/>
              <w:spacing w:line="360" w:lineRule="auto"/>
              <w:jc w:val="center"/>
              <w:rPr>
                <w:rFonts w:hint="eastAsia" w:ascii="宋体" w:hAnsi="宋体"/>
                <w:szCs w:val="21"/>
              </w:rPr>
            </w:pPr>
            <w:r>
              <w:rPr>
                <w:rFonts w:hint="eastAsia" w:ascii="宋体" w:hAnsi="宋体"/>
                <w:szCs w:val="21"/>
              </w:rPr>
              <w:t>第23.1款</w:t>
            </w:r>
          </w:p>
        </w:tc>
        <w:tc>
          <w:tcPr>
            <w:tcW w:w="1843" w:type="dxa"/>
            <w:vAlign w:val="center"/>
          </w:tcPr>
          <w:p w14:paraId="3267746C">
            <w:pPr>
              <w:adjustRightInd w:val="0"/>
              <w:snapToGrid w:val="0"/>
              <w:spacing w:line="360" w:lineRule="auto"/>
              <w:jc w:val="left"/>
              <w:rPr>
                <w:rFonts w:hint="eastAsia" w:ascii="宋体" w:hAnsi="宋体"/>
                <w:szCs w:val="21"/>
              </w:rPr>
            </w:pPr>
            <w:r>
              <w:rPr>
                <w:rFonts w:hint="eastAsia" w:ascii="宋体" w:hAnsi="宋体"/>
                <w:bCs/>
                <w:szCs w:val="21"/>
              </w:rPr>
              <w:t>合同未尽事项</w:t>
            </w:r>
          </w:p>
        </w:tc>
        <w:tc>
          <w:tcPr>
            <w:tcW w:w="5464" w:type="dxa"/>
            <w:vAlign w:val="center"/>
          </w:tcPr>
          <w:p w14:paraId="7E263CE5">
            <w:pPr>
              <w:adjustRightInd w:val="0"/>
              <w:snapToGrid w:val="0"/>
              <w:spacing w:line="360" w:lineRule="auto"/>
              <w:jc w:val="left"/>
              <w:rPr>
                <w:rFonts w:hint="eastAsia" w:ascii="宋体" w:hAnsi="宋体"/>
                <w:szCs w:val="21"/>
                <w:u w:val="single"/>
              </w:rPr>
            </w:pPr>
            <w:r>
              <w:rPr>
                <w:rFonts w:hint="eastAsia" w:ascii="宋体" w:hAnsi="宋体"/>
                <w:szCs w:val="21"/>
                <w:u w:val="single"/>
              </w:rPr>
              <w:t>双方协商解决</w:t>
            </w:r>
          </w:p>
        </w:tc>
      </w:tr>
    </w:tbl>
    <w:p w14:paraId="55E1FAC2">
      <w:pPr>
        <w:jc w:val="center"/>
        <w:rPr>
          <w:rFonts w:hint="eastAsia" w:hAnsi="宋体"/>
          <w:b/>
          <w:bCs/>
          <w:sz w:val="52"/>
          <w:szCs w:val="30"/>
        </w:rPr>
      </w:pPr>
      <w:r>
        <w:rPr>
          <w:rFonts w:ascii="黑体" w:hAnsi="华文中宋" w:eastAsia="黑体"/>
          <w:b/>
          <w:bCs/>
          <w:sz w:val="28"/>
          <w:szCs w:val="28"/>
        </w:rPr>
        <w:br w:type="page"/>
      </w:r>
      <w:bookmarkEnd w:id="195"/>
    </w:p>
    <w:p w14:paraId="5BE62DE8"/>
    <w:p w14:paraId="10921B5C">
      <w:pPr>
        <w:pStyle w:val="12"/>
        <w:adjustRightInd w:val="0"/>
        <w:snapToGrid w:val="0"/>
        <w:spacing w:line="360" w:lineRule="auto"/>
        <w:jc w:val="center"/>
        <w:outlineLvl w:val="0"/>
        <w:rPr>
          <w:rFonts w:hint="eastAsia" w:ascii="黑体" w:hAnsi="华文中宋" w:eastAsia="黑体"/>
          <w:b/>
          <w:sz w:val="32"/>
          <w:szCs w:val="32"/>
        </w:rPr>
      </w:pPr>
      <w:bookmarkStart w:id="199" w:name="_Toc23469"/>
      <w:bookmarkStart w:id="200" w:name="_Toc29913948"/>
      <w:bookmarkStart w:id="201" w:name="_Toc32104"/>
      <w:r>
        <w:rPr>
          <w:rFonts w:hint="eastAsia" w:ascii="黑体" w:hAnsi="华文中宋" w:eastAsia="黑体"/>
          <w:b/>
          <w:sz w:val="32"/>
          <w:szCs w:val="32"/>
        </w:rPr>
        <w:t>第七章 投标文件的组成</w:t>
      </w:r>
      <w:bookmarkEnd w:id="199"/>
      <w:bookmarkEnd w:id="200"/>
      <w:bookmarkEnd w:id="201"/>
    </w:p>
    <w:p w14:paraId="6442C8C2">
      <w:pPr>
        <w:adjustRightInd w:val="0"/>
        <w:snapToGrid w:val="0"/>
        <w:spacing w:line="360" w:lineRule="auto"/>
        <w:ind w:left="-88" w:leftChars="-42"/>
        <w:jc w:val="center"/>
        <w:rPr>
          <w:b/>
          <w:bCs/>
          <w:sz w:val="32"/>
        </w:rPr>
      </w:pPr>
    </w:p>
    <w:p w14:paraId="131427E2">
      <w:pPr>
        <w:adjustRightInd w:val="0"/>
        <w:snapToGrid w:val="0"/>
        <w:spacing w:before="156" w:beforeLines="50" w:line="360" w:lineRule="auto"/>
        <w:jc w:val="left"/>
        <w:rPr>
          <w:rFonts w:hint="eastAsia" w:ascii="宋体" w:hAnsi="宋体"/>
          <w:b/>
          <w:szCs w:val="21"/>
        </w:rPr>
      </w:pPr>
      <w:r>
        <w:rPr>
          <w:rFonts w:hint="eastAsia" w:ascii="宋体" w:hAnsi="宋体"/>
          <w:b/>
          <w:szCs w:val="21"/>
        </w:rPr>
        <w:t>第一部分 资格证明文件</w:t>
      </w:r>
    </w:p>
    <w:p w14:paraId="4EC20B6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一、开标一览表</w:t>
      </w:r>
    </w:p>
    <w:p w14:paraId="76EDADB1">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二、法定代表人（单位负责人）身份证明或授权委托书</w:t>
      </w:r>
    </w:p>
    <w:p w14:paraId="608F415A">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三、投标人提供的资格证明文件</w:t>
      </w:r>
    </w:p>
    <w:p w14:paraId="419CD2A3">
      <w:pPr>
        <w:adjustRightInd w:val="0"/>
        <w:snapToGrid w:val="0"/>
        <w:spacing w:before="156" w:beforeLines="50" w:line="360" w:lineRule="auto"/>
        <w:jc w:val="left"/>
        <w:rPr>
          <w:rFonts w:hint="eastAsia" w:ascii="宋体" w:hAnsi="宋体"/>
          <w:b/>
          <w:szCs w:val="21"/>
        </w:rPr>
      </w:pPr>
      <w:r>
        <w:rPr>
          <w:rFonts w:hint="eastAsia" w:ascii="宋体" w:hAnsi="宋体"/>
          <w:b/>
          <w:szCs w:val="21"/>
        </w:rPr>
        <w:t>第二部分 商务技术文件</w:t>
      </w:r>
    </w:p>
    <w:p w14:paraId="5E90F14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四、投标函</w:t>
      </w:r>
    </w:p>
    <w:p w14:paraId="11DE247C">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五、分项报价</w:t>
      </w:r>
    </w:p>
    <w:p w14:paraId="6B40F596">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六、采购需求（服务及配套货物）响应</w:t>
      </w:r>
    </w:p>
    <w:p w14:paraId="495EFEE3">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七、合同条款偏离表</w:t>
      </w:r>
    </w:p>
    <w:p w14:paraId="4FC31F80">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八、采购需求（服务及配套货物）偏离表</w:t>
      </w:r>
    </w:p>
    <w:p w14:paraId="53E4600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九、享受政府采购政策优惠的证明资料和清单表</w:t>
      </w:r>
    </w:p>
    <w:p w14:paraId="73B37202">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十、投标服务（服务及配套货物）符合招标文件规定的证明文件</w:t>
      </w:r>
    </w:p>
    <w:p w14:paraId="4F1075D5">
      <w:pPr>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21043914">
      <w:pPr>
        <w:adjustRightInd w:val="0"/>
        <w:snapToGrid w:val="0"/>
        <w:spacing w:before="156" w:beforeLines="50" w:line="360" w:lineRule="auto"/>
        <w:ind w:firstLine="422" w:firstLineChars="200"/>
        <w:jc w:val="left"/>
        <w:rPr>
          <w:rFonts w:hint="eastAsia" w:asciiTheme="minorEastAsia" w:hAnsiTheme="minorEastAsia" w:eastAsiaTheme="minorEastAsia"/>
          <w:b/>
          <w:color w:val="000000"/>
          <w:szCs w:val="21"/>
        </w:rPr>
      </w:pPr>
      <w:r>
        <w:rPr>
          <w:rFonts w:hint="eastAsia" w:asciiTheme="minorEastAsia" w:hAnsiTheme="minorEastAsia" w:eastAsiaTheme="minorEastAsia"/>
          <w:b/>
          <w:color w:val="000000"/>
          <w:szCs w:val="21"/>
        </w:rPr>
        <w:t>注：</w:t>
      </w:r>
      <w:r>
        <w:rPr>
          <w:rFonts w:hint="eastAsia" w:asciiTheme="minorEastAsia" w:hAnsiTheme="minorEastAsia" w:eastAsiaTheme="minorEastAsia"/>
          <w:b/>
          <w:szCs w:val="21"/>
        </w:rPr>
        <w:t>1、投标人应按照电子招标文件格式及投标工具编制资格证明文件，不得将其编制到商务和技术文件中。否则，由于编制失误所产生的后果，由投标人自行承担。</w:t>
      </w:r>
    </w:p>
    <w:p w14:paraId="132C8DC7">
      <w:pPr>
        <w:adjustRightInd w:val="0"/>
        <w:snapToGrid w:val="0"/>
        <w:spacing w:before="156" w:beforeLines="50" w:line="360" w:lineRule="auto"/>
        <w:ind w:firstLine="422" w:firstLineChars="200"/>
        <w:jc w:val="left"/>
        <w:rPr>
          <w:rFonts w:hint="eastAsia" w:asciiTheme="minorEastAsia" w:hAnsiTheme="minorEastAsia" w:eastAsiaTheme="minorEastAsia"/>
          <w:b/>
          <w:color w:val="000000"/>
          <w:szCs w:val="21"/>
        </w:rPr>
      </w:pPr>
      <w:r>
        <w:rPr>
          <w:rFonts w:hint="eastAsia" w:asciiTheme="minorEastAsia" w:hAnsiTheme="minorEastAsia" w:eastAsiaTheme="minorEastAsia"/>
          <w:b/>
          <w:szCs w:val="21"/>
        </w:rPr>
        <w:t>2、投标人应按照电子招标文件格式及投标工具编制商务和技术及综合评分表相关资料。否则，由于编制失误所产生的后果，由投标人自行承担。</w:t>
      </w:r>
    </w:p>
    <w:p w14:paraId="12739B24">
      <w:pPr>
        <w:adjustRightInd w:val="0"/>
        <w:snapToGrid w:val="0"/>
        <w:spacing w:before="156" w:beforeLines="50" w:line="360" w:lineRule="auto"/>
        <w:ind w:firstLine="420" w:firstLineChars="200"/>
        <w:jc w:val="left"/>
        <w:rPr>
          <w:rFonts w:hint="eastAsia" w:asciiTheme="minorEastAsia" w:hAnsiTheme="minorEastAsia" w:eastAsiaTheme="minorEastAsia"/>
          <w:color w:val="000000"/>
          <w:szCs w:val="21"/>
        </w:rPr>
      </w:pPr>
    </w:p>
    <w:p w14:paraId="0FCA0F0E">
      <w:pPr>
        <w:adjustRightInd w:val="0"/>
        <w:snapToGrid w:val="0"/>
        <w:spacing w:line="360" w:lineRule="auto"/>
        <w:jc w:val="center"/>
        <w:rPr>
          <w:rFonts w:hint="eastAsia" w:ascii="仿宋_GB2312" w:hAnsi="宋体" w:eastAsia="仿宋_GB2312"/>
          <w:color w:val="000000"/>
          <w:szCs w:val="21"/>
        </w:rPr>
      </w:pPr>
    </w:p>
    <w:p w14:paraId="79C8D64D">
      <w:pPr>
        <w:adjustRightInd w:val="0"/>
        <w:snapToGrid w:val="0"/>
        <w:spacing w:line="360" w:lineRule="auto"/>
        <w:jc w:val="center"/>
        <w:rPr>
          <w:rFonts w:ascii="黑体" w:eastAsia="黑体"/>
          <w:color w:val="000000"/>
          <w:sz w:val="32"/>
          <w:szCs w:val="32"/>
        </w:rPr>
      </w:pPr>
      <w:r>
        <w:rPr>
          <w:rFonts w:ascii="仿宋_GB2312" w:hAnsi="宋体" w:eastAsia="仿宋_GB2312"/>
          <w:color w:val="000000"/>
          <w:szCs w:val="21"/>
        </w:rPr>
        <w:br w:type="page"/>
      </w:r>
    </w:p>
    <w:p w14:paraId="3F375D1F">
      <w:pPr>
        <w:adjustRightInd w:val="0"/>
        <w:snapToGrid w:val="0"/>
        <w:spacing w:line="360" w:lineRule="auto"/>
        <w:jc w:val="center"/>
        <w:rPr>
          <w:rFonts w:ascii="黑体" w:eastAsia="黑体"/>
          <w:color w:val="000000"/>
          <w:sz w:val="32"/>
          <w:szCs w:val="32"/>
        </w:rPr>
      </w:pPr>
    </w:p>
    <w:p w14:paraId="695CEBCB">
      <w:pPr>
        <w:adjustRightInd w:val="0"/>
        <w:snapToGrid w:val="0"/>
        <w:spacing w:line="360" w:lineRule="auto"/>
        <w:jc w:val="center"/>
        <w:rPr>
          <w:rFonts w:ascii="黑体" w:eastAsia="黑体"/>
          <w:color w:val="000000"/>
          <w:sz w:val="32"/>
          <w:szCs w:val="32"/>
        </w:rPr>
      </w:pPr>
    </w:p>
    <w:p w14:paraId="6A9DE3EC">
      <w:pPr>
        <w:adjustRightInd w:val="0"/>
        <w:snapToGrid w:val="0"/>
        <w:spacing w:line="360" w:lineRule="auto"/>
        <w:jc w:val="center"/>
        <w:rPr>
          <w:rFonts w:ascii="黑体" w:eastAsia="黑体"/>
          <w:color w:val="000000"/>
          <w:sz w:val="32"/>
          <w:szCs w:val="32"/>
        </w:rPr>
      </w:pPr>
    </w:p>
    <w:p w14:paraId="22ACD2C0">
      <w:pPr>
        <w:pStyle w:val="12"/>
        <w:adjustRightInd w:val="0"/>
        <w:snapToGrid w:val="0"/>
        <w:spacing w:line="360" w:lineRule="auto"/>
        <w:jc w:val="center"/>
        <w:rPr>
          <w:rFonts w:hint="eastAsia" w:asciiTheme="minorEastAsia" w:hAnsiTheme="minorEastAsia" w:eastAsiaTheme="minorEastAsia"/>
          <w:b/>
          <w:bCs/>
          <w:sz w:val="72"/>
          <w:szCs w:val="72"/>
        </w:rPr>
      </w:pPr>
      <w:r>
        <w:rPr>
          <w:rFonts w:hint="eastAsia" w:asciiTheme="minorEastAsia" w:hAnsiTheme="minorEastAsia" w:eastAsiaTheme="minorEastAsia"/>
          <w:b/>
          <w:bCs/>
          <w:sz w:val="72"/>
          <w:szCs w:val="72"/>
        </w:rPr>
        <w:t>政府采购</w:t>
      </w:r>
    </w:p>
    <w:p w14:paraId="63DCAA13">
      <w:pPr>
        <w:adjustRightInd w:val="0"/>
        <w:snapToGrid w:val="0"/>
        <w:spacing w:line="360" w:lineRule="auto"/>
        <w:jc w:val="center"/>
        <w:rPr>
          <w:rFonts w:hint="eastAsia"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2CE8A3C0">
      <w:pPr>
        <w:pStyle w:val="4"/>
        <w:adjustRightInd w:val="0"/>
        <w:snapToGrid w:val="0"/>
        <w:jc w:val="center"/>
        <w:rPr>
          <w:rFonts w:hint="eastAsia" w:ascii="黑体" w:hAnsi="黑体" w:eastAsia="黑体"/>
          <w:color w:val="000000"/>
          <w:sz w:val="44"/>
          <w:szCs w:val="44"/>
        </w:rPr>
      </w:pPr>
      <w:bookmarkStart w:id="202" w:name="_Toc4223"/>
      <w:bookmarkStart w:id="203" w:name="_Toc29002"/>
      <w:bookmarkStart w:id="204" w:name="_Toc29913949"/>
      <w:r>
        <w:rPr>
          <w:rFonts w:hint="eastAsia" w:ascii="黑体" w:hAnsi="黑体" w:eastAsia="黑体"/>
          <w:color w:val="000000"/>
          <w:sz w:val="44"/>
          <w:szCs w:val="44"/>
        </w:rPr>
        <w:t>第一部分 资格证明文件</w:t>
      </w:r>
      <w:bookmarkEnd w:id="202"/>
      <w:bookmarkEnd w:id="203"/>
      <w:bookmarkEnd w:id="204"/>
    </w:p>
    <w:p w14:paraId="0FF66BB5">
      <w:pPr>
        <w:adjustRightInd w:val="0"/>
        <w:snapToGrid w:val="0"/>
        <w:spacing w:line="360" w:lineRule="auto"/>
        <w:rPr>
          <w:rFonts w:hint="eastAsia" w:ascii="黑体" w:hAnsi="黑体" w:eastAsia="黑体"/>
          <w:b/>
          <w:color w:val="000000"/>
          <w:sz w:val="32"/>
          <w:szCs w:val="32"/>
        </w:rPr>
      </w:pPr>
    </w:p>
    <w:p w14:paraId="6AE06B3F">
      <w:pPr>
        <w:adjustRightInd w:val="0"/>
        <w:snapToGrid w:val="0"/>
        <w:spacing w:line="360" w:lineRule="auto"/>
        <w:rPr>
          <w:rFonts w:hint="eastAsia" w:asciiTheme="minorEastAsia" w:hAnsiTheme="minorEastAsia" w:eastAsiaTheme="minorEastAsia"/>
          <w:b/>
          <w:color w:val="000000"/>
          <w:sz w:val="30"/>
          <w:szCs w:val="30"/>
        </w:rPr>
      </w:pPr>
      <w:r>
        <w:rPr>
          <w:rFonts w:hint="eastAsia" w:asciiTheme="minorEastAsia" w:hAnsiTheme="minorEastAsia" w:eastAsiaTheme="minorEastAsia"/>
          <w:b/>
          <w:color w:val="000000"/>
          <w:sz w:val="32"/>
          <w:szCs w:val="32"/>
        </w:rPr>
        <w:t xml:space="preserve">                     </w:t>
      </w:r>
    </w:p>
    <w:p w14:paraId="671FB550">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67A159EA">
      <w:pPr>
        <w:pStyle w:val="12"/>
        <w:adjustRightInd w:val="0"/>
        <w:snapToGrid w:val="0"/>
        <w:spacing w:line="360" w:lineRule="auto"/>
        <w:ind w:firstLine="1988" w:firstLineChars="660"/>
        <w:rPr>
          <w:rFonts w:hint="eastAsia"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64C89C7D">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26C47B5E">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3BB03303">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23A931CC">
      <w:pPr>
        <w:adjustRightInd w:val="0"/>
        <w:snapToGrid w:val="0"/>
        <w:spacing w:line="360" w:lineRule="auto"/>
        <w:rPr>
          <w:rFonts w:hint="eastAsia" w:ascii="黑体" w:hAnsi="黑体" w:eastAsia="黑体"/>
          <w:color w:val="000000"/>
          <w:sz w:val="30"/>
          <w:szCs w:val="30"/>
        </w:rPr>
      </w:pPr>
    </w:p>
    <w:p w14:paraId="598C4A0E">
      <w:pPr>
        <w:adjustRightInd w:val="0"/>
        <w:snapToGrid w:val="0"/>
        <w:rPr>
          <w:rFonts w:hint="eastAsia" w:ascii="黑体" w:hAnsi="宋体" w:eastAsia="黑体"/>
          <w:color w:val="000000"/>
          <w:sz w:val="30"/>
          <w:szCs w:val="30"/>
        </w:rPr>
      </w:pPr>
    </w:p>
    <w:p w14:paraId="0D3AF760">
      <w:pPr>
        <w:adjustRightInd w:val="0"/>
        <w:snapToGrid w:val="0"/>
        <w:spacing w:line="360" w:lineRule="auto"/>
        <w:rPr>
          <w:rFonts w:hint="eastAsia" w:ascii="黑体" w:hAnsi="宋体" w:eastAsia="黑体"/>
          <w:color w:val="000000"/>
          <w:sz w:val="30"/>
          <w:szCs w:val="30"/>
        </w:rPr>
      </w:pPr>
    </w:p>
    <w:p w14:paraId="6E2CF9AB">
      <w:pPr>
        <w:adjustRightInd w:val="0"/>
        <w:snapToGrid w:val="0"/>
        <w:spacing w:line="360" w:lineRule="auto"/>
        <w:rPr>
          <w:rFonts w:hint="eastAsia" w:ascii="黑体" w:hAnsi="宋体" w:eastAsia="黑体"/>
          <w:color w:val="000000"/>
          <w:sz w:val="30"/>
          <w:szCs w:val="30"/>
        </w:rPr>
      </w:pPr>
    </w:p>
    <w:p w14:paraId="42B6C154">
      <w:pPr>
        <w:adjustRightInd w:val="0"/>
        <w:snapToGrid w:val="0"/>
        <w:spacing w:line="360" w:lineRule="auto"/>
        <w:rPr>
          <w:rFonts w:hint="eastAsia" w:ascii="黑体" w:hAnsi="宋体" w:eastAsia="黑体"/>
          <w:color w:val="000000"/>
          <w:sz w:val="30"/>
          <w:szCs w:val="30"/>
        </w:rPr>
      </w:pPr>
    </w:p>
    <w:p w14:paraId="7FF12203">
      <w:pPr>
        <w:adjustRightInd w:val="0"/>
        <w:snapToGrid w:val="0"/>
        <w:spacing w:line="360" w:lineRule="auto"/>
        <w:ind w:firstLine="1984" w:firstLineChars="620"/>
        <w:rPr>
          <w:rFonts w:hint="eastAsia" w:ascii="黑体" w:hAnsi="宋体" w:eastAsia="黑体"/>
          <w:color w:val="000000"/>
          <w:sz w:val="32"/>
          <w:szCs w:val="32"/>
          <w:u w:val="single"/>
        </w:rPr>
      </w:pPr>
      <w:r>
        <w:rPr>
          <w:rFonts w:hint="eastAsia" w:ascii="黑体" w:hAnsi="宋体" w:eastAsia="黑体"/>
          <w:color w:val="000000"/>
          <w:sz w:val="32"/>
          <w:szCs w:val="32"/>
        </w:rPr>
        <w:t>投标人</w:t>
      </w:r>
      <w:r>
        <w:rPr>
          <w:rFonts w:hint="eastAsia" w:ascii="黑体" w:hAnsi="宋体" w:eastAsia="黑体"/>
          <w:color w:val="000000"/>
          <w:sz w:val="32"/>
          <w:szCs w:val="32"/>
          <w:u w:val="single"/>
        </w:rPr>
        <w:t xml:space="preserve">                         </w:t>
      </w:r>
    </w:p>
    <w:p w14:paraId="66C2EBCC">
      <w:pPr>
        <w:adjustRightInd w:val="0"/>
        <w:snapToGrid w:val="0"/>
        <w:spacing w:line="360" w:lineRule="auto"/>
        <w:jc w:val="center"/>
        <w:rPr>
          <w:rFonts w:ascii="黑体" w:eastAsia="黑体"/>
          <w:sz w:val="28"/>
          <w:szCs w:val="28"/>
        </w:rPr>
      </w:pPr>
      <w:r>
        <w:rPr>
          <w:rFonts w:hint="eastAsia" w:ascii="黑体" w:hAnsi="宋体" w:eastAsia="黑体"/>
          <w:color w:val="000000"/>
          <w:sz w:val="32"/>
          <w:szCs w:val="32"/>
        </w:rPr>
        <w:t>年  月  日</w:t>
      </w:r>
      <w:r>
        <w:rPr>
          <w:rFonts w:ascii="黑体" w:eastAsia="黑体"/>
          <w:sz w:val="28"/>
          <w:szCs w:val="28"/>
        </w:rPr>
        <w:br w:type="page"/>
      </w:r>
    </w:p>
    <w:p w14:paraId="594CA1D0">
      <w:pPr>
        <w:pStyle w:val="5"/>
        <w:adjustRightInd w:val="0"/>
        <w:snapToGrid w:val="0"/>
        <w:spacing w:before="0" w:after="0" w:line="360" w:lineRule="auto"/>
        <w:jc w:val="center"/>
        <w:rPr>
          <w:rFonts w:hint="eastAsia" w:ascii="黑体" w:hAnsi="宋体" w:eastAsia="黑体"/>
          <w:color w:val="8497B0" w:themeColor="text2" w:themeTint="99"/>
          <w:sz w:val="28"/>
          <w:szCs w:val="28"/>
          <w14:textFill>
            <w14:solidFill>
              <w14:schemeClr w14:val="tx2">
                <w14:lumMod w14:val="60000"/>
                <w14:lumOff w14:val="40000"/>
              </w14:schemeClr>
            </w14:solidFill>
          </w14:textFill>
        </w:rPr>
      </w:pPr>
      <w:bookmarkStart w:id="205" w:name="_Toc16153"/>
      <w:bookmarkStart w:id="206" w:name="_Toc7042"/>
      <w:bookmarkStart w:id="207" w:name="_Toc29913950"/>
      <w:r>
        <w:rPr>
          <w:rFonts w:hint="eastAsia" w:ascii="黑体" w:hAnsi="宋体" w:eastAsia="黑体"/>
          <w:sz w:val="28"/>
          <w:szCs w:val="28"/>
        </w:rPr>
        <w:t>一、开标一览表</w:t>
      </w:r>
      <w:bookmarkEnd w:id="205"/>
      <w:bookmarkEnd w:id="206"/>
      <w:bookmarkEnd w:id="207"/>
    </w:p>
    <w:p w14:paraId="38C3DB14">
      <w:pPr>
        <w:adjustRightInd w:val="0"/>
        <w:snapToGrid w:val="0"/>
        <w:spacing w:line="360" w:lineRule="auto"/>
        <w:ind w:left="-88" w:leftChars="-42"/>
        <w:jc w:val="center"/>
        <w:rPr>
          <w:rFonts w:hint="eastAsia" w:ascii="仿宋_GB2312" w:hAnsi="宋体" w:eastAsia="仿宋_GB2312"/>
          <w:color w:val="000000"/>
          <w:sz w:val="24"/>
        </w:rPr>
      </w:pPr>
    </w:p>
    <w:p w14:paraId="79F2BFAC">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政府采购计划号：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w:t>
      </w:r>
    </w:p>
    <w:p w14:paraId="722126E1">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lang w:eastAsia="zh-CN"/>
        </w:rPr>
        <w:t>采购代理编号</w:t>
      </w:r>
      <w:r>
        <w:rPr>
          <w:rFonts w:hint="eastAsia" w:asciiTheme="minorEastAsia" w:hAnsiTheme="minorEastAsia" w:eastAsiaTheme="minorEastAsia"/>
          <w:szCs w:val="21"/>
        </w:rPr>
        <w:t>：</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61BE27F5">
      <w:pPr>
        <w:adjustRightInd w:val="0"/>
        <w:snapToGrid w:val="0"/>
        <w:spacing w:line="360" w:lineRule="auto"/>
        <w:rPr>
          <w:rFonts w:hint="eastAsia" w:asciiTheme="minorEastAsia" w:hAnsiTheme="minorEastAsia" w:eastAsiaTheme="minorEastAsia"/>
          <w:b/>
          <w:szCs w:val="21"/>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    ________</w:t>
      </w:r>
    </w:p>
    <w:tbl>
      <w:tblPr>
        <w:tblStyle w:val="2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46245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5A4A32C">
            <w:pPr>
              <w:adjustRightInd w:val="0"/>
              <w:snapToGrid w:val="0"/>
              <w:spacing w:line="360" w:lineRule="auto"/>
              <w:jc w:val="center"/>
              <w:rPr>
                <w:rFonts w:hint="eastAsia" w:asciiTheme="minorEastAsia" w:hAnsiTheme="minorEastAsia" w:eastAsiaTheme="minorEastAsia"/>
                <w:b/>
                <w:kern w:val="0"/>
                <w:sz w:val="20"/>
                <w:szCs w:val="21"/>
              </w:rPr>
            </w:pPr>
            <w:r>
              <w:rPr>
                <w:rFonts w:hint="eastAsia" w:asciiTheme="minorEastAsia" w:hAnsiTheme="minorEastAsia" w:eastAsiaTheme="minorEastAsia"/>
                <w:b/>
                <w:kern w:val="0"/>
                <w:szCs w:val="21"/>
              </w:rPr>
              <w:t>投标报价</w:t>
            </w:r>
          </w:p>
        </w:tc>
        <w:tc>
          <w:tcPr>
            <w:tcW w:w="3119" w:type="dxa"/>
            <w:vAlign w:val="center"/>
          </w:tcPr>
          <w:p w14:paraId="05E0F49D">
            <w:pPr>
              <w:adjustRightInd w:val="0"/>
              <w:snapToGrid w:val="0"/>
              <w:spacing w:line="360" w:lineRule="auto"/>
              <w:jc w:val="center"/>
              <w:rPr>
                <w:rFonts w:hint="eastAsia" w:asciiTheme="minorEastAsia" w:hAnsiTheme="minorEastAsia" w:eastAsiaTheme="minorEastAsia"/>
                <w:b/>
                <w:kern w:val="0"/>
                <w:szCs w:val="21"/>
              </w:rPr>
            </w:pPr>
            <w:r>
              <w:rPr>
                <w:rFonts w:hint="eastAsia" w:asciiTheme="minorEastAsia" w:hAnsiTheme="minorEastAsia" w:eastAsiaTheme="minorEastAsia"/>
                <w:b/>
                <w:kern w:val="0"/>
                <w:szCs w:val="21"/>
              </w:rPr>
              <w:t>其他内容</w:t>
            </w:r>
          </w:p>
        </w:tc>
      </w:tr>
      <w:tr w14:paraId="42B25C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3D94B83">
            <w:pPr>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小写金额：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483F480B">
            <w:pPr>
              <w:adjustRightInd w:val="0"/>
              <w:snapToGrid w:val="0"/>
              <w:spacing w:line="360" w:lineRule="auto"/>
              <w:jc w:val="center"/>
              <w:rPr>
                <w:rFonts w:hint="eastAsia" w:asciiTheme="minorEastAsia" w:hAnsiTheme="minorEastAsia" w:eastAsiaTheme="minorEastAsia"/>
                <w:kern w:val="0"/>
                <w:szCs w:val="21"/>
                <w:u w:val="single"/>
              </w:rPr>
            </w:pPr>
            <w:r>
              <w:rPr>
                <w:rFonts w:hint="eastAsia" w:asciiTheme="minorEastAsia" w:hAnsiTheme="minorEastAsia" w:eastAsiaTheme="minorEastAsia"/>
                <w:kern w:val="0"/>
                <w:szCs w:val="21"/>
              </w:rPr>
              <w:t>大写金额：</w:t>
            </w:r>
            <w:r>
              <w:rPr>
                <w:rFonts w:hint="eastAsia" w:asciiTheme="minorEastAsia" w:hAnsiTheme="minorEastAsia" w:eastAsiaTheme="minorEastAsia"/>
                <w:kern w:val="0"/>
                <w:szCs w:val="21"/>
                <w:u w:val="single"/>
              </w:rPr>
              <w:t>__    _______</w:t>
            </w:r>
            <w:r>
              <w:rPr>
                <w:rFonts w:hint="eastAsia" w:asciiTheme="minorEastAsia" w:hAnsiTheme="minorEastAsia" w:eastAsiaTheme="minorEastAsia"/>
                <w:kern w:val="0"/>
                <w:szCs w:val="21"/>
              </w:rPr>
              <w:t>（</w:t>
            </w:r>
            <w:r>
              <w:rPr>
                <w:rFonts w:hint="eastAsia" w:asciiTheme="minorEastAsia" w:hAnsiTheme="minorEastAsia" w:eastAsiaTheme="minorEastAsia"/>
                <w:kern w:val="0"/>
                <w:sz w:val="20"/>
                <w:szCs w:val="21"/>
              </w:rPr>
              <w:t>人民币元</w:t>
            </w:r>
            <w:r>
              <w:rPr>
                <w:rFonts w:hint="eastAsia" w:asciiTheme="minorEastAsia" w:hAnsiTheme="minorEastAsia" w:eastAsiaTheme="minorEastAsia"/>
                <w:kern w:val="0"/>
                <w:szCs w:val="21"/>
              </w:rPr>
              <w:t>）</w:t>
            </w:r>
          </w:p>
          <w:p w14:paraId="00340F0C">
            <w:pPr>
              <w:adjustRightInd w:val="0"/>
              <w:snapToGrid w:val="0"/>
              <w:spacing w:line="360" w:lineRule="auto"/>
              <w:jc w:val="center"/>
              <w:rPr>
                <w:rFonts w:hint="eastAsia" w:asciiTheme="minorEastAsia" w:hAnsiTheme="minorEastAsia" w:eastAsiaTheme="minorEastAsia"/>
                <w:kern w:val="0"/>
                <w:sz w:val="20"/>
                <w:szCs w:val="21"/>
              </w:rPr>
            </w:pPr>
            <w:r>
              <w:rPr>
                <w:rFonts w:hint="eastAsia" w:asciiTheme="minorEastAsia" w:hAnsiTheme="minorEastAsia" w:eastAsiaTheme="minorEastAsia"/>
                <w:kern w:val="0"/>
                <w:szCs w:val="21"/>
              </w:rPr>
              <w:t>（</w:t>
            </w:r>
            <w:r>
              <w:rPr>
                <w:rFonts w:hint="eastAsia" w:ascii="黑体" w:hAnsi="黑体" w:eastAsia="黑体"/>
                <w:kern w:val="0"/>
                <w:sz w:val="24"/>
              </w:rPr>
              <w:t>大写金额与小写金额不一致时，以大写金额为准</w:t>
            </w:r>
            <w:r>
              <w:rPr>
                <w:rFonts w:hint="eastAsia" w:asciiTheme="minorEastAsia" w:hAnsiTheme="minorEastAsia" w:eastAsiaTheme="minorEastAsia"/>
                <w:kern w:val="0"/>
                <w:szCs w:val="21"/>
              </w:rPr>
              <w:t>）</w:t>
            </w:r>
          </w:p>
        </w:tc>
        <w:tc>
          <w:tcPr>
            <w:tcW w:w="3119" w:type="dxa"/>
            <w:vAlign w:val="center"/>
          </w:tcPr>
          <w:p w14:paraId="307A49E7">
            <w:pPr>
              <w:adjustRightInd w:val="0"/>
              <w:snapToGrid w:val="0"/>
              <w:spacing w:line="360" w:lineRule="auto"/>
              <w:jc w:val="center"/>
              <w:rPr>
                <w:rFonts w:hint="eastAsia" w:asciiTheme="minorEastAsia" w:hAnsiTheme="minorEastAsia" w:eastAsiaTheme="minorEastAsia"/>
                <w:kern w:val="0"/>
                <w:szCs w:val="21"/>
              </w:rPr>
            </w:pPr>
          </w:p>
        </w:tc>
      </w:tr>
    </w:tbl>
    <w:p w14:paraId="36BEA3A0">
      <w:pPr>
        <w:adjustRightInd w:val="0"/>
        <w:snapToGrid w:val="0"/>
        <w:spacing w:line="360" w:lineRule="auto"/>
        <w:rPr>
          <w:rFonts w:hint="eastAsia" w:asciiTheme="minorEastAsia" w:hAnsiTheme="minorEastAsia" w:eastAsiaTheme="minorEastAsia"/>
          <w:b/>
          <w:szCs w:val="21"/>
        </w:rPr>
      </w:pPr>
    </w:p>
    <w:p w14:paraId="08E6ACC5">
      <w:pPr>
        <w:adjustRightInd w:val="0"/>
        <w:snapToGrid w:val="0"/>
        <w:spacing w:line="360" w:lineRule="auto"/>
        <w:rPr>
          <w:rFonts w:hint="eastAsia" w:asciiTheme="minorEastAsia" w:hAnsiTheme="minorEastAsia" w:eastAsiaTheme="minorEastAsia"/>
          <w:b/>
          <w:szCs w:val="21"/>
        </w:rPr>
      </w:pPr>
    </w:p>
    <w:p w14:paraId="1E408868">
      <w:pPr>
        <w:adjustRightInd w:val="0"/>
        <w:snapToGrid w:val="0"/>
        <w:spacing w:line="360" w:lineRule="auto"/>
        <w:rPr>
          <w:rFonts w:hint="eastAsia" w:asciiTheme="minorEastAsia" w:hAnsiTheme="minorEastAsia" w:eastAsiaTheme="minorEastAsia"/>
          <w:b/>
          <w:szCs w:val="21"/>
        </w:rPr>
      </w:pPr>
    </w:p>
    <w:p w14:paraId="19358746">
      <w:pPr>
        <w:adjustRightInd w:val="0"/>
        <w:snapToGrid w:val="0"/>
        <w:spacing w:line="360" w:lineRule="auto"/>
        <w:rPr>
          <w:rFonts w:hint="eastAsia" w:asciiTheme="minorEastAsia" w:hAnsiTheme="minorEastAsia" w:eastAsiaTheme="minorEastAsia"/>
          <w:b/>
          <w:szCs w:val="21"/>
        </w:rPr>
      </w:pPr>
      <w:r>
        <w:rPr>
          <w:rFonts w:hint="eastAsia" w:asciiTheme="minorEastAsia" w:hAnsiTheme="minorEastAsia" w:eastAsiaTheme="minorEastAsia"/>
          <w:b/>
          <w:szCs w:val="21"/>
        </w:rPr>
        <w:t>备注：1、本“开标一览表”所填报价应与交易平台上所填电子“开标一览表”报价一致，否则，以交易平台上所填电子“开标一览表”报价为准。</w:t>
      </w:r>
    </w:p>
    <w:p w14:paraId="1C15C7F4">
      <w:pPr>
        <w:adjustRightInd w:val="0"/>
        <w:snapToGrid w:val="0"/>
        <w:spacing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2、本表须按包填写，一个“包号”一份。</w:t>
      </w:r>
    </w:p>
    <w:p w14:paraId="44715D2C">
      <w:pPr>
        <w:adjustRightInd w:val="0"/>
        <w:snapToGrid w:val="0"/>
        <w:spacing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3、投标人提交两份及以上投标报价不同的“开标一览表”，且未书面说明哪个有效或以哪个为准的，其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0AC9A812">
      <w:pPr>
        <w:adjustRightInd w:val="0"/>
        <w:snapToGrid w:val="0"/>
        <w:spacing w:line="360" w:lineRule="auto"/>
        <w:ind w:firstLine="630" w:firstLineChars="300"/>
        <w:jc w:val="left"/>
        <w:rPr>
          <w:rFonts w:hint="eastAsia" w:asciiTheme="minorEastAsia" w:hAnsiTheme="minorEastAsia" w:eastAsiaTheme="minorEastAsia"/>
        </w:rPr>
      </w:pPr>
      <w:r>
        <w:rPr>
          <w:rFonts w:hint="eastAsia" w:asciiTheme="minorEastAsia" w:hAnsiTheme="minorEastAsia" w:eastAsiaTheme="minorEastAsia"/>
          <w:szCs w:val="21"/>
        </w:rPr>
        <w:t>4、</w:t>
      </w:r>
      <w:r>
        <w:rPr>
          <w:rFonts w:hint="eastAsia" w:asciiTheme="minorEastAsia" w:hAnsiTheme="minorEastAsia" w:eastAsiaTheme="minorEastAsia"/>
        </w:rPr>
        <w:t>投标人在投标截止时间前修改“开标一览表”中的投标报价的，应同时修改投标文件“分项报价明细表”“享受政府采购政策优惠的证明资料”以及“联合体协议书”（如果影响）等相关内容。</w:t>
      </w:r>
    </w:p>
    <w:p w14:paraId="628315C2">
      <w:pPr>
        <w:adjustRightInd w:val="0"/>
        <w:snapToGrid w:val="0"/>
        <w:spacing w:line="360" w:lineRule="auto"/>
        <w:ind w:firstLine="420" w:firstLineChars="200"/>
        <w:rPr>
          <w:rFonts w:hint="eastAsia" w:asciiTheme="minorEastAsia" w:hAnsiTheme="minorEastAsia" w:eastAsiaTheme="minorEastAsia"/>
          <w:szCs w:val="21"/>
        </w:rPr>
      </w:pPr>
    </w:p>
    <w:p w14:paraId="3C702F24">
      <w:pPr>
        <w:adjustRightInd w:val="0"/>
        <w:snapToGrid w:val="0"/>
        <w:spacing w:line="360" w:lineRule="auto"/>
        <w:ind w:firstLine="420" w:firstLineChars="200"/>
        <w:rPr>
          <w:rFonts w:hint="eastAsia" w:asciiTheme="minorEastAsia" w:hAnsiTheme="minorEastAsia" w:eastAsiaTheme="minorEastAsia"/>
          <w:szCs w:val="21"/>
        </w:rPr>
      </w:pPr>
    </w:p>
    <w:p w14:paraId="702432A3">
      <w:pPr>
        <w:adjustRightInd w:val="0"/>
        <w:snapToGrid w:val="0"/>
        <w:spacing w:line="360" w:lineRule="auto"/>
        <w:rPr>
          <w:rFonts w:hint="eastAsia" w:asciiTheme="minorEastAsia" w:hAnsiTheme="minorEastAsia" w:eastAsiaTheme="minorEastAsia"/>
          <w:color w:val="FF0000"/>
          <w:szCs w:val="21"/>
        </w:rPr>
      </w:pPr>
    </w:p>
    <w:p w14:paraId="0118CEAA">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投标人名称（盖单位电子章）：</w:t>
      </w:r>
    </w:p>
    <w:p w14:paraId="32E70C3F">
      <w:pPr>
        <w:adjustRightInd w:val="0"/>
        <w:snapToGrid w:val="0"/>
        <w:spacing w:line="360" w:lineRule="auto"/>
        <w:rPr>
          <w:rFonts w:hint="eastAsia"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_</w:t>
      </w:r>
    </w:p>
    <w:p w14:paraId="38F38AD6">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p>
    <w:p w14:paraId="74F4AC1E">
      <w:pPr>
        <w:adjustRightInd w:val="0"/>
        <w:snapToGrid w:val="0"/>
        <w:spacing w:line="360" w:lineRule="auto"/>
        <w:rPr>
          <w:rFonts w:hint="eastAsia" w:asciiTheme="minorEastAsia" w:hAnsiTheme="minorEastAsia" w:eastAsiaTheme="minorEastAsia"/>
          <w:szCs w:val="21"/>
        </w:rPr>
      </w:pPr>
      <w:r>
        <w:rPr>
          <w:rFonts w:asciiTheme="minorEastAsia" w:hAnsiTheme="minorEastAsia" w:eastAsiaTheme="minorEastAsia"/>
          <w:szCs w:val="21"/>
        </w:rPr>
        <w:br w:type="page"/>
      </w:r>
      <w:bookmarkStart w:id="208" w:name="_Toc29913951"/>
    </w:p>
    <w:bookmarkEnd w:id="208"/>
    <w:p w14:paraId="74BF495D">
      <w:pPr>
        <w:pStyle w:val="5"/>
        <w:jc w:val="center"/>
        <w:rPr>
          <w:rFonts w:hint="eastAsia" w:ascii="黑体" w:hAnsi="黑体" w:eastAsia="黑体" w:cs="黑体"/>
          <w:sz w:val="28"/>
          <w:szCs w:val="28"/>
        </w:rPr>
      </w:pPr>
      <w:bookmarkStart w:id="209" w:name="_Toc16881"/>
      <w:bookmarkStart w:id="210" w:name="_Toc29913953"/>
      <w:r>
        <w:rPr>
          <w:rFonts w:hint="eastAsia" w:ascii="黑体" w:hAnsi="黑体" w:eastAsia="黑体" w:cs="黑体"/>
          <w:sz w:val="28"/>
          <w:szCs w:val="28"/>
        </w:rPr>
        <w:t>二、法定代表人（单位负责人）身份证明</w:t>
      </w:r>
      <w:bookmarkEnd w:id="209"/>
      <w:bookmarkEnd w:id="210"/>
    </w:p>
    <w:p w14:paraId="4858E404">
      <w:pPr>
        <w:tabs>
          <w:tab w:val="left" w:pos="3880"/>
        </w:tabs>
        <w:autoSpaceDE w:val="0"/>
        <w:autoSpaceDN w:val="0"/>
        <w:adjustRightInd w:val="0"/>
        <w:snapToGrid w:val="0"/>
        <w:spacing w:line="360" w:lineRule="auto"/>
        <w:ind w:left="100" w:right="-20"/>
        <w:jc w:val="left"/>
        <w:rPr>
          <w:rFonts w:hint="eastAsia" w:cs="微软雅黑" w:asciiTheme="minorEastAsia" w:hAnsiTheme="minorEastAsia" w:eastAsiaTheme="minorEastAsia"/>
          <w:kern w:val="0"/>
          <w:position w:val="-4"/>
          <w:szCs w:val="21"/>
        </w:rPr>
      </w:pPr>
    </w:p>
    <w:p w14:paraId="697C3388">
      <w:pPr>
        <w:tabs>
          <w:tab w:val="left" w:pos="3880"/>
        </w:tabs>
        <w:autoSpaceDE w:val="0"/>
        <w:autoSpaceDN w:val="0"/>
        <w:adjustRightInd w:val="0"/>
        <w:snapToGrid w:val="0"/>
        <w:spacing w:line="360" w:lineRule="auto"/>
        <w:ind w:left="100" w:right="-20"/>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szCs w:val="21"/>
          <w:u w:val="single"/>
        </w:rPr>
        <w:t xml:space="preserve">                 </w:t>
      </w:r>
    </w:p>
    <w:p w14:paraId="186BAA62">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szCs w:val="21"/>
          <w:u w:val="single"/>
        </w:rPr>
        <w:t xml:space="preserve">                 </w:t>
      </w:r>
    </w:p>
    <w:p w14:paraId="600391E8">
      <w:pPr>
        <w:tabs>
          <w:tab w:val="left" w:pos="2400"/>
          <w:tab w:val="left" w:pos="3880"/>
          <w:tab w:val="left" w:pos="5340"/>
          <w:tab w:val="left" w:pos="6820"/>
        </w:tabs>
        <w:autoSpaceDE w:val="0"/>
        <w:autoSpaceDN w:val="0"/>
        <w:adjustRightInd w:val="0"/>
        <w:snapToGrid w:val="0"/>
        <w:spacing w:line="360" w:lineRule="auto"/>
        <w:ind w:left="100" w:right="-20"/>
        <w:jc w:val="left"/>
        <w:rPr>
          <w:rFonts w:hint="eastAsia"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szCs w:val="21"/>
          <w:u w:val="single"/>
        </w:rPr>
        <w:t xml:space="preserve">                 </w:t>
      </w:r>
    </w:p>
    <w:p w14:paraId="0A26256B">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1006A01E">
      <w:pPr>
        <w:autoSpaceDE w:val="0"/>
        <w:autoSpaceDN w:val="0"/>
        <w:adjustRightInd w:val="0"/>
        <w:snapToGrid w:val="0"/>
        <w:spacing w:line="360" w:lineRule="auto"/>
        <w:ind w:left="520" w:right="-20"/>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4CC125C7">
      <w:pPr>
        <w:autoSpaceDE w:val="0"/>
        <w:autoSpaceDN w:val="0"/>
        <w:adjustRightInd w:val="0"/>
        <w:snapToGrid w:val="0"/>
        <w:spacing w:line="360" w:lineRule="auto"/>
        <w:ind w:left="100" w:right="4231"/>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2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13FE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52C8DD01">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2A1F1621">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6DFD8EF8">
      <w:pPr>
        <w:adjustRightInd w:val="0"/>
        <w:snapToGrid w:val="0"/>
        <w:spacing w:line="360" w:lineRule="auto"/>
        <w:rPr>
          <w:rFonts w:hint="eastAsia" w:ascii="宋体" w:hAnsi="宋体"/>
          <w:szCs w:val="21"/>
        </w:rPr>
      </w:pPr>
    </w:p>
    <w:p w14:paraId="5A033D7B">
      <w:pPr>
        <w:adjustRightInd w:val="0"/>
        <w:snapToGrid w:val="0"/>
        <w:spacing w:line="360" w:lineRule="auto"/>
        <w:rPr>
          <w:rFonts w:hint="eastAsia" w:ascii="宋体" w:hAnsi="宋体"/>
          <w:szCs w:val="21"/>
        </w:rPr>
      </w:pPr>
      <w:r>
        <w:rPr>
          <w:rFonts w:hint="eastAsia" w:ascii="宋体" w:hAnsi="宋体"/>
          <w:szCs w:val="21"/>
        </w:rPr>
        <w:t>注：投标人代表为法定代表人（单位负责人）的提供。自然人投标的无需提供。</w:t>
      </w:r>
    </w:p>
    <w:p w14:paraId="1E7F6BA0">
      <w:pPr>
        <w:adjustRightInd w:val="0"/>
        <w:snapToGrid w:val="0"/>
        <w:spacing w:line="360" w:lineRule="auto"/>
        <w:rPr>
          <w:rFonts w:hint="eastAsia" w:ascii="宋体" w:hAnsi="宋体"/>
          <w:szCs w:val="21"/>
        </w:rPr>
      </w:pPr>
    </w:p>
    <w:p w14:paraId="5AB853C1">
      <w:pPr>
        <w:adjustRightInd w:val="0"/>
        <w:snapToGrid w:val="0"/>
        <w:spacing w:line="360" w:lineRule="auto"/>
        <w:rPr>
          <w:rFonts w:hint="eastAsia" w:ascii="宋体" w:hAnsi="宋体"/>
          <w:szCs w:val="21"/>
        </w:rPr>
      </w:pPr>
      <w:r>
        <w:rPr>
          <w:rFonts w:hint="eastAsia" w:ascii="宋体" w:hAnsi="宋体"/>
          <w:szCs w:val="21"/>
        </w:rPr>
        <w:t>投标人名称（盖单位电子章）：</w:t>
      </w:r>
      <w:r>
        <w:rPr>
          <w:rFonts w:hint="eastAsia" w:ascii="宋体" w:hAnsi="宋体"/>
          <w:szCs w:val="21"/>
          <w:u w:val="single"/>
        </w:rPr>
        <w:t xml:space="preserve">         </w:t>
      </w:r>
    </w:p>
    <w:p w14:paraId="21D8B4CB">
      <w:pPr>
        <w:adjustRightInd w:val="0"/>
        <w:snapToGrid w:val="0"/>
        <w:spacing w:line="360" w:lineRule="auto"/>
        <w:ind w:right="420"/>
        <w:rPr>
          <w:rFonts w:hint="eastAsia"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5920EDE">
      <w:pPr>
        <w:adjustRightInd w:val="0"/>
        <w:snapToGrid w:val="0"/>
        <w:spacing w:line="360" w:lineRule="auto"/>
      </w:pPr>
    </w:p>
    <w:p w14:paraId="1B71AFD4">
      <w:pPr>
        <w:widowControl/>
        <w:jc w:val="left"/>
      </w:pPr>
      <w:r>
        <w:br w:type="page"/>
      </w:r>
    </w:p>
    <w:p w14:paraId="5C9AF071">
      <w:pPr>
        <w:pStyle w:val="5"/>
        <w:adjustRightInd w:val="0"/>
        <w:snapToGrid w:val="0"/>
        <w:spacing w:before="0" w:after="0" w:line="360" w:lineRule="auto"/>
        <w:jc w:val="center"/>
        <w:rPr>
          <w:rFonts w:hint="eastAsia" w:ascii="黑体" w:hAnsi="宋体" w:eastAsia="黑体"/>
          <w:sz w:val="28"/>
          <w:szCs w:val="28"/>
        </w:rPr>
      </w:pPr>
      <w:bookmarkStart w:id="211" w:name="_Toc31567"/>
      <w:bookmarkStart w:id="212" w:name="_Toc7677"/>
      <w:bookmarkStart w:id="213" w:name="_Toc29913954"/>
      <w:r>
        <w:rPr>
          <w:rFonts w:hint="eastAsia" w:ascii="黑体" w:hAnsi="宋体" w:eastAsia="黑体"/>
          <w:sz w:val="28"/>
          <w:szCs w:val="28"/>
        </w:rPr>
        <w:t>三、授权委托书</w:t>
      </w:r>
      <w:bookmarkEnd w:id="211"/>
      <w:bookmarkEnd w:id="212"/>
      <w:bookmarkEnd w:id="213"/>
    </w:p>
    <w:p w14:paraId="540FE442">
      <w:pPr>
        <w:autoSpaceDE w:val="0"/>
        <w:autoSpaceDN w:val="0"/>
        <w:adjustRightInd w:val="0"/>
        <w:snapToGrid w:val="0"/>
        <w:spacing w:line="360" w:lineRule="auto"/>
        <w:ind w:firstLine="446" w:firstLineChars="200"/>
        <w:jc w:val="left"/>
        <w:rPr>
          <w:rFonts w:hint="eastAsia" w:ascii="宋体" w:hAnsi="宋体"/>
          <w:b/>
          <w:spacing w:val="6"/>
          <w:szCs w:val="21"/>
        </w:rPr>
      </w:pPr>
    </w:p>
    <w:p w14:paraId="17620774">
      <w:pPr>
        <w:autoSpaceDE w:val="0"/>
        <w:autoSpaceDN w:val="0"/>
        <w:adjustRightInd w:val="0"/>
        <w:snapToGrid w:val="0"/>
        <w:spacing w:line="360" w:lineRule="auto"/>
        <w:ind w:firstLine="420" w:firstLineChars="200"/>
        <w:jc w:val="left"/>
        <w:rPr>
          <w:rFonts w:hint="eastAsia" w:ascii="宋体" w:hAnsi="宋体" w:cs="宋体"/>
          <w:kern w:val="0"/>
          <w:szCs w:val="21"/>
        </w:rPr>
      </w:pPr>
    </w:p>
    <w:p w14:paraId="28723C2F">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宋体" w:hAnsi="宋体" w:cs="宋体"/>
          <w:kern w:val="0"/>
          <w:szCs w:val="21"/>
        </w:rPr>
        <w:t>采购代理编号：</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10BEA4D4">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5490F95C">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5D06819E">
      <w:pPr>
        <w:adjustRightInd w:val="0"/>
        <w:snapToGrid w:val="0"/>
        <w:spacing w:line="360" w:lineRule="auto"/>
        <w:ind w:firstLine="435"/>
        <w:rPr>
          <w:rFonts w:hint="eastAsia" w:cs="微软雅黑" w:asciiTheme="minorEastAsia" w:hAnsiTheme="minorEastAsia" w:eastAsiaTheme="minorEastAsia"/>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27B4230">
        <w:tblPrEx>
          <w:tblCellMar>
            <w:top w:w="0" w:type="dxa"/>
            <w:left w:w="108" w:type="dxa"/>
            <w:bottom w:w="0" w:type="dxa"/>
            <w:right w:w="108" w:type="dxa"/>
          </w:tblCellMar>
        </w:tblPrEx>
        <w:trPr>
          <w:trHeight w:val="1265" w:hRule="atLeast"/>
        </w:trPr>
        <w:tc>
          <w:tcPr>
            <w:tcW w:w="3898" w:type="dxa"/>
            <w:vAlign w:val="center"/>
          </w:tcPr>
          <w:p w14:paraId="1E129750">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5D8257FF">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059AAD60">
      <w:pPr>
        <w:adjustRightInd w:val="0"/>
        <w:snapToGrid w:val="0"/>
        <w:spacing w:line="360" w:lineRule="auto"/>
        <w:ind w:firstLine="420" w:firstLineChars="200"/>
        <w:rPr>
          <w:rFonts w:hint="eastAsia" w:ascii="宋体" w:hAnsi="宋体"/>
          <w:szCs w:val="21"/>
        </w:rPr>
      </w:pPr>
    </w:p>
    <w:p w14:paraId="7BF95981">
      <w:pPr>
        <w:adjustRightInd w:val="0"/>
        <w:snapToGrid w:val="0"/>
        <w:spacing w:line="360" w:lineRule="auto"/>
        <w:ind w:firstLine="420" w:firstLineChars="200"/>
        <w:rPr>
          <w:rFonts w:hint="eastAsia" w:ascii="宋体" w:hAnsi="宋体"/>
          <w:szCs w:val="21"/>
        </w:rPr>
      </w:pPr>
    </w:p>
    <w:p w14:paraId="0D711C17">
      <w:pPr>
        <w:adjustRightInd w:val="0"/>
        <w:snapToGrid w:val="0"/>
        <w:spacing w:line="360" w:lineRule="auto"/>
        <w:rPr>
          <w:rFonts w:hint="eastAsia" w:ascii="宋体" w:hAnsi="宋体"/>
          <w:szCs w:val="21"/>
        </w:rPr>
      </w:pPr>
      <w:r>
        <w:rPr>
          <w:rFonts w:hint="eastAsia" w:ascii="宋体" w:hAnsi="宋体"/>
          <w:szCs w:val="21"/>
        </w:rPr>
        <w:t>注：投标人代表不是投标人的法定代表人（单位负责人）的提供。自然人投标的无需提供。</w:t>
      </w:r>
    </w:p>
    <w:p w14:paraId="20965C86">
      <w:pPr>
        <w:adjustRightInd w:val="0"/>
        <w:snapToGrid w:val="0"/>
        <w:spacing w:line="360" w:lineRule="auto"/>
        <w:ind w:firstLine="420" w:firstLineChars="200"/>
        <w:rPr>
          <w:rFonts w:hint="eastAsia" w:ascii="宋体" w:hAnsi="宋体"/>
          <w:szCs w:val="21"/>
        </w:rPr>
      </w:pPr>
    </w:p>
    <w:p w14:paraId="7810BFB2">
      <w:pPr>
        <w:adjustRightInd w:val="0"/>
        <w:snapToGrid w:val="0"/>
        <w:spacing w:line="360" w:lineRule="auto"/>
        <w:ind w:firstLine="420" w:firstLineChars="200"/>
        <w:rPr>
          <w:rFonts w:hint="eastAsia" w:ascii="宋体" w:hAnsi="宋体"/>
          <w:szCs w:val="21"/>
        </w:rPr>
      </w:pPr>
    </w:p>
    <w:p w14:paraId="6FCFF92B">
      <w:pPr>
        <w:adjustRightInd w:val="0"/>
        <w:snapToGrid w:val="0"/>
        <w:spacing w:line="360" w:lineRule="auto"/>
        <w:rPr>
          <w:rFonts w:hint="eastAsia" w:ascii="宋体" w:hAnsi="宋体"/>
          <w:szCs w:val="21"/>
        </w:rPr>
      </w:pPr>
      <w:r>
        <w:rPr>
          <w:rFonts w:hint="eastAsia" w:ascii="宋体" w:hAnsi="宋体"/>
          <w:szCs w:val="21"/>
        </w:rPr>
        <w:t>投标人名称（盖单位电子章）：</w:t>
      </w:r>
    </w:p>
    <w:p w14:paraId="7B040109">
      <w:pPr>
        <w:adjustRightInd w:val="0"/>
        <w:snapToGrid w:val="0"/>
        <w:spacing w:line="360" w:lineRule="auto"/>
        <w:ind w:right="420"/>
        <w:rPr>
          <w:rFonts w:hint="eastAsia"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（签字或签章）：</w:t>
      </w:r>
      <w:r>
        <w:rPr>
          <w:rFonts w:hint="eastAsia" w:ascii="宋体" w:hAnsi="宋体"/>
          <w:szCs w:val="21"/>
          <w:u w:val="single"/>
        </w:rPr>
        <w:t xml:space="preserve">                     </w:t>
      </w:r>
    </w:p>
    <w:p w14:paraId="684ABC93">
      <w:pPr>
        <w:adjustRightInd w:val="0"/>
        <w:snapToGrid w:val="0"/>
        <w:spacing w:line="360" w:lineRule="auto"/>
        <w:ind w:right="420"/>
        <w:rPr>
          <w:rFonts w:hint="eastAsia" w:ascii="宋体" w:hAnsi="宋体"/>
          <w:szCs w:val="21"/>
        </w:rPr>
      </w:pPr>
      <w:r>
        <w:rPr>
          <w:rFonts w:hint="eastAsia" w:ascii="宋体" w:hAnsi="宋体"/>
          <w:szCs w:val="21"/>
        </w:rPr>
        <w:t>委托代理人（签字或签章）：</w:t>
      </w:r>
      <w:r>
        <w:rPr>
          <w:rFonts w:hint="eastAsia" w:ascii="宋体" w:hAnsi="宋体"/>
          <w:szCs w:val="21"/>
          <w:u w:val="single"/>
        </w:rPr>
        <w:t xml:space="preserve">                     </w:t>
      </w:r>
    </w:p>
    <w:p w14:paraId="7D4DA87C">
      <w:pPr>
        <w:adjustRightInd w:val="0"/>
        <w:snapToGrid w:val="0"/>
        <w:spacing w:line="360" w:lineRule="auto"/>
        <w:ind w:right="420"/>
        <w:rPr>
          <w:rFonts w:hint="eastAsia" w:ascii="宋体" w:hAnsi="宋体"/>
          <w:szCs w:val="21"/>
        </w:rPr>
      </w:pPr>
      <w:r>
        <w:rPr>
          <w:rFonts w:hint="eastAsia" w:cs="宋体" w:asciiTheme="minorEastAsia" w:hAnsiTheme="minorEastAsia" w:eastAsiaTheme="minorEastAsia"/>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B60B0FB">
      <w:pPr>
        <w:adjustRightInd w:val="0"/>
        <w:snapToGrid w:val="0"/>
        <w:spacing w:line="360" w:lineRule="auto"/>
        <w:jc w:val="left"/>
        <w:rPr>
          <w:rFonts w:hint="eastAsia" w:ascii="黑体" w:hAnsi="黑体" w:eastAsia="黑体"/>
          <w:bCs/>
          <w:sz w:val="28"/>
          <w:szCs w:val="28"/>
        </w:rPr>
      </w:pPr>
      <w:r>
        <w:rPr>
          <w:rFonts w:ascii="黑体" w:hAnsi="黑体" w:eastAsia="黑体"/>
          <w:bCs/>
          <w:sz w:val="28"/>
          <w:szCs w:val="28"/>
        </w:rPr>
        <w:br w:type="page"/>
      </w:r>
    </w:p>
    <w:p w14:paraId="747A5CD5">
      <w:pPr>
        <w:pStyle w:val="5"/>
        <w:adjustRightInd w:val="0"/>
        <w:snapToGrid w:val="0"/>
        <w:spacing w:before="0" w:after="0" w:line="360" w:lineRule="auto"/>
        <w:jc w:val="center"/>
        <w:rPr>
          <w:rFonts w:hint="eastAsia" w:ascii="黑体" w:hAnsi="宋体" w:eastAsia="黑体"/>
          <w:sz w:val="28"/>
          <w:szCs w:val="28"/>
        </w:rPr>
      </w:pPr>
      <w:bookmarkStart w:id="214" w:name="_Toc29913955"/>
      <w:bookmarkStart w:id="215" w:name="_Toc8345"/>
      <w:bookmarkStart w:id="216" w:name="_Toc13662"/>
      <w:r>
        <w:rPr>
          <w:rFonts w:hint="eastAsia" w:ascii="黑体" w:hAnsi="宋体" w:eastAsia="黑体"/>
          <w:sz w:val="28"/>
          <w:szCs w:val="28"/>
        </w:rPr>
        <w:t>四、投标人提供的资格证明文件</w:t>
      </w:r>
      <w:bookmarkEnd w:id="214"/>
      <w:bookmarkEnd w:id="215"/>
      <w:bookmarkEnd w:id="216"/>
    </w:p>
    <w:p w14:paraId="0868A231">
      <w:pPr>
        <w:pStyle w:val="12"/>
        <w:adjustRightInd w:val="0"/>
        <w:snapToGrid w:val="0"/>
        <w:spacing w:line="360" w:lineRule="auto"/>
        <w:jc w:val="center"/>
        <w:rPr>
          <w:rFonts w:hint="eastAsia" w:hAnsi="宋体" w:cs="Times New Roman"/>
          <w:b/>
          <w:bCs/>
          <w:sz w:val="24"/>
          <w:szCs w:val="24"/>
        </w:rPr>
      </w:pPr>
    </w:p>
    <w:p w14:paraId="79ABE420">
      <w:pPr>
        <w:pStyle w:val="12"/>
        <w:adjustRightInd w:val="0"/>
        <w:snapToGrid w:val="0"/>
        <w:spacing w:line="360" w:lineRule="auto"/>
        <w:jc w:val="center"/>
        <w:rPr>
          <w:rFonts w:hint="eastAsia" w:ascii="黑体" w:hAnsi="黑体" w:eastAsia="黑体" w:cs="Times New Roman"/>
          <w:b/>
          <w:bCs/>
          <w:sz w:val="28"/>
          <w:szCs w:val="28"/>
        </w:rPr>
      </w:pPr>
      <w:r>
        <w:rPr>
          <w:rFonts w:hint="eastAsia" w:ascii="黑体" w:hAnsi="黑体" w:eastAsia="黑体" w:cs="Times New Roman"/>
          <w:b/>
          <w:bCs/>
          <w:sz w:val="28"/>
          <w:szCs w:val="28"/>
        </w:rPr>
        <w:t>须  知</w:t>
      </w:r>
    </w:p>
    <w:p w14:paraId="6207E332">
      <w:pPr>
        <w:tabs>
          <w:tab w:val="left" w:pos="4725"/>
        </w:tabs>
        <w:adjustRightInd w:val="0"/>
        <w:snapToGrid w:val="0"/>
        <w:spacing w:before="156" w:beforeLines="50" w:line="360" w:lineRule="auto"/>
        <w:ind w:firstLine="422" w:firstLineChars="200"/>
        <w:rPr>
          <w:rFonts w:hint="eastAsia" w:ascii="宋体" w:hAnsi="宋体"/>
          <w:b/>
          <w:bCs/>
          <w:szCs w:val="21"/>
        </w:rPr>
      </w:pPr>
      <w:r>
        <w:rPr>
          <w:rFonts w:hint="eastAsia" w:ascii="宋体" w:hAnsi="宋体"/>
          <w:b/>
          <w:szCs w:val="21"/>
        </w:rPr>
        <w:t>1、投标人</w:t>
      </w:r>
      <w:r>
        <w:rPr>
          <w:rFonts w:hint="eastAsia" w:ascii="宋体" w:hAnsi="宋体"/>
          <w:b/>
          <w:bCs/>
          <w:szCs w:val="21"/>
        </w:rPr>
        <w:t>应按第二章第15.1款要求提供下列的证明材料</w:t>
      </w:r>
    </w:p>
    <w:p w14:paraId="20DA1436">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szCs w:val="21"/>
        </w:rPr>
      </w:pPr>
      <w:r>
        <w:rPr>
          <w:rFonts w:hint="eastAsia" w:asciiTheme="minorEastAsia" w:hAnsiTheme="minorEastAsia" w:eastAsiaTheme="minorEastAsia"/>
          <w:szCs w:val="21"/>
        </w:rPr>
        <w:t>附件4-1 法人或者其他组织的营业执照等主体资格证明文件，自然人的身份证明</w:t>
      </w:r>
    </w:p>
    <w:p w14:paraId="7AEB79CD">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szCs w:val="21"/>
        </w:rPr>
      </w:pPr>
      <w:r>
        <w:rPr>
          <w:rFonts w:hint="eastAsia" w:asciiTheme="minorEastAsia" w:hAnsiTheme="minorEastAsia" w:eastAsiaTheme="minorEastAsia"/>
          <w:szCs w:val="21"/>
        </w:rPr>
        <w:t>附件4-2 投标人资格声明(格式)</w:t>
      </w:r>
    </w:p>
    <w:p w14:paraId="7BBA1BF5">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szCs w:val="21"/>
        </w:rPr>
      </w:pPr>
      <w:r>
        <w:rPr>
          <w:rFonts w:hint="eastAsia" w:asciiTheme="minorEastAsia" w:hAnsiTheme="minorEastAsia" w:eastAsiaTheme="minorEastAsia"/>
          <w:szCs w:val="21"/>
        </w:rPr>
        <w:t>附件4-3 符合特定资格条件证明材料复印件或者情况说明</w:t>
      </w:r>
    </w:p>
    <w:p w14:paraId="0153FFA9">
      <w:pPr>
        <w:tabs>
          <w:tab w:val="left" w:pos="4725"/>
        </w:tabs>
        <w:adjustRightInd w:val="0"/>
        <w:snapToGrid w:val="0"/>
        <w:spacing w:before="156" w:beforeLines="50" w:line="360" w:lineRule="auto"/>
        <w:ind w:firstLine="735" w:firstLineChars="350"/>
        <w:rPr>
          <w:rFonts w:hint="eastAsia" w:asciiTheme="minorEastAsia" w:hAnsiTheme="minorEastAsia" w:eastAsiaTheme="minorEastAsia"/>
          <w:szCs w:val="21"/>
        </w:rPr>
      </w:pPr>
      <w:r>
        <w:rPr>
          <w:rFonts w:hint="eastAsia" w:asciiTheme="minorEastAsia" w:hAnsiTheme="minorEastAsia" w:eastAsiaTheme="minorEastAsia"/>
          <w:szCs w:val="21"/>
        </w:rPr>
        <w:t>附件4-4 联合体协议书（格式）（联合体形式投标的提供）</w:t>
      </w:r>
    </w:p>
    <w:p w14:paraId="6A121A81">
      <w:pPr>
        <w:tabs>
          <w:tab w:val="left" w:pos="4725"/>
        </w:tabs>
        <w:adjustRightInd w:val="0"/>
        <w:snapToGrid w:val="0"/>
        <w:spacing w:before="156" w:beforeLines="50" w:line="360" w:lineRule="auto"/>
        <w:ind w:firstLine="420" w:firstLineChars="200"/>
        <w:rPr>
          <w:rFonts w:hint="eastAsia" w:cs="宋体" w:asciiTheme="minorEastAsia" w:hAnsiTheme="minorEastAsia" w:eastAsiaTheme="minorEastAsia"/>
          <w:szCs w:val="21"/>
        </w:rPr>
      </w:pPr>
      <w:r>
        <w:rPr>
          <w:rFonts w:hint="eastAsia" w:asciiTheme="minorEastAsia" w:hAnsiTheme="minorEastAsia" w:eastAsiaTheme="minorEastAsia"/>
          <w:szCs w:val="21"/>
        </w:rPr>
        <w:t>2、</w:t>
      </w:r>
      <w:r>
        <w:rPr>
          <w:rFonts w:hint="eastAsia" w:cs="宋体" w:asciiTheme="minorEastAsia" w:hAnsiTheme="minorEastAsia" w:eastAsiaTheme="minorEastAsia"/>
          <w:szCs w:val="21"/>
        </w:rPr>
        <w:t>投标人以联合体形式投标的，除应提交联合协议书(本节附4-4)外，参加联合体的各方均应提交上款资格证明材料。</w:t>
      </w:r>
    </w:p>
    <w:p w14:paraId="01EFEE2D">
      <w:pPr>
        <w:tabs>
          <w:tab w:val="left" w:pos="4725"/>
        </w:tabs>
        <w:adjustRightInd w:val="0"/>
        <w:snapToGrid w:val="0"/>
        <w:spacing w:line="360" w:lineRule="auto"/>
        <w:rPr>
          <w:rFonts w:hint="eastAsia" w:cs="宋体" w:asciiTheme="minorEastAsia" w:hAnsiTheme="minorEastAsia" w:eastAsiaTheme="minorEastAsia"/>
          <w:szCs w:val="21"/>
        </w:rPr>
      </w:pPr>
    </w:p>
    <w:p w14:paraId="1ED66010">
      <w:pPr>
        <w:widowControl/>
        <w:adjustRightInd w:val="0"/>
        <w:snapToGrid w:val="0"/>
        <w:spacing w:line="360" w:lineRule="auto"/>
        <w:jc w:val="left"/>
        <w:rPr>
          <w:rFonts w:hint="eastAsia" w:ascii="黑体" w:hAnsi="仿宋" w:eastAsia="黑体" w:cs="宋体"/>
          <w:szCs w:val="21"/>
        </w:rPr>
      </w:pPr>
      <w:r>
        <w:rPr>
          <w:rFonts w:ascii="黑体" w:hAnsi="仿宋" w:eastAsia="黑体" w:cs="宋体"/>
          <w:szCs w:val="21"/>
        </w:rPr>
        <w:br w:type="page"/>
      </w:r>
    </w:p>
    <w:p w14:paraId="2090AE98">
      <w:pPr>
        <w:pStyle w:val="7"/>
        <w:rPr>
          <w:rFonts w:hint="eastAsia" w:ascii="黑体" w:hAnsi="仿宋" w:cs="宋体"/>
          <w:b w:val="0"/>
          <w:sz w:val="21"/>
          <w:szCs w:val="21"/>
        </w:rPr>
      </w:pPr>
      <w:bookmarkStart w:id="217" w:name="_Toc18063"/>
      <w:bookmarkStart w:id="218" w:name="_Toc20522"/>
      <w:bookmarkStart w:id="219" w:name="_Toc29913956"/>
      <w:r>
        <w:rPr>
          <w:rFonts w:hint="eastAsia" w:ascii="黑体" w:hAnsi="仿宋" w:cs="宋体"/>
          <w:b w:val="0"/>
          <w:sz w:val="21"/>
          <w:szCs w:val="21"/>
        </w:rPr>
        <w:t>附件4-1 法人或者其他组织的营业执照等主体资格证明文件，自然人的身份证明</w:t>
      </w:r>
      <w:bookmarkEnd w:id="217"/>
      <w:bookmarkEnd w:id="218"/>
      <w:bookmarkEnd w:id="219"/>
    </w:p>
    <w:p w14:paraId="6C56DEA8">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法人或者其他组织的营业执照等主体资格证明文件，自然人的身份证明</w:t>
      </w:r>
    </w:p>
    <w:p w14:paraId="02CB1DC5">
      <w:pPr>
        <w:widowControl/>
        <w:adjustRightInd w:val="0"/>
        <w:snapToGrid w:val="0"/>
        <w:spacing w:before="156" w:beforeLines="50" w:line="360" w:lineRule="auto"/>
        <w:ind w:firstLine="420" w:firstLineChars="200"/>
        <w:jc w:val="left"/>
        <w:rPr>
          <w:rFonts w:hint="eastAsia" w:cs="宋体" w:asciiTheme="minorEastAsia" w:hAnsiTheme="minorEastAsia" w:eastAsiaTheme="minorEastAsia"/>
          <w:szCs w:val="21"/>
        </w:rPr>
      </w:pPr>
    </w:p>
    <w:p w14:paraId="7D613D65">
      <w:pPr>
        <w:adjustRightInd w:val="0"/>
        <w:snapToGrid w:val="0"/>
        <w:spacing w:before="156" w:beforeLines="50" w:line="360" w:lineRule="auto"/>
        <w:ind w:firstLine="420" w:firstLineChars="200"/>
        <w:rPr>
          <w:rFonts w:hint="eastAsia"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（2）项要求提供。</w:t>
      </w:r>
    </w:p>
    <w:p w14:paraId="7E3C2DE0">
      <w:pPr>
        <w:adjustRightInd w:val="0"/>
        <w:snapToGrid w:val="0"/>
        <w:spacing w:before="156" w:beforeLines="50" w:line="360" w:lineRule="auto"/>
        <w:ind w:firstLine="420" w:firstLineChars="200"/>
        <w:rPr>
          <w:rFonts w:hint="eastAsia" w:asciiTheme="minorEastAsia" w:hAnsiTheme="minorEastAsia"/>
        </w:rPr>
      </w:pPr>
      <w:r>
        <w:rPr>
          <w:rFonts w:hint="eastAsia" w:cs="宋体" w:asciiTheme="minorEastAsia" w:hAnsiTheme="minorEastAsia" w:eastAsiaTheme="minorEastAsia"/>
          <w:szCs w:val="21"/>
        </w:rPr>
        <w:t>（1）</w:t>
      </w:r>
      <w:r>
        <w:rPr>
          <w:rFonts w:hint="eastAsia" w:asciiTheme="minorEastAsia" w:hAnsiTheme="minorEastAsia"/>
        </w:rPr>
        <w:t>投标人为法人的，应提交营业执照或法人登记证书的复印件；</w:t>
      </w:r>
    </w:p>
    <w:p w14:paraId="57413976">
      <w:pPr>
        <w:adjustRightInd w:val="0"/>
        <w:snapToGrid w:val="0"/>
        <w:spacing w:before="156" w:beforeLines="50" w:line="360" w:lineRule="auto"/>
        <w:ind w:firstLine="420" w:firstLineChars="200"/>
        <w:rPr>
          <w:rFonts w:hint="eastAsia" w:asciiTheme="minorEastAsia" w:hAnsiTheme="minorEastAsia"/>
        </w:rPr>
      </w:pPr>
      <w:r>
        <w:rPr>
          <w:rFonts w:hint="eastAsia" w:cs="宋体" w:asciiTheme="minorEastAsia" w:hAnsiTheme="minorEastAsia" w:eastAsiaTheme="minorEastAsia"/>
          <w:szCs w:val="21"/>
        </w:rPr>
        <w:t>（2）</w:t>
      </w:r>
      <w:r>
        <w:rPr>
          <w:rFonts w:hint="eastAsia" w:asciiTheme="minorEastAsia" w:hAnsiTheme="minorEastAsia"/>
        </w:rPr>
        <w:t>投标人为非法人组织的，应提交依法登记证书复印件；</w:t>
      </w:r>
    </w:p>
    <w:p w14:paraId="2E173EF3">
      <w:pPr>
        <w:adjustRightInd w:val="0"/>
        <w:snapToGrid w:val="0"/>
        <w:spacing w:before="156" w:beforeLines="50" w:line="360" w:lineRule="auto"/>
        <w:ind w:firstLine="420" w:firstLineChars="200"/>
        <w:rPr>
          <w:rFonts w:hint="eastAsia" w:asciiTheme="minorEastAsia" w:hAnsiTheme="minorEastAsia"/>
        </w:rPr>
      </w:pPr>
      <w:r>
        <w:rPr>
          <w:rFonts w:hint="eastAsia" w:cs="宋体" w:asciiTheme="minorEastAsia" w:hAnsiTheme="minorEastAsia" w:eastAsiaTheme="minorEastAsia"/>
          <w:szCs w:val="21"/>
        </w:rPr>
        <w:t>（3）</w:t>
      </w:r>
      <w:r>
        <w:rPr>
          <w:rFonts w:hint="eastAsia" w:asciiTheme="minorEastAsia" w:hAnsiTheme="minorEastAsia"/>
        </w:rPr>
        <w:t>投标人为个体工商户的，应提交个体工商户营业执照复印件；</w:t>
      </w:r>
    </w:p>
    <w:p w14:paraId="29F3D789">
      <w:pPr>
        <w:adjustRightInd w:val="0"/>
        <w:snapToGrid w:val="0"/>
        <w:spacing w:before="156" w:beforeLines="50" w:line="360" w:lineRule="auto"/>
        <w:ind w:firstLine="420" w:firstLineChars="200"/>
        <w:rPr>
          <w:rFonts w:hint="eastAsia" w:asciiTheme="minorEastAsia" w:hAnsiTheme="minorEastAsia"/>
        </w:rPr>
      </w:pPr>
      <w:r>
        <w:rPr>
          <w:rFonts w:hint="eastAsia" w:cs="宋体" w:asciiTheme="minorEastAsia" w:hAnsiTheme="minorEastAsia" w:eastAsiaTheme="minorEastAsia"/>
          <w:szCs w:val="21"/>
        </w:rPr>
        <w:t>（4）</w:t>
      </w:r>
      <w:r>
        <w:rPr>
          <w:rFonts w:hint="eastAsia" w:asciiTheme="minorEastAsia" w:hAnsiTheme="minorEastAsia"/>
        </w:rPr>
        <w:t>投标人为自然人的，应提交自然人的身份证明复印件。</w:t>
      </w:r>
    </w:p>
    <w:p w14:paraId="408350EE">
      <w:pPr>
        <w:adjustRightInd w:val="0"/>
        <w:snapToGrid w:val="0"/>
        <w:spacing w:before="156" w:beforeLines="50" w:line="360" w:lineRule="auto"/>
        <w:ind w:firstLine="420" w:firstLineChars="200"/>
        <w:rPr>
          <w:rFonts w:hint="eastAsia" w:asciiTheme="minorEastAsia" w:hAnsiTheme="minorEastAsia"/>
        </w:rPr>
      </w:pPr>
    </w:p>
    <w:p w14:paraId="190B68DC">
      <w:pPr>
        <w:widowControl/>
        <w:jc w:val="left"/>
        <w:rPr>
          <w:rFonts w:hint="eastAsia" w:ascii="黑体" w:hAnsi="仿宋" w:eastAsia="黑体" w:cs="宋体"/>
          <w:bCs/>
          <w:szCs w:val="21"/>
        </w:rPr>
      </w:pPr>
      <w:r>
        <w:rPr>
          <w:rFonts w:ascii="黑体" w:hAnsi="仿宋" w:cs="宋体"/>
          <w:b/>
          <w:szCs w:val="21"/>
        </w:rPr>
        <w:br w:type="page"/>
      </w:r>
    </w:p>
    <w:p w14:paraId="7A5CCCFF">
      <w:pPr>
        <w:pStyle w:val="7"/>
        <w:adjustRightInd w:val="0"/>
        <w:snapToGrid w:val="0"/>
        <w:spacing w:before="156" w:beforeLines="50" w:after="0" w:line="360" w:lineRule="auto"/>
        <w:rPr>
          <w:rFonts w:hint="eastAsia" w:ascii="黑体" w:hAnsi="仿宋" w:cs="宋体"/>
          <w:b w:val="0"/>
          <w:sz w:val="21"/>
          <w:szCs w:val="21"/>
        </w:rPr>
      </w:pPr>
      <w:bookmarkStart w:id="220" w:name="_Toc20857"/>
      <w:bookmarkStart w:id="221" w:name="_Toc29327"/>
      <w:bookmarkStart w:id="222" w:name="_Toc29913957"/>
      <w:r>
        <w:rPr>
          <w:rFonts w:hint="eastAsia" w:ascii="黑体" w:hAnsi="仿宋" w:cs="宋体"/>
          <w:b w:val="0"/>
          <w:sz w:val="21"/>
          <w:szCs w:val="21"/>
        </w:rPr>
        <w:t>附件4-2 投标人资格声明(格式)</w:t>
      </w:r>
      <w:bookmarkEnd w:id="220"/>
      <w:bookmarkEnd w:id="221"/>
      <w:bookmarkEnd w:id="222"/>
    </w:p>
    <w:p w14:paraId="74DAD8BE">
      <w:pPr>
        <w:widowControl/>
        <w:adjustRightInd w:val="0"/>
        <w:snapToGrid w:val="0"/>
        <w:spacing w:before="156" w:beforeLines="50" w:line="360" w:lineRule="auto"/>
        <w:jc w:val="center"/>
        <w:rPr>
          <w:rFonts w:hint="eastAsia" w:cs="宋体" w:asciiTheme="minorEastAsia" w:hAnsiTheme="minorEastAsia" w:eastAsiaTheme="minorEastAsia"/>
          <w:szCs w:val="21"/>
        </w:rPr>
      </w:pPr>
      <w:r>
        <w:rPr>
          <w:rFonts w:hint="eastAsia" w:ascii="黑体" w:hAnsi="仿宋" w:eastAsia="黑体" w:cs="宋体"/>
          <w:b/>
          <w:sz w:val="28"/>
          <w:szCs w:val="28"/>
        </w:rPr>
        <w:t>投标人资格声明(格式)</w:t>
      </w:r>
    </w:p>
    <w:p w14:paraId="719CAF32">
      <w:pPr>
        <w:widowControl/>
        <w:adjustRightInd w:val="0"/>
        <w:snapToGrid w:val="0"/>
        <w:spacing w:before="156" w:beforeLines="50" w:line="360" w:lineRule="auto"/>
        <w:jc w:val="left"/>
        <w:rPr>
          <w:rFonts w:hint="eastAsia"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D8EBBC0">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2F34F4FC">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58548DF">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1C3CC0D4">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09D56973">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44679913">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Theme="minorEastAsia" w:hAnsiTheme="minorEastAsia" w:eastAsiaTheme="minorEastAsia"/>
          <w:szCs w:val="21"/>
        </w:rPr>
        <w:t>记录</w:t>
      </w:r>
      <w:r>
        <w:rPr>
          <w:rFonts w:hint="eastAsia" w:ascii="宋体" w:hAnsi="宋体" w:cs="宋体"/>
          <w:szCs w:val="21"/>
        </w:rPr>
        <w:t>。</w:t>
      </w:r>
    </w:p>
    <w:p w14:paraId="635B9DEA">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142CDFC">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57AF2B31">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七、我单位具备法律、行政法规规定的其他条件。</w:t>
      </w:r>
    </w:p>
    <w:p w14:paraId="24C6625A">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6E3E82BC">
      <w:pPr>
        <w:adjustRightInd w:val="0"/>
        <w:snapToGrid w:val="0"/>
        <w:spacing w:before="156" w:beforeLines="50" w:line="360" w:lineRule="auto"/>
        <w:ind w:firstLine="420" w:firstLineChars="200"/>
        <w:rPr>
          <w:szCs w:val="21"/>
        </w:rPr>
      </w:pPr>
      <w:r>
        <w:rPr>
          <w:rFonts w:hint="eastAsia" w:asciiTheme="minorEastAsia" w:hAnsiTheme="minorEastAsia" w:eastAsiaTheme="minorEastAsia"/>
          <w:szCs w:val="21"/>
        </w:rPr>
        <w:t>1、</w:t>
      </w:r>
      <w:r>
        <w:rPr>
          <w:rFonts w:hint="eastAsia"/>
          <w:szCs w:val="21"/>
        </w:rPr>
        <w:t>与我单位的法定代表人（单位负责人）为同一人的其他单位如下：</w:t>
      </w:r>
      <w:r>
        <w:rPr>
          <w:rFonts w:hint="eastAsia" w:asciiTheme="minorEastAsia" w:hAnsiTheme="minorEastAsia" w:eastAsiaTheme="minorEastAsia"/>
          <w:szCs w:val="21"/>
          <w:u w:val="single"/>
        </w:rPr>
        <w:t xml:space="preserve">               </w:t>
      </w:r>
    </w:p>
    <w:p w14:paraId="0BAF86F6">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2、我</w:t>
      </w:r>
      <w:r>
        <w:rPr>
          <w:rFonts w:hint="eastAsia"/>
          <w:szCs w:val="21"/>
        </w:rPr>
        <w:t>单位</w:t>
      </w:r>
      <w:r>
        <w:rPr>
          <w:rFonts w:hint="eastAsia" w:asciiTheme="minorEastAsia" w:hAnsiTheme="minorEastAsia" w:eastAsiaTheme="minorEastAsia"/>
          <w:szCs w:val="21"/>
        </w:rPr>
        <w:t>直接控股的其他单位如下：</w:t>
      </w:r>
      <w:r>
        <w:rPr>
          <w:rFonts w:hint="eastAsia" w:asciiTheme="minorEastAsia" w:hAnsiTheme="minorEastAsia" w:eastAsiaTheme="minorEastAsia"/>
          <w:szCs w:val="21"/>
          <w:u w:val="single"/>
        </w:rPr>
        <w:t xml:space="preserve">               </w:t>
      </w:r>
    </w:p>
    <w:p w14:paraId="53F2524D">
      <w:pPr>
        <w:adjustRightInd w:val="0"/>
        <w:snapToGrid w:val="0"/>
        <w:spacing w:before="156" w:beforeLines="50" w:line="360" w:lineRule="auto"/>
        <w:ind w:firstLine="420" w:firstLineChars="200"/>
        <w:rPr>
          <w:szCs w:val="21"/>
        </w:rPr>
      </w:pPr>
      <w:r>
        <w:rPr>
          <w:rFonts w:hint="eastAsia" w:asciiTheme="minorEastAsia" w:hAnsiTheme="minorEastAsia" w:eastAsiaTheme="minorEastAsia"/>
          <w:szCs w:val="21"/>
        </w:rPr>
        <w:t>3、与我</w:t>
      </w:r>
      <w:r>
        <w:rPr>
          <w:rFonts w:hint="eastAsia"/>
          <w:szCs w:val="21"/>
        </w:rPr>
        <w:t>单位存在</w:t>
      </w:r>
      <w:r>
        <w:rPr>
          <w:rFonts w:hint="eastAsia" w:asciiTheme="minorEastAsia" w:hAnsiTheme="minorEastAsia" w:eastAsiaTheme="minorEastAsia"/>
          <w:szCs w:val="21"/>
        </w:rPr>
        <w:t>管理关系的其他单位如下：</w:t>
      </w:r>
      <w:r>
        <w:rPr>
          <w:rFonts w:hint="eastAsia" w:asciiTheme="minorEastAsia" w:hAnsiTheme="minorEastAsia" w:eastAsiaTheme="minorEastAsia"/>
          <w:szCs w:val="21"/>
          <w:u w:val="single"/>
        </w:rPr>
        <w:t xml:space="preserve">               </w:t>
      </w:r>
    </w:p>
    <w:p w14:paraId="3809C3E5">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Theme="minorEastAsia" w:hAnsiTheme="minorEastAsia" w:eastAsiaTheme="minorEastAsia"/>
          <w:szCs w:val="21"/>
        </w:rPr>
        <w:t>我</w:t>
      </w:r>
      <w:r>
        <w:rPr>
          <w:rFonts w:hint="eastAsia" w:asciiTheme="minorEastAsia" w:hAnsiTheme="minorEastAsia" w:eastAsiaTheme="minorEastAsia"/>
          <w:szCs w:val="21"/>
        </w:rPr>
        <w:t>单位</w:t>
      </w:r>
      <w:r>
        <w:rPr>
          <w:rFonts w:asciiTheme="minorEastAsia" w:hAnsiTheme="minorEastAsia" w:eastAsiaTheme="minorEastAsia"/>
          <w:szCs w:val="21"/>
        </w:rPr>
        <w:t>不属于为本项目提供整体设计、规范编制或者项目管理、监理、检测等服务的投标人。</w:t>
      </w:r>
    </w:p>
    <w:p w14:paraId="300E5349">
      <w:pPr>
        <w:widowControl/>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十、</w:t>
      </w:r>
      <w:r>
        <w:rPr>
          <w:rFonts w:asciiTheme="minorEastAsia" w:hAnsiTheme="minorEastAsia" w:eastAsiaTheme="minorEastAsia"/>
          <w:szCs w:val="21"/>
        </w:rPr>
        <w:t>我单位无以下不良信用记录情形：</w:t>
      </w:r>
    </w:p>
    <w:p w14:paraId="6CF6E1C5">
      <w:pPr>
        <w:widowControl/>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、在“信用中国”、“信用湖南”、“信用郴州”网站被列入失信被执行人和重大税收违法案件当事人名单</w:t>
      </w:r>
      <w:r>
        <w:rPr>
          <w:rFonts w:hint="eastAsia" w:ascii="宋体" w:hAnsi="宋体" w:cs="宋体"/>
          <w:szCs w:val="21"/>
        </w:rPr>
        <w:t>；</w:t>
      </w:r>
    </w:p>
    <w:p w14:paraId="2BD79AF2">
      <w:pPr>
        <w:widowControl/>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、在“中国政府采购网”、“湖南省政府采购网”网站被列入政府采购严重违法失信行为记录名单</w:t>
      </w:r>
      <w:r>
        <w:rPr>
          <w:rFonts w:hint="eastAsia" w:ascii="宋体" w:hAnsi="宋体" w:cs="宋体"/>
          <w:szCs w:val="21"/>
        </w:rPr>
        <w:t>；</w:t>
      </w:r>
    </w:p>
    <w:p w14:paraId="1C318B77">
      <w:pPr>
        <w:widowControl/>
        <w:adjustRightInd w:val="0"/>
        <w:snapToGrid w:val="0"/>
        <w:spacing w:before="156" w:beforeLines="50" w:line="360" w:lineRule="auto"/>
        <w:ind w:firstLine="420" w:firstLineChars="200"/>
        <w:jc w:val="left"/>
        <w:rPr>
          <w:rFonts w:hint="eastAsia"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w:t>
      </w:r>
      <w:r>
        <w:rPr>
          <w:rFonts w:asciiTheme="minorEastAsia" w:hAnsiTheme="minorEastAsia" w:eastAsiaTheme="minorEastAsia"/>
          <w:szCs w:val="21"/>
        </w:rPr>
        <w:t>不符合《政府采购法》第二十二条规定的条件。</w:t>
      </w:r>
    </w:p>
    <w:p w14:paraId="6146C0B9">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3596BDE2">
      <w:pPr>
        <w:widowControl/>
        <w:adjustRightInd w:val="0"/>
        <w:snapToGrid w:val="0"/>
        <w:spacing w:before="156" w:beforeLines="50" w:line="360" w:lineRule="auto"/>
        <w:jc w:val="left"/>
        <w:rPr>
          <w:rFonts w:hint="eastAsia" w:ascii="宋体" w:hAnsi="宋体" w:cs="宋体"/>
          <w:szCs w:val="21"/>
        </w:rPr>
      </w:pPr>
    </w:p>
    <w:p w14:paraId="48D51A83">
      <w:pPr>
        <w:widowControl/>
        <w:adjustRightInd w:val="0"/>
        <w:snapToGrid w:val="0"/>
        <w:spacing w:before="156" w:beforeLines="50" w:line="360" w:lineRule="auto"/>
        <w:jc w:val="left"/>
        <w:rPr>
          <w:rFonts w:hint="eastAsia" w:ascii="宋体" w:hAnsi="宋体" w:cs="宋体"/>
          <w:szCs w:val="21"/>
        </w:rPr>
      </w:pPr>
      <w:r>
        <w:rPr>
          <w:rFonts w:hint="eastAsia" w:cs="宋体" w:asciiTheme="minorEastAsia" w:hAnsiTheme="minorEastAsia" w:eastAsiaTheme="minorEastAsia"/>
          <w:szCs w:val="21"/>
        </w:rPr>
        <w:t>注：第三条“良好的商业信誉”是指投标人经营状况良好，无本资格声明第十条情形。</w:t>
      </w:r>
    </w:p>
    <w:p w14:paraId="36448D9A">
      <w:pPr>
        <w:widowControl/>
        <w:adjustRightInd w:val="0"/>
        <w:snapToGrid w:val="0"/>
        <w:spacing w:before="156" w:beforeLines="50" w:line="360" w:lineRule="auto"/>
        <w:jc w:val="left"/>
        <w:rPr>
          <w:rFonts w:hint="eastAsia" w:ascii="宋体" w:hAnsi="宋体" w:cs="宋体"/>
          <w:color w:val="FF0000"/>
          <w:szCs w:val="21"/>
        </w:rPr>
      </w:pPr>
    </w:p>
    <w:p w14:paraId="27E99FFF">
      <w:pPr>
        <w:widowControl/>
        <w:adjustRightInd w:val="0"/>
        <w:snapToGrid w:val="0"/>
        <w:spacing w:line="360" w:lineRule="auto"/>
        <w:jc w:val="left"/>
        <w:rPr>
          <w:rFonts w:hint="eastAsia" w:ascii="宋体" w:hAnsi="宋体" w:cs="宋体"/>
          <w:kern w:val="0"/>
          <w:szCs w:val="21"/>
        </w:rPr>
      </w:pPr>
      <w:r>
        <w:rPr>
          <w:rFonts w:hint="eastAsia" w:ascii="宋体" w:hAnsi="宋体" w:cs="宋体"/>
          <w:szCs w:val="21"/>
        </w:rPr>
        <w:t>投标人名称（盖单位电子公章）：</w:t>
      </w:r>
    </w:p>
    <w:p w14:paraId="67A7E3F1">
      <w:pPr>
        <w:widowControl/>
        <w:adjustRightInd w:val="0"/>
        <w:snapToGrid w:val="0"/>
        <w:spacing w:line="360" w:lineRule="auto"/>
        <w:jc w:val="left"/>
        <w:rPr>
          <w:rFonts w:hint="eastAsia" w:ascii="宋体" w:hAnsi="宋体" w:cs="宋体" w:eastAsiaTheme="minorEastAsia"/>
          <w:b/>
          <w:bCs/>
          <w:kern w:val="0"/>
          <w:sz w:val="44"/>
          <w:szCs w:val="44"/>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rPr>
        <w:t>或委托代理人：</w:t>
      </w:r>
      <w:r>
        <w:rPr>
          <w:rFonts w:hint="eastAsia" w:asciiTheme="minorEastAsia" w:hAnsiTheme="minorEastAsia" w:eastAsiaTheme="minorEastAsia"/>
          <w:u w:val="single"/>
        </w:rPr>
        <w:t xml:space="preserve">       </w:t>
      </w:r>
      <w:r>
        <w:rPr>
          <w:rFonts w:hint="eastAsia" w:asciiTheme="minorEastAsia" w:hAnsiTheme="minorEastAsia" w:eastAsiaTheme="minorEastAsia"/>
        </w:rPr>
        <w:t>（签字或签章）</w:t>
      </w:r>
    </w:p>
    <w:p w14:paraId="06A2ED22">
      <w:pPr>
        <w:widowControl/>
        <w:adjustRightInd w:val="0"/>
        <w:snapToGrid w:val="0"/>
        <w:spacing w:line="360" w:lineRule="auto"/>
        <w:jc w:val="left"/>
        <w:rPr>
          <w:rFonts w:hint="eastAsia" w:cs="宋体" w:asciiTheme="minorEastAsia" w:hAnsiTheme="minorEastAsia" w:eastAsiaTheme="minorEastAsia"/>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A75915D">
      <w:pPr>
        <w:widowControl/>
        <w:jc w:val="left"/>
        <w:rPr>
          <w:rFonts w:hint="eastAsia" w:ascii="黑体" w:hAnsi="仿宋" w:eastAsia="黑体" w:cs="宋体"/>
          <w:bCs/>
          <w:szCs w:val="21"/>
        </w:rPr>
      </w:pPr>
      <w:r>
        <w:rPr>
          <w:rFonts w:ascii="黑体" w:hAnsi="仿宋" w:cs="宋体"/>
          <w:b/>
          <w:szCs w:val="21"/>
        </w:rPr>
        <w:br w:type="page"/>
      </w:r>
    </w:p>
    <w:p w14:paraId="62677B16">
      <w:pPr>
        <w:pStyle w:val="7"/>
        <w:adjustRightInd w:val="0"/>
        <w:snapToGrid w:val="0"/>
        <w:spacing w:before="156" w:beforeLines="50" w:after="0" w:line="360" w:lineRule="auto"/>
        <w:rPr>
          <w:rFonts w:ascii="黑体" w:hAnsi="仿宋" w:cs="宋体"/>
          <w:b w:val="0"/>
          <w:sz w:val="21"/>
          <w:szCs w:val="21"/>
        </w:rPr>
      </w:pPr>
      <w:bookmarkStart w:id="223" w:name="_Toc25920"/>
      <w:bookmarkStart w:id="224" w:name="_Toc2547"/>
      <w:bookmarkStart w:id="225" w:name="_Toc26565"/>
      <w:bookmarkStart w:id="226" w:name="_Toc29913958"/>
      <w:r>
        <w:rPr>
          <w:rFonts w:hint="eastAsia" w:ascii="黑体" w:hAnsi="仿宋" w:cs="宋体"/>
          <w:b w:val="0"/>
          <w:sz w:val="21"/>
          <w:szCs w:val="21"/>
        </w:rPr>
        <w:t>湖南省政府采购供应商资格承诺函(格式)</w:t>
      </w:r>
      <w:bookmarkEnd w:id="223"/>
    </w:p>
    <w:p w14:paraId="72C5DE2B">
      <w:pPr>
        <w:widowControl/>
        <w:adjustRightInd w:val="0"/>
        <w:snapToGrid w:val="0"/>
        <w:spacing w:before="468" w:beforeLines="150" w:line="360" w:lineRule="auto"/>
        <w:jc w:val="center"/>
        <w:rPr>
          <w:rFonts w:ascii="宋体" w:hAnsi="宋体" w:cs="宋体"/>
          <w:szCs w:val="21"/>
        </w:rPr>
      </w:pPr>
      <w:r>
        <w:rPr>
          <w:rFonts w:hint="eastAsia" w:ascii="黑体" w:hAnsi="仿宋" w:eastAsia="黑体" w:cs="宋体"/>
          <w:b/>
          <w:sz w:val="28"/>
          <w:szCs w:val="28"/>
        </w:rPr>
        <w:t>湖南省政府采购供应商资格承诺函(格式)</w:t>
      </w:r>
    </w:p>
    <w:p w14:paraId="563631C5">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4A38235">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按照《政府采购促进中小企业发展管理办法》(财库〔2020〕46号),本公司企业规模为: 大型口中型口小型□微型□。</w:t>
      </w:r>
    </w:p>
    <w:p w14:paraId="4E6177B9">
      <w:pPr>
        <w:widowControl/>
        <w:spacing w:before="156" w:beforeLines="50" w:line="360" w:lineRule="auto"/>
        <w:ind w:firstLine="420" w:firstLineChars="200"/>
        <w:jc w:val="left"/>
        <w:rPr>
          <w:rFonts w:ascii="宋体" w:hAnsi="宋体" w:cs="宋体"/>
          <w:szCs w:val="21"/>
        </w:rPr>
      </w:pPr>
    </w:p>
    <w:p w14:paraId="0B6A6F22">
      <w:pPr>
        <w:widowControl/>
        <w:spacing w:before="156" w:beforeLines="50" w:line="360" w:lineRule="auto"/>
        <w:ind w:firstLine="420" w:firstLineChars="200"/>
        <w:jc w:val="left"/>
        <w:rPr>
          <w:rFonts w:ascii="宋体" w:hAnsi="宋体" w:cs="宋体"/>
          <w:szCs w:val="21"/>
        </w:rPr>
      </w:pPr>
    </w:p>
    <w:p w14:paraId="39A66D9C">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公司(单位)名称(电子公章)：</w:t>
      </w:r>
    </w:p>
    <w:p w14:paraId="6FCA7DEB">
      <w:pPr>
        <w:widowControl/>
        <w:spacing w:before="156" w:beforeLines="50" w:line="360" w:lineRule="auto"/>
        <w:ind w:firstLine="420" w:firstLineChars="200"/>
        <w:jc w:val="left"/>
        <w:rPr>
          <w:rFonts w:ascii="宋体" w:hAnsi="宋体" w:cs="宋体"/>
          <w:szCs w:val="21"/>
        </w:rPr>
      </w:pPr>
    </w:p>
    <w:p w14:paraId="6D6DDA54">
      <w:pPr>
        <w:widowControl/>
        <w:spacing w:before="156" w:beforeLines="50" w:line="360" w:lineRule="auto"/>
        <w:ind w:left="420" w:leftChars="200"/>
        <w:jc w:val="left"/>
        <w:rPr>
          <w:rFonts w:ascii="宋体" w:hAnsi="宋体" w:cs="宋体"/>
          <w:szCs w:val="21"/>
        </w:rPr>
      </w:pPr>
      <w:r>
        <w:rPr>
          <w:rFonts w:hint="eastAsia" w:ascii="宋体" w:hAnsi="宋体" w:cs="宋体"/>
          <w:szCs w:val="21"/>
        </w:rPr>
        <w:t>机构代码：</w:t>
      </w:r>
      <w:r>
        <w:rPr>
          <w:rFonts w:hint="eastAsia" w:ascii="宋体" w:hAnsi="宋体" w:cs="宋体"/>
          <w:szCs w:val="21"/>
          <w:u w:val="single"/>
        </w:rPr>
        <w:t xml:space="preserve">      </w:t>
      </w:r>
      <w:r>
        <w:rPr>
          <w:rFonts w:hint="eastAsia" w:ascii="宋体" w:hAnsi="宋体" w:cs="宋体"/>
          <w:szCs w:val="21"/>
        </w:rPr>
        <w:t>、注册登记机构：</w:t>
      </w:r>
      <w:r>
        <w:rPr>
          <w:rFonts w:hint="eastAsia" w:ascii="宋体" w:hAnsi="宋体" w:cs="宋体"/>
          <w:szCs w:val="21"/>
          <w:u w:val="single"/>
        </w:rPr>
        <w:t xml:space="preserve">      </w:t>
      </w: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、有效期：</w:t>
      </w:r>
      <w:r>
        <w:rPr>
          <w:rFonts w:hint="eastAsia" w:ascii="宋体" w:hAnsi="宋体" w:cs="宋体"/>
          <w:szCs w:val="21"/>
          <w:u w:val="single"/>
        </w:rPr>
        <w:t xml:space="preserve">      </w:t>
      </w:r>
      <w:r>
        <w:rPr>
          <w:rFonts w:hint="eastAsia" w:ascii="宋体" w:hAnsi="宋体" w:cs="宋体"/>
          <w:szCs w:val="21"/>
        </w:rPr>
        <w:t>、注册资本：</w:t>
      </w:r>
      <w:r>
        <w:rPr>
          <w:rFonts w:hint="eastAsia" w:ascii="宋体" w:hAnsi="宋体" w:cs="宋体"/>
          <w:szCs w:val="21"/>
          <w:u w:val="single"/>
        </w:rPr>
        <w:t xml:space="preserve">      </w:t>
      </w:r>
      <w:r>
        <w:rPr>
          <w:rFonts w:hint="eastAsia" w:ascii="宋体" w:hAnsi="宋体" w:cs="宋体"/>
          <w:szCs w:val="21"/>
        </w:rPr>
        <w:t>、地 址：</w:t>
      </w:r>
      <w:r>
        <w:rPr>
          <w:rFonts w:hint="eastAsia" w:ascii="宋体" w:hAnsi="宋体" w:cs="宋体"/>
          <w:szCs w:val="21"/>
          <w:u w:val="single"/>
        </w:rPr>
        <w:t xml:space="preserve">      </w:t>
      </w:r>
      <w:r>
        <w:rPr>
          <w:rFonts w:hint="eastAsia" w:ascii="宋体" w:hAnsi="宋体" w:cs="宋体"/>
          <w:szCs w:val="21"/>
        </w:rPr>
        <w:t>、经济行业：</w:t>
      </w:r>
      <w:r>
        <w:rPr>
          <w:rFonts w:hint="eastAsia" w:ascii="宋体" w:hAnsi="宋体" w:cs="宋体"/>
          <w:szCs w:val="21"/>
          <w:u w:val="single"/>
        </w:rPr>
        <w:t xml:space="preserve">      </w:t>
      </w:r>
      <w:r>
        <w:rPr>
          <w:rFonts w:hint="eastAsia" w:ascii="宋体" w:hAnsi="宋体" w:cs="宋体"/>
          <w:szCs w:val="21"/>
        </w:rPr>
        <w:t>、经济性质：</w:t>
      </w:r>
      <w:r>
        <w:rPr>
          <w:rFonts w:hint="eastAsia" w:ascii="宋体" w:hAnsi="宋体" w:cs="宋体"/>
          <w:szCs w:val="21"/>
          <w:u w:val="single"/>
        </w:rPr>
        <w:t xml:space="preserve">      </w:t>
      </w:r>
    </w:p>
    <w:p w14:paraId="609D9DEA">
      <w:pPr>
        <w:widowControl/>
        <w:spacing w:before="156" w:beforeLines="50" w:line="360" w:lineRule="auto"/>
        <w:ind w:firstLine="420" w:firstLineChars="200"/>
        <w:jc w:val="left"/>
        <w:rPr>
          <w:rFonts w:ascii="宋体" w:hAnsi="宋体" w:cs="宋体"/>
          <w:szCs w:val="21"/>
        </w:rPr>
      </w:pPr>
    </w:p>
    <w:p w14:paraId="694AD4D9">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法定代表人(负责人)姓名(签字)：</w:t>
      </w:r>
      <w:r>
        <w:rPr>
          <w:rFonts w:hint="eastAsia" w:ascii="宋体" w:hAnsi="宋体" w:cs="宋体"/>
          <w:szCs w:val="21"/>
          <w:u w:val="single"/>
        </w:rPr>
        <w:t xml:space="preserve">            </w:t>
      </w:r>
    </w:p>
    <w:p w14:paraId="2BF0BBA7">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、手机号：</w:t>
      </w:r>
      <w:r>
        <w:rPr>
          <w:rFonts w:hint="eastAsia" w:ascii="宋体" w:hAnsi="宋体" w:cs="宋体"/>
          <w:szCs w:val="21"/>
          <w:u w:val="single"/>
        </w:rPr>
        <w:t xml:space="preserve">           </w:t>
      </w:r>
    </w:p>
    <w:p w14:paraId="1A442F5D">
      <w:pPr>
        <w:widowControl/>
        <w:spacing w:before="156" w:beforeLines="50" w:line="360" w:lineRule="auto"/>
        <w:ind w:firstLine="420" w:firstLineChars="200"/>
        <w:jc w:val="left"/>
        <w:rPr>
          <w:rFonts w:ascii="宋体" w:hAnsi="宋体" w:cs="宋体"/>
          <w:szCs w:val="21"/>
        </w:rPr>
      </w:pPr>
    </w:p>
    <w:p w14:paraId="7F29A90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授权代表人姓名(签字)：</w:t>
      </w:r>
      <w:r>
        <w:rPr>
          <w:rFonts w:hint="eastAsia" w:ascii="宋体" w:hAnsi="宋体" w:cs="宋体"/>
          <w:szCs w:val="21"/>
          <w:u w:val="single"/>
        </w:rPr>
        <w:t xml:space="preserve">                   </w:t>
      </w:r>
    </w:p>
    <w:p w14:paraId="41D72B74">
      <w:pPr>
        <w:widowControl/>
        <w:spacing w:before="156" w:beforeLines="50" w:line="360" w:lineRule="auto"/>
        <w:ind w:firstLine="420" w:firstLineChars="200"/>
        <w:jc w:val="left"/>
        <w:rPr>
          <w:rFonts w:ascii="宋体" w:hAnsi="宋体" w:cs="宋体"/>
          <w:szCs w:val="21"/>
        </w:rPr>
      </w:pPr>
      <w:r>
        <w:rPr>
          <w:rFonts w:hint="eastAsia" w:ascii="宋体" w:hAnsi="宋体" w:cs="宋体"/>
          <w:szCs w:val="21"/>
        </w:rPr>
        <w:t>身份证号：</w:t>
      </w:r>
      <w:r>
        <w:rPr>
          <w:rFonts w:hint="eastAsia" w:ascii="宋体" w:hAnsi="宋体" w:cs="宋体"/>
          <w:szCs w:val="21"/>
          <w:u w:val="single"/>
        </w:rPr>
        <w:t xml:space="preserve">          </w:t>
      </w:r>
      <w:r>
        <w:rPr>
          <w:rFonts w:hint="eastAsia" w:ascii="宋体" w:hAnsi="宋体" w:cs="宋体"/>
          <w:szCs w:val="21"/>
        </w:rPr>
        <w:t>、手机号：</w:t>
      </w:r>
      <w:r>
        <w:rPr>
          <w:rFonts w:hint="eastAsia" w:ascii="宋体" w:hAnsi="宋体" w:cs="宋体"/>
          <w:szCs w:val="21"/>
          <w:u w:val="single"/>
        </w:rPr>
        <w:t xml:space="preserve">           </w:t>
      </w:r>
    </w:p>
    <w:p w14:paraId="57A1ABCE">
      <w:pPr>
        <w:rPr>
          <w:rFonts w:hint="eastAsia" w:ascii="黑体" w:hAnsi="仿宋" w:cs="宋体"/>
          <w:b w:val="0"/>
          <w:sz w:val="21"/>
          <w:szCs w:val="21"/>
        </w:rPr>
      </w:pPr>
      <w:r>
        <w:rPr>
          <w:rFonts w:hint="eastAsia" w:ascii="黑体" w:hAnsi="仿宋" w:cs="宋体"/>
          <w:b w:val="0"/>
          <w:sz w:val="21"/>
          <w:szCs w:val="21"/>
        </w:rPr>
        <w:br w:type="page"/>
      </w:r>
    </w:p>
    <w:p w14:paraId="498388AE">
      <w:pPr>
        <w:pStyle w:val="7"/>
        <w:rPr>
          <w:rFonts w:hint="eastAsia" w:ascii="黑体" w:hAnsi="仿宋" w:cs="宋体"/>
          <w:b w:val="0"/>
          <w:sz w:val="21"/>
          <w:szCs w:val="21"/>
        </w:rPr>
      </w:pPr>
      <w:r>
        <w:rPr>
          <w:rFonts w:hint="eastAsia" w:ascii="黑体" w:hAnsi="仿宋" w:cs="宋体"/>
          <w:b w:val="0"/>
          <w:sz w:val="21"/>
          <w:szCs w:val="21"/>
        </w:rPr>
        <w:t>附件4-3 符合特定资格条件证明材料复印件或者情况说明</w:t>
      </w:r>
      <w:bookmarkEnd w:id="224"/>
      <w:bookmarkEnd w:id="225"/>
      <w:bookmarkEnd w:id="226"/>
    </w:p>
    <w:p w14:paraId="35DEE8C6">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符合特定资格条件证明材料复印件或者情况说明</w:t>
      </w:r>
    </w:p>
    <w:p w14:paraId="701E05E6">
      <w:pPr>
        <w:widowControl/>
        <w:adjustRightInd w:val="0"/>
        <w:snapToGrid w:val="0"/>
        <w:spacing w:line="360" w:lineRule="auto"/>
        <w:ind w:firstLine="560" w:firstLineChars="200"/>
        <w:jc w:val="left"/>
        <w:rPr>
          <w:rFonts w:hint="eastAsia" w:ascii="黑体" w:hAnsi="仿宋" w:eastAsia="黑体" w:cs="宋体"/>
          <w:sz w:val="28"/>
          <w:szCs w:val="28"/>
        </w:rPr>
      </w:pPr>
    </w:p>
    <w:p w14:paraId="2EBDBC7E">
      <w:pPr>
        <w:widowControl/>
        <w:adjustRightInd w:val="0"/>
        <w:snapToGrid w:val="0"/>
        <w:spacing w:line="360" w:lineRule="auto"/>
        <w:ind w:firstLine="420" w:firstLineChars="200"/>
        <w:jc w:val="left"/>
        <w:rPr>
          <w:rFonts w:hint="eastAsia" w:cs="宋体" w:asciiTheme="minorEastAsia" w:hAnsiTheme="minorEastAsia" w:eastAsiaTheme="minorEastAsia"/>
          <w:szCs w:val="21"/>
        </w:rPr>
      </w:pPr>
      <w:r>
        <w:rPr>
          <w:rFonts w:hint="eastAsia" w:cs="宋体" w:asciiTheme="minorEastAsia" w:hAnsiTheme="minorEastAsia" w:eastAsiaTheme="minorEastAsia"/>
          <w:szCs w:val="21"/>
        </w:rPr>
        <w:t>注：按第二章第</w:t>
      </w:r>
      <w:r>
        <w:rPr>
          <w:rFonts w:cs="宋体" w:asciiTheme="minorEastAsia" w:hAnsiTheme="minorEastAsia" w:eastAsiaTheme="minorEastAsia"/>
          <w:szCs w:val="21"/>
        </w:rPr>
        <w:t>1</w:t>
      </w:r>
      <w:r>
        <w:rPr>
          <w:rFonts w:hint="eastAsia" w:cs="宋体" w:asciiTheme="minorEastAsia" w:hAnsiTheme="minorEastAsia" w:eastAsiaTheme="minorEastAsia"/>
          <w:szCs w:val="21"/>
        </w:rPr>
        <w:t>4</w:t>
      </w:r>
      <w:r>
        <w:rPr>
          <w:rFonts w:cs="宋体" w:asciiTheme="minorEastAsia" w:hAnsiTheme="minorEastAsia" w:eastAsiaTheme="minorEastAsia"/>
          <w:szCs w:val="21"/>
        </w:rPr>
        <w:t>.1</w:t>
      </w:r>
      <w:r>
        <w:rPr>
          <w:rFonts w:hint="eastAsia" w:cs="宋体" w:asciiTheme="minorEastAsia" w:hAnsiTheme="minorEastAsia" w:eastAsiaTheme="minorEastAsia"/>
          <w:szCs w:val="21"/>
        </w:rPr>
        <w:t>（3）项要求提供。</w:t>
      </w:r>
    </w:p>
    <w:p w14:paraId="4EF32E18">
      <w:pPr>
        <w:widowControl/>
        <w:jc w:val="left"/>
        <w:rPr>
          <w:rFonts w:hint="eastAsia" w:ascii="黑体" w:hAnsi="仿宋" w:eastAsia="黑体" w:cs="宋体"/>
          <w:szCs w:val="21"/>
        </w:rPr>
      </w:pPr>
      <w:r>
        <w:rPr>
          <w:rFonts w:ascii="黑体" w:hAnsi="仿宋" w:eastAsia="黑体" w:cs="宋体"/>
          <w:szCs w:val="21"/>
        </w:rPr>
        <w:br w:type="page"/>
      </w:r>
    </w:p>
    <w:p w14:paraId="680A6F65">
      <w:pPr>
        <w:pStyle w:val="7"/>
        <w:rPr>
          <w:rFonts w:hint="eastAsia" w:ascii="黑体" w:cs="宋体" w:hAnsiTheme="minorEastAsia"/>
          <w:b w:val="0"/>
          <w:kern w:val="0"/>
          <w:sz w:val="21"/>
          <w:szCs w:val="21"/>
        </w:rPr>
      </w:pPr>
      <w:bookmarkStart w:id="227" w:name="_Toc14195"/>
      <w:bookmarkStart w:id="228" w:name="_Toc29913959"/>
      <w:bookmarkStart w:id="229" w:name="_Toc824"/>
      <w:r>
        <w:rPr>
          <w:rFonts w:hint="eastAsia" w:ascii="黑体" w:hAnsi="仿宋" w:cs="宋体"/>
          <w:b w:val="0"/>
          <w:sz w:val="21"/>
          <w:szCs w:val="21"/>
        </w:rPr>
        <w:t>附件4-4 联合体协议书（格式）</w:t>
      </w:r>
      <w:bookmarkEnd w:id="227"/>
      <w:bookmarkEnd w:id="228"/>
      <w:bookmarkEnd w:id="229"/>
    </w:p>
    <w:p w14:paraId="20D7ADAC">
      <w:pPr>
        <w:adjustRightInd w:val="0"/>
        <w:snapToGrid w:val="0"/>
        <w:spacing w:line="360" w:lineRule="auto"/>
        <w:jc w:val="center"/>
        <w:rPr>
          <w:rFonts w:hint="eastAsia" w:asciiTheme="minorEastAsia" w:hAnsiTheme="minorEastAsia" w:eastAsiaTheme="minorEastAsia"/>
          <w:b/>
          <w:color w:val="000000"/>
          <w:szCs w:val="21"/>
        </w:rPr>
      </w:pPr>
      <w:r>
        <w:rPr>
          <w:rFonts w:hint="eastAsia" w:ascii="黑体" w:hAnsi="仿宋" w:eastAsia="黑体" w:cs="宋体"/>
          <w:b/>
          <w:sz w:val="28"/>
          <w:szCs w:val="28"/>
        </w:rPr>
        <w:t>联合体协议书（格式）</w:t>
      </w:r>
    </w:p>
    <w:p w14:paraId="6A30AF75">
      <w:pPr>
        <w:adjustRightInd w:val="0"/>
        <w:snapToGrid w:val="0"/>
        <w:spacing w:line="360" w:lineRule="auto"/>
        <w:rPr>
          <w:rFonts w:hint="eastAsia" w:asciiTheme="minorEastAsia" w:hAnsiTheme="minorEastAsia" w:eastAsiaTheme="minorEastAsia"/>
          <w:color w:val="000000"/>
          <w:szCs w:val="21"/>
        </w:rPr>
      </w:pPr>
    </w:p>
    <w:p w14:paraId="280D3F38">
      <w:pPr>
        <w:adjustRightInd w:val="0"/>
        <w:snapToGrid w:val="0"/>
        <w:spacing w:line="360" w:lineRule="auto"/>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致</w:t>
      </w:r>
      <w:r>
        <w:rPr>
          <w:rFonts w:hint="eastAsia" w:asciiTheme="minorEastAsia" w:hAnsiTheme="minorEastAsia" w:eastAsiaTheme="minorEastAsia"/>
          <w:color w:val="000000"/>
          <w:szCs w:val="21"/>
          <w:u w:val="single"/>
        </w:rPr>
        <w:t xml:space="preserve">                   </w:t>
      </w:r>
      <w:r>
        <w:rPr>
          <w:rFonts w:hint="eastAsia" w:asciiTheme="minorEastAsia" w:hAnsiTheme="minorEastAsia" w:eastAsiaTheme="minorEastAsia"/>
          <w:color w:val="000000"/>
          <w:szCs w:val="21"/>
        </w:rPr>
        <w:t>（采购人、采购代理机构</w:t>
      </w:r>
      <w:r>
        <w:rPr>
          <w:rFonts w:hint="eastAsia" w:asciiTheme="minorEastAsia" w:hAnsiTheme="minorEastAsia" w:eastAsiaTheme="minorEastAsia"/>
          <w:szCs w:val="21"/>
        </w:rPr>
        <w:t>）：</w:t>
      </w:r>
    </w:p>
    <w:p w14:paraId="20052306">
      <w:pPr>
        <w:adjustRightInd w:val="0"/>
        <w:snapToGrid w:val="0"/>
        <w:spacing w:line="360" w:lineRule="auto"/>
        <w:ind w:firstLine="420" w:firstLineChars="200"/>
        <w:rPr>
          <w:rFonts w:hint="eastAsia" w:asciiTheme="minorEastAsia" w:hAnsiTheme="minorEastAsia" w:eastAsiaTheme="minorEastAsia"/>
          <w:color w:val="000000"/>
          <w:szCs w:val="21"/>
        </w:rPr>
      </w:pPr>
      <w:r>
        <w:rPr>
          <w:rFonts w:hint="eastAsia" w:asciiTheme="minorEastAsia" w:hAnsiTheme="minorEastAsia" w:eastAsiaTheme="minorEastAsia"/>
          <w:color w:val="000000"/>
          <w:szCs w:val="21"/>
        </w:rPr>
        <w:t>经研究，我们决定自愿组成联合体共同参加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w:t>
      </w:r>
      <w:r>
        <w:rPr>
          <w:rFonts w:asciiTheme="minorEastAsia" w:hAnsiTheme="minorEastAsia" w:eastAsiaTheme="minorEastAsia"/>
          <w:szCs w:val="21"/>
        </w:rPr>
        <w:t>）</w:t>
      </w: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）项目的投标</w:t>
      </w:r>
      <w:r>
        <w:rPr>
          <w:rFonts w:hint="eastAsia" w:asciiTheme="minorEastAsia" w:hAnsiTheme="minorEastAsia" w:eastAsiaTheme="minorEastAsia"/>
          <w:color w:val="000000"/>
          <w:szCs w:val="21"/>
        </w:rPr>
        <w:t>。</w:t>
      </w:r>
      <w:r>
        <w:rPr>
          <w:rFonts w:hint="eastAsia" w:asciiTheme="minorEastAsia" w:hAnsiTheme="minorEastAsia" w:eastAsiaTheme="minorEastAsia"/>
          <w:szCs w:val="21"/>
        </w:rPr>
        <w:t>现就联合体投标事宜订立如下协议：</w:t>
      </w:r>
    </w:p>
    <w:p w14:paraId="2DC30DF3">
      <w:pPr>
        <w:adjustRightInd w:val="0"/>
        <w:snapToGrid w:val="0"/>
        <w:spacing w:line="360" w:lineRule="auto"/>
        <w:ind w:firstLine="420" w:firstLineChars="200"/>
        <w:rPr>
          <w:rFonts w:hint="eastAsia" w:asciiTheme="minorEastAsia" w:hAnsiTheme="minorEastAsia" w:eastAsiaTheme="minorEastAsia"/>
          <w:szCs w:val="21"/>
          <w:u w:val="single"/>
        </w:rPr>
      </w:pPr>
      <w:r>
        <w:rPr>
          <w:rFonts w:hint="eastAsia" w:asciiTheme="minorEastAsia" w:hAnsiTheme="minorEastAsia" w:eastAsiaTheme="minorEastAsia"/>
          <w:szCs w:val="21"/>
        </w:rPr>
        <w:t>一、联合体基本信息：</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（各方公司名称、地址、注册资金、营业执照、</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姓名）</w:t>
      </w:r>
    </w:p>
    <w:p w14:paraId="4AD1CDDF">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二、</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（某成员单位名称）为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（联合体名称）牵头人。</w:t>
      </w:r>
    </w:p>
    <w:p w14:paraId="6E5E8B66">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F2C344E">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四．联合体将严格按照招标文件的各项要求，递交投标文件，参加投标，履行中标义务和中标后的合同，并向采购人承担连带责任。</w:t>
      </w:r>
    </w:p>
    <w:p w14:paraId="16DDA04D">
      <w:pPr>
        <w:adjustRightInd w:val="0"/>
        <w:snapToGrid w:val="0"/>
        <w:spacing w:line="360" w:lineRule="auto"/>
        <w:ind w:firstLine="420" w:firstLineChars="200"/>
        <w:rPr>
          <w:rFonts w:hint="eastAsia" w:asciiTheme="minorEastAsia" w:hAnsiTheme="minorEastAsia" w:eastAsiaTheme="minorEastAsia"/>
          <w:szCs w:val="21"/>
          <w:u w:val="single"/>
        </w:rPr>
      </w:pPr>
      <w:r>
        <w:rPr>
          <w:rFonts w:hint="eastAsia" w:asciiTheme="minorEastAsia" w:hAnsiTheme="minorEastAsia" w:eastAsiaTheme="minorEastAsia"/>
          <w:szCs w:val="21"/>
        </w:rPr>
        <w:t>五、联合体各成员单位内部的职责分工如下：</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。按照本条上述分工，联合体各成员的协议合同金额占联合体协议合同总金额比例如下：</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w:t>
      </w:r>
    </w:p>
    <w:p w14:paraId="73F18D81">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六、本协议书自签署之日起生效，合同履行完毕后自动失效。</w:t>
      </w:r>
    </w:p>
    <w:p w14:paraId="748B17E2">
      <w:pPr>
        <w:adjustRightInd w:val="0"/>
        <w:snapToGrid w:val="0"/>
        <w:spacing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七、本协议书一式</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份，联合体成员和采购人各执一份。</w:t>
      </w:r>
    </w:p>
    <w:p w14:paraId="7FF4613D">
      <w:pPr>
        <w:adjustRightInd w:val="0"/>
        <w:snapToGrid w:val="0"/>
        <w:spacing w:line="360" w:lineRule="auto"/>
        <w:rPr>
          <w:rFonts w:hint="eastAsia" w:asciiTheme="minorEastAsia" w:hAnsiTheme="minorEastAsia" w:eastAsiaTheme="minorEastAsia"/>
          <w:szCs w:val="21"/>
        </w:rPr>
      </w:pPr>
    </w:p>
    <w:p w14:paraId="6AA3BFC4">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牵头人名称（盖单位电子章）：</w:t>
      </w:r>
    </w:p>
    <w:p w14:paraId="69A164BB">
      <w:pPr>
        <w:adjustRightInd w:val="0"/>
        <w:snapToGrid w:val="0"/>
        <w:spacing w:line="360" w:lineRule="auto"/>
        <w:rPr>
          <w:rFonts w:hint="eastAsia"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或其委托代理人（签字或签章）：</w:t>
      </w:r>
      <w:r>
        <w:rPr>
          <w:rFonts w:hint="eastAsia" w:asciiTheme="minorEastAsia" w:hAnsiTheme="minorEastAsia" w:eastAsiaTheme="minorEastAsia"/>
          <w:szCs w:val="21"/>
          <w:u w:val="single"/>
        </w:rPr>
        <w:t xml:space="preserve">                          </w:t>
      </w:r>
    </w:p>
    <w:p w14:paraId="32281068">
      <w:pPr>
        <w:adjustRightInd w:val="0"/>
        <w:snapToGrid w:val="0"/>
        <w:spacing w:line="360" w:lineRule="auto"/>
        <w:rPr>
          <w:rFonts w:hint="eastAsia" w:asciiTheme="minorEastAsia" w:hAnsiTheme="minorEastAsia" w:eastAsiaTheme="minorEastAsia"/>
          <w:szCs w:val="21"/>
        </w:rPr>
      </w:pPr>
    </w:p>
    <w:p w14:paraId="58428877">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成员1名称（盖单位电子章）：</w:t>
      </w:r>
    </w:p>
    <w:p w14:paraId="25DE4C6F">
      <w:pPr>
        <w:adjustRightInd w:val="0"/>
        <w:snapToGrid w:val="0"/>
        <w:spacing w:line="360" w:lineRule="auto"/>
        <w:rPr>
          <w:rFonts w:hint="eastAsia"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或其委托代理人（签字或签章）：</w:t>
      </w:r>
      <w:r>
        <w:rPr>
          <w:rFonts w:hint="eastAsia" w:asciiTheme="minorEastAsia" w:hAnsiTheme="minorEastAsia" w:eastAsiaTheme="minorEastAsia"/>
          <w:szCs w:val="21"/>
          <w:u w:val="single"/>
        </w:rPr>
        <w:t xml:space="preserve">                          </w:t>
      </w:r>
    </w:p>
    <w:p w14:paraId="0279A35D">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成员2名称（盖单位电子章）：</w:t>
      </w:r>
    </w:p>
    <w:p w14:paraId="42753F05">
      <w:pPr>
        <w:adjustRightInd w:val="0"/>
        <w:snapToGrid w:val="0"/>
        <w:spacing w:line="360" w:lineRule="auto"/>
        <w:rPr>
          <w:rFonts w:hint="eastAsia" w:asciiTheme="minorEastAsia" w:hAnsiTheme="minorEastAsia" w:eastAsiaTheme="minorEastAsia"/>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或其委托代理人（签字或签章）：</w:t>
      </w:r>
      <w:r>
        <w:rPr>
          <w:rFonts w:hint="eastAsia" w:asciiTheme="minorEastAsia" w:hAnsiTheme="minorEastAsia" w:eastAsiaTheme="minorEastAsia"/>
          <w:szCs w:val="21"/>
          <w:u w:val="single"/>
        </w:rPr>
        <w:t xml:space="preserve">                          </w:t>
      </w:r>
    </w:p>
    <w:p w14:paraId="54870AB9">
      <w:pPr>
        <w:adjustRightInd w:val="0"/>
        <w:snapToGrid w:val="0"/>
        <w:spacing w:line="360" w:lineRule="auto"/>
        <w:rPr>
          <w:rFonts w:hint="eastAsia" w:asciiTheme="minorEastAsia" w:hAnsiTheme="minorEastAsia" w:eastAsiaTheme="minorEastAsia"/>
          <w:szCs w:val="21"/>
        </w:rPr>
      </w:pPr>
      <w:r>
        <w:rPr>
          <w:rFonts w:asciiTheme="minorEastAsia" w:hAnsiTheme="minorEastAsia" w:eastAsiaTheme="minorEastAsia"/>
          <w:szCs w:val="21"/>
        </w:rPr>
        <w:t>…</w:t>
      </w:r>
    </w:p>
    <w:p w14:paraId="73DFF5FC">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日  </w:t>
      </w:r>
    </w:p>
    <w:p w14:paraId="2F689E52">
      <w:pPr>
        <w:widowControl/>
        <w:adjustRightInd w:val="0"/>
        <w:snapToGrid w:val="0"/>
        <w:spacing w:line="360" w:lineRule="auto"/>
        <w:ind w:firstLine="422" w:firstLineChars="200"/>
        <w:jc w:val="left"/>
        <w:rPr>
          <w:rFonts w:hint="eastAsia" w:asciiTheme="minorEastAsia" w:hAnsiTheme="minorEastAsia" w:eastAsiaTheme="minorEastAsia"/>
          <w:szCs w:val="21"/>
        </w:rPr>
      </w:pPr>
      <w:r>
        <w:rPr>
          <w:rFonts w:hint="eastAsia" w:asciiTheme="minorEastAsia" w:hAnsiTheme="minorEastAsia" w:eastAsiaTheme="minorEastAsia"/>
          <w:b/>
          <w:szCs w:val="21"/>
        </w:rPr>
        <w:t>注</w:t>
      </w:r>
      <w:r>
        <w:rPr>
          <w:rFonts w:hint="eastAsia" w:asciiTheme="minorEastAsia" w:hAnsiTheme="minorEastAsia" w:eastAsiaTheme="minorEastAsia"/>
          <w:szCs w:val="21"/>
        </w:rPr>
        <w:t>：1、本协议书由委托代理人签字的，应附法定代表人（单位负责人）授权委托书。</w:t>
      </w:r>
    </w:p>
    <w:p w14:paraId="66372D3C">
      <w:pPr>
        <w:widowControl/>
        <w:adjustRightInd w:val="0"/>
        <w:snapToGrid w:val="0"/>
        <w:spacing w:line="360" w:lineRule="auto"/>
        <w:ind w:firstLine="420" w:firstLineChars="200"/>
        <w:jc w:val="left"/>
        <w:rPr>
          <w:rFonts w:ascii="黑体" w:eastAsia="黑体"/>
          <w:color w:val="000000"/>
          <w:sz w:val="32"/>
          <w:szCs w:val="32"/>
        </w:rPr>
      </w:pPr>
      <w:r>
        <w:rPr>
          <w:rFonts w:hint="eastAsia" w:asciiTheme="minorEastAsia" w:hAnsiTheme="minorEastAsia" w:eastAsiaTheme="minorEastAsia"/>
          <w:szCs w:val="21"/>
        </w:rPr>
        <w:t>2、投标人在提交投标文件的截止时间前修改“开标一览表”中的投标报价，影响本协议书第五条的，应同时修改本协议书第五条。否则，评审时价格评审优惠不予以考虑。</w:t>
      </w:r>
      <w:r>
        <w:rPr>
          <w:rFonts w:ascii="宋体" w:hAnsi="宋体"/>
          <w:szCs w:val="21"/>
        </w:rPr>
        <w:br w:type="page"/>
      </w:r>
    </w:p>
    <w:p w14:paraId="77F9E36B">
      <w:pPr>
        <w:adjustRightInd w:val="0"/>
        <w:snapToGrid w:val="0"/>
        <w:spacing w:line="360" w:lineRule="auto"/>
        <w:jc w:val="center"/>
        <w:rPr>
          <w:rFonts w:ascii="黑体" w:eastAsia="黑体"/>
          <w:color w:val="000000"/>
          <w:sz w:val="32"/>
          <w:szCs w:val="32"/>
        </w:rPr>
      </w:pPr>
    </w:p>
    <w:p w14:paraId="5C24DA4A">
      <w:pPr>
        <w:adjustRightInd w:val="0"/>
        <w:snapToGrid w:val="0"/>
        <w:spacing w:line="360" w:lineRule="auto"/>
        <w:jc w:val="center"/>
        <w:rPr>
          <w:rFonts w:ascii="黑体" w:eastAsia="黑体"/>
          <w:color w:val="000000"/>
          <w:sz w:val="32"/>
          <w:szCs w:val="32"/>
        </w:rPr>
      </w:pPr>
    </w:p>
    <w:p w14:paraId="2160EAE1">
      <w:pPr>
        <w:pStyle w:val="12"/>
        <w:adjustRightInd w:val="0"/>
        <w:snapToGrid w:val="0"/>
        <w:spacing w:line="360" w:lineRule="auto"/>
        <w:jc w:val="center"/>
        <w:rPr>
          <w:rFonts w:hint="eastAsia" w:ascii="华文中宋" w:hAnsi="华文中宋" w:eastAsia="华文中宋"/>
          <w:bCs/>
          <w:sz w:val="72"/>
          <w:szCs w:val="72"/>
        </w:rPr>
      </w:pPr>
      <w:r>
        <w:rPr>
          <w:rFonts w:hint="eastAsia" w:ascii="华文中宋" w:hAnsi="华文中宋" w:eastAsia="华文中宋"/>
          <w:bCs/>
          <w:sz w:val="72"/>
          <w:szCs w:val="72"/>
        </w:rPr>
        <w:t>政府采购</w:t>
      </w:r>
    </w:p>
    <w:p w14:paraId="665B2FD5">
      <w:pPr>
        <w:adjustRightInd w:val="0"/>
        <w:snapToGrid w:val="0"/>
        <w:spacing w:line="360" w:lineRule="auto"/>
        <w:jc w:val="center"/>
        <w:rPr>
          <w:rFonts w:hint="eastAsia" w:asciiTheme="minorEastAsia" w:hAnsiTheme="minorEastAsia" w:eastAsiaTheme="minorEastAsia"/>
          <w:b/>
          <w:bCs/>
          <w:sz w:val="84"/>
          <w:szCs w:val="84"/>
        </w:rPr>
      </w:pPr>
      <w:r>
        <w:rPr>
          <w:rFonts w:hint="eastAsia" w:asciiTheme="minorEastAsia" w:hAnsiTheme="minorEastAsia" w:eastAsiaTheme="minorEastAsia"/>
          <w:b/>
          <w:bCs/>
          <w:sz w:val="84"/>
          <w:szCs w:val="84"/>
        </w:rPr>
        <w:t>投 标 文 件</w:t>
      </w:r>
    </w:p>
    <w:p w14:paraId="6898F768">
      <w:pPr>
        <w:pStyle w:val="4"/>
        <w:adjustRightInd w:val="0"/>
        <w:snapToGrid w:val="0"/>
        <w:jc w:val="center"/>
        <w:rPr>
          <w:rFonts w:hint="eastAsia" w:ascii="黑体" w:hAnsi="黑体" w:eastAsia="黑体"/>
          <w:color w:val="000000"/>
          <w:sz w:val="44"/>
          <w:szCs w:val="44"/>
        </w:rPr>
      </w:pPr>
      <w:bookmarkStart w:id="230" w:name="_Toc26503"/>
      <w:bookmarkStart w:id="231" w:name="_Toc29913960"/>
      <w:bookmarkStart w:id="232" w:name="_Toc10663"/>
      <w:r>
        <w:rPr>
          <w:rFonts w:hint="eastAsia" w:ascii="黑体" w:hAnsi="黑体" w:eastAsia="黑体"/>
          <w:color w:val="000000"/>
          <w:sz w:val="44"/>
          <w:szCs w:val="44"/>
        </w:rPr>
        <w:t>第二部分 商务技术文件</w:t>
      </w:r>
      <w:bookmarkEnd w:id="230"/>
      <w:bookmarkEnd w:id="231"/>
      <w:bookmarkEnd w:id="232"/>
    </w:p>
    <w:p w14:paraId="1E1FF848">
      <w:pPr>
        <w:adjustRightInd w:val="0"/>
        <w:snapToGrid w:val="0"/>
        <w:spacing w:line="360" w:lineRule="auto"/>
        <w:rPr>
          <w:rFonts w:hint="eastAsia" w:asciiTheme="minorEastAsia" w:hAnsiTheme="minorEastAsia" w:eastAsiaTheme="minorEastAsia"/>
          <w:color w:val="000000"/>
          <w:sz w:val="32"/>
          <w:szCs w:val="32"/>
        </w:rPr>
      </w:pPr>
    </w:p>
    <w:p w14:paraId="56B44E6E">
      <w:pPr>
        <w:pStyle w:val="12"/>
        <w:adjustRightInd w:val="0"/>
        <w:snapToGrid w:val="0"/>
        <w:spacing w:line="360" w:lineRule="auto"/>
        <w:ind w:firstLine="1988" w:firstLineChars="660"/>
        <w:rPr>
          <w:rFonts w:hint="eastAsia" w:asciiTheme="minorEastAsia" w:hAnsiTheme="minorEastAsia" w:eastAsiaTheme="minorEastAsia"/>
          <w:b/>
          <w:bCs/>
          <w:sz w:val="30"/>
          <w:szCs w:val="30"/>
        </w:rPr>
      </w:pPr>
    </w:p>
    <w:p w14:paraId="68327AB6">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采购项目名称:</w:t>
      </w:r>
      <w:r>
        <w:rPr>
          <w:rFonts w:hint="eastAsia" w:asciiTheme="minorEastAsia" w:hAnsiTheme="minorEastAsia" w:eastAsiaTheme="minorEastAsia"/>
          <w:b/>
          <w:bCs/>
          <w:sz w:val="30"/>
          <w:szCs w:val="30"/>
          <w:u w:val="single"/>
        </w:rPr>
        <w:t xml:space="preserve">                       </w:t>
      </w:r>
    </w:p>
    <w:p w14:paraId="20109C5E">
      <w:pPr>
        <w:pStyle w:val="12"/>
        <w:adjustRightInd w:val="0"/>
        <w:snapToGrid w:val="0"/>
        <w:spacing w:line="360" w:lineRule="auto"/>
        <w:ind w:firstLine="1988" w:firstLineChars="660"/>
        <w:rPr>
          <w:rFonts w:hint="eastAsia" w:asciiTheme="minorEastAsia" w:hAnsiTheme="minorEastAsia" w:eastAsiaTheme="minorEastAsia"/>
          <w:b/>
          <w:bCs/>
          <w:sz w:val="30"/>
          <w:szCs w:val="30"/>
        </w:rPr>
      </w:pPr>
      <w:r>
        <w:rPr>
          <w:rFonts w:hint="eastAsia" w:asciiTheme="minorEastAsia" w:hAnsiTheme="minorEastAsia" w:eastAsiaTheme="minorEastAsia"/>
          <w:b/>
          <w:bCs/>
          <w:sz w:val="30"/>
          <w:szCs w:val="30"/>
        </w:rPr>
        <w:t>采   购   人：</w:t>
      </w:r>
      <w:r>
        <w:rPr>
          <w:rFonts w:hint="eastAsia" w:asciiTheme="minorEastAsia" w:hAnsiTheme="minorEastAsia" w:eastAsiaTheme="minorEastAsia"/>
          <w:b/>
          <w:bCs/>
          <w:sz w:val="30"/>
          <w:szCs w:val="30"/>
          <w:u w:val="single"/>
        </w:rPr>
        <w:t xml:space="preserve">                       </w:t>
      </w:r>
    </w:p>
    <w:p w14:paraId="534D0231">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政府采购编号:</w:t>
      </w:r>
      <w:r>
        <w:rPr>
          <w:rFonts w:hint="eastAsia" w:asciiTheme="minorEastAsia" w:hAnsiTheme="minorEastAsia" w:eastAsiaTheme="minorEastAsia"/>
          <w:b/>
          <w:bCs/>
          <w:sz w:val="30"/>
          <w:szCs w:val="30"/>
          <w:u w:val="single"/>
        </w:rPr>
        <w:t xml:space="preserve">                       </w:t>
      </w:r>
    </w:p>
    <w:p w14:paraId="1DD73018">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采购代理编号:</w:t>
      </w:r>
      <w:r>
        <w:rPr>
          <w:rFonts w:hint="eastAsia" w:asciiTheme="minorEastAsia" w:hAnsiTheme="minorEastAsia" w:eastAsiaTheme="minorEastAsia"/>
          <w:b/>
          <w:bCs/>
          <w:sz w:val="30"/>
          <w:szCs w:val="30"/>
          <w:u w:val="single"/>
        </w:rPr>
        <w:t xml:space="preserve">                       </w:t>
      </w:r>
    </w:p>
    <w:p w14:paraId="5F5EAE53">
      <w:pPr>
        <w:pStyle w:val="12"/>
        <w:adjustRightInd w:val="0"/>
        <w:snapToGrid w:val="0"/>
        <w:spacing w:line="360" w:lineRule="auto"/>
        <w:ind w:firstLine="1988" w:firstLineChars="660"/>
        <w:rPr>
          <w:rFonts w:hint="eastAsia" w:asciiTheme="minorEastAsia" w:hAnsiTheme="minorEastAsia" w:eastAsiaTheme="minorEastAsia"/>
          <w:b/>
          <w:bCs/>
          <w:sz w:val="30"/>
          <w:szCs w:val="30"/>
          <w:u w:val="single"/>
        </w:rPr>
      </w:pPr>
      <w:r>
        <w:rPr>
          <w:rFonts w:hint="eastAsia" w:asciiTheme="minorEastAsia" w:hAnsiTheme="minorEastAsia" w:eastAsiaTheme="minorEastAsia"/>
          <w:b/>
          <w:bCs/>
          <w:sz w:val="30"/>
          <w:szCs w:val="30"/>
        </w:rPr>
        <w:t>采购代理机构：</w:t>
      </w:r>
      <w:r>
        <w:rPr>
          <w:rFonts w:hint="eastAsia" w:asciiTheme="minorEastAsia" w:hAnsiTheme="minorEastAsia" w:eastAsiaTheme="minorEastAsia"/>
          <w:b/>
          <w:bCs/>
          <w:sz w:val="30"/>
          <w:szCs w:val="30"/>
          <w:u w:val="single"/>
        </w:rPr>
        <w:t xml:space="preserve">                     </w:t>
      </w:r>
    </w:p>
    <w:p w14:paraId="34B8E31C">
      <w:pPr>
        <w:adjustRightInd w:val="0"/>
        <w:snapToGrid w:val="0"/>
        <w:spacing w:line="360" w:lineRule="auto"/>
        <w:rPr>
          <w:rFonts w:hint="eastAsia" w:asciiTheme="minorEastAsia" w:hAnsiTheme="minorEastAsia" w:eastAsiaTheme="minorEastAsia"/>
          <w:color w:val="000000"/>
          <w:sz w:val="30"/>
          <w:szCs w:val="30"/>
        </w:rPr>
      </w:pPr>
    </w:p>
    <w:p w14:paraId="10560B9C">
      <w:pPr>
        <w:adjustRightInd w:val="0"/>
        <w:snapToGrid w:val="0"/>
        <w:spacing w:line="360" w:lineRule="auto"/>
        <w:rPr>
          <w:rFonts w:hint="eastAsia" w:asciiTheme="minorEastAsia" w:hAnsiTheme="minorEastAsia" w:eastAsiaTheme="minorEastAsia"/>
          <w:color w:val="000000"/>
          <w:sz w:val="30"/>
          <w:szCs w:val="30"/>
        </w:rPr>
      </w:pPr>
    </w:p>
    <w:p w14:paraId="629C16BB">
      <w:pPr>
        <w:adjustRightInd w:val="0"/>
        <w:snapToGrid w:val="0"/>
        <w:spacing w:line="360" w:lineRule="auto"/>
        <w:rPr>
          <w:rFonts w:hint="eastAsia" w:asciiTheme="minorEastAsia" w:hAnsiTheme="minorEastAsia" w:eastAsiaTheme="minorEastAsia"/>
          <w:color w:val="000000"/>
          <w:sz w:val="30"/>
          <w:szCs w:val="30"/>
        </w:rPr>
      </w:pPr>
    </w:p>
    <w:p w14:paraId="6472AA6A">
      <w:pPr>
        <w:adjustRightInd w:val="0"/>
        <w:snapToGrid w:val="0"/>
        <w:spacing w:line="360" w:lineRule="auto"/>
        <w:rPr>
          <w:rFonts w:hint="eastAsia" w:asciiTheme="minorEastAsia" w:hAnsiTheme="minorEastAsia" w:eastAsiaTheme="minorEastAsia"/>
          <w:color w:val="000000"/>
          <w:sz w:val="30"/>
          <w:szCs w:val="30"/>
        </w:rPr>
      </w:pPr>
    </w:p>
    <w:p w14:paraId="75A81367">
      <w:pPr>
        <w:adjustRightInd w:val="0"/>
        <w:snapToGrid w:val="0"/>
        <w:spacing w:line="360" w:lineRule="auto"/>
        <w:ind w:left="1273" w:leftChars="606" w:firstLine="2"/>
        <w:rPr>
          <w:rFonts w:hint="eastAsia" w:asciiTheme="minorEastAsia" w:hAnsiTheme="minorEastAsia" w:eastAsiaTheme="minorEastAsia"/>
          <w:color w:val="000000"/>
          <w:sz w:val="32"/>
          <w:szCs w:val="32"/>
          <w:u w:val="single"/>
        </w:rPr>
      </w:pPr>
      <w:r>
        <w:rPr>
          <w:rFonts w:hint="eastAsia" w:asciiTheme="minorEastAsia" w:hAnsiTheme="minorEastAsia" w:eastAsiaTheme="minorEastAsia"/>
          <w:color w:val="000000"/>
          <w:sz w:val="32"/>
          <w:szCs w:val="32"/>
        </w:rPr>
        <w:t>投标人</w:t>
      </w:r>
      <w:r>
        <w:rPr>
          <w:rFonts w:hint="eastAsia" w:asciiTheme="minorEastAsia" w:hAnsiTheme="minorEastAsia" w:eastAsiaTheme="minorEastAsia"/>
          <w:color w:val="000000"/>
          <w:sz w:val="32"/>
          <w:szCs w:val="32"/>
          <w:u w:val="single"/>
        </w:rPr>
        <w:t xml:space="preserve">                         </w:t>
      </w:r>
    </w:p>
    <w:p w14:paraId="170EB8CF">
      <w:pPr>
        <w:adjustRightInd w:val="0"/>
        <w:snapToGrid w:val="0"/>
        <w:spacing w:line="360" w:lineRule="auto"/>
        <w:jc w:val="center"/>
        <w:rPr>
          <w:rFonts w:hint="eastAsia" w:asciiTheme="minorEastAsia" w:hAnsiTheme="minorEastAsia" w:eastAsiaTheme="minorEastAsia"/>
          <w:color w:val="000000"/>
          <w:sz w:val="32"/>
          <w:szCs w:val="32"/>
        </w:rPr>
      </w:pPr>
      <w:r>
        <w:rPr>
          <w:rFonts w:hint="eastAsia" w:asciiTheme="minorEastAsia" w:hAnsiTheme="minorEastAsia" w:eastAsiaTheme="minorEastAsia"/>
          <w:color w:val="000000"/>
          <w:sz w:val="32"/>
          <w:szCs w:val="32"/>
        </w:rPr>
        <w:t>年  月  日</w:t>
      </w:r>
    </w:p>
    <w:p w14:paraId="6B141AA6">
      <w:pPr>
        <w:pStyle w:val="5"/>
        <w:adjustRightInd w:val="0"/>
        <w:snapToGrid w:val="0"/>
        <w:spacing w:before="0" w:after="0" w:line="360" w:lineRule="auto"/>
        <w:jc w:val="center"/>
        <w:rPr>
          <w:rFonts w:hint="eastAsia" w:ascii="黑体" w:hAnsi="宋体" w:eastAsia="黑体"/>
          <w:sz w:val="28"/>
          <w:szCs w:val="28"/>
        </w:rPr>
      </w:pPr>
      <w:bookmarkStart w:id="233" w:name="_Toc24305"/>
      <w:bookmarkStart w:id="234" w:name="_Toc29913961"/>
      <w:bookmarkStart w:id="235" w:name="_Toc9352"/>
      <w:r>
        <w:rPr>
          <w:rFonts w:hint="eastAsia" w:ascii="黑体" w:hAnsi="宋体" w:eastAsia="黑体"/>
          <w:sz w:val="28"/>
          <w:szCs w:val="28"/>
        </w:rPr>
        <w:t>五</w:t>
      </w:r>
      <w:r>
        <w:rPr>
          <w:rFonts w:ascii="黑体" w:hAnsi="宋体" w:eastAsia="黑体"/>
          <w:sz w:val="28"/>
          <w:szCs w:val="28"/>
        </w:rPr>
        <w:t>、</w:t>
      </w:r>
      <w:r>
        <w:rPr>
          <w:rFonts w:hint="eastAsia" w:ascii="黑体" w:hAnsi="宋体" w:eastAsia="黑体"/>
          <w:sz w:val="28"/>
          <w:szCs w:val="28"/>
        </w:rPr>
        <w:t>投标函</w:t>
      </w:r>
      <w:bookmarkEnd w:id="233"/>
      <w:bookmarkEnd w:id="234"/>
      <w:bookmarkEnd w:id="235"/>
    </w:p>
    <w:p w14:paraId="46B75CBB">
      <w:pPr>
        <w:adjustRightInd w:val="0"/>
        <w:snapToGrid w:val="0"/>
        <w:spacing w:before="156" w:beforeLines="50"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（采购人、采购代理机构）：</w:t>
      </w:r>
    </w:p>
    <w:p w14:paraId="00B47BD4">
      <w:pPr>
        <w:adjustRightInd w:val="0"/>
        <w:snapToGrid w:val="0"/>
        <w:spacing w:before="156" w:beforeLines="50" w:line="360" w:lineRule="auto"/>
        <w:ind w:firstLine="435"/>
        <w:rPr>
          <w:rFonts w:hint="eastAsia" w:asciiTheme="minorEastAsia" w:hAnsiTheme="minorEastAsia" w:eastAsiaTheme="minorEastAsia"/>
          <w:szCs w:val="21"/>
        </w:rPr>
      </w:pPr>
      <w:r>
        <w:rPr>
          <w:rFonts w:hint="eastAsia" w:asciiTheme="minorEastAsia" w:hAnsiTheme="minorEastAsia" w:eastAsiaTheme="minorEastAsia"/>
          <w:szCs w:val="21"/>
        </w:rPr>
        <w:t>根据贵方为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（项目名称）的投标邀请（</w:t>
      </w:r>
      <w:r>
        <w:rPr>
          <w:rFonts w:hint="eastAsia" w:asciiTheme="minorEastAsia" w:hAnsiTheme="minorEastAsia" w:eastAsiaTheme="minorEastAsia"/>
        </w:rPr>
        <w:t>政府</w:t>
      </w:r>
      <w:r>
        <w:rPr>
          <w:rFonts w:hint="eastAsia" w:asciiTheme="minorEastAsia" w:hAnsiTheme="minorEastAsia" w:eastAsiaTheme="minorEastAsia"/>
          <w:iCs/>
        </w:rPr>
        <w:t>采购编号：</w:t>
      </w:r>
      <w:r>
        <w:rPr>
          <w:rFonts w:hint="eastAsia" w:asciiTheme="minorEastAsia" w:hAnsiTheme="minorEastAsia" w:eastAsiaTheme="minorEastAsia"/>
          <w:iCs/>
          <w:u w:val="single"/>
        </w:rPr>
        <w:t xml:space="preserve">      </w:t>
      </w:r>
      <w:r>
        <w:rPr>
          <w:rFonts w:hint="eastAsia" w:asciiTheme="minorEastAsia" w:hAnsiTheme="minorEastAsia" w:eastAsiaTheme="minorEastAsia"/>
          <w:iCs/>
        </w:rPr>
        <w:t xml:space="preserve"> ，</w:t>
      </w: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），签字代表 </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（姓名、职务）经正式授权并代表投标人</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（投标人名称）提交包含下述内容的电子投标文件一份至郴州市公共资源交易中心政府采购电子交易系统，参加</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项目第</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包投标，并在此声明，所递交的投标文件内容合法、完整、真实。</w:t>
      </w:r>
    </w:p>
    <w:p w14:paraId="5D4D6D9E">
      <w:pPr>
        <w:adjustRightInd w:val="0"/>
        <w:snapToGrid w:val="0"/>
        <w:spacing w:before="156" w:beforeLines="50" w:line="360" w:lineRule="auto"/>
        <w:ind w:firstLine="422" w:firstLineChars="200"/>
        <w:rPr>
          <w:rFonts w:hint="eastAsia" w:asciiTheme="minorEastAsia" w:hAnsiTheme="minorEastAsia" w:eastAsiaTheme="minorEastAsia"/>
          <w:b/>
          <w:szCs w:val="21"/>
        </w:rPr>
      </w:pPr>
      <w:r>
        <w:rPr>
          <w:rFonts w:hint="eastAsia" w:asciiTheme="minorEastAsia" w:hAnsiTheme="minorEastAsia" w:eastAsiaTheme="minorEastAsia"/>
          <w:b/>
          <w:szCs w:val="21"/>
        </w:rPr>
        <w:t>第一部分 资格证明文件</w:t>
      </w:r>
    </w:p>
    <w:p w14:paraId="063D8E4D">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一、开标一览表</w:t>
      </w:r>
    </w:p>
    <w:p w14:paraId="6D24ED34">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二、法定代表人（单位负责人）身份证明或授权委托书</w:t>
      </w:r>
    </w:p>
    <w:p w14:paraId="34DCDD2F">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三、投标人提供的资格证明文件</w:t>
      </w:r>
    </w:p>
    <w:p w14:paraId="77C0CAA2">
      <w:pPr>
        <w:adjustRightInd w:val="0"/>
        <w:snapToGrid w:val="0"/>
        <w:spacing w:before="156" w:beforeLines="50" w:line="360" w:lineRule="auto"/>
        <w:ind w:firstLine="422" w:firstLineChars="200"/>
        <w:rPr>
          <w:rFonts w:hint="eastAsia" w:asciiTheme="minorEastAsia" w:hAnsiTheme="minorEastAsia" w:eastAsiaTheme="minorEastAsia"/>
          <w:b/>
          <w:szCs w:val="21"/>
        </w:rPr>
      </w:pPr>
      <w:r>
        <w:rPr>
          <w:rFonts w:hint="eastAsia" w:asciiTheme="minorEastAsia" w:hAnsiTheme="minorEastAsia" w:eastAsiaTheme="minorEastAsia"/>
          <w:b/>
          <w:szCs w:val="21"/>
        </w:rPr>
        <w:t>第二部分 商务技术文件</w:t>
      </w:r>
    </w:p>
    <w:p w14:paraId="5CB10327">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四、投标函</w:t>
      </w:r>
    </w:p>
    <w:p w14:paraId="4DA108F2">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五、分项报价</w:t>
      </w:r>
    </w:p>
    <w:p w14:paraId="59A2FE03">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六、采购需求响应</w:t>
      </w:r>
    </w:p>
    <w:p w14:paraId="4F99EC19">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七、合同条款偏离表</w:t>
      </w:r>
    </w:p>
    <w:p w14:paraId="02EEBB9B">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八、采购需求偏离表</w:t>
      </w:r>
    </w:p>
    <w:p w14:paraId="7824BE5F">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九、享受政府采购政策优惠的证明资料</w:t>
      </w:r>
    </w:p>
    <w:p w14:paraId="5419A60F">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十、投标服务符合招标文件规定的证明文件</w:t>
      </w:r>
    </w:p>
    <w:p w14:paraId="5FC5DDC4">
      <w:pPr>
        <w:adjustRightInd w:val="0"/>
        <w:snapToGrid w:val="0"/>
        <w:spacing w:before="156" w:beforeLines="50" w:line="360" w:lineRule="auto"/>
        <w:ind w:firstLine="630" w:firstLineChars="300"/>
        <w:rPr>
          <w:rFonts w:hint="eastAsia" w:asciiTheme="minorEastAsia" w:hAnsiTheme="minorEastAsia" w:eastAsiaTheme="minorEastAsia"/>
          <w:szCs w:val="21"/>
        </w:rPr>
      </w:pPr>
      <w:r>
        <w:rPr>
          <w:rFonts w:hint="eastAsia" w:asciiTheme="minorEastAsia" w:hAnsiTheme="minorEastAsia" w:eastAsiaTheme="minorEastAsia"/>
          <w:szCs w:val="21"/>
        </w:rPr>
        <w:t>十一、投标人认为需提供的其他资料</w:t>
      </w:r>
    </w:p>
    <w:p w14:paraId="3B9C8BE8">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在此，签字代表宣布同意如下：</w:t>
      </w:r>
    </w:p>
    <w:p w14:paraId="19B7F6FD">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1、投标人严格按照招标文件的规定报价，见《开标一览表》。</w:t>
      </w:r>
    </w:p>
    <w:p w14:paraId="1AC761BD">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2、投标人将按招标文件的规定履行合同责任和义务。</w:t>
      </w:r>
    </w:p>
    <w:p w14:paraId="735ECFA2">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3、投标人已详细审查招标文件。我们完全理解并同意放弃对这方面有不明及误解的权力。</w:t>
      </w:r>
    </w:p>
    <w:p w14:paraId="5FF0664E">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szCs w:val="21"/>
        </w:rPr>
        <w:t>4、本投标有效期为自招标文件规定的提交投标文件截止之日起</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个日历日。在投标有效期内，</w:t>
      </w:r>
      <w:r>
        <w:rPr>
          <w:rFonts w:hint="eastAsia" w:asciiTheme="minorEastAsia" w:hAnsiTheme="minorEastAsia" w:eastAsiaTheme="minorEastAsia"/>
        </w:rPr>
        <w:t>投标人同意遵守本</w:t>
      </w:r>
      <w:r>
        <w:rPr>
          <w:rFonts w:hint="eastAsia" w:asciiTheme="minorEastAsia" w:hAnsiTheme="minorEastAsia" w:eastAsiaTheme="minorEastAsia"/>
          <w:szCs w:val="21"/>
        </w:rPr>
        <w:t>投标</w:t>
      </w:r>
      <w:r>
        <w:rPr>
          <w:rFonts w:hint="eastAsia" w:asciiTheme="minorEastAsia" w:hAnsiTheme="minorEastAsia" w:eastAsiaTheme="minorEastAsia"/>
        </w:rPr>
        <w:t>文件中的承诺且在此期限期满之前</w:t>
      </w:r>
      <w:r>
        <w:rPr>
          <w:rFonts w:hint="eastAsia" w:asciiTheme="minorEastAsia" w:hAnsiTheme="minorEastAsia" w:eastAsiaTheme="minorEastAsia"/>
          <w:szCs w:val="21"/>
        </w:rPr>
        <w:t>投标</w:t>
      </w:r>
      <w:r>
        <w:rPr>
          <w:rFonts w:hint="eastAsia" w:asciiTheme="minorEastAsia" w:hAnsiTheme="minorEastAsia" w:eastAsiaTheme="minorEastAsia"/>
        </w:rPr>
        <w:t>文件</w:t>
      </w:r>
      <w:r>
        <w:rPr>
          <w:rFonts w:hint="eastAsia" w:asciiTheme="minorEastAsia" w:hAnsiTheme="minorEastAsia" w:eastAsiaTheme="minorEastAsia"/>
          <w:szCs w:val="21"/>
        </w:rPr>
        <w:t>对我方具有法律约束力</w:t>
      </w:r>
      <w:r>
        <w:rPr>
          <w:rFonts w:hint="eastAsia" w:asciiTheme="minorEastAsia" w:hAnsiTheme="minorEastAsia" w:eastAsiaTheme="minorEastAsia"/>
        </w:rPr>
        <w:t>。</w:t>
      </w:r>
    </w:p>
    <w:p w14:paraId="3C4CE376">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szCs w:val="21"/>
        </w:rPr>
        <w:t>同意提供贵方可能要求的与其投标有关的一切数据或资料。</w:t>
      </w:r>
    </w:p>
    <w:p w14:paraId="2E9699DC">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6、与本投标有关的一切正式往来信函请寄：</w:t>
      </w:r>
    </w:p>
    <w:p w14:paraId="7D703FC3">
      <w:pPr>
        <w:adjustRightInd w:val="0"/>
        <w:snapToGrid w:val="0"/>
        <w:spacing w:before="156" w:beforeLines="50" w:line="360" w:lineRule="auto"/>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地址：</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；邮编：</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；电话：</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；电子邮箱：</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 xml:space="preserve"> 。</w:t>
      </w:r>
    </w:p>
    <w:p w14:paraId="67CECB65">
      <w:pPr>
        <w:adjustRightInd w:val="0"/>
        <w:snapToGrid w:val="0"/>
        <w:spacing w:before="156" w:beforeLines="50" w:line="360" w:lineRule="auto"/>
        <w:ind w:firstLine="420" w:firstLineChars="200"/>
        <w:rPr>
          <w:rFonts w:hint="eastAsia" w:asciiTheme="minorEastAsia" w:hAnsiTheme="minorEastAsia" w:eastAsiaTheme="minorEastAsia"/>
          <w:szCs w:val="21"/>
        </w:rPr>
      </w:pPr>
    </w:p>
    <w:p w14:paraId="3F91BFEB">
      <w:pPr>
        <w:pStyle w:val="12"/>
        <w:adjustRightInd w:val="0"/>
        <w:snapToGrid w:val="0"/>
        <w:spacing w:before="156" w:beforeLines="50" w:line="360" w:lineRule="auto"/>
        <w:rPr>
          <w:rFonts w:hint="eastAsia" w:asciiTheme="minorEastAsia" w:hAnsiTheme="minorEastAsia" w:eastAsiaTheme="minorEastAsia"/>
        </w:rPr>
      </w:pPr>
    </w:p>
    <w:p w14:paraId="362E2F1B">
      <w:pPr>
        <w:pStyle w:val="12"/>
        <w:adjustRightInd w:val="0"/>
        <w:snapToGrid w:val="0"/>
        <w:spacing w:before="156" w:beforeLines="50" w:line="360" w:lineRule="auto"/>
        <w:rPr>
          <w:rFonts w:hint="eastAsia" w:asciiTheme="minorEastAsia" w:hAnsiTheme="minorEastAsia" w:eastAsiaTheme="minorEastAsia"/>
        </w:rPr>
      </w:pPr>
      <w:r>
        <w:rPr>
          <w:rFonts w:hint="eastAsia" w:asciiTheme="minorEastAsia" w:hAnsiTheme="minorEastAsia" w:eastAsiaTheme="minorEastAsia"/>
        </w:rPr>
        <w:t xml:space="preserve">投标人名称（盖单位电子章）：                       </w:t>
      </w:r>
    </w:p>
    <w:p w14:paraId="790309B0">
      <w:pPr>
        <w:adjustRightInd w:val="0"/>
        <w:snapToGrid w:val="0"/>
        <w:spacing w:before="156" w:beforeLines="50" w:line="360" w:lineRule="auto"/>
        <w:rPr>
          <w:rFonts w:hint="eastAsia" w:asciiTheme="minorEastAsia" w:hAnsiTheme="minorEastAsia" w:eastAsiaTheme="minorEastAsia"/>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Theme="minorEastAsia" w:hAnsiTheme="minorEastAsia" w:eastAsiaTheme="minorEastAsia"/>
          <w:szCs w:val="21"/>
        </w:rPr>
        <w:t>或其授权的代理人（签字或签章）：</w:t>
      </w:r>
      <w:r>
        <w:rPr>
          <w:rFonts w:hint="eastAsia" w:asciiTheme="minorEastAsia" w:hAnsiTheme="minorEastAsia" w:eastAsiaTheme="minorEastAsia"/>
          <w:szCs w:val="21"/>
          <w:u w:val="single"/>
        </w:rPr>
        <w:t xml:space="preserve">               </w:t>
      </w:r>
    </w:p>
    <w:p w14:paraId="7810C973">
      <w:pPr>
        <w:adjustRightInd w:val="0"/>
        <w:snapToGrid w:val="0"/>
        <w:spacing w:before="156" w:beforeLines="50" w:line="360" w:lineRule="auto"/>
        <w:rPr>
          <w:rFonts w:hint="eastAsia" w:ascii="黑体" w:hAnsi="宋体" w:eastAsia="黑体"/>
          <w:b/>
          <w:bCs/>
          <w:sz w:val="28"/>
          <w:szCs w:val="28"/>
        </w:rPr>
      </w:pPr>
      <w:r>
        <w:rPr>
          <w:rFonts w:hint="eastAsia" w:asciiTheme="minorEastAsia" w:hAnsiTheme="minorEastAsia" w:eastAsiaTheme="minorEastAsia"/>
          <w:szCs w:val="21"/>
        </w:rPr>
        <w:t>日期：</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年</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月</w:t>
      </w:r>
      <w:r>
        <w:rPr>
          <w:rFonts w:hint="eastAsia" w:asciiTheme="minorEastAsia" w:hAnsiTheme="minorEastAsia" w:eastAsiaTheme="minorEastAsia"/>
          <w:szCs w:val="21"/>
          <w:u w:val="single"/>
        </w:rPr>
        <w:t xml:space="preserve">     </w:t>
      </w:r>
      <w:r>
        <w:rPr>
          <w:rFonts w:hint="eastAsia" w:asciiTheme="minorEastAsia" w:hAnsiTheme="minorEastAsia" w:eastAsiaTheme="minorEastAsia"/>
          <w:szCs w:val="21"/>
        </w:rPr>
        <w:t>日</w:t>
      </w:r>
      <w:r>
        <w:rPr>
          <w:rFonts w:ascii="黑体" w:hAnsi="宋体" w:eastAsia="黑体"/>
          <w:b/>
          <w:bCs/>
          <w:sz w:val="28"/>
          <w:szCs w:val="28"/>
        </w:rPr>
        <w:br w:type="page"/>
      </w:r>
    </w:p>
    <w:p w14:paraId="3618E9EA">
      <w:pPr>
        <w:pStyle w:val="5"/>
        <w:adjustRightInd w:val="0"/>
        <w:snapToGrid w:val="0"/>
        <w:spacing w:before="0" w:after="0" w:line="360" w:lineRule="auto"/>
        <w:jc w:val="center"/>
        <w:rPr>
          <w:rFonts w:hint="eastAsia" w:ascii="黑体" w:hAnsi="宋体" w:eastAsia="黑体"/>
          <w:sz w:val="28"/>
          <w:szCs w:val="28"/>
        </w:rPr>
      </w:pPr>
      <w:bookmarkStart w:id="236" w:name="_Toc29913962"/>
      <w:bookmarkStart w:id="237" w:name="_Toc3485"/>
      <w:bookmarkStart w:id="238" w:name="_Toc8157"/>
      <w:r>
        <w:rPr>
          <w:rFonts w:hint="eastAsia" w:ascii="黑体" w:hAnsi="宋体" w:eastAsia="黑体"/>
          <w:sz w:val="28"/>
          <w:szCs w:val="28"/>
        </w:rPr>
        <w:t>六、分项报价</w:t>
      </w:r>
      <w:bookmarkEnd w:id="236"/>
      <w:bookmarkEnd w:id="237"/>
      <w:bookmarkEnd w:id="238"/>
    </w:p>
    <w:p w14:paraId="28C6AE36">
      <w:pPr>
        <w:pStyle w:val="7"/>
        <w:jc w:val="left"/>
        <w:rPr>
          <w:rFonts w:hint="eastAsia" w:ascii="黑体" w:cs="微软雅黑" w:hAnsiTheme="minorEastAsia"/>
          <w:b w:val="0"/>
          <w:kern w:val="0"/>
          <w:sz w:val="21"/>
          <w:szCs w:val="21"/>
        </w:rPr>
      </w:pPr>
      <w:bookmarkStart w:id="239" w:name="_Toc29913963"/>
      <w:bookmarkStart w:id="240" w:name="_Toc2213"/>
      <w:bookmarkStart w:id="241" w:name="_Toc32015"/>
      <w:r>
        <w:rPr>
          <w:rFonts w:hint="eastAsia" w:ascii="黑体" w:hAnsi="华文中宋" w:cs="宋体"/>
          <w:b w:val="0"/>
          <w:bCs w:val="0"/>
          <w:spacing w:val="6"/>
          <w:kern w:val="0"/>
          <w:sz w:val="21"/>
          <w:szCs w:val="21"/>
        </w:rPr>
        <w:t xml:space="preserve">附件6-1 </w:t>
      </w:r>
      <w:r>
        <w:rPr>
          <w:rFonts w:hint="eastAsia" w:ascii="黑体" w:cs="微软雅黑" w:hAnsiTheme="minorEastAsia"/>
          <w:b w:val="0"/>
          <w:spacing w:val="-2"/>
          <w:kern w:val="0"/>
          <w:sz w:val="21"/>
          <w:szCs w:val="21"/>
        </w:rPr>
        <w:t>分</w:t>
      </w:r>
      <w:r>
        <w:rPr>
          <w:rFonts w:hint="eastAsia" w:ascii="黑体" w:cs="微软雅黑" w:hAnsiTheme="minorEastAsia"/>
          <w:b w:val="0"/>
          <w:kern w:val="0"/>
          <w:sz w:val="21"/>
          <w:szCs w:val="21"/>
        </w:rPr>
        <w:t>项</w:t>
      </w:r>
      <w:r>
        <w:rPr>
          <w:rFonts w:hint="eastAsia" w:ascii="黑体" w:cs="微软雅黑" w:hAnsiTheme="minorEastAsia"/>
          <w:b w:val="0"/>
          <w:spacing w:val="-2"/>
          <w:kern w:val="0"/>
          <w:sz w:val="21"/>
          <w:szCs w:val="21"/>
        </w:rPr>
        <w:t>报</w:t>
      </w:r>
      <w:r>
        <w:rPr>
          <w:rFonts w:hint="eastAsia" w:ascii="黑体" w:cs="微软雅黑" w:hAnsiTheme="minorEastAsia"/>
          <w:b w:val="0"/>
          <w:kern w:val="0"/>
          <w:sz w:val="21"/>
          <w:szCs w:val="21"/>
        </w:rPr>
        <w:t>价说明</w:t>
      </w:r>
      <w:bookmarkEnd w:id="239"/>
      <w:bookmarkEnd w:id="240"/>
      <w:bookmarkEnd w:id="241"/>
      <w:r>
        <w:rPr>
          <w:rFonts w:hint="eastAsia" w:ascii="黑体" w:cs="微软雅黑" w:hAnsiTheme="minorEastAsia"/>
          <w:b w:val="0"/>
          <w:kern w:val="0"/>
          <w:sz w:val="21"/>
          <w:szCs w:val="21"/>
        </w:rPr>
        <w:t xml:space="preserve">  </w:t>
      </w:r>
    </w:p>
    <w:p w14:paraId="54F407DD">
      <w:pPr>
        <w:autoSpaceDE w:val="0"/>
        <w:autoSpaceDN w:val="0"/>
        <w:adjustRightInd w:val="0"/>
        <w:snapToGrid w:val="0"/>
        <w:spacing w:line="360" w:lineRule="auto"/>
        <w:jc w:val="center"/>
        <w:rPr>
          <w:rFonts w:hint="eastAsia" w:ascii="黑体" w:eastAsia="黑体" w:cs="微软雅黑" w:hAnsiTheme="minorEastAsia"/>
          <w:b/>
          <w:kern w:val="0"/>
          <w:sz w:val="28"/>
          <w:szCs w:val="28"/>
        </w:rPr>
      </w:pPr>
      <w:r>
        <w:rPr>
          <w:rFonts w:hint="eastAsia" w:ascii="黑体" w:eastAsia="黑体" w:cs="微软雅黑" w:hAnsiTheme="minorEastAsia"/>
          <w:b/>
          <w:spacing w:val="-2"/>
          <w:kern w:val="0"/>
          <w:sz w:val="28"/>
          <w:szCs w:val="28"/>
        </w:rPr>
        <w:t>分</w:t>
      </w:r>
      <w:r>
        <w:rPr>
          <w:rFonts w:hint="eastAsia" w:ascii="黑体" w:eastAsia="黑体" w:cs="微软雅黑" w:hAnsiTheme="minorEastAsia"/>
          <w:b/>
          <w:kern w:val="0"/>
          <w:sz w:val="28"/>
          <w:szCs w:val="28"/>
        </w:rPr>
        <w:t>项</w:t>
      </w:r>
      <w:r>
        <w:rPr>
          <w:rFonts w:hint="eastAsia" w:ascii="黑体" w:eastAsia="黑体" w:cs="微软雅黑" w:hAnsiTheme="minorEastAsia"/>
          <w:b/>
          <w:spacing w:val="-2"/>
          <w:kern w:val="0"/>
          <w:sz w:val="28"/>
          <w:szCs w:val="28"/>
        </w:rPr>
        <w:t>报</w:t>
      </w:r>
      <w:r>
        <w:rPr>
          <w:rFonts w:hint="eastAsia" w:ascii="黑体" w:eastAsia="黑体" w:cs="微软雅黑" w:hAnsiTheme="minorEastAsia"/>
          <w:b/>
          <w:kern w:val="0"/>
          <w:sz w:val="28"/>
          <w:szCs w:val="28"/>
        </w:rPr>
        <w:t>价说明</w:t>
      </w:r>
    </w:p>
    <w:p w14:paraId="1E1E8F48">
      <w:pPr>
        <w:autoSpaceDE w:val="0"/>
        <w:autoSpaceDN w:val="0"/>
        <w:adjustRightInd w:val="0"/>
        <w:snapToGrid w:val="0"/>
        <w:spacing w:line="360" w:lineRule="auto"/>
        <w:jc w:val="left"/>
        <w:rPr>
          <w:rFonts w:hint="eastAsia"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备注：投标人应按招标文件第二章相关要求，对本节</w:t>
      </w:r>
      <w:r>
        <w:rPr>
          <w:rFonts w:hint="eastAsia" w:asciiTheme="minorEastAsia" w:hAnsiTheme="minorEastAsia" w:eastAsiaTheme="minorEastAsia"/>
          <w:bCs/>
          <w:szCs w:val="21"/>
        </w:rPr>
        <w:t>“</w:t>
      </w:r>
      <w:r>
        <w:rPr>
          <w:rFonts w:hint="eastAsia" w:cs="微软雅黑" w:asciiTheme="minorEastAsia" w:hAnsiTheme="minorEastAsia" w:eastAsiaTheme="minorEastAsia"/>
          <w:kern w:val="0"/>
          <w:szCs w:val="21"/>
        </w:rPr>
        <w:t>分项报价明细表</w:t>
      </w:r>
      <w:r>
        <w:rPr>
          <w:rFonts w:hint="eastAsia" w:asciiTheme="minorEastAsia" w:hAnsiTheme="minorEastAsia" w:eastAsiaTheme="minorEastAsia"/>
          <w:bCs/>
          <w:szCs w:val="21"/>
        </w:rPr>
        <w:t>”进行</w:t>
      </w:r>
      <w:r>
        <w:rPr>
          <w:rFonts w:hint="eastAsia" w:cs="微软雅黑" w:asciiTheme="minorEastAsia" w:hAnsiTheme="minorEastAsia" w:eastAsiaTheme="minorEastAsia"/>
          <w:kern w:val="0"/>
          <w:szCs w:val="21"/>
        </w:rPr>
        <w:t>编制，并说明。</w:t>
      </w:r>
    </w:p>
    <w:p w14:paraId="7A14A26D"/>
    <w:p w14:paraId="763E0E4E">
      <w:pPr>
        <w:pStyle w:val="7"/>
        <w:spacing w:after="0" w:line="377" w:lineRule="auto"/>
        <w:jc w:val="left"/>
        <w:rPr>
          <w:rFonts w:hint="eastAsia" w:ascii="黑体" w:cs="微软雅黑" w:hAnsiTheme="minorEastAsia"/>
          <w:b w:val="0"/>
          <w:kern w:val="0"/>
          <w:position w:val="-3"/>
        </w:rPr>
      </w:pPr>
      <w:bookmarkStart w:id="242" w:name="_Toc29913964"/>
      <w:bookmarkStart w:id="243" w:name="_Toc8675"/>
      <w:bookmarkStart w:id="244" w:name="_Toc19912"/>
      <w:r>
        <w:rPr>
          <w:rFonts w:hint="eastAsia" w:ascii="黑体" w:hAnsi="华文中宋" w:cs="宋体"/>
          <w:b w:val="0"/>
          <w:bCs w:val="0"/>
          <w:spacing w:val="6"/>
          <w:kern w:val="0"/>
          <w:sz w:val="21"/>
          <w:szCs w:val="21"/>
        </w:rPr>
        <w:t xml:space="preserve">附件6-2 </w:t>
      </w:r>
      <w:r>
        <w:rPr>
          <w:rFonts w:hint="eastAsia" w:ascii="黑体" w:cs="微软雅黑" w:hAnsiTheme="minorEastAsia"/>
          <w:b w:val="0"/>
          <w:spacing w:val="-2"/>
          <w:kern w:val="0"/>
          <w:position w:val="-3"/>
          <w:sz w:val="21"/>
          <w:szCs w:val="21"/>
        </w:rPr>
        <w:t>分</w:t>
      </w:r>
      <w:r>
        <w:rPr>
          <w:rFonts w:hint="eastAsia" w:ascii="黑体" w:cs="微软雅黑" w:hAnsiTheme="minorEastAsia"/>
          <w:b w:val="0"/>
          <w:kern w:val="0"/>
          <w:position w:val="-3"/>
          <w:sz w:val="21"/>
          <w:szCs w:val="21"/>
        </w:rPr>
        <w:t>项</w:t>
      </w:r>
      <w:r>
        <w:rPr>
          <w:rFonts w:hint="eastAsia" w:ascii="黑体" w:cs="微软雅黑" w:hAnsiTheme="minorEastAsia"/>
          <w:b w:val="0"/>
          <w:spacing w:val="-2"/>
          <w:kern w:val="0"/>
          <w:position w:val="-3"/>
          <w:sz w:val="21"/>
          <w:szCs w:val="21"/>
        </w:rPr>
        <w:t>报</w:t>
      </w:r>
      <w:r>
        <w:rPr>
          <w:rFonts w:hint="eastAsia" w:ascii="黑体" w:cs="微软雅黑" w:hAnsiTheme="minorEastAsia"/>
          <w:b w:val="0"/>
          <w:kern w:val="0"/>
          <w:position w:val="-3"/>
          <w:sz w:val="21"/>
          <w:szCs w:val="21"/>
        </w:rPr>
        <w:t>价明细表</w:t>
      </w:r>
      <w:bookmarkEnd w:id="242"/>
      <w:r>
        <w:rPr>
          <w:rFonts w:hint="eastAsia" w:ascii="黑体" w:cs="微软雅黑" w:hAnsiTheme="minorEastAsia"/>
          <w:spacing w:val="-2"/>
          <w:kern w:val="0"/>
          <w:position w:val="-3"/>
        </w:rPr>
        <w:t>分</w:t>
      </w:r>
      <w:r>
        <w:rPr>
          <w:rFonts w:hint="eastAsia" w:ascii="黑体" w:cs="微软雅黑" w:hAnsiTheme="minorEastAsia"/>
          <w:kern w:val="0"/>
          <w:position w:val="-3"/>
        </w:rPr>
        <w:t>项</w:t>
      </w:r>
      <w:r>
        <w:rPr>
          <w:rFonts w:hint="eastAsia" w:ascii="黑体" w:cs="微软雅黑" w:hAnsiTheme="minorEastAsia"/>
          <w:spacing w:val="-2"/>
          <w:kern w:val="0"/>
          <w:position w:val="-3"/>
        </w:rPr>
        <w:t>报</w:t>
      </w:r>
      <w:r>
        <w:rPr>
          <w:rFonts w:hint="eastAsia" w:ascii="黑体" w:cs="微软雅黑" w:hAnsiTheme="minorEastAsia"/>
          <w:kern w:val="0"/>
          <w:position w:val="-3"/>
        </w:rPr>
        <w:t>价明细表</w:t>
      </w:r>
      <w:bookmarkEnd w:id="243"/>
      <w:bookmarkEnd w:id="244"/>
    </w:p>
    <w:p w14:paraId="1F0EED0D">
      <w:pPr>
        <w:adjustRightInd w:val="0"/>
        <w:snapToGrid w:val="0"/>
        <w:spacing w:line="360" w:lineRule="auto"/>
        <w:jc w:val="center"/>
        <w:rPr>
          <w:color w:val="0070C0"/>
        </w:rPr>
      </w:pPr>
    </w:p>
    <w:p w14:paraId="06A7017D">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405D2549">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包号：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w:t>
      </w:r>
    </w:p>
    <w:tbl>
      <w:tblPr>
        <w:tblStyle w:val="21"/>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4775B84">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459001F6">
            <w:pPr>
              <w:autoSpaceDE w:val="0"/>
              <w:autoSpaceDN w:val="0"/>
              <w:adjustRightInd w:val="0"/>
              <w:snapToGrid w:val="0"/>
              <w:spacing w:line="360" w:lineRule="auto"/>
              <w:ind w:right="-20"/>
              <w:jc w:val="center"/>
              <w:rPr>
                <w:rFonts w:hint="eastAsia"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7B028FFB">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服务内容</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1B479C7">
            <w:pPr>
              <w:autoSpaceDE w:val="0"/>
              <w:autoSpaceDN w:val="0"/>
              <w:adjustRightInd w:val="0"/>
              <w:snapToGrid w:val="0"/>
              <w:spacing w:line="360" w:lineRule="auto"/>
              <w:ind w:right="-20"/>
              <w:jc w:val="center"/>
              <w:rPr>
                <w:rFonts w:hint="eastAsia" w:ascii="宋体" w:hAnsi="宋体"/>
                <w:szCs w:val="21"/>
              </w:rPr>
            </w:pPr>
            <w:r>
              <w:rPr>
                <w:rFonts w:hint="eastAsia" w:ascii="宋体" w:hAnsi="宋体"/>
                <w:szCs w:val="21"/>
              </w:rPr>
              <w:t>服务周期</w:t>
            </w:r>
          </w:p>
        </w:tc>
        <w:tc>
          <w:tcPr>
            <w:tcW w:w="1092" w:type="dxa"/>
            <w:vMerge w:val="restart"/>
            <w:tcBorders>
              <w:top w:val="double" w:color="auto" w:sz="4" w:space="0"/>
              <w:left w:val="single" w:color="auto" w:sz="6" w:space="0"/>
              <w:right w:val="single" w:color="auto" w:sz="4" w:space="0"/>
            </w:tcBorders>
            <w:vAlign w:val="center"/>
          </w:tcPr>
          <w:p w14:paraId="21B7B795">
            <w:pPr>
              <w:autoSpaceDE w:val="0"/>
              <w:autoSpaceDN w:val="0"/>
              <w:adjustRightInd w:val="0"/>
              <w:snapToGrid w:val="0"/>
              <w:spacing w:line="360" w:lineRule="auto"/>
              <w:ind w:right="-20"/>
              <w:jc w:val="center"/>
              <w:rPr>
                <w:rFonts w:hint="eastAsia" w:cs="微软雅黑" w:asciiTheme="minorEastAsia" w:hAnsiTheme="minorEastAsia" w:eastAsiaTheme="minorEastAsia"/>
                <w:kern w:val="0"/>
                <w:position w:val="-1"/>
                <w:szCs w:val="21"/>
              </w:rPr>
            </w:pPr>
            <w:r>
              <w:rPr>
                <w:rFonts w:hint="eastAsia" w:asciiTheme="minorEastAsia" w:hAnsiTheme="minorEastAsia" w:eastAsiaTheme="minorEastAsia"/>
                <w:kern w:val="0"/>
                <w:szCs w:val="21"/>
              </w:rPr>
              <w:t>数量</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463DC794">
            <w:pPr>
              <w:autoSpaceDE w:val="0"/>
              <w:autoSpaceDN w:val="0"/>
              <w:adjustRightInd w:val="0"/>
              <w:snapToGrid w:val="0"/>
              <w:spacing w:line="360" w:lineRule="auto"/>
              <w:ind w:right="-20"/>
              <w:jc w:val="center"/>
              <w:rPr>
                <w:rFonts w:hint="eastAsia"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073201A">
            <w:pPr>
              <w:autoSpaceDE w:val="0"/>
              <w:autoSpaceDN w:val="0"/>
              <w:adjustRightInd w:val="0"/>
              <w:snapToGrid w:val="0"/>
              <w:spacing w:line="360" w:lineRule="auto"/>
              <w:ind w:right="-20"/>
              <w:jc w:val="center"/>
              <w:rPr>
                <w:rFonts w:hint="eastAsia" w:cs="微软雅黑" w:asciiTheme="minorEastAsia" w:hAnsiTheme="minorEastAsia" w:eastAsiaTheme="minorEastAsia"/>
                <w:kern w:val="0"/>
                <w:position w:val="-1"/>
                <w:szCs w:val="21"/>
              </w:rPr>
            </w:pPr>
            <w:r>
              <w:rPr>
                <w:rFonts w:hint="eastAsia" w:cs="微软雅黑" w:asciiTheme="minorEastAsia" w:hAnsiTheme="minorEastAsia" w:eastAsiaTheme="minorEastAsia"/>
                <w:kern w:val="0"/>
                <w:position w:val="-1"/>
                <w:szCs w:val="21"/>
              </w:rPr>
              <w:t>备注</w:t>
            </w:r>
          </w:p>
        </w:tc>
      </w:tr>
      <w:tr w14:paraId="2859B661">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41992838">
            <w:pPr>
              <w:autoSpaceDE w:val="0"/>
              <w:autoSpaceDN w:val="0"/>
              <w:adjustRightInd w:val="0"/>
              <w:snapToGrid w:val="0"/>
              <w:spacing w:line="360" w:lineRule="auto"/>
              <w:ind w:left="352" w:right="-20"/>
              <w:jc w:val="left"/>
              <w:rPr>
                <w:rFonts w:hint="eastAsia" w:asciiTheme="minorEastAsia" w:hAnsiTheme="minorEastAsia" w:eastAsia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7185491">
            <w:pPr>
              <w:autoSpaceDE w:val="0"/>
              <w:autoSpaceDN w:val="0"/>
              <w:adjustRightInd w:val="0"/>
              <w:snapToGrid w:val="0"/>
              <w:spacing w:line="360" w:lineRule="auto"/>
              <w:ind w:right="-20"/>
              <w:jc w:val="center"/>
              <w:rPr>
                <w:rFonts w:hint="eastAsia" w:asciiTheme="minorEastAsia" w:hAnsiTheme="minorEastAsia" w:eastAsia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D717796">
            <w:pPr>
              <w:autoSpaceDE w:val="0"/>
              <w:autoSpaceDN w:val="0"/>
              <w:adjustRightInd w:val="0"/>
              <w:snapToGrid w:val="0"/>
              <w:spacing w:line="360" w:lineRule="auto"/>
              <w:ind w:right="-20"/>
              <w:jc w:val="center"/>
              <w:rPr>
                <w:rFonts w:hint="eastAsia" w:asciiTheme="minorEastAsia" w:hAnsiTheme="minorEastAsia" w:eastAsia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7ED2795">
            <w:pPr>
              <w:autoSpaceDE w:val="0"/>
              <w:autoSpaceDN w:val="0"/>
              <w:adjustRightInd w:val="0"/>
              <w:snapToGrid w:val="0"/>
              <w:spacing w:line="360" w:lineRule="auto"/>
              <w:ind w:right="-20"/>
              <w:jc w:val="center"/>
              <w:rPr>
                <w:rFonts w:hint="eastAsia"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4723DB72">
            <w:pPr>
              <w:autoSpaceDE w:val="0"/>
              <w:autoSpaceDN w:val="0"/>
              <w:adjustRightInd w:val="0"/>
              <w:snapToGrid w:val="0"/>
              <w:spacing w:line="360" w:lineRule="auto"/>
              <w:ind w:right="-20"/>
              <w:jc w:val="center"/>
              <w:rPr>
                <w:rFonts w:hint="eastAsia" w:asciiTheme="minorEastAsia" w:hAnsiTheme="minorEastAsia" w:eastAsiaTheme="minorEastAsia"/>
                <w:kern w:val="0"/>
                <w:szCs w:val="21"/>
              </w:rPr>
            </w:pPr>
            <w:r>
              <w:rPr>
                <w:rFonts w:hint="eastAsia" w:cs="微软雅黑" w:asciiTheme="minorEastAsia" w:hAnsiTheme="minorEastAsia" w:eastAsia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4F3B4F3B">
            <w:pPr>
              <w:autoSpaceDE w:val="0"/>
              <w:autoSpaceDN w:val="0"/>
              <w:adjustRightInd w:val="0"/>
              <w:snapToGrid w:val="0"/>
              <w:spacing w:line="360" w:lineRule="auto"/>
              <w:ind w:left="70" w:right="-20"/>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4736FFD">
            <w:pPr>
              <w:autoSpaceDE w:val="0"/>
              <w:autoSpaceDN w:val="0"/>
              <w:adjustRightInd w:val="0"/>
              <w:snapToGrid w:val="0"/>
              <w:spacing w:line="360" w:lineRule="auto"/>
              <w:ind w:left="422" w:right="-20"/>
              <w:jc w:val="left"/>
              <w:rPr>
                <w:rFonts w:hint="eastAsia" w:asciiTheme="minorEastAsia" w:hAnsiTheme="minorEastAsia" w:eastAsiaTheme="minorEastAsia"/>
                <w:kern w:val="0"/>
                <w:szCs w:val="21"/>
              </w:rPr>
            </w:pPr>
          </w:p>
        </w:tc>
      </w:tr>
      <w:tr w14:paraId="271B5405">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7E01B9C3">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14:paraId="07D8BCDF">
            <w:pPr>
              <w:autoSpaceDE w:val="0"/>
              <w:autoSpaceDN w:val="0"/>
              <w:adjustRightInd w:val="0"/>
              <w:snapToGrid w:val="0"/>
              <w:spacing w:line="360" w:lineRule="auto"/>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EEC11E8">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214EE8B">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2C576D6">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C69DB8D">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A49DEE0">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44EDF57">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457B7C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87B9206">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14:paraId="47332D30">
            <w:pPr>
              <w:autoSpaceDE w:val="0"/>
              <w:autoSpaceDN w:val="0"/>
              <w:adjustRightInd w:val="0"/>
              <w:snapToGrid w:val="0"/>
              <w:spacing w:line="360" w:lineRule="auto"/>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5B0A2DA">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2691D555">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E985D07">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7469C80">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9BBC3BF">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9F2EE22">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54E18F6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BE7BACA">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14:paraId="5D5E53FD">
            <w:pPr>
              <w:autoSpaceDE w:val="0"/>
              <w:autoSpaceDN w:val="0"/>
              <w:adjustRightInd w:val="0"/>
              <w:snapToGrid w:val="0"/>
              <w:spacing w:line="360" w:lineRule="auto"/>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B65BE83">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A81A7C4">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1A9CF73">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3257F76">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5436D72">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68445E0">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5893DE31">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B0CF4ED">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14:paraId="59C23F52">
            <w:pPr>
              <w:autoSpaceDE w:val="0"/>
              <w:autoSpaceDN w:val="0"/>
              <w:adjustRightInd w:val="0"/>
              <w:snapToGrid w:val="0"/>
              <w:spacing w:line="360" w:lineRule="auto"/>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A49590">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F18A5E4">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3D4F564">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7A08248">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6CFF81B">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83BDE95">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314972AD">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393EA4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14:paraId="152D7B48">
            <w:pPr>
              <w:autoSpaceDE w:val="0"/>
              <w:autoSpaceDN w:val="0"/>
              <w:adjustRightInd w:val="0"/>
              <w:snapToGrid w:val="0"/>
              <w:spacing w:line="360" w:lineRule="auto"/>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D44351">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E1EFE68">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6481F34">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14:paraId="59E25EFC">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1E344119">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D51F525">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4A81C033">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1D93F76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401FD9A0">
            <w:pPr>
              <w:autoSpaceDE w:val="0"/>
              <w:autoSpaceDN w:val="0"/>
              <w:adjustRightInd w:val="0"/>
              <w:snapToGrid w:val="0"/>
              <w:spacing w:line="360" w:lineRule="auto"/>
              <w:ind w:left="527" w:right="507"/>
              <w:jc w:val="center"/>
              <w:rPr>
                <w:rFonts w:hint="eastAsia" w:asciiTheme="minorEastAsia" w:hAnsiTheme="minorEastAsia" w:eastAsia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D1C6DE1">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6BB8D2D">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1BAC8C0">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tcPr>
          <w:p w14:paraId="385E307C">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66C80E3">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C99B15B">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r w14:paraId="58FFC1C6">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F21E745">
            <w:pPr>
              <w:autoSpaceDE w:val="0"/>
              <w:autoSpaceDN w:val="0"/>
              <w:adjustRightInd w:val="0"/>
              <w:snapToGrid w:val="0"/>
              <w:spacing w:line="360" w:lineRule="auto"/>
              <w:jc w:val="center"/>
              <w:rPr>
                <w:rFonts w:hint="eastAsia" w:asciiTheme="minorEastAsia" w:hAnsiTheme="minorEastAsia" w:eastAsiaTheme="minorEastAsia"/>
                <w:kern w:val="0"/>
                <w:szCs w:val="21"/>
              </w:rPr>
            </w:pPr>
            <w:r>
              <w:rPr>
                <w:rFonts w:hint="eastAsia" w:cs="微软雅黑" w:asciiTheme="minorEastAsia" w:hAnsiTheme="minorEastAsia" w:eastAsiaTheme="minorEastAsia"/>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3FFF7A70">
            <w:pPr>
              <w:autoSpaceDE w:val="0"/>
              <w:autoSpaceDN w:val="0"/>
              <w:adjustRightInd w:val="0"/>
              <w:snapToGrid w:val="0"/>
              <w:spacing w:line="360" w:lineRule="auto"/>
              <w:jc w:val="left"/>
              <w:rPr>
                <w:rFonts w:hint="eastAsia" w:asciiTheme="minorEastAsia" w:hAnsiTheme="minorEastAsia" w:eastAsia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tcPr>
          <w:p w14:paraId="0A5C2BD2">
            <w:pPr>
              <w:autoSpaceDE w:val="0"/>
              <w:autoSpaceDN w:val="0"/>
              <w:adjustRightInd w:val="0"/>
              <w:snapToGrid w:val="0"/>
              <w:spacing w:line="360" w:lineRule="auto"/>
              <w:jc w:val="left"/>
              <w:rPr>
                <w:rFonts w:hint="eastAsia" w:asciiTheme="minorEastAsia" w:hAnsiTheme="minorEastAsia" w:eastAsiaTheme="minorEastAsia"/>
                <w:kern w:val="0"/>
                <w:szCs w:val="21"/>
              </w:rPr>
            </w:pPr>
          </w:p>
        </w:tc>
      </w:tr>
    </w:tbl>
    <w:p w14:paraId="1BCCE767">
      <w:pPr>
        <w:adjustRightInd w:val="0"/>
        <w:snapToGrid w:val="0"/>
        <w:spacing w:line="360" w:lineRule="auto"/>
        <w:rPr>
          <w:rFonts w:hint="eastAsia" w:ascii="宋体" w:hAnsi="宋体"/>
          <w:szCs w:val="21"/>
        </w:rPr>
      </w:pPr>
      <w:r>
        <w:rPr>
          <w:rFonts w:hint="eastAsia" w:ascii="宋体" w:hAnsi="宋体"/>
          <w:szCs w:val="21"/>
        </w:rPr>
        <w:t>备注：</w:t>
      </w:r>
      <w:r>
        <w:rPr>
          <w:rFonts w:hint="eastAsia" w:asciiTheme="minorEastAsia" w:hAnsiTheme="minorEastAsia" w:eastAsiaTheme="minorEastAsia"/>
          <w:szCs w:val="21"/>
        </w:rPr>
        <w:t>（1）</w:t>
      </w:r>
      <w:r>
        <w:rPr>
          <w:rFonts w:hint="eastAsia" w:asciiTheme="minorEastAsia" w:hAnsiTheme="minorEastAsia" w:eastAsiaTheme="minorEastAsia"/>
          <w:b/>
          <w:szCs w:val="21"/>
        </w:rPr>
        <w:t>本表应对应</w:t>
      </w:r>
      <w:r>
        <w:rPr>
          <w:rFonts w:hint="eastAsia" w:ascii="宋体" w:hAnsi="宋体"/>
          <w:szCs w:val="21"/>
        </w:rPr>
        <w:t>“</w:t>
      </w:r>
      <w:r>
        <w:rPr>
          <w:rFonts w:hint="eastAsia" w:asciiTheme="minorEastAsia" w:hAnsiTheme="minorEastAsia" w:eastAsiaTheme="minorEastAsia"/>
          <w:b/>
          <w:szCs w:val="21"/>
        </w:rPr>
        <w:t>开标一览表</w:t>
      </w:r>
      <w:r>
        <w:rPr>
          <w:rFonts w:hint="eastAsia" w:ascii="宋体" w:hAnsi="宋体"/>
          <w:szCs w:val="21"/>
        </w:rPr>
        <w:t>”</w:t>
      </w:r>
      <w:r>
        <w:rPr>
          <w:rFonts w:hint="eastAsia" w:asciiTheme="minorEastAsia" w:hAnsiTheme="minorEastAsia" w:eastAsiaTheme="minorEastAsia"/>
          <w:b/>
          <w:szCs w:val="21"/>
        </w:rPr>
        <w:t>，按包填写</w:t>
      </w:r>
      <w:r>
        <w:rPr>
          <w:rFonts w:hint="eastAsia" w:asciiTheme="minorEastAsia" w:hAnsiTheme="minorEastAsia" w:eastAsiaTheme="minorEastAsia"/>
          <w:szCs w:val="21"/>
        </w:rPr>
        <w:t>。</w:t>
      </w:r>
      <w:r>
        <w:rPr>
          <w:rFonts w:hint="eastAsia" w:ascii="宋体" w:hAnsi="宋体"/>
          <w:szCs w:val="21"/>
        </w:rPr>
        <w:t>投标人如果不提供分项报价明细表，其</w:t>
      </w:r>
      <w:r>
        <w:rPr>
          <w:rFonts w:hint="eastAsia" w:ascii="宋体" w:hAnsi="宋体"/>
          <w:b/>
          <w:szCs w:val="21"/>
        </w:rPr>
        <w:t>投标无效</w:t>
      </w:r>
      <w:r>
        <w:rPr>
          <w:rFonts w:hint="eastAsia" w:ascii="宋体" w:hAnsi="宋体"/>
          <w:szCs w:val="21"/>
        </w:rPr>
        <w:t>。</w:t>
      </w:r>
    </w:p>
    <w:p w14:paraId="39E2AF68">
      <w:pPr>
        <w:adjustRightInd w:val="0"/>
        <w:snapToGrid w:val="0"/>
        <w:spacing w:line="360" w:lineRule="auto"/>
        <w:ind w:firstLine="420" w:firstLineChars="200"/>
        <w:rPr>
          <w:rFonts w:hint="eastAsia" w:ascii="宋体" w:hAnsi="宋体"/>
          <w:szCs w:val="21"/>
        </w:rPr>
      </w:pPr>
      <w:r>
        <w:rPr>
          <w:rFonts w:hint="eastAsia" w:asciiTheme="minorEastAsia" w:hAnsiTheme="minorEastAsia" w:eastAsiaTheme="minorEastAsia"/>
          <w:szCs w:val="21"/>
        </w:rPr>
        <w:t>（2）</w:t>
      </w:r>
      <w:r>
        <w:rPr>
          <w:rFonts w:hint="eastAsia" w:ascii="宋体" w:hAnsi="宋体"/>
          <w:szCs w:val="21"/>
        </w:rPr>
        <w:t>不得填写“免费”或“赠与”，也不得进行“零”报价，否则</w:t>
      </w:r>
      <w:r>
        <w:rPr>
          <w:rFonts w:hint="eastAsia" w:ascii="宋体" w:hAnsi="宋体"/>
          <w:b/>
          <w:szCs w:val="21"/>
        </w:rPr>
        <w:t>投标无效</w:t>
      </w:r>
      <w:r>
        <w:rPr>
          <w:rFonts w:hint="eastAsia" w:ascii="宋体" w:hAnsi="宋体"/>
          <w:szCs w:val="21"/>
        </w:rPr>
        <w:t>。</w:t>
      </w:r>
    </w:p>
    <w:p w14:paraId="68C6960D">
      <w:pPr>
        <w:adjustRightInd w:val="0"/>
        <w:snapToGrid w:val="0"/>
        <w:spacing w:line="360" w:lineRule="auto"/>
        <w:ind w:firstLine="420" w:firstLineChars="200"/>
        <w:rPr>
          <w:rFonts w:hint="eastAsia" w:ascii="宋体" w:hAnsi="宋体"/>
          <w:szCs w:val="21"/>
        </w:rPr>
      </w:pPr>
      <w:r>
        <w:rPr>
          <w:rFonts w:hint="eastAsia" w:asciiTheme="minorEastAsia" w:hAnsiTheme="minorEastAsia" w:eastAsiaTheme="minorEastAsia"/>
          <w:szCs w:val="21"/>
        </w:rPr>
        <w:t>（3）</w:t>
      </w:r>
      <w:r>
        <w:rPr>
          <w:rFonts w:hint="eastAsia" w:ascii="宋体" w:hAnsi="宋体"/>
          <w:szCs w:val="21"/>
        </w:rPr>
        <w:t>如果开标一览表内容与本表内容不一致的，以开标一览表内容为准。</w:t>
      </w:r>
    </w:p>
    <w:p w14:paraId="39BC8AB5">
      <w:pPr>
        <w:adjustRightInd w:val="0"/>
        <w:snapToGrid w:val="0"/>
        <w:spacing w:line="360" w:lineRule="auto"/>
        <w:ind w:firstLine="420" w:firstLineChars="200"/>
        <w:rPr>
          <w:rFonts w:hint="eastAsia" w:ascii="宋体" w:hAnsi="宋体"/>
          <w:szCs w:val="21"/>
        </w:rPr>
      </w:pPr>
      <w:r>
        <w:rPr>
          <w:rFonts w:hint="eastAsia" w:asciiTheme="minorEastAsia" w:hAnsiTheme="minorEastAsia" w:eastAsiaTheme="minorEastAsia"/>
          <w:szCs w:val="21"/>
        </w:rPr>
        <w:t>（4）</w:t>
      </w:r>
      <w:r>
        <w:rPr>
          <w:rFonts w:hint="eastAsia" w:asciiTheme="minorEastAsia" w:hAnsiTheme="minorEastAsia" w:eastAsiaTheme="minorEastAsia"/>
          <w:bCs/>
          <w:szCs w:val="21"/>
        </w:rPr>
        <w:t>投标人在投标截止时间前修改“开标一览表”中的投标报价的，应按第二章第13.7款规定修改本表相应内容。否则，</w:t>
      </w:r>
      <w:r>
        <w:rPr>
          <w:rFonts w:hint="eastAsia" w:ascii="宋体" w:hAnsi="宋体"/>
          <w:szCs w:val="21"/>
        </w:rPr>
        <w:t>本表相应内容按投标报价修改的相同比例进行调整。</w:t>
      </w:r>
    </w:p>
    <w:p w14:paraId="4AED2D52">
      <w:pPr>
        <w:adjustRightInd w:val="0"/>
        <w:snapToGrid w:val="0"/>
        <w:spacing w:line="360" w:lineRule="auto"/>
        <w:ind w:firstLine="422" w:firstLineChars="200"/>
        <w:rPr>
          <w:rFonts w:hint="eastAsia" w:asciiTheme="minorEastAsia" w:hAnsiTheme="minorEastAsia" w:eastAsiaTheme="minorEastAsia"/>
          <w:b/>
          <w:szCs w:val="21"/>
        </w:rPr>
      </w:pPr>
    </w:p>
    <w:p w14:paraId="5A2051D8">
      <w:pPr>
        <w:adjustRightInd w:val="0"/>
        <w:snapToGrid w:val="0"/>
        <w:spacing w:line="360" w:lineRule="auto"/>
        <w:rPr>
          <w:rFonts w:hint="eastAsia" w:ascii="宋体" w:hAnsi="宋体"/>
          <w:szCs w:val="21"/>
        </w:rPr>
      </w:pPr>
    </w:p>
    <w:p w14:paraId="035252AE">
      <w:pPr>
        <w:adjustRightInd w:val="0"/>
        <w:snapToGrid w:val="0"/>
        <w:spacing w:line="360" w:lineRule="auto"/>
        <w:rPr>
          <w:rFonts w:hint="eastAsia" w:ascii="宋体" w:hAnsi="宋体"/>
          <w:szCs w:val="21"/>
        </w:rPr>
      </w:pPr>
      <w:r>
        <w:rPr>
          <w:rFonts w:hint="eastAsia" w:ascii="宋体" w:hAnsi="宋体"/>
          <w:szCs w:val="21"/>
        </w:rPr>
        <w:t>投标人名称（盖单位电子章）：</w:t>
      </w:r>
    </w:p>
    <w:p w14:paraId="28424E07">
      <w:pPr>
        <w:adjustRightInd w:val="0"/>
        <w:snapToGrid w:val="0"/>
        <w:spacing w:line="360" w:lineRule="auto"/>
        <w:rPr>
          <w:rFonts w:hint="eastAsia"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793030FA">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94F2A94">
      <w:pPr>
        <w:adjustRightInd w:val="0"/>
        <w:snapToGrid w:val="0"/>
        <w:spacing w:line="360" w:lineRule="auto"/>
        <w:rPr>
          <w:rFonts w:hint="eastAsia" w:ascii="宋体" w:hAnsi="宋体"/>
          <w:szCs w:val="21"/>
        </w:rPr>
        <w:sectPr>
          <w:headerReference r:id="rId6" w:type="default"/>
          <w:pgSz w:w="11906" w:h="16838"/>
          <w:pgMar w:top="1474" w:right="1474" w:bottom="1474" w:left="1588" w:header="851" w:footer="992" w:gutter="0"/>
          <w:pgNumType w:fmt="decimal"/>
          <w:cols w:space="720" w:num="1"/>
          <w:docGrid w:type="lines" w:linePitch="312" w:charSpace="0"/>
        </w:sectPr>
      </w:pPr>
    </w:p>
    <w:p w14:paraId="79248C68">
      <w:pPr>
        <w:adjustRightInd w:val="0"/>
        <w:snapToGrid w:val="0"/>
        <w:spacing w:line="360" w:lineRule="auto"/>
        <w:rPr>
          <w:rFonts w:hint="eastAsia" w:ascii="宋体" w:hAnsi="宋体"/>
          <w:szCs w:val="21"/>
        </w:rPr>
      </w:pPr>
    </w:p>
    <w:p w14:paraId="75FC991D">
      <w:pPr>
        <w:pStyle w:val="5"/>
        <w:adjustRightInd w:val="0"/>
        <w:snapToGrid w:val="0"/>
        <w:spacing w:before="0" w:after="0" w:line="360" w:lineRule="auto"/>
        <w:jc w:val="center"/>
        <w:rPr>
          <w:rFonts w:hint="eastAsia" w:ascii="黑体" w:hAnsi="宋体" w:eastAsia="黑体"/>
          <w:color w:val="8497B0" w:themeColor="text2" w:themeTint="99"/>
          <w:sz w:val="44"/>
          <w:szCs w:val="44"/>
          <w14:textFill>
            <w14:solidFill>
              <w14:schemeClr w14:val="tx2">
                <w14:lumMod w14:val="60000"/>
                <w14:lumOff w14:val="40000"/>
              </w14:schemeClr>
            </w14:solidFill>
          </w14:textFill>
        </w:rPr>
      </w:pPr>
      <w:bookmarkStart w:id="245" w:name="_Toc2593"/>
      <w:bookmarkStart w:id="246" w:name="_Toc28564"/>
      <w:bookmarkStart w:id="247" w:name="_Toc29913967"/>
      <w:r>
        <w:rPr>
          <w:rFonts w:hint="eastAsia" w:ascii="黑体" w:hAnsi="宋体" w:eastAsia="黑体"/>
          <w:sz w:val="28"/>
          <w:szCs w:val="28"/>
        </w:rPr>
        <w:t>七、采购需求响应</w:t>
      </w:r>
      <w:bookmarkEnd w:id="245"/>
      <w:bookmarkEnd w:id="246"/>
    </w:p>
    <w:p w14:paraId="6152F659">
      <w:pPr>
        <w:adjustRightInd w:val="0"/>
        <w:snapToGrid w:val="0"/>
        <w:spacing w:line="360" w:lineRule="auto"/>
        <w:rPr>
          <w:rFonts w:hint="eastAsia" w:asciiTheme="minorEastAsia" w:hAnsiTheme="minorEastAsia" w:eastAsiaTheme="minorEastAsia"/>
          <w:b/>
          <w:szCs w:val="21"/>
        </w:rPr>
      </w:pPr>
    </w:p>
    <w:p w14:paraId="02B8C0CE">
      <w:pPr>
        <w:adjustRightInd w:val="0"/>
        <w:snapToGrid w:val="0"/>
        <w:spacing w:line="360" w:lineRule="auto"/>
        <w:rPr>
          <w:b/>
        </w:rPr>
      </w:pPr>
      <w:r>
        <w:rPr>
          <w:rFonts w:hint="eastAsia" w:asciiTheme="minorEastAsia" w:hAnsiTheme="minorEastAsia" w:eastAsiaTheme="minorEastAsia"/>
          <w:b/>
          <w:szCs w:val="21"/>
        </w:rPr>
        <w:t>编制说明</w:t>
      </w:r>
      <w:r>
        <w:rPr>
          <w:rFonts w:hint="eastAsia" w:asciiTheme="minorEastAsia" w:hAnsiTheme="minorEastAsia" w:eastAsiaTheme="minorEastAsia"/>
          <w:bCs/>
          <w:szCs w:val="21"/>
        </w:rPr>
        <w:t>：</w:t>
      </w:r>
      <w:r>
        <w:rPr>
          <w:rFonts w:hint="eastAsia"/>
          <w:b/>
        </w:rPr>
        <w:t>投标人应按招标文件第五章采购需求自行编写采购需求响应文件（其内容可包括，且不限于详细的技术指标和服务的组织及保证措施等，格式自拟</w:t>
      </w:r>
      <w:r>
        <w:rPr>
          <w:rFonts w:hint="eastAsia"/>
          <w:b/>
          <w:lang w:val="en-US" w:eastAsia="zh-CN"/>
        </w:rPr>
        <w:t>,</w:t>
      </w:r>
      <w:r>
        <w:rPr>
          <w:rFonts w:hint="eastAsia"/>
          <w:b/>
        </w:rPr>
        <w:t>）。</w:t>
      </w:r>
    </w:p>
    <w:p w14:paraId="03B78617">
      <w:pPr>
        <w:pStyle w:val="13"/>
        <w:adjustRightInd w:val="0"/>
        <w:snapToGrid w:val="0"/>
        <w:spacing w:line="360" w:lineRule="auto"/>
        <w:ind w:left="-88" w:leftChars="-42"/>
        <w:rPr>
          <w:rFonts w:hint="eastAsia" w:ascii="宋体" w:hAnsi="宋体"/>
          <w:bCs/>
          <w:sz w:val="21"/>
          <w:szCs w:val="21"/>
        </w:rPr>
      </w:pPr>
    </w:p>
    <w:p w14:paraId="0806192E"/>
    <w:p w14:paraId="42477D07"/>
    <w:p w14:paraId="7ECF72FA">
      <w:pPr>
        <w:pStyle w:val="13"/>
        <w:tabs>
          <w:tab w:val="left" w:pos="6208"/>
        </w:tabs>
        <w:adjustRightInd w:val="0"/>
        <w:snapToGrid w:val="0"/>
        <w:spacing w:line="360" w:lineRule="auto"/>
        <w:ind w:left="-88" w:leftChars="-42"/>
        <w:rPr>
          <w:rFonts w:hint="eastAsia" w:ascii="宋体" w:hAnsi="宋体"/>
          <w:bCs/>
          <w:sz w:val="21"/>
          <w:szCs w:val="21"/>
        </w:rPr>
      </w:pPr>
    </w:p>
    <w:p w14:paraId="3ECDCB28">
      <w:pPr>
        <w:adjustRightInd w:val="0"/>
        <w:snapToGrid w:val="0"/>
        <w:spacing w:line="360" w:lineRule="auto"/>
        <w:rPr>
          <w:rFonts w:hint="eastAsia" w:ascii="宋体" w:hAnsi="宋体"/>
          <w:szCs w:val="21"/>
        </w:rPr>
      </w:pPr>
    </w:p>
    <w:p w14:paraId="3AB64951">
      <w:pPr>
        <w:adjustRightInd w:val="0"/>
        <w:snapToGrid w:val="0"/>
        <w:spacing w:line="360" w:lineRule="auto"/>
        <w:rPr>
          <w:rFonts w:hint="eastAsia" w:ascii="宋体" w:hAnsi="宋体"/>
          <w:szCs w:val="21"/>
        </w:rPr>
      </w:pPr>
      <w:r>
        <w:rPr>
          <w:rFonts w:hint="eastAsia" w:ascii="宋体" w:hAnsi="宋体"/>
          <w:szCs w:val="21"/>
        </w:rPr>
        <w:t>投标人名称（盖单位电子章）：</w:t>
      </w:r>
    </w:p>
    <w:p w14:paraId="49C8AAE8">
      <w:pPr>
        <w:adjustRightInd w:val="0"/>
        <w:snapToGrid w:val="0"/>
        <w:spacing w:line="360" w:lineRule="auto"/>
        <w:rPr>
          <w:rFonts w:hint="eastAsia" w:ascii="宋体" w:hAnsi="宋体"/>
          <w:szCs w:val="21"/>
          <w:u w:val="single"/>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0BBEECD1">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14233E0"/>
    <w:p w14:paraId="192534D9"/>
    <w:p w14:paraId="2819A0F0">
      <w:pPr>
        <w:pStyle w:val="7"/>
        <w:adjustRightInd w:val="0"/>
        <w:snapToGrid w:val="0"/>
        <w:spacing w:before="156" w:beforeLines="50" w:after="0" w:line="360" w:lineRule="auto"/>
        <w:rPr>
          <w:rFonts w:hint="eastAsia" w:ascii="黑体" w:hAnsi="黑体"/>
          <w:b w:val="0"/>
          <w:sz w:val="21"/>
          <w:szCs w:val="21"/>
        </w:rPr>
      </w:pPr>
      <w:bookmarkStart w:id="248" w:name="_Toc15795"/>
      <w:bookmarkStart w:id="249" w:name="_Toc26238"/>
      <w:r>
        <w:rPr>
          <w:rFonts w:hint="eastAsia" w:ascii="黑体" w:hAnsi="黑体" w:cs="宋体"/>
          <w:b w:val="0"/>
          <w:spacing w:val="6"/>
          <w:kern w:val="0"/>
          <w:sz w:val="21"/>
          <w:szCs w:val="21"/>
        </w:rPr>
        <w:t>附件7-1 响应</w:t>
      </w:r>
      <w:r>
        <w:rPr>
          <w:rFonts w:hint="eastAsia" w:ascii="黑体" w:hAnsi="黑体"/>
          <w:b w:val="0"/>
          <w:sz w:val="21"/>
          <w:szCs w:val="21"/>
        </w:rPr>
        <w:t>-览表</w:t>
      </w:r>
      <w:bookmarkEnd w:id="248"/>
      <w:bookmarkEnd w:id="249"/>
    </w:p>
    <w:p w14:paraId="05A3B57D">
      <w:pPr>
        <w:adjustRightInd w:val="0"/>
        <w:snapToGrid w:val="0"/>
        <w:spacing w:before="156" w:beforeLines="50" w:line="360" w:lineRule="auto"/>
        <w:jc w:val="center"/>
        <w:rPr>
          <w:rFonts w:hint="eastAsia" w:ascii="黑体" w:hAnsi="黑体" w:eastAsia="黑体"/>
          <w:b/>
          <w:bCs/>
          <w:sz w:val="28"/>
          <w:szCs w:val="28"/>
        </w:rPr>
      </w:pPr>
      <w:r>
        <w:rPr>
          <w:rFonts w:hint="eastAsia" w:ascii="黑体" w:hAnsi="黑体" w:eastAsia="黑体"/>
          <w:b/>
          <w:bCs/>
          <w:sz w:val="28"/>
          <w:szCs w:val="28"/>
        </w:rPr>
        <w:t>响应-览表</w:t>
      </w:r>
    </w:p>
    <w:p w14:paraId="5CE7FDE3">
      <w:pPr>
        <w:adjustRightInd w:val="0"/>
        <w:snapToGrid w:val="0"/>
        <w:spacing w:before="156" w:beforeLines="50" w:line="360" w:lineRule="auto"/>
        <w:jc w:val="center"/>
        <w:rPr>
          <w:rFonts w:hint="eastAsia" w:ascii="黑体" w:hAnsi="黑体" w:eastAsia="黑体"/>
          <w:b/>
          <w:bCs/>
          <w:sz w:val="28"/>
          <w:szCs w:val="28"/>
        </w:rPr>
      </w:pPr>
    </w:p>
    <w:tbl>
      <w:tblPr>
        <w:tblStyle w:val="21"/>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4F7705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7BEE65D1">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18F0BCD3">
            <w:pPr>
              <w:jc w:val="center"/>
              <w:rPr>
                <w:szCs w:val="21"/>
              </w:rPr>
            </w:pPr>
            <w:r>
              <w:rPr>
                <w:rFonts w:hint="eastAsia"/>
                <w:szCs w:val="21"/>
              </w:rPr>
              <w:t>包名称</w:t>
            </w:r>
          </w:p>
        </w:tc>
        <w:tc>
          <w:tcPr>
            <w:tcW w:w="2124" w:type="dxa"/>
            <w:vMerge w:val="restart"/>
            <w:tcBorders>
              <w:left w:val="single" w:color="auto" w:sz="4" w:space="0"/>
            </w:tcBorders>
            <w:vAlign w:val="center"/>
          </w:tcPr>
          <w:p w14:paraId="0613090E">
            <w:pPr>
              <w:jc w:val="center"/>
              <w:rPr>
                <w:szCs w:val="21"/>
              </w:rPr>
            </w:pPr>
            <w:r>
              <w:rPr>
                <w:rFonts w:hint="eastAsia"/>
                <w:szCs w:val="21"/>
              </w:rPr>
              <w:t>分项项目名称</w:t>
            </w:r>
          </w:p>
          <w:p w14:paraId="1CD878BB">
            <w:pPr>
              <w:jc w:val="center"/>
              <w:rPr>
                <w:szCs w:val="21"/>
              </w:rPr>
            </w:pPr>
            <w:r>
              <w:rPr>
                <w:rFonts w:hint="eastAsia"/>
                <w:szCs w:val="21"/>
              </w:rPr>
              <w:t>（条目号/品目名称）</w:t>
            </w:r>
          </w:p>
        </w:tc>
        <w:tc>
          <w:tcPr>
            <w:tcW w:w="2127" w:type="dxa"/>
            <w:vMerge w:val="restart"/>
            <w:vAlign w:val="center"/>
          </w:tcPr>
          <w:p w14:paraId="2DF33ECD">
            <w:pPr>
              <w:jc w:val="center"/>
              <w:rPr>
                <w:szCs w:val="21"/>
              </w:rPr>
            </w:pPr>
            <w:r>
              <w:rPr>
                <w:rFonts w:hint="eastAsia"/>
                <w:szCs w:val="21"/>
              </w:rPr>
              <w:t>主要技术条款要求</w:t>
            </w:r>
          </w:p>
        </w:tc>
        <w:tc>
          <w:tcPr>
            <w:tcW w:w="992" w:type="dxa"/>
            <w:vMerge w:val="restart"/>
            <w:vAlign w:val="center"/>
          </w:tcPr>
          <w:p w14:paraId="7FB003E3">
            <w:pPr>
              <w:jc w:val="center"/>
              <w:rPr>
                <w:szCs w:val="21"/>
              </w:rPr>
            </w:pPr>
            <w:r>
              <w:rPr>
                <w:rFonts w:hint="eastAsia"/>
                <w:szCs w:val="21"/>
              </w:rPr>
              <w:t>数量</w:t>
            </w:r>
          </w:p>
        </w:tc>
        <w:tc>
          <w:tcPr>
            <w:tcW w:w="1460" w:type="dxa"/>
            <w:gridSpan w:val="2"/>
            <w:vAlign w:val="center"/>
          </w:tcPr>
          <w:p w14:paraId="18E39AF7">
            <w:pPr>
              <w:jc w:val="center"/>
              <w:rPr>
                <w:szCs w:val="21"/>
              </w:rPr>
            </w:pPr>
            <w:r>
              <w:rPr>
                <w:rFonts w:hint="eastAsia"/>
                <w:szCs w:val="21"/>
              </w:rPr>
              <w:t>服务</w:t>
            </w:r>
          </w:p>
        </w:tc>
        <w:tc>
          <w:tcPr>
            <w:tcW w:w="971" w:type="dxa"/>
            <w:vMerge w:val="restart"/>
            <w:vAlign w:val="center"/>
          </w:tcPr>
          <w:p w14:paraId="6C1B7EE0">
            <w:pPr>
              <w:jc w:val="center"/>
              <w:rPr>
                <w:szCs w:val="21"/>
              </w:rPr>
            </w:pPr>
            <w:r>
              <w:rPr>
                <w:rFonts w:hint="eastAsia"/>
                <w:szCs w:val="21"/>
              </w:rPr>
              <w:t>备注</w:t>
            </w:r>
          </w:p>
        </w:tc>
      </w:tr>
      <w:tr w14:paraId="384CE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74FA3B81">
            <w:pPr>
              <w:jc w:val="center"/>
              <w:rPr>
                <w:szCs w:val="21"/>
              </w:rPr>
            </w:pPr>
          </w:p>
        </w:tc>
        <w:tc>
          <w:tcPr>
            <w:tcW w:w="957" w:type="dxa"/>
            <w:vMerge w:val="continue"/>
            <w:tcBorders>
              <w:right w:val="single" w:color="auto" w:sz="4" w:space="0"/>
            </w:tcBorders>
            <w:vAlign w:val="center"/>
          </w:tcPr>
          <w:p w14:paraId="47E60188">
            <w:pPr>
              <w:jc w:val="center"/>
              <w:rPr>
                <w:szCs w:val="21"/>
              </w:rPr>
            </w:pPr>
          </w:p>
        </w:tc>
        <w:tc>
          <w:tcPr>
            <w:tcW w:w="2124" w:type="dxa"/>
            <w:vMerge w:val="continue"/>
            <w:tcBorders>
              <w:left w:val="single" w:color="auto" w:sz="4" w:space="0"/>
            </w:tcBorders>
            <w:vAlign w:val="center"/>
          </w:tcPr>
          <w:p w14:paraId="7963F0C0">
            <w:pPr>
              <w:jc w:val="center"/>
              <w:rPr>
                <w:szCs w:val="21"/>
              </w:rPr>
            </w:pPr>
          </w:p>
        </w:tc>
        <w:tc>
          <w:tcPr>
            <w:tcW w:w="2127" w:type="dxa"/>
            <w:vMerge w:val="continue"/>
            <w:vAlign w:val="center"/>
          </w:tcPr>
          <w:p w14:paraId="014D936D">
            <w:pPr>
              <w:jc w:val="center"/>
              <w:rPr>
                <w:szCs w:val="21"/>
              </w:rPr>
            </w:pPr>
          </w:p>
        </w:tc>
        <w:tc>
          <w:tcPr>
            <w:tcW w:w="992" w:type="dxa"/>
            <w:vMerge w:val="continue"/>
            <w:vAlign w:val="center"/>
          </w:tcPr>
          <w:p w14:paraId="25B74BA8">
            <w:pPr>
              <w:jc w:val="center"/>
              <w:rPr>
                <w:szCs w:val="21"/>
              </w:rPr>
            </w:pPr>
          </w:p>
        </w:tc>
        <w:tc>
          <w:tcPr>
            <w:tcW w:w="709" w:type="dxa"/>
            <w:vAlign w:val="center"/>
          </w:tcPr>
          <w:p w14:paraId="1AD882BD">
            <w:pPr>
              <w:jc w:val="center"/>
              <w:rPr>
                <w:szCs w:val="21"/>
              </w:rPr>
            </w:pPr>
            <w:r>
              <w:rPr>
                <w:rFonts w:hint="eastAsia"/>
                <w:szCs w:val="21"/>
              </w:rPr>
              <w:t>时间</w:t>
            </w:r>
          </w:p>
        </w:tc>
        <w:tc>
          <w:tcPr>
            <w:tcW w:w="751" w:type="dxa"/>
            <w:vAlign w:val="center"/>
          </w:tcPr>
          <w:p w14:paraId="6581047C">
            <w:pPr>
              <w:jc w:val="center"/>
              <w:rPr>
                <w:szCs w:val="21"/>
              </w:rPr>
            </w:pPr>
            <w:r>
              <w:rPr>
                <w:rFonts w:hint="eastAsia"/>
                <w:szCs w:val="21"/>
              </w:rPr>
              <w:t>地点</w:t>
            </w:r>
          </w:p>
        </w:tc>
        <w:tc>
          <w:tcPr>
            <w:tcW w:w="971" w:type="dxa"/>
            <w:vMerge w:val="continue"/>
          </w:tcPr>
          <w:p w14:paraId="4606B4CF">
            <w:pPr>
              <w:rPr>
                <w:szCs w:val="21"/>
              </w:rPr>
            </w:pPr>
          </w:p>
        </w:tc>
      </w:tr>
      <w:tr w14:paraId="7BA67B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0167F1C">
            <w:pPr>
              <w:rPr>
                <w:szCs w:val="21"/>
              </w:rPr>
            </w:pPr>
          </w:p>
        </w:tc>
        <w:tc>
          <w:tcPr>
            <w:tcW w:w="957" w:type="dxa"/>
            <w:tcBorders>
              <w:right w:val="single" w:color="auto" w:sz="4" w:space="0"/>
            </w:tcBorders>
          </w:tcPr>
          <w:p w14:paraId="6E143E4C">
            <w:pPr>
              <w:rPr>
                <w:szCs w:val="21"/>
              </w:rPr>
            </w:pPr>
          </w:p>
        </w:tc>
        <w:tc>
          <w:tcPr>
            <w:tcW w:w="2124" w:type="dxa"/>
            <w:tcBorders>
              <w:left w:val="single" w:color="auto" w:sz="4" w:space="0"/>
            </w:tcBorders>
          </w:tcPr>
          <w:p w14:paraId="1EDDB5C3">
            <w:pPr>
              <w:rPr>
                <w:szCs w:val="21"/>
              </w:rPr>
            </w:pPr>
          </w:p>
        </w:tc>
        <w:tc>
          <w:tcPr>
            <w:tcW w:w="2127" w:type="dxa"/>
          </w:tcPr>
          <w:p w14:paraId="7D1C85EC">
            <w:pPr>
              <w:rPr>
                <w:szCs w:val="21"/>
              </w:rPr>
            </w:pPr>
          </w:p>
        </w:tc>
        <w:tc>
          <w:tcPr>
            <w:tcW w:w="992" w:type="dxa"/>
          </w:tcPr>
          <w:p w14:paraId="13A11545">
            <w:pPr>
              <w:rPr>
                <w:szCs w:val="21"/>
              </w:rPr>
            </w:pPr>
          </w:p>
        </w:tc>
        <w:tc>
          <w:tcPr>
            <w:tcW w:w="709" w:type="dxa"/>
            <w:tcBorders>
              <w:bottom w:val="single" w:color="auto" w:sz="4" w:space="0"/>
            </w:tcBorders>
          </w:tcPr>
          <w:p w14:paraId="01EB2265">
            <w:pPr>
              <w:rPr>
                <w:szCs w:val="21"/>
              </w:rPr>
            </w:pPr>
          </w:p>
        </w:tc>
        <w:tc>
          <w:tcPr>
            <w:tcW w:w="751" w:type="dxa"/>
            <w:tcBorders>
              <w:bottom w:val="single" w:color="auto" w:sz="4" w:space="0"/>
            </w:tcBorders>
          </w:tcPr>
          <w:p w14:paraId="43E42E84">
            <w:pPr>
              <w:rPr>
                <w:szCs w:val="21"/>
              </w:rPr>
            </w:pPr>
          </w:p>
        </w:tc>
        <w:tc>
          <w:tcPr>
            <w:tcW w:w="971" w:type="dxa"/>
          </w:tcPr>
          <w:p w14:paraId="751AAF68">
            <w:pPr>
              <w:rPr>
                <w:szCs w:val="21"/>
              </w:rPr>
            </w:pPr>
          </w:p>
        </w:tc>
      </w:tr>
      <w:tr w14:paraId="368DAF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25B38394">
            <w:pPr>
              <w:rPr>
                <w:szCs w:val="21"/>
              </w:rPr>
            </w:pPr>
          </w:p>
        </w:tc>
        <w:tc>
          <w:tcPr>
            <w:tcW w:w="957" w:type="dxa"/>
            <w:tcBorders>
              <w:right w:val="single" w:color="auto" w:sz="4" w:space="0"/>
            </w:tcBorders>
          </w:tcPr>
          <w:p w14:paraId="3C18E0A2">
            <w:pPr>
              <w:rPr>
                <w:szCs w:val="21"/>
              </w:rPr>
            </w:pPr>
          </w:p>
        </w:tc>
        <w:tc>
          <w:tcPr>
            <w:tcW w:w="2124" w:type="dxa"/>
            <w:tcBorders>
              <w:left w:val="single" w:color="auto" w:sz="4" w:space="0"/>
            </w:tcBorders>
          </w:tcPr>
          <w:p w14:paraId="2E1E49C1">
            <w:pPr>
              <w:rPr>
                <w:szCs w:val="21"/>
              </w:rPr>
            </w:pPr>
          </w:p>
        </w:tc>
        <w:tc>
          <w:tcPr>
            <w:tcW w:w="2127" w:type="dxa"/>
          </w:tcPr>
          <w:p w14:paraId="79051E9A">
            <w:pPr>
              <w:rPr>
                <w:szCs w:val="21"/>
              </w:rPr>
            </w:pPr>
          </w:p>
        </w:tc>
        <w:tc>
          <w:tcPr>
            <w:tcW w:w="992" w:type="dxa"/>
          </w:tcPr>
          <w:p w14:paraId="786A5C71">
            <w:pPr>
              <w:rPr>
                <w:szCs w:val="21"/>
              </w:rPr>
            </w:pPr>
          </w:p>
        </w:tc>
        <w:tc>
          <w:tcPr>
            <w:tcW w:w="709" w:type="dxa"/>
            <w:tcBorders>
              <w:top w:val="single" w:color="auto" w:sz="4" w:space="0"/>
              <w:bottom w:val="single" w:color="auto" w:sz="4" w:space="0"/>
            </w:tcBorders>
          </w:tcPr>
          <w:p w14:paraId="6C3E16F1">
            <w:pPr>
              <w:rPr>
                <w:szCs w:val="21"/>
              </w:rPr>
            </w:pPr>
          </w:p>
        </w:tc>
        <w:tc>
          <w:tcPr>
            <w:tcW w:w="751" w:type="dxa"/>
            <w:tcBorders>
              <w:top w:val="single" w:color="auto" w:sz="4" w:space="0"/>
              <w:bottom w:val="single" w:color="auto" w:sz="4" w:space="0"/>
            </w:tcBorders>
          </w:tcPr>
          <w:p w14:paraId="7381D7C2">
            <w:pPr>
              <w:rPr>
                <w:szCs w:val="21"/>
              </w:rPr>
            </w:pPr>
          </w:p>
        </w:tc>
        <w:tc>
          <w:tcPr>
            <w:tcW w:w="971" w:type="dxa"/>
          </w:tcPr>
          <w:p w14:paraId="72BF647E">
            <w:pPr>
              <w:rPr>
                <w:szCs w:val="21"/>
              </w:rPr>
            </w:pPr>
          </w:p>
        </w:tc>
      </w:tr>
      <w:tr w14:paraId="4E85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5863A0C0">
            <w:pPr>
              <w:rPr>
                <w:szCs w:val="21"/>
              </w:rPr>
            </w:pPr>
          </w:p>
        </w:tc>
        <w:tc>
          <w:tcPr>
            <w:tcW w:w="957" w:type="dxa"/>
            <w:tcBorders>
              <w:right w:val="single" w:color="auto" w:sz="4" w:space="0"/>
            </w:tcBorders>
          </w:tcPr>
          <w:p w14:paraId="0BB01474">
            <w:pPr>
              <w:rPr>
                <w:szCs w:val="21"/>
              </w:rPr>
            </w:pPr>
          </w:p>
        </w:tc>
        <w:tc>
          <w:tcPr>
            <w:tcW w:w="2124" w:type="dxa"/>
            <w:tcBorders>
              <w:left w:val="single" w:color="auto" w:sz="4" w:space="0"/>
            </w:tcBorders>
          </w:tcPr>
          <w:p w14:paraId="113EBBCB">
            <w:pPr>
              <w:rPr>
                <w:szCs w:val="21"/>
              </w:rPr>
            </w:pPr>
          </w:p>
        </w:tc>
        <w:tc>
          <w:tcPr>
            <w:tcW w:w="2127" w:type="dxa"/>
          </w:tcPr>
          <w:p w14:paraId="6F7264A6">
            <w:pPr>
              <w:rPr>
                <w:szCs w:val="21"/>
              </w:rPr>
            </w:pPr>
          </w:p>
        </w:tc>
        <w:tc>
          <w:tcPr>
            <w:tcW w:w="992" w:type="dxa"/>
          </w:tcPr>
          <w:p w14:paraId="65473379">
            <w:pPr>
              <w:rPr>
                <w:szCs w:val="21"/>
              </w:rPr>
            </w:pPr>
          </w:p>
        </w:tc>
        <w:tc>
          <w:tcPr>
            <w:tcW w:w="709" w:type="dxa"/>
            <w:tcBorders>
              <w:top w:val="single" w:color="auto" w:sz="4" w:space="0"/>
              <w:bottom w:val="single" w:color="auto" w:sz="4" w:space="0"/>
            </w:tcBorders>
          </w:tcPr>
          <w:p w14:paraId="5CB5BE63">
            <w:pPr>
              <w:rPr>
                <w:szCs w:val="21"/>
              </w:rPr>
            </w:pPr>
          </w:p>
        </w:tc>
        <w:tc>
          <w:tcPr>
            <w:tcW w:w="751" w:type="dxa"/>
            <w:tcBorders>
              <w:top w:val="single" w:color="auto" w:sz="4" w:space="0"/>
              <w:bottom w:val="single" w:color="auto" w:sz="4" w:space="0"/>
            </w:tcBorders>
          </w:tcPr>
          <w:p w14:paraId="52E15D23">
            <w:pPr>
              <w:rPr>
                <w:szCs w:val="21"/>
              </w:rPr>
            </w:pPr>
          </w:p>
        </w:tc>
        <w:tc>
          <w:tcPr>
            <w:tcW w:w="971" w:type="dxa"/>
          </w:tcPr>
          <w:p w14:paraId="746AD721">
            <w:pPr>
              <w:rPr>
                <w:szCs w:val="21"/>
              </w:rPr>
            </w:pPr>
          </w:p>
        </w:tc>
      </w:tr>
      <w:tr w14:paraId="1F8151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4DCA758">
            <w:pPr>
              <w:rPr>
                <w:szCs w:val="21"/>
              </w:rPr>
            </w:pPr>
          </w:p>
        </w:tc>
        <w:tc>
          <w:tcPr>
            <w:tcW w:w="957" w:type="dxa"/>
            <w:tcBorders>
              <w:right w:val="single" w:color="auto" w:sz="4" w:space="0"/>
            </w:tcBorders>
          </w:tcPr>
          <w:p w14:paraId="57571429">
            <w:pPr>
              <w:rPr>
                <w:szCs w:val="21"/>
              </w:rPr>
            </w:pPr>
          </w:p>
        </w:tc>
        <w:tc>
          <w:tcPr>
            <w:tcW w:w="2124" w:type="dxa"/>
            <w:tcBorders>
              <w:left w:val="single" w:color="auto" w:sz="4" w:space="0"/>
            </w:tcBorders>
          </w:tcPr>
          <w:p w14:paraId="535265CE">
            <w:pPr>
              <w:rPr>
                <w:szCs w:val="21"/>
              </w:rPr>
            </w:pPr>
          </w:p>
        </w:tc>
        <w:tc>
          <w:tcPr>
            <w:tcW w:w="2127" w:type="dxa"/>
          </w:tcPr>
          <w:p w14:paraId="7A88BFF9">
            <w:pPr>
              <w:rPr>
                <w:szCs w:val="21"/>
              </w:rPr>
            </w:pPr>
          </w:p>
        </w:tc>
        <w:tc>
          <w:tcPr>
            <w:tcW w:w="992" w:type="dxa"/>
          </w:tcPr>
          <w:p w14:paraId="717E7078">
            <w:pPr>
              <w:rPr>
                <w:szCs w:val="21"/>
              </w:rPr>
            </w:pPr>
          </w:p>
        </w:tc>
        <w:tc>
          <w:tcPr>
            <w:tcW w:w="709" w:type="dxa"/>
            <w:tcBorders>
              <w:top w:val="single" w:color="auto" w:sz="4" w:space="0"/>
              <w:bottom w:val="single" w:color="auto" w:sz="4" w:space="0"/>
            </w:tcBorders>
          </w:tcPr>
          <w:p w14:paraId="11BF4C50">
            <w:pPr>
              <w:rPr>
                <w:szCs w:val="21"/>
              </w:rPr>
            </w:pPr>
          </w:p>
        </w:tc>
        <w:tc>
          <w:tcPr>
            <w:tcW w:w="751" w:type="dxa"/>
            <w:tcBorders>
              <w:top w:val="single" w:color="auto" w:sz="4" w:space="0"/>
              <w:bottom w:val="single" w:color="auto" w:sz="4" w:space="0"/>
            </w:tcBorders>
          </w:tcPr>
          <w:p w14:paraId="10C32E37">
            <w:pPr>
              <w:rPr>
                <w:szCs w:val="21"/>
              </w:rPr>
            </w:pPr>
          </w:p>
        </w:tc>
        <w:tc>
          <w:tcPr>
            <w:tcW w:w="971" w:type="dxa"/>
          </w:tcPr>
          <w:p w14:paraId="750A7D09">
            <w:pPr>
              <w:rPr>
                <w:szCs w:val="21"/>
              </w:rPr>
            </w:pPr>
          </w:p>
        </w:tc>
      </w:tr>
      <w:tr w14:paraId="50064F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36F45468">
            <w:pPr>
              <w:rPr>
                <w:szCs w:val="21"/>
              </w:rPr>
            </w:pPr>
          </w:p>
        </w:tc>
        <w:tc>
          <w:tcPr>
            <w:tcW w:w="957" w:type="dxa"/>
            <w:tcBorders>
              <w:right w:val="single" w:color="auto" w:sz="4" w:space="0"/>
            </w:tcBorders>
          </w:tcPr>
          <w:p w14:paraId="32019A07">
            <w:pPr>
              <w:rPr>
                <w:szCs w:val="21"/>
              </w:rPr>
            </w:pPr>
          </w:p>
        </w:tc>
        <w:tc>
          <w:tcPr>
            <w:tcW w:w="2124" w:type="dxa"/>
            <w:tcBorders>
              <w:left w:val="single" w:color="auto" w:sz="4" w:space="0"/>
            </w:tcBorders>
          </w:tcPr>
          <w:p w14:paraId="6281512B">
            <w:pPr>
              <w:rPr>
                <w:szCs w:val="21"/>
              </w:rPr>
            </w:pPr>
          </w:p>
        </w:tc>
        <w:tc>
          <w:tcPr>
            <w:tcW w:w="2127" w:type="dxa"/>
          </w:tcPr>
          <w:p w14:paraId="3BD6CE18">
            <w:pPr>
              <w:rPr>
                <w:szCs w:val="21"/>
              </w:rPr>
            </w:pPr>
          </w:p>
        </w:tc>
        <w:tc>
          <w:tcPr>
            <w:tcW w:w="992" w:type="dxa"/>
          </w:tcPr>
          <w:p w14:paraId="0868398A">
            <w:pPr>
              <w:rPr>
                <w:szCs w:val="21"/>
              </w:rPr>
            </w:pPr>
          </w:p>
        </w:tc>
        <w:tc>
          <w:tcPr>
            <w:tcW w:w="709" w:type="dxa"/>
            <w:tcBorders>
              <w:top w:val="single" w:color="auto" w:sz="4" w:space="0"/>
            </w:tcBorders>
          </w:tcPr>
          <w:p w14:paraId="08376805">
            <w:pPr>
              <w:rPr>
                <w:szCs w:val="21"/>
              </w:rPr>
            </w:pPr>
          </w:p>
        </w:tc>
        <w:tc>
          <w:tcPr>
            <w:tcW w:w="751" w:type="dxa"/>
            <w:tcBorders>
              <w:top w:val="single" w:color="auto" w:sz="4" w:space="0"/>
            </w:tcBorders>
          </w:tcPr>
          <w:p w14:paraId="29844007">
            <w:pPr>
              <w:rPr>
                <w:szCs w:val="21"/>
              </w:rPr>
            </w:pPr>
          </w:p>
        </w:tc>
        <w:tc>
          <w:tcPr>
            <w:tcW w:w="971" w:type="dxa"/>
          </w:tcPr>
          <w:p w14:paraId="4ABD4636">
            <w:pPr>
              <w:rPr>
                <w:szCs w:val="21"/>
              </w:rPr>
            </w:pPr>
          </w:p>
        </w:tc>
      </w:tr>
    </w:tbl>
    <w:p w14:paraId="761A4680">
      <w:pPr>
        <w:adjustRightInd w:val="0"/>
        <w:snapToGrid w:val="0"/>
        <w:spacing w:before="156" w:beforeLines="50" w:line="360" w:lineRule="auto"/>
        <w:jc w:val="center"/>
        <w:rPr>
          <w:rFonts w:hint="eastAsia" w:ascii="黑体" w:hAnsi="黑体" w:eastAsia="黑体"/>
          <w:b/>
          <w:bCs/>
          <w:sz w:val="28"/>
          <w:szCs w:val="28"/>
        </w:rPr>
      </w:pPr>
    </w:p>
    <w:p w14:paraId="27E6D27A">
      <w:pPr>
        <w:jc w:val="center"/>
        <w:rPr>
          <w:rFonts w:hint="eastAsia" w:asciiTheme="minorEastAsia" w:hAnsiTheme="minorEastAsia" w:eastAsiaTheme="minorEastAsia"/>
          <w:szCs w:val="21"/>
        </w:rPr>
      </w:pPr>
    </w:p>
    <w:p w14:paraId="5C23E977">
      <w:pPr>
        <w:adjustRightInd w:val="0"/>
        <w:snapToGrid w:val="0"/>
        <w:spacing w:line="360" w:lineRule="auto"/>
      </w:pPr>
    </w:p>
    <w:p w14:paraId="4595F206">
      <w:pPr>
        <w:adjustRightInd w:val="0"/>
        <w:snapToGrid w:val="0"/>
        <w:spacing w:line="360" w:lineRule="auto"/>
        <w:rPr>
          <w:rFonts w:hint="eastAsia" w:ascii="宋体" w:hAnsi="宋体"/>
          <w:szCs w:val="21"/>
        </w:rPr>
      </w:pPr>
    </w:p>
    <w:p w14:paraId="371D7A6C">
      <w:pPr>
        <w:adjustRightInd w:val="0"/>
        <w:snapToGrid w:val="0"/>
        <w:spacing w:line="360" w:lineRule="auto"/>
        <w:rPr>
          <w:rFonts w:hint="eastAsia" w:ascii="黑体" w:hAnsi="宋体" w:eastAsia="黑体"/>
          <w:sz w:val="28"/>
          <w:szCs w:val="28"/>
        </w:rPr>
        <w:sectPr>
          <w:headerReference r:id="rId9" w:type="first"/>
          <w:headerReference r:id="rId7" w:type="default"/>
          <w:footerReference r:id="rId10" w:type="default"/>
          <w:headerReference r:id="rId8" w:type="even"/>
          <w:pgSz w:w="11906" w:h="16838"/>
          <w:pgMar w:top="1474" w:right="1474" w:bottom="1474" w:left="1588" w:header="851" w:footer="992" w:gutter="0"/>
          <w:pgNumType w:fmt="decimal"/>
          <w:cols w:space="720" w:num="1"/>
          <w:docGrid w:type="lines" w:linePitch="312" w:charSpace="0"/>
        </w:sectPr>
      </w:pPr>
    </w:p>
    <w:p w14:paraId="06AE9004">
      <w:pPr>
        <w:pStyle w:val="5"/>
        <w:adjustRightInd w:val="0"/>
        <w:snapToGrid w:val="0"/>
        <w:spacing w:before="156" w:beforeLines="50" w:after="0" w:line="360" w:lineRule="auto"/>
        <w:jc w:val="center"/>
        <w:rPr>
          <w:rFonts w:hint="eastAsia" w:ascii="黑体" w:hAnsi="黑体" w:eastAsia="黑体"/>
          <w:sz w:val="28"/>
          <w:szCs w:val="28"/>
        </w:rPr>
      </w:pPr>
      <w:bookmarkStart w:id="250" w:name="_Toc1630"/>
      <w:bookmarkStart w:id="251" w:name="_Toc25457"/>
      <w:r>
        <w:rPr>
          <w:rFonts w:hint="eastAsia" w:ascii="黑体" w:hAnsi="黑体" w:eastAsia="黑体"/>
          <w:sz w:val="28"/>
          <w:szCs w:val="28"/>
        </w:rPr>
        <w:t>八、合同条款偏离表</w:t>
      </w:r>
      <w:bookmarkEnd w:id="247"/>
      <w:bookmarkEnd w:id="250"/>
      <w:bookmarkEnd w:id="251"/>
    </w:p>
    <w:p w14:paraId="102E21F4">
      <w:pPr>
        <w:adjustRightInd w:val="0"/>
        <w:snapToGrid w:val="0"/>
        <w:spacing w:before="156" w:beforeLines="50" w:line="360" w:lineRule="auto"/>
        <w:rPr>
          <w:rFonts w:hint="eastAsia"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335D8F98">
      <w:pPr>
        <w:adjustRightInd w:val="0"/>
        <w:snapToGrid w:val="0"/>
        <w:spacing w:before="50" w:line="360" w:lineRule="auto"/>
        <w:rPr>
          <w:rFonts w:hint="eastAsia"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21"/>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1897A8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4AD051C9">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20ADBF02">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vAlign w:val="center"/>
          </w:tcPr>
          <w:p w14:paraId="3E690BD3">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rPr>
              <w:t>招标文件要求</w:t>
            </w:r>
          </w:p>
        </w:tc>
        <w:tc>
          <w:tcPr>
            <w:tcW w:w="2082" w:type="dxa"/>
            <w:tcBorders>
              <w:right w:val="single" w:color="auto" w:sz="4" w:space="0"/>
            </w:tcBorders>
            <w:vAlign w:val="center"/>
          </w:tcPr>
          <w:p w14:paraId="53D5D6A7">
            <w:pPr>
              <w:adjustRightInd w:val="0"/>
              <w:snapToGrid w:val="0"/>
              <w:spacing w:before="50" w:line="360" w:lineRule="auto"/>
              <w:jc w:val="center"/>
              <w:rPr>
                <w:rFonts w:hint="eastAsia" w:asciiTheme="minorEastAsia" w:hAnsiTheme="minorEastAsia" w:eastAsiaTheme="minorEastAsia"/>
                <w:szCs w:val="21"/>
              </w:rPr>
            </w:pPr>
            <w:r>
              <w:rPr>
                <w:rFonts w:hint="eastAsia"/>
              </w:rPr>
              <w:t>投标文件的应答</w:t>
            </w:r>
          </w:p>
        </w:tc>
        <w:tc>
          <w:tcPr>
            <w:tcW w:w="1942" w:type="dxa"/>
            <w:tcBorders>
              <w:left w:val="single" w:color="auto" w:sz="4" w:space="0"/>
            </w:tcBorders>
            <w:vAlign w:val="center"/>
          </w:tcPr>
          <w:p w14:paraId="6BF101B0">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szCs w:val="21"/>
              </w:rPr>
              <w:t>偏离说明</w:t>
            </w:r>
          </w:p>
        </w:tc>
      </w:tr>
      <w:tr w14:paraId="360ACB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4224F33">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3F9EBC9C">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Pr>
          <w:p w14:paraId="0E68E458">
            <w:pPr>
              <w:adjustRightInd w:val="0"/>
              <w:snapToGrid w:val="0"/>
              <w:spacing w:before="50" w:line="360" w:lineRule="auto"/>
            </w:pPr>
          </w:p>
        </w:tc>
        <w:tc>
          <w:tcPr>
            <w:tcW w:w="2082" w:type="dxa"/>
            <w:tcBorders>
              <w:right w:val="single" w:color="auto" w:sz="4" w:space="0"/>
            </w:tcBorders>
          </w:tcPr>
          <w:p w14:paraId="4B598DA2">
            <w:pPr>
              <w:adjustRightInd w:val="0"/>
              <w:snapToGrid w:val="0"/>
              <w:spacing w:before="50" w:line="360" w:lineRule="auto"/>
            </w:pPr>
          </w:p>
        </w:tc>
        <w:tc>
          <w:tcPr>
            <w:tcW w:w="1942" w:type="dxa"/>
            <w:tcBorders>
              <w:left w:val="single" w:color="auto" w:sz="4" w:space="0"/>
            </w:tcBorders>
          </w:tcPr>
          <w:p w14:paraId="099995B1">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100F7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F6B20A3">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177B41E0">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26F4A55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082" w:type="dxa"/>
            <w:tcBorders>
              <w:right w:val="single" w:color="auto" w:sz="4" w:space="0"/>
            </w:tcBorders>
            <w:vAlign w:val="center"/>
          </w:tcPr>
          <w:p w14:paraId="69B4D608">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42" w:type="dxa"/>
            <w:tcBorders>
              <w:left w:val="single" w:color="auto" w:sz="4" w:space="0"/>
            </w:tcBorders>
            <w:vAlign w:val="center"/>
          </w:tcPr>
          <w:p w14:paraId="19144ECD">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403911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CD2B9A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1E4C4A83">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679DD365">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082" w:type="dxa"/>
            <w:tcBorders>
              <w:right w:val="single" w:color="auto" w:sz="4" w:space="0"/>
            </w:tcBorders>
            <w:vAlign w:val="center"/>
          </w:tcPr>
          <w:p w14:paraId="0779D8C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42" w:type="dxa"/>
            <w:tcBorders>
              <w:left w:val="single" w:color="auto" w:sz="4" w:space="0"/>
            </w:tcBorders>
            <w:vAlign w:val="center"/>
          </w:tcPr>
          <w:p w14:paraId="2E437559">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47EDDF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E6024AA">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117C6A6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267EB99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082" w:type="dxa"/>
            <w:tcBorders>
              <w:right w:val="single" w:color="auto" w:sz="4" w:space="0"/>
            </w:tcBorders>
            <w:vAlign w:val="center"/>
          </w:tcPr>
          <w:p w14:paraId="648DE42A">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42" w:type="dxa"/>
            <w:tcBorders>
              <w:left w:val="single" w:color="auto" w:sz="4" w:space="0"/>
            </w:tcBorders>
            <w:vAlign w:val="center"/>
          </w:tcPr>
          <w:p w14:paraId="5EB73340">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7477B6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85E56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5BF4B6D2">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219BF558">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082" w:type="dxa"/>
            <w:tcBorders>
              <w:right w:val="single" w:color="auto" w:sz="4" w:space="0"/>
            </w:tcBorders>
            <w:vAlign w:val="center"/>
          </w:tcPr>
          <w:p w14:paraId="1E596577">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42" w:type="dxa"/>
            <w:tcBorders>
              <w:left w:val="single" w:color="auto" w:sz="4" w:space="0"/>
            </w:tcBorders>
            <w:vAlign w:val="center"/>
          </w:tcPr>
          <w:p w14:paraId="13689DC8">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3EC96E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01BBA3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2294EE4B">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275F6EBA">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082" w:type="dxa"/>
            <w:tcBorders>
              <w:right w:val="single" w:color="auto" w:sz="4" w:space="0"/>
            </w:tcBorders>
            <w:vAlign w:val="center"/>
          </w:tcPr>
          <w:p w14:paraId="58B3E5DF">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42" w:type="dxa"/>
            <w:tcBorders>
              <w:left w:val="single" w:color="auto" w:sz="4" w:space="0"/>
            </w:tcBorders>
            <w:vAlign w:val="center"/>
          </w:tcPr>
          <w:p w14:paraId="16265F84">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29F7A2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4F0198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3B0A0DA0">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vAlign w:val="center"/>
          </w:tcPr>
          <w:p w14:paraId="5E6441B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4024" w:type="dxa"/>
            <w:gridSpan w:val="2"/>
            <w:vAlign w:val="center"/>
          </w:tcPr>
          <w:p w14:paraId="348FB5DF">
            <w:pPr>
              <w:adjustRightInd w:val="0"/>
              <w:snapToGrid w:val="0"/>
              <w:spacing w:before="50" w:line="360" w:lineRule="auto"/>
              <w:ind w:firstLine="422" w:firstLineChars="200"/>
              <w:jc w:val="left"/>
              <w:rPr>
                <w:rFonts w:hint="eastAsia" w:asciiTheme="minorEastAsia" w:hAnsiTheme="minorEastAsia" w:eastAsiaTheme="minorEastAsia"/>
                <w:b/>
                <w:szCs w:val="21"/>
              </w:rPr>
            </w:pPr>
            <w:r>
              <w:rPr>
                <w:rFonts w:hint="eastAsia" w:asciiTheme="minorEastAsia" w:hAnsiTheme="minorEastAsia" w:eastAsiaTheme="minorEastAsia"/>
                <w:b/>
                <w:szCs w:val="21"/>
              </w:rPr>
              <w:t>投标人保证：除本合同条款偏离表列出的偏离外，我单位对招标文件的其他商务、合同条款完全响应，无偏离。</w:t>
            </w:r>
          </w:p>
        </w:tc>
      </w:tr>
    </w:tbl>
    <w:p w14:paraId="766349D0">
      <w:pPr>
        <w:adjustRightInd w:val="0"/>
        <w:snapToGrid w:val="0"/>
        <w:spacing w:before="50" w:line="360" w:lineRule="auto"/>
        <w:ind w:left="-88" w:leftChars="-42"/>
        <w:rPr>
          <w:rFonts w:hint="eastAsia" w:ascii="宋体" w:hAnsi="宋体"/>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w:t>
      </w:r>
      <w:r>
        <w:rPr>
          <w:rFonts w:hint="eastAsia" w:ascii="宋体" w:hAnsi="宋体"/>
          <w:szCs w:val="21"/>
        </w:rPr>
        <w:t>投标人应根据招标文件第六章</w:t>
      </w:r>
      <w:r>
        <w:rPr>
          <w:rFonts w:hint="eastAsia" w:ascii="华文宋体" w:hAnsi="华文宋体" w:eastAsia="华文宋体"/>
          <w:szCs w:val="21"/>
        </w:rPr>
        <w:t>“</w:t>
      </w:r>
      <w:r>
        <w:rPr>
          <w:rFonts w:hint="eastAsia" w:ascii="宋体" w:hAnsi="宋体"/>
          <w:szCs w:val="21"/>
        </w:rPr>
        <w:t>政府采购合同</w:t>
      </w:r>
      <w:r>
        <w:rPr>
          <w:rFonts w:hint="eastAsia" w:ascii="华文宋体" w:hAnsi="华文宋体" w:eastAsia="华文宋体"/>
          <w:szCs w:val="21"/>
        </w:rPr>
        <w:t>”</w:t>
      </w:r>
      <w:r>
        <w:rPr>
          <w:rFonts w:hint="eastAsia" w:ascii="宋体" w:hAnsi="宋体"/>
          <w:szCs w:val="21"/>
        </w:rPr>
        <w:t>填写本表；</w:t>
      </w:r>
    </w:p>
    <w:p w14:paraId="34F24147">
      <w:pPr>
        <w:adjustRightInd w:val="0"/>
        <w:snapToGrid w:val="0"/>
        <w:spacing w:before="50" w:line="360" w:lineRule="auto"/>
        <w:ind w:left="-88" w:leftChars="-42" w:firstLine="420" w:firstLineChars="200"/>
        <w:rPr>
          <w:rFonts w:hint="eastAsia" w:ascii="宋体" w:hAnsi="宋体"/>
          <w:b/>
          <w:szCs w:val="21"/>
        </w:rPr>
      </w:pPr>
      <w:r>
        <w:rPr>
          <w:rFonts w:hint="eastAsia" w:asciiTheme="minorEastAsia" w:hAnsiTheme="minorEastAsia" w:eastAsiaTheme="minorEastAsia"/>
          <w:szCs w:val="21"/>
        </w:rPr>
        <w:t>（2）</w:t>
      </w:r>
      <w:r>
        <w:rPr>
          <w:rFonts w:hint="eastAsia" w:ascii="宋体" w:hAnsi="宋体"/>
          <w:b/>
          <w:szCs w:val="21"/>
        </w:rPr>
        <w:t>投标人如果对招标文件第六章“政府采购合同”的响应有偏离，应将偏离条款逐条如实应答，并作出说明；</w:t>
      </w:r>
    </w:p>
    <w:p w14:paraId="513E5A8E">
      <w:pPr>
        <w:adjustRightInd w:val="0"/>
        <w:snapToGrid w:val="0"/>
        <w:spacing w:before="50" w:line="360" w:lineRule="auto"/>
        <w:ind w:left="-88" w:leftChars="-42" w:firstLine="420" w:firstLineChars="200"/>
        <w:rPr>
          <w:rFonts w:hint="eastAsia" w:ascii="宋体" w:hAnsi="宋体"/>
          <w:szCs w:val="21"/>
        </w:rPr>
      </w:pPr>
      <w:r>
        <w:rPr>
          <w:rFonts w:hint="eastAsia" w:asciiTheme="minorEastAsia" w:hAnsiTheme="minorEastAsia" w:eastAsiaTheme="minorEastAsia"/>
          <w:szCs w:val="21"/>
        </w:rPr>
        <w:t>（3）</w:t>
      </w:r>
      <w:r>
        <w:rPr>
          <w:rFonts w:hint="eastAsia" w:ascii="宋体" w:hAnsi="宋体"/>
          <w:szCs w:val="21"/>
        </w:rPr>
        <w:t>如不提供此表，则视为投标人不满足招标文件第六章的所有条款要求，</w:t>
      </w:r>
      <w:r>
        <w:rPr>
          <w:rFonts w:hint="eastAsia" w:asciiTheme="minorEastAsia" w:hAnsiTheme="minorEastAsia" w:eastAsiaTheme="minorEastAsia"/>
          <w:szCs w:val="21"/>
        </w:rPr>
        <w:t>其</w:t>
      </w:r>
      <w:r>
        <w:rPr>
          <w:rFonts w:hint="eastAsia" w:asciiTheme="minorEastAsia" w:hAnsiTheme="minorEastAsia" w:eastAsiaTheme="minorEastAsia"/>
          <w:b/>
          <w:szCs w:val="21"/>
        </w:rPr>
        <w:t>投标无效</w:t>
      </w:r>
      <w:r>
        <w:rPr>
          <w:rFonts w:hint="eastAsia" w:ascii="宋体" w:hAnsi="宋体"/>
          <w:szCs w:val="21"/>
        </w:rPr>
        <w:t>。</w:t>
      </w:r>
    </w:p>
    <w:p w14:paraId="08567FF9">
      <w:pPr>
        <w:adjustRightInd w:val="0"/>
        <w:snapToGrid w:val="0"/>
        <w:spacing w:before="50" w:line="360" w:lineRule="auto"/>
        <w:ind w:left="-88" w:leftChars="-42" w:firstLine="420" w:firstLineChars="200"/>
        <w:rPr>
          <w:rFonts w:hint="eastAsia" w:ascii="宋体" w:hAnsi="宋体"/>
          <w:szCs w:val="21"/>
        </w:rPr>
      </w:pPr>
      <w:r>
        <w:rPr>
          <w:rFonts w:hint="eastAsia" w:asciiTheme="minorEastAsia" w:hAnsiTheme="minorEastAsia" w:eastAsiaTheme="minorEastAsia"/>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0C13301">
      <w:pPr>
        <w:adjustRightInd w:val="0"/>
        <w:snapToGrid w:val="0"/>
        <w:spacing w:before="50" w:line="360" w:lineRule="auto"/>
        <w:rPr>
          <w:rFonts w:hint="eastAsia" w:asciiTheme="minorEastAsia" w:hAnsiTheme="minorEastAsia" w:eastAsiaTheme="minorEastAsia"/>
          <w:szCs w:val="21"/>
        </w:rPr>
      </w:pPr>
    </w:p>
    <w:p w14:paraId="1D2BA0AA">
      <w:pPr>
        <w:adjustRightInd w:val="0"/>
        <w:snapToGrid w:val="0"/>
        <w:spacing w:before="50" w:line="360" w:lineRule="auto"/>
        <w:rPr>
          <w:rFonts w:hint="eastAsia" w:ascii="宋体" w:hAnsi="宋体"/>
          <w:szCs w:val="21"/>
        </w:rPr>
      </w:pPr>
    </w:p>
    <w:p w14:paraId="73F76ABD">
      <w:pPr>
        <w:adjustRightInd w:val="0"/>
        <w:snapToGrid w:val="0"/>
        <w:spacing w:before="50" w:line="360" w:lineRule="auto"/>
        <w:rPr>
          <w:rFonts w:hint="eastAsia" w:ascii="宋体" w:hAnsi="宋体"/>
          <w:szCs w:val="21"/>
        </w:rPr>
      </w:pPr>
      <w:r>
        <w:rPr>
          <w:rFonts w:hint="eastAsia" w:ascii="宋体" w:hAnsi="宋体"/>
          <w:szCs w:val="21"/>
        </w:rPr>
        <w:t>投标人名称（盖单位电子章）：</w:t>
      </w:r>
    </w:p>
    <w:p w14:paraId="1B704DA4">
      <w:pPr>
        <w:adjustRightInd w:val="0"/>
        <w:snapToGrid w:val="0"/>
        <w:spacing w:before="50" w:line="360" w:lineRule="auto"/>
        <w:rPr>
          <w:rFonts w:hint="eastAsia"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38A3AA0B">
      <w:pPr>
        <w:adjustRightInd w:val="0"/>
        <w:snapToGrid w:val="0"/>
        <w:spacing w:before="50" w:line="360" w:lineRule="auto"/>
        <w:rPr>
          <w:rFonts w:hint="eastAsia" w:ascii="黑体" w:hAnsi="宋体" w:eastAsia="黑体"/>
          <w:b/>
          <w:bCs/>
          <w:sz w:val="28"/>
          <w:szCs w:val="28"/>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r>
        <w:rPr>
          <w:rFonts w:ascii="黑体" w:hAnsi="宋体" w:eastAsia="黑体"/>
          <w:sz w:val="28"/>
          <w:szCs w:val="28"/>
        </w:rPr>
        <w:br w:type="page"/>
      </w:r>
    </w:p>
    <w:p w14:paraId="426EBF95">
      <w:pPr>
        <w:pStyle w:val="5"/>
        <w:adjustRightInd w:val="0"/>
        <w:snapToGrid w:val="0"/>
        <w:spacing w:before="156" w:beforeLines="50" w:after="0" w:line="360" w:lineRule="auto"/>
        <w:jc w:val="center"/>
        <w:rPr>
          <w:rFonts w:hint="eastAsia" w:ascii="黑体" w:hAnsi="宋体" w:eastAsia="黑体"/>
          <w:sz w:val="28"/>
          <w:szCs w:val="28"/>
        </w:rPr>
      </w:pPr>
      <w:bookmarkStart w:id="252" w:name="_Toc3146"/>
      <w:bookmarkStart w:id="253" w:name="_Toc24790"/>
      <w:bookmarkStart w:id="254" w:name="_Toc29913968"/>
      <w:r>
        <w:rPr>
          <w:rFonts w:hint="eastAsia" w:ascii="黑体" w:hAnsi="宋体" w:eastAsia="黑体"/>
          <w:sz w:val="28"/>
          <w:szCs w:val="28"/>
        </w:rPr>
        <w:t>九、采购需求（技术、商务）偏离表</w:t>
      </w:r>
      <w:bookmarkEnd w:id="252"/>
      <w:bookmarkEnd w:id="253"/>
      <w:bookmarkEnd w:id="254"/>
    </w:p>
    <w:p w14:paraId="5198854B">
      <w:pPr>
        <w:adjustRightInd w:val="0"/>
        <w:snapToGrid w:val="0"/>
        <w:spacing w:before="156" w:beforeLines="50" w:line="360" w:lineRule="auto"/>
        <w:rPr>
          <w:rFonts w:hint="eastAsia" w:asciiTheme="minorEastAsia" w:hAnsiTheme="minorEastAsia" w:eastAsiaTheme="minorEastAsia"/>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Theme="minorEastAsia" w:hAnsiTheme="minorEastAsia" w:eastAsiaTheme="minorEastAsia"/>
          <w:szCs w:val="21"/>
        </w:rPr>
        <w:t>项目名称：</w:t>
      </w:r>
      <w:r>
        <w:rPr>
          <w:rFonts w:hint="eastAsia" w:asciiTheme="minorEastAsia" w:hAnsiTheme="minorEastAsia" w:eastAsiaTheme="minorEastAsia"/>
          <w:szCs w:val="21"/>
          <w:u w:val="single"/>
        </w:rPr>
        <w:t>____            ______</w:t>
      </w:r>
    </w:p>
    <w:p w14:paraId="50A68D00">
      <w:pPr>
        <w:adjustRightInd w:val="0"/>
        <w:snapToGrid w:val="0"/>
        <w:spacing w:before="156" w:beforeLines="50" w:line="360" w:lineRule="auto"/>
        <w:rPr>
          <w:rFonts w:hint="eastAsia" w:ascii="宋体" w:hAnsi="宋体"/>
          <w:szCs w:val="21"/>
          <w:u w:val="single"/>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 xml:space="preserve">__    ________           </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p>
    <w:tbl>
      <w:tblPr>
        <w:tblStyle w:val="21"/>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1F883D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71B7B951">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bCs/>
                <w:szCs w:val="21"/>
              </w:rPr>
              <w:t>序</w:t>
            </w:r>
            <w:r>
              <w:rPr>
                <w:rFonts w:hint="eastAsia" w:asciiTheme="minorEastAsia" w:hAnsiTheme="minorEastAsia" w:eastAsiaTheme="minorEastAsia"/>
                <w:szCs w:val="21"/>
              </w:rPr>
              <w:t>号</w:t>
            </w:r>
          </w:p>
        </w:tc>
        <w:tc>
          <w:tcPr>
            <w:tcW w:w="2410" w:type="dxa"/>
            <w:vAlign w:val="center"/>
          </w:tcPr>
          <w:p w14:paraId="7D71F79C">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szCs w:val="21"/>
              </w:rPr>
              <w:t>招标文件章节</w:t>
            </w:r>
            <w:r>
              <w:rPr>
                <w:rFonts w:hint="eastAsia" w:asciiTheme="minorEastAsia" w:hAnsiTheme="minorEastAsia" w:eastAsiaTheme="minorEastAsia"/>
                <w:bCs/>
                <w:szCs w:val="21"/>
              </w:rPr>
              <w:t>条</w:t>
            </w:r>
            <w:r>
              <w:rPr>
                <w:rFonts w:hint="eastAsia" w:asciiTheme="minorEastAsia" w:hAnsiTheme="minorEastAsia" w:eastAsiaTheme="minorEastAsia"/>
                <w:szCs w:val="21"/>
              </w:rPr>
              <w:t>款号</w:t>
            </w:r>
          </w:p>
        </w:tc>
        <w:tc>
          <w:tcPr>
            <w:tcW w:w="1985" w:type="dxa"/>
            <w:tcBorders>
              <w:right w:val="single" w:color="auto" w:sz="4" w:space="0"/>
            </w:tcBorders>
          </w:tcPr>
          <w:p w14:paraId="2A2D46B0">
            <w:pPr>
              <w:adjustRightInd w:val="0"/>
              <w:snapToGrid w:val="0"/>
              <w:spacing w:before="50" w:line="360" w:lineRule="auto"/>
              <w:jc w:val="center"/>
            </w:pPr>
            <w:r>
              <w:rPr>
                <w:rFonts w:hint="eastAsia"/>
              </w:rPr>
              <w:t>招标文件要求</w:t>
            </w:r>
          </w:p>
        </w:tc>
        <w:tc>
          <w:tcPr>
            <w:tcW w:w="2126" w:type="dxa"/>
            <w:tcBorders>
              <w:left w:val="single" w:color="auto" w:sz="4" w:space="0"/>
            </w:tcBorders>
          </w:tcPr>
          <w:p w14:paraId="40E20A30">
            <w:pPr>
              <w:adjustRightInd w:val="0"/>
              <w:snapToGrid w:val="0"/>
              <w:spacing w:before="50" w:line="360" w:lineRule="auto"/>
              <w:jc w:val="center"/>
            </w:pPr>
            <w:r>
              <w:rPr>
                <w:rFonts w:hint="eastAsia"/>
              </w:rPr>
              <w:t>投标文件应答</w:t>
            </w:r>
          </w:p>
        </w:tc>
        <w:tc>
          <w:tcPr>
            <w:tcW w:w="1756" w:type="dxa"/>
            <w:vAlign w:val="center"/>
          </w:tcPr>
          <w:p w14:paraId="2FE7938B">
            <w:pPr>
              <w:adjustRightInd w:val="0"/>
              <w:snapToGrid w:val="0"/>
              <w:spacing w:before="50" w:line="360" w:lineRule="auto"/>
              <w:ind w:left="-88" w:leftChars="-42"/>
              <w:jc w:val="center"/>
              <w:rPr>
                <w:rFonts w:hint="eastAsia" w:asciiTheme="minorEastAsia" w:hAnsiTheme="minorEastAsia" w:eastAsiaTheme="minorEastAsia"/>
                <w:szCs w:val="21"/>
              </w:rPr>
            </w:pPr>
            <w:r>
              <w:rPr>
                <w:rFonts w:hint="eastAsia" w:asciiTheme="minorEastAsia" w:hAnsiTheme="minorEastAsia" w:eastAsiaTheme="minorEastAsia"/>
                <w:szCs w:val="21"/>
              </w:rPr>
              <w:t>偏离说明</w:t>
            </w:r>
          </w:p>
        </w:tc>
      </w:tr>
      <w:tr w14:paraId="39DCD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B7744BE">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476539F6">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55E44FC5">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126" w:type="dxa"/>
            <w:tcBorders>
              <w:left w:val="single" w:color="auto" w:sz="4" w:space="0"/>
            </w:tcBorders>
            <w:vAlign w:val="center"/>
          </w:tcPr>
          <w:p w14:paraId="79B2B387">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756" w:type="dxa"/>
            <w:vAlign w:val="center"/>
          </w:tcPr>
          <w:p w14:paraId="63DF7E07">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1A9213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66BBCE6">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6C15794C">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017AAE51">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126" w:type="dxa"/>
            <w:tcBorders>
              <w:left w:val="single" w:color="auto" w:sz="4" w:space="0"/>
            </w:tcBorders>
            <w:vAlign w:val="center"/>
          </w:tcPr>
          <w:p w14:paraId="4245049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756" w:type="dxa"/>
            <w:vAlign w:val="center"/>
          </w:tcPr>
          <w:p w14:paraId="0A3C2BA0">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0737E5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F7A11B0">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2BEC25A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7FFE2577">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126" w:type="dxa"/>
            <w:tcBorders>
              <w:left w:val="single" w:color="auto" w:sz="4" w:space="0"/>
            </w:tcBorders>
            <w:vAlign w:val="center"/>
          </w:tcPr>
          <w:p w14:paraId="5EF9D1AE">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756" w:type="dxa"/>
            <w:vAlign w:val="center"/>
          </w:tcPr>
          <w:p w14:paraId="739D3794">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64EDFE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54EDBB9">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0F7BF15B">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4A1485D0">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126" w:type="dxa"/>
            <w:tcBorders>
              <w:left w:val="single" w:color="auto" w:sz="4" w:space="0"/>
            </w:tcBorders>
            <w:vAlign w:val="center"/>
          </w:tcPr>
          <w:p w14:paraId="6876A6C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756" w:type="dxa"/>
            <w:vAlign w:val="center"/>
          </w:tcPr>
          <w:p w14:paraId="5BF42D61">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63A6C2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82EF68E">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1F4E185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1F94B3B4">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126" w:type="dxa"/>
            <w:tcBorders>
              <w:left w:val="single" w:color="auto" w:sz="4" w:space="0"/>
            </w:tcBorders>
            <w:vAlign w:val="center"/>
          </w:tcPr>
          <w:p w14:paraId="51711A4D">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756" w:type="dxa"/>
            <w:vAlign w:val="center"/>
          </w:tcPr>
          <w:p w14:paraId="06E6CA3B">
            <w:pPr>
              <w:adjustRightInd w:val="0"/>
              <w:snapToGrid w:val="0"/>
              <w:spacing w:before="50" w:line="360" w:lineRule="auto"/>
              <w:ind w:left="-88" w:leftChars="-42"/>
              <w:jc w:val="center"/>
              <w:rPr>
                <w:rFonts w:hint="eastAsia" w:asciiTheme="minorEastAsia" w:hAnsiTheme="minorEastAsia" w:eastAsiaTheme="minorEastAsia"/>
                <w:szCs w:val="21"/>
              </w:rPr>
            </w:pPr>
          </w:p>
        </w:tc>
      </w:tr>
      <w:tr w14:paraId="368DDB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FE92BE0">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2410" w:type="dxa"/>
            <w:vAlign w:val="center"/>
          </w:tcPr>
          <w:p w14:paraId="7E346B9F">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1985" w:type="dxa"/>
            <w:tcBorders>
              <w:right w:val="single" w:color="auto" w:sz="4" w:space="0"/>
            </w:tcBorders>
            <w:vAlign w:val="center"/>
          </w:tcPr>
          <w:p w14:paraId="7C8F87D1">
            <w:pPr>
              <w:adjustRightInd w:val="0"/>
              <w:snapToGrid w:val="0"/>
              <w:spacing w:before="50" w:line="360" w:lineRule="auto"/>
              <w:ind w:left="-88" w:leftChars="-42"/>
              <w:jc w:val="center"/>
              <w:rPr>
                <w:rFonts w:hint="eastAsia" w:asciiTheme="minorEastAsia" w:hAnsiTheme="minorEastAsia" w:eastAsiaTheme="minorEastAsia"/>
                <w:szCs w:val="21"/>
              </w:rPr>
            </w:pPr>
          </w:p>
        </w:tc>
        <w:tc>
          <w:tcPr>
            <w:tcW w:w="3882" w:type="dxa"/>
            <w:gridSpan w:val="2"/>
            <w:tcBorders>
              <w:left w:val="single" w:color="auto" w:sz="4" w:space="0"/>
            </w:tcBorders>
            <w:vAlign w:val="center"/>
          </w:tcPr>
          <w:p w14:paraId="32450ED6">
            <w:pPr>
              <w:adjustRightInd w:val="0"/>
              <w:snapToGrid w:val="0"/>
              <w:spacing w:before="50" w:line="360" w:lineRule="auto"/>
              <w:ind w:firstLine="422" w:firstLineChars="200"/>
              <w:rPr>
                <w:rFonts w:hint="eastAsia" w:asciiTheme="minorEastAsia" w:hAnsiTheme="minorEastAsia" w:eastAsiaTheme="minorEastAsia"/>
                <w:szCs w:val="21"/>
              </w:rPr>
            </w:pPr>
            <w:r>
              <w:rPr>
                <w:rFonts w:hint="eastAsia" w:asciiTheme="minorEastAsia" w:hAnsiTheme="minorEastAsia" w:eastAsiaTheme="minorEastAsia"/>
                <w:b/>
                <w:szCs w:val="21"/>
              </w:rPr>
              <w:t>投标人保证：除本采购需求偏离表列出的偏离外，我单位对招标文件的其他采购需求条款完全响应，无偏离。</w:t>
            </w:r>
          </w:p>
        </w:tc>
      </w:tr>
    </w:tbl>
    <w:p w14:paraId="69052AAB">
      <w:pPr>
        <w:adjustRightInd w:val="0"/>
        <w:snapToGrid w:val="0"/>
        <w:spacing w:before="50" w:line="360" w:lineRule="auto"/>
        <w:ind w:left="-88" w:leftChars="-42"/>
        <w:rPr>
          <w:rFonts w:hint="eastAsia" w:asciiTheme="minorEastAsia" w:hAnsiTheme="minorEastAsia" w:eastAsiaTheme="minorEastAsia"/>
          <w:szCs w:val="21"/>
        </w:rPr>
      </w:pPr>
      <w:r>
        <w:rPr>
          <w:rFonts w:hint="eastAsia" w:asciiTheme="minorEastAsia" w:hAnsiTheme="minorEastAsia" w:eastAsiaTheme="minorEastAsia"/>
          <w:b/>
          <w:szCs w:val="21"/>
        </w:rPr>
        <w:t>备注</w:t>
      </w:r>
      <w:r>
        <w:rPr>
          <w:rFonts w:hint="eastAsia" w:asciiTheme="minorEastAsia" w:hAnsiTheme="minorEastAsia" w:eastAsiaTheme="minorEastAsia"/>
          <w:szCs w:val="21"/>
        </w:rPr>
        <w:t>：（1）投标人应根据招标文件第五章“采购需求”填写本表；</w:t>
      </w:r>
    </w:p>
    <w:p w14:paraId="3C1096ED">
      <w:pPr>
        <w:adjustRightInd w:val="0"/>
        <w:snapToGrid w:val="0"/>
        <w:spacing w:before="50" w:line="360" w:lineRule="auto"/>
        <w:ind w:left="-88" w:leftChars="-42" w:firstLine="420" w:firstLineChars="200"/>
        <w:rPr>
          <w:rFonts w:hint="eastAsia" w:asciiTheme="minorEastAsia" w:hAnsiTheme="minorEastAsia" w:eastAsiaTheme="minorEastAsia"/>
          <w:b/>
          <w:color w:val="FF0000"/>
          <w:szCs w:val="21"/>
        </w:rPr>
      </w:pPr>
      <w:r>
        <w:rPr>
          <w:rFonts w:hint="eastAsia" w:asciiTheme="minorEastAsia" w:hAnsiTheme="minorEastAsia" w:eastAsiaTheme="minorEastAsia"/>
          <w:szCs w:val="21"/>
        </w:rPr>
        <w:t>（2）</w:t>
      </w:r>
      <w:r>
        <w:rPr>
          <w:rFonts w:hint="eastAsia" w:asciiTheme="minorEastAsia" w:hAnsiTheme="minorEastAsia" w:eastAsiaTheme="minorEastAsia"/>
          <w:b/>
          <w:szCs w:val="21"/>
        </w:rPr>
        <w:t>投标人如果对招标文件第五章“采购需求”的响应有偏离，应将偏离条款逐条如实应答，并作出说明；</w:t>
      </w:r>
    </w:p>
    <w:p w14:paraId="31089F87">
      <w:pPr>
        <w:adjustRightInd w:val="0"/>
        <w:snapToGrid w:val="0"/>
        <w:spacing w:before="50" w:line="360" w:lineRule="auto"/>
        <w:ind w:left="-88" w:leftChars="-42"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（3）如不提供此表，则视为投标人不满足招标文件第五章的所有条款要求，其</w:t>
      </w:r>
      <w:r>
        <w:rPr>
          <w:rFonts w:hint="eastAsia" w:asciiTheme="minorEastAsia" w:hAnsiTheme="minorEastAsia" w:eastAsiaTheme="minorEastAsia"/>
          <w:b/>
          <w:szCs w:val="21"/>
        </w:rPr>
        <w:t>投标无效</w:t>
      </w:r>
      <w:r>
        <w:rPr>
          <w:rFonts w:hint="eastAsia" w:asciiTheme="minorEastAsia" w:hAnsiTheme="minorEastAsia" w:eastAsiaTheme="minorEastAsia"/>
          <w:szCs w:val="21"/>
        </w:rPr>
        <w:t>。</w:t>
      </w:r>
    </w:p>
    <w:p w14:paraId="25C779AB">
      <w:pPr>
        <w:adjustRightInd w:val="0"/>
        <w:snapToGrid w:val="0"/>
        <w:spacing w:before="50" w:line="360" w:lineRule="auto"/>
        <w:ind w:left="-88" w:leftChars="-42"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F9BD35B">
      <w:pPr>
        <w:adjustRightInd w:val="0"/>
        <w:snapToGrid w:val="0"/>
        <w:spacing w:before="50" w:line="360" w:lineRule="auto"/>
        <w:ind w:left="-88" w:leftChars="-42" w:firstLine="420" w:firstLineChars="200"/>
        <w:rPr>
          <w:rFonts w:hint="eastAsia" w:asciiTheme="minorEastAsia" w:hAnsiTheme="minorEastAsia" w:eastAsiaTheme="minorEastAsia"/>
          <w:color w:val="FF0000"/>
          <w:szCs w:val="21"/>
        </w:rPr>
      </w:pPr>
      <w:r>
        <w:rPr>
          <w:rFonts w:hint="eastAsia" w:asciiTheme="minorEastAsia" w:hAnsiTheme="minorEastAsia" w:eastAsiaTheme="minorEastAsia"/>
          <w:szCs w:val="21"/>
        </w:rPr>
        <w:t>（5）本表偏离表与本章第七节“采购需求响应”不一致时，以“采购需求响应”为准。</w:t>
      </w:r>
    </w:p>
    <w:p w14:paraId="5A21055D">
      <w:pPr>
        <w:adjustRightInd w:val="0"/>
        <w:snapToGrid w:val="0"/>
        <w:spacing w:before="50" w:line="360" w:lineRule="auto"/>
        <w:rPr>
          <w:rFonts w:hint="eastAsia" w:asciiTheme="minorEastAsia" w:hAnsiTheme="minorEastAsia" w:eastAsiaTheme="minorEastAsia"/>
          <w:szCs w:val="21"/>
        </w:rPr>
      </w:pPr>
    </w:p>
    <w:p w14:paraId="1906EE54">
      <w:pPr>
        <w:adjustRightInd w:val="0"/>
        <w:snapToGrid w:val="0"/>
        <w:spacing w:before="50" w:line="360" w:lineRule="auto"/>
        <w:rPr>
          <w:rFonts w:hint="eastAsia" w:ascii="宋体" w:hAnsi="宋体"/>
          <w:szCs w:val="21"/>
        </w:rPr>
      </w:pPr>
    </w:p>
    <w:p w14:paraId="4B637CA5">
      <w:pPr>
        <w:adjustRightInd w:val="0"/>
        <w:snapToGrid w:val="0"/>
        <w:spacing w:before="50" w:line="360" w:lineRule="auto"/>
        <w:rPr>
          <w:rFonts w:hint="eastAsia" w:ascii="宋体" w:hAnsi="宋体"/>
          <w:szCs w:val="21"/>
        </w:rPr>
      </w:pPr>
      <w:r>
        <w:rPr>
          <w:rFonts w:hint="eastAsia" w:ascii="宋体" w:hAnsi="宋体"/>
          <w:szCs w:val="21"/>
        </w:rPr>
        <w:t>投标人名称（盖单位电子章）：</w:t>
      </w:r>
    </w:p>
    <w:p w14:paraId="1D5C7867">
      <w:pPr>
        <w:adjustRightInd w:val="0"/>
        <w:snapToGrid w:val="0"/>
        <w:spacing w:before="50" w:line="360" w:lineRule="auto"/>
        <w:rPr>
          <w:rFonts w:hint="eastAsia"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或其授权的代理人（签字或签章）：</w:t>
      </w:r>
      <w:r>
        <w:rPr>
          <w:rFonts w:hint="eastAsia" w:ascii="宋体" w:hAnsi="宋体"/>
          <w:szCs w:val="21"/>
          <w:u w:val="single"/>
        </w:rPr>
        <w:t xml:space="preserve">                     </w:t>
      </w:r>
    </w:p>
    <w:p w14:paraId="7E01BB85">
      <w:pPr>
        <w:adjustRightInd w:val="0"/>
        <w:snapToGrid w:val="0"/>
        <w:spacing w:before="50"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23C6FFD4">
      <w:pPr>
        <w:pStyle w:val="5"/>
        <w:adjustRightInd w:val="0"/>
        <w:snapToGrid w:val="0"/>
        <w:spacing w:before="0" w:after="0" w:line="360" w:lineRule="auto"/>
        <w:jc w:val="center"/>
        <w:rPr>
          <w:rFonts w:hint="eastAsia" w:ascii="宋体" w:hAnsi="宋体"/>
          <w:szCs w:val="21"/>
        </w:rPr>
        <w:sectPr>
          <w:pgSz w:w="11906" w:h="16838"/>
          <w:pgMar w:top="1474" w:right="1474" w:bottom="1474" w:left="1474" w:header="851" w:footer="992" w:gutter="0"/>
          <w:pgNumType w:fmt="decimal"/>
          <w:cols w:space="720" w:num="1"/>
          <w:docGrid w:type="lines" w:linePitch="312" w:charSpace="0"/>
        </w:sectPr>
      </w:pPr>
      <w:r>
        <w:rPr>
          <w:rFonts w:ascii="宋体" w:hAnsi="宋体"/>
          <w:szCs w:val="21"/>
        </w:rPr>
        <w:br w:type="page"/>
      </w:r>
    </w:p>
    <w:p w14:paraId="0037E555">
      <w:pPr>
        <w:pStyle w:val="5"/>
        <w:adjustRightInd w:val="0"/>
        <w:snapToGrid w:val="0"/>
        <w:spacing w:before="0" w:after="0" w:line="360" w:lineRule="auto"/>
        <w:jc w:val="center"/>
        <w:rPr>
          <w:rFonts w:hint="eastAsia" w:ascii="黑体" w:hAnsi="宋体" w:eastAsia="黑体"/>
          <w:sz w:val="28"/>
          <w:szCs w:val="28"/>
        </w:rPr>
      </w:pPr>
      <w:bookmarkStart w:id="255" w:name="_Toc31887"/>
      <w:bookmarkStart w:id="256" w:name="_Toc32763"/>
      <w:bookmarkStart w:id="257" w:name="_Toc29913969"/>
      <w:r>
        <w:rPr>
          <w:rFonts w:hint="eastAsia" w:ascii="宋体" w:hAnsi="宋体"/>
          <w:szCs w:val="21"/>
        </w:rPr>
        <w:t>十</w:t>
      </w:r>
      <w:r>
        <w:rPr>
          <w:rFonts w:hint="eastAsia" w:ascii="黑体" w:hAnsi="宋体" w:eastAsia="黑体"/>
          <w:sz w:val="28"/>
          <w:szCs w:val="28"/>
        </w:rPr>
        <w:t>、享受政府采购政策优惠的证明资料</w:t>
      </w:r>
      <w:bookmarkEnd w:id="255"/>
      <w:bookmarkEnd w:id="256"/>
      <w:bookmarkEnd w:id="257"/>
    </w:p>
    <w:p w14:paraId="73D1ECFE">
      <w:pPr>
        <w:adjustRightInd w:val="0"/>
        <w:snapToGrid w:val="0"/>
        <w:spacing w:line="360" w:lineRule="auto"/>
        <w:rPr>
          <w:rFonts w:hint="eastAsia" w:ascii="黑体" w:hAnsi="华文中宋" w:eastAsia="黑体" w:cs="宋体"/>
          <w:bCs/>
          <w:spacing w:val="6"/>
          <w:kern w:val="0"/>
          <w:szCs w:val="21"/>
        </w:rPr>
      </w:pPr>
    </w:p>
    <w:p w14:paraId="0E5A7E4C">
      <w:pPr>
        <w:adjustRightInd w:val="0"/>
        <w:snapToGrid w:val="0"/>
        <w:spacing w:line="360" w:lineRule="auto"/>
        <w:ind w:firstLine="444" w:firstLineChars="200"/>
        <w:rPr>
          <w:rFonts w:hint="eastAsia" w:ascii="黑体" w:hAnsi="华文中宋" w:eastAsia="黑体" w:cs="宋体"/>
          <w:bCs/>
          <w:spacing w:val="6"/>
          <w:kern w:val="0"/>
          <w:szCs w:val="21"/>
        </w:rPr>
      </w:pPr>
      <w:r>
        <w:rPr>
          <w:rFonts w:hint="eastAsia" w:cs="宋体" w:asciiTheme="minorEastAsia" w:hAnsiTheme="minorEastAsia" w:eastAsiaTheme="minorEastAsia"/>
          <w:bCs/>
          <w:spacing w:val="6"/>
          <w:kern w:val="0"/>
          <w:szCs w:val="21"/>
        </w:rPr>
        <w:t>投标人符合第二章第33.6款要求的，应提供下列证明资料，并填写相关数据。否则，评审时不予以考虑。</w:t>
      </w:r>
    </w:p>
    <w:p w14:paraId="6D74BD48">
      <w:pPr>
        <w:pStyle w:val="7"/>
        <w:rPr>
          <w:rFonts w:hint="eastAsia" w:ascii="黑体" w:hAnsi="黑体" w:cs="黑体"/>
          <w:b w:val="0"/>
          <w:bCs w:val="0"/>
          <w:spacing w:val="6"/>
          <w:kern w:val="0"/>
          <w:sz w:val="21"/>
          <w:szCs w:val="21"/>
        </w:rPr>
      </w:pPr>
      <w:bookmarkStart w:id="258" w:name="_Toc29443"/>
      <w:bookmarkStart w:id="259" w:name="_Toc29913970"/>
      <w:bookmarkStart w:id="260" w:name="_Toc19860"/>
      <w:r>
        <w:rPr>
          <w:rFonts w:hint="eastAsia" w:ascii="黑体" w:hAnsi="黑体" w:cs="黑体"/>
          <w:b w:val="0"/>
          <w:bCs w:val="0"/>
          <w:sz w:val="21"/>
          <w:szCs w:val="21"/>
        </w:rPr>
        <w:t>附件10-1</w:t>
      </w:r>
      <w:bookmarkEnd w:id="258"/>
      <w:bookmarkEnd w:id="259"/>
      <w:r>
        <w:rPr>
          <w:rFonts w:hint="eastAsia" w:ascii="黑体" w:hAnsi="黑体" w:cs="黑体"/>
          <w:b w:val="0"/>
          <w:bCs w:val="0"/>
          <w:sz w:val="21"/>
          <w:szCs w:val="21"/>
        </w:rPr>
        <w:t xml:space="preserve">  中小企业声明函（工程、服务）</w:t>
      </w:r>
      <w:bookmarkEnd w:id="260"/>
    </w:p>
    <w:p w14:paraId="436BA6DC">
      <w:pPr>
        <w:widowControl/>
        <w:spacing w:before="100" w:beforeAutospacing="1" w:after="100" w:afterAutospacing="1" w:line="435" w:lineRule="atLeast"/>
        <w:jc w:val="center"/>
      </w:pPr>
      <w:r>
        <w:rPr>
          <w:rStyle w:val="24"/>
          <w:rFonts w:hint="eastAsia" w:ascii="宋体" w:hAnsi="宋体" w:cs="宋体"/>
          <w:color w:val="333333"/>
          <w:kern w:val="0"/>
          <w:sz w:val="28"/>
          <w:szCs w:val="28"/>
          <w:lang w:bidi="ar"/>
        </w:rPr>
        <w:t>中小企业声明函（工程、服务）</w:t>
      </w:r>
    </w:p>
    <w:p w14:paraId="082DC63E">
      <w:pPr>
        <w:widowControl/>
        <w:spacing w:before="100" w:beforeAutospacing="1" w:after="100" w:afterAutospacing="1" w:line="480" w:lineRule="auto"/>
        <w:ind w:firstLine="482"/>
        <w:jc w:val="left"/>
      </w:pPr>
      <w:r>
        <w:rPr>
          <w:rFonts w:hint="eastAsia" w:ascii="宋体" w:hAnsi="宋体" w:cs="宋体"/>
          <w:color w:val="333333"/>
          <w:kern w:val="0"/>
          <w:sz w:val="24"/>
          <w:lang w:bidi="ar"/>
        </w:rPr>
        <w:t>本公司（联合体）郑重声明，根据《政府采购促进中小企业发展管理办法》（财库﹝2020﹞46 号）的规定，本公司（联合体）参加</w:t>
      </w:r>
      <w:r>
        <w:rPr>
          <w:rFonts w:hint="eastAsia" w:ascii="宋体" w:hAnsi="宋体" w:cs="宋体"/>
          <w:color w:val="333333"/>
          <w:kern w:val="0"/>
          <w:sz w:val="24"/>
          <w:u w:val="single"/>
          <w:lang w:bidi="ar"/>
        </w:rPr>
        <w:t>    （单位名称）</w:t>
      </w:r>
      <w:r>
        <w:rPr>
          <w:rFonts w:hint="eastAsia" w:ascii="宋体" w:hAnsi="宋体" w:cs="宋体"/>
          <w:color w:val="333333"/>
          <w:kern w:val="0"/>
          <w:sz w:val="24"/>
          <w:lang w:bidi="ar"/>
        </w:rPr>
        <w:t>的</w:t>
      </w:r>
      <w:r>
        <w:rPr>
          <w:rFonts w:hint="eastAsia" w:ascii="宋体" w:hAnsi="宋体" w:cs="宋体"/>
          <w:color w:val="333333"/>
          <w:kern w:val="0"/>
          <w:sz w:val="24"/>
          <w:u w:val="single"/>
          <w:lang w:bidi="ar"/>
        </w:rPr>
        <w:t>（项目名称）</w:t>
      </w:r>
      <w:r>
        <w:rPr>
          <w:rFonts w:hint="eastAsia" w:ascii="宋体" w:hAnsi="宋体" w:cs="宋体"/>
          <w:color w:val="333333"/>
          <w:kern w:val="0"/>
          <w:sz w:val="24"/>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369E65B8">
      <w:pPr>
        <w:widowControl/>
        <w:spacing w:before="100" w:beforeAutospacing="1" w:after="100" w:afterAutospacing="1" w:line="480" w:lineRule="auto"/>
        <w:ind w:firstLine="482"/>
      </w:pPr>
      <w:r>
        <w:rPr>
          <w:rFonts w:hint="eastAsia" w:ascii="宋体" w:hAnsi="宋体" w:cs="宋体"/>
          <w:color w:val="333333"/>
          <w:kern w:val="0"/>
          <w:sz w:val="24"/>
          <w:u w:val="single"/>
          <w:lang w:bidi="ar"/>
        </w:rPr>
        <w:t>1.   （标的名称）</w:t>
      </w:r>
      <w:r>
        <w:rPr>
          <w:rFonts w:hint="eastAsia" w:ascii="宋体" w:hAnsi="宋体" w:cs="宋体"/>
          <w:color w:val="333333"/>
          <w:kern w:val="0"/>
          <w:sz w:val="24"/>
          <w:lang w:bidi="ar"/>
        </w:rPr>
        <w:t>，属于</w:t>
      </w:r>
      <w:r>
        <w:rPr>
          <w:rFonts w:hint="eastAsia" w:ascii="宋体" w:hAnsi="宋体" w:cs="宋体"/>
          <w:color w:val="333333"/>
          <w:kern w:val="0"/>
          <w:sz w:val="24"/>
          <w:u w:val="single"/>
          <w:lang w:bidi="ar"/>
        </w:rPr>
        <w:t>    （采购文件中明确的所属行业）</w:t>
      </w:r>
      <w:r>
        <w:rPr>
          <w:rFonts w:hint="eastAsia" w:ascii="宋体" w:hAnsi="宋体" w:cs="宋体"/>
          <w:color w:val="333333"/>
          <w:kern w:val="0"/>
          <w:sz w:val="24"/>
          <w:lang w:bidi="ar"/>
        </w:rPr>
        <w:t>；承建（承接）企业为</w:t>
      </w:r>
      <w:r>
        <w:rPr>
          <w:rFonts w:hint="eastAsia" w:ascii="宋体" w:hAnsi="宋体" w:cs="宋体"/>
          <w:color w:val="333333"/>
          <w:kern w:val="0"/>
          <w:sz w:val="24"/>
          <w:u w:val="single"/>
          <w:lang w:bidi="ar"/>
        </w:rPr>
        <w:t>    （企业名称）</w:t>
      </w:r>
      <w:r>
        <w:rPr>
          <w:rFonts w:hint="eastAsia" w:ascii="宋体" w:hAnsi="宋体" w:cs="宋体"/>
          <w:color w:val="333333"/>
          <w:kern w:val="0"/>
          <w:sz w:val="24"/>
          <w:lang w:bidi="ar"/>
        </w:rPr>
        <w:t>，从业人员</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人，营业收入为</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万元，资产总额为</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万元，属于</w:t>
      </w:r>
      <w:r>
        <w:rPr>
          <w:rFonts w:hint="eastAsia" w:ascii="宋体" w:hAnsi="宋体" w:cs="宋体"/>
          <w:color w:val="333333"/>
          <w:kern w:val="0"/>
          <w:sz w:val="24"/>
          <w:u w:val="single"/>
          <w:lang w:bidi="ar"/>
        </w:rPr>
        <w:t>     （中型企业、小型企业、微型企业）</w:t>
      </w:r>
      <w:r>
        <w:rPr>
          <w:rFonts w:hint="eastAsia" w:ascii="宋体" w:hAnsi="宋体" w:cs="宋体"/>
          <w:color w:val="333333"/>
          <w:kern w:val="0"/>
          <w:sz w:val="24"/>
          <w:lang w:bidi="ar"/>
        </w:rPr>
        <w:t>；</w:t>
      </w:r>
    </w:p>
    <w:p w14:paraId="7536BC6E">
      <w:pPr>
        <w:widowControl/>
        <w:spacing w:before="100" w:beforeAutospacing="1" w:after="100" w:afterAutospacing="1" w:line="480" w:lineRule="auto"/>
        <w:ind w:firstLine="482"/>
      </w:pPr>
      <w:r>
        <w:rPr>
          <w:rFonts w:hint="eastAsia" w:ascii="宋体" w:hAnsi="宋体" w:cs="宋体"/>
          <w:color w:val="333333"/>
          <w:kern w:val="0"/>
          <w:sz w:val="24"/>
          <w:lang w:bidi="ar"/>
        </w:rPr>
        <w:t>2.</w:t>
      </w:r>
      <w:r>
        <w:rPr>
          <w:rFonts w:hint="eastAsia" w:ascii="宋体" w:hAnsi="宋体" w:cs="宋体"/>
          <w:color w:val="333333"/>
          <w:kern w:val="0"/>
          <w:sz w:val="24"/>
          <w:u w:val="single"/>
          <w:lang w:bidi="ar"/>
        </w:rPr>
        <w:t>     （标的名称）</w:t>
      </w:r>
      <w:r>
        <w:rPr>
          <w:rFonts w:hint="eastAsia" w:ascii="宋体" w:hAnsi="宋体" w:cs="宋体"/>
          <w:color w:val="333333"/>
          <w:kern w:val="0"/>
          <w:sz w:val="24"/>
          <w:lang w:bidi="ar"/>
        </w:rPr>
        <w:t>，属于</w:t>
      </w:r>
      <w:r>
        <w:rPr>
          <w:rFonts w:hint="eastAsia" w:ascii="宋体" w:hAnsi="宋体" w:cs="宋体"/>
          <w:color w:val="333333"/>
          <w:kern w:val="0"/>
          <w:sz w:val="24"/>
          <w:u w:val="single"/>
          <w:lang w:bidi="ar"/>
        </w:rPr>
        <w:t>     （采购文件中明确的所属行业）</w:t>
      </w:r>
      <w:r>
        <w:rPr>
          <w:rFonts w:hint="eastAsia" w:ascii="宋体" w:hAnsi="宋体" w:cs="宋体"/>
          <w:color w:val="333333"/>
          <w:kern w:val="0"/>
          <w:sz w:val="24"/>
          <w:lang w:bidi="ar"/>
        </w:rPr>
        <w:t>行业；制造商为</w:t>
      </w:r>
      <w:r>
        <w:rPr>
          <w:rFonts w:hint="eastAsia" w:ascii="宋体" w:hAnsi="宋体" w:cs="宋体"/>
          <w:color w:val="333333"/>
          <w:kern w:val="0"/>
          <w:sz w:val="24"/>
          <w:u w:val="single"/>
          <w:lang w:bidi="ar"/>
        </w:rPr>
        <w:t>       （企业名称）</w:t>
      </w:r>
      <w:r>
        <w:rPr>
          <w:rFonts w:hint="eastAsia" w:ascii="宋体" w:hAnsi="宋体" w:cs="宋体"/>
          <w:color w:val="333333"/>
          <w:kern w:val="0"/>
          <w:sz w:val="24"/>
          <w:lang w:bidi="ar"/>
        </w:rPr>
        <w:t>，从业人员</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人，营业收入为</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万元，资产总额为</w:t>
      </w:r>
      <w:r>
        <w:rPr>
          <w:rFonts w:hint="eastAsia" w:ascii="宋体" w:hAnsi="宋体" w:cs="宋体"/>
          <w:color w:val="333333"/>
          <w:kern w:val="0"/>
          <w:sz w:val="24"/>
          <w:u w:val="single"/>
          <w:lang w:bidi="ar"/>
        </w:rPr>
        <w:t>   </w:t>
      </w:r>
      <w:r>
        <w:rPr>
          <w:rFonts w:hint="eastAsia" w:ascii="宋体" w:hAnsi="宋体" w:cs="宋体"/>
          <w:color w:val="333333"/>
          <w:kern w:val="0"/>
          <w:sz w:val="24"/>
          <w:lang w:bidi="ar"/>
        </w:rPr>
        <w:t>万元</w:t>
      </w:r>
      <w:r>
        <w:rPr>
          <w:rFonts w:hint="eastAsia" w:ascii="宋体" w:hAnsi="宋体" w:cs="宋体"/>
          <w:color w:val="333333"/>
          <w:kern w:val="0"/>
          <w:sz w:val="24"/>
          <w:vertAlign w:val="superscript"/>
          <w:lang w:bidi="ar"/>
        </w:rPr>
        <w:t>1</w:t>
      </w:r>
      <w:r>
        <w:rPr>
          <w:rFonts w:hint="eastAsia" w:ascii="宋体" w:hAnsi="宋体" w:cs="宋体"/>
          <w:color w:val="333333"/>
          <w:kern w:val="0"/>
          <w:sz w:val="24"/>
          <w:lang w:bidi="ar"/>
        </w:rPr>
        <w:t>，属于</w:t>
      </w:r>
      <w:r>
        <w:rPr>
          <w:rFonts w:hint="eastAsia" w:ascii="宋体" w:hAnsi="宋体" w:cs="宋体"/>
          <w:color w:val="333333"/>
          <w:kern w:val="0"/>
          <w:sz w:val="24"/>
          <w:u w:val="single"/>
          <w:lang w:bidi="ar"/>
        </w:rPr>
        <w:t>     （中型企业、小型企业、微型企业）</w:t>
      </w:r>
      <w:r>
        <w:rPr>
          <w:rFonts w:hint="eastAsia" w:ascii="宋体" w:hAnsi="宋体" w:cs="宋体"/>
          <w:color w:val="333333"/>
          <w:kern w:val="0"/>
          <w:sz w:val="24"/>
          <w:lang w:bidi="ar"/>
        </w:rPr>
        <w:t>；</w:t>
      </w:r>
    </w:p>
    <w:p w14:paraId="7AFA280C">
      <w:pPr>
        <w:widowControl/>
        <w:spacing w:before="100" w:beforeAutospacing="1" w:after="100" w:afterAutospacing="1" w:line="480" w:lineRule="auto"/>
        <w:ind w:firstLine="482"/>
      </w:pPr>
      <w:r>
        <w:rPr>
          <w:rFonts w:hint="eastAsia" w:ascii="宋体" w:hAnsi="宋体" w:cs="宋体"/>
          <w:color w:val="333333"/>
          <w:kern w:val="0"/>
          <w:sz w:val="24"/>
          <w:lang w:bidi="ar"/>
        </w:rPr>
        <w:t>……</w:t>
      </w:r>
    </w:p>
    <w:p w14:paraId="1279DE5F">
      <w:pPr>
        <w:widowControl/>
        <w:spacing w:before="100" w:beforeAutospacing="1" w:after="100" w:afterAutospacing="1" w:line="480" w:lineRule="auto"/>
        <w:ind w:firstLine="482"/>
        <w:jc w:val="left"/>
      </w:pPr>
      <w:r>
        <w:rPr>
          <w:rFonts w:hint="eastAsia" w:ascii="宋体" w:hAnsi="宋体" w:cs="宋体"/>
          <w:color w:val="333333"/>
          <w:kern w:val="0"/>
          <w:sz w:val="24"/>
          <w:lang w:bidi="ar"/>
        </w:rPr>
        <w:t>以上企业，不属于大企业的分支机构，不存在控股股东为大企业的情形，也不存在与大企业的负责人为同一人的情形。</w:t>
      </w:r>
    </w:p>
    <w:p w14:paraId="7873424D">
      <w:pPr>
        <w:widowControl/>
        <w:spacing w:before="100" w:beforeAutospacing="1" w:after="100" w:afterAutospacing="1" w:line="540" w:lineRule="exact"/>
        <w:ind w:firstLine="482"/>
        <w:jc w:val="left"/>
      </w:pPr>
      <w:r>
        <w:rPr>
          <w:rFonts w:hint="eastAsia" w:ascii="宋体" w:hAnsi="宋体" w:cs="宋体"/>
          <w:color w:val="333333"/>
          <w:kern w:val="0"/>
          <w:sz w:val="24"/>
          <w:lang w:bidi="ar"/>
        </w:rPr>
        <w:t>本企业对上述声明内容的真实性负责。如有虚假，将依法承担相应责任。</w:t>
      </w:r>
    </w:p>
    <w:p w14:paraId="1A897718">
      <w:pPr>
        <w:widowControl/>
        <w:spacing w:before="100" w:beforeAutospacing="1" w:after="100" w:afterAutospacing="1" w:line="540" w:lineRule="exact"/>
        <w:ind w:firstLine="5280"/>
        <w:jc w:val="left"/>
      </w:pPr>
      <w:r>
        <w:rPr>
          <w:rFonts w:hint="eastAsia" w:ascii="宋体" w:hAnsi="宋体" w:cs="宋体"/>
          <w:color w:val="333333"/>
          <w:kern w:val="0"/>
          <w:sz w:val="24"/>
          <w:lang w:bidi="ar"/>
        </w:rPr>
        <w:t>企业名称（盖章）：</w:t>
      </w:r>
    </w:p>
    <w:p w14:paraId="232D8285">
      <w:pPr>
        <w:widowControl/>
        <w:spacing w:before="100" w:beforeAutospacing="1" w:after="100" w:afterAutospacing="1" w:line="540" w:lineRule="exact"/>
        <w:ind w:firstLine="5280"/>
        <w:jc w:val="left"/>
      </w:pPr>
      <w:r>
        <w:rPr>
          <w:rFonts w:hint="eastAsia" w:ascii="宋体" w:hAnsi="宋体" w:cs="宋体"/>
          <w:color w:val="333333"/>
          <w:kern w:val="0"/>
          <w:sz w:val="24"/>
          <w:lang w:bidi="ar"/>
        </w:rPr>
        <w:t>日 期：</w:t>
      </w:r>
    </w:p>
    <w:p w14:paraId="14FFD273">
      <w:pPr>
        <w:widowControl/>
        <w:spacing w:before="100" w:beforeAutospacing="1" w:after="100" w:afterAutospacing="1" w:line="435" w:lineRule="atLeast"/>
        <w:jc w:val="left"/>
      </w:pPr>
      <w:r>
        <w:rPr>
          <w:rFonts w:hint="eastAsia" w:ascii="宋体" w:hAnsi="宋体" w:cs="宋体"/>
          <w:color w:val="333333"/>
          <w:kern w:val="0"/>
          <w:sz w:val="24"/>
          <w:u w:val="single"/>
          <w:lang w:bidi="ar"/>
        </w:rPr>
        <w:t>              </w:t>
      </w:r>
    </w:p>
    <w:p w14:paraId="0BE8A8EF">
      <w:pPr>
        <w:widowControl/>
        <w:spacing w:before="100" w:beforeAutospacing="1" w:after="100" w:afterAutospacing="1" w:line="435" w:lineRule="atLeast"/>
        <w:jc w:val="left"/>
      </w:pPr>
      <w:r>
        <w:rPr>
          <w:rFonts w:hint="eastAsia" w:ascii="宋体" w:hAnsi="宋体" w:cs="宋体"/>
          <w:color w:val="333333"/>
          <w:kern w:val="0"/>
          <w:sz w:val="18"/>
          <w:szCs w:val="18"/>
          <w:vertAlign w:val="superscript"/>
          <w:lang w:bidi="ar"/>
        </w:rPr>
        <w:t>1</w:t>
      </w:r>
      <w:r>
        <w:rPr>
          <w:rFonts w:hint="eastAsia" w:ascii="宋体" w:hAnsi="宋体" w:cs="宋体"/>
          <w:color w:val="333333"/>
          <w:kern w:val="0"/>
          <w:sz w:val="18"/>
          <w:szCs w:val="18"/>
          <w:lang w:bidi="ar"/>
        </w:rPr>
        <w:t>从业人员、营业收入、资产总额填报上一年度数据，无上一年度数据的新成立企业可不填报。</w:t>
      </w:r>
    </w:p>
    <w:p w14:paraId="048C53E7">
      <w:pPr>
        <w:widowControl/>
        <w:adjustRightInd w:val="0"/>
        <w:snapToGrid w:val="0"/>
        <w:spacing w:line="360" w:lineRule="auto"/>
        <w:ind w:firstLine="446" w:firstLineChars="200"/>
        <w:jc w:val="center"/>
        <w:rPr>
          <w:rFonts w:hint="eastAsia" w:cs="宋体" w:asciiTheme="minorEastAsia" w:hAnsiTheme="minorEastAsia" w:eastAsiaTheme="minorEastAsia"/>
          <w:b/>
          <w:spacing w:val="6"/>
          <w:kern w:val="0"/>
          <w:szCs w:val="21"/>
          <w:u w:val="single"/>
        </w:rPr>
      </w:pPr>
    </w:p>
    <w:p w14:paraId="3089F6CB">
      <w:pPr>
        <w:widowControl/>
        <w:adjustRightInd w:val="0"/>
        <w:snapToGrid w:val="0"/>
        <w:spacing w:line="360" w:lineRule="auto"/>
        <w:ind w:firstLine="446" w:firstLineChars="200"/>
        <w:jc w:val="left"/>
        <w:rPr>
          <w:rFonts w:hint="eastAsia" w:cs="宋体" w:asciiTheme="minorEastAsia" w:hAnsiTheme="minorEastAsia" w:eastAsiaTheme="minorEastAsia"/>
          <w:b/>
          <w:bCs/>
          <w:spacing w:val="6"/>
          <w:kern w:val="0"/>
          <w:szCs w:val="21"/>
        </w:rPr>
      </w:pPr>
    </w:p>
    <w:p w14:paraId="21028467">
      <w:pPr>
        <w:widowControl/>
        <w:adjustRightInd w:val="0"/>
        <w:snapToGrid w:val="0"/>
        <w:spacing w:line="360" w:lineRule="auto"/>
        <w:ind w:firstLine="446" w:firstLineChars="200"/>
        <w:jc w:val="left"/>
        <w:rPr>
          <w:rFonts w:hint="eastAsia" w:cs="宋体" w:asciiTheme="minorEastAsia" w:hAnsiTheme="minorEastAsia" w:eastAsiaTheme="minorEastAsia"/>
          <w:b/>
          <w:bCs/>
          <w:spacing w:val="6"/>
          <w:kern w:val="0"/>
          <w:szCs w:val="21"/>
        </w:rPr>
      </w:pPr>
    </w:p>
    <w:p w14:paraId="1ABEFB2D">
      <w:pPr>
        <w:widowControl/>
        <w:adjustRightInd w:val="0"/>
        <w:snapToGrid w:val="0"/>
        <w:spacing w:line="360" w:lineRule="auto"/>
        <w:ind w:firstLine="446" w:firstLineChars="200"/>
        <w:jc w:val="left"/>
        <w:rPr>
          <w:rFonts w:hint="eastAsia" w:cs="宋体" w:asciiTheme="minorEastAsia" w:hAnsiTheme="minorEastAsia" w:eastAsiaTheme="minorEastAsia"/>
          <w:b/>
          <w:bCs/>
          <w:spacing w:val="6"/>
          <w:kern w:val="0"/>
          <w:szCs w:val="21"/>
        </w:rPr>
      </w:pPr>
    </w:p>
    <w:p w14:paraId="4432BA73">
      <w:pPr>
        <w:widowControl/>
        <w:jc w:val="left"/>
        <w:rPr>
          <w:rFonts w:hint="eastAsia" w:ascii="黑体" w:hAnsi="华文中宋" w:eastAsia="黑体" w:cs="宋体"/>
          <w:spacing w:val="6"/>
          <w:kern w:val="0"/>
          <w:szCs w:val="21"/>
        </w:rPr>
      </w:pPr>
      <w:r>
        <w:rPr>
          <w:rFonts w:ascii="黑体" w:hAnsi="华文中宋" w:cs="宋体"/>
          <w:b/>
          <w:bCs/>
          <w:spacing w:val="6"/>
          <w:kern w:val="0"/>
          <w:szCs w:val="21"/>
        </w:rPr>
        <w:br w:type="page"/>
      </w:r>
    </w:p>
    <w:p w14:paraId="6650385A">
      <w:pPr>
        <w:pStyle w:val="7"/>
        <w:rPr>
          <w:rFonts w:hint="eastAsia" w:ascii="黑体" w:hAnsi="宋体"/>
          <w:b w:val="0"/>
          <w:spacing w:val="6"/>
          <w:sz w:val="21"/>
          <w:szCs w:val="21"/>
        </w:rPr>
      </w:pPr>
      <w:bookmarkStart w:id="261" w:name="_Toc29913972"/>
      <w:bookmarkStart w:id="262" w:name="_Toc14005"/>
      <w:bookmarkStart w:id="263" w:name="_Toc15671"/>
      <w:r>
        <w:rPr>
          <w:rFonts w:hint="eastAsia" w:ascii="黑体" w:hAnsi="华文中宋" w:cs="宋体"/>
          <w:b w:val="0"/>
          <w:bCs w:val="0"/>
          <w:spacing w:val="6"/>
          <w:kern w:val="0"/>
          <w:sz w:val="21"/>
          <w:szCs w:val="21"/>
        </w:rPr>
        <w:t xml:space="preserve">附件10-2 </w:t>
      </w:r>
      <w:r>
        <w:rPr>
          <w:rFonts w:hint="eastAsia" w:ascii="黑体" w:hAnsi="宋体"/>
          <w:b w:val="0"/>
          <w:spacing w:val="6"/>
          <w:sz w:val="21"/>
          <w:szCs w:val="21"/>
        </w:rPr>
        <w:t>残疾人福利性单位声明函</w:t>
      </w:r>
      <w:bookmarkEnd w:id="261"/>
      <w:bookmarkEnd w:id="262"/>
      <w:bookmarkEnd w:id="263"/>
    </w:p>
    <w:p w14:paraId="56677D32">
      <w:pPr>
        <w:adjustRightInd w:val="0"/>
        <w:snapToGrid w:val="0"/>
        <w:spacing w:line="360" w:lineRule="auto"/>
        <w:jc w:val="center"/>
        <w:rPr>
          <w:rFonts w:hint="eastAsia" w:ascii="黑体" w:hAnsi="黑体" w:eastAsia="黑体"/>
          <w:b/>
          <w:spacing w:val="6"/>
          <w:sz w:val="28"/>
          <w:szCs w:val="28"/>
        </w:rPr>
      </w:pPr>
      <w:r>
        <w:rPr>
          <w:rFonts w:hint="eastAsia" w:ascii="黑体" w:hAnsi="黑体" w:eastAsia="黑体"/>
          <w:b/>
          <w:spacing w:val="6"/>
          <w:sz w:val="28"/>
          <w:szCs w:val="28"/>
        </w:rPr>
        <w:t>残疾人福利性单位声明函</w:t>
      </w:r>
    </w:p>
    <w:p w14:paraId="00999251">
      <w:pPr>
        <w:adjustRightInd w:val="0"/>
        <w:snapToGrid w:val="0"/>
        <w:spacing w:line="360" w:lineRule="auto"/>
        <w:jc w:val="center"/>
        <w:rPr>
          <w:rFonts w:hint="eastAsia" w:ascii="宋体" w:hAnsi="宋体"/>
          <w:b/>
          <w:spacing w:val="6"/>
          <w:szCs w:val="21"/>
        </w:rPr>
      </w:pPr>
      <w:r>
        <w:rPr>
          <w:rFonts w:hint="eastAsia" w:ascii="宋体" w:hAnsi="宋体"/>
          <w:b/>
          <w:spacing w:val="6"/>
          <w:szCs w:val="21"/>
        </w:rPr>
        <w:t>(不属于残疾人福利性单位的无需填写)</w:t>
      </w:r>
    </w:p>
    <w:p w14:paraId="7EF0FFA3">
      <w:pPr>
        <w:adjustRightInd w:val="0"/>
        <w:snapToGrid w:val="0"/>
        <w:spacing w:line="360" w:lineRule="auto"/>
        <w:ind w:firstLine="444" w:firstLineChars="200"/>
        <w:rPr>
          <w:rFonts w:hint="eastAsia" w:ascii="宋体" w:hAnsi="宋体"/>
          <w:spacing w:val="6"/>
          <w:szCs w:val="21"/>
        </w:rPr>
      </w:pPr>
    </w:p>
    <w:p w14:paraId="3F0DED96">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F9586EC">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本单位对上述声明的真实性负责。如有虚假，将依法承担相应责任。</w:t>
      </w:r>
    </w:p>
    <w:p w14:paraId="028161E7">
      <w:pPr>
        <w:adjustRightInd w:val="0"/>
        <w:snapToGrid w:val="0"/>
        <w:spacing w:line="360" w:lineRule="auto"/>
        <w:ind w:firstLine="444" w:firstLineChars="200"/>
        <w:rPr>
          <w:rFonts w:hint="eastAsia" w:ascii="宋体" w:hAnsi="宋体"/>
          <w:spacing w:val="6"/>
          <w:szCs w:val="21"/>
        </w:rPr>
      </w:pPr>
    </w:p>
    <w:p w14:paraId="7976B764">
      <w:pPr>
        <w:adjustRightInd w:val="0"/>
        <w:snapToGrid w:val="0"/>
        <w:spacing w:line="360" w:lineRule="auto"/>
        <w:ind w:firstLine="444" w:firstLineChars="200"/>
        <w:rPr>
          <w:rFonts w:hint="eastAsia" w:ascii="宋体" w:hAnsi="宋体"/>
          <w:spacing w:val="6"/>
          <w:szCs w:val="21"/>
        </w:rPr>
      </w:pPr>
    </w:p>
    <w:p w14:paraId="4CBFD6FE">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单位名称（盖单位电子章）：</w:t>
      </w:r>
    </w:p>
    <w:p w14:paraId="2A5588A0">
      <w:pPr>
        <w:tabs>
          <w:tab w:val="left" w:pos="4860"/>
        </w:tabs>
        <w:adjustRightInd w:val="0"/>
        <w:snapToGrid w:val="0"/>
        <w:spacing w:line="360" w:lineRule="auto"/>
        <w:ind w:right="1560" w:firstLine="444" w:firstLineChars="200"/>
        <w:jc w:val="center"/>
        <w:rPr>
          <w:rFonts w:hint="eastAsia" w:ascii="宋体" w:hAnsi="宋体"/>
          <w:spacing w:val="6"/>
          <w:szCs w:val="21"/>
        </w:rPr>
      </w:pPr>
      <w:r>
        <w:rPr>
          <w:rFonts w:hint="eastAsia" w:ascii="宋体" w:hAnsi="宋体"/>
          <w:spacing w:val="6"/>
          <w:szCs w:val="21"/>
        </w:rPr>
        <w:t xml:space="preserve">       日  期：</w:t>
      </w:r>
    </w:p>
    <w:p w14:paraId="45D95302">
      <w:pPr>
        <w:widowControl/>
        <w:adjustRightInd w:val="0"/>
        <w:snapToGrid w:val="0"/>
        <w:spacing w:line="360" w:lineRule="auto"/>
        <w:jc w:val="left"/>
        <w:rPr>
          <w:rFonts w:hint="eastAsia" w:ascii="宋体" w:hAnsi="宋体" w:cs="宋体"/>
          <w:kern w:val="0"/>
          <w:szCs w:val="21"/>
        </w:rPr>
      </w:pPr>
    </w:p>
    <w:p w14:paraId="1C1F3BB8">
      <w:pPr>
        <w:widowControl/>
        <w:jc w:val="left"/>
        <w:rPr>
          <w:rFonts w:hint="eastAsia" w:ascii="黑体" w:hAnsi="华文中宋" w:eastAsia="黑体" w:cs="宋体"/>
          <w:spacing w:val="6"/>
          <w:kern w:val="0"/>
          <w:szCs w:val="21"/>
        </w:rPr>
      </w:pPr>
      <w:r>
        <w:rPr>
          <w:rFonts w:ascii="黑体" w:hAnsi="华文中宋" w:cs="宋体"/>
          <w:b/>
          <w:bCs/>
          <w:spacing w:val="6"/>
          <w:kern w:val="0"/>
          <w:szCs w:val="21"/>
        </w:rPr>
        <w:br w:type="page"/>
      </w:r>
    </w:p>
    <w:p w14:paraId="2160BFFA">
      <w:pPr>
        <w:pStyle w:val="7"/>
        <w:rPr>
          <w:rFonts w:hint="eastAsia" w:ascii="黑体" w:hAnsi="宋体"/>
          <w:b w:val="0"/>
          <w:sz w:val="21"/>
          <w:szCs w:val="21"/>
        </w:rPr>
      </w:pPr>
      <w:bookmarkStart w:id="264" w:name="_Toc29913973"/>
      <w:bookmarkStart w:id="265" w:name="_Toc27688"/>
      <w:bookmarkStart w:id="266" w:name="_Toc11686"/>
      <w:r>
        <w:rPr>
          <w:rFonts w:hint="eastAsia" w:ascii="黑体" w:hAnsi="宋体" w:cs="宋体"/>
          <w:b w:val="0"/>
          <w:kern w:val="0"/>
          <w:sz w:val="21"/>
          <w:szCs w:val="21"/>
        </w:rPr>
        <w:t xml:space="preserve">附件10-3 </w:t>
      </w:r>
      <w:r>
        <w:rPr>
          <w:rFonts w:hint="eastAsia" w:ascii="黑体" w:hAnsi="宋体"/>
          <w:b w:val="0"/>
          <w:sz w:val="21"/>
          <w:szCs w:val="21"/>
        </w:rPr>
        <w:t>监狱企业证明资料</w:t>
      </w:r>
      <w:bookmarkEnd w:id="264"/>
      <w:bookmarkEnd w:id="265"/>
      <w:bookmarkEnd w:id="266"/>
    </w:p>
    <w:p w14:paraId="2319E1E5">
      <w:pPr>
        <w:adjustRightInd w:val="0"/>
        <w:snapToGrid w:val="0"/>
        <w:spacing w:line="360" w:lineRule="auto"/>
        <w:jc w:val="center"/>
        <w:rPr>
          <w:rFonts w:hint="eastAsia" w:ascii="黑体" w:hAnsi="宋体"/>
          <w:b/>
          <w:sz w:val="28"/>
          <w:szCs w:val="28"/>
        </w:rPr>
      </w:pPr>
      <w:r>
        <w:rPr>
          <w:rFonts w:hint="eastAsia" w:ascii="黑体" w:hAnsi="宋体"/>
          <w:b/>
          <w:sz w:val="28"/>
          <w:szCs w:val="28"/>
        </w:rPr>
        <w:t>监狱企业证明资料</w:t>
      </w:r>
    </w:p>
    <w:p w14:paraId="77E85A55">
      <w:pPr>
        <w:adjustRightInd w:val="0"/>
        <w:snapToGrid w:val="0"/>
        <w:spacing w:line="360" w:lineRule="auto"/>
        <w:jc w:val="center"/>
        <w:rPr>
          <w:rFonts w:hint="eastAsia" w:ascii="宋体" w:hAnsi="宋体"/>
          <w:b/>
          <w:spacing w:val="6"/>
          <w:szCs w:val="21"/>
        </w:rPr>
      </w:pPr>
      <w:r>
        <w:rPr>
          <w:rFonts w:hint="eastAsia" w:ascii="宋体" w:hAnsi="宋体"/>
          <w:b/>
          <w:spacing w:val="6"/>
          <w:szCs w:val="21"/>
        </w:rPr>
        <w:t>(不属于监狱企业的无需提供)</w:t>
      </w:r>
    </w:p>
    <w:p w14:paraId="1D03BC45">
      <w:pPr>
        <w:adjustRightInd w:val="0"/>
        <w:snapToGrid w:val="0"/>
        <w:spacing w:line="360" w:lineRule="auto"/>
        <w:rPr>
          <w:rFonts w:hint="eastAsia" w:asciiTheme="minorEastAsia" w:hAnsiTheme="minorEastAsia" w:eastAsiaTheme="minorEastAsia"/>
          <w:szCs w:val="21"/>
        </w:rPr>
      </w:pPr>
    </w:p>
    <w:p w14:paraId="4FFBCE81">
      <w:pPr>
        <w:adjustRightInd w:val="0"/>
        <w:snapToGrid w:val="0"/>
        <w:spacing w:line="360" w:lineRule="auto"/>
        <w:ind w:firstLine="444" w:firstLineChars="200"/>
        <w:rPr>
          <w:rFonts w:hint="eastAsia" w:asciiTheme="minorEastAsia" w:hAnsiTheme="minorEastAsia" w:eastAsiaTheme="minorEastAsia"/>
          <w:szCs w:val="21"/>
        </w:rPr>
      </w:pPr>
      <w:r>
        <w:rPr>
          <w:rFonts w:hint="eastAsia" w:cs="宋体" w:asciiTheme="minorEastAsia" w:hAnsiTheme="minorEastAsia" w:eastAsiaTheme="minorEastAsia"/>
          <w:bCs/>
          <w:spacing w:val="6"/>
          <w:kern w:val="0"/>
          <w:szCs w:val="21"/>
        </w:rPr>
        <w:t>备注：</w:t>
      </w:r>
      <w:r>
        <w:rPr>
          <w:rFonts w:hint="eastAsia" w:asciiTheme="minorEastAsia" w:hAnsiTheme="minorEastAsia" w:eastAsiaTheme="minorEastAsia"/>
          <w:szCs w:val="21"/>
        </w:rPr>
        <w:t>按</w:t>
      </w:r>
      <w:r>
        <w:rPr>
          <w:rFonts w:hint="eastAsia" w:ascii="宋体" w:hAnsi="宋体"/>
          <w:spacing w:val="6"/>
          <w:szCs w:val="21"/>
        </w:rPr>
        <w:t>《</w:t>
      </w:r>
      <w:r>
        <w:rPr>
          <w:rFonts w:hint="eastAsia" w:asciiTheme="minorEastAsia" w:hAnsiTheme="minorEastAsia" w:eastAsiaTheme="minorEastAsia"/>
          <w:szCs w:val="21"/>
        </w:rPr>
        <w:t>财政部 司法部关于政府采购支持监狱企业发展有关问题的通知</w:t>
      </w:r>
      <w:r>
        <w:rPr>
          <w:rFonts w:hint="eastAsia" w:ascii="宋体" w:hAnsi="宋体"/>
          <w:spacing w:val="6"/>
          <w:szCs w:val="21"/>
        </w:rPr>
        <w:t>》</w:t>
      </w:r>
      <w:r>
        <w:rPr>
          <w:rFonts w:hint="eastAsia" w:asciiTheme="minorEastAsia" w:hAnsiTheme="minorEastAsia" w:eastAsiaTheme="minorEastAsia"/>
          <w:szCs w:val="21"/>
        </w:rPr>
        <w:t>(财库〔2014〕68号)文件规定提供证明文件（复印件）。</w:t>
      </w:r>
    </w:p>
    <w:p w14:paraId="391456E9">
      <w:pPr>
        <w:adjustRightInd w:val="0"/>
        <w:snapToGrid w:val="0"/>
        <w:spacing w:line="360" w:lineRule="auto"/>
        <w:rPr>
          <w:rFonts w:hint="eastAsia" w:ascii="黑体" w:hAnsi="华文中宋" w:eastAsia="黑体" w:cs="宋体"/>
          <w:bCs/>
          <w:spacing w:val="6"/>
          <w:kern w:val="0"/>
          <w:szCs w:val="21"/>
        </w:rPr>
      </w:pPr>
      <w:r>
        <w:rPr>
          <w:rFonts w:ascii="黑体" w:hAnsi="华文中宋" w:eastAsia="黑体" w:cs="宋体"/>
          <w:bCs/>
          <w:spacing w:val="6"/>
          <w:kern w:val="0"/>
          <w:szCs w:val="21"/>
        </w:rPr>
        <w:br w:type="page"/>
      </w:r>
    </w:p>
    <w:p w14:paraId="0878996D">
      <w:pPr>
        <w:pStyle w:val="7"/>
        <w:rPr>
          <w:rFonts w:hint="eastAsia" w:ascii="黑体" w:hAnsi="宋体"/>
          <w:b w:val="0"/>
          <w:sz w:val="21"/>
          <w:szCs w:val="21"/>
        </w:rPr>
      </w:pPr>
      <w:bookmarkStart w:id="267" w:name="_Toc10246"/>
      <w:bookmarkStart w:id="268" w:name="_Toc10072"/>
      <w:bookmarkStart w:id="269" w:name="_Toc29913974"/>
      <w:r>
        <w:rPr>
          <w:rFonts w:hint="eastAsia" w:ascii="黑体" w:hAnsi="华文中宋" w:cs="宋体"/>
          <w:b w:val="0"/>
          <w:bCs w:val="0"/>
          <w:spacing w:val="6"/>
          <w:kern w:val="0"/>
          <w:sz w:val="21"/>
          <w:szCs w:val="21"/>
        </w:rPr>
        <w:t xml:space="preserve">附件10-4 </w:t>
      </w:r>
      <w:r>
        <w:rPr>
          <w:rFonts w:hint="eastAsia" w:ascii="黑体" w:hAnsi="宋体"/>
          <w:b w:val="0"/>
          <w:sz w:val="21"/>
          <w:szCs w:val="21"/>
        </w:rPr>
        <w:t>强制采购或者优先采购产品</w:t>
      </w:r>
      <w:r>
        <w:rPr>
          <w:rFonts w:hint="eastAsia" w:ascii="黑体" w:hAnsi="宋体"/>
          <w:b w:val="0"/>
          <w:bCs w:val="0"/>
          <w:sz w:val="21"/>
          <w:szCs w:val="21"/>
        </w:rPr>
        <w:t>的</w:t>
      </w:r>
      <w:r>
        <w:rPr>
          <w:rFonts w:hint="eastAsia" w:ascii="黑体" w:hAnsi="宋体"/>
          <w:b w:val="0"/>
          <w:sz w:val="21"/>
          <w:szCs w:val="21"/>
        </w:rPr>
        <w:t>证明材料</w:t>
      </w:r>
      <w:bookmarkEnd w:id="267"/>
      <w:bookmarkEnd w:id="268"/>
      <w:bookmarkEnd w:id="269"/>
    </w:p>
    <w:p w14:paraId="0BCDB574">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38464FA6">
      <w:pPr>
        <w:adjustRightInd w:val="0"/>
        <w:snapToGrid w:val="0"/>
        <w:spacing w:line="360" w:lineRule="auto"/>
        <w:jc w:val="center"/>
        <w:rPr>
          <w:rFonts w:hint="eastAsia" w:ascii="宋体" w:hAnsi="宋体"/>
          <w:b/>
          <w:spacing w:val="6"/>
          <w:szCs w:val="21"/>
        </w:rPr>
      </w:pPr>
      <w:r>
        <w:rPr>
          <w:rFonts w:hint="eastAsia" w:ascii="宋体" w:hAnsi="宋体"/>
          <w:b/>
          <w:spacing w:val="6"/>
          <w:szCs w:val="21"/>
        </w:rPr>
        <w:t>(不属于强制采购或者优先采购产品的无需提供)</w:t>
      </w:r>
    </w:p>
    <w:p w14:paraId="69A99223">
      <w:pPr>
        <w:adjustRightInd w:val="0"/>
        <w:snapToGrid w:val="0"/>
        <w:spacing w:line="360" w:lineRule="auto"/>
        <w:ind w:firstLine="420" w:firstLineChars="200"/>
        <w:jc w:val="left"/>
        <w:rPr>
          <w:rFonts w:hint="eastAsia" w:asciiTheme="minorEastAsia" w:hAnsiTheme="minorEastAsia" w:eastAsiaTheme="minorEastAsia"/>
          <w:szCs w:val="21"/>
        </w:rPr>
      </w:pPr>
    </w:p>
    <w:p w14:paraId="3B8AAA68">
      <w:pPr>
        <w:adjustRightInd w:val="0"/>
        <w:snapToGrid w:val="0"/>
        <w:spacing w:line="360" w:lineRule="auto"/>
        <w:ind w:firstLine="420" w:firstLineChars="200"/>
        <w:jc w:val="left"/>
        <w:rPr>
          <w:rFonts w:hint="eastAsia" w:asciiTheme="minorEastAsia" w:hAnsiTheme="minorEastAsia" w:eastAsiaTheme="minorEastAsia"/>
          <w:szCs w:val="21"/>
        </w:rPr>
      </w:pPr>
      <w:r>
        <w:rPr>
          <w:rFonts w:hint="eastAsia" w:asciiTheme="minorEastAsia" w:hAnsiTheme="minorEastAsia" w:eastAsiaTheme="minorEastAsia"/>
          <w:szCs w:val="21"/>
        </w:rPr>
        <w:t>说明：投标人提供的产品</w:t>
      </w:r>
      <w:r>
        <w:rPr>
          <w:rFonts w:hint="eastAsia" w:asciiTheme="minorEastAsia" w:hAnsiTheme="minorEastAsia" w:eastAsiaTheme="minorEastAsia"/>
          <w:bCs/>
          <w:szCs w:val="21"/>
        </w:rPr>
        <w:t>属于强制采购或者优先采购的</w:t>
      </w:r>
      <w:r>
        <w:rPr>
          <w:rFonts w:hint="eastAsia" w:asciiTheme="minorEastAsia" w:hAnsiTheme="minorEastAsia" w:eastAsiaTheme="minorEastAsia"/>
          <w:szCs w:val="21"/>
        </w:rPr>
        <w:t>，应按第二章第33.6款规定提供证明材料和本章本节附页2“优先采购产品清单”，并加盖投标人单位电子章。</w:t>
      </w:r>
    </w:p>
    <w:p w14:paraId="07636C99">
      <w:pPr>
        <w:adjustRightInd w:val="0"/>
        <w:snapToGrid w:val="0"/>
        <w:spacing w:line="360" w:lineRule="auto"/>
        <w:ind w:firstLine="420" w:firstLineChars="200"/>
        <w:jc w:val="left"/>
        <w:rPr>
          <w:rFonts w:hint="eastAsia" w:asciiTheme="minorEastAsia" w:hAnsiTheme="minorEastAsia" w:eastAsiaTheme="minorEastAsia"/>
          <w:szCs w:val="21"/>
        </w:rPr>
      </w:pPr>
    </w:p>
    <w:p w14:paraId="3FA6BC27">
      <w:pPr>
        <w:adjustRightInd w:val="0"/>
        <w:snapToGrid w:val="0"/>
        <w:spacing w:line="360" w:lineRule="auto"/>
        <w:rPr>
          <w:rFonts w:hint="eastAsia" w:ascii="黑体" w:hAnsi="宋体" w:eastAsia="黑体"/>
          <w:color w:val="000000"/>
          <w:szCs w:val="21"/>
        </w:rPr>
      </w:pPr>
      <w:r>
        <w:rPr>
          <w:rFonts w:ascii="黑体" w:hAnsi="宋体" w:eastAsia="黑体"/>
          <w:b/>
          <w:sz w:val="28"/>
          <w:szCs w:val="28"/>
        </w:rPr>
        <w:br w:type="page"/>
      </w:r>
    </w:p>
    <w:p w14:paraId="6F8AA633">
      <w:pPr>
        <w:pStyle w:val="7"/>
        <w:jc w:val="left"/>
        <w:rPr>
          <w:rFonts w:hint="eastAsia" w:ascii="黑体" w:hAnsi="宋体"/>
          <w:b w:val="0"/>
          <w:sz w:val="21"/>
          <w:szCs w:val="21"/>
        </w:rPr>
      </w:pPr>
      <w:bookmarkStart w:id="270" w:name="_Toc22237"/>
      <w:bookmarkStart w:id="271" w:name="_Toc29913975"/>
      <w:bookmarkStart w:id="272" w:name="_Toc30930"/>
      <w:r>
        <w:rPr>
          <w:rFonts w:hint="eastAsia" w:ascii="黑体" w:hAnsi="华文中宋" w:cs="宋体"/>
          <w:b w:val="0"/>
          <w:bCs w:val="0"/>
          <w:spacing w:val="6"/>
          <w:kern w:val="0"/>
          <w:sz w:val="21"/>
          <w:szCs w:val="21"/>
        </w:rPr>
        <w:t xml:space="preserve">附页 2 </w:t>
      </w:r>
      <w:r>
        <w:rPr>
          <w:rFonts w:hint="eastAsia" w:ascii="黑体" w:hAnsi="宋体"/>
          <w:b w:val="0"/>
          <w:sz w:val="21"/>
          <w:szCs w:val="21"/>
        </w:rPr>
        <w:t>优先采购产品清单</w:t>
      </w:r>
      <w:bookmarkEnd w:id="270"/>
      <w:bookmarkEnd w:id="271"/>
      <w:bookmarkEnd w:id="272"/>
    </w:p>
    <w:p w14:paraId="2650E2B0">
      <w:pPr>
        <w:adjustRightInd w:val="0"/>
        <w:snapToGrid w:val="0"/>
        <w:spacing w:line="360" w:lineRule="auto"/>
        <w:jc w:val="center"/>
        <w:rPr>
          <w:rFonts w:hint="eastAsia" w:ascii="宋体" w:hAnsi="宋体"/>
          <w:b/>
          <w:spacing w:val="6"/>
          <w:szCs w:val="21"/>
        </w:rPr>
      </w:pPr>
      <w:r>
        <w:rPr>
          <w:rFonts w:hint="eastAsia" w:ascii="黑体" w:hAnsi="宋体" w:eastAsia="黑体"/>
          <w:b/>
          <w:sz w:val="28"/>
          <w:szCs w:val="28"/>
        </w:rPr>
        <w:t>优先采购产品清单</w:t>
      </w:r>
    </w:p>
    <w:p w14:paraId="53981452">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采购代理编号：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项目名称：</w:t>
      </w:r>
      <w:r>
        <w:rPr>
          <w:rFonts w:hint="eastAsia" w:asciiTheme="minorEastAsia" w:hAnsiTheme="minorEastAsia" w:eastAsiaTheme="minorEastAsia"/>
          <w:szCs w:val="21"/>
          <w:u w:val="single"/>
        </w:rPr>
        <w:t>____            ______</w:t>
      </w:r>
      <w:r>
        <w:rPr>
          <w:rFonts w:hint="eastAsia" w:asciiTheme="minorEastAsia" w:hAnsiTheme="minorEastAsia" w:eastAsiaTheme="minorEastAsia"/>
          <w:szCs w:val="21"/>
        </w:rPr>
        <w:t xml:space="preserve"> </w:t>
      </w:r>
    </w:p>
    <w:p w14:paraId="134A57CF">
      <w:pPr>
        <w:adjustRightInd w:val="0"/>
        <w:snapToGrid w:val="0"/>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包       号：</w:t>
      </w:r>
      <w:r>
        <w:rPr>
          <w:rFonts w:hint="eastAsia" w:asciiTheme="minorEastAsia" w:hAnsiTheme="minorEastAsia" w:eastAsiaTheme="minorEastAsia"/>
          <w:szCs w:val="21"/>
          <w:u w:val="single"/>
        </w:rPr>
        <w:t>__    ________</w:t>
      </w:r>
      <w:r>
        <w:rPr>
          <w:rFonts w:hint="eastAsia" w:asciiTheme="minorEastAsia" w:hAnsiTheme="minorEastAsia" w:eastAsiaTheme="minorEastAsia"/>
          <w:szCs w:val="21"/>
        </w:rPr>
        <w:t xml:space="preserve">                      包名称：</w:t>
      </w:r>
      <w:r>
        <w:rPr>
          <w:rFonts w:hint="eastAsia" w:asciiTheme="minorEastAsia" w:hAnsiTheme="minorEastAsia" w:eastAsiaTheme="minorEastAsia"/>
          <w:szCs w:val="21"/>
          <w:u w:val="single"/>
        </w:rPr>
        <w:t>___          _______</w:t>
      </w:r>
      <w:r>
        <w:rPr>
          <w:rFonts w:hint="eastAsia" w:asciiTheme="minorEastAsia" w:hAnsiTheme="minorEastAsia" w:eastAsiaTheme="minorEastAsia"/>
          <w:szCs w:val="21"/>
        </w:rPr>
        <w:t xml:space="preserve">  </w:t>
      </w:r>
    </w:p>
    <w:tbl>
      <w:tblPr>
        <w:tblStyle w:val="21"/>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03202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1A2E9364">
            <w:pPr>
              <w:widowControl/>
              <w:adjustRightInd w:val="0"/>
              <w:snapToGrid w:val="0"/>
              <w:spacing w:line="360" w:lineRule="auto"/>
              <w:ind w:firstLine="480" w:firstLineChars="200"/>
              <w:jc w:val="left"/>
              <w:rPr>
                <w:rFonts w:hint="eastAsia" w:ascii="黑体" w:hAnsi="黑体" w:eastAsia="黑体"/>
                <w:kern w:val="0"/>
                <w:sz w:val="24"/>
              </w:rPr>
            </w:pPr>
            <w:r>
              <w:rPr>
                <w:rFonts w:hint="eastAsia" w:ascii="黑体" w:hAnsi="宋体" w:eastAsia="黑体"/>
                <w:kern w:val="0"/>
                <w:sz w:val="24"/>
              </w:rPr>
              <w:t>以下为投标人提供的政府采购优先采购产品，投标人对本表的真实性负责。如有虚假，将依法承担相应责任。</w:t>
            </w:r>
          </w:p>
        </w:tc>
      </w:tr>
      <w:tr w14:paraId="01A3AA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3F86747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739" w:type="dxa"/>
            <w:vAlign w:val="center"/>
          </w:tcPr>
          <w:p w14:paraId="65FBE79C">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2</w:t>
            </w:r>
          </w:p>
        </w:tc>
        <w:tc>
          <w:tcPr>
            <w:tcW w:w="1134" w:type="dxa"/>
            <w:tcBorders>
              <w:right w:val="single" w:color="auto" w:sz="4" w:space="0"/>
            </w:tcBorders>
            <w:vAlign w:val="center"/>
          </w:tcPr>
          <w:p w14:paraId="11D478F8">
            <w:pPr>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3</w:t>
            </w:r>
          </w:p>
        </w:tc>
        <w:tc>
          <w:tcPr>
            <w:tcW w:w="1418" w:type="dxa"/>
            <w:tcBorders>
              <w:left w:val="single" w:color="auto" w:sz="4" w:space="0"/>
            </w:tcBorders>
            <w:vAlign w:val="center"/>
          </w:tcPr>
          <w:p w14:paraId="3CD74100">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4</w:t>
            </w:r>
          </w:p>
        </w:tc>
        <w:tc>
          <w:tcPr>
            <w:tcW w:w="1984" w:type="dxa"/>
            <w:vAlign w:val="center"/>
          </w:tcPr>
          <w:p w14:paraId="719A5FF2">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5</w:t>
            </w:r>
          </w:p>
        </w:tc>
        <w:tc>
          <w:tcPr>
            <w:tcW w:w="1843" w:type="dxa"/>
            <w:vAlign w:val="center"/>
          </w:tcPr>
          <w:p w14:paraId="1A4D8AB6">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6</w:t>
            </w:r>
          </w:p>
        </w:tc>
      </w:tr>
      <w:tr w14:paraId="386A30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7DB3E2CA">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739" w:type="dxa"/>
            <w:vAlign w:val="center"/>
          </w:tcPr>
          <w:p w14:paraId="5DBB1F62">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货物名称</w:t>
            </w:r>
          </w:p>
        </w:tc>
        <w:tc>
          <w:tcPr>
            <w:tcW w:w="1134" w:type="dxa"/>
            <w:tcBorders>
              <w:right w:val="single" w:color="auto" w:sz="4" w:space="0"/>
            </w:tcBorders>
            <w:vAlign w:val="center"/>
          </w:tcPr>
          <w:p w14:paraId="3BFAF2FC">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规格型号</w:t>
            </w:r>
          </w:p>
        </w:tc>
        <w:tc>
          <w:tcPr>
            <w:tcW w:w="1418" w:type="dxa"/>
            <w:tcBorders>
              <w:left w:val="single" w:color="auto" w:sz="4" w:space="0"/>
            </w:tcBorders>
            <w:vAlign w:val="center"/>
          </w:tcPr>
          <w:p w14:paraId="442D6734">
            <w:pPr>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价格（元）</w:t>
            </w:r>
          </w:p>
        </w:tc>
        <w:tc>
          <w:tcPr>
            <w:tcW w:w="1984" w:type="dxa"/>
            <w:vAlign w:val="center"/>
          </w:tcPr>
          <w:p w14:paraId="47EC04D4">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货物制造商名称</w:t>
            </w:r>
          </w:p>
        </w:tc>
        <w:tc>
          <w:tcPr>
            <w:tcW w:w="1843" w:type="dxa"/>
            <w:vAlign w:val="center"/>
          </w:tcPr>
          <w:p w14:paraId="24ED6DA0">
            <w:pPr>
              <w:widowControl/>
              <w:adjustRightInd w:val="0"/>
              <w:snapToGrid w:val="0"/>
              <w:spacing w:line="360" w:lineRule="auto"/>
              <w:jc w:val="center"/>
              <w:rPr>
                <w:rFonts w:hint="eastAsia" w:asciiTheme="minorEastAsia" w:hAnsiTheme="minorEastAsia" w:eastAsiaTheme="minorEastAsia"/>
                <w:kern w:val="0"/>
                <w:szCs w:val="21"/>
              </w:rPr>
            </w:pPr>
            <w:r>
              <w:rPr>
                <w:rFonts w:hint="eastAsia" w:asciiTheme="minorEastAsia" w:hAnsiTheme="minorEastAsia" w:eastAsiaTheme="minorEastAsia"/>
                <w:kern w:val="0"/>
                <w:szCs w:val="21"/>
              </w:rPr>
              <w:t>政策功能编码</w:t>
            </w:r>
          </w:p>
        </w:tc>
      </w:tr>
      <w:tr w14:paraId="0D2E1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F2CA01B">
            <w:pPr>
              <w:adjustRightInd w:val="0"/>
              <w:snapToGrid w:val="0"/>
              <w:spacing w:line="360" w:lineRule="auto"/>
              <w:jc w:val="left"/>
              <w:rPr>
                <w:rFonts w:hint="eastAsia" w:asciiTheme="minorEastAsia" w:hAnsiTheme="minorEastAsia" w:eastAsiaTheme="minorEastAsia"/>
                <w:b/>
                <w:szCs w:val="21"/>
              </w:rPr>
            </w:pPr>
            <w:r>
              <w:rPr>
                <w:rFonts w:hint="eastAsia" w:asciiTheme="minorEastAsia" w:hAnsiTheme="minorEastAsia" w:eastAsiaTheme="minorEastAsia"/>
                <w:b/>
                <w:szCs w:val="21"/>
              </w:rPr>
              <w:t>节能产品</w:t>
            </w:r>
          </w:p>
        </w:tc>
      </w:tr>
      <w:tr w14:paraId="2AB99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366C7CF">
            <w:pPr>
              <w:adjustRightInd w:val="0"/>
              <w:snapToGrid w:val="0"/>
              <w:spacing w:line="360" w:lineRule="auto"/>
              <w:jc w:val="center"/>
              <w:rPr>
                <w:rFonts w:hint="eastAsia" w:ascii="宋体" w:hAnsi="宋体"/>
                <w:b/>
                <w:szCs w:val="21"/>
              </w:rPr>
            </w:pPr>
          </w:p>
        </w:tc>
        <w:tc>
          <w:tcPr>
            <w:tcW w:w="1739" w:type="dxa"/>
            <w:vAlign w:val="center"/>
          </w:tcPr>
          <w:p w14:paraId="7EBF4829">
            <w:pPr>
              <w:adjustRightInd w:val="0"/>
              <w:snapToGrid w:val="0"/>
              <w:spacing w:line="360" w:lineRule="auto"/>
              <w:jc w:val="center"/>
              <w:rPr>
                <w:rFonts w:hint="eastAsia" w:asciiTheme="minorEastAsia" w:hAnsiTheme="minorEastAsia" w:eastAsiaTheme="minorEastAsia"/>
                <w:b/>
                <w:szCs w:val="21"/>
              </w:rPr>
            </w:pPr>
          </w:p>
        </w:tc>
        <w:tc>
          <w:tcPr>
            <w:tcW w:w="1134" w:type="dxa"/>
            <w:tcBorders>
              <w:right w:val="single" w:color="auto" w:sz="4" w:space="0"/>
            </w:tcBorders>
            <w:vAlign w:val="center"/>
          </w:tcPr>
          <w:p w14:paraId="362D1791">
            <w:pPr>
              <w:adjustRightInd w:val="0"/>
              <w:snapToGrid w:val="0"/>
              <w:spacing w:line="360" w:lineRule="auto"/>
              <w:jc w:val="left"/>
              <w:rPr>
                <w:rFonts w:hint="eastAsia" w:asciiTheme="minorEastAsia" w:hAnsiTheme="minorEastAsia" w:eastAsiaTheme="minorEastAsia"/>
                <w:b/>
                <w:szCs w:val="21"/>
              </w:rPr>
            </w:pPr>
          </w:p>
        </w:tc>
        <w:tc>
          <w:tcPr>
            <w:tcW w:w="1418" w:type="dxa"/>
            <w:tcBorders>
              <w:left w:val="single" w:color="auto" w:sz="4" w:space="0"/>
            </w:tcBorders>
            <w:vAlign w:val="center"/>
          </w:tcPr>
          <w:p w14:paraId="5CE953D2">
            <w:pPr>
              <w:adjustRightInd w:val="0"/>
              <w:snapToGrid w:val="0"/>
              <w:spacing w:line="360" w:lineRule="auto"/>
              <w:jc w:val="left"/>
              <w:rPr>
                <w:rFonts w:hint="eastAsia" w:asciiTheme="minorEastAsia" w:hAnsiTheme="minorEastAsia" w:eastAsiaTheme="minorEastAsia"/>
                <w:b/>
                <w:szCs w:val="21"/>
              </w:rPr>
            </w:pPr>
          </w:p>
        </w:tc>
        <w:tc>
          <w:tcPr>
            <w:tcW w:w="1984" w:type="dxa"/>
            <w:vAlign w:val="center"/>
          </w:tcPr>
          <w:p w14:paraId="7DB180E8">
            <w:pPr>
              <w:adjustRightInd w:val="0"/>
              <w:snapToGrid w:val="0"/>
              <w:spacing w:line="360" w:lineRule="auto"/>
              <w:jc w:val="center"/>
              <w:rPr>
                <w:rFonts w:hint="eastAsia" w:asciiTheme="minorEastAsia" w:hAnsiTheme="minorEastAsia" w:eastAsiaTheme="minorEastAsia"/>
                <w:b/>
                <w:szCs w:val="21"/>
              </w:rPr>
            </w:pPr>
          </w:p>
        </w:tc>
        <w:tc>
          <w:tcPr>
            <w:tcW w:w="1843" w:type="dxa"/>
          </w:tcPr>
          <w:p w14:paraId="0745ADBB">
            <w:pPr>
              <w:adjustRightInd w:val="0"/>
              <w:snapToGrid w:val="0"/>
              <w:spacing w:line="360" w:lineRule="auto"/>
              <w:jc w:val="center"/>
              <w:rPr>
                <w:rFonts w:hint="eastAsia" w:asciiTheme="minorEastAsia" w:hAnsiTheme="minorEastAsia" w:eastAsiaTheme="minorEastAsia"/>
                <w:b/>
                <w:szCs w:val="21"/>
              </w:rPr>
            </w:pPr>
          </w:p>
        </w:tc>
      </w:tr>
      <w:tr w14:paraId="43A70D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2F2661AC">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493FE621">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5A3CF9D5">
            <w:pPr>
              <w:adjustRightInd w:val="0"/>
              <w:snapToGrid w:val="0"/>
              <w:spacing w:line="360" w:lineRule="auto"/>
              <w:jc w:val="left"/>
              <w:rPr>
                <w:rFonts w:hint="eastAsia" w:asciiTheme="minorEastAsia" w:hAnsiTheme="minorEastAsia" w:eastAsiaTheme="minorEastAsia"/>
                <w:b/>
                <w:szCs w:val="21"/>
              </w:rPr>
            </w:pPr>
          </w:p>
        </w:tc>
        <w:tc>
          <w:tcPr>
            <w:tcW w:w="1418" w:type="dxa"/>
            <w:tcBorders>
              <w:left w:val="single" w:color="auto" w:sz="4" w:space="0"/>
            </w:tcBorders>
            <w:vAlign w:val="center"/>
          </w:tcPr>
          <w:p w14:paraId="3ADF4473">
            <w:pPr>
              <w:adjustRightInd w:val="0"/>
              <w:snapToGrid w:val="0"/>
              <w:spacing w:line="360" w:lineRule="auto"/>
              <w:jc w:val="left"/>
              <w:rPr>
                <w:rFonts w:hint="eastAsia" w:asciiTheme="minorEastAsia" w:hAnsiTheme="minorEastAsia" w:eastAsiaTheme="minorEastAsia"/>
                <w:b/>
                <w:szCs w:val="21"/>
              </w:rPr>
            </w:pPr>
          </w:p>
        </w:tc>
        <w:tc>
          <w:tcPr>
            <w:tcW w:w="1984" w:type="dxa"/>
            <w:vAlign w:val="center"/>
          </w:tcPr>
          <w:p w14:paraId="528A294A">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40C6FA55">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r>
      <w:tr w14:paraId="47DDC7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039EC330">
            <w:pPr>
              <w:adjustRightInd w:val="0"/>
              <w:snapToGrid w:val="0"/>
              <w:spacing w:line="360" w:lineRule="auto"/>
              <w:jc w:val="left"/>
              <w:rPr>
                <w:rFonts w:hint="eastAsia" w:asciiTheme="minorEastAsia" w:hAnsiTheme="minorEastAsia" w:eastAsiaTheme="minorEastAsia"/>
                <w:b/>
                <w:szCs w:val="21"/>
              </w:rPr>
            </w:pPr>
            <w:r>
              <w:rPr>
                <w:rFonts w:hint="eastAsia" w:asciiTheme="minorEastAsia" w:hAnsiTheme="minorEastAsia" w:eastAsiaTheme="minorEastAsia"/>
                <w:b/>
                <w:szCs w:val="21"/>
              </w:rPr>
              <w:t>环境标志产品</w:t>
            </w:r>
          </w:p>
        </w:tc>
      </w:tr>
      <w:tr w14:paraId="7DB130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58C06F6">
            <w:pPr>
              <w:adjustRightInd w:val="0"/>
              <w:snapToGrid w:val="0"/>
              <w:spacing w:line="360" w:lineRule="auto"/>
              <w:jc w:val="center"/>
              <w:rPr>
                <w:rFonts w:hint="eastAsia" w:ascii="宋体" w:hAnsi="宋体"/>
                <w:b/>
                <w:szCs w:val="21"/>
              </w:rPr>
            </w:pPr>
          </w:p>
        </w:tc>
        <w:tc>
          <w:tcPr>
            <w:tcW w:w="1739" w:type="dxa"/>
            <w:vAlign w:val="center"/>
          </w:tcPr>
          <w:p w14:paraId="61B4644B">
            <w:pPr>
              <w:adjustRightInd w:val="0"/>
              <w:snapToGrid w:val="0"/>
              <w:spacing w:line="360" w:lineRule="auto"/>
              <w:jc w:val="center"/>
              <w:rPr>
                <w:rFonts w:hint="eastAsia" w:asciiTheme="minorEastAsia" w:hAnsiTheme="minorEastAsia" w:eastAsiaTheme="minorEastAsia"/>
                <w:b/>
                <w:szCs w:val="21"/>
              </w:rPr>
            </w:pPr>
          </w:p>
        </w:tc>
        <w:tc>
          <w:tcPr>
            <w:tcW w:w="1134" w:type="dxa"/>
            <w:tcBorders>
              <w:right w:val="single" w:color="auto" w:sz="4" w:space="0"/>
            </w:tcBorders>
            <w:vAlign w:val="center"/>
          </w:tcPr>
          <w:p w14:paraId="014F5969">
            <w:pPr>
              <w:adjustRightInd w:val="0"/>
              <w:snapToGrid w:val="0"/>
              <w:spacing w:line="360" w:lineRule="auto"/>
              <w:jc w:val="left"/>
              <w:rPr>
                <w:rFonts w:hint="eastAsia" w:asciiTheme="minorEastAsia" w:hAnsiTheme="minorEastAsia" w:eastAsiaTheme="minorEastAsia"/>
                <w:b/>
                <w:szCs w:val="21"/>
              </w:rPr>
            </w:pPr>
          </w:p>
        </w:tc>
        <w:tc>
          <w:tcPr>
            <w:tcW w:w="1418" w:type="dxa"/>
            <w:tcBorders>
              <w:left w:val="single" w:color="auto" w:sz="4" w:space="0"/>
            </w:tcBorders>
            <w:vAlign w:val="center"/>
          </w:tcPr>
          <w:p w14:paraId="4D9C8555">
            <w:pPr>
              <w:adjustRightInd w:val="0"/>
              <w:snapToGrid w:val="0"/>
              <w:spacing w:line="360" w:lineRule="auto"/>
              <w:jc w:val="left"/>
              <w:rPr>
                <w:rFonts w:hint="eastAsia" w:asciiTheme="minorEastAsia" w:hAnsiTheme="minorEastAsia" w:eastAsiaTheme="minorEastAsia"/>
                <w:b/>
                <w:szCs w:val="21"/>
              </w:rPr>
            </w:pPr>
          </w:p>
        </w:tc>
        <w:tc>
          <w:tcPr>
            <w:tcW w:w="1984" w:type="dxa"/>
            <w:vAlign w:val="center"/>
          </w:tcPr>
          <w:p w14:paraId="79CB88D7">
            <w:pPr>
              <w:adjustRightInd w:val="0"/>
              <w:snapToGrid w:val="0"/>
              <w:spacing w:line="360" w:lineRule="auto"/>
              <w:jc w:val="center"/>
              <w:rPr>
                <w:rFonts w:hint="eastAsia" w:asciiTheme="minorEastAsia" w:hAnsiTheme="minorEastAsia" w:eastAsiaTheme="minorEastAsia"/>
                <w:b/>
                <w:szCs w:val="21"/>
              </w:rPr>
            </w:pPr>
          </w:p>
        </w:tc>
        <w:tc>
          <w:tcPr>
            <w:tcW w:w="1843" w:type="dxa"/>
          </w:tcPr>
          <w:p w14:paraId="508A14D5">
            <w:pPr>
              <w:adjustRightInd w:val="0"/>
              <w:snapToGrid w:val="0"/>
              <w:spacing w:line="360" w:lineRule="auto"/>
              <w:jc w:val="center"/>
              <w:rPr>
                <w:rFonts w:hint="eastAsia" w:asciiTheme="minorEastAsia" w:hAnsiTheme="minorEastAsia" w:eastAsiaTheme="minorEastAsia"/>
                <w:b/>
                <w:szCs w:val="21"/>
              </w:rPr>
            </w:pPr>
          </w:p>
        </w:tc>
      </w:tr>
      <w:tr w14:paraId="57C33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EE65D29">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2AB7A594">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c>
          <w:tcPr>
            <w:tcW w:w="1134" w:type="dxa"/>
            <w:tcBorders>
              <w:right w:val="single" w:color="auto" w:sz="4" w:space="0"/>
            </w:tcBorders>
            <w:vAlign w:val="center"/>
          </w:tcPr>
          <w:p w14:paraId="77A605D8">
            <w:pPr>
              <w:adjustRightInd w:val="0"/>
              <w:snapToGrid w:val="0"/>
              <w:spacing w:line="360" w:lineRule="auto"/>
              <w:jc w:val="left"/>
              <w:rPr>
                <w:rFonts w:hint="eastAsia" w:asciiTheme="minorEastAsia" w:hAnsiTheme="minorEastAsia" w:eastAsiaTheme="minorEastAsia"/>
                <w:b/>
                <w:szCs w:val="21"/>
              </w:rPr>
            </w:pPr>
          </w:p>
        </w:tc>
        <w:tc>
          <w:tcPr>
            <w:tcW w:w="1418" w:type="dxa"/>
            <w:tcBorders>
              <w:left w:val="single" w:color="auto" w:sz="4" w:space="0"/>
            </w:tcBorders>
            <w:vAlign w:val="center"/>
          </w:tcPr>
          <w:p w14:paraId="51BEA11D">
            <w:pPr>
              <w:adjustRightInd w:val="0"/>
              <w:snapToGrid w:val="0"/>
              <w:spacing w:line="360" w:lineRule="auto"/>
              <w:jc w:val="left"/>
              <w:rPr>
                <w:rFonts w:hint="eastAsia" w:asciiTheme="minorEastAsia" w:hAnsiTheme="minorEastAsia" w:eastAsiaTheme="minorEastAsia"/>
                <w:b/>
                <w:szCs w:val="21"/>
              </w:rPr>
            </w:pPr>
          </w:p>
        </w:tc>
        <w:tc>
          <w:tcPr>
            <w:tcW w:w="1984" w:type="dxa"/>
            <w:vAlign w:val="center"/>
          </w:tcPr>
          <w:p w14:paraId="0CBC43E9">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c>
          <w:tcPr>
            <w:tcW w:w="1843" w:type="dxa"/>
          </w:tcPr>
          <w:p w14:paraId="21E07840">
            <w:pPr>
              <w:adjustRightInd w:val="0"/>
              <w:snapToGrid w:val="0"/>
              <w:spacing w:line="360" w:lineRule="auto"/>
              <w:jc w:val="center"/>
              <w:rPr>
                <w:rFonts w:hint="eastAsia" w:asciiTheme="minorEastAsia" w:hAnsiTheme="minorEastAsia" w:eastAsiaTheme="minorEastAsia"/>
                <w:b/>
                <w:szCs w:val="21"/>
              </w:rPr>
            </w:pPr>
            <w:r>
              <w:rPr>
                <w:rFonts w:hint="eastAsia" w:asciiTheme="minorEastAsia" w:hAnsiTheme="minorEastAsia" w:eastAsiaTheme="minorEastAsia"/>
                <w:b/>
                <w:szCs w:val="21"/>
              </w:rPr>
              <w:t>/</w:t>
            </w:r>
          </w:p>
        </w:tc>
      </w:tr>
    </w:tbl>
    <w:p w14:paraId="3E28F854">
      <w:pPr>
        <w:adjustRightInd w:val="0"/>
        <w:snapToGrid w:val="0"/>
        <w:spacing w:line="360" w:lineRule="auto"/>
        <w:jc w:val="left"/>
        <w:rPr>
          <w:rFonts w:hint="eastAsia" w:asciiTheme="minorEastAsia" w:hAnsiTheme="minorEastAsia" w:eastAsiaTheme="minorEastAsia"/>
          <w:szCs w:val="21"/>
        </w:rPr>
      </w:pPr>
      <w:r>
        <w:rPr>
          <w:rFonts w:hint="eastAsia" w:asciiTheme="minorEastAsia" w:hAnsiTheme="minorEastAsia" w:eastAsiaTheme="minorEastAsia"/>
          <w:szCs w:val="21"/>
        </w:rPr>
        <w:t>说明：</w:t>
      </w:r>
      <w:r>
        <w:rPr>
          <w:rFonts w:hint="eastAsia" w:asciiTheme="minorEastAsia" w:hAnsiTheme="minorEastAsia" w:eastAsiaTheme="minorEastAsia"/>
          <w:bCs/>
          <w:szCs w:val="21"/>
        </w:rPr>
        <w:t>1、</w:t>
      </w:r>
      <w:r>
        <w:rPr>
          <w:rFonts w:hint="eastAsia" w:asciiTheme="minorEastAsia" w:hAnsiTheme="minorEastAsia" w:eastAsiaTheme="minorEastAsia"/>
          <w:szCs w:val="21"/>
        </w:rPr>
        <w:t>本表用于计算政府采购优先采购产品（节能产品或环境标志产品）的政府采购政策加分或者价格扣除。</w:t>
      </w:r>
    </w:p>
    <w:p w14:paraId="05D8B6D1">
      <w:pPr>
        <w:adjustRightInd w:val="0"/>
        <w:snapToGrid w:val="0"/>
        <w:spacing w:line="360" w:lineRule="auto"/>
        <w:ind w:firstLine="630" w:firstLineChars="300"/>
        <w:jc w:val="left"/>
        <w:rPr>
          <w:rFonts w:hint="eastAsia" w:asciiTheme="minorEastAsia" w:hAnsiTheme="minorEastAsia" w:eastAsiaTheme="minorEastAsia"/>
          <w:szCs w:val="21"/>
        </w:rPr>
      </w:pPr>
      <w:r>
        <w:rPr>
          <w:rFonts w:hint="eastAsia" w:asciiTheme="minorEastAsia" w:hAnsiTheme="minorEastAsia" w:eastAsiaTheme="minorEastAsia"/>
          <w:szCs w:val="21"/>
        </w:rPr>
        <w:t>2、栏目4“价格”为综合单价，包含货物所有隐含的内容，如运输费、保险费、管理费和利润等。</w:t>
      </w:r>
    </w:p>
    <w:p w14:paraId="30039574">
      <w:pPr>
        <w:adjustRightInd w:val="0"/>
        <w:snapToGrid w:val="0"/>
        <w:spacing w:line="360" w:lineRule="auto"/>
        <w:ind w:firstLine="630" w:firstLineChars="300"/>
        <w:jc w:val="left"/>
        <w:rPr>
          <w:rFonts w:hint="eastAsia" w:asciiTheme="minorEastAsia" w:hAnsiTheme="minorEastAsia" w:eastAsiaTheme="minorEastAsia"/>
          <w:szCs w:val="21"/>
        </w:rPr>
      </w:pPr>
      <w:r>
        <w:rPr>
          <w:rFonts w:hint="eastAsia" w:asciiTheme="minorEastAsia" w:hAnsiTheme="minorEastAsia" w:eastAsiaTheme="minorEastAsia"/>
          <w:szCs w:val="21"/>
        </w:rPr>
        <w:t>3、栏目6“政策功能编码”是指货物的中国环境标志认证证书编号、中国节能标志认证证书号（货物同时属于节能产品、环境标志产品的，只须填写一种）。</w:t>
      </w:r>
    </w:p>
    <w:p w14:paraId="3C037FD9">
      <w:pPr>
        <w:adjustRightInd w:val="0"/>
        <w:snapToGrid w:val="0"/>
        <w:spacing w:line="360" w:lineRule="auto"/>
        <w:ind w:firstLine="630" w:firstLineChars="300"/>
        <w:rPr>
          <w:rFonts w:hint="eastAsia" w:asciiTheme="minorEastAsia" w:hAnsiTheme="minorEastAsia" w:eastAsiaTheme="minorEastAsia"/>
          <w:bCs/>
          <w:szCs w:val="21"/>
        </w:rPr>
      </w:pPr>
      <w:r>
        <w:rPr>
          <w:rFonts w:hint="eastAsia" w:asciiTheme="minorEastAsia" w:hAnsiTheme="minorEastAsia" w:eastAsiaTheme="minorEastAsia"/>
          <w:bCs/>
          <w:szCs w:val="21"/>
        </w:rPr>
        <w:t>4、投标人在投标截止时间前修改“开标一览表”中的投标报价的，应按第二章第13.7款规定修改本表相应内容。否则，评审时涉及本表所有优惠不予以考虑。</w:t>
      </w:r>
    </w:p>
    <w:p w14:paraId="3BCB5AE8">
      <w:pPr>
        <w:adjustRightInd w:val="0"/>
        <w:snapToGrid w:val="0"/>
        <w:spacing w:line="360" w:lineRule="auto"/>
        <w:rPr>
          <w:rFonts w:hint="eastAsia" w:ascii="宋体" w:hAnsi="宋体"/>
          <w:szCs w:val="21"/>
        </w:rPr>
      </w:pPr>
    </w:p>
    <w:p w14:paraId="4854840C">
      <w:pPr>
        <w:adjustRightInd w:val="0"/>
        <w:snapToGrid w:val="0"/>
        <w:spacing w:line="360" w:lineRule="auto"/>
        <w:rPr>
          <w:rFonts w:hint="eastAsia" w:ascii="宋体" w:hAnsi="宋体"/>
          <w:szCs w:val="21"/>
        </w:rPr>
      </w:pPr>
      <w:r>
        <w:rPr>
          <w:rFonts w:hint="eastAsia" w:ascii="宋体" w:hAnsi="宋体"/>
          <w:szCs w:val="21"/>
        </w:rPr>
        <w:t>投标人名称（盖单位电子章）：</w:t>
      </w:r>
    </w:p>
    <w:p w14:paraId="2FF9A5E5">
      <w:pPr>
        <w:adjustRightInd w:val="0"/>
        <w:snapToGrid w:val="0"/>
        <w:spacing w:line="360" w:lineRule="auto"/>
        <w:rPr>
          <w:rFonts w:hint="eastAsia" w:ascii="宋体" w:hAnsi="宋体"/>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szCs w:val="21"/>
        </w:rPr>
        <w:t>或其委托代理人（签字或签章）：</w:t>
      </w:r>
      <w:r>
        <w:rPr>
          <w:rFonts w:hint="eastAsia" w:ascii="宋体" w:hAnsi="宋体"/>
          <w:szCs w:val="21"/>
          <w:u w:val="single"/>
        </w:rPr>
        <w:t xml:space="preserve">       </w:t>
      </w:r>
    </w:p>
    <w:p w14:paraId="72FE8F8B">
      <w:pPr>
        <w:rPr>
          <w:rFonts w:hint="eastAsia" w:ascii="宋体" w:hAnsi="宋体"/>
          <w:b/>
          <w:bCs/>
          <w:sz w:val="32"/>
          <w:szCs w:val="21"/>
        </w:rPr>
      </w:pPr>
      <w:r>
        <w:rPr>
          <w:rFonts w:hint="eastAsia"/>
        </w:rPr>
        <w:t>日期：</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r>
        <w:rPr>
          <w:rFonts w:ascii="宋体" w:hAnsi="宋体"/>
          <w:szCs w:val="21"/>
        </w:rPr>
        <w:br w:type="page"/>
      </w:r>
    </w:p>
    <w:p w14:paraId="2BF6FAEE">
      <w:pPr>
        <w:pStyle w:val="5"/>
        <w:adjustRightInd w:val="0"/>
        <w:snapToGrid w:val="0"/>
        <w:spacing w:before="0" w:after="0" w:line="360" w:lineRule="auto"/>
        <w:jc w:val="center"/>
        <w:rPr>
          <w:rFonts w:hint="eastAsia" w:ascii="黑体" w:hAnsi="宋体" w:eastAsia="黑体"/>
          <w:color w:val="8497B0" w:themeColor="text2" w:themeTint="99"/>
          <w:sz w:val="28"/>
          <w:szCs w:val="28"/>
          <w14:textFill>
            <w14:solidFill>
              <w14:schemeClr w14:val="tx2">
                <w14:lumMod w14:val="60000"/>
                <w14:lumOff w14:val="40000"/>
              </w14:schemeClr>
            </w14:solidFill>
          </w14:textFill>
        </w:rPr>
      </w:pPr>
      <w:bookmarkStart w:id="273" w:name="_Toc7642"/>
      <w:bookmarkStart w:id="274" w:name="_Toc2561"/>
      <w:bookmarkStart w:id="275" w:name="_Toc29913977"/>
      <w:r>
        <w:rPr>
          <w:rFonts w:hint="eastAsia" w:ascii="黑体" w:hAnsi="宋体" w:eastAsia="黑体"/>
          <w:sz w:val="28"/>
          <w:szCs w:val="28"/>
        </w:rPr>
        <w:t>十一、投标服务符合招标文件规定的证明文件</w:t>
      </w:r>
      <w:bookmarkEnd w:id="273"/>
      <w:bookmarkEnd w:id="274"/>
    </w:p>
    <w:p w14:paraId="0E02EFCA">
      <w:pPr>
        <w:adjustRightInd w:val="0"/>
        <w:snapToGrid w:val="0"/>
        <w:spacing w:line="360" w:lineRule="auto"/>
        <w:rPr>
          <w:rFonts w:hint="eastAsia" w:asciiTheme="minorEastAsia" w:hAnsiTheme="minorEastAsia" w:eastAsiaTheme="minorEastAsia"/>
          <w:szCs w:val="21"/>
        </w:rPr>
      </w:pPr>
    </w:p>
    <w:p w14:paraId="7E8FD536">
      <w:pPr>
        <w:adjustRightInd w:val="0"/>
        <w:snapToGrid w:val="0"/>
        <w:spacing w:line="360" w:lineRule="auto"/>
        <w:rPr>
          <w:rFonts w:hint="eastAsia" w:asciiTheme="minorEastAsia" w:hAnsiTheme="minorEastAsia" w:eastAsiaTheme="minorEastAsia"/>
        </w:rPr>
      </w:pPr>
      <w:r>
        <w:rPr>
          <w:rFonts w:hint="eastAsia" w:asciiTheme="minorEastAsia" w:hAnsiTheme="minorEastAsia" w:eastAsiaTheme="minorEastAsia"/>
          <w:szCs w:val="21"/>
        </w:rPr>
        <w:t>备注：提供第五章规定的证明材料复印件。</w:t>
      </w:r>
    </w:p>
    <w:p w14:paraId="7B3FE68B">
      <w:pPr>
        <w:widowControl/>
        <w:jc w:val="left"/>
        <w:rPr>
          <w:rFonts w:ascii="黑体" w:eastAsia="黑体"/>
          <w:sz w:val="28"/>
          <w:szCs w:val="28"/>
        </w:rPr>
      </w:pPr>
      <w:r>
        <w:rPr>
          <w:rFonts w:ascii="黑体" w:eastAsia="黑体"/>
          <w:b/>
          <w:bCs/>
          <w:sz w:val="28"/>
          <w:szCs w:val="28"/>
        </w:rPr>
        <w:br w:type="page"/>
      </w:r>
    </w:p>
    <w:p w14:paraId="4F5F4FCD">
      <w:pPr>
        <w:pStyle w:val="5"/>
        <w:adjustRightInd w:val="0"/>
        <w:snapToGrid w:val="0"/>
        <w:spacing w:before="0" w:after="0" w:line="360" w:lineRule="auto"/>
        <w:jc w:val="center"/>
        <w:rPr>
          <w:rFonts w:hint="eastAsia" w:ascii="黑体" w:hAnsi="宋体" w:eastAsia="黑体"/>
          <w:sz w:val="28"/>
          <w:szCs w:val="28"/>
        </w:rPr>
      </w:pPr>
      <w:bookmarkStart w:id="276" w:name="_Toc15533"/>
      <w:bookmarkStart w:id="277" w:name="_Toc8941"/>
      <w:r>
        <w:rPr>
          <w:rFonts w:hint="eastAsia" w:ascii="黑体" w:hAnsi="宋体" w:eastAsia="黑体"/>
          <w:sz w:val="28"/>
          <w:szCs w:val="28"/>
        </w:rPr>
        <w:t>十二、投标人认为需提供的其他资料</w:t>
      </w:r>
      <w:bookmarkEnd w:id="275"/>
      <w:bookmarkEnd w:id="276"/>
      <w:bookmarkEnd w:id="277"/>
    </w:p>
    <w:p w14:paraId="701C4769">
      <w:pPr>
        <w:adjustRightInd w:val="0"/>
        <w:snapToGrid w:val="0"/>
        <w:spacing w:before="156" w:beforeLines="50" w:line="360" w:lineRule="auto"/>
        <w:rPr>
          <w:rFonts w:hint="eastAsia" w:asciiTheme="minorEastAsia" w:hAnsiTheme="minorEastAsia" w:eastAsiaTheme="minorEastAsia"/>
        </w:rPr>
      </w:pPr>
    </w:p>
    <w:p w14:paraId="14F33206">
      <w:pPr>
        <w:adjustRightInd w:val="0"/>
        <w:snapToGrid w:val="0"/>
        <w:spacing w:before="156" w:beforeLines="50" w:line="360" w:lineRule="auto"/>
        <w:rPr>
          <w:rFonts w:hint="eastAsia" w:asciiTheme="minorEastAsia" w:hAnsiTheme="minorEastAsia" w:eastAsiaTheme="minorEastAsia"/>
        </w:rPr>
      </w:pPr>
      <w:r>
        <w:rPr>
          <w:rFonts w:hint="eastAsia" w:asciiTheme="minorEastAsia" w:hAnsiTheme="minorEastAsia" w:eastAsiaTheme="minorEastAsia"/>
        </w:rPr>
        <w:t>备注：投标人认为需提供的其他资料包括：</w:t>
      </w:r>
    </w:p>
    <w:p w14:paraId="470D3D8E">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（1）招标文件第五章采购需求要求的其他资料；</w:t>
      </w:r>
    </w:p>
    <w:p w14:paraId="15FA8EF6">
      <w:pPr>
        <w:adjustRightInd w:val="0"/>
        <w:snapToGrid w:val="0"/>
        <w:spacing w:before="156" w:beforeLines="5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（2）招标文件第四章评标方法及标准要求的其他相关资料。</w:t>
      </w:r>
    </w:p>
    <w:p w14:paraId="09268D73"/>
    <w:sectPr>
      <w:pgSz w:w="11906" w:h="16838"/>
      <w:pgMar w:top="1474" w:right="1474" w:bottom="1474" w:left="158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D9C2D55-D8D1-4A12-8941-47F81FDEB828}"/>
  </w:font>
  <w:font w:name="Arial">
    <w:panose1 w:val="020B0604020202020204"/>
    <w:charset w:val="01"/>
    <w:family w:val="swiss"/>
    <w:pitch w:val="default"/>
    <w:sig w:usb0="E0002EFF" w:usb1="C000785B" w:usb2="00000009" w:usb3="00000000" w:csb0="400001FF" w:csb1="FFFF0000"/>
    <w:embedRegular r:id="rId2" w:fontKey="{E6709067-1278-4F10-9160-F49A3CCEF740}"/>
  </w:font>
  <w:font w:name="黑体">
    <w:panose1 w:val="02010609060101010101"/>
    <w:charset w:val="86"/>
    <w:family w:val="auto"/>
    <w:pitch w:val="default"/>
    <w:sig w:usb0="800002BF" w:usb1="38CF7CFA" w:usb2="00000016" w:usb3="00000000" w:csb0="00040001" w:csb1="00000000"/>
    <w:embedRegular r:id="rId3" w:fontKey="{7D7DCCA5-49DF-4733-A912-48FC12FEC2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E8E549F9-7B28-43E5-A447-24EFE9BDC9EE}"/>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5" w:fontKey="{FC4E4ABA-ED3A-4733-9F24-C2697BAA86E4}"/>
  </w:font>
  <w:font w:name="Calibri Light">
    <w:panose1 w:val="020F03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6" w:fontKey="{29B2E9E6-20F2-4739-8C05-6BB3E4B5BD4B}"/>
  </w:font>
  <w:font w:name="楷体">
    <w:panose1 w:val="02010609060101010101"/>
    <w:charset w:val="86"/>
    <w:family w:val="modern"/>
    <w:pitch w:val="default"/>
    <w:sig w:usb0="800002BF" w:usb1="38CF7CFA" w:usb2="00000016" w:usb3="00000000" w:csb0="00040001" w:csb1="00000000"/>
    <w:embedRegular r:id="rId7" w:fontKey="{983672E8-AC7A-4FC6-9A7B-1655F62BDFBF}"/>
  </w:font>
  <w:font w:name="微软雅黑">
    <w:panose1 w:val="020B0503020204020204"/>
    <w:charset w:val="86"/>
    <w:family w:val="swiss"/>
    <w:pitch w:val="default"/>
    <w:sig w:usb0="80000287" w:usb1="2ACF3C50" w:usb2="00000016" w:usb3="00000000" w:csb0="0004001F" w:csb1="00000000"/>
    <w:embedRegular r:id="rId8" w:fontKey="{C1799266-594D-47AD-98B2-0F56424F0BA0}"/>
  </w:font>
  <w:font w:name="楷体_GB2312">
    <w:altName w:val="楷体"/>
    <w:panose1 w:val="02010609030101010101"/>
    <w:charset w:val="86"/>
    <w:family w:val="auto"/>
    <w:pitch w:val="default"/>
    <w:sig w:usb0="00000000" w:usb1="00000000" w:usb2="00000000" w:usb3="00000000" w:csb0="00040000" w:csb1="00000000"/>
    <w:embedRegular r:id="rId9" w:fontKey="{A6CD46E5-ABCD-4383-84A3-B45B8FF7DC68}"/>
  </w:font>
  <w:font w:name="等线">
    <w:panose1 w:val="02010600030101010101"/>
    <w:charset w:val="86"/>
    <w:family w:val="auto"/>
    <w:pitch w:val="default"/>
    <w:sig w:usb0="A00002BF" w:usb1="38CF7CFA" w:usb2="00000016" w:usb3="00000000" w:csb0="0004000F" w:csb1="00000000"/>
    <w:embedRegular r:id="rId10" w:fontKey="{32B3276D-42D0-4A38-B8FC-9D49F5AD1B91}"/>
  </w:font>
  <w:font w:name="Wingdings 2">
    <w:panose1 w:val="05020102010507070707"/>
    <w:charset w:val="02"/>
    <w:family w:val="roman"/>
    <w:pitch w:val="default"/>
    <w:sig w:usb0="00000000" w:usb1="00000000" w:usb2="00000000" w:usb3="00000000" w:csb0="80000000" w:csb1="00000000"/>
    <w:embedRegular r:id="rId11" w:fontKey="{360D6B99-6E61-41CA-8064-20CC818EBA17}"/>
  </w:font>
  <w:font w:name="华文宋体">
    <w:panose1 w:val="02010600040101010101"/>
    <w:charset w:val="86"/>
    <w:family w:val="auto"/>
    <w:pitch w:val="default"/>
    <w:sig w:usb0="00000287" w:usb1="080F0000" w:usb2="00000000" w:usb3="00000000" w:csb0="0004009F" w:csb1="DFD70000"/>
    <w:embedRegular r:id="rId12" w:fontKey="{3BDE5ED5-9EFE-4DDA-81D0-9BE79BD99DEC}"/>
  </w:font>
  <w:font w:name="方正小标宋简体">
    <w:altName w:val="方正舒体"/>
    <w:panose1 w:val="02000000000000000000"/>
    <w:charset w:val="86"/>
    <w:family w:val="auto"/>
    <w:pitch w:val="default"/>
    <w:sig w:usb0="00000000" w:usb1="00000000" w:usb2="00000012" w:usb3="00000000" w:csb0="00040001" w:csb1="00000000"/>
    <w:embedRegular r:id="rId13" w:fontKey="{B07F0222-420B-46CC-A560-BB162436F4E4}"/>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embedRegular r:id="rId14" w:fontKey="{ECE74A66-D6DB-4783-AC03-8E8F3DAABD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48D64">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37CB48">
                          <w:pPr>
                            <w:pStyle w:val="14"/>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37CB48">
                    <w:pPr>
                      <w:pStyle w:val="14"/>
                    </w:pPr>
                    <w: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t xml:space="preserve"> —</w:t>
                    </w:r>
                  </w:p>
                </w:txbxContent>
              </v:textbox>
            </v:shape>
          </w:pict>
        </mc:Fallback>
      </mc:AlternateContent>
    </w:r>
  </w:p>
  <w:p w14:paraId="337C5E6C">
    <w:pPr>
      <w:pStyle w:val="14"/>
      <w:ind w:left="180" w:right="359" w:rightChars="171" w:hanging="180" w:hangingChars="100"/>
      <w:jc w:val="right"/>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CAB0D">
    <w:pPr>
      <w:pStyle w:val="14"/>
      <w:ind w:left="300" w:right="359" w:rightChars="171" w:hanging="180" w:hangingChars="100"/>
      <w:jc w:val="right"/>
      <w:rPr>
        <w:rFonts w:eastAsia="楷体_GB2312"/>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F8457">
                          <w:pPr>
                            <w:pStyle w:val="1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14F8457">
                    <w:pPr>
                      <w:pStyle w:val="1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BA929">
    <w:pPr>
      <w:pStyle w:val="14"/>
      <w:ind w:left="300" w:right="359" w:rightChars="171" w:hanging="180" w:hangingChars="100"/>
      <w:jc w:val="right"/>
      <w:rPr>
        <w:rFonts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E4BEF">
                          <w:pPr>
                            <w:pStyle w:val="1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100</w:t>
                          </w:r>
                          <w:r>
                            <w:rPr>
                              <w:sz w:val="28"/>
                              <w:szCs w:val="28"/>
                            </w:rPr>
                            <w:fldChar w:fldCharType="end"/>
                          </w:r>
                          <w:r>
                            <w:rPr>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0E4BEF">
                    <w:pPr>
                      <w:pStyle w:val="14"/>
                    </w:pPr>
                    <w: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100</w:t>
                    </w:r>
                    <w:r>
                      <w:rPr>
                        <w:sz w:val="28"/>
                        <w:szCs w:val="28"/>
                      </w:rPr>
                      <w:fldChar w:fldCharType="end"/>
                    </w:r>
                    <w:r>
                      <w:rPr>
                        <w:sz w:val="28"/>
                        <w:szCs w:val="28"/>
                      </w:rPr>
                      <w:t xml:space="preserve"> </w:t>
                    </w:r>
                    <w: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2F833">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1C100">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7E168">
    <w:pPr>
      <w:pStyle w:val="15"/>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5ED58">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F2351">
    <w:pPr>
      <w:pStyle w:val="1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B1773"/>
    <w:multiLevelType w:val="singleLevel"/>
    <w:tmpl w:val="8E2B1773"/>
    <w:lvl w:ilvl="0" w:tentative="0">
      <w:start w:val="2"/>
      <w:numFmt w:val="chineseCounting"/>
      <w:suff w:val="nothing"/>
      <w:lvlText w:val="%1、"/>
      <w:lvlJc w:val="left"/>
      <w:rPr>
        <w:rFonts w:hint="eastAsia"/>
      </w:rPr>
    </w:lvl>
  </w:abstractNum>
  <w:abstractNum w:abstractNumId="1">
    <w:nsid w:val="A4342F25"/>
    <w:multiLevelType w:val="singleLevel"/>
    <w:tmpl w:val="A4342F25"/>
    <w:lvl w:ilvl="0" w:tentative="0">
      <w:start w:val="1"/>
      <w:numFmt w:val="chineseCounting"/>
      <w:suff w:val="nothing"/>
      <w:lvlText w:val="%1、"/>
      <w:lvlJc w:val="left"/>
      <w:rPr>
        <w:rFonts w:hint="eastAsia"/>
      </w:rPr>
    </w:lvl>
  </w:abstractNum>
  <w:abstractNum w:abstractNumId="2">
    <w:nsid w:val="FD173BBD"/>
    <w:multiLevelType w:val="multilevel"/>
    <w:tmpl w:val="FD173BBD"/>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060D03F5"/>
    <w:multiLevelType w:val="multilevel"/>
    <w:tmpl w:val="060D03F5"/>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083DEE87"/>
    <w:multiLevelType w:val="singleLevel"/>
    <w:tmpl w:val="083DEE87"/>
    <w:lvl w:ilvl="0" w:tentative="0">
      <w:start w:val="1"/>
      <w:numFmt w:val="decimal"/>
      <w:suff w:val="nothing"/>
      <w:lvlText w:val="%1．"/>
      <w:lvlJc w:val="left"/>
      <w:pPr>
        <w:ind w:left="0" w:firstLine="400"/>
      </w:pPr>
      <w:rPr>
        <w:rFonts w:hint="default"/>
      </w:rPr>
    </w:lvl>
  </w:abstractNum>
  <w:abstractNum w:abstractNumId="5">
    <w:nsid w:val="0B1CB472"/>
    <w:multiLevelType w:val="multilevel"/>
    <w:tmpl w:val="0B1CB472"/>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10948324"/>
    <w:multiLevelType w:val="multilevel"/>
    <w:tmpl w:val="10948324"/>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1EAB3708"/>
    <w:multiLevelType w:val="multilevel"/>
    <w:tmpl w:val="1EAB3708"/>
    <w:lvl w:ilvl="0" w:tentative="0">
      <w:start w:val="1"/>
      <w:numFmt w:val="decimal"/>
      <w:lvlText w:val="%1."/>
      <w:lvlJc w:val="left"/>
      <w:pPr>
        <w:ind w:left="0" w:firstLine="567"/>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8">
    <w:nsid w:val="22F01252"/>
    <w:multiLevelType w:val="multilevel"/>
    <w:tmpl w:val="22F01252"/>
    <w:lvl w:ilvl="0" w:tentative="0">
      <w:start w:val="1"/>
      <w:numFmt w:val="decimal"/>
      <w:lvlText w:val="%1."/>
      <w:lvlJc w:val="left"/>
      <w:pPr>
        <w:ind w:left="0" w:firstLine="567"/>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9">
    <w:nsid w:val="26790B47"/>
    <w:multiLevelType w:val="singleLevel"/>
    <w:tmpl w:val="26790B47"/>
    <w:lvl w:ilvl="0" w:tentative="0">
      <w:start w:val="1"/>
      <w:numFmt w:val="decimal"/>
      <w:suff w:val="nothing"/>
      <w:lvlText w:val="%1．"/>
      <w:lvlJc w:val="left"/>
      <w:pPr>
        <w:ind w:left="0" w:firstLine="400"/>
      </w:pPr>
      <w:rPr>
        <w:rFonts w:hint="default"/>
      </w:rPr>
    </w:lvl>
  </w:abstractNum>
  <w:abstractNum w:abstractNumId="10">
    <w:nsid w:val="2D7D1052"/>
    <w:multiLevelType w:val="multilevel"/>
    <w:tmpl w:val="2D7D1052"/>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34266D6A"/>
    <w:multiLevelType w:val="singleLevel"/>
    <w:tmpl w:val="34266D6A"/>
    <w:lvl w:ilvl="0" w:tentative="0">
      <w:start w:val="27"/>
      <w:numFmt w:val="decimal"/>
      <w:suff w:val="space"/>
      <w:lvlText w:val="%1."/>
      <w:lvlJc w:val="left"/>
    </w:lvl>
  </w:abstractNum>
  <w:abstractNum w:abstractNumId="12">
    <w:nsid w:val="42DA49F2"/>
    <w:multiLevelType w:val="singleLevel"/>
    <w:tmpl w:val="42DA49F2"/>
    <w:lvl w:ilvl="0" w:tentative="0">
      <w:start w:val="1"/>
      <w:numFmt w:val="decimal"/>
      <w:suff w:val="nothing"/>
      <w:lvlText w:val="%1．"/>
      <w:lvlJc w:val="left"/>
      <w:pPr>
        <w:ind w:left="0" w:firstLine="400"/>
      </w:pPr>
      <w:rPr>
        <w:rFonts w:hint="default"/>
      </w:rPr>
    </w:lvl>
  </w:abstractNum>
  <w:abstractNum w:abstractNumId="13">
    <w:nsid w:val="49C49B56"/>
    <w:multiLevelType w:val="singleLevel"/>
    <w:tmpl w:val="49C49B56"/>
    <w:lvl w:ilvl="0" w:tentative="0">
      <w:start w:val="4"/>
      <w:numFmt w:val="chineseCounting"/>
      <w:suff w:val="nothing"/>
      <w:lvlText w:val="%1、"/>
      <w:lvlJc w:val="left"/>
      <w:rPr>
        <w:rFonts w:hint="eastAsia"/>
      </w:rPr>
    </w:lvl>
  </w:abstractNum>
  <w:abstractNum w:abstractNumId="14">
    <w:nsid w:val="59D10236"/>
    <w:multiLevelType w:val="multilevel"/>
    <w:tmpl w:val="59D10236"/>
    <w:lvl w:ilvl="0" w:tentative="0">
      <w:start w:val="1"/>
      <w:numFmt w:val="decimal"/>
      <w:lvlText w:val="%1."/>
      <w:lvlJc w:val="left"/>
      <w:pPr>
        <w:ind w:left="0" w:firstLine="567"/>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5">
    <w:nsid w:val="7322D9D8"/>
    <w:multiLevelType w:val="multilevel"/>
    <w:tmpl w:val="7322D9D8"/>
    <w:lvl w:ilvl="0" w:tentative="0">
      <w:start w:val="1"/>
      <w:numFmt w:val="decimal"/>
      <w:lvlText w:val="%1."/>
      <w:lvlJc w:val="left"/>
      <w:pPr>
        <w:ind w:left="0" w:firstLine="567"/>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13"/>
  </w:num>
  <w:num w:numId="3">
    <w:abstractNumId w:val="11"/>
  </w:num>
  <w:num w:numId="4">
    <w:abstractNumId w:val="0"/>
  </w:num>
  <w:num w:numId="5">
    <w:abstractNumId w:val="10"/>
  </w:num>
  <w:num w:numId="6">
    <w:abstractNumId w:val="6"/>
  </w:num>
  <w:num w:numId="7">
    <w:abstractNumId w:val="5"/>
  </w:num>
  <w:num w:numId="8">
    <w:abstractNumId w:val="15"/>
  </w:num>
  <w:num w:numId="9">
    <w:abstractNumId w:val="3"/>
  </w:num>
  <w:num w:numId="10">
    <w:abstractNumId w:val="2"/>
  </w:num>
  <w:num w:numId="11">
    <w:abstractNumId w:val="4"/>
  </w:num>
  <w:num w:numId="12">
    <w:abstractNumId w:val="9"/>
  </w:num>
  <w:num w:numId="13">
    <w:abstractNumId w:val="8"/>
  </w:num>
  <w:num w:numId="14">
    <w:abstractNumId w:val="14"/>
  </w:num>
  <w:num w:numId="15">
    <w:abstractNumId w:val="7"/>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NmFmOWEzMDk1Y2Q0MmJhOTRkYTc3NjAyZWU5ZmIifQ=="/>
    <w:docVar w:name="KSO_WPS_MARK_KEY" w:val="ef68ad8b-6adb-4439-b27e-c560d000b56c"/>
  </w:docVars>
  <w:rsids>
    <w:rsidRoot w:val="00000000"/>
    <w:rsid w:val="002C61F7"/>
    <w:rsid w:val="00450821"/>
    <w:rsid w:val="00D40410"/>
    <w:rsid w:val="01AB037F"/>
    <w:rsid w:val="049649D9"/>
    <w:rsid w:val="04F217BD"/>
    <w:rsid w:val="05DB7034"/>
    <w:rsid w:val="05F4705E"/>
    <w:rsid w:val="07002625"/>
    <w:rsid w:val="07C2525B"/>
    <w:rsid w:val="08EB5C1C"/>
    <w:rsid w:val="09D70C11"/>
    <w:rsid w:val="0B666A61"/>
    <w:rsid w:val="0D892919"/>
    <w:rsid w:val="0E7019A5"/>
    <w:rsid w:val="0EFFDAD2"/>
    <w:rsid w:val="108C6F6A"/>
    <w:rsid w:val="10BB38BE"/>
    <w:rsid w:val="11545B0C"/>
    <w:rsid w:val="13274D28"/>
    <w:rsid w:val="13AC657F"/>
    <w:rsid w:val="15875F52"/>
    <w:rsid w:val="16507D95"/>
    <w:rsid w:val="1671273A"/>
    <w:rsid w:val="173B5246"/>
    <w:rsid w:val="17CA012E"/>
    <w:rsid w:val="182676C3"/>
    <w:rsid w:val="184D1932"/>
    <w:rsid w:val="18A63700"/>
    <w:rsid w:val="190A3122"/>
    <w:rsid w:val="1A341E61"/>
    <w:rsid w:val="1AD31A35"/>
    <w:rsid w:val="1AFC17E9"/>
    <w:rsid w:val="1BB47375"/>
    <w:rsid w:val="1C512E16"/>
    <w:rsid w:val="1CA35D6A"/>
    <w:rsid w:val="1FB14D4C"/>
    <w:rsid w:val="219043E0"/>
    <w:rsid w:val="223905D4"/>
    <w:rsid w:val="22873F16"/>
    <w:rsid w:val="23C80EDF"/>
    <w:rsid w:val="249709A7"/>
    <w:rsid w:val="24FE1514"/>
    <w:rsid w:val="251D50E2"/>
    <w:rsid w:val="254C6870"/>
    <w:rsid w:val="27FD74A1"/>
    <w:rsid w:val="28EB0DF4"/>
    <w:rsid w:val="29330B9F"/>
    <w:rsid w:val="29E5576E"/>
    <w:rsid w:val="2A507FD8"/>
    <w:rsid w:val="2C4175B0"/>
    <w:rsid w:val="2D16666C"/>
    <w:rsid w:val="2DD77724"/>
    <w:rsid w:val="2EF644B6"/>
    <w:rsid w:val="2F242F9A"/>
    <w:rsid w:val="2FDEAC55"/>
    <w:rsid w:val="319D78B0"/>
    <w:rsid w:val="31DB0DDF"/>
    <w:rsid w:val="3240586E"/>
    <w:rsid w:val="327B6E8F"/>
    <w:rsid w:val="3311534B"/>
    <w:rsid w:val="33175985"/>
    <w:rsid w:val="33EA7980"/>
    <w:rsid w:val="33FB8D92"/>
    <w:rsid w:val="361138EA"/>
    <w:rsid w:val="36357CD2"/>
    <w:rsid w:val="364D2FBD"/>
    <w:rsid w:val="37BE7211"/>
    <w:rsid w:val="37F40DEA"/>
    <w:rsid w:val="38894F63"/>
    <w:rsid w:val="38B7111B"/>
    <w:rsid w:val="38B93DC5"/>
    <w:rsid w:val="3A46605E"/>
    <w:rsid w:val="3DA6700D"/>
    <w:rsid w:val="3DCC606F"/>
    <w:rsid w:val="3E590626"/>
    <w:rsid w:val="3E974BA8"/>
    <w:rsid w:val="3EA42E21"/>
    <w:rsid w:val="3ECFA5A7"/>
    <w:rsid w:val="3F7F0113"/>
    <w:rsid w:val="402D7572"/>
    <w:rsid w:val="40D21E6C"/>
    <w:rsid w:val="41515132"/>
    <w:rsid w:val="43805C0B"/>
    <w:rsid w:val="43AC14B6"/>
    <w:rsid w:val="43EA1508"/>
    <w:rsid w:val="455C26A8"/>
    <w:rsid w:val="45B147A1"/>
    <w:rsid w:val="460857E5"/>
    <w:rsid w:val="461700DB"/>
    <w:rsid w:val="463827CD"/>
    <w:rsid w:val="464D3CAF"/>
    <w:rsid w:val="467776C4"/>
    <w:rsid w:val="47150183"/>
    <w:rsid w:val="472FABCE"/>
    <w:rsid w:val="473151C4"/>
    <w:rsid w:val="4753709D"/>
    <w:rsid w:val="476C00AC"/>
    <w:rsid w:val="47A7266A"/>
    <w:rsid w:val="490A3F7F"/>
    <w:rsid w:val="4A437992"/>
    <w:rsid w:val="4A6F2535"/>
    <w:rsid w:val="4C3A76CF"/>
    <w:rsid w:val="4C83051A"/>
    <w:rsid w:val="4CA51412"/>
    <w:rsid w:val="4CBB5F06"/>
    <w:rsid w:val="4DA73C0B"/>
    <w:rsid w:val="4E0508CD"/>
    <w:rsid w:val="4ED24FA6"/>
    <w:rsid w:val="4F71468F"/>
    <w:rsid w:val="4FDB217A"/>
    <w:rsid w:val="504C0FB5"/>
    <w:rsid w:val="52380980"/>
    <w:rsid w:val="53AC6653"/>
    <w:rsid w:val="55313094"/>
    <w:rsid w:val="57BF58B6"/>
    <w:rsid w:val="5866766D"/>
    <w:rsid w:val="59D93E6F"/>
    <w:rsid w:val="5A693315"/>
    <w:rsid w:val="5A963CC6"/>
    <w:rsid w:val="5ABF4E13"/>
    <w:rsid w:val="5AC97A40"/>
    <w:rsid w:val="5B3A093D"/>
    <w:rsid w:val="5BAF2DE6"/>
    <w:rsid w:val="5C523CBE"/>
    <w:rsid w:val="5C7D196F"/>
    <w:rsid w:val="5D1806D0"/>
    <w:rsid w:val="5D8B722E"/>
    <w:rsid w:val="5DDE15E4"/>
    <w:rsid w:val="5DFE634D"/>
    <w:rsid w:val="5EE4394D"/>
    <w:rsid w:val="5F331435"/>
    <w:rsid w:val="6155027F"/>
    <w:rsid w:val="62162E7F"/>
    <w:rsid w:val="642E16FA"/>
    <w:rsid w:val="64D02C68"/>
    <w:rsid w:val="65901886"/>
    <w:rsid w:val="660E2675"/>
    <w:rsid w:val="66C74086"/>
    <w:rsid w:val="6841330B"/>
    <w:rsid w:val="6A951A46"/>
    <w:rsid w:val="6A9668F7"/>
    <w:rsid w:val="6ACB15B2"/>
    <w:rsid w:val="6C3D246C"/>
    <w:rsid w:val="6C4B51D6"/>
    <w:rsid w:val="6D363DE7"/>
    <w:rsid w:val="6D433682"/>
    <w:rsid w:val="6DE815FE"/>
    <w:rsid w:val="6DEF5227"/>
    <w:rsid w:val="6FB940CF"/>
    <w:rsid w:val="6FF7E065"/>
    <w:rsid w:val="6FFF92F0"/>
    <w:rsid w:val="70AC7C7E"/>
    <w:rsid w:val="714D04D7"/>
    <w:rsid w:val="716A68B9"/>
    <w:rsid w:val="71D84C2B"/>
    <w:rsid w:val="72143FCE"/>
    <w:rsid w:val="723A2DA8"/>
    <w:rsid w:val="739E5AB6"/>
    <w:rsid w:val="73DB2866"/>
    <w:rsid w:val="744D0FEF"/>
    <w:rsid w:val="762A3631"/>
    <w:rsid w:val="775C4586"/>
    <w:rsid w:val="7A0F14BB"/>
    <w:rsid w:val="7A201051"/>
    <w:rsid w:val="7AB651E7"/>
    <w:rsid w:val="7BA619AB"/>
    <w:rsid w:val="7BC167E5"/>
    <w:rsid w:val="7BFB22D4"/>
    <w:rsid w:val="7CD1559E"/>
    <w:rsid w:val="7CFF9DE8"/>
    <w:rsid w:val="7E16EF87"/>
    <w:rsid w:val="7E413C0D"/>
    <w:rsid w:val="7F9D4918"/>
    <w:rsid w:val="7FBB17DD"/>
    <w:rsid w:val="7FE39CCC"/>
    <w:rsid w:val="7FFE8411"/>
    <w:rsid w:val="ABDB1BBF"/>
    <w:rsid w:val="BBFC45F9"/>
    <w:rsid w:val="BDB73B8C"/>
    <w:rsid w:val="BFDC7B6D"/>
    <w:rsid w:val="DF5F0A28"/>
    <w:rsid w:val="E7BF8E95"/>
    <w:rsid w:val="EB394E84"/>
    <w:rsid w:val="EBF893C5"/>
    <w:rsid w:val="F2CFC330"/>
    <w:rsid w:val="F5EFCC3F"/>
    <w:rsid w:val="F6B51639"/>
    <w:rsid w:val="F77D560D"/>
    <w:rsid w:val="FD77D703"/>
    <w:rsid w:val="FF6BFAB3"/>
    <w:rsid w:val="FFAF05B2"/>
    <w:rsid w:val="FFF73FE6"/>
    <w:rsid w:val="FFFC3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qFormat/>
    <w:uiPriority w:val="0"/>
    <w:pPr>
      <w:keepNext/>
      <w:jc w:val="center"/>
      <w:outlineLvl w:val="0"/>
    </w:pPr>
    <w:rPr>
      <w:b/>
      <w:bCs/>
      <w:sz w:val="24"/>
      <w:szCs w:val="20"/>
    </w:rPr>
  </w:style>
  <w:style w:type="paragraph" w:styleId="4">
    <w:name w:val="heading 2"/>
    <w:basedOn w:val="1"/>
    <w:next w:val="1"/>
    <w:qFormat/>
    <w:uiPriority w:val="0"/>
    <w:pPr>
      <w:keepNext/>
      <w:keepLines/>
      <w:spacing w:line="360" w:lineRule="auto"/>
      <w:outlineLvl w:val="1"/>
    </w:pPr>
    <w:rPr>
      <w:rFonts w:ascii="Arial" w:hAnsi="Arial"/>
      <w:b/>
      <w:bCs/>
      <w:sz w:val="24"/>
      <w:szCs w:val="32"/>
    </w:rPr>
  </w:style>
  <w:style w:type="paragraph" w:styleId="5">
    <w:name w:val="heading 3"/>
    <w:basedOn w:val="1"/>
    <w:next w:val="6"/>
    <w:qFormat/>
    <w:uiPriority w:val="0"/>
    <w:pPr>
      <w:keepNext/>
      <w:keepLines/>
      <w:spacing w:before="260" w:after="260" w:line="416" w:lineRule="auto"/>
      <w:outlineLvl w:val="2"/>
    </w:pPr>
    <w:rPr>
      <w:b/>
      <w:bCs/>
      <w:sz w:val="32"/>
      <w:szCs w:val="32"/>
    </w:rPr>
  </w:style>
  <w:style w:type="paragraph" w:styleId="7">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customStyle="1" w:styleId="3">
    <w:name w:val="！正文空2格"/>
    <w:basedOn w:val="1"/>
    <w:qFormat/>
    <w:uiPriority w:val="0"/>
    <w:pPr>
      <w:widowControl/>
      <w:ind w:firstLine="480" w:firstLineChars="200"/>
    </w:pPr>
    <w:rPr>
      <w:rFonts w:ascii="宋体" w:hAnsi="宋体"/>
      <w:snapToGrid w:val="0"/>
      <w:kern w:val="0"/>
    </w:rPr>
  </w:style>
  <w:style w:type="paragraph" w:styleId="6">
    <w:name w:val="Normal Indent"/>
    <w:basedOn w:val="1"/>
    <w:qFormat/>
    <w:uiPriority w:val="0"/>
    <w:pPr>
      <w:widowControl/>
      <w:adjustRightInd w:val="0"/>
      <w:snapToGrid w:val="0"/>
      <w:spacing w:line="240" w:lineRule="auto"/>
    </w:pPr>
    <w:rPr>
      <w:rFonts w:ascii="宋体" w:hAnsi="华文细黑" w:eastAsia="仿宋" w:cs="Times New Roman"/>
      <w:kern w:val="0"/>
    </w:rPr>
  </w:style>
  <w:style w:type="paragraph" w:styleId="8">
    <w:name w:val="caption"/>
    <w:basedOn w:val="1"/>
    <w:next w:val="1"/>
    <w:unhideWhenUsed/>
    <w:qFormat/>
    <w:uiPriority w:val="35"/>
    <w:rPr>
      <w:rFonts w:eastAsia="黑体" w:asciiTheme="majorHAnsi" w:hAnsiTheme="majorHAnsi" w:cstheme="majorBidi"/>
      <w:sz w:val="20"/>
      <w:szCs w:val="20"/>
    </w:rPr>
  </w:style>
  <w:style w:type="paragraph" w:styleId="9">
    <w:name w:val="Body Text"/>
    <w:basedOn w:val="1"/>
    <w:qFormat/>
    <w:uiPriority w:val="0"/>
    <w:pPr>
      <w:spacing w:after="120"/>
    </w:pPr>
  </w:style>
  <w:style w:type="paragraph" w:styleId="10">
    <w:name w:val="Body Text Indent"/>
    <w:basedOn w:val="1"/>
    <w:qFormat/>
    <w:uiPriority w:val="0"/>
    <w:pPr>
      <w:spacing w:after="120"/>
      <w:ind w:left="420" w:leftChars="200"/>
    </w:pPr>
  </w:style>
  <w:style w:type="paragraph" w:styleId="11">
    <w:name w:val="toc 3"/>
    <w:basedOn w:val="1"/>
    <w:next w:val="1"/>
    <w:unhideWhenUsed/>
    <w:qFormat/>
    <w:uiPriority w:val="39"/>
    <w:pPr>
      <w:adjustRightInd w:val="0"/>
      <w:snapToGrid w:val="0"/>
      <w:spacing w:line="360" w:lineRule="auto"/>
      <w:ind w:left="400" w:leftChars="400"/>
    </w:pPr>
    <w:rPr>
      <w:rFonts w:eastAsiaTheme="minorEastAsia"/>
      <w:b/>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sz w:val="24"/>
      <w:szCs w:val="20"/>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pPr>
      <w:spacing w:line="360" w:lineRule="auto"/>
    </w:pPr>
    <w:rPr>
      <w:rFonts w:asciiTheme="minorEastAsia" w:hAnsiTheme="minorEastAsia" w:eastAsiaTheme="minorEastAsia"/>
      <w:b/>
      <w:sz w:val="24"/>
      <w:szCs w:val="21"/>
    </w:rPr>
  </w:style>
  <w:style w:type="paragraph" w:styleId="17">
    <w:name w:val="toc 4"/>
    <w:basedOn w:val="1"/>
    <w:next w:val="1"/>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18">
    <w:name w:val="toc 2"/>
    <w:basedOn w:val="1"/>
    <w:next w:val="1"/>
    <w:unhideWhenUsed/>
    <w:qFormat/>
    <w:uiPriority w:val="39"/>
    <w:pPr>
      <w:spacing w:line="360" w:lineRule="auto"/>
      <w:ind w:left="200" w:leftChars="200"/>
    </w:pPr>
    <w:rPr>
      <w:rFonts w:eastAsiaTheme="majorEastAsia"/>
      <w:b/>
    </w:rPr>
  </w:style>
  <w:style w:type="paragraph" w:styleId="19">
    <w:name w:val="Body Text 2"/>
    <w:basedOn w:val="1"/>
    <w:qFormat/>
    <w:uiPriority w:val="0"/>
    <w:pPr>
      <w:spacing w:after="120" w:line="480" w:lineRule="auto"/>
    </w:pPr>
  </w:style>
  <w:style w:type="paragraph" w:styleId="20">
    <w:name w:val="Body Text First Indent 2"/>
    <w:basedOn w:val="10"/>
    <w:qFormat/>
    <w:uiPriority w:val="0"/>
    <w:pPr>
      <w:tabs>
        <w:tab w:val="left" w:pos="720"/>
      </w:tabs>
      <w:ind w:firstLine="420"/>
    </w:pPr>
  </w:style>
  <w:style w:type="table" w:styleId="22">
    <w:name w:val="Table Grid"/>
    <w:basedOn w:val="21"/>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bCs/>
    </w:rPr>
  </w:style>
  <w:style w:type="character" w:styleId="25">
    <w:name w:val="page number"/>
    <w:basedOn w:val="23"/>
    <w:qFormat/>
    <w:uiPriority w:val="0"/>
  </w:style>
  <w:style w:type="paragraph" w:customStyle="1" w:styleId="26">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7">
    <w:name w:val="Table Paragraph"/>
    <w:basedOn w:val="1"/>
    <w:qFormat/>
    <w:uiPriority w:val="1"/>
    <w:rPr>
      <w:rFonts w:ascii="宋体" w:hAnsi="宋体" w:cs="宋体"/>
      <w:szCs w:val="21"/>
      <w:lang w:val="zh-CN" w:bidi="zh-CN"/>
    </w:rPr>
  </w:style>
  <w:style w:type="table" w:customStyle="1" w:styleId="28">
    <w:name w:val="Table Normal"/>
    <w:unhideWhenUsed/>
    <w:qFormat/>
    <w:uiPriority w:val="0"/>
    <w:rPr>
      <w:lang w:val="en-US" w:eastAsia="zh-CN" w:bidi="ar-SA"/>
    </w:rPr>
    <w:tblPr>
      <w:tblCellMar>
        <w:top w:w="0" w:type="dxa"/>
        <w:left w:w="0" w:type="dxa"/>
        <w:bottom w:w="0" w:type="dxa"/>
        <w:right w:w="0" w:type="dxa"/>
      </w:tblCellMar>
    </w:tblPr>
  </w:style>
  <w:style w:type="paragraph" w:customStyle="1" w:styleId="29">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列出段落1"/>
    <w:basedOn w:val="31"/>
    <w:qFormat/>
    <w:uiPriority w:val="0"/>
    <w:pPr>
      <w:ind w:firstLine="420" w:firstLineChars="200"/>
    </w:pPr>
  </w:style>
  <w:style w:type="paragraph" w:customStyle="1" w:styleId="31">
    <w:name w:val="正文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
    <w:name w:val="Table Text"/>
    <w:qFormat/>
    <w:uiPriority w:val="0"/>
    <w:pPr>
      <w:widowControl w:val="0"/>
      <w:jc w:val="both"/>
    </w:pPr>
    <w:rPr>
      <w:rFonts w:ascii="宋体" w:hAnsi="宋体" w:eastAsia="宋体" w:cs="宋体"/>
      <w:kern w:val="2"/>
      <w:sz w:val="18"/>
      <w:szCs w:val="18"/>
      <w:lang w:val="en-US" w:eastAsia="zh-CN" w:bidi="ar-SA"/>
    </w:rPr>
  </w:style>
  <w:style w:type="paragraph" w:styleId="33">
    <w:name w:val="List Paragraph"/>
    <w:basedOn w:val="1"/>
    <w:qFormat/>
    <w:uiPriority w:val="34"/>
    <w:pPr>
      <w:ind w:firstLine="420" w:firstLineChars="200"/>
    </w:pPr>
  </w:style>
  <w:style w:type="paragraph" w:customStyle="1" w:styleId="34">
    <w:name w:val="正文-奇安信"/>
    <w:basedOn w:val="1"/>
    <w:qFormat/>
    <w:uiPriority w:val="0"/>
    <w:pPr>
      <w:spacing w:line="360" w:lineRule="auto"/>
      <w:ind w:firstLine="420"/>
    </w:pPr>
    <w:rPr>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18331</Words>
  <Characters>19902</Characters>
  <Lines>0</Lines>
  <Paragraphs>0</Paragraphs>
  <TotalTime>179</TotalTime>
  <ScaleCrop>false</ScaleCrop>
  <LinksUpToDate>false</LinksUpToDate>
  <CharactersWithSpaces>20584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2025-02-26T09:37:00Z</dcterms:created>
  <dc:creator>Administrator</dc:creator>
  <cp:lastModifiedBy>HUAWEI</cp:lastModifiedBy>
  <cp:lastPrinted>2026-08-21T18:48:00Z</cp:lastPrinted>
  <dcterms:modified xsi:type="dcterms:W3CDTF">2026-08-25T01:35:30Z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eyJoZGlkIjoiNzI1MzljODBiNDliMzEyMzFlZWNlN2EzYjU0N2YzMWEiLCJ1c2VySWQiOiI0NDkxNTU5MzQifQ==</vt:lpwstr>
  </property>
  <property fmtid="{D5CDD505-2E9C-101B-9397-08002B2CF9AE}" pid="4" name="ICV">
    <vt:lpwstr>387C7757A44446C5B14E9FC040C7A595_12</vt:lpwstr>
  </property>
</Properties>
</file>