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4E73B">
      <w:pPr>
        <w:tabs>
          <w:tab w:val="left" w:pos="8820"/>
          <w:tab w:val="left" w:pos="9345"/>
          <w:tab w:val="left" w:pos="9765"/>
        </w:tabs>
        <w:adjustRightInd w:val="0"/>
        <w:snapToGrid w:val="0"/>
        <w:spacing w:before="156" w:beforeLines="50" w:line="360" w:lineRule="auto"/>
        <w:ind w:right="384" w:rightChars="183"/>
        <w:jc w:val="center"/>
        <w:rPr>
          <w:rFonts w:hint="eastAsia" w:ascii="黑体" w:eastAsia="黑体"/>
          <w:b/>
          <w:sz w:val="32"/>
          <w:szCs w:val="32"/>
          <w:highlight w:val="none"/>
        </w:rPr>
      </w:pPr>
      <w:r>
        <w:rPr>
          <w:rFonts w:hint="eastAsia" w:ascii="黑体" w:eastAsia="黑体"/>
          <w:b/>
          <w:sz w:val="32"/>
          <w:szCs w:val="32"/>
          <w:highlight w:val="none"/>
        </w:rPr>
        <w:t>采购需求</w:t>
      </w:r>
    </w:p>
    <w:p w14:paraId="27671957">
      <w:pPr>
        <w:spacing w:line="360" w:lineRule="auto"/>
        <w:rPr>
          <w:rFonts w:hint="eastAsia"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一、采购项目概况</w:t>
      </w:r>
    </w:p>
    <w:p w14:paraId="1623E8B4">
      <w:pPr>
        <w:spacing w:line="360" w:lineRule="auto"/>
        <w:ind w:firstLine="440" w:firstLineChars="200"/>
        <w:rPr>
          <w:rFonts w:hint="eastAsia" w:ascii="宋体" w:hAnsi="宋体" w:cs="宋体"/>
          <w:sz w:val="22"/>
          <w:szCs w:val="22"/>
          <w:highlight w:val="none"/>
          <w:lang w:eastAsia="zh-CN"/>
        </w:rPr>
      </w:pPr>
      <w:r>
        <w:rPr>
          <w:rFonts w:hint="eastAsia" w:ascii="宋体" w:hAnsi="宋体" w:cs="宋体"/>
          <w:sz w:val="22"/>
          <w:szCs w:val="22"/>
          <w:highlight w:val="none"/>
          <w:lang w:val="en-US" w:eastAsia="zh-CN"/>
        </w:rPr>
        <w:t>1、项目名称：</w:t>
      </w:r>
      <w:r>
        <w:rPr>
          <w:rFonts w:hint="eastAsia" w:ascii="宋体" w:hAnsi="宋体" w:cs="宋体"/>
          <w:sz w:val="22"/>
          <w:szCs w:val="22"/>
          <w:highlight w:val="none"/>
          <w:lang w:eastAsia="zh-CN"/>
        </w:rPr>
        <w:t>全自动酶联免疫工作站、离子色谱仪等一批设备；</w:t>
      </w:r>
    </w:p>
    <w:p w14:paraId="0FE652FD">
      <w:pPr>
        <w:pStyle w:val="2"/>
        <w:rPr>
          <w:rFonts w:hint="default"/>
          <w:lang w:val="en-US"/>
        </w:rPr>
      </w:pPr>
      <w:r>
        <w:rPr>
          <w:rFonts w:hint="eastAsia" w:ascii="宋体" w:hAnsi="宋体" w:cs="宋体"/>
          <w:sz w:val="22"/>
          <w:szCs w:val="22"/>
          <w:highlight w:val="none"/>
          <w:lang w:val="en-US" w:eastAsia="zh-CN"/>
        </w:rPr>
        <w:t xml:space="preserve">    2、项目预算金额：1290000.00元；项目最高控制价：1290000.00元。</w:t>
      </w:r>
    </w:p>
    <w:p w14:paraId="64AABF2D">
      <w:pPr>
        <w:spacing w:line="360" w:lineRule="auto"/>
        <w:rPr>
          <w:rFonts w:hint="default"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二、采购内容及参数</w:t>
      </w:r>
    </w:p>
    <w:p w14:paraId="10CDA429">
      <w:pPr>
        <w:keepNext w:val="0"/>
        <w:keepLines w:val="0"/>
        <w:pageBreakBefore w:val="0"/>
        <w:widowControl/>
        <w:kinsoku w:val="0"/>
        <w:wordWrap/>
        <w:overflowPunct/>
        <w:topLinePunct w:val="0"/>
        <w:autoSpaceDE w:val="0"/>
        <w:autoSpaceDN w:val="0"/>
        <w:bidi w:val="0"/>
        <w:adjustRightInd w:val="0"/>
        <w:snapToGrid w:val="0"/>
        <w:spacing w:before="19" w:line="360" w:lineRule="auto"/>
        <w:ind w:firstLine="440" w:firstLineChars="200"/>
        <w:jc w:val="left"/>
        <w:textAlignment w:val="baseline"/>
        <w:rPr>
          <w:rFonts w:hint="eastAsia" w:ascii="楷体" w:hAnsi="楷体" w:eastAsia="宋体" w:cs="楷体"/>
          <w:snapToGrid w:val="0"/>
          <w:color w:val="auto"/>
          <w:kern w:val="0"/>
          <w:sz w:val="24"/>
          <w:szCs w:val="24"/>
          <w:highlight w:val="none"/>
          <w:lang w:val="en-US" w:eastAsia="zh-CN" w:bidi="ar-SA"/>
        </w:rPr>
      </w:pPr>
      <w:r>
        <w:rPr>
          <w:rFonts w:hint="eastAsia" w:ascii="宋体" w:hAnsi="宋体" w:eastAsia="宋体"/>
          <w:sz w:val="22"/>
          <w:szCs w:val="24"/>
        </w:rPr>
        <w:t>因水质、食品、艾滋病、职业病等检验检测工作需要需购买离子色谱仪、全自动石墨消解仪、全自动酶联免疫工作站、立式自动压力蒸汽灭菌器、全自动免疫化学发光分析仪相关设备</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具体</w:t>
      </w:r>
      <w:r>
        <w:rPr>
          <w:rFonts w:hint="eastAsia" w:ascii="宋体" w:hAnsi="宋体" w:eastAsia="宋体" w:cs="宋体"/>
          <w:sz w:val="21"/>
          <w:szCs w:val="21"/>
          <w:highlight w:val="none"/>
          <w:lang w:val="en-US" w:eastAsia="zh-CN"/>
        </w:rPr>
        <w:t>情况</w:t>
      </w:r>
      <w:r>
        <w:rPr>
          <w:rFonts w:hint="eastAsia" w:ascii="宋体" w:hAnsi="宋体" w:eastAsia="宋体" w:cs="宋体"/>
          <w:sz w:val="21"/>
          <w:szCs w:val="21"/>
          <w:highlight w:val="none"/>
        </w:rPr>
        <w:t>见下表</w:t>
      </w:r>
      <w:r>
        <w:rPr>
          <w:rFonts w:hint="eastAsia" w:ascii="宋体" w:hAnsi="宋体" w:cs="宋体"/>
          <w:sz w:val="21"/>
          <w:szCs w:val="21"/>
          <w:highlight w:val="none"/>
          <w:lang w:eastAsia="zh-CN"/>
        </w:rPr>
        <w:t>：</w:t>
      </w:r>
    </w:p>
    <w:tbl>
      <w:tblPr>
        <w:tblStyle w:val="4"/>
        <w:tblW w:w="9195"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780"/>
        <w:gridCol w:w="7260"/>
        <w:gridCol w:w="390"/>
        <w:gridCol w:w="345"/>
      </w:tblGrid>
      <w:tr w14:paraId="2BE2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20" w:type="dxa"/>
          </w:tcPr>
          <w:p w14:paraId="7A9DCF4F">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bCs/>
                <w:snapToGrid w:val="0"/>
                <w:color w:val="auto"/>
                <w:spacing w:val="-4"/>
                <w:kern w:val="0"/>
                <w:sz w:val="22"/>
                <w:szCs w:val="22"/>
                <w:highlight w:val="none"/>
                <w:vertAlign w:val="baseline"/>
                <w:lang w:val="en-US" w:eastAsia="zh-CN" w:bidi="ar-SA"/>
              </w:rPr>
            </w:pPr>
            <w:r>
              <w:rPr>
                <w:rFonts w:hint="eastAsia" w:ascii="楷体" w:hAnsi="楷体" w:eastAsia="楷体" w:cs="楷体"/>
                <w:b/>
                <w:bCs/>
                <w:snapToGrid w:val="0"/>
                <w:color w:val="auto"/>
                <w:spacing w:val="-4"/>
                <w:kern w:val="0"/>
                <w:sz w:val="22"/>
                <w:szCs w:val="22"/>
                <w:highlight w:val="none"/>
                <w:vertAlign w:val="baseline"/>
                <w:lang w:val="en-US" w:eastAsia="zh-CN" w:bidi="ar-SA"/>
              </w:rPr>
              <w:t>序号</w:t>
            </w:r>
          </w:p>
        </w:tc>
        <w:tc>
          <w:tcPr>
            <w:tcW w:w="780" w:type="dxa"/>
          </w:tcPr>
          <w:p w14:paraId="21335D55">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bCs/>
                <w:snapToGrid w:val="0"/>
                <w:color w:val="auto"/>
                <w:spacing w:val="-4"/>
                <w:kern w:val="0"/>
                <w:sz w:val="22"/>
                <w:szCs w:val="22"/>
                <w:highlight w:val="none"/>
                <w:vertAlign w:val="baseline"/>
                <w:lang w:val="en-US" w:eastAsia="zh-CN" w:bidi="ar-SA"/>
              </w:rPr>
            </w:pPr>
            <w:r>
              <w:rPr>
                <w:rFonts w:hint="eastAsia" w:ascii="楷体" w:hAnsi="楷体" w:eastAsia="楷体" w:cs="楷体"/>
                <w:b/>
                <w:bCs/>
                <w:snapToGrid w:val="0"/>
                <w:color w:val="auto"/>
                <w:spacing w:val="-4"/>
                <w:kern w:val="0"/>
                <w:sz w:val="22"/>
                <w:szCs w:val="22"/>
                <w:highlight w:val="none"/>
                <w:vertAlign w:val="baseline"/>
                <w:lang w:val="en-US" w:eastAsia="zh-CN" w:bidi="ar-SA"/>
              </w:rPr>
              <w:t>货物名称</w:t>
            </w:r>
          </w:p>
        </w:tc>
        <w:tc>
          <w:tcPr>
            <w:tcW w:w="7260" w:type="dxa"/>
          </w:tcPr>
          <w:p w14:paraId="46F08733">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bCs/>
                <w:snapToGrid w:val="0"/>
                <w:color w:val="auto"/>
                <w:spacing w:val="-4"/>
                <w:kern w:val="0"/>
                <w:sz w:val="22"/>
                <w:szCs w:val="22"/>
                <w:highlight w:val="none"/>
                <w:vertAlign w:val="baseline"/>
                <w:lang w:val="en-US" w:eastAsia="zh-CN" w:bidi="ar-SA"/>
              </w:rPr>
            </w:pPr>
            <w:r>
              <w:rPr>
                <w:rFonts w:hint="eastAsia" w:ascii="楷体" w:hAnsi="楷体" w:eastAsia="楷体" w:cs="楷体"/>
                <w:b/>
                <w:bCs/>
                <w:snapToGrid w:val="0"/>
                <w:color w:val="auto"/>
                <w:spacing w:val="-4"/>
                <w:kern w:val="0"/>
                <w:sz w:val="22"/>
                <w:szCs w:val="22"/>
                <w:highlight w:val="none"/>
                <w:vertAlign w:val="baseline"/>
                <w:lang w:val="en-US" w:eastAsia="zh-CN" w:bidi="ar-SA"/>
              </w:rPr>
              <w:t>技术参数</w:t>
            </w:r>
          </w:p>
        </w:tc>
        <w:tc>
          <w:tcPr>
            <w:tcW w:w="390" w:type="dxa"/>
          </w:tcPr>
          <w:p w14:paraId="20C91FDD">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bCs/>
                <w:snapToGrid w:val="0"/>
                <w:color w:val="auto"/>
                <w:spacing w:val="-4"/>
                <w:kern w:val="0"/>
                <w:sz w:val="22"/>
                <w:szCs w:val="22"/>
                <w:highlight w:val="none"/>
                <w:vertAlign w:val="baseline"/>
                <w:lang w:val="en-US" w:eastAsia="zh-CN" w:bidi="ar-SA"/>
              </w:rPr>
            </w:pPr>
            <w:r>
              <w:rPr>
                <w:rFonts w:hint="eastAsia" w:ascii="楷体" w:hAnsi="楷体" w:eastAsia="楷体" w:cs="楷体"/>
                <w:b/>
                <w:bCs/>
                <w:snapToGrid w:val="0"/>
                <w:color w:val="auto"/>
                <w:spacing w:val="-4"/>
                <w:kern w:val="0"/>
                <w:sz w:val="22"/>
                <w:szCs w:val="22"/>
                <w:highlight w:val="none"/>
                <w:vertAlign w:val="baseline"/>
                <w:lang w:val="en-US" w:eastAsia="zh-CN" w:bidi="ar-SA"/>
              </w:rPr>
              <w:t>数量</w:t>
            </w:r>
          </w:p>
        </w:tc>
        <w:tc>
          <w:tcPr>
            <w:tcW w:w="345" w:type="dxa"/>
          </w:tcPr>
          <w:p w14:paraId="03A24342">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bCs/>
                <w:snapToGrid w:val="0"/>
                <w:color w:val="auto"/>
                <w:spacing w:val="-4"/>
                <w:kern w:val="0"/>
                <w:sz w:val="22"/>
                <w:szCs w:val="22"/>
                <w:highlight w:val="none"/>
                <w:vertAlign w:val="baseline"/>
                <w:lang w:val="en-US" w:eastAsia="zh-CN" w:bidi="ar-SA"/>
              </w:rPr>
            </w:pPr>
            <w:r>
              <w:rPr>
                <w:rFonts w:hint="eastAsia" w:ascii="楷体" w:hAnsi="楷体" w:eastAsia="楷体" w:cs="楷体"/>
                <w:b/>
                <w:bCs/>
                <w:snapToGrid w:val="0"/>
                <w:color w:val="auto"/>
                <w:spacing w:val="-4"/>
                <w:kern w:val="0"/>
                <w:sz w:val="22"/>
                <w:szCs w:val="22"/>
                <w:highlight w:val="none"/>
                <w:vertAlign w:val="baseline"/>
                <w:lang w:val="en-US" w:eastAsia="zh-CN" w:bidi="ar-SA"/>
              </w:rPr>
              <w:t>单位</w:t>
            </w:r>
          </w:p>
        </w:tc>
      </w:tr>
      <w:tr w14:paraId="45C9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dxa"/>
          </w:tcPr>
          <w:p w14:paraId="0BDA58EE">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1</w:t>
            </w:r>
          </w:p>
        </w:tc>
        <w:tc>
          <w:tcPr>
            <w:tcW w:w="780" w:type="dxa"/>
          </w:tcPr>
          <w:p w14:paraId="6259ACE2">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bCs/>
                <w:snapToGrid w:val="0"/>
                <w:color w:val="auto"/>
                <w:spacing w:val="-4"/>
                <w:kern w:val="0"/>
                <w:sz w:val="20"/>
                <w:szCs w:val="20"/>
                <w:highlight w:val="none"/>
                <w:vertAlign w:val="baseline"/>
                <w:lang w:val="en-US" w:eastAsia="zh-CN" w:bidi="ar-SA"/>
              </w:rPr>
              <w:t>全自动化学发光免疫分析仪</w:t>
            </w:r>
          </w:p>
        </w:tc>
        <w:tc>
          <w:tcPr>
            <w:tcW w:w="7260" w:type="dxa"/>
          </w:tcPr>
          <w:p w14:paraId="14D7482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  国家食品药品监督管理局 III类注册</w:t>
            </w:r>
          </w:p>
          <w:p w14:paraId="4878902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  方法学 :辉光型化学发光法（发光时间长、强度稳定）</w:t>
            </w:r>
          </w:p>
          <w:p w14:paraId="213C301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  检测样本 :血清、血浆、尿液</w:t>
            </w:r>
          </w:p>
          <w:p w14:paraId="1F83F71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  样本管 :具有多种规格原始管上样功能，系统条形码功能。</w:t>
            </w:r>
          </w:p>
          <w:p w14:paraId="000945D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  样本位 :采用轨道进样， ≥60 个样本位，随时连续进样，支持自动重测</w:t>
            </w:r>
          </w:p>
          <w:p w14:paraId="4847C28B">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  急诊进样系统 :具有急诊通道，急诊样本，优先处理</w:t>
            </w:r>
          </w:p>
          <w:p w14:paraId="4C39A7D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  样本整体性控制 :基于压力传感技术的液面感应，堵塞检测，空吸检测，样本量不足标记和管理</w:t>
            </w:r>
          </w:p>
          <w:p w14:paraId="2151BBA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  样本管理 :具有在机稀释， 自动重检功能</w:t>
            </w:r>
          </w:p>
          <w:p w14:paraId="3B7CB7D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  检测速度 :测试速度≥180 测试/小时</w:t>
            </w:r>
          </w:p>
          <w:p w14:paraId="2642221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宋体" w:hAnsi="宋体" w:cs="宋体"/>
                <w:b w:val="0"/>
                <w:bCs w:val="0"/>
                <w:snapToGrid w:val="0"/>
                <w:color w:val="000000"/>
                <w:kern w:val="0"/>
                <w:sz w:val="21"/>
                <w:szCs w:val="21"/>
                <w:highlight w:val="none"/>
                <w:lang w:val="en-US" w:eastAsia="zh-CN"/>
              </w:rPr>
              <w:t>★</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10.试剂位:冷藏试剂位≥25 个，2-8℃不间断冷藏</w:t>
            </w:r>
          </w:p>
          <w:p w14:paraId="24C6800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11. 试剂完整性控制 :条形码试剂鉴别，自动存量追踪和标记，校准有效性追踪和标记，试剂有效期追踪和标记</w:t>
            </w:r>
          </w:p>
          <w:p w14:paraId="6CB7D90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▲12.反应杯:独立的单个反应杯设计，一次性可在机放置反应杯≥176 个，并可随时添加</w:t>
            </w:r>
          </w:p>
          <w:p w14:paraId="3B6D4E3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13. 持续运行能力 :可以 24 小时开机</w:t>
            </w:r>
          </w:p>
          <w:p w14:paraId="101AE97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14. 检测项目 : ≥57 种试剂项目，具有甲状腺功能、性腺激素、传染病、肝纤等检测</w:t>
            </w:r>
          </w:p>
          <w:p w14:paraId="5FE871D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▲15.促甲状腺激素（TSH） :为第三代，功能灵敏度≦0.02mIU/L</w:t>
            </w:r>
          </w:p>
          <w:p w14:paraId="0184E3B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▲16.传染病项目：HIV 为第四代产品，抗原抗体联检，乙肝表面抗原可溯源至 WHO 国际标准单位</w:t>
            </w:r>
          </w:p>
          <w:p w14:paraId="6E49A36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17. 定标要求 :内置主曲线，二维码识别，三点校准</w:t>
            </w:r>
          </w:p>
          <w:p w14:paraId="7A7581B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18. 校准要求 :采用独立注册的原厂校准品，满足溯源性要求，并提供溯源性文件</w:t>
            </w:r>
          </w:p>
          <w:p w14:paraId="61137B1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19. 用户界面 :17 寸高分别率彩色触摸显示器，Windows10（64bit）操作系统,中文操作界面</w:t>
            </w:r>
          </w:p>
          <w:p w14:paraId="1FD5A0B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20. 网络连接能力 :有单向、双向连接外部Lis 软件或网络的能力</w:t>
            </w:r>
          </w:p>
          <w:p w14:paraId="18FD071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21.</w:t>
            </w:r>
            <w:r>
              <w:rPr>
                <w:rFonts w:hint="eastAsia" w:ascii="楷体" w:hAnsi="楷体" w:eastAsia="楷体" w:cs="楷体"/>
                <w:b w:val="0"/>
                <w:bCs w:val="0"/>
                <w:snapToGrid w:val="0"/>
                <w:color w:val="auto"/>
                <w:spacing w:val="-4"/>
                <w:kern w:val="0"/>
                <w:sz w:val="22"/>
                <w:szCs w:val="22"/>
                <w:highlight w:val="none"/>
                <w:vertAlign w:val="baseline"/>
                <w:lang w:val="en-US" w:eastAsia="zh-CN" w:bidi="ar-SA"/>
              </w:rPr>
              <w:t>国家药品监督管理局认证情况 :仪器及试剂、相关耗品等都具有国家药品监督管理局认证</w:t>
            </w:r>
          </w:p>
          <w:p w14:paraId="61D4FEC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22. 操作及保养 :操作简便，每天保养工作简单，随时可以待机</w:t>
            </w:r>
          </w:p>
          <w:p w14:paraId="59DE42C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23. 配备电脑和主机，保修一年</w:t>
            </w:r>
          </w:p>
        </w:tc>
        <w:tc>
          <w:tcPr>
            <w:tcW w:w="390" w:type="dxa"/>
          </w:tcPr>
          <w:p w14:paraId="54821120">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1</w:t>
            </w:r>
          </w:p>
        </w:tc>
        <w:tc>
          <w:tcPr>
            <w:tcW w:w="345" w:type="dxa"/>
          </w:tcPr>
          <w:p w14:paraId="1482F42B">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台</w:t>
            </w:r>
          </w:p>
        </w:tc>
      </w:tr>
      <w:tr w14:paraId="2486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20" w:type="dxa"/>
          </w:tcPr>
          <w:p w14:paraId="03AA611B">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w:t>
            </w:r>
          </w:p>
        </w:tc>
        <w:tc>
          <w:tcPr>
            <w:tcW w:w="780" w:type="dxa"/>
          </w:tcPr>
          <w:p w14:paraId="1FD0202E">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bCs/>
                <w:snapToGrid w:val="0"/>
                <w:color w:val="auto"/>
                <w:spacing w:val="-4"/>
                <w:kern w:val="0"/>
                <w:sz w:val="20"/>
                <w:szCs w:val="20"/>
                <w:highlight w:val="none"/>
                <w:vertAlign w:val="baseline"/>
                <w:lang w:val="en-US" w:eastAsia="zh-CN" w:bidi="ar-SA"/>
              </w:rPr>
              <w:t>立式自动压力蒸汽灭菌器</w:t>
            </w:r>
          </w:p>
        </w:tc>
        <w:tc>
          <w:tcPr>
            <w:tcW w:w="7260" w:type="dxa"/>
          </w:tcPr>
          <w:p w14:paraId="4AF4491B">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1.制造商具有中华人民共和国特种设备生产许可证（D级及以上资质），许可项目包含：压力容器制造并有注明具备所制造产品设计能力，不可借用第三方资质；需提供特种设备生产许可证佐证</w:t>
            </w:r>
          </w:p>
          <w:p w14:paraId="3E62D38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2.容量:≥60 升,立式结构,可放入直径≥38CM,高度 39CM 的灭菌架;</w:t>
            </w:r>
          </w:p>
          <w:p w14:paraId="0AF80D5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宋体" w:hAnsi="宋体" w:cs="宋体"/>
                <w:b w:val="0"/>
                <w:bCs w:val="0"/>
                <w:snapToGrid w:val="0"/>
                <w:color w:val="000000"/>
                <w:kern w:val="0"/>
                <w:sz w:val="21"/>
                <w:szCs w:val="21"/>
                <w:highlight w:val="none"/>
                <w:lang w:val="en-US" w:eastAsia="zh-CN"/>
              </w:rPr>
              <w:t>★</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3.容器设计温度≥153 度、容器设计压力≥0.42MPa</w:t>
            </w:r>
          </w:p>
          <w:p w14:paraId="6E9E904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4.灭菌腔体采用 316L 不锈钢或以上不锈钢，抗腐蚀性更强，</w:t>
            </w:r>
          </w:p>
          <w:p w14:paraId="7DDD198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5.灭菌工作温度 105-136 度；</w:t>
            </w:r>
          </w:p>
          <w:p w14:paraId="16D71A4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6.定时：灭菌时间 1-999 分钟，保温时间 1-900 分钟，预约灭菌时间 0-3 天；</w:t>
            </w:r>
          </w:p>
          <w:p w14:paraId="52E925A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7.六级排汽方式:灭菌结束可设定≥6 种不同的排汽速度，通过控制电磁阀的开关，液体培养基灭菌结束排气降温而培养基不会溢出来;</w:t>
            </w:r>
          </w:p>
          <w:p w14:paraId="53251B0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8.开关盖方式：触拨式开关，垂直向上打开腔门（上掀式开盖）下压式关盖，单手可实现开关盖；</w:t>
            </w:r>
          </w:p>
          <w:p w14:paraId="3CD229F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宋体" w:hAnsi="宋体" w:cs="宋体"/>
                <w:b w:val="0"/>
                <w:bCs w:val="0"/>
                <w:snapToGrid w:val="0"/>
                <w:color w:val="000000"/>
                <w:kern w:val="0"/>
                <w:sz w:val="21"/>
                <w:szCs w:val="21"/>
                <w:highlight w:val="none"/>
                <w:lang w:val="en-US" w:eastAsia="zh-CN"/>
              </w:rPr>
              <w:t>★</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9.多点锁紧连接结构：腔盖（上封头）与腔体的锁紧连接达到 7 个点或以上。</w:t>
            </w:r>
          </w:p>
          <w:p w14:paraId="6F9CD2C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10.人性化的台面结构：操作台面上没有障碍物结构，灭菌样品可从从灭菌腔轻松取出或放置，同时在取出放置过程中也可先平放在台面上作为中转，摒弃了女性使用者在提放重物样品过台面带来的不便。</w:t>
            </w:r>
          </w:p>
          <w:p w14:paraId="3FADDC1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11.腔门完全敞开及任意停留性能：腔门完全打开时与灭菌腔可达到 90 度角，大件样品可垂直从腔内取出；且腔盖可以在任意角度停留，防止腔盖突然砸下风险。</w:t>
            </w:r>
          </w:p>
          <w:p w14:paraId="76E2027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12.合理的台面高度：地面到操作台面的高度不超过 95cm；</w:t>
            </w:r>
          </w:p>
          <w:p w14:paraId="0F32FB1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13.微电脑控制:实现了整个灭菌进程全自动控制</w:t>
            </w:r>
          </w:p>
          <w:p w14:paraId="2DE470C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14.液晶显示智能控制系统：彩色液晶显示系统（五种以上颜色显示），中英文多种语言显示,具有 USB 接口：支持数据导出功能。</w:t>
            </w:r>
          </w:p>
          <w:p w14:paraId="74F1F9C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15.干烧保护装置：灭菌腔底同时配备多种保护方式的防干烧装置，至少包括液胀式、温度感应式、离子浓度式三种不同干烧保护装置，且保护装置至少采用了强抗氧化性酸的不锈钢和强抗非氧化性酸的铜质材料，提高了仪器干烧保护装置的冗余能力和防腐蚀能力。</w:t>
            </w:r>
          </w:p>
          <w:p w14:paraId="4C032AD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16.具有水质检测功能，当灭菌腔水质脏污时可以进行提醒；</w:t>
            </w:r>
          </w:p>
          <w:p w14:paraId="4755358B">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宋体" w:hAnsi="宋体" w:cs="宋体"/>
                <w:b w:val="0"/>
                <w:bCs w:val="0"/>
                <w:snapToGrid w:val="0"/>
                <w:color w:val="000000"/>
                <w:kern w:val="0"/>
                <w:sz w:val="21"/>
                <w:szCs w:val="21"/>
                <w:highlight w:val="none"/>
                <w:lang w:val="en-US" w:eastAsia="zh-CN"/>
              </w:rPr>
              <w:t>★</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17.最大使用压力： ≥0.28Mpa</w:t>
            </w:r>
          </w:p>
          <w:p w14:paraId="61C1216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18.标配冷却风扇:灭菌结束可快速降低腔体温度；</w:t>
            </w:r>
          </w:p>
          <w:p w14:paraId="2875DD8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19.安全装置：八柱均分、闭盖检查系统、 电动式双内锁、冷却锁 OPEN 温度、缺水保护、过压双重保护、 自动故障检测系统、后台安全测试程序、温度监控、 漏电保护、过流与短路保护；</w:t>
            </w:r>
          </w:p>
          <w:p w14:paraId="20F5336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20.附件:不锈钢提篮 2 个；</w:t>
            </w:r>
          </w:p>
          <w:p w14:paraId="4ADA185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21.智能清洗功能,带有智能清洗功能界面，可以提供清洗提醒等功能</w:t>
            </w:r>
          </w:p>
          <w:p w14:paraId="47B7215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22.制造商需具有消毒器械生产许可证；</w:t>
            </w:r>
          </w:p>
          <w:p w14:paraId="70CC5CF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23.整机质保年限≥ 2 年；</w:t>
            </w:r>
          </w:p>
        </w:tc>
        <w:tc>
          <w:tcPr>
            <w:tcW w:w="390" w:type="dxa"/>
          </w:tcPr>
          <w:p w14:paraId="39B938F5">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1</w:t>
            </w:r>
          </w:p>
        </w:tc>
        <w:tc>
          <w:tcPr>
            <w:tcW w:w="345" w:type="dxa"/>
          </w:tcPr>
          <w:p w14:paraId="7EE1D3E0">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台</w:t>
            </w:r>
          </w:p>
        </w:tc>
      </w:tr>
      <w:tr w14:paraId="1B52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dxa"/>
          </w:tcPr>
          <w:p w14:paraId="3C25BA29">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w:t>
            </w:r>
          </w:p>
        </w:tc>
        <w:tc>
          <w:tcPr>
            <w:tcW w:w="780" w:type="dxa"/>
          </w:tcPr>
          <w:p w14:paraId="22A52607">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bCs/>
                <w:snapToGrid w:val="0"/>
                <w:color w:val="auto"/>
                <w:spacing w:val="-4"/>
                <w:kern w:val="0"/>
                <w:sz w:val="20"/>
                <w:szCs w:val="20"/>
                <w:highlight w:val="none"/>
                <w:vertAlign w:val="baseline"/>
                <w:lang w:val="en-US" w:eastAsia="zh-CN" w:bidi="ar-SA"/>
              </w:rPr>
              <w:t>离子色谱仪</w:t>
            </w:r>
          </w:p>
        </w:tc>
        <w:tc>
          <w:tcPr>
            <w:tcW w:w="7260" w:type="dxa"/>
          </w:tcPr>
          <w:p w14:paraId="303A1AC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一、用途：样品中阴离子、阳离子、消毒副产物等的分析。</w:t>
            </w:r>
          </w:p>
          <w:p w14:paraId="50B7F74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二、工作环境要求：电源：220V，50Hz；环境温度：10～30℃；环境相对湿度： 25～85%。</w:t>
            </w:r>
          </w:p>
          <w:p w14:paraId="539300F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三、技术参数：</w:t>
            </w:r>
          </w:p>
          <w:p w14:paraId="677185A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系统包括双柱塞泵,可触摸液晶显示面版, 高容量分离柱系统，温控柱箱，电解自动再生微膜抑制器，控温电导池,电导检测器，氢氧根淋洗液发生模块，色谱工作站软件等，所有的流路均采用PEEK 材料，耐强酸、强碱、耐腐蚀。</w:t>
            </w:r>
          </w:p>
          <w:p w14:paraId="22CCD13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主机标配多功能彩色触摸屏，与色谱工作站同步。既可通过色谱工作站，也可通过触摸屏操作设备。且能通过屏幕实时观察设备及实验状态。（须镶嵌在仪器外壳上，无需其他外接设施。且提供投标人盖章确认的相关示意图及实物图作为佐证材料）</w:t>
            </w:r>
          </w:p>
          <w:p w14:paraId="7CDDAB7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1.化学惰性的非金属泵头，PEEK 管路,适合于pH 为 0～14 的淋洗液及反相有机溶剂。</w:t>
            </w:r>
          </w:p>
          <w:p w14:paraId="4FA4B6E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宋体" w:hAnsi="宋体" w:cs="宋体"/>
                <w:b w:val="0"/>
                <w:bCs w:val="0"/>
                <w:snapToGrid w:val="0"/>
                <w:color w:val="000000"/>
                <w:kern w:val="0"/>
                <w:sz w:val="21"/>
                <w:szCs w:val="21"/>
                <w:lang w:val="en-US" w:eastAsia="zh-CN"/>
              </w:rPr>
              <w:t>★</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2.泵类型：双电机独立驱动，串联式双柱塞泵（须提供投标人盖章确认的相关示意图及实物泵的结构图作为佐证材料）。</w:t>
            </w:r>
          </w:p>
          <w:p w14:paraId="5790D46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2.1.最大压力：35 MPa（5000 psi）。</w:t>
            </w:r>
          </w:p>
          <w:p w14:paraId="5BBB2A3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2.2.流速范围：0.01～15.00mL/min (以 0.01 递增)。</w:t>
            </w:r>
          </w:p>
          <w:p w14:paraId="049958E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2.3.流量精度:＜0.2%。</w:t>
            </w:r>
          </w:p>
          <w:p w14:paraId="4859A4C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2.4.泵头清洗装置:可自动清洗双柱塞泵头。（须提供客户现场的实物图及泵的结构图，并加盖投标人公章）</w:t>
            </w:r>
          </w:p>
          <w:p w14:paraId="420BA1A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3.色谱分析柱</w:t>
            </w:r>
          </w:p>
          <w:p w14:paraId="7F1D0C4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高容量分离柱及相应的保护柱组成，pH 0-14 的工作范围，100%兼容反相试剂,使用强酸强碱淋洗液。配备高容量分析柱及保护柱，一次进样完成阴离子、消毒副产物等分析。</w:t>
            </w:r>
          </w:p>
          <w:p w14:paraId="1BD8DB8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4.温控柱箱:</w:t>
            </w:r>
          </w:p>
          <w:p w14:paraId="7D18994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4.1.温度范围:室温+5 °C 至 80 °C。</w:t>
            </w:r>
          </w:p>
          <w:p w14:paraId="3C25078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4.2.温度稳定性: ±0.1 °C。</w:t>
            </w:r>
          </w:p>
          <w:p w14:paraId="5AB19A8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5.连续自动再生微膜抑制器：利用连续自动再生微膜抑制技术，降低淋洗液背景</w:t>
            </w:r>
          </w:p>
          <w:p w14:paraId="290DCF8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p>
          <w:p w14:paraId="2EE5424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电导,无需外加硫酸；具有高容量、免维护、低背景电导、低噪声和稳定的基线。</w:t>
            </w:r>
          </w:p>
          <w:p w14:paraId="46D0CA1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5.1.配备阴离子连续自动再生微膜抑制器。</w:t>
            </w:r>
          </w:p>
          <w:p w14:paraId="1C5936E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 电导检测器：</w:t>
            </w:r>
          </w:p>
          <w:p w14:paraId="18E884D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宋体" w:hAnsi="宋体" w:cs="宋体"/>
                <w:b w:val="0"/>
                <w:bCs w:val="0"/>
                <w:snapToGrid w:val="0"/>
                <w:color w:val="000000"/>
                <w:kern w:val="0"/>
                <w:sz w:val="21"/>
                <w:szCs w:val="21"/>
                <w:lang w:val="en-US" w:eastAsia="zh-CN"/>
              </w:rPr>
              <w:t>★</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6.1.使用 32 位 ADC 模拟/数字信号转换芯片，全量程自动转换，无需换档。（须提供投标人盖章确认的芯片实物图，并指出所在电路板的位置以及芯片说明书予作为佐证材料）</w:t>
            </w:r>
          </w:p>
          <w:p w14:paraId="10A1817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6.2. 分辨率: 0.001nS/cm。</w:t>
            </w:r>
          </w:p>
          <w:p w14:paraId="6C05A26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6.3. 量程: 0～100,000 µS/cm。</w:t>
            </w:r>
          </w:p>
          <w:p w14:paraId="3AB900A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6.4.基线噪音：0.0001µS。</w:t>
            </w:r>
          </w:p>
          <w:p w14:paraId="0B6356D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6.5.最小检测浓度：阴离子 Cl-为 Cl-≤0.00008 μg/mL；阳离子 Li+ 为 0.0001µg/ml。</w:t>
            </w:r>
          </w:p>
          <w:p w14:paraId="6C3DBEA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6.6.温度范围:室温+5℃ 至 80℃。</w:t>
            </w:r>
          </w:p>
          <w:p w14:paraId="4BAAC67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6.7.测温精度: ≤0.001℃。</w:t>
            </w:r>
          </w:p>
          <w:p w14:paraId="7C14A58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6.8. 电导池耐压:&gt;10 MPa 。</w:t>
            </w:r>
          </w:p>
          <w:p w14:paraId="254330A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 自动进样器：</w:t>
            </w:r>
          </w:p>
          <w:p w14:paraId="09A30A8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7.1.类型：X Y Z 三维电机驱动的自动进样器。（</w:t>
            </w:r>
            <w:r>
              <w:rPr>
                <w:rFonts w:hint="eastAsia" w:ascii="楷体" w:hAnsi="楷体" w:eastAsia="楷体" w:cs="楷体"/>
                <w:b w:val="0"/>
                <w:bCs w:val="0"/>
                <w:snapToGrid w:val="0"/>
                <w:color w:val="auto"/>
                <w:spacing w:val="-4"/>
                <w:kern w:val="0"/>
                <w:sz w:val="22"/>
                <w:szCs w:val="22"/>
                <w:highlight w:val="none"/>
                <w:vertAlign w:val="baseline"/>
                <w:lang w:val="en-US" w:eastAsia="zh-CN" w:bidi="ar-SA"/>
              </w:rPr>
              <w:t>需提供相关证明文件</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w:t>
            </w:r>
          </w:p>
          <w:p w14:paraId="1247A34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7.2.定量方式：可满环进样（由定量环定量），可部分环进样，（由内置的高精度注射泵定量）。</w:t>
            </w:r>
          </w:p>
          <w:p w14:paraId="420EB2B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7.3.样品位数：120 位（2mL 样品瓶）。</w:t>
            </w:r>
          </w:p>
          <w:p w14:paraId="5A7890B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7.4. 进样量：1～2000 μL，进样量由软件控制并连续可调。</w:t>
            </w:r>
          </w:p>
          <w:p w14:paraId="1133B61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7.5.单点自动稀释配制标准曲线，线性优于0.999。</w:t>
            </w:r>
          </w:p>
          <w:p w14:paraId="404BB41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7.6.重复性：&lt;0.5%。</w:t>
            </w:r>
          </w:p>
          <w:p w14:paraId="778E525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7.7.交叉污染：&lt;0.02%。</w:t>
            </w:r>
          </w:p>
          <w:p w14:paraId="5AEC4D6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7.8.全软件控制，自动记录样品列表，列表中包含样品名称、进样时间、进样位</w:t>
            </w:r>
          </w:p>
          <w:p w14:paraId="5DC32F6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p>
          <w:p w14:paraId="795A84A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置、进样体积等信息。</w:t>
            </w:r>
          </w:p>
          <w:p w14:paraId="74399AE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7.9.配备两个全 PEEK 材质六通阀，便于更多应用场景的开发。（</w:t>
            </w:r>
            <w:r>
              <w:rPr>
                <w:rFonts w:hint="eastAsia" w:ascii="楷体" w:hAnsi="楷体" w:eastAsia="楷体" w:cs="楷体"/>
                <w:b w:val="0"/>
                <w:bCs w:val="0"/>
                <w:snapToGrid w:val="0"/>
                <w:color w:val="auto"/>
                <w:spacing w:val="-4"/>
                <w:kern w:val="0"/>
                <w:sz w:val="22"/>
                <w:szCs w:val="22"/>
                <w:highlight w:val="none"/>
                <w:vertAlign w:val="baseline"/>
                <w:lang w:val="en-US" w:eastAsia="zh-CN" w:bidi="ar-SA"/>
              </w:rPr>
              <w:t>需提供相关证明文件</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w:t>
            </w:r>
          </w:p>
          <w:p w14:paraId="1FDEA09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8.色谱工作站</w:t>
            </w:r>
          </w:p>
          <w:p w14:paraId="1464AF4B">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8.1.色谱工作站可完全控制前述整套仪器、设定所有参数，可以实时采集数据并显示色谱图， 自动计算各组分的浓度。</w:t>
            </w:r>
          </w:p>
          <w:p w14:paraId="322F24E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8.2.可同时显示样品列表、色谱图、标准曲线、组分信息和定量结果，并且在列表中选择不同的样品或组分时，色谱和标准曲线也自动跟随变化（须提供软件截图）。</w:t>
            </w:r>
          </w:p>
          <w:p w14:paraId="6F10216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8.3.可运行于 Windows7/8/10。</w:t>
            </w:r>
          </w:p>
          <w:p w14:paraId="244AA91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8.4.具备批量处理样品数据功能：在样品列表中选择需处理的样品，可一键完成数据处理、一键生成报告。</w:t>
            </w:r>
          </w:p>
          <w:p w14:paraId="2E88C90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8.5.智能填充功能：在列表中，相同的参数信息只需输入一次，其他样品的参数可智能填充，无需手动多次重复输入，可填充的信息包括样品名的前缀后缀、样品位置、进样量、标准点浓度等信息。</w:t>
            </w:r>
          </w:p>
          <w:p w14:paraId="44824F4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8.6.具有审计追踪功能，自动记录数据的产生、修改、删除等过程和时间，并与相关操作人员对应。</w:t>
            </w:r>
          </w:p>
          <w:p w14:paraId="7D76FC7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9.在线电解淋洗液发生器：</w:t>
            </w:r>
          </w:p>
          <w:p w14:paraId="343CF62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9.1.淋洗液发生器耐压 3000 psi。</w:t>
            </w:r>
          </w:p>
          <w:p w14:paraId="7F96C08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9.2.梯度程序：等度、梯度自由切换，梯度大于4 阶 5 平台。</w:t>
            </w:r>
          </w:p>
          <w:p w14:paraId="211A110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9.3.梯度产生：高压梯度，梯度产生在泵后高压区，梯度延迟体积小，梯度延迟时间短。</w:t>
            </w:r>
          </w:p>
          <w:p w14:paraId="67190A8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9.4.产生方式：利用电解产生的 H+或 OH-在线生成酸性或碱性淋洗液，而非通过加液单元进行不同溶液间的在线混合或稀释产生。</w:t>
            </w:r>
          </w:p>
          <w:p w14:paraId="09BA2AA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9.5.KOH 电解淋洗液发生罐。</w:t>
            </w:r>
          </w:p>
          <w:p w14:paraId="1675DD6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9.6.标配连续电解自动再生捕获柱，进一步净化淋洗液。</w:t>
            </w:r>
          </w:p>
          <w:p w14:paraId="77E24BB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9.7.标配高压自动脱气装置，进行淋洗液脱气。</w:t>
            </w:r>
          </w:p>
          <w:p w14:paraId="6F13648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9.8.软件控制：在软件中直接输入所需淋洗液浓度，而非编写百分比等其他非浓度参数。</w:t>
            </w:r>
          </w:p>
          <w:p w14:paraId="1612A90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9.9 具有氮气加压模块和CRTC 功能：具备氮气加压装置用于保护淋洗液或显色液，免受大气中的二氧化碳或氧气的影响；为淋洗液加压，以防在管线中产生气泡而造成泵运行不正常；为离子色谱中的一些气动操作阀提供动力，完成气动操作。</w:t>
            </w:r>
          </w:p>
          <w:p w14:paraId="21C0B6C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10 扩展功能：离子色谱须能与原子荧光、ICPMS、UV/VIS、荧光检测器等多种仪器\设备联用，能升级为形态分析、极性荧光有机物分析。</w:t>
            </w:r>
          </w:p>
          <w:p w14:paraId="33856A2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四、售后服务</w:t>
            </w:r>
          </w:p>
          <w:p w14:paraId="2B6489B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 离子色谱仪提供 5 年整机免费质保期，质保期自最终验收合格并交付使用之日起计算。在质保期内，凡属产品本身引起的故障，负责免费保修，所有服务及配件全部免费，一切费用由中标人承担，如不能修理或不能调换，中标人按产品原价赔偿处理。质保期满后，终身提供技术支持、上门维修维护、保养服务及工作站软件终身免费升级，保证 10 年以上供应维修配件。</w:t>
            </w:r>
          </w:p>
          <w:p w14:paraId="050E16A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 技术支持：在保修期内，每年定期回访，对仪器进行免费全面检查与维修、维护。在保修期外每年定期巡回技术服务，保障设备的正常运转。</w:t>
            </w:r>
          </w:p>
          <w:p w14:paraId="38FC1D8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五、主要配置：</w:t>
            </w:r>
          </w:p>
          <w:p w14:paraId="783B164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1、主机（包括泵、电导检测器、电导池、温控柱箱，淋洗液发生器），一套；</w:t>
            </w:r>
          </w:p>
          <w:p w14:paraId="2800BE08">
            <w:pPr>
              <w:widowControl/>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2、120 位或者以上的自动进样器，一套；</w:t>
            </w:r>
          </w:p>
          <w:p w14:paraId="392814CF">
            <w:pPr>
              <w:widowControl/>
              <w:numPr>
                <w:ilvl w:val="0"/>
                <w:numId w:val="1"/>
              </w:numPr>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default" w:ascii="楷体" w:hAnsi="楷体" w:eastAsia="楷体" w:cs="楷体"/>
                <w:b w:val="0"/>
                <w:bCs w:val="0"/>
                <w:snapToGrid w:val="0"/>
                <w:color w:val="auto"/>
                <w:spacing w:val="-4"/>
                <w:kern w:val="0"/>
                <w:sz w:val="20"/>
                <w:szCs w:val="20"/>
                <w:highlight w:val="none"/>
                <w:vertAlign w:val="baseline"/>
                <w:lang w:val="en-US" w:eastAsia="zh-CN" w:bidi="ar-SA"/>
              </w:rPr>
              <w:t>专业色谱工作站软件</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，一套；</w:t>
            </w:r>
          </w:p>
          <w:p w14:paraId="0237AC9F">
            <w:pPr>
              <w:widowControl/>
              <w:numPr>
                <w:ilvl w:val="0"/>
                <w:numId w:val="1"/>
              </w:numPr>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default" w:ascii="楷体" w:hAnsi="楷体" w:eastAsia="楷体" w:cs="楷体"/>
                <w:b w:val="0"/>
                <w:bCs w:val="0"/>
                <w:snapToGrid w:val="0"/>
                <w:color w:val="auto"/>
                <w:spacing w:val="-4"/>
                <w:kern w:val="0"/>
                <w:sz w:val="20"/>
                <w:szCs w:val="20"/>
                <w:highlight w:val="none"/>
                <w:vertAlign w:val="baseline"/>
                <w:lang w:val="en-US" w:eastAsia="zh-CN" w:bidi="ar-SA"/>
              </w:rPr>
              <w:t>电脑（配置不低于 i5 处理器,8g 内存，1t 机械硬盘，集成显卡，win10专业版，24 寸显示器）</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，一套；</w:t>
            </w:r>
          </w:p>
          <w:p w14:paraId="6823B48A">
            <w:pPr>
              <w:widowControl/>
              <w:numPr>
                <w:ilvl w:val="0"/>
                <w:numId w:val="1"/>
              </w:numPr>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default" w:ascii="楷体" w:hAnsi="楷体" w:eastAsia="楷体" w:cs="楷体"/>
                <w:b w:val="0"/>
                <w:bCs w:val="0"/>
                <w:snapToGrid w:val="0"/>
                <w:color w:val="auto"/>
                <w:spacing w:val="-4"/>
                <w:kern w:val="0"/>
                <w:sz w:val="20"/>
                <w:szCs w:val="20"/>
                <w:highlight w:val="none"/>
                <w:vertAlign w:val="baseline"/>
                <w:lang w:val="en-US" w:eastAsia="zh-CN" w:bidi="ar-SA"/>
              </w:rPr>
              <w:t>打印机（黑白激光打印机）</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，一套；</w:t>
            </w:r>
          </w:p>
          <w:p w14:paraId="0E98C0A9">
            <w:pPr>
              <w:widowControl/>
              <w:numPr>
                <w:ilvl w:val="0"/>
                <w:numId w:val="1"/>
              </w:numPr>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default" w:ascii="楷体" w:hAnsi="楷体" w:eastAsia="楷体" w:cs="楷体"/>
                <w:b w:val="0"/>
                <w:bCs w:val="0"/>
                <w:snapToGrid w:val="0"/>
                <w:color w:val="auto"/>
                <w:spacing w:val="-4"/>
                <w:kern w:val="0"/>
                <w:sz w:val="20"/>
                <w:szCs w:val="20"/>
                <w:highlight w:val="none"/>
                <w:vertAlign w:val="baseline"/>
                <w:lang w:val="en-US" w:eastAsia="zh-CN" w:bidi="ar-SA"/>
              </w:rPr>
              <w:t>阴离子分析柱</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，一套；</w:t>
            </w:r>
          </w:p>
          <w:p w14:paraId="7C9F75CB">
            <w:pPr>
              <w:widowControl/>
              <w:numPr>
                <w:ilvl w:val="0"/>
                <w:numId w:val="1"/>
              </w:numPr>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default" w:ascii="楷体" w:hAnsi="楷体" w:eastAsia="楷体" w:cs="楷体"/>
                <w:b w:val="0"/>
                <w:bCs w:val="0"/>
                <w:snapToGrid w:val="0"/>
                <w:color w:val="auto"/>
                <w:spacing w:val="-4"/>
                <w:kern w:val="0"/>
                <w:sz w:val="20"/>
                <w:szCs w:val="20"/>
                <w:highlight w:val="none"/>
                <w:vertAlign w:val="baseline"/>
                <w:lang w:val="en-US" w:eastAsia="zh-CN" w:bidi="ar-SA"/>
              </w:rPr>
              <w:t>阴离子抑制器</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，一套；</w:t>
            </w:r>
          </w:p>
          <w:p w14:paraId="10CC5630">
            <w:pPr>
              <w:widowControl/>
              <w:numPr>
                <w:ilvl w:val="0"/>
                <w:numId w:val="1"/>
              </w:numPr>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default" w:ascii="楷体" w:hAnsi="楷体" w:eastAsia="楷体" w:cs="楷体"/>
                <w:b w:val="0"/>
                <w:bCs w:val="0"/>
                <w:snapToGrid w:val="0"/>
                <w:color w:val="auto"/>
                <w:spacing w:val="-4"/>
                <w:kern w:val="0"/>
                <w:sz w:val="20"/>
                <w:szCs w:val="20"/>
                <w:highlight w:val="none"/>
                <w:vertAlign w:val="baseline"/>
                <w:lang w:val="en-US" w:eastAsia="zh-CN" w:bidi="ar-SA"/>
              </w:rPr>
              <w:t>定量环（200 微升、500 微升）</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，各一套；</w:t>
            </w:r>
          </w:p>
          <w:p w14:paraId="682046A0">
            <w:pPr>
              <w:widowControl/>
              <w:numPr>
                <w:ilvl w:val="0"/>
                <w:numId w:val="1"/>
              </w:numPr>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default" w:ascii="楷体" w:hAnsi="楷体" w:eastAsia="楷体" w:cs="楷体"/>
                <w:b w:val="0"/>
                <w:bCs w:val="0"/>
                <w:snapToGrid w:val="0"/>
                <w:color w:val="auto"/>
                <w:spacing w:val="-4"/>
                <w:kern w:val="0"/>
                <w:sz w:val="20"/>
                <w:szCs w:val="20"/>
                <w:highlight w:val="none"/>
                <w:vertAlign w:val="baseline"/>
                <w:lang w:val="en-US" w:eastAsia="zh-CN" w:bidi="ar-SA"/>
              </w:rPr>
              <w:t>仪器说明书</w:t>
            </w: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，一套。</w:t>
            </w:r>
          </w:p>
        </w:tc>
        <w:tc>
          <w:tcPr>
            <w:tcW w:w="390" w:type="dxa"/>
          </w:tcPr>
          <w:p w14:paraId="26E81050">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p>
        </w:tc>
        <w:tc>
          <w:tcPr>
            <w:tcW w:w="345" w:type="dxa"/>
          </w:tcPr>
          <w:p w14:paraId="38707A78">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p>
        </w:tc>
      </w:tr>
      <w:tr w14:paraId="0EAC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dxa"/>
          </w:tcPr>
          <w:p w14:paraId="385A53E0">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4</w:t>
            </w:r>
          </w:p>
        </w:tc>
        <w:tc>
          <w:tcPr>
            <w:tcW w:w="780" w:type="dxa"/>
          </w:tcPr>
          <w:p w14:paraId="226962ED">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bCs/>
                <w:snapToGrid w:val="0"/>
                <w:color w:val="auto"/>
                <w:spacing w:val="-4"/>
                <w:kern w:val="0"/>
                <w:sz w:val="20"/>
                <w:szCs w:val="20"/>
                <w:highlight w:val="none"/>
                <w:vertAlign w:val="baseline"/>
                <w:lang w:val="en-US" w:eastAsia="zh-CN" w:bidi="ar-SA"/>
              </w:rPr>
              <w:t>全自动酶联免疫工作站</w:t>
            </w:r>
          </w:p>
        </w:tc>
        <w:tc>
          <w:tcPr>
            <w:tcW w:w="7260" w:type="dxa"/>
          </w:tcPr>
          <w:p w14:paraId="2FC6E12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1、功能：全自动完成 ELISA 实验，包括样本自动扫描、加样本（包括加样本及样本稀释）、加阴阳性对照、加质控品、加试剂、微板自动转移、振荡混匀、孵育、洗板、判读、结果分析。</w:t>
            </w:r>
          </w:p>
          <w:p w14:paraId="3A7F80F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2、加样工作舱机械臂</w:t>
            </w:r>
          </w:p>
          <w:p w14:paraId="1D59169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2.1 加样工作舱机械臂：具备≥1个机械臂，含： ≥2 个加样通道，用于分配标本和试剂；1个抓手，用于转移微板。</w:t>
            </w:r>
          </w:p>
          <w:p w14:paraId="0CF98EC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2.2 加样通道：≥2 个加样通道。每个加样通道的上下（Z 方向）运行采用≥1根螺旋丝杆传动，精度高，可靠性好，不得采用同步带传动。</w:t>
            </w:r>
          </w:p>
          <w:p w14:paraId="61B74F0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 xml:space="preserve">2.3 非等间距加样：2 个加样通道可分开最大间距≥300mm，最小间距≤9mm；（需提供相邻2 个加样通道可分开最大间距≥300mm </w:t>
            </w:r>
          </w:p>
          <w:p w14:paraId="5372931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2.4 加样吸头： 白色透明的一次性加样吸头，容量≥1000ul，杜绝使用钢针。（需提供加样吸头容量≥1000ul</w:t>
            </w:r>
          </w:p>
          <w:p w14:paraId="58E796C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2.5 加样精度：加样量为 100ul 时，精度（CV） ≤1%，准确度±2.5%；加样量为 1000ul 时，精度（CV） ≤0.8%，准确度±1%；</w:t>
            </w:r>
          </w:p>
          <w:p w14:paraId="44D940D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2.6 抓手工作模式：抓手的上下（Z 方向）运行采用≥1根螺旋丝杆传动，精度高，可靠性好，不得采用同步带传动。</w:t>
            </w:r>
          </w:p>
          <w:p w14:paraId="235FD44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3、平台载架系统：</w:t>
            </w:r>
          </w:p>
          <w:p w14:paraId="005AC7C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3.1 样本位：可同时加载装载样本数≥90 个；</w:t>
            </w:r>
          </w:p>
          <w:p w14:paraId="6DDBDCB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3.2 标本条码扫描：具备≥1个自动标本条码扫描仪，装载标本时自动扫描标本条码，不得采用手持式扫描枪扫描标本条码。</w:t>
            </w:r>
          </w:p>
          <w:p w14:paraId="6C9B741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3.3 提篮式试剂槽：提篮式试剂槽内置≥1 个金属提手，金属提手上具备≥2.2cm 孔径的提环，便于装载到试剂位上。提篮式试剂槽长宽尺寸均＜14cm，每个提篮式试剂槽可装载至少7 个 50ml 试剂盒。</w:t>
            </w:r>
          </w:p>
          <w:p w14:paraId="44A7157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3.4 质控槽：采用长宽尺寸均＜14cm 质控槽，可摆放质控瓶≥40 个/槽，非轨道式长载架，便于整槽存入冰箱。</w:t>
            </w:r>
          </w:p>
          <w:p w14:paraId="39B226D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3.5 质控槽的兼容性：质控槽具备≥4 种孔径的橡胶座组合，至少满足直径为φ 12.3mm、 φ 16.4mm、 φ 19mm、 φ22.2mm 等不同直径的质控瓶、对照瓶。</w:t>
            </w:r>
          </w:p>
          <w:p w14:paraId="4E88445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3.6 振荡孵育模块：每个振荡孵育模块集成 3 个功能于一体，包括微板加样、振荡混匀和控温孵育。</w:t>
            </w:r>
          </w:p>
          <w:p w14:paraId="4037455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3.7 振荡孵育模块数量： ≥4 个振荡孵育模块。微板从加样到孵育步骤不需移板，孵育时自动加盖密封孵育。</w:t>
            </w:r>
          </w:p>
          <w:p w14:paraId="2112967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3.8 振荡孵育功能：振荡孵育模块具备同一块微板在避光孵育时，同时实现振荡功能，满足特殊 ELISA 试验所需。</w:t>
            </w:r>
          </w:p>
          <w:p w14:paraId="7FF6D5D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4、洗板机</w:t>
            </w:r>
          </w:p>
          <w:p w14:paraId="07176DD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4.1 洗板机数量： ≥1 台独立的洗板机， ≥1个洗板头（每台洗板机 1 个独立的洗板头）。</w:t>
            </w:r>
          </w:p>
          <w:p w14:paraId="0C263A2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4.2 洗板残留量：洗板清洗残留液量≤1 μ l/孔。</w:t>
            </w:r>
          </w:p>
          <w:p w14:paraId="3481CDF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4.3 洗板头：挂式洗板头，不需拆卸螺丝即可进行维护。</w:t>
            </w:r>
          </w:p>
          <w:p w14:paraId="3FB00AF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4.4 洗板头运行方式：洗板时，微板托盘静止不动，由洗板头做横向和竖向 2 个方向移动，其中 :洗板头横向移动范围≥120mm，竖向移动范围≥20mm。</w:t>
            </w:r>
          </w:p>
          <w:p w14:paraId="2BEB6C9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5、酶标仪</w:t>
            </w:r>
          </w:p>
          <w:p w14:paraId="2CB6F8C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5.1 酶标仪：酶标仪有独立的注册证，需与投标产品为同一厂家生产，便于设备的维护；有独立操作软件，可以脱离主系统软件单独使用。</w:t>
            </w:r>
          </w:p>
          <w:p w14:paraId="661294C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5.2 酶标仪摆放区域：酶标仪位于加样工作舱，与加样机械臂在同一工作舱，确保加完终止液的微板可立即判读。</w:t>
            </w:r>
          </w:p>
          <w:p w14:paraId="6758BA0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5.3 测量方式： ≥8 个测量通道，可单、双波长判读。</w:t>
            </w:r>
          </w:p>
          <w:p w14:paraId="7D4452D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5.4 滤光片：至少配置 405nm、450nm、492nm、630nm 四种滤光片。</w:t>
            </w:r>
          </w:p>
          <w:p w14:paraId="11CFE27B">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5.5LED 光源：酶标仪采用LED 光源，LED 光源数量≥4 个，每个波长的滤光片配置对应一个独立的 LED 光源。</w:t>
            </w:r>
          </w:p>
          <w:p w14:paraId="14B522A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6、软件</w:t>
            </w:r>
          </w:p>
          <w:p w14:paraId="2C4BD49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6.1 运行环境：全中文操作软件，能在Windows 10 或以上的操作系统运行。</w:t>
            </w:r>
          </w:p>
          <w:p w14:paraId="2588FBB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6.2 系统对接：操作软件能与实验室管理系统（Lis 系统）连接。</w:t>
            </w:r>
          </w:p>
          <w:p w14:paraId="1A5EFC8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7、其他</w:t>
            </w:r>
          </w:p>
          <w:p w14:paraId="5EC6269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7.1 使用期限：设备使用期限≥10 年，需提供投标产品的铭牌为证。</w:t>
            </w:r>
          </w:p>
          <w:p w14:paraId="13C55545">
            <w:pPr>
              <w:widowControl/>
              <w:kinsoku w:val="0"/>
              <w:autoSpaceDE w:val="0"/>
              <w:autoSpaceDN w:val="0"/>
              <w:adjustRightInd w:val="0"/>
              <w:snapToGrid w:val="0"/>
              <w:spacing w:before="19" w:line="213" w:lineRule="auto"/>
              <w:jc w:val="left"/>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8、配置清单</w:t>
            </w:r>
          </w:p>
          <w:tbl>
            <w:tblPr>
              <w:tblStyle w:val="4"/>
              <w:tblW w:w="70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4020"/>
              <w:gridCol w:w="1050"/>
              <w:gridCol w:w="992"/>
            </w:tblGrid>
            <w:tr w14:paraId="3E5D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3B8C3916">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序号</w:t>
                  </w:r>
                </w:p>
              </w:tc>
              <w:tc>
                <w:tcPr>
                  <w:tcW w:w="4020" w:type="dxa"/>
                </w:tcPr>
                <w:p w14:paraId="79D41273">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零件名称</w:t>
                  </w:r>
                </w:p>
              </w:tc>
              <w:tc>
                <w:tcPr>
                  <w:tcW w:w="1050" w:type="dxa"/>
                </w:tcPr>
                <w:p w14:paraId="3AC46713">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单位</w:t>
                  </w:r>
                </w:p>
              </w:tc>
              <w:tc>
                <w:tcPr>
                  <w:tcW w:w="992" w:type="dxa"/>
                </w:tcPr>
                <w:p w14:paraId="31BF31A0">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数量</w:t>
                  </w:r>
                </w:p>
              </w:tc>
            </w:tr>
            <w:tr w14:paraId="5D5C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7342A4D3">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c>
                <w:tcPr>
                  <w:tcW w:w="4020" w:type="dxa"/>
                </w:tcPr>
                <w:p w14:paraId="526ECADC">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酶标分析仪</w:t>
                  </w:r>
                </w:p>
              </w:tc>
              <w:tc>
                <w:tcPr>
                  <w:tcW w:w="1050" w:type="dxa"/>
                </w:tcPr>
                <w:p w14:paraId="670817FF">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1CE7578F">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2796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6FFC1557">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2</w:t>
                  </w:r>
                </w:p>
              </w:tc>
              <w:tc>
                <w:tcPr>
                  <w:tcW w:w="4020" w:type="dxa"/>
                </w:tcPr>
                <w:p w14:paraId="1A62A8F4">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加样臂组件</w:t>
                  </w:r>
                </w:p>
              </w:tc>
              <w:tc>
                <w:tcPr>
                  <w:tcW w:w="1050" w:type="dxa"/>
                </w:tcPr>
                <w:p w14:paraId="65429670">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5BAD0D98">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0CC1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5BCF8157">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3</w:t>
                  </w:r>
                </w:p>
              </w:tc>
              <w:tc>
                <w:tcPr>
                  <w:tcW w:w="4020" w:type="dxa"/>
                </w:tcPr>
                <w:p w14:paraId="6D8EC7B7">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试管架底座组件</w:t>
                  </w:r>
                </w:p>
              </w:tc>
              <w:tc>
                <w:tcPr>
                  <w:tcW w:w="1050" w:type="dxa"/>
                </w:tcPr>
                <w:p w14:paraId="7C642FE5">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64E66C0F">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6BAE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1E5F3F3A">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4</w:t>
                  </w:r>
                </w:p>
              </w:tc>
              <w:tc>
                <w:tcPr>
                  <w:tcW w:w="4020" w:type="dxa"/>
                </w:tcPr>
                <w:p w14:paraId="0CD49319">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孵育器套件组件</w:t>
                  </w:r>
                </w:p>
              </w:tc>
              <w:tc>
                <w:tcPr>
                  <w:tcW w:w="1050" w:type="dxa"/>
                </w:tcPr>
                <w:p w14:paraId="2172DD7B">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27234C87">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437C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375FE851">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5</w:t>
                  </w:r>
                </w:p>
              </w:tc>
              <w:tc>
                <w:tcPr>
                  <w:tcW w:w="4020" w:type="dxa"/>
                </w:tcPr>
                <w:p w14:paraId="00488BD4">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洗板机组件</w:t>
                  </w:r>
                </w:p>
              </w:tc>
              <w:tc>
                <w:tcPr>
                  <w:tcW w:w="1050" w:type="dxa"/>
                </w:tcPr>
                <w:p w14:paraId="40C54258">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44EBA9C0">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1D24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114CC71B">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6</w:t>
                  </w:r>
                </w:p>
              </w:tc>
              <w:tc>
                <w:tcPr>
                  <w:tcW w:w="4020" w:type="dxa"/>
                </w:tcPr>
                <w:p w14:paraId="3B53932B">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排液系统组件P01</w:t>
                  </w:r>
                </w:p>
              </w:tc>
              <w:tc>
                <w:tcPr>
                  <w:tcW w:w="1050" w:type="dxa"/>
                </w:tcPr>
                <w:p w14:paraId="038F8C7F">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596B2724">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7181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256511AB">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7</w:t>
                  </w:r>
                </w:p>
              </w:tc>
              <w:tc>
                <w:tcPr>
                  <w:tcW w:w="4020" w:type="dxa"/>
                </w:tcPr>
                <w:p w14:paraId="39A8304F">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钣金组件</w:t>
                  </w:r>
                </w:p>
              </w:tc>
              <w:tc>
                <w:tcPr>
                  <w:tcW w:w="1050" w:type="dxa"/>
                </w:tcPr>
                <w:p w14:paraId="052298EC">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3B2A70BE">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16E1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2B78C0EB">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8</w:t>
                  </w:r>
                </w:p>
              </w:tc>
              <w:tc>
                <w:tcPr>
                  <w:tcW w:w="4020" w:type="dxa"/>
                </w:tcPr>
                <w:p w14:paraId="5590D25B">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走线组件</w:t>
                  </w:r>
                </w:p>
              </w:tc>
              <w:tc>
                <w:tcPr>
                  <w:tcW w:w="1050" w:type="dxa"/>
                </w:tcPr>
                <w:p w14:paraId="1538031E">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371531F4">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3A77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119D8D18">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9</w:t>
                  </w:r>
                </w:p>
              </w:tc>
              <w:tc>
                <w:tcPr>
                  <w:tcW w:w="4020" w:type="dxa"/>
                </w:tcPr>
                <w:p w14:paraId="6BB573D4">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总装组件</w:t>
                  </w:r>
                </w:p>
              </w:tc>
              <w:tc>
                <w:tcPr>
                  <w:tcW w:w="1050" w:type="dxa"/>
                </w:tcPr>
                <w:p w14:paraId="72F13FEB">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45D14A6B">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0761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25D6B878">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10</w:t>
                  </w:r>
                </w:p>
              </w:tc>
              <w:tc>
                <w:tcPr>
                  <w:tcW w:w="4020" w:type="dxa"/>
                </w:tcPr>
                <w:p w14:paraId="097DF63E">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发货配件</w:t>
                  </w:r>
                </w:p>
              </w:tc>
              <w:tc>
                <w:tcPr>
                  <w:tcW w:w="1050" w:type="dxa"/>
                </w:tcPr>
                <w:p w14:paraId="37E7AD58">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1EDC81A1">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r w14:paraId="2810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tcPr>
                <w:p w14:paraId="2316C692">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11</w:t>
                  </w:r>
                </w:p>
              </w:tc>
              <w:tc>
                <w:tcPr>
                  <w:tcW w:w="4020" w:type="dxa"/>
                </w:tcPr>
                <w:p w14:paraId="68AF67A2">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包装组件</w:t>
                  </w:r>
                </w:p>
              </w:tc>
              <w:tc>
                <w:tcPr>
                  <w:tcW w:w="1050" w:type="dxa"/>
                </w:tcPr>
                <w:p w14:paraId="50779247">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件</w:t>
                  </w:r>
                </w:p>
              </w:tc>
              <w:tc>
                <w:tcPr>
                  <w:tcW w:w="992" w:type="dxa"/>
                </w:tcPr>
                <w:p w14:paraId="4A296C2B">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0"/>
                      <w:szCs w:val="20"/>
                      <w:highlight w:val="none"/>
                      <w:vertAlign w:val="baseline"/>
                      <w:lang w:val="en-US" w:eastAsia="zh-CN" w:bidi="ar-SA"/>
                    </w:rPr>
                  </w:pPr>
                  <w:r>
                    <w:rPr>
                      <w:rFonts w:hint="eastAsia" w:ascii="楷体" w:hAnsi="楷体" w:eastAsia="楷体" w:cs="楷体"/>
                      <w:b w:val="0"/>
                      <w:bCs w:val="0"/>
                      <w:snapToGrid w:val="0"/>
                      <w:color w:val="auto"/>
                      <w:spacing w:val="-4"/>
                      <w:kern w:val="0"/>
                      <w:sz w:val="20"/>
                      <w:szCs w:val="20"/>
                      <w:highlight w:val="none"/>
                      <w:vertAlign w:val="baseline"/>
                      <w:lang w:val="en-US" w:eastAsia="zh-CN" w:bidi="ar-SA"/>
                    </w:rPr>
                    <w:t>1</w:t>
                  </w:r>
                </w:p>
              </w:tc>
            </w:tr>
          </w:tbl>
          <w:p w14:paraId="3313AB3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0"/>
                <w:szCs w:val="20"/>
                <w:highlight w:val="none"/>
                <w:vertAlign w:val="baseline"/>
                <w:lang w:val="en-US" w:eastAsia="zh-CN" w:bidi="ar-SA"/>
              </w:rPr>
            </w:pPr>
          </w:p>
        </w:tc>
        <w:tc>
          <w:tcPr>
            <w:tcW w:w="390" w:type="dxa"/>
          </w:tcPr>
          <w:p w14:paraId="343FE46D">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1</w:t>
            </w:r>
          </w:p>
        </w:tc>
        <w:tc>
          <w:tcPr>
            <w:tcW w:w="345" w:type="dxa"/>
          </w:tcPr>
          <w:p w14:paraId="009DEF19">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台</w:t>
            </w:r>
          </w:p>
        </w:tc>
      </w:tr>
      <w:tr w14:paraId="31EC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dxa"/>
          </w:tcPr>
          <w:p w14:paraId="61000070">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5</w:t>
            </w:r>
          </w:p>
        </w:tc>
        <w:tc>
          <w:tcPr>
            <w:tcW w:w="780" w:type="dxa"/>
          </w:tcPr>
          <w:p w14:paraId="49B63F3E">
            <w:pPr>
              <w:widowControl/>
              <w:kinsoku w:val="0"/>
              <w:autoSpaceDE w:val="0"/>
              <w:autoSpaceDN w:val="0"/>
              <w:adjustRightInd w:val="0"/>
              <w:snapToGrid w:val="0"/>
              <w:spacing w:before="19" w:line="213" w:lineRule="auto"/>
              <w:jc w:val="center"/>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bCs/>
                <w:snapToGrid w:val="0"/>
                <w:color w:val="auto"/>
                <w:spacing w:val="-4"/>
                <w:kern w:val="0"/>
                <w:sz w:val="21"/>
                <w:szCs w:val="21"/>
                <w:highlight w:val="none"/>
                <w:vertAlign w:val="baseline"/>
                <w:lang w:val="en-US" w:eastAsia="zh-CN" w:bidi="ar-SA"/>
              </w:rPr>
              <w:t>全自动石墨消解仪</w:t>
            </w:r>
          </w:p>
        </w:tc>
        <w:tc>
          <w:tcPr>
            <w:tcW w:w="7260" w:type="dxa"/>
          </w:tcPr>
          <w:p w14:paraId="4D3C999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一、用途</w:t>
            </w:r>
          </w:p>
          <w:p w14:paraId="2DBCC49B">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1.1 该设备须支持符合中国国家标准的湿法消解方法和美国EPA 标准的消解方法，用于各种样品的全自动消解,可全自动完成加酸及碱试剂、样品消解、赶酸、定容、摇匀、废气排放等步骤。</w:t>
            </w:r>
          </w:p>
          <w:p w14:paraId="2A2FDDE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二、主要技术参数</w:t>
            </w:r>
          </w:p>
          <w:p w14:paraId="28B1C4C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★2.1样品处理数：≥72 位,单个容量≥50mL，采用双分区各 36 孔加热控温模块，可整体和分区独立控温，两套不同的升温消解程序可同时运行；</w:t>
            </w:r>
          </w:p>
          <w:p w14:paraId="7113B71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2.2 加热材质：高纯石墨块并镀特氟龙涂层；</w:t>
            </w:r>
          </w:p>
          <w:p w14:paraId="5BEFFD7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2.3壳体防腐蚀工艺技术：消解仪主机壳体需采取有效防腐蚀工艺，满足实验室常规酸雾环境使用要求。</w:t>
            </w:r>
          </w:p>
          <w:p w14:paraId="53CBCD1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★2.4酸雾排放：消解仪自带酸雾排放系统，设备无需放置于通风橱使用；</w:t>
            </w:r>
          </w:p>
          <w:p w14:paraId="729ACCC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2.5控制方式：无线控制；</w:t>
            </w:r>
          </w:p>
          <w:p w14:paraId="2746C2D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2.6隔热工艺技术要求： 消解仪具备良好隔热性能，消解仪≥230  ℃恒温加热 3 小时后，消解仪加热区域的外壳的温度≤45  ℃，防止烫伤实验人员；</w:t>
            </w:r>
          </w:p>
          <w:p w14:paraId="4AA7E40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2.7 温度控制范围：室温 至230 ℃ ；</w:t>
            </w:r>
          </w:p>
          <w:p w14:paraId="7F9B3D8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2.8控温精度：≤0.1 ℃，</w:t>
            </w:r>
          </w:p>
          <w:p w14:paraId="6B3E1E3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2.9定容精度：≤1%；</w:t>
            </w:r>
          </w:p>
          <w:p w14:paraId="619E547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2.10程序控温，可设置不少于 10 个工步，满足实验室阶梯温度要求；执行到相应工步时用不同颜色显示。可通过应用软件清楚看到加液或定容时各孔位的完成情况并用颜色变化来显示，直观了解实验进程。</w:t>
            </w:r>
          </w:p>
          <w:p w14:paraId="4B1B9158">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2.11 采用 PID 温控系统，独特的可视化监控，可通过应用软件清楚看到整个消解过程和消解时间、保持时间、当前温度和阶梯升温过程等，并可以保存温度曲线图，方便实验后数据溯源追查；</w:t>
            </w:r>
          </w:p>
          <w:p w14:paraId="0039866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2.12 配置马达升降系统及消解管架。消解添加酸时，系统会举升起相应消解管，快速冷却样品并安全添加试剂，有效防止爆沸；消解完成后系统自动关闭加热并自动举起消解管快速冷却；</w:t>
            </w:r>
          </w:p>
          <w:p w14:paraId="0BB30D7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2.13机械臂传动采用耐腐蚀材质打造，非金属或皮质材质，耐强酸腐蚀；</w:t>
            </w:r>
          </w:p>
          <w:p w14:paraId="570AF9A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★2.14蠕动泵数目： ≥6 个：</w:t>
            </w:r>
          </w:p>
          <w:p w14:paraId="34036C5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★2.15 试剂通道：≥ 8 个，试剂添加精度优于 1%，降低试剂添加系统的故障率，并避免试剂的交叉污染；</w:t>
            </w:r>
          </w:p>
          <w:p w14:paraId="250AEE2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2.17 降温方式： 自动冷却降温；消解结束后， 自动计算所需试剂，定容至指定体积并自动混匀；</w:t>
            </w:r>
          </w:p>
          <w:p w14:paraId="5E4001B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2.18 提供市级以上的政府或事业单位或第三方检测机构合法出具的消解实验报告，加盖实验单位公章，标准样品消解后各元素的实验测量结果的样品精密度（RSD值）小于10%；</w:t>
            </w:r>
          </w:p>
          <w:p w14:paraId="3B369F3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三、配置清单</w:t>
            </w:r>
          </w:p>
          <w:p w14:paraId="617442E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3.1 全自动石墨消解系统主机，1 台</w:t>
            </w:r>
          </w:p>
          <w:p w14:paraId="2895E554">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3.2 蠕动泵管包，1 份</w:t>
            </w:r>
          </w:p>
          <w:p w14:paraId="12B3398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3.3 聚四氟乙烯消解管，72 支</w:t>
            </w:r>
          </w:p>
          <w:p w14:paraId="429A910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3.4 消解管支架，36 位×2 个</w:t>
            </w:r>
          </w:p>
          <w:p w14:paraId="6B9924F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3.5 独立抽风系统，1 套</w:t>
            </w:r>
          </w:p>
          <w:p w14:paraId="67A788B5">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3.6 智能控制软件，1 套</w:t>
            </w:r>
          </w:p>
          <w:p w14:paraId="3685687F">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3.7 品牌笔记本电脑，1 台</w:t>
            </w:r>
          </w:p>
          <w:p w14:paraId="0872469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3.8 使用说明书，1 本</w:t>
            </w:r>
          </w:p>
          <w:p w14:paraId="4D4C108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3.9 应用指南，1 本</w:t>
            </w:r>
          </w:p>
          <w:p w14:paraId="6051EEB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3.10 合格证，1 张</w:t>
            </w:r>
          </w:p>
          <w:p w14:paraId="08108B5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四、技术服务</w:t>
            </w:r>
          </w:p>
          <w:p w14:paraId="64BC9BD1">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4.1 交货期：合同正式生效后30天内到货</w:t>
            </w:r>
          </w:p>
          <w:p w14:paraId="12D1668B">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4.2 交货地点：用户指定地</w:t>
            </w:r>
          </w:p>
          <w:p w14:paraId="0D30D3D7">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4.3 售后服务：</w:t>
            </w:r>
          </w:p>
          <w:p w14:paraId="280638A0">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（1）质保期：仪器设备免费保修 1 年，从仪器验收签字之日起算起。</w:t>
            </w:r>
          </w:p>
          <w:p w14:paraId="114753FA">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（2）仪器设备出现故障时，供货方得到通知 2 个工作日内派维修人员到达采购人现场维修;</w:t>
            </w:r>
          </w:p>
          <w:p w14:paraId="6ADBD443">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4.4 技术资料：免费提供全套技术资料。</w:t>
            </w:r>
          </w:p>
          <w:p w14:paraId="5042E48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4.5 培训：现场免费提供仪器设备培训；供货方应用中心 2 人免费培训两次，差旅费由采购人自付。</w:t>
            </w:r>
          </w:p>
        </w:tc>
        <w:tc>
          <w:tcPr>
            <w:tcW w:w="390" w:type="dxa"/>
          </w:tcPr>
          <w:p w14:paraId="1C6B8A0C">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1</w:t>
            </w:r>
          </w:p>
        </w:tc>
        <w:tc>
          <w:tcPr>
            <w:tcW w:w="345" w:type="dxa"/>
          </w:tcPr>
          <w:p w14:paraId="7245CFE1">
            <w:pPr>
              <w:widowControl/>
              <w:kinsoku w:val="0"/>
              <w:autoSpaceDE w:val="0"/>
              <w:autoSpaceDN w:val="0"/>
              <w:adjustRightInd w:val="0"/>
              <w:snapToGrid w:val="0"/>
              <w:spacing w:before="19" w:line="213" w:lineRule="auto"/>
              <w:jc w:val="center"/>
              <w:textAlignment w:val="baseline"/>
              <w:rPr>
                <w:rFonts w:hint="default" w:ascii="楷体" w:hAnsi="楷体" w:eastAsia="楷体" w:cs="楷体"/>
                <w:b w:val="0"/>
                <w:bCs w:val="0"/>
                <w:snapToGrid w:val="0"/>
                <w:color w:val="auto"/>
                <w:spacing w:val="-4"/>
                <w:kern w:val="0"/>
                <w:sz w:val="21"/>
                <w:szCs w:val="21"/>
                <w:highlight w:val="none"/>
                <w:vertAlign w:val="baseline"/>
                <w:lang w:val="en-US" w:eastAsia="zh-CN" w:bidi="ar-SA"/>
              </w:rPr>
            </w:pPr>
            <w:r>
              <w:rPr>
                <w:rFonts w:hint="eastAsia" w:ascii="楷体" w:hAnsi="楷体" w:eastAsia="楷体" w:cs="楷体"/>
                <w:b w:val="0"/>
                <w:bCs w:val="0"/>
                <w:snapToGrid w:val="0"/>
                <w:color w:val="auto"/>
                <w:spacing w:val="-4"/>
                <w:kern w:val="0"/>
                <w:sz w:val="21"/>
                <w:szCs w:val="21"/>
                <w:highlight w:val="none"/>
                <w:vertAlign w:val="baseline"/>
                <w:lang w:val="en-US" w:eastAsia="zh-CN" w:bidi="ar-SA"/>
              </w:rPr>
              <w:t>台</w:t>
            </w:r>
          </w:p>
        </w:tc>
      </w:tr>
    </w:tbl>
    <w:p w14:paraId="4BAF3EFA">
      <w:pPr>
        <w:widowControl w:val="0"/>
        <w:kinsoku/>
        <w:autoSpaceDE/>
        <w:autoSpaceDN/>
        <w:adjustRightInd/>
        <w:snapToGrid/>
        <w:spacing w:line="360" w:lineRule="auto"/>
        <w:ind w:firstLine="422" w:firstLineChars="200"/>
        <w:jc w:val="both"/>
        <w:textAlignment w:val="auto"/>
        <w:rPr>
          <w:rFonts w:hint="eastAsia" w:ascii="宋体" w:hAnsi="宋体" w:eastAsia="宋体" w:cs="Times New Roman"/>
          <w:b/>
          <w:bCs w:val="0"/>
          <w:snapToGrid/>
          <w:color w:val="000000"/>
          <w:kern w:val="2"/>
          <w:szCs w:val="21"/>
          <w:highlight w:val="none"/>
          <w:lang w:val="en-US" w:eastAsia="zh-CN"/>
        </w:rPr>
      </w:pPr>
      <w:r>
        <w:rPr>
          <w:rFonts w:hint="eastAsia" w:ascii="宋体" w:hAnsi="宋体" w:eastAsia="宋体" w:cs="Times New Roman"/>
          <w:b/>
          <w:bCs w:val="0"/>
          <w:snapToGrid/>
          <w:color w:val="000000"/>
          <w:kern w:val="2"/>
          <w:szCs w:val="21"/>
          <w:highlight w:val="none"/>
          <w:lang w:val="en-US" w:eastAsia="zh-CN"/>
        </w:rPr>
        <w:t>注：1.对于上述带“★”要求为实质性要求不允许负偏离；一般商务和技术条款偏离项数之和＞10项将视为无效投标处理。</w:t>
      </w:r>
    </w:p>
    <w:p w14:paraId="1DD19905">
      <w:pPr>
        <w:widowControl w:val="0"/>
        <w:kinsoku/>
        <w:autoSpaceDE/>
        <w:autoSpaceDN/>
        <w:adjustRightInd/>
        <w:snapToGrid/>
        <w:spacing w:line="360" w:lineRule="auto"/>
        <w:ind w:firstLine="422" w:firstLineChars="200"/>
        <w:jc w:val="both"/>
        <w:textAlignment w:val="auto"/>
        <w:rPr>
          <w:rFonts w:hint="eastAsia" w:ascii="宋体" w:hAnsi="宋体" w:eastAsia="宋体" w:cs="Times New Roman"/>
          <w:b/>
          <w:bCs w:val="0"/>
          <w:snapToGrid/>
          <w:color w:val="000000"/>
          <w:kern w:val="2"/>
          <w:szCs w:val="21"/>
          <w:highlight w:val="none"/>
          <w:lang w:val="en-US" w:eastAsia="zh-CN"/>
        </w:rPr>
      </w:pPr>
      <w:r>
        <w:rPr>
          <w:rFonts w:hint="eastAsia" w:ascii="宋体" w:hAnsi="宋体" w:eastAsia="宋体" w:cs="Times New Roman"/>
          <w:b/>
          <w:bCs w:val="0"/>
          <w:snapToGrid/>
          <w:color w:val="000000"/>
          <w:kern w:val="2"/>
          <w:szCs w:val="21"/>
          <w:highlight w:val="none"/>
          <w:lang w:val="en-US" w:eastAsia="zh-CN"/>
        </w:rPr>
        <w:t>2.带“★、▲”技术参数要求投标人提供谈判文件指定的证明材料作为评审依据，投标人据实填写技术参数响应情况，投标文件中未附相关证明材料或提供虚假材料的视为无效投标。</w:t>
      </w:r>
    </w:p>
    <w:p w14:paraId="67B66B2D">
      <w:pPr>
        <w:widowControl/>
        <w:kinsoku w:val="0"/>
        <w:autoSpaceDE w:val="0"/>
        <w:autoSpaceDN w:val="0"/>
        <w:adjustRightInd w:val="0"/>
        <w:snapToGrid w:val="0"/>
        <w:spacing w:before="19" w:line="213" w:lineRule="auto"/>
        <w:jc w:val="left"/>
        <w:textAlignment w:val="baseline"/>
        <w:rPr>
          <w:rFonts w:hint="eastAsia"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三、</w:t>
      </w:r>
      <w:bookmarkStart w:id="0" w:name="_Hlk7184628"/>
      <w:r>
        <w:rPr>
          <w:rFonts w:hint="eastAsia" w:ascii="楷体" w:hAnsi="楷体" w:eastAsia="楷体" w:cs="楷体"/>
          <w:b/>
          <w:bCs/>
          <w:snapToGrid w:val="0"/>
          <w:color w:val="auto"/>
          <w:spacing w:val="-4"/>
          <w:kern w:val="0"/>
          <w:sz w:val="28"/>
          <w:szCs w:val="28"/>
          <w:highlight w:val="none"/>
          <w:lang w:val="en-US" w:eastAsia="zh-CN" w:bidi="ar-SA"/>
        </w:rPr>
        <w:t>技术标准规范</w:t>
      </w:r>
    </w:p>
    <w:p w14:paraId="66DFF62A">
      <w:pPr>
        <w:widowControl w:val="0"/>
        <w:kinsoku/>
        <w:autoSpaceDE/>
        <w:autoSpaceDN/>
        <w:adjustRightInd/>
        <w:snapToGrid/>
        <w:spacing w:line="360" w:lineRule="auto"/>
        <w:ind w:firstLine="420" w:firstLineChars="200"/>
        <w:jc w:val="both"/>
        <w:textAlignment w:val="auto"/>
        <w:rPr>
          <w:rFonts w:hint="eastAsia" w:ascii="宋体" w:hAnsi="宋体" w:eastAsia="宋体" w:cs="Times New Roman"/>
          <w:bCs/>
          <w:snapToGrid/>
          <w:color w:val="000000"/>
          <w:kern w:val="2"/>
          <w:szCs w:val="21"/>
          <w:highlight w:val="none"/>
          <w:lang w:eastAsia="zh-CN"/>
        </w:rPr>
      </w:pPr>
      <w:r>
        <w:rPr>
          <w:rFonts w:hint="eastAsia" w:ascii="宋体" w:hAnsi="宋体" w:eastAsia="宋体" w:cs="Times New Roman"/>
          <w:bCs/>
          <w:snapToGrid/>
          <w:color w:val="000000"/>
          <w:kern w:val="2"/>
          <w:szCs w:val="21"/>
          <w:lang w:eastAsia="zh-CN"/>
        </w:rPr>
        <w:t>1、供应商提供的产品应是未经拆封、</w:t>
      </w:r>
      <w:r>
        <w:rPr>
          <w:rFonts w:hint="eastAsia" w:ascii="宋体" w:hAnsi="宋体" w:eastAsia="宋体" w:cs="Times New Roman"/>
          <w:bCs/>
          <w:snapToGrid/>
          <w:color w:val="000000"/>
          <w:kern w:val="2"/>
          <w:szCs w:val="21"/>
          <w:highlight w:val="none"/>
          <w:lang w:eastAsia="zh-CN"/>
        </w:rPr>
        <w:t>原装正品且出厂日期不能超过六个月，符合国家</w:t>
      </w:r>
    </w:p>
    <w:p w14:paraId="48FEA4D8">
      <w:pPr>
        <w:widowControl w:val="0"/>
        <w:kinsoku/>
        <w:autoSpaceDE/>
        <w:autoSpaceDN/>
        <w:adjustRightInd/>
        <w:snapToGrid/>
        <w:spacing w:line="360" w:lineRule="auto"/>
        <w:jc w:val="both"/>
        <w:textAlignment w:val="auto"/>
        <w:rPr>
          <w:rFonts w:hint="eastAsia" w:ascii="宋体" w:hAnsi="宋体" w:eastAsia="宋体" w:cs="Times New Roman"/>
          <w:bCs/>
          <w:snapToGrid/>
          <w:color w:val="000000"/>
          <w:kern w:val="2"/>
          <w:szCs w:val="21"/>
          <w:highlight w:val="none"/>
          <w:lang w:eastAsia="zh-CN"/>
        </w:rPr>
      </w:pPr>
      <w:r>
        <w:rPr>
          <w:rFonts w:hint="eastAsia" w:ascii="宋体" w:hAnsi="宋体" w:eastAsia="宋体" w:cs="Times New Roman"/>
          <w:bCs/>
          <w:snapToGrid/>
          <w:color w:val="000000"/>
          <w:kern w:val="2"/>
          <w:szCs w:val="21"/>
          <w:highlight w:val="none"/>
          <w:lang w:eastAsia="zh-CN"/>
        </w:rPr>
        <w:t>质量检测标准，具有出厂合格证或国家鉴定合格证。</w:t>
      </w:r>
    </w:p>
    <w:p w14:paraId="7F4021F3">
      <w:pPr>
        <w:widowControl w:val="0"/>
        <w:kinsoku/>
        <w:autoSpaceDE/>
        <w:autoSpaceDN/>
        <w:adjustRightInd/>
        <w:snapToGrid/>
        <w:spacing w:line="360" w:lineRule="auto"/>
        <w:ind w:firstLine="420" w:firstLineChars="200"/>
        <w:jc w:val="both"/>
        <w:textAlignment w:val="auto"/>
        <w:rPr>
          <w:rFonts w:hint="eastAsia" w:ascii="宋体" w:hAnsi="宋体" w:eastAsia="宋体" w:cs="Times New Roman"/>
          <w:bCs/>
          <w:snapToGrid/>
          <w:color w:val="000000"/>
          <w:kern w:val="2"/>
          <w:szCs w:val="21"/>
          <w:highlight w:val="none"/>
          <w:lang w:eastAsia="zh-CN"/>
        </w:rPr>
      </w:pPr>
      <w:r>
        <w:rPr>
          <w:rFonts w:hint="eastAsia" w:ascii="宋体" w:hAnsi="宋体" w:eastAsia="宋体" w:cs="Times New Roman"/>
          <w:bCs/>
          <w:snapToGrid/>
          <w:color w:val="000000"/>
          <w:kern w:val="2"/>
          <w:szCs w:val="21"/>
          <w:highlight w:val="none"/>
          <w:lang w:eastAsia="zh-CN"/>
        </w:rPr>
        <w:t>2、供应商负责免费上门安装、调试并确保正常投入使用，交付验收时必须提供该</w:t>
      </w:r>
      <w:r>
        <w:rPr>
          <w:rFonts w:hint="eastAsia" w:ascii="宋体" w:hAnsi="宋体" w:cs="Times New Roman"/>
          <w:bCs/>
          <w:snapToGrid/>
          <w:color w:val="000000"/>
          <w:kern w:val="2"/>
          <w:szCs w:val="21"/>
          <w:highlight w:val="none"/>
          <w:lang w:val="en-US" w:eastAsia="zh-CN"/>
        </w:rPr>
        <w:t>产品</w:t>
      </w:r>
      <w:r>
        <w:rPr>
          <w:rFonts w:hint="eastAsia" w:ascii="宋体" w:hAnsi="宋体" w:eastAsia="宋体" w:cs="Times New Roman"/>
          <w:bCs/>
          <w:snapToGrid/>
          <w:color w:val="000000"/>
          <w:kern w:val="2"/>
          <w:szCs w:val="21"/>
          <w:highlight w:val="none"/>
          <w:lang w:eastAsia="zh-CN"/>
        </w:rPr>
        <w:t>制造商出具的经销授权书、生产许可证、医疗器械注册证、 白皮书或技术参数说明书、售后服务承诺书、合格证、安装报告、整机匹配测试报告等。</w:t>
      </w:r>
    </w:p>
    <w:bookmarkEnd w:id="0"/>
    <w:p w14:paraId="33BA3B39">
      <w:pPr>
        <w:widowControl/>
        <w:kinsoku w:val="0"/>
        <w:autoSpaceDE w:val="0"/>
        <w:autoSpaceDN w:val="0"/>
        <w:adjustRightInd w:val="0"/>
        <w:snapToGrid w:val="0"/>
        <w:spacing w:before="19" w:line="213" w:lineRule="auto"/>
        <w:jc w:val="left"/>
        <w:textAlignment w:val="baseline"/>
        <w:rPr>
          <w:rFonts w:hint="eastAsia"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四、供货范围及交货时间</w:t>
      </w:r>
    </w:p>
    <w:p w14:paraId="2ED9E46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宋体" w:eastAsia="宋体" w:cs="宋体"/>
          <w:b w:val="0"/>
          <w:bCs w:val="0"/>
          <w:snapToGrid/>
          <w:color w:val="auto"/>
          <w:kern w:val="2"/>
          <w:sz w:val="22"/>
          <w:szCs w:val="22"/>
          <w:highlight w:val="none"/>
          <w:lang w:val="en-US" w:eastAsia="zh-CN"/>
        </w:rPr>
      </w:pPr>
      <w:r>
        <w:rPr>
          <w:rFonts w:hint="eastAsia" w:ascii="宋体" w:hAnsi="宋体" w:eastAsia="宋体" w:cs="宋体"/>
          <w:b w:val="0"/>
          <w:bCs w:val="0"/>
          <w:snapToGrid/>
          <w:color w:val="auto"/>
          <w:kern w:val="2"/>
          <w:sz w:val="22"/>
          <w:szCs w:val="22"/>
          <w:highlight w:val="none"/>
          <w:lang w:val="en-US" w:eastAsia="zh-CN"/>
        </w:rPr>
        <w:t xml:space="preserve">供货范围：采购人指定。 </w:t>
      </w:r>
    </w:p>
    <w:p w14:paraId="0130663F">
      <w:pPr>
        <w:widowControl w:val="0"/>
        <w:kinsoku/>
        <w:autoSpaceDE/>
        <w:autoSpaceDN/>
        <w:adjustRightInd/>
        <w:snapToGrid/>
        <w:spacing w:line="360" w:lineRule="auto"/>
        <w:ind w:firstLine="440" w:firstLineChars="200"/>
        <w:jc w:val="both"/>
        <w:textAlignment w:val="auto"/>
        <w:rPr>
          <w:rFonts w:ascii="宋体" w:hAnsi="宋体" w:eastAsia="宋体" w:cs="Times New Roman"/>
          <w:bCs/>
          <w:snapToGrid/>
          <w:color w:val="000000"/>
          <w:kern w:val="2"/>
          <w:szCs w:val="21"/>
          <w:lang w:eastAsia="zh-CN"/>
        </w:rPr>
      </w:pPr>
      <w:r>
        <w:rPr>
          <w:rFonts w:hint="eastAsia" w:ascii="宋体" w:hAnsi="宋体" w:eastAsia="宋体" w:cs="宋体"/>
          <w:b w:val="0"/>
          <w:bCs w:val="0"/>
          <w:snapToGrid/>
          <w:color w:val="auto"/>
          <w:kern w:val="2"/>
          <w:sz w:val="22"/>
          <w:szCs w:val="22"/>
          <w:highlight w:val="none"/>
          <w:lang w:val="en-US" w:eastAsia="zh-CN"/>
        </w:rPr>
        <w:t>交货时间：本项目为交钥匙工程。合同签订之日起</w:t>
      </w:r>
      <w:r>
        <w:rPr>
          <w:rFonts w:hint="eastAsia" w:ascii="宋体" w:hAnsi="宋体" w:cs="宋体"/>
          <w:b w:val="0"/>
          <w:bCs w:val="0"/>
          <w:snapToGrid/>
          <w:color w:val="auto"/>
          <w:kern w:val="2"/>
          <w:sz w:val="22"/>
          <w:szCs w:val="22"/>
          <w:highlight w:val="none"/>
          <w:lang w:val="en-US" w:eastAsia="zh-CN"/>
        </w:rPr>
        <w:t>15</w:t>
      </w:r>
      <w:r>
        <w:rPr>
          <w:rFonts w:hint="eastAsia" w:ascii="宋体" w:hAnsi="宋体" w:eastAsia="宋体" w:cs="宋体"/>
          <w:b w:val="0"/>
          <w:bCs w:val="0"/>
          <w:snapToGrid/>
          <w:color w:val="auto"/>
          <w:kern w:val="2"/>
          <w:sz w:val="22"/>
          <w:szCs w:val="22"/>
          <w:highlight w:val="none"/>
          <w:lang w:val="en-US" w:eastAsia="zh-CN"/>
        </w:rPr>
        <w:t>日内完成供货到</w:t>
      </w:r>
      <w:r>
        <w:rPr>
          <w:rFonts w:hint="eastAsia" w:ascii="宋体" w:hAnsi="宋体" w:cs="宋体"/>
          <w:b w:val="0"/>
          <w:bCs w:val="0"/>
          <w:snapToGrid/>
          <w:color w:val="auto"/>
          <w:kern w:val="2"/>
          <w:sz w:val="22"/>
          <w:szCs w:val="22"/>
          <w:highlight w:val="none"/>
          <w:lang w:val="en-US" w:eastAsia="zh-CN"/>
        </w:rPr>
        <w:t>采购人</w:t>
      </w:r>
      <w:r>
        <w:rPr>
          <w:rFonts w:hint="eastAsia" w:ascii="宋体" w:hAnsi="宋体" w:eastAsia="宋体" w:cs="宋体"/>
          <w:b w:val="0"/>
          <w:bCs w:val="0"/>
          <w:snapToGrid/>
          <w:color w:val="auto"/>
          <w:kern w:val="2"/>
          <w:sz w:val="22"/>
          <w:szCs w:val="22"/>
          <w:highlight w:val="none"/>
          <w:lang w:val="en-US" w:eastAsia="zh-CN"/>
        </w:rPr>
        <w:t>指定地点及安装调试</w:t>
      </w:r>
      <w:r>
        <w:rPr>
          <w:rFonts w:hint="eastAsia" w:ascii="宋体" w:hAnsi="宋体" w:cs="宋体"/>
          <w:b w:val="0"/>
          <w:bCs w:val="0"/>
          <w:snapToGrid/>
          <w:color w:val="auto"/>
          <w:kern w:val="2"/>
          <w:sz w:val="22"/>
          <w:szCs w:val="22"/>
          <w:highlight w:val="none"/>
          <w:lang w:val="en-US" w:eastAsia="zh-CN"/>
        </w:rPr>
        <w:t>，试运行一个月验收</w:t>
      </w:r>
      <w:r>
        <w:rPr>
          <w:rFonts w:hint="eastAsia" w:ascii="宋体" w:hAnsi="宋体" w:eastAsia="宋体" w:cs="宋体"/>
          <w:b w:val="0"/>
          <w:bCs w:val="0"/>
          <w:snapToGrid/>
          <w:color w:val="auto"/>
          <w:kern w:val="2"/>
          <w:sz w:val="22"/>
          <w:szCs w:val="22"/>
          <w:highlight w:val="none"/>
          <w:lang w:val="en-US" w:eastAsia="zh-CN"/>
        </w:rPr>
        <w:t>。</w:t>
      </w:r>
    </w:p>
    <w:p w14:paraId="2D6A61A6">
      <w:pPr>
        <w:widowControl/>
        <w:kinsoku w:val="0"/>
        <w:autoSpaceDE w:val="0"/>
        <w:autoSpaceDN w:val="0"/>
        <w:adjustRightInd w:val="0"/>
        <w:snapToGrid w:val="0"/>
        <w:spacing w:before="19" w:line="213" w:lineRule="auto"/>
        <w:jc w:val="left"/>
        <w:textAlignment w:val="baseline"/>
        <w:rPr>
          <w:rFonts w:hint="eastAsia"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五、运输</w:t>
      </w:r>
    </w:p>
    <w:p w14:paraId="2855B3C0">
      <w:pPr>
        <w:keepNext w:val="0"/>
        <w:keepLines w:val="0"/>
        <w:pageBreakBefore w:val="0"/>
        <w:widowControl w:val="0"/>
        <w:kinsoku/>
        <w:wordWrap/>
        <w:overflowPunct/>
        <w:topLinePunct w:val="0"/>
        <w:autoSpaceDE/>
        <w:autoSpaceDN/>
        <w:bidi w:val="0"/>
        <w:adjustRightInd/>
        <w:snapToGrid/>
        <w:spacing w:line="360" w:lineRule="auto"/>
        <w:ind w:firstLine="433" w:firstLineChars="197"/>
        <w:jc w:val="both"/>
        <w:textAlignment w:val="auto"/>
        <w:rPr>
          <w:rFonts w:hint="eastAsia" w:ascii="宋体" w:hAnsi="宋体" w:eastAsia="宋体" w:cs="宋体"/>
          <w:b w:val="0"/>
          <w:bCs/>
          <w:snapToGrid/>
          <w:color w:val="auto"/>
          <w:kern w:val="2"/>
          <w:sz w:val="22"/>
          <w:szCs w:val="22"/>
          <w:highlight w:val="none"/>
          <w:lang w:eastAsia="zh-CN"/>
        </w:rPr>
      </w:pPr>
      <w:r>
        <w:rPr>
          <w:rFonts w:hint="eastAsia" w:ascii="宋体" w:hAnsi="宋体" w:eastAsia="宋体" w:cs="宋体"/>
          <w:b w:val="0"/>
          <w:bCs/>
          <w:snapToGrid/>
          <w:color w:val="auto"/>
          <w:kern w:val="2"/>
          <w:sz w:val="22"/>
          <w:szCs w:val="22"/>
          <w:highlight w:val="none"/>
          <w:lang w:val="en-US" w:eastAsia="zh-CN"/>
        </w:rPr>
        <w:t xml:space="preserve">1.成交人负责保证货物在没有任何损坏的情况下安全运抵合同规定的交货地点，应承担由于其包装或防护措施不妥引起货物损坏和丢失的任何责任或费用。 </w:t>
      </w:r>
    </w:p>
    <w:p w14:paraId="2123D7C8">
      <w:pPr>
        <w:keepNext w:val="0"/>
        <w:keepLines w:val="0"/>
        <w:pageBreakBefore w:val="0"/>
        <w:widowControl w:val="0"/>
        <w:kinsoku/>
        <w:wordWrap/>
        <w:overflowPunct/>
        <w:topLinePunct w:val="0"/>
        <w:autoSpaceDE/>
        <w:autoSpaceDN/>
        <w:bidi w:val="0"/>
        <w:adjustRightInd/>
        <w:snapToGrid/>
        <w:spacing w:line="360" w:lineRule="auto"/>
        <w:ind w:firstLine="433" w:firstLineChars="197"/>
        <w:jc w:val="both"/>
        <w:textAlignment w:val="auto"/>
        <w:rPr>
          <w:rFonts w:hint="eastAsia" w:ascii="宋体" w:hAnsi="宋体" w:eastAsia="宋体" w:cs="宋体"/>
          <w:b w:val="0"/>
          <w:bCs/>
          <w:snapToGrid/>
          <w:color w:val="auto"/>
          <w:kern w:val="2"/>
          <w:sz w:val="22"/>
          <w:szCs w:val="22"/>
          <w:highlight w:val="none"/>
          <w:lang w:val="en-US" w:eastAsia="zh-CN"/>
        </w:rPr>
      </w:pPr>
      <w:r>
        <w:rPr>
          <w:rFonts w:hint="eastAsia" w:ascii="宋体" w:hAnsi="宋体" w:eastAsia="宋体" w:cs="宋体"/>
          <w:b w:val="0"/>
          <w:bCs/>
          <w:snapToGrid/>
          <w:color w:val="auto"/>
          <w:kern w:val="2"/>
          <w:sz w:val="22"/>
          <w:szCs w:val="22"/>
          <w:highlight w:val="none"/>
          <w:lang w:val="en-US" w:eastAsia="zh-CN"/>
        </w:rPr>
        <w:t xml:space="preserve">2.成交人负责货物在实施地点的保管，直至项目验收实施完成。 </w:t>
      </w:r>
    </w:p>
    <w:p w14:paraId="7EF361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val="0"/>
          <w:bCs w:val="0"/>
          <w:snapToGrid/>
          <w:color w:val="auto"/>
          <w:kern w:val="2"/>
          <w:sz w:val="22"/>
          <w:szCs w:val="22"/>
          <w:highlight w:val="none"/>
          <w:lang w:val="en-US" w:eastAsia="zh-CN"/>
        </w:rPr>
      </w:pPr>
      <w:r>
        <w:rPr>
          <w:rFonts w:hint="eastAsia" w:ascii="楷体" w:hAnsi="楷体" w:eastAsia="楷体" w:cs="楷体"/>
          <w:b/>
          <w:bCs/>
          <w:snapToGrid w:val="0"/>
          <w:color w:val="auto"/>
          <w:spacing w:val="-4"/>
          <w:kern w:val="0"/>
          <w:sz w:val="28"/>
          <w:szCs w:val="28"/>
          <w:highlight w:val="none"/>
          <w:lang w:val="en-US" w:eastAsia="zh-CN" w:bidi="ar-SA"/>
        </w:rPr>
        <w:t>六、验收标准和方法</w:t>
      </w:r>
    </w:p>
    <w:p w14:paraId="06E324D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宋体" w:eastAsia="宋体" w:cs="宋体"/>
          <w:b w:val="0"/>
          <w:bCs w:val="0"/>
          <w:snapToGrid/>
          <w:color w:val="auto"/>
          <w:kern w:val="2"/>
          <w:sz w:val="22"/>
          <w:szCs w:val="22"/>
          <w:highlight w:val="none"/>
          <w:lang w:val="en-US" w:eastAsia="en-US"/>
        </w:rPr>
      </w:pPr>
      <w:r>
        <w:rPr>
          <w:rFonts w:hint="eastAsia" w:ascii="宋体" w:hAnsi="宋体" w:cs="宋体"/>
          <w:b w:val="0"/>
          <w:bCs w:val="0"/>
          <w:snapToGrid/>
          <w:color w:val="auto"/>
          <w:kern w:val="2"/>
          <w:sz w:val="22"/>
          <w:szCs w:val="22"/>
          <w:highlight w:val="none"/>
          <w:lang w:val="en-US" w:eastAsia="zh-CN"/>
        </w:rPr>
        <w:t>1.</w:t>
      </w:r>
      <w:r>
        <w:rPr>
          <w:rFonts w:hint="eastAsia" w:ascii="宋体" w:hAnsi="宋体" w:eastAsia="宋体" w:cs="宋体"/>
          <w:b w:val="0"/>
          <w:bCs w:val="0"/>
          <w:snapToGrid/>
          <w:color w:val="auto"/>
          <w:kern w:val="2"/>
          <w:sz w:val="22"/>
          <w:szCs w:val="22"/>
          <w:highlight w:val="none"/>
          <w:lang w:val="en-US" w:eastAsia="en-US"/>
        </w:rPr>
        <w:t>产品满足采购技术参数，经过使用验证。由使用</w:t>
      </w:r>
      <w:r>
        <w:rPr>
          <w:rFonts w:hint="eastAsia" w:ascii="宋体" w:hAnsi="宋体" w:cs="宋体"/>
          <w:b w:val="0"/>
          <w:bCs w:val="0"/>
          <w:snapToGrid/>
          <w:color w:val="auto"/>
          <w:kern w:val="2"/>
          <w:sz w:val="22"/>
          <w:szCs w:val="22"/>
          <w:highlight w:val="none"/>
          <w:lang w:val="en-US" w:eastAsia="zh-CN"/>
        </w:rPr>
        <w:t>科室</w:t>
      </w:r>
      <w:r>
        <w:rPr>
          <w:rFonts w:hint="eastAsia" w:ascii="宋体" w:hAnsi="宋体" w:eastAsia="宋体" w:cs="宋体"/>
          <w:b w:val="0"/>
          <w:bCs w:val="0"/>
          <w:snapToGrid/>
          <w:color w:val="auto"/>
          <w:kern w:val="2"/>
          <w:sz w:val="22"/>
          <w:szCs w:val="22"/>
          <w:highlight w:val="none"/>
          <w:lang w:val="en-US" w:eastAsia="en-US"/>
        </w:rPr>
        <w:t>与</w:t>
      </w:r>
      <w:r>
        <w:rPr>
          <w:rFonts w:hint="eastAsia" w:ascii="宋体" w:hAnsi="宋体" w:cs="宋体"/>
          <w:b w:val="0"/>
          <w:bCs w:val="0"/>
          <w:snapToGrid/>
          <w:color w:val="auto"/>
          <w:kern w:val="2"/>
          <w:sz w:val="22"/>
          <w:szCs w:val="22"/>
          <w:highlight w:val="none"/>
          <w:lang w:val="en-US" w:eastAsia="zh-CN"/>
        </w:rPr>
        <w:t>成交</w:t>
      </w:r>
      <w:r>
        <w:rPr>
          <w:rFonts w:hint="eastAsia" w:ascii="宋体" w:hAnsi="宋体" w:eastAsia="宋体" w:cs="宋体"/>
          <w:b w:val="0"/>
          <w:bCs w:val="0"/>
          <w:snapToGrid/>
          <w:color w:val="auto"/>
          <w:kern w:val="2"/>
          <w:sz w:val="22"/>
          <w:szCs w:val="22"/>
          <w:highlight w:val="none"/>
          <w:lang w:val="en-US" w:eastAsia="en-US"/>
        </w:rPr>
        <w:t>供应商共同进行验收。</w:t>
      </w:r>
    </w:p>
    <w:p w14:paraId="093535EC">
      <w:pPr>
        <w:widowControl/>
        <w:kinsoku w:val="0"/>
        <w:autoSpaceDE w:val="0"/>
        <w:autoSpaceDN w:val="0"/>
        <w:adjustRightInd w:val="0"/>
        <w:snapToGrid w:val="0"/>
        <w:spacing w:before="19" w:line="213" w:lineRule="auto"/>
        <w:jc w:val="left"/>
        <w:textAlignment w:val="baseline"/>
        <w:rPr>
          <w:rFonts w:hint="eastAsia"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六、售后服务</w:t>
      </w:r>
    </w:p>
    <w:p w14:paraId="11FE26A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宋体" w:eastAsia="宋体" w:cs="宋体"/>
          <w:b w:val="0"/>
          <w:bCs w:val="0"/>
          <w:snapToGrid/>
          <w:color w:val="auto"/>
          <w:kern w:val="2"/>
          <w:sz w:val="22"/>
          <w:szCs w:val="22"/>
          <w:highlight w:val="none"/>
          <w:lang w:val="en-US" w:eastAsia="en-US"/>
        </w:rPr>
      </w:pPr>
      <w:r>
        <w:rPr>
          <w:rFonts w:hint="eastAsia" w:ascii="宋体" w:hAnsi="宋体" w:cs="宋体"/>
          <w:b w:val="0"/>
          <w:bCs w:val="0"/>
          <w:snapToGrid/>
          <w:color w:val="auto"/>
          <w:kern w:val="2"/>
          <w:sz w:val="22"/>
          <w:szCs w:val="22"/>
          <w:highlight w:val="none"/>
          <w:lang w:val="en-US" w:eastAsia="zh-CN"/>
        </w:rPr>
        <w:t>1.</w:t>
      </w:r>
      <w:r>
        <w:rPr>
          <w:rFonts w:hint="eastAsia" w:ascii="宋体" w:hAnsi="宋体" w:eastAsia="宋体" w:cs="宋体"/>
          <w:b w:val="0"/>
          <w:bCs w:val="0"/>
          <w:snapToGrid/>
          <w:color w:val="auto"/>
          <w:kern w:val="2"/>
          <w:sz w:val="22"/>
          <w:szCs w:val="22"/>
          <w:highlight w:val="none"/>
          <w:lang w:val="en-US" w:eastAsia="en-US"/>
        </w:rPr>
        <w:t>提供 24 小时服务热线电话以及售后服务机构名称及地址、驻点人员名单、联系电话等详细资料。设备发生故障后，应在收到采购方故障信息30分钟内响应，</w:t>
      </w:r>
      <w:r>
        <w:rPr>
          <w:rFonts w:hint="eastAsia" w:ascii="宋体" w:hAnsi="宋体" w:cs="宋体"/>
          <w:b w:val="0"/>
          <w:bCs w:val="0"/>
          <w:snapToGrid/>
          <w:color w:val="auto"/>
          <w:kern w:val="2"/>
          <w:sz w:val="22"/>
          <w:szCs w:val="22"/>
          <w:highlight w:val="none"/>
          <w:lang w:val="en-US" w:eastAsia="zh-CN"/>
        </w:rPr>
        <w:t>12</w:t>
      </w:r>
      <w:r>
        <w:rPr>
          <w:rFonts w:hint="eastAsia" w:ascii="宋体" w:hAnsi="宋体" w:eastAsia="宋体" w:cs="宋体"/>
          <w:b w:val="0"/>
          <w:bCs w:val="0"/>
          <w:snapToGrid/>
          <w:color w:val="auto"/>
          <w:kern w:val="2"/>
          <w:sz w:val="22"/>
          <w:szCs w:val="22"/>
          <w:highlight w:val="none"/>
          <w:lang w:val="en-US" w:eastAsia="en-US"/>
        </w:rPr>
        <w:t>小时内赶到现场，</w:t>
      </w:r>
      <w:r>
        <w:rPr>
          <w:rFonts w:hint="eastAsia" w:ascii="宋体" w:hAnsi="宋体" w:cs="宋体"/>
          <w:b w:val="0"/>
          <w:bCs w:val="0"/>
          <w:snapToGrid/>
          <w:color w:val="auto"/>
          <w:kern w:val="2"/>
          <w:sz w:val="22"/>
          <w:szCs w:val="22"/>
          <w:highlight w:val="none"/>
          <w:lang w:val="en-US" w:eastAsia="zh-CN"/>
        </w:rPr>
        <w:t>24</w:t>
      </w:r>
      <w:r>
        <w:rPr>
          <w:rFonts w:hint="eastAsia" w:ascii="宋体" w:hAnsi="宋体" w:eastAsia="宋体" w:cs="宋体"/>
          <w:b w:val="0"/>
          <w:bCs w:val="0"/>
          <w:snapToGrid/>
          <w:color w:val="auto"/>
          <w:kern w:val="2"/>
          <w:sz w:val="22"/>
          <w:szCs w:val="22"/>
          <w:highlight w:val="none"/>
          <w:lang w:val="en-US" w:eastAsia="en-US"/>
        </w:rPr>
        <w:t>小时内解决问题，如超过</w:t>
      </w:r>
      <w:r>
        <w:rPr>
          <w:rFonts w:hint="eastAsia" w:ascii="宋体" w:hAnsi="宋体" w:cs="宋体"/>
          <w:b w:val="0"/>
          <w:bCs w:val="0"/>
          <w:snapToGrid/>
          <w:color w:val="auto"/>
          <w:kern w:val="2"/>
          <w:sz w:val="22"/>
          <w:szCs w:val="22"/>
          <w:highlight w:val="none"/>
          <w:lang w:val="en-US" w:eastAsia="zh-CN"/>
        </w:rPr>
        <w:t>24</w:t>
      </w:r>
      <w:r>
        <w:rPr>
          <w:rFonts w:hint="eastAsia" w:ascii="宋体" w:hAnsi="宋体" w:eastAsia="宋体" w:cs="宋体"/>
          <w:b w:val="0"/>
          <w:bCs w:val="0"/>
          <w:snapToGrid/>
          <w:color w:val="auto"/>
          <w:kern w:val="2"/>
          <w:sz w:val="22"/>
          <w:szCs w:val="22"/>
          <w:highlight w:val="none"/>
          <w:lang w:val="en-US" w:eastAsia="en-US"/>
        </w:rPr>
        <w:t>小时未解决问题的，则医院有权要求供应商按医院该设备实际收入作赔偿。设备维修期间须提供相应的备用设备，以保证医院工作的正常进行。</w:t>
      </w:r>
    </w:p>
    <w:p w14:paraId="26CE1A82">
      <w:pPr>
        <w:widowControl/>
        <w:kinsoku w:val="0"/>
        <w:autoSpaceDE w:val="0"/>
        <w:autoSpaceDN w:val="0"/>
        <w:adjustRightInd w:val="0"/>
        <w:snapToGrid w:val="0"/>
        <w:spacing w:before="19" w:line="213" w:lineRule="auto"/>
        <w:jc w:val="left"/>
        <w:textAlignment w:val="baseline"/>
        <w:rPr>
          <w:rFonts w:hint="eastAsia"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七、其他事项</w:t>
      </w:r>
    </w:p>
    <w:p w14:paraId="1E54F2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val="0"/>
          <w:bCs w:val="0"/>
          <w:snapToGrid/>
          <w:color w:val="auto"/>
          <w:kern w:val="2"/>
          <w:sz w:val="22"/>
          <w:szCs w:val="22"/>
          <w:highlight w:val="none"/>
          <w:lang w:val="en-US" w:eastAsia="zh-CN"/>
        </w:rPr>
      </w:pPr>
      <w:r>
        <w:rPr>
          <w:rFonts w:hint="eastAsia" w:ascii="宋体" w:hAnsi="宋体" w:eastAsia="宋体" w:cs="宋体"/>
          <w:b w:val="0"/>
          <w:bCs w:val="0"/>
          <w:snapToGrid/>
          <w:color w:val="auto"/>
          <w:kern w:val="2"/>
          <w:sz w:val="22"/>
          <w:szCs w:val="22"/>
          <w:highlight w:val="none"/>
          <w:lang w:eastAsia="zh-CN"/>
        </w:rPr>
        <w:t>　　</w:t>
      </w:r>
      <w:r>
        <w:rPr>
          <w:rFonts w:hint="eastAsia" w:ascii="宋体" w:hAnsi="宋体" w:eastAsia="宋体" w:cs="宋体"/>
          <w:b w:val="0"/>
          <w:bCs w:val="0"/>
          <w:snapToGrid/>
          <w:color w:val="auto"/>
          <w:kern w:val="2"/>
          <w:sz w:val="22"/>
          <w:szCs w:val="22"/>
          <w:highlight w:val="none"/>
          <w:lang w:val="en-US" w:eastAsia="zh-CN"/>
        </w:rPr>
        <w:t>1.付款方式：</w:t>
      </w:r>
      <w:r>
        <w:rPr>
          <w:rFonts w:hint="eastAsia" w:ascii="宋体" w:hAnsi="宋体" w:cs="Times New Roman"/>
          <w:color w:val="auto"/>
          <w:szCs w:val="21"/>
          <w:highlight w:val="none"/>
          <w:u w:val="none"/>
          <w:lang w:val="en-US" w:eastAsia="zh-CN"/>
        </w:rPr>
        <w:t>设备安装调试、正常运行、验收合格，且乙方将相关资料移交给甲方以后，一个月内，甲方凭乙方提供的国家正规税票支付合同总金额的95%,,设备正常运行质保期满一年后无质量问题一个月内支付5%的尾款。（具体详见合同约定）</w:t>
      </w:r>
      <w:r>
        <w:rPr>
          <w:rFonts w:hint="eastAsia" w:ascii="宋体" w:hAnsi="宋体" w:eastAsia="宋体" w:cs="宋体"/>
          <w:b w:val="0"/>
          <w:bCs w:val="0"/>
          <w:snapToGrid/>
          <w:color w:val="auto"/>
          <w:kern w:val="2"/>
          <w:sz w:val="22"/>
          <w:szCs w:val="22"/>
          <w:highlight w:val="none"/>
          <w:lang w:val="en-US" w:eastAsia="zh-CN"/>
        </w:rPr>
        <w:t>。</w:t>
      </w:r>
    </w:p>
    <w:p w14:paraId="3EAE4E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snapToGrid/>
          <w:color w:val="auto"/>
          <w:kern w:val="2"/>
          <w:sz w:val="22"/>
          <w:szCs w:val="22"/>
          <w:highlight w:val="none"/>
          <w:lang w:val="en-US" w:eastAsia="zh-CN"/>
        </w:rPr>
      </w:pPr>
      <w:r>
        <w:rPr>
          <w:rFonts w:hint="eastAsia" w:ascii="宋体" w:hAnsi="宋体" w:cs="宋体"/>
          <w:b w:val="0"/>
          <w:bCs w:val="0"/>
          <w:snapToGrid w:val="0"/>
          <w:color w:val="000000"/>
          <w:kern w:val="0"/>
          <w:sz w:val="21"/>
          <w:szCs w:val="21"/>
          <w:lang w:val="en-US" w:eastAsia="zh-CN"/>
        </w:rPr>
        <w:t>2</w:t>
      </w:r>
      <w:r>
        <w:rPr>
          <w:rFonts w:hint="eastAsia" w:ascii="宋体" w:hAnsi="宋体" w:eastAsia="宋体" w:cs="宋体"/>
          <w:b w:val="0"/>
          <w:bCs w:val="0"/>
          <w:snapToGrid w:val="0"/>
          <w:color w:val="000000"/>
          <w:kern w:val="0"/>
          <w:sz w:val="21"/>
          <w:szCs w:val="21"/>
          <w:lang w:val="en-US" w:eastAsia="zh-CN"/>
        </w:rPr>
        <w:t>、供应商除提供货物外，必须提出详细的、操作性强的技术服务方案。即对所用货物的使用人员提供售后服务，并进行宣传和技术培训，主要包括产品贮存与使用方法等方面培训。</w:t>
      </w:r>
    </w:p>
    <w:p w14:paraId="00D8612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宋体" w:eastAsia="宋体" w:cs="宋体"/>
          <w:b w:val="0"/>
          <w:bCs w:val="0"/>
          <w:snapToGrid/>
          <w:color w:val="auto"/>
          <w:kern w:val="2"/>
          <w:sz w:val="22"/>
          <w:szCs w:val="22"/>
          <w:highlight w:val="none"/>
          <w:lang w:val="en-US" w:eastAsia="zh-CN"/>
        </w:rPr>
      </w:pPr>
      <w:r>
        <w:rPr>
          <w:rFonts w:hint="eastAsia" w:ascii="宋体" w:hAnsi="宋体" w:eastAsia="宋体" w:cs="宋体"/>
          <w:b w:val="0"/>
          <w:bCs w:val="0"/>
          <w:snapToGrid/>
          <w:color w:val="auto"/>
          <w:kern w:val="2"/>
          <w:sz w:val="22"/>
          <w:szCs w:val="22"/>
          <w:highlight w:val="none"/>
          <w:lang w:val="en-US" w:eastAsia="zh-CN"/>
        </w:rPr>
        <w:t>.报价含产品配送到指定地点的运输费、装卸费和包装费等所有可能产生的费用。</w:t>
      </w:r>
    </w:p>
    <w:p w14:paraId="56C3B3DE">
      <w:pPr>
        <w:widowControl/>
        <w:kinsoku w:val="0"/>
        <w:autoSpaceDE w:val="0"/>
        <w:autoSpaceDN w:val="0"/>
        <w:adjustRightInd w:val="0"/>
        <w:snapToGrid w:val="0"/>
        <w:spacing w:before="19" w:line="213" w:lineRule="auto"/>
        <w:jc w:val="left"/>
        <w:textAlignment w:val="baseline"/>
        <w:rPr>
          <w:rFonts w:hint="eastAsia" w:ascii="楷体" w:hAnsi="楷体" w:eastAsia="楷体" w:cs="楷体"/>
          <w:b/>
          <w:bCs/>
          <w:snapToGrid w:val="0"/>
          <w:color w:val="auto"/>
          <w:spacing w:val="-4"/>
          <w:kern w:val="0"/>
          <w:sz w:val="28"/>
          <w:szCs w:val="28"/>
          <w:highlight w:val="none"/>
          <w:lang w:val="en-US" w:eastAsia="zh-CN" w:bidi="ar-SA"/>
        </w:rPr>
      </w:pPr>
      <w:r>
        <w:rPr>
          <w:rFonts w:hint="eastAsia" w:ascii="楷体" w:hAnsi="楷体" w:eastAsia="楷体" w:cs="楷体"/>
          <w:b/>
          <w:bCs/>
          <w:snapToGrid w:val="0"/>
          <w:color w:val="auto"/>
          <w:spacing w:val="-4"/>
          <w:kern w:val="0"/>
          <w:sz w:val="28"/>
          <w:szCs w:val="28"/>
          <w:highlight w:val="none"/>
          <w:lang w:val="en-US" w:eastAsia="zh-CN" w:bidi="ar-SA"/>
        </w:rPr>
        <w:t>八、其它需要说明的事项</w:t>
      </w:r>
    </w:p>
    <w:p w14:paraId="3DD42E26">
      <w:pPr>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left"/>
        <w:textAlignment w:val="auto"/>
        <w:rPr>
          <w:rFonts w:hint="eastAsia" w:ascii="宋体" w:hAnsi="宋体" w:eastAsia="宋体" w:cs="宋体"/>
          <w:b w:val="0"/>
          <w:bCs w:val="0"/>
          <w:snapToGrid w:val="0"/>
          <w:color w:val="000000"/>
          <w:kern w:val="0"/>
          <w:sz w:val="21"/>
          <w:szCs w:val="21"/>
          <w:lang w:val="en-US" w:eastAsia="zh-CN"/>
        </w:rPr>
      </w:pPr>
      <w:r>
        <w:rPr>
          <w:rFonts w:hint="eastAsia" w:ascii="宋体" w:hAnsi="宋体" w:cs="宋体"/>
          <w:b w:val="0"/>
          <w:bCs w:val="0"/>
          <w:snapToGrid w:val="0"/>
          <w:color w:val="000000"/>
          <w:kern w:val="0"/>
          <w:sz w:val="21"/>
          <w:szCs w:val="21"/>
          <w:lang w:val="en-US" w:eastAsia="zh-CN"/>
        </w:rPr>
        <w:t>1.</w:t>
      </w:r>
      <w:r>
        <w:rPr>
          <w:rFonts w:hint="eastAsia" w:ascii="宋体" w:hAnsi="宋体" w:eastAsia="宋体" w:cs="宋体"/>
          <w:b w:val="0"/>
          <w:bCs w:val="0"/>
          <w:snapToGrid w:val="0"/>
          <w:color w:val="000000"/>
          <w:kern w:val="0"/>
          <w:sz w:val="21"/>
          <w:szCs w:val="21"/>
          <w:lang w:eastAsia="zh-CN"/>
        </w:rPr>
        <w:t>其它未尽事宜以政府采购合同协议书为准并按国家相关法律及行业标准执行。对于上述项目要求，</w:t>
      </w:r>
      <w:r>
        <w:rPr>
          <w:rFonts w:hint="eastAsia" w:ascii="宋体" w:hAnsi="宋体" w:eastAsia="宋体" w:cs="宋体"/>
          <w:b w:val="0"/>
          <w:bCs w:val="0"/>
          <w:snapToGrid w:val="0"/>
          <w:color w:val="000000"/>
          <w:kern w:val="0"/>
          <w:sz w:val="21"/>
          <w:szCs w:val="21"/>
          <w:lang w:val="en-US" w:eastAsia="zh-CN"/>
        </w:rPr>
        <w:t>供应商应在响应文件中进行实质性响应，提供相关资料并作出承诺，否则为无效投标。</w:t>
      </w:r>
    </w:p>
    <w:p w14:paraId="1F4802EC">
      <w:pPr>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left"/>
        <w:textAlignment w:val="auto"/>
        <w:rPr>
          <w:rFonts w:hint="eastAsia" w:ascii="宋体" w:hAnsi="宋体" w:cs="宋体"/>
          <w:b w:val="0"/>
          <w:bCs w:val="0"/>
          <w:snapToGrid w:val="0"/>
          <w:color w:val="000000"/>
          <w:kern w:val="0"/>
          <w:sz w:val="21"/>
          <w:szCs w:val="21"/>
          <w:lang w:val="en-US" w:eastAsia="zh-CN"/>
        </w:rPr>
      </w:pPr>
      <w:r>
        <w:rPr>
          <w:rFonts w:hint="eastAsia" w:ascii="宋体" w:hAnsi="宋体" w:cs="宋体"/>
          <w:b w:val="0"/>
          <w:bCs w:val="0"/>
          <w:snapToGrid w:val="0"/>
          <w:color w:val="000000"/>
          <w:kern w:val="0"/>
          <w:sz w:val="21"/>
          <w:szCs w:val="21"/>
          <w:lang w:val="en-US" w:eastAsia="zh-CN"/>
        </w:rPr>
        <w:t>2.</w:t>
      </w:r>
      <w:r>
        <w:rPr>
          <w:rFonts w:hint="eastAsia" w:ascii="宋体" w:hAnsi="宋体" w:cs="宋体"/>
          <w:b/>
          <w:bCs/>
          <w:snapToGrid w:val="0"/>
          <w:color w:val="000000"/>
          <w:kern w:val="0"/>
          <w:sz w:val="21"/>
          <w:szCs w:val="21"/>
          <w:lang w:val="en-US" w:eastAsia="zh-CN"/>
        </w:rPr>
        <w:t>项目验收时如发现成交人所提供的产品与投标文件不一致或与递交的证明材料不一致，将视为虚假应标，采购人采购人有权废除供应商中标资格并按照“供应商提供虚假材料谋取中标”如实向政府采购监管部门报告。</w:t>
      </w:r>
    </w:p>
    <w:p w14:paraId="7FAF1BBD">
      <w:pPr>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left"/>
        <w:textAlignment w:val="auto"/>
        <w:rPr>
          <w:rFonts w:hint="default" w:ascii="宋体" w:hAnsi="宋体" w:eastAsia="宋体" w:cs="宋体"/>
          <w:b w:val="0"/>
          <w:bCs w:val="0"/>
          <w:snapToGrid w:val="0"/>
          <w:color w:val="000000"/>
          <w:kern w:val="0"/>
          <w:sz w:val="21"/>
          <w:szCs w:val="21"/>
          <w:lang w:val="en-US" w:eastAsia="zh-CN"/>
        </w:rPr>
      </w:pPr>
      <w:r>
        <w:rPr>
          <w:rFonts w:hint="eastAsia" w:ascii="宋体" w:hAnsi="宋体" w:eastAsia="宋体" w:cs="宋体"/>
          <w:b w:val="0"/>
          <w:bCs w:val="0"/>
          <w:snapToGrid w:val="0"/>
          <w:color w:val="000000"/>
          <w:kern w:val="0"/>
          <w:sz w:val="21"/>
          <w:szCs w:val="21"/>
          <w:lang w:val="en-US" w:eastAsia="zh-CN"/>
        </w:rPr>
        <w:t>3.</w:t>
      </w:r>
      <w:r>
        <w:rPr>
          <w:rFonts w:hint="eastAsia" w:ascii="宋体" w:hAnsi="宋体" w:eastAsia="宋体" w:cs="宋体"/>
          <w:b/>
          <w:bCs/>
          <w:snapToGrid w:val="0"/>
          <w:color w:val="000000"/>
          <w:kern w:val="0"/>
          <w:sz w:val="21"/>
          <w:szCs w:val="21"/>
          <w:lang w:val="en-US" w:eastAsia="zh-CN"/>
        </w:rPr>
        <w:t>对于上述项目要求，投标人应在投标文件中进行逐条响应。</w:t>
      </w:r>
    </w:p>
    <w:p w14:paraId="0965B630">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4B09C6"/>
    <w:multiLevelType w:val="singleLevel"/>
    <w:tmpl w:val="A54B09C6"/>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E12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2026-10-27T08:15:46Z</dcterms:created>
  <dc:creator>Administrator</dc:creator>
  <cp:lastModifiedBy>商伟</cp:lastModifiedBy>
  <dcterms:modified xsi:type="dcterms:W3CDTF">2026-10-27T08:15:50Z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eyJoZGlkIjoiNDg3YTIyN2ZjYTViZmY5ZmY5NWY0ODMwZTVjNTg2OWIiLCJ1c2VySWQiOiIxNTU4MDg4MDg0In0=</vt:lpwstr>
  </property>
  <property fmtid="{D5CDD505-2E9C-101B-9397-08002B2CF9AE}" pid="4" name="ICV">
    <vt:lpwstr>16B456F0BCA64D159253F572F879526B_12</vt:lpwstr>
  </property>
</Properties>
</file>