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E42458">
      <w:pPr>
        <w:pStyle w:val="2"/>
        <w:rPr>
          <w:rFonts w:hint="eastAsia"/>
          <w:color w:val="auto"/>
          <w:highlight w:val="none"/>
          <w:lang w:val="en-US" w:eastAsia="zh-CN"/>
        </w:rPr>
      </w:pPr>
      <w:r>
        <w:rPr>
          <w:rFonts w:hint="eastAsia"/>
          <w:color w:val="auto"/>
          <w:highlight w:val="none"/>
          <w:lang w:val="en-US" w:eastAsia="zh-CN"/>
        </w:rPr>
        <w:t>采购需求</w:t>
      </w:r>
    </w:p>
    <w:p w14:paraId="5905DD80">
      <w:pPr>
        <w:pStyle w:val="8"/>
        <w:spacing w:before="78"/>
        <w:ind w:firstLine="482"/>
        <w:rPr>
          <w:b/>
          <w:bCs/>
          <w:color w:val="auto"/>
          <w:highlight w:val="none"/>
        </w:rPr>
      </w:pPr>
      <w:r>
        <w:rPr>
          <w:b/>
          <w:bCs/>
          <w:color w:val="auto"/>
          <w:highlight w:val="none"/>
        </w:rPr>
        <w:t>前注：</w:t>
      </w:r>
    </w:p>
    <w:p w14:paraId="1CC712C0">
      <w:pPr>
        <w:pStyle w:val="8"/>
        <w:spacing w:before="78"/>
        <w:ind w:firstLine="480"/>
        <w:rPr>
          <w:color w:val="auto"/>
          <w:highlight w:val="none"/>
        </w:rPr>
      </w:pPr>
      <w:r>
        <w:rPr>
          <w:rFonts w:hint="eastAsia"/>
          <w:color w:val="auto"/>
          <w:highlight w:val="none"/>
        </w:rPr>
        <w:t>下列采购需求</w:t>
      </w:r>
      <w:r>
        <w:rPr>
          <w:rFonts w:hint="eastAsia"/>
          <w:color w:val="auto"/>
          <w:highlight w:val="none"/>
          <w:lang w:eastAsia="zh-CN"/>
        </w:rPr>
        <w:t>供应商</w:t>
      </w:r>
      <w:r>
        <w:rPr>
          <w:rFonts w:hint="eastAsia"/>
          <w:color w:val="auto"/>
          <w:highlight w:val="none"/>
        </w:rPr>
        <w:t>必须完全响应，未按要求响应，视为实质性偏离，其</w:t>
      </w:r>
      <w:r>
        <w:rPr>
          <w:rFonts w:hint="eastAsia"/>
          <w:color w:val="auto"/>
          <w:highlight w:val="none"/>
          <w:lang w:val="en-US" w:eastAsia="zh-CN"/>
        </w:rPr>
        <w:t>响应</w:t>
      </w:r>
      <w:r>
        <w:rPr>
          <w:rFonts w:hint="eastAsia"/>
          <w:color w:val="auto"/>
          <w:highlight w:val="none"/>
        </w:rPr>
        <w:t>无效。</w:t>
      </w:r>
    </w:p>
    <w:p w14:paraId="5552388B">
      <w:pPr>
        <w:pStyle w:val="3"/>
        <w:pageBreakBefore w:val="0"/>
        <w:numPr>
          <w:ilvl w:val="0"/>
          <w:numId w:val="0"/>
        </w:numPr>
        <w:kinsoku/>
        <w:wordWrap/>
        <w:overflowPunct/>
        <w:topLinePunct w:val="0"/>
        <w:autoSpaceDE/>
        <w:autoSpaceDN/>
        <w:bidi w:val="0"/>
        <w:adjustRightInd/>
        <w:snapToGrid/>
        <w:spacing w:line="440" w:lineRule="exact"/>
        <w:ind w:leftChars="200"/>
        <w:textAlignment w:val="auto"/>
        <w:outlineLvl w:val="1"/>
        <w:rPr>
          <w:rFonts w:hint="eastAsia"/>
          <w:color w:val="auto"/>
          <w:lang w:eastAsia="zh-CN"/>
        </w:rPr>
      </w:pPr>
      <w:bookmarkStart w:id="0" w:name="_Toc26034"/>
      <w:r>
        <w:rPr>
          <w:rFonts w:hint="eastAsia" w:ascii="Arial" w:hAnsi="Arial" w:eastAsia="黑体" w:cs="Times New Roman"/>
          <w:color w:val="auto"/>
          <w:kern w:val="2"/>
          <w:sz w:val="30"/>
          <w:szCs w:val="24"/>
          <w:lang w:val="en-US" w:eastAsia="zh-CN" w:bidi="ar-SA"/>
        </w:rPr>
        <w:t>一、</w:t>
      </w:r>
      <w:bookmarkStart w:id="1" w:name="_Toc5734"/>
      <w:r>
        <w:rPr>
          <w:rFonts w:hint="eastAsia"/>
          <w:color w:val="auto"/>
          <w:lang w:eastAsia="zh-CN"/>
        </w:rPr>
        <w:t>项目概况</w:t>
      </w:r>
      <w:bookmarkEnd w:id="0"/>
      <w:bookmarkEnd w:id="1"/>
    </w:p>
    <w:p w14:paraId="26ABE729">
      <w:pPr>
        <w:pageBreakBefore w:val="0"/>
        <w:kinsoku/>
        <w:wordWrap/>
        <w:overflowPunct/>
        <w:topLinePunct w:val="0"/>
        <w:autoSpaceDE/>
        <w:autoSpaceDN/>
        <w:bidi w:val="0"/>
        <w:adjustRightInd/>
        <w:snapToGrid/>
        <w:spacing w:line="500" w:lineRule="exact"/>
        <w:ind w:firstLine="480" w:firstLineChars="200"/>
        <w:textAlignment w:val="auto"/>
        <w:rPr>
          <w:rFonts w:hint="eastAsia" w:ascii="Times New Roman" w:hAnsi="Times New Roman" w:eastAsia="宋体" w:cs="Times New Roman"/>
          <w:color w:val="auto"/>
          <w:kern w:val="2"/>
          <w:sz w:val="24"/>
          <w:szCs w:val="22"/>
          <w:lang w:val="en-US" w:eastAsia="zh-CN" w:bidi="ar-SA"/>
        </w:rPr>
      </w:pPr>
      <w:r>
        <w:rPr>
          <w:rFonts w:hint="eastAsia" w:ascii="宋体" w:hAnsi="宋体" w:eastAsia="宋体" w:cs="宋体"/>
          <w:color w:val="auto"/>
          <w:sz w:val="24"/>
          <w:szCs w:val="24"/>
          <w:lang w:eastAsia="zh-CN"/>
        </w:rPr>
        <w:t>本项目为张家界市公安局交通管理支队直属二大队物业管理服务采购项目，服务期限三年，位置坐落于武陵源区武陵大道东路</w:t>
      </w:r>
      <w:r>
        <w:rPr>
          <w:rFonts w:hint="eastAsia" w:ascii="宋体" w:hAnsi="宋体" w:eastAsia="宋体" w:cs="宋体"/>
          <w:color w:val="auto"/>
          <w:sz w:val="24"/>
          <w:szCs w:val="24"/>
          <w:lang w:val="en-US" w:eastAsia="zh-CN"/>
        </w:rPr>
        <w:t>98号</w:t>
      </w:r>
      <w:r>
        <w:rPr>
          <w:rFonts w:hint="eastAsia" w:ascii="宋体" w:hAnsi="宋体" w:eastAsia="宋体" w:cs="宋体"/>
          <w:color w:val="auto"/>
          <w:sz w:val="24"/>
          <w:szCs w:val="24"/>
          <w:lang w:eastAsia="zh-CN"/>
        </w:rPr>
        <w:t>。机关院内共有建筑物</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幢，其中行政办公楼（以下称为：忠诚楼）共有</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层，建筑面积</w:t>
      </w:r>
      <w:r>
        <w:rPr>
          <w:rFonts w:hint="eastAsia" w:ascii="宋体" w:hAnsi="宋体" w:eastAsia="宋体" w:cs="宋体"/>
          <w:color w:val="auto"/>
          <w:sz w:val="24"/>
          <w:szCs w:val="24"/>
          <w:lang w:val="en-US" w:eastAsia="zh-CN"/>
        </w:rPr>
        <w:t>1545.36㎡</w:t>
      </w:r>
      <w:r>
        <w:rPr>
          <w:rFonts w:hint="eastAsia" w:ascii="宋体" w:hAnsi="宋体" w:eastAsia="宋体" w:cs="宋体"/>
          <w:color w:val="auto"/>
          <w:sz w:val="24"/>
          <w:szCs w:val="24"/>
          <w:lang w:eastAsia="zh-CN"/>
        </w:rPr>
        <w:t>、综合办公楼（以下称为：畅安楼）共有</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lang w:eastAsia="zh-CN"/>
        </w:rPr>
        <w:t>层，建筑面积</w:t>
      </w:r>
      <w:r>
        <w:rPr>
          <w:rFonts w:hint="eastAsia" w:ascii="宋体" w:hAnsi="宋体" w:eastAsia="宋体" w:cs="宋体"/>
          <w:color w:val="auto"/>
          <w:sz w:val="24"/>
          <w:szCs w:val="24"/>
          <w:lang w:val="en-US" w:eastAsia="zh-CN"/>
        </w:rPr>
        <w:t>1982.5㎡</w:t>
      </w:r>
      <w:r>
        <w:rPr>
          <w:rFonts w:hint="eastAsia" w:ascii="宋体" w:hAnsi="宋体" w:eastAsia="宋体" w:cs="宋体"/>
          <w:color w:val="auto"/>
          <w:sz w:val="24"/>
          <w:szCs w:val="24"/>
          <w:lang w:eastAsia="zh-CN"/>
        </w:rPr>
        <w:t>、生活楼（以下称为：青年公寓）共有</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层，建筑面积</w:t>
      </w:r>
      <w:r>
        <w:rPr>
          <w:rFonts w:hint="eastAsia" w:ascii="宋体" w:hAnsi="宋体" w:eastAsia="宋体" w:cs="宋体"/>
          <w:color w:val="auto"/>
          <w:sz w:val="24"/>
          <w:szCs w:val="24"/>
          <w:lang w:val="en-US" w:eastAsia="zh-CN"/>
        </w:rPr>
        <w:t>580.55㎡</w:t>
      </w:r>
      <w:r>
        <w:rPr>
          <w:rFonts w:hint="eastAsia" w:ascii="宋体" w:hAnsi="宋体" w:eastAsia="宋体" w:cs="宋体"/>
          <w:color w:val="auto"/>
          <w:sz w:val="24"/>
          <w:szCs w:val="24"/>
          <w:lang w:eastAsia="zh-CN"/>
        </w:rPr>
        <w:t>。机关大院物业服务外包主要包括：保洁服务忠诚楼一层到三层、畅安楼（含门卫室）一层到四层、青年公寓一层到三层、前中后</w:t>
      </w:r>
      <w:r>
        <w:rPr>
          <w:rFonts w:hint="eastAsia" w:ascii="宋体" w:hAnsi="宋体" w:eastAsia="宋体" w:cs="宋体"/>
          <w:color w:val="auto"/>
          <w:sz w:val="24"/>
          <w:szCs w:val="24"/>
          <w:lang w:val="en-US" w:eastAsia="zh-CN"/>
        </w:rPr>
        <w:t>5处</w:t>
      </w:r>
      <w:r>
        <w:rPr>
          <w:rFonts w:hint="eastAsia" w:ascii="宋体" w:hAnsi="宋体" w:eastAsia="宋体" w:cs="宋体"/>
          <w:color w:val="auto"/>
          <w:sz w:val="24"/>
          <w:szCs w:val="24"/>
          <w:lang w:eastAsia="zh-CN"/>
        </w:rPr>
        <w:t>停车场等公共区域保洁、绿化（面积</w:t>
      </w:r>
      <w:r>
        <w:rPr>
          <w:rFonts w:hint="eastAsia" w:ascii="宋体" w:hAnsi="宋体" w:eastAsia="宋体" w:cs="宋体"/>
          <w:color w:val="auto"/>
          <w:sz w:val="24"/>
          <w:szCs w:val="24"/>
          <w:lang w:val="en-US" w:eastAsia="zh-CN"/>
        </w:rPr>
        <w:t>35㎡</w:t>
      </w:r>
      <w:r>
        <w:rPr>
          <w:rFonts w:hint="eastAsia" w:ascii="宋体" w:hAnsi="宋体" w:eastAsia="宋体" w:cs="宋体"/>
          <w:color w:val="auto"/>
          <w:sz w:val="24"/>
          <w:szCs w:val="24"/>
          <w:lang w:eastAsia="zh-CN"/>
        </w:rPr>
        <w:t>）养护、设施设备维护服务（大队整个机关大院设施设备维护及零星维修）、综合办公楼（畅安楼）大厅门岗及停车场秩序维护服务、涉案车辆管理等。综合管理服务面积</w:t>
      </w:r>
      <w:r>
        <w:rPr>
          <w:rFonts w:hint="eastAsia" w:ascii="宋体" w:hAnsi="宋体" w:eastAsia="宋体" w:cs="宋体"/>
          <w:color w:val="auto"/>
          <w:sz w:val="24"/>
          <w:szCs w:val="24"/>
          <w:lang w:val="en-US" w:eastAsia="zh-CN"/>
        </w:rPr>
        <w:t>4108.41</w:t>
      </w:r>
      <w:r>
        <w:rPr>
          <w:rFonts w:hint="eastAsia" w:ascii="Times New Roman" w:hAnsi="Times New Roman" w:eastAsia="宋体" w:cs="Times New Roman"/>
          <w:color w:val="auto"/>
          <w:kern w:val="2"/>
          <w:sz w:val="24"/>
          <w:szCs w:val="22"/>
          <w:lang w:val="en-US" w:eastAsia="zh-CN" w:bidi="ar-SA"/>
        </w:rPr>
        <w:t>㎡，公共区域（卫生保洁、安防服务、绿化养护、公共设施维护）面积4143.41㎡，楼内门岗值守面积3527.86㎡。</w:t>
      </w:r>
    </w:p>
    <w:p w14:paraId="07CB2F04">
      <w:pPr>
        <w:pageBreakBefore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宋体" w:cs="Times New Roman"/>
          <w:color w:val="auto"/>
          <w:kern w:val="2"/>
          <w:sz w:val="24"/>
          <w:szCs w:val="22"/>
          <w:lang w:val="en-US" w:eastAsia="zh-CN" w:bidi="ar-SA"/>
        </w:rPr>
      </w:pPr>
      <w:r>
        <w:rPr>
          <w:rFonts w:hint="default" w:ascii="Times New Roman" w:hAnsi="Times New Roman" w:eastAsia="宋体" w:cs="Times New Roman"/>
          <w:color w:val="auto"/>
          <w:kern w:val="2"/>
          <w:sz w:val="24"/>
          <w:szCs w:val="22"/>
          <w:lang w:val="en-US" w:eastAsia="zh-CN" w:bidi="ar-SA"/>
        </w:rPr>
        <w:t>采购人可提供的办公室</w:t>
      </w:r>
      <w:r>
        <w:rPr>
          <w:rFonts w:hint="eastAsia" w:ascii="Times New Roman" w:hAnsi="Times New Roman" w:eastAsia="宋体" w:cs="Times New Roman"/>
          <w:color w:val="auto"/>
          <w:kern w:val="2"/>
          <w:sz w:val="24"/>
          <w:szCs w:val="22"/>
          <w:lang w:val="en-US" w:eastAsia="zh-CN" w:bidi="ar-SA"/>
        </w:rPr>
        <w:t>1间</w:t>
      </w: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lang w:val="en-US" w:eastAsia="zh-CN" w:bidi="ar-SA"/>
        </w:rPr>
        <w:t>即畅安楼门卫室（一室一厕一厅，总面积29.69㎡）客厅，内有壁挂式空调1台，木质3人座沙发椅1把，铺有平绒坐套1副，铁质3人座沙发椅1把；铁质烤火架1个，木质桌板1个，铁皮柜架1个，门禁应用电脑1套、门禁遥控器1个，家属楼（不属于物业管理服务范围）后面扣留涉案车辆停车场监控应用显示器1台、监控录相机1台、鼠标1个，壁挂式自动体外除颤器1部，电视机1台；有线电视接收器1台；</w:t>
      </w:r>
    </w:p>
    <w:p w14:paraId="3F9531F2">
      <w:pPr>
        <w:pageBreakBefore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宋体" w:cs="Times New Roman"/>
          <w:color w:val="auto"/>
          <w:kern w:val="2"/>
          <w:sz w:val="24"/>
          <w:szCs w:val="22"/>
          <w:lang w:val="en-US" w:eastAsia="zh-CN" w:bidi="ar-SA"/>
        </w:rPr>
      </w:pPr>
      <w:r>
        <w:rPr>
          <w:rFonts w:hint="default" w:ascii="Times New Roman" w:hAnsi="Times New Roman" w:eastAsia="宋体" w:cs="Times New Roman"/>
          <w:color w:val="auto"/>
          <w:kern w:val="2"/>
          <w:sz w:val="24"/>
          <w:szCs w:val="22"/>
          <w:lang w:val="en-US" w:eastAsia="zh-CN" w:bidi="ar-SA"/>
        </w:rPr>
        <w:t>采购人可提供的食堂</w:t>
      </w:r>
      <w:r>
        <w:rPr>
          <w:rFonts w:hint="eastAsia" w:ascii="Times New Roman" w:hAnsi="Times New Roman" w:eastAsia="宋体" w:cs="Times New Roman"/>
          <w:color w:val="auto"/>
          <w:kern w:val="2"/>
          <w:sz w:val="24"/>
          <w:szCs w:val="22"/>
          <w:lang w:val="en-US" w:eastAsia="zh-CN" w:bidi="ar-SA"/>
        </w:rPr>
        <w:t>1处</w:t>
      </w: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lang w:val="en-US" w:eastAsia="zh-CN" w:bidi="ar-SA"/>
        </w:rPr>
        <w:t>即青年公寓1楼，</w:t>
      </w:r>
      <w:r>
        <w:rPr>
          <w:rFonts w:hint="default" w:ascii="Times New Roman" w:hAnsi="Times New Roman" w:eastAsia="宋体" w:cs="Times New Roman"/>
          <w:color w:val="auto"/>
          <w:kern w:val="2"/>
          <w:sz w:val="24"/>
          <w:szCs w:val="22"/>
          <w:lang w:val="en-US" w:eastAsia="zh-CN" w:bidi="ar-SA"/>
        </w:rPr>
        <w:t>餐费由供应商自理</w:t>
      </w:r>
      <w:r>
        <w:rPr>
          <w:rFonts w:hint="eastAsia" w:ascii="Times New Roman" w:hAnsi="Times New Roman" w:eastAsia="宋体" w:cs="Times New Roman"/>
          <w:color w:val="auto"/>
          <w:kern w:val="2"/>
          <w:sz w:val="24"/>
          <w:szCs w:val="22"/>
          <w:lang w:val="en-US" w:eastAsia="zh-CN" w:bidi="ar-SA"/>
        </w:rPr>
        <w:t>，用餐后扫码自付；</w:t>
      </w:r>
    </w:p>
    <w:p w14:paraId="5BD1B2F0">
      <w:pPr>
        <w:pageBreakBefore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宋体" w:cs="Times New Roman"/>
          <w:color w:val="auto"/>
          <w:kern w:val="2"/>
          <w:sz w:val="24"/>
          <w:szCs w:val="22"/>
          <w:lang w:val="en-US" w:eastAsia="zh-CN" w:bidi="ar-SA"/>
        </w:rPr>
      </w:pPr>
      <w:r>
        <w:rPr>
          <w:rFonts w:hint="default" w:ascii="Times New Roman" w:hAnsi="Times New Roman" w:eastAsia="宋体" w:cs="Times New Roman"/>
          <w:color w:val="auto"/>
          <w:kern w:val="2"/>
          <w:sz w:val="24"/>
          <w:szCs w:val="22"/>
          <w:lang w:val="en-US" w:eastAsia="zh-CN" w:bidi="ar-SA"/>
        </w:rPr>
        <w:t>采购人可提供的住宿</w:t>
      </w:r>
      <w:r>
        <w:rPr>
          <w:rFonts w:hint="eastAsia" w:ascii="Times New Roman" w:hAnsi="Times New Roman" w:eastAsia="宋体" w:cs="Times New Roman"/>
          <w:color w:val="auto"/>
          <w:kern w:val="2"/>
          <w:sz w:val="24"/>
          <w:szCs w:val="22"/>
          <w:lang w:val="en-US" w:eastAsia="zh-CN" w:bidi="ar-SA"/>
        </w:rPr>
        <w:t>房2间</w:t>
      </w:r>
      <w:r>
        <w:rPr>
          <w:rFonts w:hint="default"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lang w:val="en-US" w:eastAsia="zh-CN" w:bidi="ar-SA"/>
        </w:rPr>
        <w:t>1间为畅安楼门卫室（一室一厕一厅，总面积29.69㎡）内室，内有席梦思床位1个，床上用品由供应商自备，厕所里有壁挂式充电热水器1台，洗面盆1个，四门铁皮柜2个，单人椅1把，床头柜1个，两屉木桌1个；1间为忠诚楼1楼执法办案区空闲留置室，内有席梦思床位1个，床上用品由供应商自备；</w:t>
      </w:r>
    </w:p>
    <w:p w14:paraId="7C23AC91">
      <w:pPr>
        <w:pageBreakBefore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宋体" w:cs="Times New Roman"/>
          <w:color w:val="auto"/>
          <w:kern w:val="2"/>
          <w:sz w:val="24"/>
          <w:szCs w:val="22"/>
          <w:lang w:val="en-US" w:eastAsia="zh-CN" w:bidi="ar-SA"/>
        </w:rPr>
      </w:pPr>
      <w:r>
        <w:rPr>
          <w:rFonts w:hint="default" w:ascii="Times New Roman" w:hAnsi="Times New Roman" w:eastAsia="宋体" w:cs="Times New Roman"/>
          <w:color w:val="auto"/>
          <w:kern w:val="2"/>
          <w:sz w:val="24"/>
          <w:szCs w:val="22"/>
          <w:lang w:val="en-US" w:eastAsia="zh-CN" w:bidi="ar-SA"/>
        </w:rPr>
        <w:t>采购人可提供的低值易耗品</w:t>
      </w:r>
      <w:r>
        <w:rPr>
          <w:rFonts w:hint="eastAsia" w:ascii="Times New Roman" w:hAnsi="Times New Roman" w:eastAsia="宋体" w:cs="Times New Roman"/>
          <w:color w:val="auto"/>
          <w:kern w:val="2"/>
          <w:sz w:val="24"/>
          <w:szCs w:val="22"/>
          <w:lang w:val="en-US" w:eastAsia="zh-CN" w:bidi="ar-SA"/>
        </w:rPr>
        <w:t>：如一次性饮水纸杯、茶叶、蚊香、办公文具等；</w:t>
      </w:r>
    </w:p>
    <w:p w14:paraId="3602E03F">
      <w:pPr>
        <w:pageBreakBefore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宋体" w:cs="Times New Roman"/>
          <w:color w:val="auto"/>
          <w:kern w:val="2"/>
          <w:sz w:val="24"/>
          <w:szCs w:val="22"/>
          <w:lang w:val="en-US" w:eastAsia="zh-CN" w:bidi="ar-SA"/>
        </w:rPr>
      </w:pPr>
      <w:r>
        <w:rPr>
          <w:rFonts w:hint="default" w:ascii="Times New Roman" w:hAnsi="Times New Roman" w:eastAsia="宋体" w:cs="Times New Roman"/>
          <w:color w:val="auto"/>
          <w:kern w:val="2"/>
          <w:sz w:val="24"/>
          <w:szCs w:val="22"/>
          <w:lang w:val="en-US" w:eastAsia="zh-CN" w:bidi="ar-SA"/>
        </w:rPr>
        <w:t>采购人可提供的客耗品</w:t>
      </w:r>
      <w:r>
        <w:rPr>
          <w:rFonts w:hint="eastAsia" w:ascii="Times New Roman" w:hAnsi="Times New Roman" w:eastAsia="宋体" w:cs="Times New Roman"/>
          <w:color w:val="auto"/>
          <w:kern w:val="2"/>
          <w:sz w:val="24"/>
          <w:szCs w:val="22"/>
          <w:lang w:val="en-US" w:eastAsia="zh-CN" w:bidi="ar-SA"/>
        </w:rPr>
        <w:t>：如</w:t>
      </w:r>
      <w:r>
        <w:rPr>
          <w:rFonts w:hint="default" w:ascii="Times New Roman" w:hAnsi="Times New Roman" w:eastAsia="宋体" w:cs="Times New Roman"/>
          <w:color w:val="auto"/>
          <w:kern w:val="2"/>
          <w:sz w:val="24"/>
          <w:szCs w:val="22"/>
          <w:lang w:val="en-US" w:eastAsia="zh-CN" w:bidi="ar-SA"/>
        </w:rPr>
        <w:t>厕纸</w:t>
      </w:r>
      <w:r>
        <w:rPr>
          <w:rFonts w:hint="eastAsia" w:ascii="Times New Roman" w:hAnsi="Times New Roman" w:eastAsia="宋体" w:cs="Times New Roman"/>
          <w:color w:val="auto"/>
          <w:kern w:val="2"/>
          <w:sz w:val="24"/>
          <w:szCs w:val="22"/>
          <w:lang w:val="en-US" w:eastAsia="zh-CN" w:bidi="ar-SA"/>
        </w:rPr>
        <w:t>（仅畅安楼2楼和4楼公厕用）</w:t>
      </w:r>
      <w:r>
        <w:rPr>
          <w:rFonts w:hint="default" w:ascii="Times New Roman" w:hAnsi="Times New Roman" w:eastAsia="宋体" w:cs="Times New Roman"/>
          <w:color w:val="auto"/>
          <w:kern w:val="2"/>
          <w:sz w:val="24"/>
          <w:szCs w:val="22"/>
          <w:lang w:val="en-US" w:eastAsia="zh-CN" w:bidi="ar-SA"/>
        </w:rPr>
        <w:t>、擦手纸</w:t>
      </w:r>
      <w:r>
        <w:rPr>
          <w:rFonts w:hint="eastAsia" w:ascii="Times New Roman" w:hAnsi="Times New Roman" w:eastAsia="宋体" w:cs="Times New Roman"/>
          <w:color w:val="auto"/>
          <w:kern w:val="2"/>
          <w:sz w:val="24"/>
          <w:szCs w:val="22"/>
          <w:lang w:val="en-US" w:eastAsia="zh-CN" w:bidi="ar-SA"/>
        </w:rPr>
        <w:t>（仅忠诚楼3楼会议室需要用）、扫帚、拖把、撮箕、垃圾袋、洗洁精、洗衣粉、消毒液</w:t>
      </w:r>
      <w:r>
        <w:rPr>
          <w:rFonts w:hint="default" w:ascii="Times New Roman" w:hAnsi="Times New Roman" w:eastAsia="宋体" w:cs="Times New Roman"/>
          <w:color w:val="auto"/>
          <w:kern w:val="2"/>
          <w:sz w:val="24"/>
          <w:szCs w:val="22"/>
          <w:lang w:val="en-US" w:eastAsia="zh-CN" w:bidi="ar-SA"/>
        </w:rPr>
        <w:t>等</w:t>
      </w:r>
      <w:r>
        <w:rPr>
          <w:rFonts w:hint="eastAsia" w:ascii="Times New Roman" w:hAnsi="Times New Roman" w:eastAsia="宋体" w:cs="Times New Roman"/>
          <w:color w:val="auto"/>
          <w:kern w:val="2"/>
          <w:sz w:val="24"/>
          <w:szCs w:val="22"/>
          <w:lang w:val="en-US" w:eastAsia="zh-CN" w:bidi="ar-SA"/>
        </w:rPr>
        <w:t>保洁用品</w:t>
      </w:r>
      <w:r>
        <w:rPr>
          <w:rFonts w:hint="default" w:ascii="Times New Roman" w:hAnsi="Times New Roman" w:eastAsia="宋体" w:cs="Times New Roman"/>
          <w:color w:val="auto"/>
          <w:kern w:val="2"/>
          <w:sz w:val="24"/>
          <w:szCs w:val="22"/>
          <w:lang w:val="en-US" w:eastAsia="zh-CN" w:bidi="ar-SA"/>
        </w:rPr>
        <w:t>；</w:t>
      </w:r>
    </w:p>
    <w:p w14:paraId="56E95F16">
      <w:pPr>
        <w:pageBreakBefore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宋体" w:cs="Times New Roman"/>
          <w:color w:val="auto"/>
          <w:kern w:val="2"/>
          <w:sz w:val="24"/>
          <w:szCs w:val="22"/>
          <w:lang w:val="en-US" w:eastAsia="zh-CN" w:bidi="ar-SA"/>
        </w:rPr>
      </w:pPr>
      <w:r>
        <w:rPr>
          <w:rFonts w:hint="default" w:ascii="Times New Roman" w:hAnsi="Times New Roman" w:eastAsia="宋体" w:cs="Times New Roman"/>
          <w:color w:val="auto"/>
          <w:kern w:val="2"/>
          <w:sz w:val="24"/>
          <w:szCs w:val="22"/>
          <w:lang w:val="en-US" w:eastAsia="zh-CN" w:bidi="ar-SA"/>
        </w:rPr>
        <w:t>供应商应当承担除以上所列场地、设施、设备、材料外，与物业管理服务有关的其他场地、设施、设备、材料等。</w:t>
      </w:r>
    </w:p>
    <w:p w14:paraId="507822F8">
      <w:pPr>
        <w:rPr>
          <w:rFonts w:hint="eastAsia"/>
          <w:color w:val="auto"/>
          <w:lang w:eastAsia="zh-CN"/>
        </w:rPr>
      </w:pPr>
    </w:p>
    <w:p w14:paraId="092F2340">
      <w:pPr>
        <w:pStyle w:val="3"/>
        <w:pageBreakBefore w:val="0"/>
        <w:numPr>
          <w:ilvl w:val="0"/>
          <w:numId w:val="2"/>
        </w:numPr>
        <w:kinsoku/>
        <w:wordWrap/>
        <w:overflowPunct/>
        <w:topLinePunct w:val="0"/>
        <w:autoSpaceDE/>
        <w:autoSpaceDN/>
        <w:bidi w:val="0"/>
        <w:adjustRightInd/>
        <w:snapToGrid/>
        <w:spacing w:line="440" w:lineRule="exact"/>
        <w:ind w:firstLine="480" w:firstLineChars="200"/>
        <w:textAlignment w:val="auto"/>
        <w:outlineLvl w:val="1"/>
        <w:rPr>
          <w:rFonts w:hint="eastAsia"/>
          <w:color w:val="auto"/>
          <w:lang w:eastAsia="zh-CN"/>
        </w:rPr>
      </w:pPr>
      <w:bookmarkStart w:id="2" w:name="_Toc23714"/>
      <w:bookmarkStart w:id="3" w:name="_Toc6065"/>
      <w:r>
        <w:rPr>
          <w:rFonts w:hint="eastAsia"/>
          <w:color w:val="auto"/>
          <w:lang w:eastAsia="zh-CN"/>
        </w:rPr>
        <w:t>采购项目预（概）算</w:t>
      </w:r>
      <w:bookmarkEnd w:id="2"/>
      <w:bookmarkEnd w:id="3"/>
    </w:p>
    <w:p w14:paraId="64C40260">
      <w:pPr>
        <w:pStyle w:val="9"/>
        <w:pageBreakBefore w:val="0"/>
        <w:kinsoku/>
        <w:wordWrap/>
        <w:overflowPunct/>
        <w:topLinePunct w:val="0"/>
        <w:autoSpaceDE/>
        <w:autoSpaceDN/>
        <w:bidi w:val="0"/>
        <w:adjustRightInd/>
        <w:snapToGrid/>
        <w:spacing w:line="440" w:lineRule="exact"/>
        <w:ind w:firstLine="480" w:firstLineChars="200"/>
        <w:textAlignment w:val="auto"/>
        <w:rPr>
          <w:rFonts w:hint="default"/>
          <w:color w:val="auto"/>
          <w:u w:val="single"/>
          <w:lang w:val="en-US" w:eastAsia="zh-CN"/>
        </w:rPr>
      </w:pPr>
      <w:r>
        <w:rPr>
          <w:rFonts w:hint="eastAsia"/>
          <w:color w:val="auto"/>
          <w:lang w:eastAsia="zh-CN"/>
        </w:rPr>
        <w:t>总</w:t>
      </w:r>
      <w:r>
        <w:rPr>
          <w:rFonts w:hint="eastAsia"/>
          <w:color w:val="auto"/>
          <w:lang w:val="en-US" w:eastAsia="zh-CN"/>
        </w:rPr>
        <w:t xml:space="preserve"> </w:t>
      </w:r>
      <w:r>
        <w:rPr>
          <w:rFonts w:hint="eastAsia"/>
          <w:color w:val="auto"/>
          <w:lang w:eastAsia="zh-CN"/>
        </w:rPr>
        <w:t>预 算∶</w:t>
      </w:r>
      <w:r>
        <w:rPr>
          <w:rFonts w:hint="eastAsia" w:ascii="Times New Roman" w:hAnsi="Times New Roman" w:cs="Times New Roman"/>
          <w:color w:val="auto"/>
          <w:kern w:val="2"/>
          <w:sz w:val="24"/>
          <w:szCs w:val="22"/>
          <w:u w:val="single"/>
          <w:lang w:val="en-US" w:eastAsia="zh-CN" w:bidi="ar-SA"/>
        </w:rPr>
        <w:t>712860.00</w:t>
      </w:r>
      <w:r>
        <w:rPr>
          <w:rFonts w:hint="eastAsia" w:ascii="Times New Roman" w:hAnsi="Times New Roman" w:eastAsia="宋体" w:cs="Times New Roman"/>
          <w:color w:val="auto"/>
          <w:kern w:val="2"/>
          <w:sz w:val="24"/>
          <w:szCs w:val="22"/>
          <w:u w:val="single"/>
          <w:lang w:val="en-US" w:eastAsia="zh-CN" w:bidi="ar-SA"/>
        </w:rPr>
        <w:t>元</w:t>
      </w:r>
      <w:r>
        <w:rPr>
          <w:rFonts w:hint="eastAsia" w:ascii="Times New Roman" w:hAnsi="Times New Roman" w:cs="Times New Roman"/>
          <w:color w:val="auto"/>
          <w:kern w:val="2"/>
          <w:sz w:val="24"/>
          <w:szCs w:val="22"/>
          <w:u w:val="single"/>
          <w:lang w:val="en-US" w:eastAsia="zh-CN" w:bidi="ar-SA"/>
        </w:rPr>
        <w:t>（237620元/年）</w:t>
      </w:r>
    </w:p>
    <w:p w14:paraId="0A8A8E8D">
      <w:pPr>
        <w:pStyle w:val="3"/>
        <w:numPr>
          <w:ilvl w:val="0"/>
          <w:numId w:val="2"/>
        </w:numPr>
        <w:bidi w:val="0"/>
        <w:ind w:firstLine="480" w:firstLineChars="200"/>
        <w:outlineLvl w:val="1"/>
        <w:rPr>
          <w:rFonts w:hint="eastAsia"/>
          <w:color w:val="auto"/>
          <w:lang w:eastAsia="zh-CN"/>
        </w:rPr>
      </w:pPr>
      <w:bookmarkStart w:id="4" w:name="_Toc4938"/>
      <w:bookmarkStart w:id="5" w:name="_Toc8814"/>
      <w:r>
        <w:rPr>
          <w:rFonts w:hint="eastAsia"/>
          <w:color w:val="auto"/>
          <w:lang w:eastAsia="zh-CN"/>
        </w:rPr>
        <w:t>采购标的汇总表</w:t>
      </w:r>
      <w:bookmarkEnd w:id="4"/>
      <w:bookmarkEnd w:id="5"/>
    </w:p>
    <w:tbl>
      <w:tblPr>
        <w:tblStyle w:val="6"/>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701"/>
        <w:gridCol w:w="2227"/>
        <w:gridCol w:w="2125"/>
        <w:gridCol w:w="693"/>
        <w:gridCol w:w="735"/>
        <w:gridCol w:w="1158"/>
      </w:tblGrid>
      <w:tr w14:paraId="404C79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022" w:type="dxa"/>
            <w:tcBorders>
              <w:tl2br w:val="nil"/>
              <w:tr2bl w:val="nil"/>
            </w:tcBorders>
            <w:vAlign w:val="center"/>
          </w:tcPr>
          <w:p w14:paraId="6984ADC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lang w:eastAsia="zh-CN"/>
              </w:rPr>
            </w:pPr>
            <w:r>
              <w:rPr>
                <w:rFonts w:hint="eastAsia" w:ascii="微软雅黑" w:hAnsi="微软雅黑" w:eastAsia="微软雅黑" w:cs="微软雅黑"/>
                <w:b/>
                <w:bCs/>
                <w:color w:val="auto"/>
                <w:sz w:val="22"/>
                <w:szCs w:val="22"/>
                <w:lang w:eastAsia="zh-CN"/>
              </w:rPr>
              <w:t>包号</w:t>
            </w:r>
          </w:p>
        </w:tc>
        <w:tc>
          <w:tcPr>
            <w:tcW w:w="780" w:type="dxa"/>
            <w:tcBorders>
              <w:tl2br w:val="nil"/>
              <w:tr2bl w:val="nil"/>
            </w:tcBorders>
            <w:vAlign w:val="center"/>
          </w:tcPr>
          <w:p w14:paraId="538FEA5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lang w:eastAsia="zh-CN"/>
              </w:rPr>
            </w:pPr>
            <w:r>
              <w:rPr>
                <w:rFonts w:hint="eastAsia" w:ascii="微软雅黑" w:hAnsi="微软雅黑" w:eastAsia="微软雅黑" w:cs="微软雅黑"/>
                <w:b/>
                <w:bCs/>
                <w:color w:val="auto"/>
                <w:sz w:val="22"/>
                <w:szCs w:val="22"/>
                <w:lang w:eastAsia="zh-CN"/>
              </w:rPr>
              <w:t>序号</w:t>
            </w:r>
          </w:p>
        </w:tc>
        <w:tc>
          <w:tcPr>
            <w:tcW w:w="2820" w:type="dxa"/>
            <w:tcBorders>
              <w:tl2br w:val="nil"/>
              <w:tr2bl w:val="nil"/>
            </w:tcBorders>
            <w:vAlign w:val="center"/>
          </w:tcPr>
          <w:p w14:paraId="49E4F23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lang w:eastAsia="zh-CN"/>
              </w:rPr>
            </w:pPr>
            <w:r>
              <w:rPr>
                <w:rFonts w:hint="eastAsia" w:ascii="微软雅黑" w:hAnsi="微软雅黑" w:eastAsia="微软雅黑" w:cs="微软雅黑"/>
                <w:b/>
                <w:bCs/>
                <w:color w:val="auto"/>
                <w:sz w:val="22"/>
                <w:szCs w:val="22"/>
                <w:lang w:eastAsia="zh-CN"/>
              </w:rPr>
              <w:t>标的名称</w:t>
            </w:r>
          </w:p>
        </w:tc>
        <w:tc>
          <w:tcPr>
            <w:tcW w:w="2370" w:type="dxa"/>
            <w:tcBorders>
              <w:tl2br w:val="nil"/>
              <w:tr2bl w:val="nil"/>
            </w:tcBorders>
            <w:vAlign w:val="center"/>
          </w:tcPr>
          <w:p w14:paraId="0E5FE91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lang w:eastAsia="zh-CN"/>
              </w:rPr>
            </w:pPr>
            <w:r>
              <w:rPr>
                <w:rFonts w:hint="eastAsia" w:ascii="微软雅黑" w:hAnsi="微软雅黑" w:eastAsia="微软雅黑" w:cs="微软雅黑"/>
                <w:b/>
                <w:bCs/>
                <w:color w:val="auto"/>
                <w:sz w:val="22"/>
                <w:szCs w:val="22"/>
                <w:lang w:eastAsia="zh-CN"/>
              </w:rPr>
              <w:t>品目分类编码</w:t>
            </w:r>
          </w:p>
        </w:tc>
        <w:tc>
          <w:tcPr>
            <w:tcW w:w="720" w:type="dxa"/>
            <w:tcBorders>
              <w:tl2br w:val="nil"/>
              <w:tr2bl w:val="nil"/>
            </w:tcBorders>
            <w:vAlign w:val="center"/>
          </w:tcPr>
          <w:p w14:paraId="4F586C3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lang w:eastAsia="zh-CN"/>
              </w:rPr>
            </w:pPr>
            <w:r>
              <w:rPr>
                <w:rFonts w:hint="eastAsia" w:ascii="微软雅黑" w:hAnsi="微软雅黑" w:eastAsia="微软雅黑" w:cs="微软雅黑"/>
                <w:b/>
                <w:bCs/>
                <w:color w:val="auto"/>
                <w:sz w:val="22"/>
                <w:szCs w:val="22"/>
                <w:lang w:eastAsia="zh-CN"/>
              </w:rPr>
              <w:t>计量单位</w:t>
            </w:r>
          </w:p>
        </w:tc>
        <w:tc>
          <w:tcPr>
            <w:tcW w:w="826" w:type="dxa"/>
            <w:tcBorders>
              <w:tl2br w:val="nil"/>
              <w:tr2bl w:val="nil"/>
            </w:tcBorders>
            <w:vAlign w:val="center"/>
          </w:tcPr>
          <w:p w14:paraId="42C73E5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lang w:eastAsia="zh-CN"/>
              </w:rPr>
            </w:pPr>
            <w:r>
              <w:rPr>
                <w:rFonts w:hint="eastAsia" w:ascii="微软雅黑" w:hAnsi="微软雅黑" w:eastAsia="微软雅黑" w:cs="微软雅黑"/>
                <w:b/>
                <w:bCs/>
                <w:color w:val="auto"/>
                <w:sz w:val="22"/>
                <w:szCs w:val="22"/>
                <w:lang w:eastAsia="zh-CN"/>
              </w:rPr>
              <w:t>数量</w:t>
            </w:r>
          </w:p>
        </w:tc>
        <w:tc>
          <w:tcPr>
            <w:tcW w:w="1424" w:type="dxa"/>
            <w:tcBorders>
              <w:tl2br w:val="nil"/>
              <w:tr2bl w:val="nil"/>
            </w:tcBorders>
            <w:vAlign w:val="center"/>
          </w:tcPr>
          <w:p w14:paraId="384A357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lang w:eastAsia="zh-CN"/>
              </w:rPr>
            </w:pPr>
            <w:r>
              <w:rPr>
                <w:rFonts w:hint="eastAsia" w:ascii="微软雅黑" w:hAnsi="微软雅黑" w:eastAsia="微软雅黑" w:cs="微软雅黑"/>
                <w:b/>
                <w:bCs/>
                <w:color w:val="auto"/>
                <w:sz w:val="22"/>
                <w:szCs w:val="22"/>
                <w:lang w:eastAsia="zh-CN"/>
              </w:rPr>
              <w:t>是否进口</w:t>
            </w:r>
          </w:p>
        </w:tc>
      </w:tr>
      <w:tr w14:paraId="767F41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022" w:type="dxa"/>
            <w:tcBorders>
              <w:tl2br w:val="nil"/>
              <w:tr2bl w:val="nil"/>
            </w:tcBorders>
            <w:vAlign w:val="center"/>
          </w:tcPr>
          <w:p w14:paraId="6537765E">
            <w:pPr>
              <w:pStyle w:val="10"/>
              <w:keepNext w:val="0"/>
              <w:keepLines w:val="0"/>
              <w:pageBreakBefore w:val="0"/>
              <w:widowControl/>
              <w:numPr>
                <w:ilvl w:val="0"/>
                <w:numId w:val="0"/>
              </w:numPr>
              <w:kinsoku/>
              <w:wordWrap/>
              <w:overflowPunct/>
              <w:topLinePunct w:val="0"/>
              <w:autoSpaceDE/>
              <w:autoSpaceDN/>
              <w:bidi w:val="0"/>
              <w:adjustRightInd/>
              <w:snapToGrid/>
              <w:spacing w:line="300" w:lineRule="exact"/>
              <w:ind w:left="210" w:leftChars="100" w:right="-48" w:rightChars="-23" w:firstLine="0" w:firstLineChars="0"/>
              <w:jc w:val="center"/>
              <w:textAlignment w:val="auto"/>
              <w:rPr>
                <w:rFonts w:hint="default" w:ascii="微软雅黑" w:hAnsi="微软雅黑" w:eastAsia="微软雅黑" w:cs="微软雅黑"/>
                <w:b w:val="0"/>
                <w:bCs w:val="0"/>
                <w:color w:val="auto"/>
                <w:sz w:val="22"/>
                <w:szCs w:val="21"/>
                <w:vertAlign w:val="baseline"/>
                <w:lang w:val="en-US" w:eastAsia="zh-CN"/>
              </w:rPr>
            </w:pPr>
            <w:r>
              <w:rPr>
                <w:rFonts w:hint="eastAsia" w:ascii="微软雅黑" w:hAnsi="微软雅黑" w:cs="微软雅黑"/>
                <w:b w:val="0"/>
                <w:bCs w:val="0"/>
                <w:color w:val="auto"/>
                <w:sz w:val="22"/>
                <w:szCs w:val="21"/>
                <w:vertAlign w:val="baseline"/>
                <w:lang w:val="en-US" w:eastAsia="zh-CN"/>
              </w:rPr>
              <w:t>1</w:t>
            </w:r>
          </w:p>
        </w:tc>
        <w:tc>
          <w:tcPr>
            <w:tcW w:w="780" w:type="dxa"/>
            <w:tcBorders>
              <w:tl2br w:val="nil"/>
              <w:tr2bl w:val="nil"/>
            </w:tcBorders>
            <w:vAlign w:val="center"/>
          </w:tcPr>
          <w:p w14:paraId="11F34FF7">
            <w:pPr>
              <w:pStyle w:val="10"/>
              <w:keepNext w:val="0"/>
              <w:keepLines w:val="0"/>
              <w:pageBreakBefore w:val="0"/>
              <w:widowControl/>
              <w:numPr>
                <w:ilvl w:val="0"/>
                <w:numId w:val="0"/>
              </w:numPr>
              <w:kinsoku/>
              <w:wordWrap/>
              <w:overflowPunct/>
              <w:topLinePunct w:val="0"/>
              <w:autoSpaceDE/>
              <w:autoSpaceDN/>
              <w:bidi w:val="0"/>
              <w:adjustRightInd/>
              <w:snapToGrid/>
              <w:spacing w:line="300" w:lineRule="exact"/>
              <w:ind w:left="210" w:leftChars="100" w:right="-48" w:rightChars="-23" w:firstLine="0" w:firstLineChars="0"/>
              <w:jc w:val="both"/>
              <w:textAlignment w:val="auto"/>
              <w:rPr>
                <w:rFonts w:hint="eastAsia" w:ascii="微软雅黑" w:hAnsi="微软雅黑" w:eastAsia="微软雅黑" w:cs="微软雅黑"/>
                <w:b w:val="0"/>
                <w:bCs w:val="0"/>
                <w:color w:val="auto"/>
                <w:sz w:val="22"/>
                <w:szCs w:val="21"/>
                <w:vertAlign w:val="baseline"/>
                <w:lang w:eastAsia="zh-CN"/>
              </w:rPr>
            </w:pPr>
            <w:r>
              <w:rPr>
                <w:rFonts w:hint="eastAsia" w:ascii="Arial Narrow" w:hAnsi="Arial Narrow" w:eastAsia="宋体" w:cs="宋体"/>
                <w:color w:val="auto"/>
                <w:kern w:val="2"/>
                <w:sz w:val="24"/>
                <w:szCs w:val="22"/>
                <w:lang w:val="en-US" w:eastAsia="zh-CN" w:bidi="ar-SA"/>
              </w:rPr>
              <w:t>1</w:t>
            </w:r>
          </w:p>
        </w:tc>
        <w:tc>
          <w:tcPr>
            <w:tcW w:w="2820" w:type="dxa"/>
            <w:tcBorders>
              <w:tl2br w:val="nil"/>
              <w:tr2bl w:val="nil"/>
            </w:tcBorders>
            <w:vAlign w:val="center"/>
          </w:tcPr>
          <w:p w14:paraId="1DC6B9C4">
            <w:pPr>
              <w:pStyle w:val="10"/>
              <w:keepNext w:val="0"/>
              <w:keepLines w:val="0"/>
              <w:pageBreakBefore w:val="0"/>
              <w:widowControl/>
              <w:numPr>
                <w:ilvl w:val="0"/>
                <w:numId w:val="0"/>
              </w:numPr>
              <w:kinsoku/>
              <w:wordWrap/>
              <w:overflowPunct/>
              <w:topLinePunct w:val="0"/>
              <w:autoSpaceDE/>
              <w:autoSpaceDN/>
              <w:bidi w:val="0"/>
              <w:adjustRightInd/>
              <w:snapToGrid/>
              <w:spacing w:line="300" w:lineRule="exact"/>
              <w:ind w:left="210" w:leftChars="100" w:right="-48" w:rightChars="-23" w:firstLine="0" w:firstLineChars="0"/>
              <w:jc w:val="center"/>
              <w:textAlignment w:val="auto"/>
              <w:rPr>
                <w:rFonts w:hint="eastAsia" w:ascii="微软雅黑" w:hAnsi="微软雅黑" w:eastAsia="微软雅黑" w:cs="微软雅黑"/>
                <w:i/>
                <w:iCs/>
                <w:color w:val="auto"/>
                <w:u w:val="none"/>
                <w:lang w:eastAsia="zh-CN"/>
              </w:rPr>
            </w:pPr>
            <w:r>
              <w:rPr>
                <w:rFonts w:hint="eastAsia" w:ascii="Times New Roman" w:hAnsi="Times New Roman" w:eastAsia="宋体" w:cs="Times New Roman"/>
                <w:color w:val="auto"/>
                <w:kern w:val="2"/>
                <w:sz w:val="24"/>
                <w:szCs w:val="22"/>
                <w:lang w:val="en-US" w:eastAsia="zh-CN" w:bidi="ar-SA"/>
              </w:rPr>
              <w:t>张家界市公安局交通管理支队直属二大队物业管理服务采购项目</w:t>
            </w:r>
          </w:p>
        </w:tc>
        <w:tc>
          <w:tcPr>
            <w:tcW w:w="2370" w:type="dxa"/>
            <w:tcBorders>
              <w:tl2br w:val="nil"/>
              <w:tr2bl w:val="nil"/>
            </w:tcBorders>
            <w:vAlign w:val="center"/>
          </w:tcPr>
          <w:p w14:paraId="76F25CA6">
            <w:pPr>
              <w:pStyle w:val="10"/>
              <w:numPr>
                <w:ilvl w:val="0"/>
                <w:numId w:val="0"/>
              </w:numPr>
              <w:bidi w:val="0"/>
              <w:ind w:left="210" w:leftChars="100" w:right="-48" w:rightChars="-23" w:firstLine="0" w:firstLineChars="0"/>
              <w:jc w:val="center"/>
              <w:rPr>
                <w:rFonts w:hint="eastAsia" w:ascii="微软雅黑" w:hAnsi="微软雅黑" w:eastAsia="微软雅黑" w:cs="微软雅黑"/>
                <w:i/>
                <w:iCs/>
                <w:color w:val="auto"/>
                <w:u w:val="none"/>
                <w:lang w:eastAsia="zh-CN"/>
              </w:rPr>
            </w:pPr>
            <w:r>
              <w:rPr>
                <w:rFonts w:hint="eastAsia" w:ascii="Arial Narrow" w:hAnsi="Arial Narrow" w:eastAsia="宋体" w:cs="宋体"/>
                <w:color w:val="auto"/>
                <w:kern w:val="2"/>
                <w:sz w:val="24"/>
                <w:szCs w:val="22"/>
                <w:lang w:val="en-US" w:eastAsia="zh-CN" w:bidi="ar-SA"/>
              </w:rPr>
              <w:t>C21040000-物业管理服务</w:t>
            </w:r>
          </w:p>
        </w:tc>
        <w:tc>
          <w:tcPr>
            <w:tcW w:w="720" w:type="dxa"/>
            <w:tcBorders>
              <w:tl2br w:val="nil"/>
              <w:tr2bl w:val="nil"/>
            </w:tcBorders>
            <w:vAlign w:val="center"/>
          </w:tcPr>
          <w:p w14:paraId="47720F6A">
            <w:pPr>
              <w:pStyle w:val="10"/>
              <w:numPr>
                <w:ilvl w:val="0"/>
                <w:numId w:val="0"/>
              </w:numPr>
              <w:bidi w:val="0"/>
              <w:ind w:left="210" w:leftChars="100" w:right="-48" w:rightChars="-23" w:firstLine="0" w:firstLineChars="0"/>
              <w:rPr>
                <w:rFonts w:hint="eastAsia" w:ascii="微软雅黑" w:hAnsi="微软雅黑" w:eastAsia="微软雅黑" w:cs="微软雅黑"/>
                <w:i/>
                <w:iCs/>
                <w:color w:val="auto"/>
                <w:u w:val="none"/>
                <w:lang w:eastAsia="zh-CN"/>
              </w:rPr>
            </w:pPr>
            <w:r>
              <w:rPr>
                <w:rFonts w:hint="eastAsia" w:ascii="Arial Narrow" w:hAnsi="Arial Narrow" w:eastAsia="宋体" w:cs="宋体"/>
                <w:color w:val="auto"/>
                <w:kern w:val="2"/>
                <w:sz w:val="24"/>
                <w:szCs w:val="22"/>
                <w:lang w:val="en-US" w:eastAsia="zh-CN" w:bidi="ar-SA"/>
              </w:rPr>
              <w:t>年</w:t>
            </w:r>
          </w:p>
        </w:tc>
        <w:tc>
          <w:tcPr>
            <w:tcW w:w="826" w:type="dxa"/>
            <w:tcBorders>
              <w:tl2br w:val="nil"/>
              <w:tr2bl w:val="nil"/>
            </w:tcBorders>
            <w:vAlign w:val="center"/>
          </w:tcPr>
          <w:p w14:paraId="0BE96C43">
            <w:pPr>
              <w:pStyle w:val="10"/>
              <w:numPr>
                <w:ilvl w:val="0"/>
                <w:numId w:val="0"/>
              </w:numPr>
              <w:bidi w:val="0"/>
              <w:ind w:left="210" w:leftChars="100" w:right="-48" w:rightChars="-23" w:firstLine="0" w:firstLineChars="0"/>
              <w:rPr>
                <w:rFonts w:hint="eastAsia" w:ascii="微软雅黑" w:hAnsi="微软雅黑" w:eastAsia="微软雅黑" w:cs="微软雅黑"/>
                <w:i/>
                <w:iCs/>
                <w:color w:val="auto"/>
                <w:u w:val="none"/>
                <w:lang w:eastAsia="zh-CN"/>
              </w:rPr>
            </w:pPr>
            <w:r>
              <w:rPr>
                <w:rFonts w:hint="eastAsia" w:ascii="Arial Narrow" w:hAnsi="Arial Narrow" w:eastAsia="宋体" w:cs="宋体"/>
                <w:color w:val="auto"/>
                <w:kern w:val="2"/>
                <w:sz w:val="24"/>
                <w:szCs w:val="22"/>
                <w:lang w:val="en-US" w:eastAsia="zh-CN" w:bidi="ar-SA"/>
              </w:rPr>
              <w:t>3</w:t>
            </w:r>
          </w:p>
        </w:tc>
        <w:tc>
          <w:tcPr>
            <w:tcW w:w="1424" w:type="dxa"/>
            <w:tcBorders>
              <w:tl2br w:val="nil"/>
              <w:tr2bl w:val="nil"/>
            </w:tcBorders>
            <w:vAlign w:val="center"/>
          </w:tcPr>
          <w:p w14:paraId="53F6B8B2">
            <w:pPr>
              <w:pStyle w:val="10"/>
              <w:numPr>
                <w:ilvl w:val="0"/>
                <w:numId w:val="0"/>
              </w:numPr>
              <w:bidi w:val="0"/>
              <w:ind w:left="0" w:leftChars="0" w:right="-48" w:rightChars="-23" w:firstLine="0" w:firstLineChars="0"/>
              <w:jc w:val="center"/>
              <w:rPr>
                <w:rFonts w:hint="eastAsia" w:ascii="微软雅黑" w:hAnsi="微软雅黑" w:eastAsia="微软雅黑" w:cs="微软雅黑"/>
                <w:i/>
                <w:iCs/>
                <w:color w:val="auto"/>
                <w:u w:val="none"/>
                <w:lang w:eastAsia="zh-CN"/>
              </w:rPr>
            </w:pPr>
            <w:r>
              <w:rPr>
                <w:rFonts w:hint="eastAsia" w:ascii="Arial Narrow" w:hAnsi="Arial Narrow" w:eastAsia="宋体" w:cs="宋体"/>
                <w:color w:val="auto"/>
                <w:kern w:val="2"/>
                <w:sz w:val="24"/>
                <w:szCs w:val="22"/>
                <w:lang w:val="en-US" w:eastAsia="zh-CN" w:bidi="ar-SA"/>
              </w:rPr>
              <w:t>否</w:t>
            </w:r>
          </w:p>
        </w:tc>
      </w:tr>
    </w:tbl>
    <w:p w14:paraId="488E5BFE">
      <w:pPr>
        <w:rPr>
          <w:rFonts w:hint="eastAsia"/>
          <w:color w:val="auto"/>
          <w:lang w:eastAsia="zh-CN"/>
        </w:rPr>
      </w:pPr>
    </w:p>
    <w:p w14:paraId="4D91F3BA">
      <w:pPr>
        <w:pStyle w:val="3"/>
        <w:numPr>
          <w:ilvl w:val="0"/>
          <w:numId w:val="2"/>
        </w:numPr>
        <w:bidi w:val="0"/>
        <w:ind w:firstLine="480" w:firstLineChars="200"/>
        <w:outlineLvl w:val="1"/>
        <w:rPr>
          <w:rFonts w:hint="eastAsia"/>
          <w:color w:val="auto"/>
          <w:lang w:eastAsia="zh-CN"/>
        </w:rPr>
      </w:pPr>
      <w:bookmarkStart w:id="6" w:name="_Toc14075"/>
      <w:bookmarkStart w:id="7" w:name="_Toc5867"/>
      <w:r>
        <w:rPr>
          <w:rFonts w:hint="eastAsia"/>
          <w:color w:val="auto"/>
          <w:lang w:eastAsia="zh-CN"/>
        </w:rPr>
        <w:t>技术要求</w:t>
      </w:r>
      <w:bookmarkEnd w:id="6"/>
      <w:bookmarkEnd w:id="7"/>
    </w:p>
    <w:tbl>
      <w:tblPr>
        <w:tblStyle w:val="5"/>
        <w:tblW w:w="9983" w:type="dxa"/>
        <w:jc w:val="center"/>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Layout w:type="fixed"/>
        <w:tblCellMar>
          <w:top w:w="0" w:type="dxa"/>
          <w:left w:w="108" w:type="dxa"/>
          <w:bottom w:w="0" w:type="dxa"/>
          <w:right w:w="108" w:type="dxa"/>
        </w:tblCellMar>
      </w:tblPr>
      <w:tblGrid>
        <w:gridCol w:w="709"/>
        <w:gridCol w:w="490"/>
        <w:gridCol w:w="1108"/>
        <w:gridCol w:w="6341"/>
        <w:gridCol w:w="1335"/>
      </w:tblGrid>
      <w:tr w14:paraId="005D3F36">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645" w:hRule="atLeast"/>
          <w:tblHeader/>
          <w:jc w:val="center"/>
        </w:trPr>
        <w:tc>
          <w:tcPr>
            <w:tcW w:w="709" w:type="dxa"/>
            <w:tcBorders>
              <w:top w:val="double" w:color="auto" w:sz="4" w:space="0"/>
            </w:tcBorders>
            <w:shd w:val="clear" w:color="auto" w:fill="auto"/>
            <w:vAlign w:val="center"/>
          </w:tcPr>
          <w:p w14:paraId="38264F74">
            <w:pPr>
              <w:pStyle w:val="11"/>
              <w:rPr>
                <w:rFonts w:hint="eastAsia" w:ascii="宋体" w:hAnsi="宋体" w:eastAsia="宋体" w:cs="宋体"/>
                <w:bCs/>
                <w:color w:val="auto"/>
                <w:spacing w:val="0"/>
                <w:sz w:val="24"/>
                <w:szCs w:val="24"/>
                <w:highlight w:val="none"/>
              </w:rPr>
            </w:pPr>
            <w:r>
              <w:rPr>
                <w:rFonts w:hint="eastAsia" w:ascii="宋体" w:hAnsi="宋体" w:eastAsia="宋体" w:cs="宋体"/>
                <w:bCs/>
                <w:color w:val="auto"/>
                <w:spacing w:val="0"/>
                <w:sz w:val="24"/>
                <w:szCs w:val="24"/>
                <w:highlight w:val="none"/>
              </w:rPr>
              <w:t>序号</w:t>
            </w:r>
          </w:p>
        </w:tc>
        <w:tc>
          <w:tcPr>
            <w:tcW w:w="1598" w:type="dxa"/>
            <w:gridSpan w:val="2"/>
            <w:tcBorders>
              <w:top w:val="double" w:color="auto" w:sz="4" w:space="0"/>
            </w:tcBorders>
            <w:shd w:val="clear" w:color="auto" w:fill="auto"/>
            <w:vAlign w:val="center"/>
          </w:tcPr>
          <w:p w14:paraId="76B7F836">
            <w:pPr>
              <w:pStyle w:val="11"/>
              <w:rPr>
                <w:rFonts w:hint="eastAsia" w:ascii="宋体" w:hAnsi="宋体" w:eastAsia="宋体" w:cs="宋体"/>
                <w:bCs/>
                <w:color w:val="auto"/>
                <w:spacing w:val="0"/>
                <w:sz w:val="24"/>
                <w:szCs w:val="24"/>
                <w:highlight w:val="none"/>
              </w:rPr>
            </w:pPr>
            <w:r>
              <w:rPr>
                <w:rFonts w:hint="eastAsia" w:ascii="宋体" w:hAnsi="宋体" w:eastAsia="宋体" w:cs="宋体"/>
                <w:bCs/>
                <w:color w:val="auto"/>
                <w:spacing w:val="0"/>
                <w:sz w:val="24"/>
                <w:szCs w:val="24"/>
                <w:highlight w:val="none"/>
              </w:rPr>
              <w:t>名称</w:t>
            </w:r>
          </w:p>
        </w:tc>
        <w:tc>
          <w:tcPr>
            <w:tcW w:w="6341" w:type="dxa"/>
            <w:tcBorders>
              <w:top w:val="double" w:color="auto" w:sz="4" w:space="0"/>
            </w:tcBorders>
            <w:shd w:val="clear" w:color="auto" w:fill="auto"/>
            <w:vAlign w:val="center"/>
          </w:tcPr>
          <w:p w14:paraId="3EC6A0C4">
            <w:pPr>
              <w:pStyle w:val="11"/>
              <w:rPr>
                <w:rFonts w:hint="eastAsia" w:ascii="宋体" w:hAnsi="宋体" w:eastAsia="宋体" w:cs="宋体"/>
                <w:bCs/>
                <w:color w:val="auto"/>
                <w:spacing w:val="0"/>
                <w:sz w:val="24"/>
                <w:szCs w:val="24"/>
                <w:highlight w:val="none"/>
              </w:rPr>
            </w:pPr>
            <w:r>
              <w:rPr>
                <w:rFonts w:hint="eastAsia" w:ascii="宋体" w:hAnsi="宋体" w:eastAsia="宋体" w:cs="宋体"/>
                <w:bCs/>
                <w:color w:val="auto"/>
                <w:spacing w:val="0"/>
                <w:sz w:val="24"/>
                <w:szCs w:val="24"/>
                <w:highlight w:val="none"/>
              </w:rPr>
              <w:t>服务技术要求</w:t>
            </w:r>
          </w:p>
        </w:tc>
        <w:tc>
          <w:tcPr>
            <w:tcW w:w="1335" w:type="dxa"/>
            <w:tcBorders>
              <w:top w:val="double" w:color="auto" w:sz="4" w:space="0"/>
            </w:tcBorders>
            <w:shd w:val="clear" w:color="auto" w:fill="auto"/>
            <w:vAlign w:val="center"/>
          </w:tcPr>
          <w:p w14:paraId="05234227">
            <w:pPr>
              <w:pStyle w:val="11"/>
              <w:rPr>
                <w:rFonts w:hint="eastAsia" w:ascii="宋体" w:hAnsi="宋体" w:eastAsia="宋体" w:cs="宋体"/>
                <w:bCs/>
                <w:color w:val="auto"/>
                <w:spacing w:val="0"/>
                <w:sz w:val="24"/>
                <w:szCs w:val="24"/>
                <w:highlight w:val="none"/>
              </w:rPr>
            </w:pPr>
            <w:r>
              <w:rPr>
                <w:rFonts w:hint="eastAsia" w:ascii="宋体" w:hAnsi="宋体" w:eastAsia="宋体" w:cs="宋体"/>
                <w:bCs/>
                <w:color w:val="auto"/>
                <w:spacing w:val="0"/>
                <w:sz w:val="24"/>
                <w:szCs w:val="24"/>
                <w:highlight w:val="none"/>
              </w:rPr>
              <w:t>备注</w:t>
            </w:r>
          </w:p>
        </w:tc>
      </w:tr>
      <w:tr w14:paraId="4D8F8933">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490" w:hRule="atLeast"/>
          <w:jc w:val="center"/>
        </w:trPr>
        <w:tc>
          <w:tcPr>
            <w:tcW w:w="709" w:type="dxa"/>
            <w:shd w:val="clear" w:color="auto" w:fill="auto"/>
            <w:vAlign w:val="center"/>
          </w:tcPr>
          <w:p w14:paraId="59A8B6B8">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vMerge w:val="restart"/>
            <w:shd w:val="clear" w:color="auto" w:fill="auto"/>
            <w:vAlign w:val="center"/>
          </w:tcPr>
          <w:p w14:paraId="0D6FF694">
            <w:pPr>
              <w:pStyle w:val="12"/>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项目总体服务内容及目标</w:t>
            </w:r>
          </w:p>
        </w:tc>
        <w:tc>
          <w:tcPr>
            <w:tcW w:w="6341" w:type="dxa"/>
            <w:shd w:val="clear" w:color="auto" w:fill="auto"/>
            <w:vAlign w:val="center"/>
          </w:tcPr>
          <w:p w14:paraId="17C80C49">
            <w:pPr>
              <w:pStyle w:val="12"/>
              <w:ind w:firstLine="360" w:firstLineChars="150"/>
              <w:jc w:val="both"/>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rPr>
              <w:t>服务内容：保洁</w:t>
            </w:r>
            <w:r>
              <w:rPr>
                <w:rFonts w:hint="eastAsia" w:ascii="宋体" w:hAnsi="宋体" w:eastAsia="宋体" w:cs="宋体"/>
                <w:color w:val="auto"/>
                <w:spacing w:val="0"/>
                <w:sz w:val="24"/>
                <w:szCs w:val="24"/>
                <w:highlight w:val="none"/>
                <w:lang w:eastAsia="zh-CN"/>
              </w:rPr>
              <w:t>服务</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绿化养护、</w:t>
            </w:r>
            <w:r>
              <w:rPr>
                <w:rFonts w:hint="eastAsia" w:ascii="宋体" w:hAnsi="宋体" w:eastAsia="宋体" w:cs="宋体"/>
                <w:color w:val="auto"/>
                <w:spacing w:val="0"/>
                <w:sz w:val="24"/>
                <w:szCs w:val="24"/>
                <w:highlight w:val="none"/>
              </w:rPr>
              <w:t>设施设备维护、</w:t>
            </w:r>
            <w:r>
              <w:rPr>
                <w:rFonts w:hint="eastAsia" w:ascii="宋体" w:hAnsi="宋体" w:eastAsia="宋体" w:cs="宋体"/>
                <w:color w:val="auto"/>
                <w:spacing w:val="0"/>
                <w:sz w:val="24"/>
                <w:szCs w:val="24"/>
                <w:highlight w:val="none"/>
                <w:lang w:eastAsia="zh-CN"/>
              </w:rPr>
              <w:t>内部安保服务、</w:t>
            </w:r>
            <w:r>
              <w:rPr>
                <w:rFonts w:hint="eastAsia" w:ascii="宋体" w:hAnsi="宋体" w:eastAsia="宋体" w:cs="宋体"/>
                <w:color w:val="auto"/>
                <w:spacing w:val="0"/>
                <w:sz w:val="24"/>
                <w:szCs w:val="24"/>
                <w:highlight w:val="none"/>
                <w:lang w:val="en-US" w:eastAsia="zh-CN"/>
              </w:rPr>
              <w:t>涉案车辆管理</w:t>
            </w:r>
            <w:r>
              <w:rPr>
                <w:rFonts w:hint="eastAsia" w:ascii="宋体" w:hAnsi="宋体" w:eastAsia="宋体" w:cs="宋体"/>
                <w:color w:val="auto"/>
                <w:sz w:val="24"/>
                <w:szCs w:val="24"/>
                <w:lang w:eastAsia="zh-CN"/>
              </w:rPr>
              <w:t>等</w:t>
            </w:r>
            <w:r>
              <w:rPr>
                <w:rFonts w:hint="eastAsia" w:ascii="宋体" w:hAnsi="宋体" w:eastAsia="宋体" w:cs="宋体"/>
                <w:color w:val="auto"/>
                <w:spacing w:val="0"/>
                <w:sz w:val="24"/>
                <w:szCs w:val="24"/>
                <w:highlight w:val="none"/>
                <w:lang w:eastAsia="zh-CN"/>
              </w:rPr>
              <w:t>。</w:t>
            </w:r>
          </w:p>
        </w:tc>
        <w:tc>
          <w:tcPr>
            <w:tcW w:w="1335" w:type="dxa"/>
            <w:shd w:val="clear" w:color="auto" w:fill="auto"/>
            <w:vAlign w:val="center"/>
          </w:tcPr>
          <w:p w14:paraId="2F321FAA">
            <w:pPr>
              <w:pStyle w:val="12"/>
              <w:rPr>
                <w:rFonts w:hint="eastAsia" w:ascii="宋体" w:hAnsi="宋体" w:eastAsia="宋体" w:cs="宋体"/>
                <w:color w:val="auto"/>
                <w:spacing w:val="0"/>
                <w:sz w:val="24"/>
                <w:szCs w:val="24"/>
                <w:highlight w:val="none"/>
              </w:rPr>
            </w:pPr>
          </w:p>
        </w:tc>
      </w:tr>
      <w:tr w14:paraId="1F93C7D4">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931" w:hRule="atLeast"/>
          <w:jc w:val="center"/>
        </w:trPr>
        <w:tc>
          <w:tcPr>
            <w:tcW w:w="709" w:type="dxa"/>
            <w:shd w:val="clear" w:color="auto" w:fill="auto"/>
            <w:vAlign w:val="center"/>
          </w:tcPr>
          <w:p w14:paraId="0742880A">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vMerge w:val="continue"/>
            <w:shd w:val="clear" w:color="auto" w:fill="auto"/>
            <w:vAlign w:val="center"/>
          </w:tcPr>
          <w:p w14:paraId="3B697851">
            <w:pPr>
              <w:pStyle w:val="12"/>
              <w:jc w:val="center"/>
              <w:rPr>
                <w:rFonts w:hint="eastAsia" w:ascii="宋体" w:hAnsi="宋体" w:eastAsia="宋体" w:cs="宋体"/>
                <w:color w:val="auto"/>
                <w:spacing w:val="0"/>
                <w:sz w:val="24"/>
                <w:szCs w:val="24"/>
                <w:highlight w:val="none"/>
              </w:rPr>
            </w:pPr>
          </w:p>
        </w:tc>
        <w:tc>
          <w:tcPr>
            <w:tcW w:w="6341" w:type="dxa"/>
            <w:shd w:val="clear" w:color="auto" w:fill="auto"/>
            <w:vAlign w:val="center"/>
          </w:tcPr>
          <w:p w14:paraId="72AA4FE6">
            <w:pPr>
              <w:pStyle w:val="12"/>
              <w:ind w:firstLine="360" w:firstLineChars="15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质量要求：</w:t>
            </w:r>
          </w:p>
          <w:p w14:paraId="55EBA859">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1</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“客户至上，服务第一”的服务宗旨，提供热情、规范、专业的服务，最大限度地满足采购人的服务要求。</w:t>
            </w:r>
          </w:p>
          <w:p w14:paraId="7F3DFD40">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2</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积极主动与采购人联系，征求和听取不同</w:t>
            </w:r>
            <w:r>
              <w:rPr>
                <w:rFonts w:hint="eastAsia" w:ascii="宋体" w:hAnsi="宋体" w:eastAsia="宋体" w:cs="宋体"/>
                <w:color w:val="auto"/>
                <w:spacing w:val="0"/>
                <w:sz w:val="24"/>
                <w:szCs w:val="24"/>
                <w:highlight w:val="none"/>
                <w:lang w:eastAsia="zh-CN"/>
              </w:rPr>
              <w:t>科室</w:t>
            </w:r>
            <w:r>
              <w:rPr>
                <w:rFonts w:hint="eastAsia" w:ascii="宋体" w:hAnsi="宋体" w:eastAsia="宋体" w:cs="宋体"/>
                <w:color w:val="auto"/>
                <w:spacing w:val="0"/>
                <w:sz w:val="24"/>
                <w:szCs w:val="24"/>
                <w:highlight w:val="none"/>
              </w:rPr>
              <w:t>的意见，不断改进工作方法、工作作风和服务理念，项目服务处理及时率达到100%。</w:t>
            </w:r>
          </w:p>
          <w:p w14:paraId="64372DA7">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3</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严格保密制度，做好采购人相关工作的保密。</w:t>
            </w:r>
          </w:p>
        </w:tc>
        <w:tc>
          <w:tcPr>
            <w:tcW w:w="1335" w:type="dxa"/>
            <w:shd w:val="clear" w:color="auto" w:fill="auto"/>
            <w:vAlign w:val="center"/>
          </w:tcPr>
          <w:p w14:paraId="482EF31D">
            <w:pPr>
              <w:pStyle w:val="12"/>
              <w:rPr>
                <w:rFonts w:hint="eastAsia" w:ascii="宋体" w:hAnsi="宋体" w:eastAsia="宋体" w:cs="宋体"/>
                <w:color w:val="auto"/>
                <w:spacing w:val="0"/>
                <w:sz w:val="24"/>
                <w:szCs w:val="24"/>
                <w:highlight w:val="none"/>
              </w:rPr>
            </w:pPr>
          </w:p>
        </w:tc>
      </w:tr>
      <w:tr w14:paraId="6183E696">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483" w:hRule="atLeast"/>
          <w:jc w:val="center"/>
        </w:trPr>
        <w:tc>
          <w:tcPr>
            <w:tcW w:w="709" w:type="dxa"/>
            <w:shd w:val="clear" w:color="auto" w:fill="auto"/>
            <w:vAlign w:val="center"/>
          </w:tcPr>
          <w:p w14:paraId="0CA48F13">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vMerge w:val="continue"/>
            <w:shd w:val="clear" w:color="auto" w:fill="auto"/>
            <w:vAlign w:val="center"/>
          </w:tcPr>
          <w:p w14:paraId="684CD9EB">
            <w:pPr>
              <w:pStyle w:val="12"/>
              <w:jc w:val="center"/>
              <w:rPr>
                <w:rFonts w:hint="eastAsia" w:ascii="宋体" w:hAnsi="宋体" w:eastAsia="宋体" w:cs="宋体"/>
                <w:color w:val="auto"/>
                <w:spacing w:val="0"/>
                <w:sz w:val="24"/>
                <w:szCs w:val="24"/>
                <w:highlight w:val="none"/>
              </w:rPr>
            </w:pPr>
          </w:p>
        </w:tc>
        <w:tc>
          <w:tcPr>
            <w:tcW w:w="6341" w:type="dxa"/>
            <w:shd w:val="clear" w:color="auto" w:fill="auto"/>
            <w:vAlign w:val="center"/>
          </w:tcPr>
          <w:p w14:paraId="48572019">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服务目标：</w:t>
            </w:r>
          </w:p>
          <w:p w14:paraId="2508DBA0">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高质量保障</w:t>
            </w:r>
            <w:r>
              <w:rPr>
                <w:rFonts w:hint="eastAsia" w:ascii="宋体" w:hAnsi="宋体" w:eastAsia="宋体" w:cs="宋体"/>
                <w:color w:val="auto"/>
                <w:spacing w:val="0"/>
                <w:sz w:val="24"/>
                <w:szCs w:val="24"/>
                <w:highlight w:val="none"/>
                <w:lang w:eastAsia="zh-CN"/>
              </w:rPr>
              <w:t>张家界市公安局交通管理支队直属二大队</w:t>
            </w:r>
            <w:r>
              <w:rPr>
                <w:rFonts w:hint="eastAsia" w:ascii="宋体" w:hAnsi="宋体" w:eastAsia="宋体" w:cs="宋体"/>
                <w:color w:val="auto"/>
                <w:spacing w:val="0"/>
                <w:sz w:val="24"/>
                <w:szCs w:val="24"/>
                <w:highlight w:val="none"/>
              </w:rPr>
              <w:t>机关大院保洁服务工作，高标准做好</w:t>
            </w:r>
            <w:r>
              <w:rPr>
                <w:rFonts w:hint="eastAsia" w:ascii="宋体" w:hAnsi="宋体" w:eastAsia="宋体" w:cs="宋体"/>
                <w:color w:val="auto"/>
                <w:spacing w:val="0"/>
                <w:sz w:val="24"/>
                <w:szCs w:val="24"/>
                <w:highlight w:val="none"/>
                <w:lang w:eastAsia="zh-CN"/>
              </w:rPr>
              <w:t>大队</w:t>
            </w:r>
            <w:r>
              <w:rPr>
                <w:rFonts w:hint="eastAsia" w:ascii="宋体" w:hAnsi="宋体" w:eastAsia="宋体" w:cs="宋体"/>
                <w:color w:val="auto"/>
                <w:spacing w:val="0"/>
                <w:sz w:val="24"/>
                <w:szCs w:val="24"/>
                <w:highlight w:val="none"/>
                <w:lang w:val="en-US" w:eastAsia="zh-CN"/>
              </w:rPr>
              <w:t>保洁服务、绿化养护、</w:t>
            </w:r>
            <w:r>
              <w:rPr>
                <w:rFonts w:hint="eastAsia" w:ascii="宋体" w:hAnsi="宋体" w:eastAsia="宋体" w:cs="宋体"/>
                <w:color w:val="auto"/>
                <w:spacing w:val="0"/>
                <w:sz w:val="24"/>
                <w:szCs w:val="24"/>
                <w:highlight w:val="none"/>
              </w:rPr>
              <w:t>设施设备维护、</w:t>
            </w:r>
            <w:r>
              <w:rPr>
                <w:rFonts w:hint="eastAsia" w:ascii="宋体" w:hAnsi="宋体" w:eastAsia="宋体" w:cs="宋体"/>
                <w:color w:val="auto"/>
                <w:spacing w:val="0"/>
                <w:sz w:val="24"/>
                <w:szCs w:val="24"/>
                <w:highlight w:val="none"/>
                <w:lang w:eastAsia="zh-CN"/>
              </w:rPr>
              <w:t>大队</w:t>
            </w:r>
            <w:r>
              <w:rPr>
                <w:rFonts w:hint="eastAsia" w:ascii="宋体" w:hAnsi="宋体" w:eastAsia="宋体" w:cs="宋体"/>
                <w:color w:val="auto"/>
                <w:spacing w:val="0"/>
                <w:sz w:val="24"/>
                <w:szCs w:val="24"/>
                <w:highlight w:val="none"/>
              </w:rPr>
              <w:t>内部安保服务</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涉案车辆管理</w:t>
            </w:r>
            <w:r>
              <w:rPr>
                <w:rFonts w:hint="eastAsia" w:ascii="宋体" w:hAnsi="宋体" w:eastAsia="宋体" w:cs="宋体"/>
                <w:color w:val="auto"/>
                <w:spacing w:val="0"/>
                <w:sz w:val="24"/>
                <w:szCs w:val="24"/>
                <w:highlight w:val="none"/>
              </w:rPr>
              <w:t>等工作，确保机关正常有序安全运转。</w:t>
            </w:r>
          </w:p>
        </w:tc>
        <w:tc>
          <w:tcPr>
            <w:tcW w:w="1335" w:type="dxa"/>
            <w:shd w:val="clear" w:color="auto" w:fill="auto"/>
            <w:vAlign w:val="center"/>
          </w:tcPr>
          <w:p w14:paraId="1AB22741">
            <w:pPr>
              <w:pStyle w:val="12"/>
              <w:rPr>
                <w:rFonts w:hint="eastAsia" w:ascii="宋体" w:hAnsi="宋体" w:eastAsia="宋体" w:cs="宋体"/>
                <w:color w:val="auto"/>
                <w:spacing w:val="0"/>
                <w:sz w:val="24"/>
                <w:szCs w:val="24"/>
                <w:highlight w:val="none"/>
              </w:rPr>
            </w:pPr>
          </w:p>
        </w:tc>
      </w:tr>
      <w:tr w14:paraId="198C7746">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700" w:hRule="atLeast"/>
          <w:jc w:val="center"/>
        </w:trPr>
        <w:tc>
          <w:tcPr>
            <w:tcW w:w="709" w:type="dxa"/>
            <w:shd w:val="clear" w:color="auto" w:fill="auto"/>
            <w:vAlign w:val="center"/>
          </w:tcPr>
          <w:p w14:paraId="08A2B927">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restart"/>
            <w:shd w:val="clear" w:color="auto" w:fill="auto"/>
            <w:vAlign w:val="center"/>
          </w:tcPr>
          <w:p w14:paraId="4764A770">
            <w:pPr>
              <w:pStyle w:val="12"/>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管理</w:t>
            </w:r>
            <w:r>
              <w:rPr>
                <w:rFonts w:hint="eastAsia" w:ascii="宋体" w:hAnsi="宋体" w:eastAsia="宋体" w:cs="宋体"/>
                <w:color w:val="auto"/>
                <w:spacing w:val="0"/>
                <w:sz w:val="24"/>
                <w:szCs w:val="24"/>
                <w:highlight w:val="none"/>
              </w:rPr>
              <w:t>服务</w:t>
            </w:r>
          </w:p>
        </w:tc>
        <w:tc>
          <w:tcPr>
            <w:tcW w:w="1108" w:type="dxa"/>
            <w:shd w:val="clear" w:color="auto" w:fill="auto"/>
            <w:vAlign w:val="center"/>
          </w:tcPr>
          <w:p w14:paraId="4B660961">
            <w:pPr>
              <w:pStyle w:val="12"/>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主要内容</w:t>
            </w:r>
          </w:p>
        </w:tc>
        <w:tc>
          <w:tcPr>
            <w:tcW w:w="6341" w:type="dxa"/>
            <w:shd w:val="clear" w:color="auto" w:fill="auto"/>
            <w:vAlign w:val="center"/>
          </w:tcPr>
          <w:p w14:paraId="75B76F43">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客户物业档案管理，包括</w:t>
            </w:r>
            <w:r>
              <w:rPr>
                <w:rFonts w:hint="eastAsia" w:ascii="宋体" w:hAnsi="宋体" w:eastAsia="宋体" w:cs="宋体"/>
                <w:color w:val="auto"/>
                <w:spacing w:val="0"/>
                <w:sz w:val="24"/>
                <w:szCs w:val="24"/>
                <w:highlight w:val="none"/>
                <w:lang w:eastAsia="zh-CN"/>
              </w:rPr>
              <w:t>日常运行</w:t>
            </w:r>
            <w:r>
              <w:rPr>
                <w:rFonts w:hint="eastAsia" w:ascii="宋体" w:hAnsi="宋体" w:eastAsia="宋体" w:cs="宋体"/>
                <w:color w:val="auto"/>
                <w:spacing w:val="0"/>
                <w:sz w:val="24"/>
                <w:szCs w:val="24"/>
                <w:highlight w:val="none"/>
              </w:rPr>
              <w:t>档案的登记、记录更新等；</w:t>
            </w:r>
          </w:p>
          <w:p w14:paraId="730A75DE">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2</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处理</w:t>
            </w:r>
            <w:r>
              <w:rPr>
                <w:rFonts w:hint="eastAsia" w:ascii="宋体" w:hAnsi="宋体" w:eastAsia="宋体" w:cs="宋体"/>
                <w:color w:val="auto"/>
                <w:spacing w:val="0"/>
                <w:sz w:val="24"/>
                <w:szCs w:val="24"/>
                <w:highlight w:val="none"/>
                <w:lang w:eastAsia="zh-CN"/>
              </w:rPr>
              <w:t>内部科室</w:t>
            </w:r>
            <w:r>
              <w:rPr>
                <w:rFonts w:hint="eastAsia" w:ascii="宋体" w:hAnsi="宋体" w:eastAsia="宋体" w:cs="宋体"/>
                <w:color w:val="auto"/>
                <w:spacing w:val="0"/>
                <w:sz w:val="24"/>
                <w:szCs w:val="24"/>
                <w:highlight w:val="none"/>
              </w:rPr>
              <w:t>沟通、</w:t>
            </w:r>
            <w:r>
              <w:rPr>
                <w:rFonts w:hint="eastAsia" w:ascii="宋体" w:hAnsi="宋体" w:eastAsia="宋体" w:cs="宋体"/>
                <w:color w:val="auto"/>
                <w:spacing w:val="0"/>
                <w:sz w:val="24"/>
                <w:szCs w:val="24"/>
                <w:highlight w:val="none"/>
                <w:lang w:eastAsia="zh-CN"/>
              </w:rPr>
              <w:t>报</w:t>
            </w:r>
            <w:r>
              <w:rPr>
                <w:rFonts w:hint="eastAsia" w:ascii="宋体" w:hAnsi="宋体" w:eastAsia="宋体" w:cs="宋体"/>
                <w:color w:val="auto"/>
                <w:spacing w:val="0"/>
                <w:sz w:val="24"/>
                <w:szCs w:val="24"/>
                <w:highlight w:val="none"/>
              </w:rPr>
              <w:t>修、投诉等事件，对此类事件进行登记，</w:t>
            </w:r>
            <w:r>
              <w:rPr>
                <w:rFonts w:hint="eastAsia" w:ascii="宋体" w:hAnsi="宋体" w:eastAsia="宋体" w:cs="宋体"/>
                <w:color w:val="auto"/>
                <w:spacing w:val="0"/>
                <w:sz w:val="24"/>
                <w:szCs w:val="24"/>
                <w:highlight w:val="none"/>
                <w:lang w:eastAsia="zh-CN"/>
              </w:rPr>
              <w:t>并</w:t>
            </w:r>
            <w:r>
              <w:rPr>
                <w:rFonts w:hint="eastAsia" w:ascii="宋体" w:hAnsi="宋体" w:eastAsia="宋体" w:cs="宋体"/>
                <w:color w:val="auto"/>
                <w:spacing w:val="0"/>
                <w:sz w:val="24"/>
                <w:szCs w:val="24"/>
                <w:highlight w:val="none"/>
              </w:rPr>
              <w:t>委派</w:t>
            </w:r>
            <w:r>
              <w:rPr>
                <w:rFonts w:hint="eastAsia" w:ascii="宋体" w:hAnsi="宋体" w:eastAsia="宋体" w:cs="宋体"/>
                <w:color w:val="auto"/>
                <w:spacing w:val="0"/>
                <w:sz w:val="24"/>
                <w:szCs w:val="24"/>
                <w:highlight w:val="none"/>
                <w:lang w:eastAsia="zh-CN"/>
              </w:rPr>
              <w:t>专人</w:t>
            </w:r>
            <w:r>
              <w:rPr>
                <w:rFonts w:hint="eastAsia" w:ascii="宋体" w:hAnsi="宋体" w:eastAsia="宋体" w:cs="宋体"/>
                <w:color w:val="auto"/>
                <w:spacing w:val="0"/>
                <w:sz w:val="24"/>
                <w:szCs w:val="24"/>
                <w:highlight w:val="none"/>
              </w:rPr>
              <w:t>处理、回访等；</w:t>
            </w:r>
          </w:p>
          <w:p w14:paraId="18F9CEAF">
            <w:pPr>
              <w:pStyle w:val="12"/>
              <w:ind w:firstLine="480" w:firstLineChars="200"/>
              <w:jc w:val="both"/>
              <w:rPr>
                <w:rFonts w:hint="default" w:ascii="宋体" w:hAnsi="宋体" w:eastAsia="宋体" w:cs="宋体"/>
                <w:color w:val="auto"/>
                <w:spacing w:val="0"/>
                <w:sz w:val="24"/>
                <w:szCs w:val="24"/>
                <w:highlight w:val="none"/>
                <w:lang w:val="en-US"/>
              </w:rPr>
            </w:pPr>
            <w:r>
              <w:rPr>
                <w:rFonts w:hint="eastAsia" w:ascii="宋体" w:hAnsi="宋体" w:eastAsia="宋体" w:cs="宋体"/>
                <w:color w:val="auto"/>
                <w:spacing w:val="0"/>
                <w:sz w:val="24"/>
                <w:szCs w:val="24"/>
                <w:highlight w:val="none"/>
                <w:lang w:eastAsia="zh-CN"/>
              </w:rPr>
              <w:t>（3）做好房间卫生、用电安全等进行检查。</w:t>
            </w:r>
          </w:p>
        </w:tc>
        <w:tc>
          <w:tcPr>
            <w:tcW w:w="1335" w:type="dxa"/>
            <w:shd w:val="clear" w:color="auto" w:fill="auto"/>
            <w:vAlign w:val="center"/>
          </w:tcPr>
          <w:p w14:paraId="6B4CB4D0">
            <w:pPr>
              <w:pStyle w:val="12"/>
              <w:rPr>
                <w:rFonts w:hint="eastAsia" w:ascii="宋体" w:hAnsi="宋体" w:eastAsia="宋体" w:cs="宋体"/>
                <w:color w:val="auto"/>
                <w:spacing w:val="0"/>
                <w:sz w:val="24"/>
                <w:szCs w:val="24"/>
                <w:highlight w:val="none"/>
              </w:rPr>
            </w:pPr>
          </w:p>
        </w:tc>
      </w:tr>
      <w:tr w14:paraId="7ED9858B">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567" w:hRule="atLeast"/>
          <w:jc w:val="center"/>
        </w:trPr>
        <w:tc>
          <w:tcPr>
            <w:tcW w:w="709" w:type="dxa"/>
            <w:shd w:val="clear" w:color="auto" w:fill="auto"/>
            <w:vAlign w:val="center"/>
          </w:tcPr>
          <w:p w14:paraId="3B540D61">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continue"/>
            <w:shd w:val="clear" w:color="auto" w:fill="auto"/>
            <w:vAlign w:val="center"/>
          </w:tcPr>
          <w:p w14:paraId="5762F3FD">
            <w:pPr>
              <w:pStyle w:val="12"/>
              <w:jc w:val="center"/>
              <w:rPr>
                <w:rFonts w:hint="eastAsia" w:ascii="宋体" w:hAnsi="宋体" w:eastAsia="宋体" w:cs="宋体"/>
                <w:color w:val="auto"/>
                <w:spacing w:val="0"/>
                <w:sz w:val="24"/>
                <w:szCs w:val="24"/>
                <w:highlight w:val="none"/>
              </w:rPr>
            </w:pPr>
          </w:p>
        </w:tc>
        <w:tc>
          <w:tcPr>
            <w:tcW w:w="1108" w:type="dxa"/>
            <w:vMerge w:val="restart"/>
            <w:shd w:val="clear" w:color="auto" w:fill="auto"/>
            <w:vAlign w:val="center"/>
          </w:tcPr>
          <w:p w14:paraId="19E227E5">
            <w:pPr>
              <w:pStyle w:val="12"/>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质量要求</w:t>
            </w:r>
          </w:p>
        </w:tc>
        <w:tc>
          <w:tcPr>
            <w:tcW w:w="6341" w:type="dxa"/>
            <w:shd w:val="clear" w:color="auto" w:fill="auto"/>
            <w:vAlign w:val="center"/>
          </w:tcPr>
          <w:p w14:paraId="766C9722">
            <w:pPr>
              <w:pStyle w:val="12"/>
              <w:ind w:firstLine="480" w:firstLineChars="200"/>
              <w:jc w:val="lef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上班时间必须着装统一规范，仪表端正，精神饱满，用语礼貌；</w:t>
            </w:r>
          </w:p>
        </w:tc>
        <w:tc>
          <w:tcPr>
            <w:tcW w:w="1335" w:type="dxa"/>
            <w:shd w:val="clear" w:color="auto" w:fill="auto"/>
            <w:vAlign w:val="center"/>
          </w:tcPr>
          <w:p w14:paraId="6ABB585D">
            <w:pPr>
              <w:pStyle w:val="12"/>
              <w:rPr>
                <w:rFonts w:hint="eastAsia" w:ascii="宋体" w:hAnsi="宋体" w:eastAsia="宋体" w:cs="宋体"/>
                <w:color w:val="auto"/>
                <w:spacing w:val="0"/>
                <w:sz w:val="24"/>
                <w:szCs w:val="24"/>
                <w:highlight w:val="none"/>
              </w:rPr>
            </w:pPr>
          </w:p>
        </w:tc>
      </w:tr>
      <w:tr w14:paraId="462164BC">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782" w:hRule="atLeast"/>
          <w:jc w:val="center"/>
        </w:trPr>
        <w:tc>
          <w:tcPr>
            <w:tcW w:w="709" w:type="dxa"/>
            <w:shd w:val="clear" w:color="auto" w:fill="auto"/>
            <w:vAlign w:val="center"/>
          </w:tcPr>
          <w:p w14:paraId="285B3B9E">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continue"/>
            <w:shd w:val="clear" w:color="auto" w:fill="auto"/>
            <w:vAlign w:val="center"/>
          </w:tcPr>
          <w:p w14:paraId="2CE4FF48">
            <w:pPr>
              <w:pStyle w:val="12"/>
              <w:jc w:val="center"/>
              <w:rPr>
                <w:rFonts w:hint="eastAsia" w:ascii="宋体" w:hAnsi="宋体" w:eastAsia="宋体" w:cs="宋体"/>
                <w:color w:val="auto"/>
                <w:spacing w:val="0"/>
                <w:sz w:val="24"/>
                <w:szCs w:val="24"/>
                <w:highlight w:val="none"/>
              </w:rPr>
            </w:pPr>
          </w:p>
        </w:tc>
        <w:tc>
          <w:tcPr>
            <w:tcW w:w="1108" w:type="dxa"/>
            <w:vMerge w:val="continue"/>
            <w:shd w:val="clear" w:color="auto" w:fill="auto"/>
            <w:vAlign w:val="center"/>
          </w:tcPr>
          <w:p w14:paraId="3DD8D027">
            <w:pPr>
              <w:pStyle w:val="12"/>
              <w:jc w:val="center"/>
              <w:rPr>
                <w:rFonts w:hint="eastAsia" w:ascii="宋体" w:hAnsi="宋体" w:eastAsia="宋体" w:cs="宋体"/>
                <w:color w:val="auto"/>
                <w:spacing w:val="0"/>
                <w:sz w:val="24"/>
                <w:szCs w:val="24"/>
                <w:highlight w:val="none"/>
              </w:rPr>
            </w:pPr>
          </w:p>
        </w:tc>
        <w:tc>
          <w:tcPr>
            <w:tcW w:w="6341" w:type="dxa"/>
            <w:shd w:val="clear" w:color="auto" w:fill="auto"/>
            <w:vAlign w:val="center"/>
          </w:tcPr>
          <w:p w14:paraId="616AFC1C">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2</w:t>
            </w:r>
            <w:r>
              <w:rPr>
                <w:rFonts w:hint="eastAsia" w:ascii="宋体" w:hAnsi="宋体" w:eastAsia="宋体" w:cs="宋体"/>
                <w:color w:val="auto"/>
                <w:spacing w:val="0"/>
                <w:sz w:val="24"/>
                <w:szCs w:val="24"/>
                <w:highlight w:val="none"/>
                <w:lang w:eastAsia="zh-CN"/>
              </w:rPr>
              <w:t>）来电来访</w:t>
            </w:r>
            <w:r>
              <w:rPr>
                <w:rFonts w:hint="eastAsia" w:ascii="宋体" w:hAnsi="宋体" w:eastAsia="宋体" w:cs="宋体"/>
                <w:color w:val="auto"/>
                <w:spacing w:val="0"/>
                <w:sz w:val="24"/>
                <w:szCs w:val="24"/>
                <w:highlight w:val="none"/>
              </w:rPr>
              <w:t>必须认真听取来意，详细回答提出的问题并</w:t>
            </w:r>
            <w:r>
              <w:rPr>
                <w:rFonts w:hint="eastAsia" w:ascii="宋体" w:hAnsi="宋体" w:eastAsia="宋体" w:cs="宋体"/>
                <w:color w:val="auto"/>
                <w:spacing w:val="0"/>
                <w:sz w:val="24"/>
                <w:szCs w:val="24"/>
                <w:highlight w:val="none"/>
                <w:lang w:eastAsia="zh-CN"/>
              </w:rPr>
              <w:t>按需求</w:t>
            </w:r>
            <w:r>
              <w:rPr>
                <w:rFonts w:hint="eastAsia" w:ascii="宋体" w:hAnsi="宋体" w:eastAsia="宋体" w:cs="宋体"/>
                <w:color w:val="auto"/>
                <w:spacing w:val="0"/>
                <w:sz w:val="24"/>
                <w:szCs w:val="24"/>
                <w:highlight w:val="none"/>
              </w:rPr>
              <w:t>做好记录；</w:t>
            </w:r>
          </w:p>
        </w:tc>
        <w:tc>
          <w:tcPr>
            <w:tcW w:w="1335" w:type="dxa"/>
            <w:shd w:val="clear" w:color="auto" w:fill="auto"/>
            <w:vAlign w:val="center"/>
          </w:tcPr>
          <w:p w14:paraId="33574F04">
            <w:pPr>
              <w:pStyle w:val="12"/>
              <w:rPr>
                <w:rFonts w:hint="eastAsia" w:ascii="宋体" w:hAnsi="宋体" w:eastAsia="宋体" w:cs="宋体"/>
                <w:color w:val="auto"/>
                <w:spacing w:val="0"/>
                <w:sz w:val="24"/>
                <w:szCs w:val="24"/>
                <w:highlight w:val="none"/>
              </w:rPr>
            </w:pPr>
          </w:p>
        </w:tc>
      </w:tr>
      <w:tr w14:paraId="20EF2288">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976" w:hRule="atLeast"/>
          <w:jc w:val="center"/>
        </w:trPr>
        <w:tc>
          <w:tcPr>
            <w:tcW w:w="709" w:type="dxa"/>
            <w:shd w:val="clear" w:color="auto" w:fill="auto"/>
            <w:vAlign w:val="center"/>
          </w:tcPr>
          <w:p w14:paraId="14D0345E">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continue"/>
            <w:shd w:val="clear" w:color="auto" w:fill="auto"/>
            <w:vAlign w:val="center"/>
          </w:tcPr>
          <w:p w14:paraId="00D2FC34">
            <w:pPr>
              <w:pStyle w:val="12"/>
              <w:jc w:val="center"/>
              <w:rPr>
                <w:rFonts w:hint="eastAsia" w:ascii="宋体" w:hAnsi="宋体" w:eastAsia="宋体" w:cs="宋体"/>
                <w:color w:val="auto"/>
                <w:spacing w:val="0"/>
                <w:sz w:val="24"/>
                <w:szCs w:val="24"/>
                <w:highlight w:val="none"/>
              </w:rPr>
            </w:pPr>
          </w:p>
        </w:tc>
        <w:tc>
          <w:tcPr>
            <w:tcW w:w="1108" w:type="dxa"/>
            <w:vMerge w:val="continue"/>
            <w:shd w:val="clear" w:color="auto" w:fill="auto"/>
            <w:vAlign w:val="center"/>
          </w:tcPr>
          <w:p w14:paraId="1334B3C1">
            <w:pPr>
              <w:pStyle w:val="12"/>
              <w:jc w:val="center"/>
              <w:rPr>
                <w:rFonts w:hint="eastAsia" w:ascii="宋体" w:hAnsi="宋体" w:eastAsia="宋体" w:cs="宋体"/>
                <w:color w:val="auto"/>
                <w:spacing w:val="0"/>
                <w:sz w:val="24"/>
                <w:szCs w:val="24"/>
                <w:highlight w:val="none"/>
              </w:rPr>
            </w:pPr>
          </w:p>
        </w:tc>
        <w:tc>
          <w:tcPr>
            <w:tcW w:w="6341" w:type="dxa"/>
            <w:shd w:val="clear" w:color="auto" w:fill="auto"/>
            <w:vAlign w:val="center"/>
          </w:tcPr>
          <w:p w14:paraId="799CF92A">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3</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报修接待必须：①仔细询问</w:t>
            </w:r>
            <w:r>
              <w:rPr>
                <w:rFonts w:hint="eastAsia" w:ascii="宋体" w:hAnsi="宋体" w:eastAsia="宋体" w:cs="宋体"/>
                <w:color w:val="auto"/>
                <w:spacing w:val="0"/>
                <w:sz w:val="24"/>
                <w:szCs w:val="24"/>
                <w:highlight w:val="none"/>
                <w:lang w:eastAsia="zh-CN"/>
              </w:rPr>
              <w:t>报修方</w:t>
            </w:r>
            <w:r>
              <w:rPr>
                <w:rFonts w:hint="eastAsia" w:ascii="宋体" w:hAnsi="宋体" w:eastAsia="宋体" w:cs="宋体"/>
                <w:color w:val="auto"/>
                <w:spacing w:val="0"/>
                <w:sz w:val="24"/>
                <w:szCs w:val="24"/>
                <w:highlight w:val="none"/>
              </w:rPr>
              <w:t>的姓名、</w:t>
            </w:r>
            <w:r>
              <w:rPr>
                <w:rFonts w:hint="eastAsia" w:ascii="宋体" w:hAnsi="宋体" w:eastAsia="宋体" w:cs="宋体"/>
                <w:color w:val="auto"/>
                <w:spacing w:val="0"/>
                <w:sz w:val="24"/>
                <w:szCs w:val="24"/>
                <w:highlight w:val="none"/>
                <w:lang w:eastAsia="zh-CN"/>
              </w:rPr>
              <w:t>科室</w:t>
            </w:r>
            <w:r>
              <w:rPr>
                <w:rFonts w:hint="eastAsia" w:ascii="宋体" w:hAnsi="宋体" w:eastAsia="宋体" w:cs="宋体"/>
                <w:color w:val="auto"/>
                <w:spacing w:val="0"/>
                <w:sz w:val="24"/>
                <w:szCs w:val="24"/>
                <w:highlight w:val="none"/>
              </w:rPr>
              <w:t>、联系方式、报修内容、方便维修的时间等，并在客户服务工作日志上记录。②及时通知维修人员接单，在约定时间上门维修服务。</w:t>
            </w:r>
          </w:p>
        </w:tc>
        <w:tc>
          <w:tcPr>
            <w:tcW w:w="1335" w:type="dxa"/>
            <w:shd w:val="clear" w:color="auto" w:fill="auto"/>
            <w:vAlign w:val="center"/>
          </w:tcPr>
          <w:p w14:paraId="6EC17392">
            <w:pPr>
              <w:pStyle w:val="12"/>
              <w:rPr>
                <w:rFonts w:hint="eastAsia" w:ascii="宋体" w:hAnsi="宋体" w:eastAsia="宋体" w:cs="宋体"/>
                <w:color w:val="auto"/>
                <w:spacing w:val="0"/>
                <w:sz w:val="24"/>
                <w:szCs w:val="24"/>
                <w:highlight w:val="none"/>
              </w:rPr>
            </w:pPr>
          </w:p>
        </w:tc>
      </w:tr>
      <w:tr w14:paraId="4CFB81B0">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567" w:hRule="atLeast"/>
          <w:jc w:val="center"/>
        </w:trPr>
        <w:tc>
          <w:tcPr>
            <w:tcW w:w="709" w:type="dxa"/>
            <w:shd w:val="clear" w:color="auto" w:fill="auto"/>
            <w:vAlign w:val="center"/>
          </w:tcPr>
          <w:p w14:paraId="7D0E2FE9">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continue"/>
            <w:shd w:val="clear" w:color="auto" w:fill="auto"/>
            <w:vAlign w:val="center"/>
          </w:tcPr>
          <w:p w14:paraId="33B79DDC">
            <w:pPr>
              <w:pStyle w:val="12"/>
              <w:jc w:val="center"/>
              <w:rPr>
                <w:rFonts w:hint="eastAsia" w:ascii="宋体" w:hAnsi="宋体" w:eastAsia="宋体" w:cs="宋体"/>
                <w:color w:val="auto"/>
                <w:spacing w:val="0"/>
                <w:sz w:val="24"/>
                <w:szCs w:val="24"/>
                <w:highlight w:val="none"/>
              </w:rPr>
            </w:pPr>
          </w:p>
        </w:tc>
        <w:tc>
          <w:tcPr>
            <w:tcW w:w="1108" w:type="dxa"/>
            <w:vMerge w:val="continue"/>
            <w:shd w:val="clear" w:color="auto" w:fill="auto"/>
            <w:vAlign w:val="center"/>
          </w:tcPr>
          <w:p w14:paraId="6CA418E4">
            <w:pPr>
              <w:pStyle w:val="12"/>
              <w:jc w:val="center"/>
              <w:rPr>
                <w:rFonts w:hint="eastAsia" w:ascii="宋体" w:hAnsi="宋体" w:eastAsia="宋体" w:cs="宋体"/>
                <w:color w:val="auto"/>
                <w:spacing w:val="0"/>
                <w:sz w:val="24"/>
                <w:szCs w:val="24"/>
                <w:highlight w:val="none"/>
              </w:rPr>
            </w:pPr>
          </w:p>
        </w:tc>
        <w:tc>
          <w:tcPr>
            <w:tcW w:w="6341" w:type="dxa"/>
            <w:shd w:val="clear" w:color="auto" w:fill="auto"/>
            <w:vAlign w:val="center"/>
          </w:tcPr>
          <w:p w14:paraId="31D8F16D">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4</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对客户其它需求做好热情接待。</w:t>
            </w:r>
          </w:p>
        </w:tc>
        <w:tc>
          <w:tcPr>
            <w:tcW w:w="1335" w:type="dxa"/>
            <w:shd w:val="clear" w:color="auto" w:fill="auto"/>
            <w:vAlign w:val="center"/>
          </w:tcPr>
          <w:p w14:paraId="5CDDE6AE">
            <w:pPr>
              <w:pStyle w:val="12"/>
              <w:rPr>
                <w:rFonts w:hint="eastAsia" w:ascii="宋体" w:hAnsi="宋体" w:eastAsia="宋体" w:cs="宋体"/>
                <w:color w:val="auto"/>
                <w:spacing w:val="0"/>
                <w:sz w:val="24"/>
                <w:szCs w:val="24"/>
                <w:highlight w:val="none"/>
              </w:rPr>
            </w:pPr>
          </w:p>
        </w:tc>
      </w:tr>
      <w:tr w14:paraId="5209141F">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2330" w:hRule="atLeast"/>
          <w:jc w:val="center"/>
        </w:trPr>
        <w:tc>
          <w:tcPr>
            <w:tcW w:w="709" w:type="dxa"/>
            <w:shd w:val="clear" w:color="auto" w:fill="auto"/>
            <w:vAlign w:val="center"/>
          </w:tcPr>
          <w:p w14:paraId="27696B18">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restart"/>
            <w:tcBorders>
              <w:right w:val="single" w:color="auto" w:sz="4" w:space="0"/>
            </w:tcBorders>
            <w:shd w:val="clear" w:color="auto" w:fill="auto"/>
            <w:vAlign w:val="center"/>
          </w:tcPr>
          <w:p w14:paraId="1CCC9AA8">
            <w:pPr>
              <w:pStyle w:val="12"/>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物业保洁</w:t>
            </w:r>
          </w:p>
        </w:tc>
        <w:tc>
          <w:tcPr>
            <w:tcW w:w="1108" w:type="dxa"/>
            <w:tcBorders>
              <w:left w:val="single" w:color="auto" w:sz="4" w:space="0"/>
            </w:tcBorders>
            <w:shd w:val="clear" w:color="auto" w:fill="auto"/>
            <w:vAlign w:val="center"/>
          </w:tcPr>
          <w:p w14:paraId="42B2B9E4">
            <w:pPr>
              <w:pStyle w:val="12"/>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主要内容</w:t>
            </w:r>
          </w:p>
        </w:tc>
        <w:tc>
          <w:tcPr>
            <w:tcW w:w="6341" w:type="dxa"/>
            <w:shd w:val="clear" w:color="auto" w:fill="auto"/>
            <w:vAlign w:val="center"/>
          </w:tcPr>
          <w:p w14:paraId="595467AB">
            <w:pPr>
              <w:pStyle w:val="12"/>
              <w:ind w:firstLine="480" w:firstLineChars="200"/>
              <w:jc w:val="both"/>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（1）大队整个大院公共区域保洁服务（包含但不限于大队整个院内公共区域：畅安楼、忠诚楼和青年公寓通道、楼梯，</w:t>
            </w:r>
            <w:r>
              <w:rPr>
                <w:rFonts w:hint="eastAsia" w:ascii="宋体" w:hAnsi="宋体" w:eastAsia="宋体" w:cs="宋体"/>
                <w:color w:val="auto"/>
                <w:spacing w:val="0"/>
                <w:sz w:val="24"/>
                <w:szCs w:val="24"/>
                <w:highlight w:val="none"/>
                <w:lang w:val="en-US" w:eastAsia="zh-CN"/>
              </w:rPr>
              <w:t>3栋楼14个</w:t>
            </w:r>
            <w:r>
              <w:rPr>
                <w:rFonts w:hint="eastAsia" w:ascii="宋体" w:hAnsi="宋体" w:eastAsia="宋体" w:cs="宋体"/>
                <w:color w:val="auto"/>
                <w:spacing w:val="0"/>
                <w:sz w:val="24"/>
                <w:szCs w:val="24"/>
                <w:highlight w:val="none"/>
                <w:lang w:eastAsia="zh-CN"/>
              </w:rPr>
              <w:t>公共卫生间、畅安楼</w:t>
            </w:r>
            <w:r>
              <w:rPr>
                <w:rFonts w:hint="eastAsia" w:ascii="宋体" w:hAnsi="宋体" w:eastAsia="宋体" w:cs="宋体"/>
                <w:color w:val="auto"/>
                <w:spacing w:val="0"/>
                <w:sz w:val="24"/>
                <w:szCs w:val="24"/>
                <w:highlight w:val="none"/>
                <w:lang w:val="en-US" w:eastAsia="zh-CN"/>
              </w:rPr>
              <w:t>4楼和忠诚楼2楼</w:t>
            </w:r>
            <w:r>
              <w:rPr>
                <w:rFonts w:hint="eastAsia" w:ascii="宋体" w:hAnsi="宋体" w:eastAsia="宋体" w:cs="宋体"/>
                <w:color w:val="auto"/>
                <w:spacing w:val="0"/>
                <w:sz w:val="24"/>
                <w:szCs w:val="24"/>
                <w:highlight w:val="none"/>
                <w:lang w:eastAsia="zh-CN"/>
              </w:rPr>
              <w:t>天台，畅安楼</w:t>
            </w:r>
            <w:r>
              <w:rPr>
                <w:rFonts w:hint="eastAsia" w:ascii="宋体" w:hAnsi="宋体" w:eastAsia="宋体" w:cs="宋体"/>
                <w:color w:val="auto"/>
                <w:spacing w:val="0"/>
                <w:sz w:val="24"/>
                <w:szCs w:val="24"/>
                <w:highlight w:val="none"/>
                <w:lang w:val="en-US" w:eastAsia="zh-CN"/>
              </w:rPr>
              <w:t>1楼</w:t>
            </w:r>
            <w:r>
              <w:rPr>
                <w:rFonts w:hint="eastAsia" w:ascii="宋体" w:hAnsi="宋体" w:eastAsia="宋体" w:cs="宋体"/>
                <w:color w:val="auto"/>
                <w:spacing w:val="0"/>
                <w:sz w:val="24"/>
                <w:szCs w:val="24"/>
                <w:highlight w:val="none"/>
                <w:lang w:eastAsia="zh-CN"/>
              </w:rPr>
              <w:t>车管所大厅、收费室、母婴室、宣教室、</w:t>
            </w:r>
            <w:r>
              <w:rPr>
                <w:rFonts w:hint="eastAsia" w:ascii="宋体" w:hAnsi="宋体" w:eastAsia="宋体" w:cs="宋体"/>
                <w:color w:val="auto"/>
                <w:spacing w:val="0"/>
                <w:sz w:val="24"/>
                <w:szCs w:val="24"/>
                <w:highlight w:val="none"/>
                <w:lang w:val="en-US" w:eastAsia="zh-CN"/>
              </w:rPr>
              <w:t>2楼</w:t>
            </w:r>
            <w:r>
              <w:rPr>
                <w:rFonts w:hint="eastAsia" w:ascii="宋体" w:hAnsi="宋体" w:eastAsia="宋体" w:cs="宋体"/>
                <w:color w:val="auto"/>
                <w:spacing w:val="0"/>
                <w:sz w:val="24"/>
                <w:szCs w:val="24"/>
                <w:highlight w:val="none"/>
                <w:lang w:eastAsia="zh-CN"/>
              </w:rPr>
              <w:t>党员活动室、</w:t>
            </w:r>
            <w:r>
              <w:rPr>
                <w:rFonts w:hint="eastAsia" w:ascii="宋体" w:hAnsi="宋体" w:eastAsia="宋体" w:cs="宋体"/>
                <w:color w:val="auto"/>
                <w:spacing w:val="0"/>
                <w:sz w:val="24"/>
                <w:szCs w:val="24"/>
                <w:highlight w:val="none"/>
                <w:lang w:val="en-US" w:eastAsia="zh-CN"/>
              </w:rPr>
              <w:t>3楼</w:t>
            </w:r>
            <w:r>
              <w:rPr>
                <w:rFonts w:hint="eastAsia" w:ascii="宋体" w:hAnsi="宋体" w:eastAsia="宋体" w:cs="宋体"/>
                <w:color w:val="auto"/>
                <w:spacing w:val="0"/>
                <w:sz w:val="24"/>
                <w:szCs w:val="24"/>
                <w:highlight w:val="none"/>
                <w:lang w:eastAsia="zh-CN"/>
              </w:rPr>
              <w:t>科目一考场及候考厅、党史厅、心理咨询室、阅读室、健身房，</w:t>
            </w:r>
            <w:r>
              <w:rPr>
                <w:rFonts w:hint="eastAsia" w:ascii="宋体" w:hAnsi="宋体" w:eastAsia="宋体" w:cs="宋体"/>
                <w:color w:val="auto"/>
                <w:spacing w:val="0"/>
                <w:kern w:val="2"/>
                <w:sz w:val="24"/>
                <w:szCs w:val="24"/>
                <w:highlight w:val="none"/>
                <w:lang w:val="en-US" w:eastAsia="zh-CN" w:bidi="ar-SA"/>
              </w:rPr>
              <w:t>畅安楼前面、</w:t>
            </w:r>
            <w:r>
              <w:rPr>
                <w:rFonts w:hint="eastAsia" w:ascii="宋体" w:hAnsi="宋体" w:eastAsia="宋体" w:cs="宋体"/>
                <w:color w:val="auto"/>
                <w:sz w:val="24"/>
                <w:szCs w:val="24"/>
                <w:lang w:eastAsia="zh-CN"/>
              </w:rPr>
              <w:t>青年公寓</w:t>
            </w:r>
            <w:r>
              <w:rPr>
                <w:rFonts w:hint="eastAsia" w:ascii="宋体" w:hAnsi="宋体" w:eastAsia="宋体" w:cs="宋体"/>
                <w:color w:val="auto"/>
                <w:spacing w:val="0"/>
                <w:kern w:val="2"/>
                <w:sz w:val="24"/>
                <w:szCs w:val="24"/>
                <w:highlight w:val="none"/>
                <w:lang w:val="en-US" w:eastAsia="zh-CN" w:bidi="ar-SA"/>
              </w:rPr>
              <w:t>前面、畅安楼与</w:t>
            </w:r>
            <w:r>
              <w:rPr>
                <w:rFonts w:hint="eastAsia" w:ascii="宋体" w:hAnsi="宋体" w:eastAsia="宋体" w:cs="宋体"/>
                <w:color w:val="auto"/>
                <w:sz w:val="24"/>
                <w:szCs w:val="24"/>
                <w:lang w:eastAsia="zh-CN"/>
              </w:rPr>
              <w:t>忠诚楼</w:t>
            </w:r>
            <w:r>
              <w:rPr>
                <w:rFonts w:hint="eastAsia" w:ascii="宋体" w:hAnsi="宋体" w:eastAsia="宋体" w:cs="宋体"/>
                <w:color w:val="auto"/>
                <w:spacing w:val="0"/>
                <w:kern w:val="2"/>
                <w:sz w:val="24"/>
                <w:szCs w:val="24"/>
                <w:highlight w:val="none"/>
                <w:lang w:val="en-US" w:eastAsia="zh-CN" w:bidi="ar-SA"/>
              </w:rPr>
              <w:t>中间、</w:t>
            </w:r>
            <w:r>
              <w:rPr>
                <w:rFonts w:hint="eastAsia" w:ascii="宋体" w:hAnsi="宋体" w:eastAsia="宋体" w:cs="宋体"/>
                <w:color w:val="auto"/>
                <w:sz w:val="24"/>
                <w:szCs w:val="24"/>
                <w:lang w:eastAsia="zh-CN"/>
              </w:rPr>
              <w:t>忠诚楼</w:t>
            </w:r>
            <w:r>
              <w:rPr>
                <w:rFonts w:hint="eastAsia" w:ascii="宋体" w:hAnsi="宋体" w:eastAsia="宋体" w:cs="宋体"/>
                <w:color w:val="auto"/>
                <w:spacing w:val="0"/>
                <w:kern w:val="2"/>
                <w:sz w:val="24"/>
                <w:szCs w:val="24"/>
                <w:highlight w:val="none"/>
                <w:lang w:val="en-US" w:eastAsia="zh-CN" w:bidi="ar-SA"/>
              </w:rPr>
              <w:t>后面及家属楼（不属物业管理范围）后面5处</w:t>
            </w:r>
            <w:r>
              <w:rPr>
                <w:rFonts w:hint="eastAsia" w:ascii="宋体" w:hAnsi="宋体" w:eastAsia="宋体" w:cs="宋体"/>
                <w:color w:val="auto"/>
                <w:spacing w:val="0"/>
                <w:sz w:val="24"/>
                <w:szCs w:val="24"/>
                <w:highlight w:val="none"/>
                <w:lang w:eastAsia="zh-CN"/>
              </w:rPr>
              <w:t>停车场，公共物件（桌椅、显示屏、宣传窗、牌、画、垃圾箱、监控、消防栓、路灯、门牌、标示牌等）、墙砖、门窗、扶手及平台的清洁）。</w:t>
            </w:r>
          </w:p>
          <w:p w14:paraId="5E89923C">
            <w:pPr>
              <w:pStyle w:val="12"/>
              <w:ind w:firstLine="480" w:firstLineChars="200"/>
              <w:jc w:val="both"/>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eastAsia="zh-CN"/>
              </w:rPr>
              <w:t>（2）</w:t>
            </w:r>
            <w:r>
              <w:rPr>
                <w:rFonts w:hint="eastAsia" w:ascii="宋体" w:hAnsi="宋体" w:eastAsia="宋体" w:cs="宋体"/>
                <w:color w:val="auto"/>
                <w:sz w:val="24"/>
                <w:szCs w:val="24"/>
                <w:lang w:eastAsia="zh-CN"/>
              </w:rPr>
              <w:t>忠诚楼</w:t>
            </w:r>
            <w:r>
              <w:rPr>
                <w:rFonts w:hint="eastAsia" w:ascii="宋体" w:hAnsi="宋体" w:eastAsia="宋体" w:cs="宋体"/>
                <w:color w:val="auto"/>
                <w:spacing w:val="0"/>
                <w:sz w:val="24"/>
                <w:szCs w:val="24"/>
                <w:highlight w:val="none"/>
                <w:lang w:eastAsia="zh-CN"/>
              </w:rPr>
              <w:t>三楼、</w:t>
            </w:r>
            <w:r>
              <w:rPr>
                <w:rFonts w:hint="eastAsia" w:ascii="宋体" w:hAnsi="宋体" w:eastAsia="宋体" w:cs="宋体"/>
                <w:color w:val="auto"/>
                <w:sz w:val="24"/>
                <w:szCs w:val="24"/>
                <w:lang w:eastAsia="zh-CN"/>
              </w:rPr>
              <w:t>畅安楼</w:t>
            </w:r>
            <w:r>
              <w:rPr>
                <w:rFonts w:hint="eastAsia" w:ascii="宋体" w:hAnsi="宋体" w:eastAsia="宋体" w:cs="宋体"/>
                <w:color w:val="auto"/>
                <w:spacing w:val="0"/>
                <w:sz w:val="24"/>
                <w:szCs w:val="24"/>
                <w:highlight w:val="none"/>
                <w:lang w:eastAsia="zh-CN"/>
              </w:rPr>
              <w:t>四楼两个会议室及</w:t>
            </w:r>
            <w:r>
              <w:rPr>
                <w:rFonts w:hint="eastAsia" w:ascii="宋体" w:hAnsi="宋体" w:eastAsia="宋体" w:cs="宋体"/>
                <w:color w:val="auto"/>
                <w:sz w:val="24"/>
                <w:szCs w:val="24"/>
                <w:lang w:eastAsia="zh-CN"/>
              </w:rPr>
              <w:t>畅安楼</w:t>
            </w:r>
            <w:r>
              <w:rPr>
                <w:rFonts w:hint="eastAsia" w:ascii="宋体" w:hAnsi="宋体" w:eastAsia="宋体" w:cs="宋体"/>
                <w:color w:val="auto"/>
                <w:spacing w:val="0"/>
                <w:sz w:val="24"/>
                <w:szCs w:val="24"/>
                <w:highlight w:val="none"/>
                <w:lang w:eastAsia="zh-CN"/>
              </w:rPr>
              <w:t>二楼党员活动室会后会场的清洁。</w:t>
            </w:r>
          </w:p>
        </w:tc>
        <w:tc>
          <w:tcPr>
            <w:tcW w:w="1335" w:type="dxa"/>
            <w:shd w:val="clear" w:color="auto" w:fill="auto"/>
            <w:vAlign w:val="center"/>
          </w:tcPr>
          <w:p w14:paraId="003562DF">
            <w:pPr>
              <w:pStyle w:val="12"/>
              <w:rPr>
                <w:rFonts w:hint="eastAsia" w:ascii="宋体" w:hAnsi="宋体" w:eastAsia="宋体" w:cs="宋体"/>
                <w:color w:val="auto"/>
                <w:spacing w:val="0"/>
                <w:sz w:val="24"/>
                <w:szCs w:val="24"/>
                <w:highlight w:val="none"/>
              </w:rPr>
            </w:pPr>
          </w:p>
        </w:tc>
      </w:tr>
      <w:tr w14:paraId="72E25D53">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397" w:hRule="atLeast"/>
          <w:jc w:val="center"/>
        </w:trPr>
        <w:tc>
          <w:tcPr>
            <w:tcW w:w="709" w:type="dxa"/>
            <w:shd w:val="clear" w:color="auto" w:fill="auto"/>
            <w:vAlign w:val="center"/>
          </w:tcPr>
          <w:p w14:paraId="37262E1F">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continue"/>
            <w:tcBorders>
              <w:right w:val="single" w:color="auto" w:sz="4" w:space="0"/>
            </w:tcBorders>
            <w:shd w:val="clear" w:color="auto" w:fill="auto"/>
            <w:vAlign w:val="center"/>
          </w:tcPr>
          <w:p w14:paraId="517AFB4F">
            <w:pPr>
              <w:pStyle w:val="12"/>
              <w:jc w:val="center"/>
              <w:rPr>
                <w:rFonts w:hint="eastAsia" w:ascii="宋体" w:hAnsi="宋体" w:eastAsia="宋体" w:cs="宋体"/>
                <w:color w:val="auto"/>
                <w:spacing w:val="0"/>
                <w:sz w:val="24"/>
                <w:szCs w:val="24"/>
                <w:highlight w:val="none"/>
              </w:rPr>
            </w:pPr>
          </w:p>
        </w:tc>
        <w:tc>
          <w:tcPr>
            <w:tcW w:w="1108" w:type="dxa"/>
            <w:vMerge w:val="restart"/>
            <w:tcBorders>
              <w:left w:val="single" w:color="auto" w:sz="4" w:space="0"/>
            </w:tcBorders>
            <w:shd w:val="clear" w:color="auto" w:fill="auto"/>
            <w:vAlign w:val="center"/>
          </w:tcPr>
          <w:p w14:paraId="21390561">
            <w:pPr>
              <w:pStyle w:val="12"/>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质量要求</w:t>
            </w:r>
          </w:p>
        </w:tc>
        <w:tc>
          <w:tcPr>
            <w:tcW w:w="6341" w:type="dxa"/>
            <w:vMerge w:val="restart"/>
            <w:shd w:val="clear" w:color="auto" w:fill="auto"/>
            <w:vAlign w:val="center"/>
          </w:tcPr>
          <w:p w14:paraId="1E78E4ED">
            <w:pPr>
              <w:pStyle w:val="12"/>
              <w:ind w:firstLine="480" w:firstLineChars="200"/>
              <w:jc w:val="both"/>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（1）保洁人员着装整洁，热情礼貌；</w:t>
            </w:r>
          </w:p>
          <w:p w14:paraId="75FD2C4A">
            <w:pPr>
              <w:pStyle w:val="12"/>
              <w:ind w:firstLine="480" w:firstLineChars="200"/>
              <w:jc w:val="both"/>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（2）全天保洁；</w:t>
            </w:r>
          </w:p>
          <w:p w14:paraId="2A9726FC">
            <w:pPr>
              <w:pStyle w:val="12"/>
              <w:ind w:firstLine="480" w:firstLineChars="200"/>
              <w:jc w:val="both"/>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（3）垃圾日产日清；</w:t>
            </w:r>
          </w:p>
          <w:p w14:paraId="66CF9F02">
            <w:pPr>
              <w:pStyle w:val="12"/>
              <w:ind w:firstLine="480" w:firstLineChars="200"/>
              <w:jc w:val="both"/>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（4）楼梯扶手、过道门、群众办事等候所用桌椅一天抹一次；</w:t>
            </w:r>
          </w:p>
          <w:p w14:paraId="3E828F89">
            <w:pPr>
              <w:pStyle w:val="12"/>
              <w:ind w:firstLine="480" w:firstLineChars="200"/>
              <w:jc w:val="both"/>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（5）公共区域门、窗、标识牌一周扫打一次，做到窗明几净；</w:t>
            </w:r>
          </w:p>
          <w:p w14:paraId="36A608A7">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（6）对花坛、垃圾箱等经常清理，不得有烟头、果皮纸屑等杂物污迹。</w:t>
            </w:r>
          </w:p>
        </w:tc>
        <w:tc>
          <w:tcPr>
            <w:tcW w:w="1335" w:type="dxa"/>
            <w:vMerge w:val="restart"/>
            <w:shd w:val="clear" w:color="auto" w:fill="auto"/>
            <w:vAlign w:val="center"/>
          </w:tcPr>
          <w:p w14:paraId="5276CA05">
            <w:pPr>
              <w:pStyle w:val="12"/>
              <w:rPr>
                <w:rFonts w:hint="eastAsia" w:ascii="宋体" w:hAnsi="宋体" w:eastAsia="宋体" w:cs="宋体"/>
                <w:color w:val="auto"/>
                <w:spacing w:val="0"/>
                <w:sz w:val="24"/>
                <w:szCs w:val="24"/>
                <w:highlight w:val="none"/>
              </w:rPr>
            </w:pPr>
          </w:p>
        </w:tc>
      </w:tr>
      <w:tr w14:paraId="6AA9D6B8">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397" w:hRule="atLeast"/>
          <w:jc w:val="center"/>
        </w:trPr>
        <w:tc>
          <w:tcPr>
            <w:tcW w:w="709" w:type="dxa"/>
            <w:shd w:val="clear" w:color="auto" w:fill="auto"/>
            <w:vAlign w:val="center"/>
          </w:tcPr>
          <w:p w14:paraId="0D93DC10">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continue"/>
            <w:tcBorders>
              <w:right w:val="single" w:color="auto" w:sz="4" w:space="0"/>
            </w:tcBorders>
            <w:shd w:val="clear" w:color="auto" w:fill="auto"/>
            <w:vAlign w:val="center"/>
          </w:tcPr>
          <w:p w14:paraId="65CE4FEC">
            <w:pPr>
              <w:pStyle w:val="12"/>
              <w:jc w:val="center"/>
              <w:rPr>
                <w:rFonts w:hint="eastAsia" w:ascii="宋体" w:hAnsi="宋体" w:eastAsia="宋体" w:cs="宋体"/>
                <w:color w:val="auto"/>
                <w:spacing w:val="0"/>
                <w:sz w:val="24"/>
                <w:szCs w:val="24"/>
                <w:highlight w:val="none"/>
              </w:rPr>
            </w:pPr>
          </w:p>
        </w:tc>
        <w:tc>
          <w:tcPr>
            <w:tcW w:w="1108" w:type="dxa"/>
            <w:vMerge w:val="continue"/>
            <w:tcBorders>
              <w:left w:val="single" w:color="auto" w:sz="4" w:space="0"/>
            </w:tcBorders>
            <w:shd w:val="clear" w:color="auto" w:fill="auto"/>
            <w:vAlign w:val="center"/>
          </w:tcPr>
          <w:p w14:paraId="4D8D3DAF">
            <w:pPr>
              <w:pStyle w:val="12"/>
              <w:jc w:val="center"/>
              <w:rPr>
                <w:rFonts w:hint="eastAsia" w:ascii="宋体" w:hAnsi="宋体" w:eastAsia="宋体" w:cs="宋体"/>
                <w:color w:val="auto"/>
                <w:spacing w:val="0"/>
                <w:sz w:val="24"/>
                <w:szCs w:val="24"/>
                <w:highlight w:val="none"/>
              </w:rPr>
            </w:pPr>
          </w:p>
        </w:tc>
        <w:tc>
          <w:tcPr>
            <w:tcW w:w="6341" w:type="dxa"/>
            <w:vMerge w:val="continue"/>
            <w:shd w:val="clear" w:color="auto" w:fill="auto"/>
            <w:vAlign w:val="center"/>
          </w:tcPr>
          <w:p w14:paraId="6CE911D2">
            <w:pPr>
              <w:pStyle w:val="12"/>
              <w:ind w:firstLine="480" w:firstLineChars="200"/>
              <w:jc w:val="both"/>
              <w:rPr>
                <w:rFonts w:hint="eastAsia" w:ascii="宋体" w:hAnsi="宋体" w:eastAsia="宋体" w:cs="宋体"/>
                <w:color w:val="auto"/>
                <w:spacing w:val="0"/>
                <w:sz w:val="24"/>
                <w:szCs w:val="24"/>
                <w:highlight w:val="none"/>
              </w:rPr>
            </w:pPr>
          </w:p>
        </w:tc>
        <w:tc>
          <w:tcPr>
            <w:tcW w:w="1335" w:type="dxa"/>
            <w:vMerge w:val="continue"/>
            <w:shd w:val="clear" w:color="auto" w:fill="auto"/>
            <w:vAlign w:val="center"/>
          </w:tcPr>
          <w:p w14:paraId="440FA21A">
            <w:pPr>
              <w:pStyle w:val="12"/>
              <w:rPr>
                <w:rFonts w:hint="eastAsia" w:ascii="宋体" w:hAnsi="宋体" w:eastAsia="宋体" w:cs="宋体"/>
                <w:color w:val="auto"/>
                <w:spacing w:val="0"/>
                <w:sz w:val="24"/>
                <w:szCs w:val="24"/>
                <w:highlight w:val="none"/>
              </w:rPr>
            </w:pPr>
          </w:p>
        </w:tc>
      </w:tr>
      <w:tr w14:paraId="208A5D9A">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397" w:hRule="atLeast"/>
          <w:jc w:val="center"/>
        </w:trPr>
        <w:tc>
          <w:tcPr>
            <w:tcW w:w="709" w:type="dxa"/>
            <w:shd w:val="clear" w:color="auto" w:fill="auto"/>
            <w:vAlign w:val="center"/>
          </w:tcPr>
          <w:p w14:paraId="0CC7C736">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continue"/>
            <w:tcBorders>
              <w:right w:val="single" w:color="auto" w:sz="4" w:space="0"/>
            </w:tcBorders>
            <w:shd w:val="clear" w:color="auto" w:fill="auto"/>
            <w:vAlign w:val="center"/>
          </w:tcPr>
          <w:p w14:paraId="64312362">
            <w:pPr>
              <w:pStyle w:val="12"/>
              <w:jc w:val="center"/>
              <w:rPr>
                <w:rFonts w:hint="eastAsia" w:ascii="宋体" w:hAnsi="宋体" w:eastAsia="宋体" w:cs="宋体"/>
                <w:color w:val="auto"/>
                <w:spacing w:val="0"/>
                <w:sz w:val="24"/>
                <w:szCs w:val="24"/>
                <w:highlight w:val="none"/>
              </w:rPr>
            </w:pPr>
          </w:p>
        </w:tc>
        <w:tc>
          <w:tcPr>
            <w:tcW w:w="1108" w:type="dxa"/>
            <w:vMerge w:val="continue"/>
            <w:tcBorders>
              <w:left w:val="single" w:color="auto" w:sz="4" w:space="0"/>
            </w:tcBorders>
            <w:shd w:val="clear" w:color="auto" w:fill="auto"/>
            <w:vAlign w:val="center"/>
          </w:tcPr>
          <w:p w14:paraId="67EAC75E">
            <w:pPr>
              <w:pStyle w:val="12"/>
              <w:jc w:val="center"/>
              <w:rPr>
                <w:rFonts w:hint="eastAsia" w:ascii="宋体" w:hAnsi="宋体" w:eastAsia="宋体" w:cs="宋体"/>
                <w:color w:val="auto"/>
                <w:spacing w:val="0"/>
                <w:sz w:val="24"/>
                <w:szCs w:val="24"/>
                <w:highlight w:val="none"/>
              </w:rPr>
            </w:pPr>
          </w:p>
        </w:tc>
        <w:tc>
          <w:tcPr>
            <w:tcW w:w="6341" w:type="dxa"/>
            <w:vMerge w:val="continue"/>
            <w:shd w:val="clear" w:color="auto" w:fill="auto"/>
            <w:vAlign w:val="center"/>
          </w:tcPr>
          <w:p w14:paraId="2CE212BD">
            <w:pPr>
              <w:pStyle w:val="12"/>
              <w:ind w:firstLine="480" w:firstLineChars="200"/>
              <w:jc w:val="both"/>
              <w:rPr>
                <w:rFonts w:hint="eastAsia" w:ascii="宋体" w:hAnsi="宋体" w:eastAsia="宋体" w:cs="宋体"/>
                <w:color w:val="auto"/>
                <w:spacing w:val="0"/>
                <w:sz w:val="24"/>
                <w:szCs w:val="24"/>
                <w:highlight w:val="none"/>
              </w:rPr>
            </w:pPr>
          </w:p>
        </w:tc>
        <w:tc>
          <w:tcPr>
            <w:tcW w:w="1335" w:type="dxa"/>
            <w:vMerge w:val="continue"/>
            <w:shd w:val="clear" w:color="auto" w:fill="auto"/>
            <w:vAlign w:val="center"/>
          </w:tcPr>
          <w:p w14:paraId="007D9DAF">
            <w:pPr>
              <w:pStyle w:val="12"/>
              <w:rPr>
                <w:rFonts w:hint="eastAsia" w:ascii="宋体" w:hAnsi="宋体" w:eastAsia="宋体" w:cs="宋体"/>
                <w:color w:val="auto"/>
                <w:spacing w:val="0"/>
                <w:sz w:val="24"/>
                <w:szCs w:val="24"/>
                <w:highlight w:val="none"/>
              </w:rPr>
            </w:pPr>
          </w:p>
        </w:tc>
      </w:tr>
      <w:tr w14:paraId="0DF8FFE8">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397" w:hRule="atLeast"/>
          <w:jc w:val="center"/>
        </w:trPr>
        <w:tc>
          <w:tcPr>
            <w:tcW w:w="709" w:type="dxa"/>
            <w:shd w:val="clear" w:color="auto" w:fill="auto"/>
            <w:vAlign w:val="center"/>
          </w:tcPr>
          <w:p w14:paraId="4D4F7194">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continue"/>
            <w:tcBorders>
              <w:right w:val="single" w:color="auto" w:sz="4" w:space="0"/>
            </w:tcBorders>
            <w:shd w:val="clear" w:color="auto" w:fill="auto"/>
            <w:vAlign w:val="center"/>
          </w:tcPr>
          <w:p w14:paraId="6A06AFFC">
            <w:pPr>
              <w:pStyle w:val="12"/>
              <w:jc w:val="center"/>
              <w:rPr>
                <w:rFonts w:hint="eastAsia" w:ascii="宋体" w:hAnsi="宋体" w:eastAsia="宋体" w:cs="宋体"/>
                <w:color w:val="auto"/>
                <w:spacing w:val="0"/>
                <w:sz w:val="24"/>
                <w:szCs w:val="24"/>
                <w:highlight w:val="none"/>
              </w:rPr>
            </w:pPr>
          </w:p>
        </w:tc>
        <w:tc>
          <w:tcPr>
            <w:tcW w:w="1108" w:type="dxa"/>
            <w:vMerge w:val="continue"/>
            <w:tcBorders>
              <w:left w:val="single" w:color="auto" w:sz="4" w:space="0"/>
            </w:tcBorders>
            <w:shd w:val="clear" w:color="auto" w:fill="auto"/>
            <w:vAlign w:val="center"/>
          </w:tcPr>
          <w:p w14:paraId="77FBC21A">
            <w:pPr>
              <w:pStyle w:val="12"/>
              <w:jc w:val="center"/>
              <w:rPr>
                <w:rFonts w:hint="eastAsia" w:ascii="宋体" w:hAnsi="宋体" w:eastAsia="宋体" w:cs="宋体"/>
                <w:color w:val="auto"/>
                <w:spacing w:val="0"/>
                <w:sz w:val="24"/>
                <w:szCs w:val="24"/>
                <w:highlight w:val="none"/>
              </w:rPr>
            </w:pPr>
          </w:p>
        </w:tc>
        <w:tc>
          <w:tcPr>
            <w:tcW w:w="6341" w:type="dxa"/>
            <w:vMerge w:val="continue"/>
            <w:shd w:val="clear" w:color="auto" w:fill="auto"/>
            <w:vAlign w:val="center"/>
          </w:tcPr>
          <w:p w14:paraId="6C4DF8EF">
            <w:pPr>
              <w:pStyle w:val="12"/>
              <w:ind w:firstLine="480" w:firstLineChars="200"/>
              <w:jc w:val="both"/>
              <w:rPr>
                <w:rFonts w:hint="eastAsia" w:ascii="宋体" w:hAnsi="宋体" w:eastAsia="宋体" w:cs="宋体"/>
                <w:color w:val="auto"/>
                <w:spacing w:val="0"/>
                <w:sz w:val="24"/>
                <w:szCs w:val="24"/>
                <w:highlight w:val="none"/>
              </w:rPr>
            </w:pPr>
          </w:p>
        </w:tc>
        <w:tc>
          <w:tcPr>
            <w:tcW w:w="1335" w:type="dxa"/>
            <w:vMerge w:val="continue"/>
            <w:shd w:val="clear" w:color="auto" w:fill="auto"/>
            <w:vAlign w:val="center"/>
          </w:tcPr>
          <w:p w14:paraId="39BDEB50">
            <w:pPr>
              <w:pStyle w:val="12"/>
              <w:rPr>
                <w:rFonts w:hint="eastAsia" w:ascii="宋体" w:hAnsi="宋体" w:eastAsia="宋体" w:cs="宋体"/>
                <w:color w:val="auto"/>
                <w:spacing w:val="0"/>
                <w:sz w:val="24"/>
                <w:szCs w:val="24"/>
                <w:highlight w:val="none"/>
              </w:rPr>
            </w:pPr>
          </w:p>
        </w:tc>
      </w:tr>
      <w:tr w14:paraId="55E32E7D">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397" w:hRule="atLeast"/>
          <w:jc w:val="center"/>
        </w:trPr>
        <w:tc>
          <w:tcPr>
            <w:tcW w:w="709" w:type="dxa"/>
            <w:shd w:val="clear" w:color="auto" w:fill="auto"/>
            <w:vAlign w:val="center"/>
          </w:tcPr>
          <w:p w14:paraId="28B19806">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continue"/>
            <w:tcBorders>
              <w:right w:val="single" w:color="auto" w:sz="4" w:space="0"/>
            </w:tcBorders>
            <w:shd w:val="clear" w:color="auto" w:fill="auto"/>
            <w:vAlign w:val="center"/>
          </w:tcPr>
          <w:p w14:paraId="5A508354">
            <w:pPr>
              <w:pStyle w:val="12"/>
              <w:jc w:val="center"/>
              <w:rPr>
                <w:rFonts w:hint="eastAsia" w:ascii="宋体" w:hAnsi="宋体" w:eastAsia="宋体" w:cs="宋体"/>
                <w:color w:val="auto"/>
                <w:spacing w:val="0"/>
                <w:sz w:val="24"/>
                <w:szCs w:val="24"/>
                <w:highlight w:val="none"/>
              </w:rPr>
            </w:pPr>
          </w:p>
        </w:tc>
        <w:tc>
          <w:tcPr>
            <w:tcW w:w="1108" w:type="dxa"/>
            <w:vMerge w:val="continue"/>
            <w:tcBorders>
              <w:left w:val="single" w:color="auto" w:sz="4" w:space="0"/>
            </w:tcBorders>
            <w:shd w:val="clear" w:color="auto" w:fill="auto"/>
            <w:vAlign w:val="center"/>
          </w:tcPr>
          <w:p w14:paraId="60356B1B">
            <w:pPr>
              <w:pStyle w:val="12"/>
              <w:jc w:val="center"/>
              <w:rPr>
                <w:rFonts w:hint="eastAsia" w:ascii="宋体" w:hAnsi="宋体" w:eastAsia="宋体" w:cs="宋体"/>
                <w:color w:val="auto"/>
                <w:spacing w:val="0"/>
                <w:sz w:val="24"/>
                <w:szCs w:val="24"/>
                <w:highlight w:val="none"/>
              </w:rPr>
            </w:pPr>
          </w:p>
        </w:tc>
        <w:tc>
          <w:tcPr>
            <w:tcW w:w="6341" w:type="dxa"/>
            <w:vMerge w:val="continue"/>
            <w:shd w:val="clear" w:color="auto" w:fill="auto"/>
            <w:vAlign w:val="center"/>
          </w:tcPr>
          <w:p w14:paraId="74F03AF2">
            <w:pPr>
              <w:pStyle w:val="12"/>
              <w:ind w:firstLine="480" w:firstLineChars="200"/>
              <w:jc w:val="both"/>
              <w:rPr>
                <w:rFonts w:hint="eastAsia" w:ascii="宋体" w:hAnsi="宋体" w:eastAsia="宋体" w:cs="宋体"/>
                <w:color w:val="auto"/>
                <w:spacing w:val="0"/>
                <w:sz w:val="24"/>
                <w:szCs w:val="24"/>
                <w:highlight w:val="none"/>
              </w:rPr>
            </w:pPr>
          </w:p>
        </w:tc>
        <w:tc>
          <w:tcPr>
            <w:tcW w:w="1335" w:type="dxa"/>
            <w:vMerge w:val="continue"/>
            <w:shd w:val="clear" w:color="auto" w:fill="auto"/>
            <w:vAlign w:val="center"/>
          </w:tcPr>
          <w:p w14:paraId="09661E61">
            <w:pPr>
              <w:pStyle w:val="12"/>
              <w:rPr>
                <w:rFonts w:hint="eastAsia" w:ascii="宋体" w:hAnsi="宋体" w:eastAsia="宋体" w:cs="宋体"/>
                <w:color w:val="auto"/>
                <w:spacing w:val="0"/>
                <w:sz w:val="24"/>
                <w:szCs w:val="24"/>
                <w:highlight w:val="none"/>
              </w:rPr>
            </w:pPr>
          </w:p>
        </w:tc>
      </w:tr>
      <w:tr w14:paraId="7C84B0AA">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397" w:hRule="atLeast"/>
          <w:jc w:val="center"/>
        </w:trPr>
        <w:tc>
          <w:tcPr>
            <w:tcW w:w="709" w:type="dxa"/>
            <w:shd w:val="clear" w:color="auto" w:fill="auto"/>
            <w:vAlign w:val="center"/>
          </w:tcPr>
          <w:p w14:paraId="01454E04">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continue"/>
            <w:tcBorders>
              <w:right w:val="single" w:color="auto" w:sz="4" w:space="0"/>
            </w:tcBorders>
            <w:shd w:val="clear" w:color="auto" w:fill="auto"/>
            <w:vAlign w:val="center"/>
          </w:tcPr>
          <w:p w14:paraId="4CA13332">
            <w:pPr>
              <w:pStyle w:val="12"/>
              <w:jc w:val="center"/>
              <w:rPr>
                <w:rFonts w:hint="eastAsia" w:ascii="宋体" w:hAnsi="宋体" w:eastAsia="宋体" w:cs="宋体"/>
                <w:color w:val="auto"/>
                <w:spacing w:val="0"/>
                <w:sz w:val="24"/>
                <w:szCs w:val="24"/>
                <w:highlight w:val="none"/>
              </w:rPr>
            </w:pPr>
          </w:p>
        </w:tc>
        <w:tc>
          <w:tcPr>
            <w:tcW w:w="1108" w:type="dxa"/>
            <w:vMerge w:val="continue"/>
            <w:tcBorders>
              <w:left w:val="single" w:color="auto" w:sz="4" w:space="0"/>
            </w:tcBorders>
            <w:shd w:val="clear" w:color="auto" w:fill="auto"/>
            <w:vAlign w:val="center"/>
          </w:tcPr>
          <w:p w14:paraId="62688BE6">
            <w:pPr>
              <w:pStyle w:val="12"/>
              <w:jc w:val="center"/>
              <w:rPr>
                <w:rFonts w:hint="eastAsia" w:ascii="宋体" w:hAnsi="宋体" w:eastAsia="宋体" w:cs="宋体"/>
                <w:color w:val="auto"/>
                <w:spacing w:val="0"/>
                <w:sz w:val="24"/>
                <w:szCs w:val="24"/>
                <w:highlight w:val="none"/>
              </w:rPr>
            </w:pPr>
          </w:p>
        </w:tc>
        <w:tc>
          <w:tcPr>
            <w:tcW w:w="6341" w:type="dxa"/>
            <w:vMerge w:val="continue"/>
            <w:shd w:val="clear" w:color="auto" w:fill="auto"/>
            <w:vAlign w:val="center"/>
          </w:tcPr>
          <w:p w14:paraId="6C9E81E0">
            <w:pPr>
              <w:pStyle w:val="12"/>
              <w:ind w:firstLine="480" w:firstLineChars="200"/>
              <w:jc w:val="both"/>
              <w:rPr>
                <w:rFonts w:hint="eastAsia" w:ascii="宋体" w:hAnsi="宋体" w:eastAsia="宋体" w:cs="宋体"/>
                <w:color w:val="auto"/>
                <w:spacing w:val="0"/>
                <w:sz w:val="24"/>
                <w:szCs w:val="24"/>
                <w:highlight w:val="none"/>
              </w:rPr>
            </w:pPr>
          </w:p>
        </w:tc>
        <w:tc>
          <w:tcPr>
            <w:tcW w:w="1335" w:type="dxa"/>
            <w:vMerge w:val="continue"/>
            <w:shd w:val="clear" w:color="auto" w:fill="auto"/>
            <w:vAlign w:val="center"/>
          </w:tcPr>
          <w:p w14:paraId="4BB3C617">
            <w:pPr>
              <w:pStyle w:val="12"/>
              <w:rPr>
                <w:rFonts w:hint="eastAsia" w:ascii="宋体" w:hAnsi="宋体" w:eastAsia="宋体" w:cs="宋体"/>
                <w:color w:val="auto"/>
                <w:spacing w:val="0"/>
                <w:sz w:val="24"/>
                <w:szCs w:val="24"/>
                <w:highlight w:val="none"/>
              </w:rPr>
            </w:pPr>
          </w:p>
        </w:tc>
      </w:tr>
      <w:tr w14:paraId="1CFA44F6">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689" w:hRule="atLeast"/>
          <w:jc w:val="center"/>
        </w:trPr>
        <w:tc>
          <w:tcPr>
            <w:tcW w:w="709" w:type="dxa"/>
            <w:shd w:val="clear" w:color="auto" w:fill="auto"/>
            <w:vAlign w:val="center"/>
          </w:tcPr>
          <w:p w14:paraId="31AD5E26">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restart"/>
            <w:shd w:val="clear" w:color="auto" w:fill="auto"/>
            <w:vAlign w:val="center"/>
          </w:tcPr>
          <w:p w14:paraId="5C5D1ED5">
            <w:pPr>
              <w:pStyle w:val="12"/>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设施设备维护</w:t>
            </w:r>
          </w:p>
        </w:tc>
        <w:tc>
          <w:tcPr>
            <w:tcW w:w="1108" w:type="dxa"/>
            <w:shd w:val="clear" w:color="auto" w:fill="auto"/>
            <w:vAlign w:val="center"/>
          </w:tcPr>
          <w:p w14:paraId="1F6E285A">
            <w:pPr>
              <w:pStyle w:val="12"/>
              <w:jc w:val="center"/>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主要内容</w:t>
            </w:r>
          </w:p>
        </w:tc>
        <w:tc>
          <w:tcPr>
            <w:tcW w:w="6341" w:type="dxa"/>
            <w:shd w:val="clear" w:color="auto" w:fill="auto"/>
            <w:vAlign w:val="center"/>
          </w:tcPr>
          <w:p w14:paraId="1F6B8403">
            <w:pPr>
              <w:pStyle w:val="12"/>
              <w:numPr>
                <w:ilvl w:val="0"/>
                <w:numId w:val="0"/>
              </w:numPr>
              <w:ind w:firstLine="480" w:firstLineChars="200"/>
              <w:jc w:val="both"/>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（1）具有特种设备（A4）安全管理员证及电工证；</w:t>
            </w:r>
          </w:p>
          <w:p w14:paraId="4CDB2A46">
            <w:pPr>
              <w:pStyle w:val="12"/>
              <w:numPr>
                <w:ilvl w:val="0"/>
                <w:numId w:val="0"/>
              </w:numPr>
              <w:ind w:firstLine="480" w:firstLineChars="200"/>
              <w:jc w:val="both"/>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 xml:space="preserve">（2）负责维护大队机关大院水、电设备设施日常巡视；发电机组、配电房设施设备、消防设备日常维护。 </w:t>
            </w:r>
          </w:p>
          <w:p w14:paraId="5F9A3ACE">
            <w:pPr>
              <w:pStyle w:val="12"/>
              <w:numPr>
                <w:ilvl w:val="0"/>
                <w:numId w:val="0"/>
              </w:numPr>
              <w:ind w:firstLine="480" w:firstLineChars="200"/>
              <w:jc w:val="both"/>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 xml:space="preserve">（3）给排水设备维护：给排水系统的设备、设施，如水泵、消火栓、管道、管件、阀门、水嘴、卫生洁具、室外排水管及附属构筑物等进行日常养护维修，保持正常运行； </w:t>
            </w:r>
          </w:p>
          <w:p w14:paraId="3D8BFA6C">
            <w:pPr>
              <w:pStyle w:val="12"/>
              <w:numPr>
                <w:ilvl w:val="0"/>
                <w:numId w:val="0"/>
              </w:numPr>
              <w:ind w:firstLine="480" w:firstLineChars="200"/>
              <w:jc w:val="both"/>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 xml:space="preserve">（4）供电设备维护：供电系统高、低压电器设备、电线电缆、电气照明装置等设备进行日常管理和维修，保持正常运行，同时配合供电部门对供电设备的维修工作； </w:t>
            </w:r>
          </w:p>
          <w:p w14:paraId="78418C50">
            <w:pPr>
              <w:pStyle w:val="12"/>
              <w:numPr>
                <w:ilvl w:val="0"/>
                <w:numId w:val="0"/>
              </w:numPr>
              <w:ind w:firstLine="480" w:firstLineChars="200"/>
              <w:jc w:val="both"/>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 xml:space="preserve">（5）消防设备和监控设备维护：定期对消防、监控主机及各消防、监控点的设备进行巡查，确保运行无故障；定期对室外的消防栓等设备进行检查，是否有埋压或损坏和失效等情况；定期对消防栓进行检查，设施是否齐全；定期其他形式的消防设施、设备进行检查，是否有遮挡或损坏等情况；定期对灭火器进行检查更换，是否有压力不足或缺少等情况；定期对排烟通风口、消防通道进行检查，是否有遮挡或堵塞。同时负责上述检查缺陷的修复和复原；  </w:t>
            </w:r>
          </w:p>
          <w:p w14:paraId="1AC7F848">
            <w:pPr>
              <w:pStyle w:val="12"/>
              <w:numPr>
                <w:ilvl w:val="0"/>
                <w:numId w:val="0"/>
              </w:numPr>
              <w:ind w:firstLine="480" w:firstLineChars="200"/>
              <w:jc w:val="both"/>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（6）根据各股室需求及时完成各零星维修。</w:t>
            </w:r>
          </w:p>
          <w:p w14:paraId="0A13DF54">
            <w:pPr>
              <w:pStyle w:val="12"/>
              <w:numPr>
                <w:ilvl w:val="0"/>
                <w:numId w:val="0"/>
              </w:numPr>
              <w:ind w:firstLine="480" w:firstLineChars="200"/>
              <w:jc w:val="both"/>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（7）大队科目一考场日常零星维修。</w:t>
            </w:r>
          </w:p>
          <w:p w14:paraId="612163C6">
            <w:pPr>
              <w:pStyle w:val="12"/>
              <w:numPr>
                <w:ilvl w:val="0"/>
                <w:numId w:val="0"/>
              </w:numPr>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kern w:val="2"/>
                <w:sz w:val="24"/>
                <w:szCs w:val="24"/>
                <w:highlight w:val="none"/>
                <w:lang w:val="en-US" w:eastAsia="zh-CN" w:bidi="ar-SA"/>
              </w:rPr>
              <w:t>（8）配电设施设备、供水设施设备运行管理及日常养护。</w:t>
            </w:r>
          </w:p>
        </w:tc>
        <w:tc>
          <w:tcPr>
            <w:tcW w:w="1335" w:type="dxa"/>
            <w:shd w:val="clear" w:color="auto" w:fill="auto"/>
            <w:vAlign w:val="center"/>
          </w:tcPr>
          <w:p w14:paraId="0412DE7D">
            <w:pPr>
              <w:pStyle w:val="12"/>
              <w:rPr>
                <w:rFonts w:hint="eastAsia" w:ascii="宋体" w:hAnsi="宋体" w:eastAsia="宋体" w:cs="宋体"/>
                <w:color w:val="auto"/>
                <w:spacing w:val="0"/>
                <w:sz w:val="24"/>
                <w:szCs w:val="24"/>
                <w:highlight w:val="none"/>
              </w:rPr>
            </w:pPr>
          </w:p>
        </w:tc>
      </w:tr>
      <w:tr w14:paraId="05B129B6">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907" w:hRule="atLeast"/>
          <w:jc w:val="center"/>
        </w:trPr>
        <w:tc>
          <w:tcPr>
            <w:tcW w:w="709" w:type="dxa"/>
            <w:shd w:val="clear" w:color="auto" w:fill="auto"/>
            <w:vAlign w:val="center"/>
          </w:tcPr>
          <w:p w14:paraId="3C9DD104">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continue"/>
            <w:shd w:val="clear" w:color="auto" w:fill="auto"/>
            <w:vAlign w:val="center"/>
          </w:tcPr>
          <w:p w14:paraId="4F7B689B">
            <w:pPr>
              <w:pStyle w:val="12"/>
              <w:jc w:val="center"/>
              <w:rPr>
                <w:rFonts w:hint="eastAsia" w:ascii="宋体" w:hAnsi="宋体" w:eastAsia="宋体" w:cs="宋体"/>
                <w:color w:val="auto"/>
                <w:spacing w:val="0"/>
                <w:sz w:val="24"/>
                <w:szCs w:val="24"/>
                <w:highlight w:val="none"/>
              </w:rPr>
            </w:pPr>
          </w:p>
        </w:tc>
        <w:tc>
          <w:tcPr>
            <w:tcW w:w="1108" w:type="dxa"/>
            <w:vMerge w:val="restart"/>
            <w:shd w:val="clear" w:color="auto" w:fill="auto"/>
            <w:vAlign w:val="center"/>
          </w:tcPr>
          <w:p w14:paraId="330828C1">
            <w:pPr>
              <w:pStyle w:val="12"/>
              <w:jc w:val="center"/>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总体质量要求</w:t>
            </w:r>
          </w:p>
        </w:tc>
        <w:tc>
          <w:tcPr>
            <w:tcW w:w="6341" w:type="dxa"/>
            <w:shd w:val="clear" w:color="auto" w:fill="auto"/>
            <w:vAlign w:val="center"/>
          </w:tcPr>
          <w:p w14:paraId="4BD02FB9">
            <w:pPr>
              <w:pStyle w:val="12"/>
              <w:spacing w:line="320" w:lineRule="exact"/>
              <w:ind w:firstLine="480" w:firstLineChars="200"/>
              <w:jc w:val="lef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日常设备运行中建立运行数据登记、交接班、信息反馈等管理制度。对日常工作制定运行管理制度：定人、定时开、关设备，及时发现设备和相关设施在使用过程中的隐患，按照建立的信息反馈制度及时维修、保养，及时反馈采购人，杜绝安全事故发生。对突发事件，应编制相应的突发事件处置预案，做好应对措施，妥善及时处理事件。</w:t>
            </w:r>
          </w:p>
        </w:tc>
        <w:tc>
          <w:tcPr>
            <w:tcW w:w="1335" w:type="dxa"/>
            <w:shd w:val="clear" w:color="auto" w:fill="auto"/>
            <w:vAlign w:val="center"/>
          </w:tcPr>
          <w:p w14:paraId="20336169">
            <w:pPr>
              <w:pStyle w:val="12"/>
              <w:rPr>
                <w:rFonts w:hint="eastAsia" w:ascii="宋体" w:hAnsi="宋体" w:eastAsia="宋体" w:cs="宋体"/>
                <w:color w:val="auto"/>
                <w:spacing w:val="0"/>
                <w:sz w:val="24"/>
                <w:szCs w:val="24"/>
                <w:highlight w:val="none"/>
              </w:rPr>
            </w:pPr>
          </w:p>
        </w:tc>
      </w:tr>
      <w:tr w14:paraId="38FFA451">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907" w:hRule="atLeast"/>
          <w:jc w:val="center"/>
        </w:trPr>
        <w:tc>
          <w:tcPr>
            <w:tcW w:w="709" w:type="dxa"/>
            <w:shd w:val="clear" w:color="auto" w:fill="auto"/>
            <w:vAlign w:val="center"/>
          </w:tcPr>
          <w:p w14:paraId="715A2679">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continue"/>
            <w:shd w:val="clear" w:color="auto" w:fill="auto"/>
            <w:vAlign w:val="center"/>
          </w:tcPr>
          <w:p w14:paraId="6AF84C18">
            <w:pPr>
              <w:pStyle w:val="12"/>
              <w:jc w:val="center"/>
              <w:rPr>
                <w:rFonts w:hint="eastAsia" w:ascii="宋体" w:hAnsi="宋体" w:eastAsia="宋体" w:cs="宋体"/>
                <w:color w:val="auto"/>
                <w:spacing w:val="0"/>
                <w:sz w:val="24"/>
                <w:szCs w:val="24"/>
                <w:highlight w:val="none"/>
              </w:rPr>
            </w:pPr>
          </w:p>
        </w:tc>
        <w:tc>
          <w:tcPr>
            <w:tcW w:w="1108" w:type="dxa"/>
            <w:vMerge w:val="continue"/>
            <w:shd w:val="clear" w:color="auto" w:fill="auto"/>
            <w:vAlign w:val="center"/>
          </w:tcPr>
          <w:p w14:paraId="455D5586">
            <w:pPr>
              <w:pStyle w:val="12"/>
              <w:jc w:val="center"/>
              <w:rPr>
                <w:rFonts w:hint="eastAsia" w:ascii="宋体" w:hAnsi="宋体" w:eastAsia="宋体" w:cs="宋体"/>
                <w:color w:val="auto"/>
                <w:spacing w:val="0"/>
                <w:sz w:val="24"/>
                <w:szCs w:val="24"/>
                <w:highlight w:val="none"/>
              </w:rPr>
            </w:pPr>
          </w:p>
        </w:tc>
        <w:tc>
          <w:tcPr>
            <w:tcW w:w="6341" w:type="dxa"/>
            <w:shd w:val="clear" w:color="auto" w:fill="auto"/>
            <w:vAlign w:val="center"/>
          </w:tcPr>
          <w:p w14:paraId="082AA35A">
            <w:pPr>
              <w:pStyle w:val="12"/>
              <w:spacing w:line="320" w:lineRule="exact"/>
              <w:ind w:firstLine="480" w:firstLineChars="200"/>
              <w:jc w:val="lef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制定设备管理维护工作计划建立服务管理资料的收集、分类整理、归档管理制度。认真执行各种制度和流程，并对管理服务产生的记录、图表、函件等进行整理归档。</w:t>
            </w:r>
          </w:p>
        </w:tc>
        <w:tc>
          <w:tcPr>
            <w:tcW w:w="1335" w:type="dxa"/>
            <w:shd w:val="clear" w:color="auto" w:fill="auto"/>
            <w:vAlign w:val="center"/>
          </w:tcPr>
          <w:p w14:paraId="0FB7506F">
            <w:pPr>
              <w:pStyle w:val="12"/>
              <w:rPr>
                <w:rFonts w:hint="eastAsia" w:ascii="宋体" w:hAnsi="宋体" w:eastAsia="宋体" w:cs="宋体"/>
                <w:color w:val="auto"/>
                <w:spacing w:val="0"/>
                <w:sz w:val="24"/>
                <w:szCs w:val="24"/>
                <w:highlight w:val="none"/>
              </w:rPr>
            </w:pPr>
          </w:p>
        </w:tc>
      </w:tr>
      <w:tr w14:paraId="4E1C2783">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907" w:hRule="atLeast"/>
          <w:jc w:val="center"/>
        </w:trPr>
        <w:tc>
          <w:tcPr>
            <w:tcW w:w="709" w:type="dxa"/>
            <w:shd w:val="clear" w:color="auto" w:fill="auto"/>
            <w:vAlign w:val="center"/>
          </w:tcPr>
          <w:p w14:paraId="62D3A98D">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continue"/>
            <w:shd w:val="clear" w:color="auto" w:fill="auto"/>
            <w:vAlign w:val="center"/>
          </w:tcPr>
          <w:p w14:paraId="67FA715A">
            <w:pPr>
              <w:pStyle w:val="12"/>
              <w:jc w:val="center"/>
              <w:rPr>
                <w:rFonts w:hint="eastAsia" w:ascii="宋体" w:hAnsi="宋体" w:eastAsia="宋体" w:cs="宋体"/>
                <w:color w:val="auto"/>
                <w:spacing w:val="0"/>
                <w:sz w:val="24"/>
                <w:szCs w:val="24"/>
                <w:highlight w:val="none"/>
              </w:rPr>
            </w:pPr>
          </w:p>
        </w:tc>
        <w:tc>
          <w:tcPr>
            <w:tcW w:w="1108" w:type="dxa"/>
            <w:vMerge w:val="continue"/>
            <w:shd w:val="clear" w:color="auto" w:fill="auto"/>
            <w:vAlign w:val="center"/>
          </w:tcPr>
          <w:p w14:paraId="6E3DB7CC">
            <w:pPr>
              <w:pStyle w:val="12"/>
              <w:jc w:val="center"/>
              <w:rPr>
                <w:rFonts w:hint="eastAsia" w:ascii="宋体" w:hAnsi="宋体" w:eastAsia="宋体" w:cs="宋体"/>
                <w:color w:val="auto"/>
                <w:spacing w:val="0"/>
                <w:sz w:val="24"/>
                <w:szCs w:val="24"/>
                <w:highlight w:val="none"/>
              </w:rPr>
            </w:pPr>
          </w:p>
        </w:tc>
        <w:tc>
          <w:tcPr>
            <w:tcW w:w="6341" w:type="dxa"/>
            <w:shd w:val="clear" w:color="auto" w:fill="auto"/>
            <w:vAlign w:val="center"/>
          </w:tcPr>
          <w:p w14:paraId="1604EF2C">
            <w:pPr>
              <w:pStyle w:val="12"/>
              <w:spacing w:line="320" w:lineRule="exact"/>
              <w:ind w:firstLine="480" w:firstLineChars="200"/>
              <w:jc w:val="lef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val="en-US" w:eastAsia="zh-CN"/>
              </w:rPr>
              <w:t>安排具备配电、给排水等专业资质的人员，</w:t>
            </w:r>
            <w:r>
              <w:rPr>
                <w:rFonts w:hint="eastAsia" w:ascii="宋体" w:hAnsi="宋体" w:eastAsia="宋体" w:cs="宋体"/>
                <w:color w:val="auto"/>
                <w:spacing w:val="0"/>
                <w:sz w:val="24"/>
                <w:szCs w:val="24"/>
                <w:highlight w:val="none"/>
              </w:rPr>
              <w:t>负责设施设备的维护、运行操作和管理。要及时发现管理服务工作中的隐患和问题，及时反馈，及时处理，并负责对需要进行修理或更新的设施和设备提出方案与预算，报采购人批准并确定专业维保队伍进行维修。</w:t>
            </w:r>
          </w:p>
        </w:tc>
        <w:tc>
          <w:tcPr>
            <w:tcW w:w="1335" w:type="dxa"/>
            <w:shd w:val="clear" w:color="auto" w:fill="auto"/>
            <w:vAlign w:val="center"/>
          </w:tcPr>
          <w:p w14:paraId="46D40A9F">
            <w:pPr>
              <w:pStyle w:val="12"/>
              <w:rPr>
                <w:rFonts w:hint="eastAsia" w:ascii="宋体" w:hAnsi="宋体" w:eastAsia="宋体" w:cs="宋体"/>
                <w:color w:val="auto"/>
                <w:spacing w:val="0"/>
                <w:sz w:val="24"/>
                <w:szCs w:val="24"/>
                <w:highlight w:val="none"/>
              </w:rPr>
            </w:pPr>
          </w:p>
        </w:tc>
      </w:tr>
      <w:tr w14:paraId="4C999957">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907" w:hRule="atLeast"/>
          <w:jc w:val="center"/>
        </w:trPr>
        <w:tc>
          <w:tcPr>
            <w:tcW w:w="709" w:type="dxa"/>
            <w:shd w:val="clear" w:color="auto" w:fill="auto"/>
            <w:vAlign w:val="center"/>
          </w:tcPr>
          <w:p w14:paraId="59410CE4">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continue"/>
            <w:shd w:val="clear" w:color="auto" w:fill="auto"/>
            <w:vAlign w:val="center"/>
          </w:tcPr>
          <w:p w14:paraId="78A9F855">
            <w:pPr>
              <w:pStyle w:val="12"/>
              <w:jc w:val="center"/>
              <w:rPr>
                <w:rFonts w:hint="eastAsia" w:ascii="宋体" w:hAnsi="宋体" w:eastAsia="宋体" w:cs="宋体"/>
                <w:color w:val="auto"/>
                <w:spacing w:val="0"/>
                <w:sz w:val="24"/>
                <w:szCs w:val="24"/>
                <w:highlight w:val="none"/>
              </w:rPr>
            </w:pPr>
          </w:p>
        </w:tc>
        <w:tc>
          <w:tcPr>
            <w:tcW w:w="1108" w:type="dxa"/>
            <w:vMerge w:val="continue"/>
            <w:shd w:val="clear" w:color="auto" w:fill="auto"/>
            <w:vAlign w:val="center"/>
          </w:tcPr>
          <w:p w14:paraId="2D7FE9D4">
            <w:pPr>
              <w:pStyle w:val="12"/>
              <w:jc w:val="center"/>
              <w:rPr>
                <w:rFonts w:hint="eastAsia" w:ascii="宋体" w:hAnsi="宋体" w:eastAsia="宋体" w:cs="宋体"/>
                <w:color w:val="auto"/>
                <w:spacing w:val="0"/>
                <w:sz w:val="24"/>
                <w:szCs w:val="24"/>
                <w:highlight w:val="none"/>
              </w:rPr>
            </w:pPr>
          </w:p>
        </w:tc>
        <w:tc>
          <w:tcPr>
            <w:tcW w:w="6341" w:type="dxa"/>
            <w:shd w:val="clear" w:color="auto" w:fill="auto"/>
            <w:vAlign w:val="center"/>
          </w:tcPr>
          <w:p w14:paraId="60C943A6">
            <w:pPr>
              <w:pStyle w:val="12"/>
              <w:spacing w:line="320" w:lineRule="exact"/>
              <w:ind w:firstLine="480" w:firstLineChars="200"/>
              <w:jc w:val="lef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对机关大院公共部位的用电、用水设备、消防设备、水泵、水箱及阀门管线等进行日常维护和维修，经确认损坏需更换设备及零配件，通过信息反馈制度，及时反馈采购人，由采购人统一购买，乙方维修人员具体维修。</w:t>
            </w:r>
          </w:p>
        </w:tc>
        <w:tc>
          <w:tcPr>
            <w:tcW w:w="1335" w:type="dxa"/>
            <w:shd w:val="clear" w:color="auto" w:fill="auto"/>
            <w:vAlign w:val="center"/>
          </w:tcPr>
          <w:p w14:paraId="7C88C401">
            <w:pPr>
              <w:pStyle w:val="12"/>
              <w:rPr>
                <w:rFonts w:hint="eastAsia" w:ascii="宋体" w:hAnsi="宋体" w:eastAsia="宋体" w:cs="宋体"/>
                <w:color w:val="auto"/>
                <w:spacing w:val="0"/>
                <w:sz w:val="24"/>
                <w:szCs w:val="24"/>
                <w:highlight w:val="none"/>
              </w:rPr>
            </w:pPr>
          </w:p>
        </w:tc>
      </w:tr>
      <w:tr w14:paraId="1FD8B238">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907" w:hRule="atLeast"/>
          <w:jc w:val="center"/>
        </w:trPr>
        <w:tc>
          <w:tcPr>
            <w:tcW w:w="709" w:type="dxa"/>
            <w:shd w:val="clear" w:color="auto" w:fill="auto"/>
            <w:vAlign w:val="center"/>
          </w:tcPr>
          <w:p w14:paraId="7E02376E">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continue"/>
            <w:shd w:val="clear" w:color="auto" w:fill="auto"/>
            <w:vAlign w:val="center"/>
          </w:tcPr>
          <w:p w14:paraId="730CE2F7">
            <w:pPr>
              <w:pStyle w:val="12"/>
              <w:jc w:val="center"/>
              <w:rPr>
                <w:rFonts w:hint="eastAsia" w:ascii="宋体" w:hAnsi="宋体" w:eastAsia="宋体" w:cs="宋体"/>
                <w:color w:val="auto"/>
                <w:spacing w:val="0"/>
                <w:sz w:val="24"/>
                <w:szCs w:val="24"/>
                <w:highlight w:val="none"/>
              </w:rPr>
            </w:pPr>
          </w:p>
        </w:tc>
        <w:tc>
          <w:tcPr>
            <w:tcW w:w="1108" w:type="dxa"/>
            <w:vMerge w:val="continue"/>
            <w:shd w:val="clear" w:color="auto" w:fill="auto"/>
            <w:vAlign w:val="center"/>
          </w:tcPr>
          <w:p w14:paraId="57D0BFCB">
            <w:pPr>
              <w:pStyle w:val="12"/>
              <w:jc w:val="center"/>
              <w:rPr>
                <w:rFonts w:hint="eastAsia" w:ascii="宋体" w:hAnsi="宋体" w:eastAsia="宋体" w:cs="宋体"/>
                <w:color w:val="auto"/>
                <w:spacing w:val="0"/>
                <w:sz w:val="24"/>
                <w:szCs w:val="24"/>
                <w:highlight w:val="none"/>
              </w:rPr>
            </w:pPr>
          </w:p>
        </w:tc>
        <w:tc>
          <w:tcPr>
            <w:tcW w:w="6341" w:type="dxa"/>
            <w:shd w:val="clear" w:color="auto" w:fill="auto"/>
            <w:vAlign w:val="center"/>
          </w:tcPr>
          <w:p w14:paraId="06049BE7">
            <w:pPr>
              <w:pStyle w:val="12"/>
              <w:spacing w:line="320" w:lineRule="exact"/>
              <w:ind w:firstLine="480" w:firstLineChars="200"/>
              <w:jc w:val="lef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供应商</w:t>
            </w:r>
            <w:r>
              <w:rPr>
                <w:rFonts w:hint="eastAsia" w:ascii="宋体" w:hAnsi="宋体" w:eastAsia="宋体" w:cs="宋体"/>
                <w:color w:val="auto"/>
                <w:spacing w:val="0"/>
                <w:sz w:val="24"/>
                <w:szCs w:val="24"/>
                <w:highlight w:val="none"/>
              </w:rPr>
              <w:t>应承诺加强物业管理期间产生的能源消耗控制，管道井、公共部分自来水管道、楼栋水阀每日巡检，及时发现滴漏水问题，采购人将对物业管理的能源消耗核定使用标准，并进行考核。</w:t>
            </w:r>
          </w:p>
        </w:tc>
        <w:tc>
          <w:tcPr>
            <w:tcW w:w="1335" w:type="dxa"/>
            <w:shd w:val="clear" w:color="auto" w:fill="auto"/>
            <w:vAlign w:val="center"/>
          </w:tcPr>
          <w:p w14:paraId="5A17F351">
            <w:pPr>
              <w:pStyle w:val="12"/>
              <w:rPr>
                <w:rFonts w:hint="eastAsia" w:ascii="宋体" w:hAnsi="宋体" w:eastAsia="宋体" w:cs="宋体"/>
                <w:color w:val="auto"/>
                <w:spacing w:val="0"/>
                <w:sz w:val="24"/>
                <w:szCs w:val="24"/>
                <w:highlight w:val="none"/>
              </w:rPr>
            </w:pPr>
          </w:p>
        </w:tc>
      </w:tr>
      <w:tr w14:paraId="192756D8">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417" w:hRule="atLeast"/>
          <w:jc w:val="center"/>
        </w:trPr>
        <w:tc>
          <w:tcPr>
            <w:tcW w:w="709" w:type="dxa"/>
            <w:shd w:val="clear" w:color="auto" w:fill="auto"/>
            <w:vAlign w:val="center"/>
          </w:tcPr>
          <w:p w14:paraId="06E48FF8">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continue"/>
            <w:shd w:val="clear" w:color="auto" w:fill="auto"/>
            <w:vAlign w:val="center"/>
          </w:tcPr>
          <w:p w14:paraId="513DB822">
            <w:pPr>
              <w:pStyle w:val="12"/>
              <w:jc w:val="center"/>
              <w:rPr>
                <w:rFonts w:hint="eastAsia" w:ascii="宋体" w:hAnsi="宋体" w:eastAsia="宋体" w:cs="宋体"/>
                <w:color w:val="auto"/>
                <w:spacing w:val="0"/>
                <w:sz w:val="24"/>
                <w:szCs w:val="24"/>
                <w:highlight w:val="none"/>
              </w:rPr>
            </w:pPr>
          </w:p>
        </w:tc>
        <w:tc>
          <w:tcPr>
            <w:tcW w:w="1108" w:type="dxa"/>
            <w:shd w:val="clear" w:color="auto" w:fill="auto"/>
            <w:vAlign w:val="center"/>
          </w:tcPr>
          <w:p w14:paraId="5EB98CCF">
            <w:pPr>
              <w:pStyle w:val="12"/>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消防设施设备质量要求</w:t>
            </w:r>
          </w:p>
        </w:tc>
        <w:tc>
          <w:tcPr>
            <w:tcW w:w="6341" w:type="dxa"/>
            <w:shd w:val="clear" w:color="auto" w:fill="auto"/>
            <w:vAlign w:val="center"/>
          </w:tcPr>
          <w:p w14:paraId="196C436F">
            <w:pPr>
              <w:pStyle w:val="12"/>
              <w:numPr>
                <w:ilvl w:val="0"/>
                <w:numId w:val="0"/>
              </w:numPr>
              <w:spacing w:line="320" w:lineRule="exact"/>
              <w:ind w:firstLine="480" w:firstLineChars="200"/>
              <w:jc w:val="both"/>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（1）每天一次对所有消防设施设备进行巡查，做好巡查记录。消防、安全生产巡检过程发现安全隐患应及时书面报告张家界市公安局交通管理支队直属二大队。</w:t>
            </w:r>
          </w:p>
          <w:p w14:paraId="11C352FC">
            <w:pPr>
              <w:pStyle w:val="12"/>
              <w:numPr>
                <w:ilvl w:val="0"/>
                <w:numId w:val="0"/>
              </w:numPr>
              <w:spacing w:line="320" w:lineRule="exact"/>
              <w:ind w:firstLine="480" w:firstLineChars="200"/>
              <w:jc w:val="both"/>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（2）每周一次对大队办公楼、生活楼所有电井、管道井、疏散通道进行巡查，确保应急疏散通道畅通。</w:t>
            </w:r>
          </w:p>
          <w:p w14:paraId="09586242">
            <w:pPr>
              <w:pStyle w:val="12"/>
              <w:numPr>
                <w:ilvl w:val="0"/>
                <w:numId w:val="0"/>
              </w:numPr>
              <w:spacing w:line="320" w:lineRule="exact"/>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kern w:val="2"/>
                <w:sz w:val="24"/>
                <w:szCs w:val="24"/>
                <w:highlight w:val="none"/>
                <w:lang w:val="en-US" w:eastAsia="zh-CN" w:bidi="ar-SA"/>
              </w:rPr>
              <w:t>（3）按照张家界市公安局交通管理支队直属二大队消防应急预案要求，配合组织机关办公楼、生活楼应急疏散演练；组织做好物业服务单位全体工作人员消防安全培训。</w:t>
            </w:r>
          </w:p>
        </w:tc>
        <w:tc>
          <w:tcPr>
            <w:tcW w:w="1335" w:type="dxa"/>
            <w:shd w:val="clear" w:color="auto" w:fill="auto"/>
            <w:vAlign w:val="center"/>
          </w:tcPr>
          <w:p w14:paraId="7ECA2CE2">
            <w:pPr>
              <w:pStyle w:val="12"/>
              <w:rPr>
                <w:rFonts w:hint="eastAsia" w:ascii="宋体" w:hAnsi="宋体" w:eastAsia="宋体" w:cs="宋体"/>
                <w:color w:val="auto"/>
                <w:spacing w:val="0"/>
                <w:sz w:val="24"/>
                <w:szCs w:val="24"/>
                <w:highlight w:val="none"/>
              </w:rPr>
            </w:pPr>
          </w:p>
        </w:tc>
      </w:tr>
      <w:tr w14:paraId="36315313">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4269" w:hRule="atLeast"/>
          <w:jc w:val="center"/>
        </w:trPr>
        <w:tc>
          <w:tcPr>
            <w:tcW w:w="709" w:type="dxa"/>
            <w:shd w:val="clear" w:color="auto" w:fill="auto"/>
            <w:vAlign w:val="center"/>
          </w:tcPr>
          <w:p w14:paraId="1750786B">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restart"/>
            <w:shd w:val="clear" w:color="auto" w:fill="auto"/>
            <w:vAlign w:val="center"/>
          </w:tcPr>
          <w:p w14:paraId="6901F924">
            <w:pPr>
              <w:pStyle w:val="12"/>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设施设备维护</w:t>
            </w:r>
          </w:p>
        </w:tc>
        <w:tc>
          <w:tcPr>
            <w:tcW w:w="1108" w:type="dxa"/>
            <w:shd w:val="clear" w:color="auto" w:fill="auto"/>
            <w:vAlign w:val="center"/>
          </w:tcPr>
          <w:p w14:paraId="71A45C93">
            <w:pPr>
              <w:pStyle w:val="12"/>
              <w:jc w:val="center"/>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配电设施设备质量要求</w:t>
            </w:r>
          </w:p>
        </w:tc>
        <w:tc>
          <w:tcPr>
            <w:tcW w:w="6341" w:type="dxa"/>
            <w:shd w:val="clear" w:color="auto" w:fill="auto"/>
            <w:vAlign w:val="center"/>
          </w:tcPr>
          <w:p w14:paraId="58D6E024">
            <w:pPr>
              <w:pStyle w:val="12"/>
              <w:numPr>
                <w:ilvl w:val="0"/>
                <w:numId w:val="0"/>
              </w:numPr>
              <w:spacing w:line="320" w:lineRule="exact"/>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kern w:val="2"/>
                <w:sz w:val="24"/>
                <w:szCs w:val="24"/>
                <w:highlight w:val="none"/>
                <w:lang w:val="en-US" w:eastAsia="zh-CN" w:bidi="ar-SA"/>
              </w:rPr>
              <w:t>（1）</w:t>
            </w:r>
            <w:r>
              <w:rPr>
                <w:rFonts w:hint="eastAsia" w:ascii="宋体" w:hAnsi="宋体" w:eastAsia="宋体" w:cs="宋体"/>
                <w:color w:val="auto"/>
                <w:spacing w:val="0"/>
                <w:sz w:val="24"/>
                <w:szCs w:val="24"/>
                <w:highlight w:val="none"/>
              </w:rPr>
              <w:t>每</w:t>
            </w:r>
            <w:r>
              <w:rPr>
                <w:rFonts w:hint="eastAsia" w:ascii="宋体" w:hAnsi="宋体" w:eastAsia="宋体" w:cs="宋体"/>
                <w:color w:val="auto"/>
                <w:spacing w:val="0"/>
                <w:sz w:val="24"/>
                <w:szCs w:val="24"/>
                <w:highlight w:val="none"/>
                <w:lang w:eastAsia="zh-CN"/>
              </w:rPr>
              <w:t>天至少一次</w:t>
            </w:r>
            <w:r>
              <w:rPr>
                <w:rFonts w:hint="eastAsia" w:ascii="宋体" w:hAnsi="宋体" w:eastAsia="宋体" w:cs="宋体"/>
                <w:color w:val="auto"/>
                <w:spacing w:val="0"/>
                <w:sz w:val="24"/>
                <w:szCs w:val="24"/>
                <w:highlight w:val="none"/>
              </w:rPr>
              <w:t>巡查</w:t>
            </w:r>
            <w:r>
              <w:rPr>
                <w:rFonts w:hint="eastAsia" w:ascii="宋体" w:hAnsi="宋体" w:eastAsia="宋体" w:cs="宋体"/>
                <w:color w:val="auto"/>
                <w:spacing w:val="0"/>
                <w:sz w:val="24"/>
                <w:szCs w:val="24"/>
                <w:highlight w:val="none"/>
                <w:lang w:eastAsia="zh-CN"/>
              </w:rPr>
              <w:t>供电用电</w:t>
            </w:r>
            <w:r>
              <w:rPr>
                <w:rFonts w:hint="eastAsia" w:ascii="宋体" w:hAnsi="宋体" w:eastAsia="宋体" w:cs="宋体"/>
                <w:color w:val="auto"/>
                <w:spacing w:val="0"/>
                <w:sz w:val="24"/>
                <w:szCs w:val="24"/>
                <w:highlight w:val="none"/>
              </w:rPr>
              <w:t>设施设备，并做好巡查记录；每季度</w:t>
            </w:r>
            <w:r>
              <w:rPr>
                <w:rFonts w:hint="eastAsia" w:ascii="宋体" w:hAnsi="宋体" w:eastAsia="宋体" w:cs="宋体"/>
                <w:color w:val="auto"/>
                <w:spacing w:val="0"/>
                <w:sz w:val="24"/>
                <w:szCs w:val="24"/>
                <w:highlight w:val="none"/>
                <w:lang w:eastAsia="zh-CN"/>
              </w:rPr>
              <w:t>至少</w:t>
            </w:r>
            <w:r>
              <w:rPr>
                <w:rFonts w:hint="eastAsia" w:ascii="宋体" w:hAnsi="宋体" w:eastAsia="宋体" w:cs="宋体"/>
                <w:color w:val="auto"/>
                <w:spacing w:val="0"/>
                <w:sz w:val="24"/>
                <w:szCs w:val="24"/>
                <w:highlight w:val="none"/>
              </w:rPr>
              <w:t>一次对老旧用电线路检查；每年冬季对机关办公楼大功率用电器进行检查。</w:t>
            </w:r>
          </w:p>
          <w:p w14:paraId="40C09692">
            <w:pPr>
              <w:pStyle w:val="12"/>
              <w:numPr>
                <w:ilvl w:val="0"/>
                <w:numId w:val="0"/>
              </w:numPr>
              <w:spacing w:line="320" w:lineRule="exact"/>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kern w:val="2"/>
                <w:sz w:val="24"/>
                <w:szCs w:val="24"/>
                <w:highlight w:val="none"/>
                <w:lang w:val="en-US" w:eastAsia="zh-CN" w:bidi="ar-SA"/>
              </w:rPr>
              <w:t>（2）</w:t>
            </w:r>
            <w:r>
              <w:rPr>
                <w:rFonts w:hint="eastAsia" w:ascii="宋体" w:hAnsi="宋体" w:eastAsia="宋体" w:cs="宋体"/>
                <w:color w:val="auto"/>
                <w:spacing w:val="0"/>
                <w:sz w:val="24"/>
                <w:szCs w:val="24"/>
                <w:highlight w:val="none"/>
              </w:rPr>
              <w:t>按照季节时令要求，启、停机关办公楼路灯、亮化照明灯等。</w:t>
            </w:r>
          </w:p>
          <w:p w14:paraId="6299A134">
            <w:pPr>
              <w:pStyle w:val="12"/>
              <w:numPr>
                <w:ilvl w:val="0"/>
                <w:numId w:val="0"/>
              </w:numPr>
              <w:spacing w:line="320" w:lineRule="exact"/>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kern w:val="2"/>
                <w:sz w:val="24"/>
                <w:szCs w:val="24"/>
                <w:highlight w:val="none"/>
                <w:lang w:val="en-US" w:eastAsia="zh-CN" w:bidi="ar-SA"/>
              </w:rPr>
              <w:t>（3）</w:t>
            </w:r>
            <w:r>
              <w:rPr>
                <w:rFonts w:hint="eastAsia" w:ascii="宋体" w:hAnsi="宋体" w:eastAsia="宋体" w:cs="宋体"/>
                <w:color w:val="auto"/>
                <w:spacing w:val="0"/>
                <w:sz w:val="24"/>
                <w:szCs w:val="24"/>
                <w:highlight w:val="none"/>
              </w:rPr>
              <w:t>收到供电部门停电通知或需停电时，在</w:t>
            </w:r>
            <w:r>
              <w:rPr>
                <w:rFonts w:hint="eastAsia" w:ascii="宋体" w:hAnsi="宋体" w:eastAsia="宋体" w:cs="宋体"/>
                <w:color w:val="auto"/>
                <w:spacing w:val="0"/>
                <w:sz w:val="24"/>
                <w:szCs w:val="24"/>
                <w:highlight w:val="none"/>
                <w:lang w:eastAsia="zh-CN"/>
              </w:rPr>
              <w:t>单位</w:t>
            </w:r>
            <w:r>
              <w:rPr>
                <w:rFonts w:hint="eastAsia" w:ascii="宋体" w:hAnsi="宋体" w:eastAsia="宋体" w:cs="宋体"/>
                <w:color w:val="auto"/>
                <w:spacing w:val="0"/>
                <w:sz w:val="24"/>
                <w:szCs w:val="24"/>
                <w:highlight w:val="none"/>
              </w:rPr>
              <w:t>相关负责人和维保单位的指导下，做好主备供电源切换工作。</w:t>
            </w:r>
          </w:p>
          <w:p w14:paraId="298571C2">
            <w:pPr>
              <w:pStyle w:val="12"/>
              <w:numPr>
                <w:ilvl w:val="0"/>
                <w:numId w:val="0"/>
              </w:numPr>
              <w:spacing w:line="320" w:lineRule="exact"/>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kern w:val="2"/>
                <w:sz w:val="24"/>
                <w:szCs w:val="24"/>
                <w:highlight w:val="none"/>
                <w:lang w:val="en-US" w:eastAsia="zh-CN" w:bidi="ar-SA"/>
              </w:rPr>
              <w:t>（4）</w:t>
            </w:r>
            <w:r>
              <w:rPr>
                <w:rFonts w:hint="eastAsia" w:ascii="宋体" w:hAnsi="宋体" w:eastAsia="宋体" w:cs="宋体"/>
                <w:color w:val="auto"/>
                <w:spacing w:val="0"/>
                <w:sz w:val="24"/>
                <w:szCs w:val="24"/>
                <w:highlight w:val="none"/>
              </w:rPr>
              <w:t>按照市张家界市公安局交通管理支队直属二大队办公楼供电应急预案要求，发生供电故障及时通知</w:t>
            </w:r>
            <w:r>
              <w:rPr>
                <w:rFonts w:hint="eastAsia" w:ascii="宋体" w:hAnsi="宋体" w:eastAsia="宋体" w:cs="宋体"/>
                <w:color w:val="auto"/>
                <w:spacing w:val="0"/>
                <w:sz w:val="24"/>
                <w:szCs w:val="24"/>
                <w:highlight w:val="none"/>
                <w:lang w:eastAsia="zh-CN"/>
              </w:rPr>
              <w:t>单位相关负责人</w:t>
            </w:r>
            <w:r>
              <w:rPr>
                <w:rFonts w:hint="eastAsia" w:ascii="宋体" w:hAnsi="宋体" w:eastAsia="宋体" w:cs="宋体"/>
                <w:color w:val="auto"/>
                <w:spacing w:val="0"/>
                <w:sz w:val="24"/>
                <w:szCs w:val="24"/>
                <w:highlight w:val="none"/>
              </w:rPr>
              <w:t>和维保单位，在</w:t>
            </w:r>
            <w:r>
              <w:rPr>
                <w:rFonts w:hint="eastAsia" w:ascii="宋体" w:hAnsi="宋体" w:eastAsia="宋体" w:cs="宋体"/>
                <w:color w:val="auto"/>
                <w:spacing w:val="0"/>
                <w:sz w:val="24"/>
                <w:szCs w:val="24"/>
                <w:highlight w:val="none"/>
                <w:lang w:eastAsia="zh-CN"/>
              </w:rPr>
              <w:t>单位</w:t>
            </w:r>
            <w:r>
              <w:rPr>
                <w:rFonts w:hint="eastAsia" w:ascii="宋体" w:hAnsi="宋体" w:eastAsia="宋体" w:cs="宋体"/>
                <w:color w:val="auto"/>
                <w:spacing w:val="0"/>
                <w:sz w:val="24"/>
                <w:szCs w:val="24"/>
                <w:highlight w:val="none"/>
              </w:rPr>
              <w:t>相关负责人和专业维保人员的指导下，协助排除故障，做好抢修工作。</w:t>
            </w:r>
          </w:p>
          <w:p w14:paraId="56330819">
            <w:pPr>
              <w:pStyle w:val="12"/>
              <w:numPr>
                <w:ilvl w:val="0"/>
                <w:numId w:val="0"/>
              </w:numPr>
              <w:spacing w:line="320" w:lineRule="exact"/>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kern w:val="2"/>
                <w:sz w:val="24"/>
                <w:szCs w:val="24"/>
                <w:highlight w:val="none"/>
                <w:lang w:val="en-US" w:eastAsia="zh-CN" w:bidi="ar-SA"/>
              </w:rPr>
              <w:t>（5）</w:t>
            </w:r>
            <w:r>
              <w:rPr>
                <w:rFonts w:hint="eastAsia" w:ascii="宋体" w:hAnsi="宋体" w:eastAsia="宋体" w:cs="宋体"/>
                <w:color w:val="auto"/>
                <w:spacing w:val="0"/>
                <w:sz w:val="24"/>
                <w:szCs w:val="24"/>
                <w:highlight w:val="none"/>
              </w:rPr>
              <w:t>协助维保单位开展供电设施设备检测和清灰工作。</w:t>
            </w:r>
          </w:p>
          <w:p w14:paraId="46433447">
            <w:pPr>
              <w:pStyle w:val="12"/>
              <w:numPr>
                <w:ilvl w:val="0"/>
                <w:numId w:val="0"/>
              </w:numPr>
              <w:spacing w:line="320" w:lineRule="exact"/>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kern w:val="2"/>
                <w:sz w:val="24"/>
                <w:szCs w:val="24"/>
                <w:highlight w:val="none"/>
                <w:lang w:val="en-US" w:eastAsia="zh-CN" w:bidi="ar-SA"/>
              </w:rPr>
              <w:t>（6）</w:t>
            </w:r>
            <w:r>
              <w:rPr>
                <w:rFonts w:hint="eastAsia" w:ascii="宋体" w:hAnsi="宋体" w:eastAsia="宋体" w:cs="宋体"/>
                <w:color w:val="auto"/>
                <w:spacing w:val="0"/>
                <w:sz w:val="24"/>
                <w:szCs w:val="24"/>
                <w:highlight w:val="none"/>
              </w:rPr>
              <w:t>负责制作完善</w:t>
            </w:r>
            <w:r>
              <w:rPr>
                <w:rFonts w:hint="eastAsia" w:ascii="宋体" w:hAnsi="宋体" w:eastAsia="宋体" w:cs="宋体"/>
                <w:color w:val="auto"/>
                <w:spacing w:val="0"/>
                <w:sz w:val="24"/>
                <w:szCs w:val="24"/>
                <w:highlight w:val="none"/>
                <w:lang w:eastAsia="zh-CN"/>
              </w:rPr>
              <w:t>供电用电</w:t>
            </w:r>
            <w:r>
              <w:rPr>
                <w:rFonts w:hint="eastAsia" w:ascii="宋体" w:hAnsi="宋体" w:eastAsia="宋体" w:cs="宋体"/>
                <w:color w:val="auto"/>
                <w:spacing w:val="0"/>
                <w:sz w:val="24"/>
                <w:szCs w:val="24"/>
                <w:highlight w:val="none"/>
              </w:rPr>
              <w:t>警示标识；负责</w:t>
            </w:r>
            <w:r>
              <w:rPr>
                <w:rFonts w:hint="eastAsia" w:ascii="宋体" w:hAnsi="宋体" w:eastAsia="宋体" w:cs="宋体"/>
                <w:color w:val="auto"/>
                <w:spacing w:val="0"/>
                <w:sz w:val="24"/>
                <w:szCs w:val="24"/>
                <w:highlight w:val="none"/>
                <w:lang w:eastAsia="zh-CN"/>
              </w:rPr>
              <w:t>供电用电</w:t>
            </w:r>
            <w:r>
              <w:rPr>
                <w:rFonts w:hint="eastAsia" w:ascii="宋体" w:hAnsi="宋体" w:eastAsia="宋体" w:cs="宋体"/>
                <w:color w:val="auto"/>
                <w:spacing w:val="0"/>
                <w:sz w:val="24"/>
                <w:szCs w:val="24"/>
                <w:highlight w:val="none"/>
              </w:rPr>
              <w:t>环境卫生</w:t>
            </w:r>
            <w:r>
              <w:rPr>
                <w:rFonts w:hint="eastAsia" w:ascii="宋体" w:hAnsi="宋体" w:eastAsia="宋体" w:cs="宋体"/>
                <w:color w:val="auto"/>
                <w:spacing w:val="0"/>
                <w:sz w:val="24"/>
                <w:szCs w:val="24"/>
                <w:highlight w:val="none"/>
                <w:lang w:eastAsia="zh-CN"/>
              </w:rPr>
              <w:t>设施设备</w:t>
            </w:r>
            <w:r>
              <w:rPr>
                <w:rFonts w:hint="eastAsia" w:ascii="宋体" w:hAnsi="宋体" w:eastAsia="宋体" w:cs="宋体"/>
                <w:color w:val="auto"/>
                <w:spacing w:val="0"/>
                <w:sz w:val="24"/>
                <w:szCs w:val="24"/>
                <w:highlight w:val="none"/>
              </w:rPr>
              <w:t>保养</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杂物清除工作。</w:t>
            </w:r>
          </w:p>
        </w:tc>
        <w:tc>
          <w:tcPr>
            <w:tcW w:w="1335" w:type="dxa"/>
            <w:shd w:val="clear" w:color="auto" w:fill="auto"/>
            <w:vAlign w:val="center"/>
          </w:tcPr>
          <w:p w14:paraId="43D4CCDE">
            <w:pPr>
              <w:pStyle w:val="12"/>
              <w:rPr>
                <w:rFonts w:hint="eastAsia" w:ascii="宋体" w:hAnsi="宋体" w:eastAsia="宋体" w:cs="宋体"/>
                <w:color w:val="auto"/>
                <w:spacing w:val="0"/>
                <w:sz w:val="24"/>
                <w:szCs w:val="24"/>
                <w:highlight w:val="none"/>
              </w:rPr>
            </w:pPr>
          </w:p>
        </w:tc>
      </w:tr>
      <w:tr w14:paraId="7CD9F4CB">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720" w:hRule="atLeast"/>
          <w:jc w:val="center"/>
        </w:trPr>
        <w:tc>
          <w:tcPr>
            <w:tcW w:w="709" w:type="dxa"/>
            <w:shd w:val="clear" w:color="auto" w:fill="auto"/>
            <w:vAlign w:val="center"/>
          </w:tcPr>
          <w:p w14:paraId="09E1BBD9">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continue"/>
            <w:shd w:val="clear" w:color="auto" w:fill="auto"/>
            <w:vAlign w:val="center"/>
          </w:tcPr>
          <w:p w14:paraId="0B0BDCCD">
            <w:pPr>
              <w:pStyle w:val="12"/>
              <w:jc w:val="center"/>
              <w:rPr>
                <w:rFonts w:hint="eastAsia" w:ascii="宋体" w:hAnsi="宋体" w:eastAsia="宋体" w:cs="宋体"/>
                <w:color w:val="auto"/>
                <w:spacing w:val="0"/>
                <w:sz w:val="24"/>
                <w:szCs w:val="24"/>
                <w:highlight w:val="none"/>
              </w:rPr>
            </w:pPr>
          </w:p>
        </w:tc>
        <w:tc>
          <w:tcPr>
            <w:tcW w:w="1108" w:type="dxa"/>
            <w:shd w:val="clear" w:color="auto" w:fill="auto"/>
            <w:vAlign w:val="center"/>
          </w:tcPr>
          <w:p w14:paraId="255185CA">
            <w:pPr>
              <w:pStyle w:val="12"/>
              <w:jc w:val="center"/>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公共部位水电质量要求</w:t>
            </w:r>
          </w:p>
        </w:tc>
        <w:tc>
          <w:tcPr>
            <w:tcW w:w="6341" w:type="dxa"/>
            <w:shd w:val="clear" w:color="auto" w:fill="auto"/>
            <w:vAlign w:val="center"/>
          </w:tcPr>
          <w:p w14:paraId="3449C1C6">
            <w:pPr>
              <w:pStyle w:val="12"/>
              <w:numPr>
                <w:ilvl w:val="0"/>
                <w:numId w:val="0"/>
              </w:numPr>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kern w:val="2"/>
                <w:sz w:val="24"/>
                <w:szCs w:val="24"/>
                <w:highlight w:val="none"/>
                <w:lang w:val="en-US" w:eastAsia="zh-CN" w:bidi="ar-SA"/>
              </w:rPr>
              <w:t>（1）</w:t>
            </w:r>
            <w:r>
              <w:rPr>
                <w:rFonts w:hint="eastAsia" w:ascii="宋体" w:hAnsi="宋体" w:eastAsia="宋体" w:cs="宋体"/>
                <w:color w:val="auto"/>
                <w:spacing w:val="0"/>
                <w:sz w:val="24"/>
                <w:szCs w:val="24"/>
                <w:highlight w:val="none"/>
              </w:rPr>
              <w:t>每天</w:t>
            </w:r>
            <w:r>
              <w:rPr>
                <w:rFonts w:hint="eastAsia" w:ascii="宋体" w:hAnsi="宋体" w:eastAsia="宋体" w:cs="宋体"/>
                <w:color w:val="auto"/>
                <w:spacing w:val="0"/>
                <w:sz w:val="24"/>
                <w:szCs w:val="24"/>
                <w:highlight w:val="none"/>
                <w:lang w:eastAsia="zh-CN"/>
              </w:rPr>
              <w:t>至少</w:t>
            </w:r>
            <w:r>
              <w:rPr>
                <w:rFonts w:hint="eastAsia" w:ascii="宋体" w:hAnsi="宋体" w:eastAsia="宋体" w:cs="宋体"/>
                <w:color w:val="auto"/>
                <w:spacing w:val="0"/>
                <w:sz w:val="24"/>
                <w:szCs w:val="24"/>
                <w:highlight w:val="none"/>
              </w:rPr>
              <w:t>一次对机关</w:t>
            </w:r>
            <w:r>
              <w:rPr>
                <w:rFonts w:hint="eastAsia" w:ascii="宋体" w:hAnsi="宋体" w:eastAsia="宋体" w:cs="宋体"/>
                <w:color w:val="auto"/>
                <w:spacing w:val="0"/>
                <w:sz w:val="24"/>
                <w:szCs w:val="24"/>
                <w:highlight w:val="none"/>
                <w:lang w:eastAsia="zh-CN"/>
              </w:rPr>
              <w:t>办公</w:t>
            </w:r>
            <w:r>
              <w:rPr>
                <w:rFonts w:hint="eastAsia" w:ascii="宋体" w:hAnsi="宋体" w:eastAsia="宋体" w:cs="宋体"/>
                <w:color w:val="auto"/>
                <w:spacing w:val="0"/>
                <w:sz w:val="24"/>
                <w:szCs w:val="24"/>
                <w:highlight w:val="none"/>
              </w:rPr>
              <w:t>楼</w:t>
            </w:r>
            <w:r>
              <w:rPr>
                <w:rFonts w:hint="eastAsia" w:ascii="宋体" w:hAnsi="宋体" w:eastAsia="宋体" w:cs="宋体"/>
                <w:color w:val="auto"/>
                <w:spacing w:val="0"/>
                <w:sz w:val="24"/>
                <w:szCs w:val="24"/>
                <w:highlight w:val="none"/>
                <w:lang w:eastAsia="zh-CN"/>
              </w:rPr>
              <w:t>、生活楼</w:t>
            </w:r>
            <w:r>
              <w:rPr>
                <w:rFonts w:hint="eastAsia" w:ascii="宋体" w:hAnsi="宋体" w:eastAsia="宋体" w:cs="宋体"/>
                <w:color w:val="auto"/>
                <w:spacing w:val="0"/>
                <w:sz w:val="24"/>
                <w:szCs w:val="24"/>
                <w:highlight w:val="none"/>
              </w:rPr>
              <w:t>公共部位水、电、冷暖设备及管线进行巡查，对经确认损坏需更换的用水、用电、用暖设备及零配件，及时反馈，并做好维修及工作记录。</w:t>
            </w:r>
          </w:p>
          <w:p w14:paraId="1B065BA4">
            <w:pPr>
              <w:pStyle w:val="12"/>
              <w:numPr>
                <w:ilvl w:val="0"/>
                <w:numId w:val="0"/>
              </w:numPr>
              <w:ind w:firstLine="480" w:firstLineChars="200"/>
              <w:jc w:val="both"/>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kern w:val="2"/>
                <w:sz w:val="24"/>
                <w:szCs w:val="24"/>
                <w:highlight w:val="none"/>
                <w:lang w:val="en-US" w:eastAsia="zh-CN" w:bidi="ar-SA"/>
              </w:rPr>
              <w:t>（2）</w:t>
            </w:r>
            <w:r>
              <w:rPr>
                <w:rFonts w:hint="eastAsia" w:ascii="宋体" w:hAnsi="宋体" w:eastAsia="宋体" w:cs="宋体"/>
                <w:color w:val="auto"/>
                <w:spacing w:val="0"/>
                <w:sz w:val="24"/>
                <w:szCs w:val="24"/>
                <w:highlight w:val="none"/>
              </w:rPr>
              <w:t>做好机关办公楼办公室、会议室、公共区域</w:t>
            </w:r>
            <w:r>
              <w:rPr>
                <w:rFonts w:hint="eastAsia" w:ascii="宋体" w:hAnsi="宋体" w:eastAsia="宋体" w:cs="宋体"/>
                <w:color w:val="auto"/>
                <w:spacing w:val="0"/>
                <w:sz w:val="24"/>
                <w:szCs w:val="24"/>
                <w:highlight w:val="none"/>
                <w:lang w:eastAsia="zh-CN"/>
              </w:rPr>
              <w:t>及生活楼</w:t>
            </w:r>
            <w:r>
              <w:rPr>
                <w:rFonts w:hint="eastAsia" w:ascii="宋体" w:hAnsi="宋体" w:eastAsia="宋体" w:cs="宋体"/>
                <w:color w:val="auto"/>
                <w:spacing w:val="0"/>
                <w:sz w:val="24"/>
                <w:szCs w:val="24"/>
                <w:highlight w:val="none"/>
              </w:rPr>
              <w:t>照明灯具巡查与更换，做好日常更换记录。</w:t>
            </w:r>
          </w:p>
        </w:tc>
        <w:tc>
          <w:tcPr>
            <w:tcW w:w="1335" w:type="dxa"/>
            <w:shd w:val="clear" w:color="auto" w:fill="auto"/>
            <w:vAlign w:val="center"/>
          </w:tcPr>
          <w:p w14:paraId="53C408B1">
            <w:pPr>
              <w:pStyle w:val="12"/>
              <w:rPr>
                <w:rFonts w:hint="eastAsia" w:ascii="宋体" w:hAnsi="宋体" w:eastAsia="宋体" w:cs="宋体"/>
                <w:color w:val="auto"/>
                <w:spacing w:val="0"/>
                <w:sz w:val="24"/>
                <w:szCs w:val="24"/>
                <w:highlight w:val="none"/>
              </w:rPr>
            </w:pPr>
          </w:p>
        </w:tc>
      </w:tr>
      <w:tr w14:paraId="134BEE86">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230" w:hRule="atLeast"/>
          <w:jc w:val="center"/>
        </w:trPr>
        <w:tc>
          <w:tcPr>
            <w:tcW w:w="709" w:type="dxa"/>
            <w:shd w:val="clear" w:color="auto" w:fill="auto"/>
            <w:vAlign w:val="center"/>
          </w:tcPr>
          <w:p w14:paraId="02E9BC3B">
            <w:pPr>
              <w:pStyle w:val="12"/>
              <w:numPr>
                <w:ilvl w:val="0"/>
                <w:numId w:val="3"/>
              </w:numPr>
              <w:jc w:val="center"/>
              <w:rPr>
                <w:rFonts w:hint="eastAsia" w:ascii="宋体" w:hAnsi="宋体" w:eastAsia="宋体" w:cs="宋体"/>
                <w:color w:val="auto"/>
                <w:spacing w:val="0"/>
                <w:sz w:val="24"/>
                <w:szCs w:val="24"/>
                <w:highlight w:val="none"/>
              </w:rPr>
            </w:pPr>
          </w:p>
        </w:tc>
        <w:tc>
          <w:tcPr>
            <w:tcW w:w="490" w:type="dxa"/>
            <w:shd w:val="clear" w:color="auto" w:fill="auto"/>
            <w:vAlign w:val="center"/>
          </w:tcPr>
          <w:p w14:paraId="7EF845EB">
            <w:pPr>
              <w:pStyle w:val="12"/>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安保</w:t>
            </w:r>
            <w:r>
              <w:rPr>
                <w:rFonts w:hint="eastAsia" w:ascii="宋体" w:hAnsi="宋体" w:eastAsia="宋体" w:cs="宋体"/>
                <w:color w:val="auto"/>
                <w:spacing w:val="0"/>
                <w:sz w:val="24"/>
                <w:szCs w:val="24"/>
                <w:highlight w:val="none"/>
                <w:lang w:eastAsia="zh-CN"/>
              </w:rPr>
              <w:t>服务</w:t>
            </w:r>
          </w:p>
        </w:tc>
        <w:tc>
          <w:tcPr>
            <w:tcW w:w="1108" w:type="dxa"/>
            <w:shd w:val="clear" w:color="auto" w:fill="auto"/>
            <w:vAlign w:val="center"/>
          </w:tcPr>
          <w:p w14:paraId="46C36FC2">
            <w:pPr>
              <w:pStyle w:val="12"/>
              <w:jc w:val="center"/>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内部安保主要内容</w:t>
            </w:r>
          </w:p>
        </w:tc>
        <w:tc>
          <w:tcPr>
            <w:tcW w:w="6341" w:type="dxa"/>
            <w:shd w:val="clear" w:color="auto" w:fill="auto"/>
            <w:vAlign w:val="center"/>
          </w:tcPr>
          <w:p w14:paraId="44BAD595">
            <w:pPr>
              <w:pStyle w:val="12"/>
              <w:numPr>
                <w:ilvl w:val="0"/>
                <w:numId w:val="0"/>
              </w:numPr>
              <w:ind w:firstLine="480" w:firstLineChars="200"/>
              <w:jc w:val="both"/>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（1）负责大队整个大院安防服务、安全巡逻，做好人员、车辆出入登记；严格执行大件、可疑物品出入登记制度，手续齐全，登记准确；严禁将易燃易爆物品带入管理区；</w:t>
            </w:r>
          </w:p>
          <w:p w14:paraId="5ABF75E4">
            <w:pPr>
              <w:pStyle w:val="12"/>
              <w:numPr>
                <w:ilvl w:val="0"/>
                <w:numId w:val="0"/>
              </w:numPr>
              <w:ind w:firstLine="480" w:firstLineChars="200"/>
              <w:jc w:val="both"/>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（2）畅安楼前面、</w:t>
            </w:r>
            <w:r>
              <w:rPr>
                <w:rFonts w:hint="eastAsia" w:ascii="宋体" w:hAnsi="宋体" w:eastAsia="宋体" w:cs="宋体"/>
                <w:color w:val="auto"/>
                <w:sz w:val="24"/>
                <w:szCs w:val="24"/>
                <w:lang w:eastAsia="zh-CN"/>
              </w:rPr>
              <w:t>青年公寓</w:t>
            </w:r>
            <w:r>
              <w:rPr>
                <w:rFonts w:hint="eastAsia" w:ascii="宋体" w:hAnsi="宋体" w:eastAsia="宋体" w:cs="宋体"/>
                <w:color w:val="auto"/>
                <w:spacing w:val="0"/>
                <w:kern w:val="2"/>
                <w:sz w:val="24"/>
                <w:szCs w:val="24"/>
                <w:highlight w:val="none"/>
                <w:lang w:val="en-US" w:eastAsia="zh-CN" w:bidi="ar-SA"/>
              </w:rPr>
              <w:t>前面、畅安楼与</w:t>
            </w:r>
            <w:r>
              <w:rPr>
                <w:rFonts w:hint="eastAsia" w:ascii="宋体" w:hAnsi="宋体" w:eastAsia="宋体" w:cs="宋体"/>
                <w:color w:val="auto"/>
                <w:sz w:val="24"/>
                <w:szCs w:val="24"/>
                <w:lang w:eastAsia="zh-CN"/>
              </w:rPr>
              <w:t>忠诚楼</w:t>
            </w:r>
            <w:r>
              <w:rPr>
                <w:rFonts w:hint="eastAsia" w:ascii="宋体" w:hAnsi="宋体" w:eastAsia="宋体" w:cs="宋体"/>
                <w:color w:val="auto"/>
                <w:spacing w:val="0"/>
                <w:kern w:val="2"/>
                <w:sz w:val="24"/>
                <w:szCs w:val="24"/>
                <w:highlight w:val="none"/>
                <w:lang w:val="en-US" w:eastAsia="zh-CN" w:bidi="ar-SA"/>
              </w:rPr>
              <w:t>中间、</w:t>
            </w:r>
            <w:r>
              <w:rPr>
                <w:rFonts w:hint="eastAsia" w:ascii="宋体" w:hAnsi="宋体" w:eastAsia="宋体" w:cs="宋体"/>
                <w:color w:val="auto"/>
                <w:sz w:val="24"/>
                <w:szCs w:val="24"/>
                <w:lang w:eastAsia="zh-CN"/>
              </w:rPr>
              <w:t>忠诚楼</w:t>
            </w:r>
            <w:r>
              <w:rPr>
                <w:rFonts w:hint="eastAsia" w:ascii="宋体" w:hAnsi="宋体" w:eastAsia="宋体" w:cs="宋体"/>
                <w:color w:val="auto"/>
                <w:spacing w:val="0"/>
                <w:kern w:val="2"/>
                <w:sz w:val="24"/>
                <w:szCs w:val="24"/>
                <w:highlight w:val="none"/>
                <w:lang w:val="en-US" w:eastAsia="zh-CN" w:bidi="ar-SA"/>
              </w:rPr>
              <w:t>后面及家属楼（不属物业管理范围）后面扣留涉案违法车辆停车场，五个停车场车辆停放秩序的管理，停车场和公共区域秩序维护；指挥车辆停靠在指定地点,摆放整齐、车头一律朝外；</w:t>
            </w:r>
          </w:p>
          <w:p w14:paraId="60C27906">
            <w:pPr>
              <w:pStyle w:val="12"/>
              <w:numPr>
                <w:ilvl w:val="0"/>
                <w:numId w:val="0"/>
              </w:numPr>
              <w:ind w:firstLine="480" w:firstLineChars="200"/>
              <w:jc w:val="both"/>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（3）畅安楼一楼大门值守、门岗管控； 严格执行门卫值班值守制度，确保24小时值班值守；保持值班室及周边区域干净整洁，各类工作相关物品摆放整齐；按照大队法宣部门规定要求接收、取放大队扣留的涉案车辆，并做好收、放登记；严禁因登记信息遗漏或不准确，造成涉案车辆错误取放、部件缺失、甚至车辆丢失；</w:t>
            </w:r>
          </w:p>
          <w:p w14:paraId="0E02A8BA">
            <w:pPr>
              <w:pStyle w:val="12"/>
              <w:numPr>
                <w:ilvl w:val="0"/>
                <w:numId w:val="0"/>
              </w:numPr>
              <w:ind w:firstLine="480" w:firstLineChars="200"/>
              <w:jc w:val="both"/>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（4）严格会客制度；严禁闲杂人员进入楼内，严禁推销人员进入办公楼、生活楼兜售物品和散发传单，发现可疑人员及情况及时报告客户单位、上级单位和公安部门；</w:t>
            </w:r>
          </w:p>
          <w:p w14:paraId="266D24AE">
            <w:pPr>
              <w:pStyle w:val="12"/>
              <w:numPr>
                <w:ilvl w:val="0"/>
                <w:numId w:val="0"/>
              </w:numPr>
              <w:ind w:firstLine="480" w:firstLineChars="200"/>
              <w:jc w:val="both"/>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（5）着装整洁，用语文明，对存在的不文明现象及时引导和劝阻，但不得与来访人员发生冲突；</w:t>
            </w:r>
          </w:p>
          <w:p w14:paraId="69CFA5AE">
            <w:pPr>
              <w:pStyle w:val="12"/>
              <w:numPr>
                <w:ilvl w:val="0"/>
                <w:numId w:val="0"/>
              </w:numPr>
              <w:ind w:firstLine="480" w:firstLineChars="200"/>
              <w:jc w:val="both"/>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（6）负责所辖区反映事项与突发性事件的登记与及时上报；提供所辖区基本信息的查询；</w:t>
            </w:r>
          </w:p>
          <w:p w14:paraId="741C61F3">
            <w:pPr>
              <w:pStyle w:val="12"/>
              <w:numPr>
                <w:ilvl w:val="0"/>
                <w:numId w:val="0"/>
              </w:numPr>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kern w:val="2"/>
                <w:sz w:val="24"/>
                <w:szCs w:val="24"/>
                <w:highlight w:val="none"/>
                <w:lang w:val="en-US" w:eastAsia="zh-CN" w:bidi="ar-SA"/>
              </w:rPr>
              <w:t>（7）国家法定节假日期间需安排人员值班，负责服务范围内安保执勤工作。</w:t>
            </w:r>
          </w:p>
        </w:tc>
        <w:tc>
          <w:tcPr>
            <w:tcW w:w="1335" w:type="dxa"/>
            <w:shd w:val="clear" w:color="auto" w:fill="auto"/>
            <w:vAlign w:val="center"/>
          </w:tcPr>
          <w:p w14:paraId="4EEA2316">
            <w:pPr>
              <w:pStyle w:val="12"/>
              <w:rPr>
                <w:rFonts w:hint="eastAsia" w:ascii="宋体" w:hAnsi="宋体" w:eastAsia="宋体" w:cs="宋体"/>
                <w:color w:val="auto"/>
                <w:spacing w:val="0"/>
                <w:sz w:val="24"/>
                <w:szCs w:val="24"/>
                <w:highlight w:val="none"/>
              </w:rPr>
            </w:pPr>
          </w:p>
        </w:tc>
      </w:tr>
      <w:tr w14:paraId="6366C005">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90" w:hRule="atLeast"/>
          <w:jc w:val="center"/>
        </w:trPr>
        <w:tc>
          <w:tcPr>
            <w:tcW w:w="709" w:type="dxa"/>
            <w:shd w:val="clear" w:color="auto" w:fill="auto"/>
            <w:vAlign w:val="center"/>
          </w:tcPr>
          <w:p w14:paraId="48EA6B4D">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restart"/>
            <w:shd w:val="clear" w:color="auto" w:fill="auto"/>
            <w:vAlign w:val="center"/>
          </w:tcPr>
          <w:p w14:paraId="0D6A7C65">
            <w:pPr>
              <w:pStyle w:val="12"/>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安保</w:t>
            </w:r>
            <w:r>
              <w:rPr>
                <w:rFonts w:hint="eastAsia" w:ascii="宋体" w:hAnsi="宋体" w:eastAsia="宋体" w:cs="宋体"/>
                <w:color w:val="auto"/>
                <w:spacing w:val="0"/>
                <w:sz w:val="24"/>
                <w:szCs w:val="24"/>
                <w:highlight w:val="none"/>
                <w:lang w:eastAsia="zh-CN"/>
              </w:rPr>
              <w:t>服务</w:t>
            </w:r>
          </w:p>
        </w:tc>
        <w:tc>
          <w:tcPr>
            <w:tcW w:w="1108" w:type="dxa"/>
            <w:vMerge w:val="restart"/>
            <w:shd w:val="clear" w:color="auto" w:fill="auto"/>
            <w:vAlign w:val="center"/>
          </w:tcPr>
          <w:p w14:paraId="261DF30A">
            <w:pPr>
              <w:pStyle w:val="12"/>
              <w:jc w:val="center"/>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质量要求</w:t>
            </w:r>
          </w:p>
        </w:tc>
        <w:tc>
          <w:tcPr>
            <w:tcW w:w="6341" w:type="dxa"/>
            <w:shd w:val="clear" w:color="auto" w:fill="auto"/>
            <w:vAlign w:val="center"/>
          </w:tcPr>
          <w:p w14:paraId="065564FD">
            <w:pPr>
              <w:pStyle w:val="12"/>
              <w:ind w:firstLine="480" w:firstLineChars="200"/>
              <w:jc w:val="both"/>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安</w:t>
            </w:r>
            <w:r>
              <w:rPr>
                <w:rFonts w:hint="eastAsia" w:ascii="宋体" w:hAnsi="宋体" w:eastAsia="宋体" w:cs="宋体"/>
                <w:color w:val="auto"/>
                <w:spacing w:val="0"/>
                <w:sz w:val="24"/>
                <w:szCs w:val="24"/>
                <w:highlight w:val="none"/>
              </w:rPr>
              <w:t>保秩序人员上岗前要进行职业培训，做到着装整齐，服务规范，担任各项值班岗位</w:t>
            </w:r>
            <w:r>
              <w:rPr>
                <w:rFonts w:hint="eastAsia" w:ascii="宋体" w:hAnsi="宋体" w:eastAsia="宋体" w:cs="宋体"/>
                <w:color w:val="auto"/>
                <w:spacing w:val="0"/>
                <w:sz w:val="24"/>
                <w:szCs w:val="24"/>
                <w:highlight w:val="none"/>
                <w:lang w:eastAsia="zh-CN"/>
              </w:rPr>
              <w:t>。</w:t>
            </w:r>
          </w:p>
        </w:tc>
        <w:tc>
          <w:tcPr>
            <w:tcW w:w="1335" w:type="dxa"/>
            <w:shd w:val="clear" w:color="auto" w:fill="auto"/>
            <w:vAlign w:val="center"/>
          </w:tcPr>
          <w:p w14:paraId="16863103">
            <w:pPr>
              <w:pStyle w:val="12"/>
              <w:rPr>
                <w:rFonts w:hint="eastAsia" w:ascii="宋体" w:hAnsi="宋体" w:eastAsia="宋体" w:cs="宋体"/>
                <w:color w:val="auto"/>
                <w:spacing w:val="0"/>
                <w:sz w:val="24"/>
                <w:szCs w:val="24"/>
                <w:highlight w:val="none"/>
              </w:rPr>
            </w:pPr>
          </w:p>
        </w:tc>
      </w:tr>
      <w:tr w14:paraId="118C17F5">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141" w:hRule="atLeast"/>
          <w:jc w:val="center"/>
        </w:trPr>
        <w:tc>
          <w:tcPr>
            <w:tcW w:w="709" w:type="dxa"/>
            <w:shd w:val="clear" w:color="auto" w:fill="auto"/>
            <w:vAlign w:val="center"/>
          </w:tcPr>
          <w:p w14:paraId="0DEA221A">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continue"/>
            <w:shd w:val="clear" w:color="auto" w:fill="auto"/>
            <w:vAlign w:val="center"/>
          </w:tcPr>
          <w:p w14:paraId="211D22C7">
            <w:pPr>
              <w:pStyle w:val="12"/>
              <w:jc w:val="center"/>
              <w:rPr>
                <w:rFonts w:hint="eastAsia" w:ascii="宋体" w:hAnsi="宋体" w:eastAsia="宋体" w:cs="宋体"/>
                <w:color w:val="auto"/>
                <w:spacing w:val="0"/>
                <w:sz w:val="24"/>
                <w:szCs w:val="24"/>
                <w:highlight w:val="none"/>
              </w:rPr>
            </w:pPr>
          </w:p>
        </w:tc>
        <w:tc>
          <w:tcPr>
            <w:tcW w:w="1108" w:type="dxa"/>
            <w:vMerge w:val="continue"/>
            <w:shd w:val="clear" w:color="auto" w:fill="auto"/>
            <w:vAlign w:val="center"/>
          </w:tcPr>
          <w:p w14:paraId="07701C17">
            <w:pPr>
              <w:pStyle w:val="12"/>
              <w:jc w:val="center"/>
              <w:rPr>
                <w:rFonts w:hint="eastAsia" w:ascii="宋体" w:hAnsi="宋体" w:eastAsia="宋体" w:cs="宋体"/>
                <w:color w:val="auto"/>
                <w:spacing w:val="0"/>
                <w:sz w:val="24"/>
                <w:szCs w:val="24"/>
                <w:highlight w:val="none"/>
              </w:rPr>
            </w:pPr>
          </w:p>
        </w:tc>
        <w:tc>
          <w:tcPr>
            <w:tcW w:w="6341" w:type="dxa"/>
            <w:shd w:val="clear" w:color="auto" w:fill="auto"/>
            <w:vAlign w:val="center"/>
          </w:tcPr>
          <w:p w14:paraId="07611AB7">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按照张家界市公安局交通管理支队直属二大队安保秩序岗的要求，履行好岗位职责，做好日常的执勤、</w:t>
            </w:r>
            <w:r>
              <w:rPr>
                <w:rFonts w:hint="eastAsia" w:ascii="宋体" w:hAnsi="宋体" w:eastAsia="宋体" w:cs="宋体"/>
                <w:color w:val="auto"/>
                <w:spacing w:val="0"/>
                <w:sz w:val="24"/>
                <w:szCs w:val="24"/>
                <w:highlight w:val="none"/>
                <w:lang w:eastAsia="zh-CN"/>
              </w:rPr>
              <w:t>巡查</w:t>
            </w:r>
            <w:r>
              <w:rPr>
                <w:rFonts w:hint="eastAsia" w:ascii="宋体" w:hAnsi="宋体" w:eastAsia="宋体" w:cs="宋体"/>
                <w:color w:val="auto"/>
                <w:spacing w:val="0"/>
                <w:sz w:val="24"/>
                <w:szCs w:val="24"/>
                <w:highlight w:val="none"/>
              </w:rPr>
              <w:t>、监控、</w:t>
            </w:r>
            <w:r>
              <w:rPr>
                <w:rFonts w:hint="eastAsia" w:ascii="宋体" w:hAnsi="宋体" w:eastAsia="宋体" w:cs="宋体"/>
                <w:color w:val="auto"/>
                <w:spacing w:val="0"/>
                <w:sz w:val="24"/>
                <w:szCs w:val="24"/>
                <w:highlight w:val="none"/>
                <w:lang w:eastAsia="zh-CN"/>
              </w:rPr>
              <w:t>信访人员分流、车辆引导</w:t>
            </w:r>
            <w:r>
              <w:rPr>
                <w:rFonts w:hint="eastAsia" w:ascii="宋体" w:hAnsi="宋体" w:eastAsia="宋体" w:cs="宋体"/>
                <w:color w:val="auto"/>
                <w:spacing w:val="0"/>
                <w:sz w:val="24"/>
                <w:szCs w:val="24"/>
                <w:highlight w:val="none"/>
              </w:rPr>
              <w:t>等值班任务。</w:t>
            </w:r>
          </w:p>
        </w:tc>
        <w:tc>
          <w:tcPr>
            <w:tcW w:w="1335" w:type="dxa"/>
            <w:shd w:val="clear" w:color="auto" w:fill="auto"/>
            <w:vAlign w:val="center"/>
          </w:tcPr>
          <w:p w14:paraId="074A876A">
            <w:pPr>
              <w:pStyle w:val="12"/>
              <w:rPr>
                <w:rFonts w:hint="eastAsia" w:ascii="宋体" w:hAnsi="宋体" w:eastAsia="宋体" w:cs="宋体"/>
                <w:color w:val="auto"/>
                <w:spacing w:val="0"/>
                <w:sz w:val="24"/>
                <w:szCs w:val="24"/>
                <w:highlight w:val="none"/>
              </w:rPr>
            </w:pPr>
          </w:p>
        </w:tc>
      </w:tr>
      <w:tr w14:paraId="2DDDA139">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843" w:hRule="atLeast"/>
          <w:jc w:val="center"/>
        </w:trPr>
        <w:tc>
          <w:tcPr>
            <w:tcW w:w="709" w:type="dxa"/>
            <w:shd w:val="clear" w:color="auto" w:fill="auto"/>
            <w:vAlign w:val="center"/>
          </w:tcPr>
          <w:p w14:paraId="749E41FD">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continue"/>
            <w:shd w:val="clear" w:color="auto" w:fill="auto"/>
            <w:vAlign w:val="center"/>
          </w:tcPr>
          <w:p w14:paraId="4974D427">
            <w:pPr>
              <w:pStyle w:val="12"/>
              <w:jc w:val="center"/>
              <w:rPr>
                <w:rFonts w:hint="eastAsia" w:ascii="宋体" w:hAnsi="宋体" w:eastAsia="宋体" w:cs="宋体"/>
                <w:color w:val="auto"/>
                <w:spacing w:val="0"/>
                <w:sz w:val="24"/>
                <w:szCs w:val="24"/>
                <w:highlight w:val="none"/>
              </w:rPr>
            </w:pPr>
          </w:p>
        </w:tc>
        <w:tc>
          <w:tcPr>
            <w:tcW w:w="1108" w:type="dxa"/>
            <w:vMerge w:val="continue"/>
            <w:shd w:val="clear" w:color="auto" w:fill="auto"/>
            <w:vAlign w:val="center"/>
          </w:tcPr>
          <w:p w14:paraId="4D607C59">
            <w:pPr>
              <w:pStyle w:val="12"/>
              <w:jc w:val="center"/>
              <w:rPr>
                <w:rFonts w:hint="eastAsia" w:ascii="宋体" w:hAnsi="宋体" w:eastAsia="宋体" w:cs="宋体"/>
                <w:color w:val="auto"/>
                <w:spacing w:val="0"/>
                <w:sz w:val="24"/>
                <w:szCs w:val="24"/>
                <w:highlight w:val="none"/>
              </w:rPr>
            </w:pPr>
          </w:p>
        </w:tc>
        <w:tc>
          <w:tcPr>
            <w:tcW w:w="6341" w:type="dxa"/>
            <w:shd w:val="clear" w:color="auto" w:fill="auto"/>
            <w:vAlign w:val="center"/>
          </w:tcPr>
          <w:p w14:paraId="34002C00">
            <w:pPr>
              <w:pStyle w:val="12"/>
              <w:ind w:firstLine="480" w:firstLineChars="200"/>
              <w:jc w:val="lef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协调日常和重要会议期间机关办公楼周边车辆停放及来访人员的登记检查引导。</w:t>
            </w:r>
          </w:p>
        </w:tc>
        <w:tc>
          <w:tcPr>
            <w:tcW w:w="1335" w:type="dxa"/>
            <w:shd w:val="clear" w:color="auto" w:fill="auto"/>
            <w:vAlign w:val="center"/>
          </w:tcPr>
          <w:p w14:paraId="24E2A409">
            <w:pPr>
              <w:pStyle w:val="12"/>
              <w:rPr>
                <w:rFonts w:hint="eastAsia" w:ascii="宋体" w:hAnsi="宋体" w:eastAsia="宋体" w:cs="宋体"/>
                <w:color w:val="auto"/>
                <w:spacing w:val="0"/>
                <w:sz w:val="24"/>
                <w:szCs w:val="24"/>
                <w:highlight w:val="none"/>
              </w:rPr>
            </w:pPr>
          </w:p>
        </w:tc>
      </w:tr>
      <w:tr w14:paraId="5475AD55">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802" w:hRule="atLeast"/>
          <w:jc w:val="center"/>
        </w:trPr>
        <w:tc>
          <w:tcPr>
            <w:tcW w:w="709" w:type="dxa"/>
            <w:shd w:val="clear" w:color="auto" w:fill="auto"/>
            <w:vAlign w:val="center"/>
          </w:tcPr>
          <w:p w14:paraId="184B800E">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continue"/>
            <w:shd w:val="clear" w:color="auto" w:fill="auto"/>
            <w:vAlign w:val="center"/>
          </w:tcPr>
          <w:p w14:paraId="695F7703">
            <w:pPr>
              <w:pStyle w:val="12"/>
              <w:jc w:val="center"/>
              <w:rPr>
                <w:rFonts w:hint="eastAsia" w:ascii="宋体" w:hAnsi="宋体" w:eastAsia="宋体" w:cs="宋体"/>
                <w:color w:val="auto"/>
                <w:spacing w:val="0"/>
                <w:sz w:val="24"/>
                <w:szCs w:val="24"/>
                <w:highlight w:val="none"/>
              </w:rPr>
            </w:pPr>
          </w:p>
        </w:tc>
        <w:tc>
          <w:tcPr>
            <w:tcW w:w="1108" w:type="dxa"/>
            <w:vMerge w:val="continue"/>
            <w:shd w:val="clear" w:color="auto" w:fill="auto"/>
            <w:vAlign w:val="center"/>
          </w:tcPr>
          <w:p w14:paraId="77D6A988">
            <w:pPr>
              <w:pStyle w:val="12"/>
              <w:jc w:val="center"/>
              <w:rPr>
                <w:rFonts w:hint="eastAsia" w:ascii="宋体" w:hAnsi="宋体" w:eastAsia="宋体" w:cs="宋体"/>
                <w:color w:val="auto"/>
                <w:spacing w:val="0"/>
                <w:sz w:val="24"/>
                <w:szCs w:val="24"/>
                <w:highlight w:val="none"/>
              </w:rPr>
            </w:pPr>
          </w:p>
        </w:tc>
        <w:tc>
          <w:tcPr>
            <w:tcW w:w="6341" w:type="dxa"/>
            <w:shd w:val="clear" w:color="auto" w:fill="auto"/>
            <w:vAlign w:val="center"/>
          </w:tcPr>
          <w:p w14:paraId="739B9BDF">
            <w:pPr>
              <w:pStyle w:val="12"/>
              <w:ind w:firstLine="480" w:firstLineChars="200"/>
              <w:jc w:val="lef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做好监控室日常值班，做好各项记录，确保监控设备有序运行和机关办公楼的安全保卫。</w:t>
            </w:r>
          </w:p>
        </w:tc>
        <w:tc>
          <w:tcPr>
            <w:tcW w:w="1335" w:type="dxa"/>
            <w:shd w:val="clear" w:color="auto" w:fill="auto"/>
            <w:vAlign w:val="center"/>
          </w:tcPr>
          <w:p w14:paraId="1E070C89">
            <w:pPr>
              <w:pStyle w:val="12"/>
              <w:rPr>
                <w:rFonts w:hint="eastAsia" w:ascii="宋体" w:hAnsi="宋体" w:eastAsia="宋体" w:cs="宋体"/>
                <w:color w:val="auto"/>
                <w:spacing w:val="0"/>
                <w:sz w:val="24"/>
                <w:szCs w:val="24"/>
                <w:highlight w:val="none"/>
              </w:rPr>
            </w:pPr>
          </w:p>
        </w:tc>
      </w:tr>
      <w:tr w14:paraId="78C916F5">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833" w:hRule="atLeast"/>
          <w:jc w:val="center"/>
        </w:trPr>
        <w:tc>
          <w:tcPr>
            <w:tcW w:w="709" w:type="dxa"/>
            <w:shd w:val="clear" w:color="auto" w:fill="auto"/>
            <w:vAlign w:val="center"/>
          </w:tcPr>
          <w:p w14:paraId="4866E0D4">
            <w:pPr>
              <w:pStyle w:val="12"/>
              <w:numPr>
                <w:ilvl w:val="0"/>
                <w:numId w:val="3"/>
              </w:numPr>
              <w:jc w:val="center"/>
              <w:rPr>
                <w:rFonts w:hint="eastAsia" w:ascii="宋体" w:hAnsi="宋体" w:eastAsia="宋体" w:cs="宋体"/>
                <w:color w:val="auto"/>
                <w:spacing w:val="0"/>
                <w:sz w:val="24"/>
                <w:szCs w:val="24"/>
                <w:highlight w:val="none"/>
              </w:rPr>
            </w:pPr>
          </w:p>
        </w:tc>
        <w:tc>
          <w:tcPr>
            <w:tcW w:w="490" w:type="dxa"/>
            <w:vMerge w:val="continue"/>
            <w:shd w:val="clear" w:color="auto" w:fill="auto"/>
            <w:vAlign w:val="center"/>
          </w:tcPr>
          <w:p w14:paraId="7F3C4954">
            <w:pPr>
              <w:pStyle w:val="12"/>
              <w:jc w:val="center"/>
              <w:rPr>
                <w:rFonts w:hint="eastAsia" w:ascii="宋体" w:hAnsi="宋体" w:eastAsia="宋体" w:cs="宋体"/>
                <w:color w:val="auto"/>
                <w:spacing w:val="0"/>
                <w:sz w:val="24"/>
                <w:szCs w:val="24"/>
                <w:highlight w:val="none"/>
              </w:rPr>
            </w:pPr>
          </w:p>
        </w:tc>
        <w:tc>
          <w:tcPr>
            <w:tcW w:w="1108" w:type="dxa"/>
            <w:vMerge w:val="continue"/>
            <w:shd w:val="clear" w:color="auto" w:fill="auto"/>
            <w:vAlign w:val="center"/>
          </w:tcPr>
          <w:p w14:paraId="2023F363">
            <w:pPr>
              <w:pStyle w:val="12"/>
              <w:jc w:val="center"/>
              <w:rPr>
                <w:rFonts w:hint="eastAsia" w:ascii="宋体" w:hAnsi="宋体" w:eastAsia="宋体" w:cs="宋体"/>
                <w:color w:val="auto"/>
                <w:spacing w:val="0"/>
                <w:sz w:val="24"/>
                <w:szCs w:val="24"/>
                <w:highlight w:val="none"/>
              </w:rPr>
            </w:pPr>
          </w:p>
        </w:tc>
        <w:tc>
          <w:tcPr>
            <w:tcW w:w="6341" w:type="dxa"/>
            <w:shd w:val="clear" w:color="auto" w:fill="auto"/>
            <w:vAlign w:val="center"/>
          </w:tcPr>
          <w:p w14:paraId="0C7C1E00">
            <w:pPr>
              <w:pStyle w:val="12"/>
              <w:ind w:firstLine="480" w:firstLineChars="200"/>
              <w:jc w:val="lef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熟练掌握消防、物防、技防器械的使用，掌握治安、消防等事故的应急预案。</w:t>
            </w:r>
          </w:p>
        </w:tc>
        <w:tc>
          <w:tcPr>
            <w:tcW w:w="1335" w:type="dxa"/>
            <w:shd w:val="clear" w:color="auto" w:fill="auto"/>
            <w:vAlign w:val="center"/>
          </w:tcPr>
          <w:p w14:paraId="43AC9E2D">
            <w:pPr>
              <w:pStyle w:val="12"/>
              <w:rPr>
                <w:rFonts w:hint="eastAsia" w:ascii="宋体" w:hAnsi="宋体" w:eastAsia="宋体" w:cs="宋体"/>
                <w:color w:val="auto"/>
                <w:spacing w:val="0"/>
                <w:sz w:val="24"/>
                <w:szCs w:val="24"/>
                <w:highlight w:val="none"/>
              </w:rPr>
            </w:pPr>
          </w:p>
        </w:tc>
      </w:tr>
      <w:tr w14:paraId="7408E143">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680" w:hRule="atLeast"/>
          <w:jc w:val="center"/>
        </w:trPr>
        <w:tc>
          <w:tcPr>
            <w:tcW w:w="709" w:type="dxa"/>
            <w:shd w:val="clear" w:color="auto" w:fill="auto"/>
            <w:vAlign w:val="center"/>
          </w:tcPr>
          <w:p w14:paraId="44DC29C9">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vMerge w:val="restart"/>
            <w:shd w:val="clear" w:color="auto" w:fill="auto"/>
            <w:vAlign w:val="center"/>
          </w:tcPr>
          <w:p w14:paraId="357D1371">
            <w:pPr>
              <w:pStyle w:val="12"/>
              <w:jc w:val="center"/>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管理要求</w:t>
            </w:r>
          </w:p>
        </w:tc>
        <w:tc>
          <w:tcPr>
            <w:tcW w:w="6341" w:type="dxa"/>
            <w:shd w:val="clear" w:color="auto" w:fill="auto"/>
            <w:vAlign w:val="center"/>
          </w:tcPr>
          <w:p w14:paraId="6DD96802">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服务项目实行全面委托和管理，“一站式”服务。</w:t>
            </w:r>
          </w:p>
        </w:tc>
        <w:tc>
          <w:tcPr>
            <w:tcW w:w="1335" w:type="dxa"/>
            <w:shd w:val="clear" w:color="auto" w:fill="auto"/>
            <w:vAlign w:val="center"/>
          </w:tcPr>
          <w:p w14:paraId="62CBD7A3">
            <w:pPr>
              <w:pStyle w:val="12"/>
              <w:rPr>
                <w:rFonts w:hint="eastAsia" w:ascii="宋体" w:hAnsi="宋体" w:eastAsia="宋体" w:cs="宋体"/>
                <w:color w:val="auto"/>
                <w:spacing w:val="0"/>
                <w:sz w:val="24"/>
                <w:szCs w:val="24"/>
                <w:highlight w:val="none"/>
              </w:rPr>
            </w:pPr>
          </w:p>
        </w:tc>
      </w:tr>
      <w:tr w14:paraId="36F66BDA">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895" w:hRule="atLeast"/>
          <w:jc w:val="center"/>
        </w:trPr>
        <w:tc>
          <w:tcPr>
            <w:tcW w:w="709" w:type="dxa"/>
            <w:shd w:val="clear" w:color="auto" w:fill="auto"/>
            <w:vAlign w:val="center"/>
          </w:tcPr>
          <w:p w14:paraId="4382CE10">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vMerge w:val="continue"/>
            <w:shd w:val="clear" w:color="auto" w:fill="auto"/>
            <w:vAlign w:val="center"/>
          </w:tcPr>
          <w:p w14:paraId="52791836">
            <w:pPr>
              <w:pStyle w:val="12"/>
              <w:ind w:firstLine="480" w:firstLineChars="200"/>
              <w:jc w:val="both"/>
              <w:rPr>
                <w:rFonts w:hint="eastAsia" w:ascii="宋体" w:hAnsi="宋体" w:eastAsia="宋体" w:cs="宋体"/>
                <w:color w:val="auto"/>
                <w:spacing w:val="0"/>
                <w:sz w:val="24"/>
                <w:szCs w:val="24"/>
                <w:highlight w:val="none"/>
              </w:rPr>
            </w:pPr>
          </w:p>
        </w:tc>
        <w:tc>
          <w:tcPr>
            <w:tcW w:w="6341" w:type="dxa"/>
            <w:shd w:val="clear" w:color="auto" w:fill="auto"/>
            <w:vAlign w:val="center"/>
          </w:tcPr>
          <w:p w14:paraId="040253D4">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成交供应商</w:t>
            </w:r>
            <w:r>
              <w:rPr>
                <w:rFonts w:hint="eastAsia" w:ascii="宋体" w:hAnsi="宋体" w:eastAsia="宋体" w:cs="宋体"/>
                <w:color w:val="auto"/>
                <w:spacing w:val="0"/>
                <w:sz w:val="24"/>
                <w:szCs w:val="24"/>
                <w:highlight w:val="none"/>
              </w:rPr>
              <w:t>必须遵守《劳动合同法》，为员工依法办理相应的各项保险，依法保障劳动者的合法权益，确保员工的安全。</w:t>
            </w:r>
          </w:p>
        </w:tc>
        <w:tc>
          <w:tcPr>
            <w:tcW w:w="1335" w:type="dxa"/>
            <w:shd w:val="clear" w:color="auto" w:fill="auto"/>
            <w:vAlign w:val="center"/>
          </w:tcPr>
          <w:p w14:paraId="02C58D8A">
            <w:pPr>
              <w:pStyle w:val="12"/>
              <w:rPr>
                <w:rFonts w:hint="eastAsia" w:ascii="宋体" w:hAnsi="宋体" w:eastAsia="宋体" w:cs="宋体"/>
                <w:color w:val="auto"/>
                <w:spacing w:val="0"/>
                <w:sz w:val="24"/>
                <w:szCs w:val="24"/>
                <w:highlight w:val="none"/>
              </w:rPr>
            </w:pPr>
          </w:p>
        </w:tc>
      </w:tr>
      <w:tr w14:paraId="59828B6B">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535" w:hRule="atLeast"/>
          <w:jc w:val="center"/>
        </w:trPr>
        <w:tc>
          <w:tcPr>
            <w:tcW w:w="709" w:type="dxa"/>
            <w:shd w:val="clear" w:color="auto" w:fill="auto"/>
            <w:vAlign w:val="center"/>
          </w:tcPr>
          <w:p w14:paraId="77FBB6EB">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vMerge w:val="continue"/>
            <w:shd w:val="clear" w:color="auto" w:fill="auto"/>
            <w:vAlign w:val="center"/>
          </w:tcPr>
          <w:p w14:paraId="789B3269">
            <w:pPr>
              <w:pStyle w:val="12"/>
              <w:ind w:firstLine="480" w:firstLineChars="200"/>
              <w:jc w:val="both"/>
              <w:rPr>
                <w:rFonts w:hint="eastAsia" w:ascii="宋体" w:hAnsi="宋体" w:eastAsia="宋体" w:cs="宋体"/>
                <w:color w:val="auto"/>
                <w:spacing w:val="0"/>
                <w:sz w:val="24"/>
                <w:szCs w:val="24"/>
                <w:highlight w:val="none"/>
              </w:rPr>
            </w:pPr>
          </w:p>
        </w:tc>
        <w:tc>
          <w:tcPr>
            <w:tcW w:w="6341" w:type="dxa"/>
            <w:shd w:val="clear" w:color="auto" w:fill="auto"/>
            <w:vAlign w:val="center"/>
          </w:tcPr>
          <w:p w14:paraId="07A5A459">
            <w:pPr>
              <w:pStyle w:val="12"/>
              <w:ind w:firstLine="480" w:firstLineChars="200"/>
              <w:jc w:val="both"/>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成交供应商</w:t>
            </w:r>
            <w:r>
              <w:rPr>
                <w:rFonts w:hint="eastAsia" w:ascii="宋体" w:hAnsi="宋体" w:eastAsia="宋体" w:cs="宋体"/>
                <w:color w:val="auto"/>
                <w:spacing w:val="0"/>
                <w:sz w:val="24"/>
                <w:szCs w:val="24"/>
                <w:highlight w:val="none"/>
              </w:rPr>
              <w:t>为张家界市公安局交通管理支队直属二大队配备的</w:t>
            </w:r>
            <w:r>
              <w:rPr>
                <w:rFonts w:hint="eastAsia" w:ascii="宋体" w:hAnsi="宋体" w:eastAsia="宋体" w:cs="宋体"/>
                <w:color w:val="auto"/>
                <w:spacing w:val="0"/>
                <w:sz w:val="24"/>
                <w:szCs w:val="24"/>
                <w:highlight w:val="none"/>
                <w:lang w:eastAsia="zh-CN"/>
              </w:rPr>
              <w:t>消防</w:t>
            </w:r>
            <w:r>
              <w:rPr>
                <w:rFonts w:hint="eastAsia" w:ascii="宋体" w:hAnsi="宋体" w:eastAsia="宋体" w:cs="宋体"/>
                <w:color w:val="auto"/>
                <w:spacing w:val="0"/>
                <w:sz w:val="24"/>
                <w:szCs w:val="24"/>
                <w:highlight w:val="none"/>
              </w:rPr>
              <w:t>安保服务、保洁服务、设备运行服务</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涉案车辆管理</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人员需规范着装，举止文明，严格按采购人规定的时间及要求进行</w:t>
            </w:r>
            <w:r>
              <w:rPr>
                <w:rFonts w:hint="eastAsia" w:ascii="宋体" w:hAnsi="宋体" w:eastAsia="宋体" w:cs="宋体"/>
                <w:color w:val="auto"/>
                <w:spacing w:val="0"/>
                <w:sz w:val="24"/>
                <w:szCs w:val="24"/>
                <w:highlight w:val="none"/>
                <w:lang w:eastAsia="zh-CN"/>
              </w:rPr>
              <w:t>各项工作和服务，国家法定节假日需安排人员值班。</w:t>
            </w:r>
          </w:p>
        </w:tc>
        <w:tc>
          <w:tcPr>
            <w:tcW w:w="1335" w:type="dxa"/>
            <w:shd w:val="clear" w:color="auto" w:fill="auto"/>
            <w:vAlign w:val="center"/>
          </w:tcPr>
          <w:p w14:paraId="110AE4BD">
            <w:pPr>
              <w:pStyle w:val="12"/>
              <w:rPr>
                <w:rFonts w:hint="eastAsia" w:ascii="宋体" w:hAnsi="宋体" w:eastAsia="宋体" w:cs="宋体"/>
                <w:color w:val="auto"/>
                <w:spacing w:val="0"/>
                <w:sz w:val="24"/>
                <w:szCs w:val="24"/>
                <w:highlight w:val="none"/>
              </w:rPr>
            </w:pPr>
          </w:p>
        </w:tc>
      </w:tr>
      <w:tr w14:paraId="3E8711EC">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655" w:hRule="atLeast"/>
          <w:jc w:val="center"/>
        </w:trPr>
        <w:tc>
          <w:tcPr>
            <w:tcW w:w="709" w:type="dxa"/>
            <w:shd w:val="clear" w:color="auto" w:fill="auto"/>
            <w:vAlign w:val="center"/>
          </w:tcPr>
          <w:p w14:paraId="735D2EDF">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vMerge w:val="continue"/>
            <w:shd w:val="clear" w:color="auto" w:fill="auto"/>
            <w:vAlign w:val="center"/>
          </w:tcPr>
          <w:p w14:paraId="3885742A">
            <w:pPr>
              <w:pStyle w:val="12"/>
              <w:ind w:firstLine="480" w:firstLineChars="200"/>
              <w:jc w:val="both"/>
              <w:rPr>
                <w:rFonts w:hint="eastAsia" w:ascii="宋体" w:hAnsi="宋体" w:eastAsia="宋体" w:cs="宋体"/>
                <w:color w:val="auto"/>
                <w:spacing w:val="0"/>
                <w:sz w:val="24"/>
                <w:szCs w:val="24"/>
                <w:highlight w:val="none"/>
              </w:rPr>
            </w:pPr>
          </w:p>
        </w:tc>
        <w:tc>
          <w:tcPr>
            <w:tcW w:w="6341" w:type="dxa"/>
            <w:shd w:val="clear" w:color="auto" w:fill="auto"/>
            <w:vAlign w:val="center"/>
          </w:tcPr>
          <w:p w14:paraId="493140D6">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根据国家有关法律法规及本合同的约定，制定张家界市公安局交通管理支队直属二大队安保服务、保洁服务、设备运行服务流程、服务质量标准等操作性强的质量保证措施</w:t>
            </w:r>
            <w:r>
              <w:rPr>
                <w:rFonts w:hint="eastAsia" w:ascii="宋体" w:hAnsi="宋体" w:eastAsia="宋体" w:cs="宋体"/>
                <w:color w:val="auto"/>
                <w:spacing w:val="0"/>
                <w:sz w:val="24"/>
                <w:szCs w:val="24"/>
                <w:highlight w:val="none"/>
                <w:lang w:eastAsia="zh-CN"/>
              </w:rPr>
              <w:t>，制定方案。</w:t>
            </w:r>
            <w:r>
              <w:rPr>
                <w:rFonts w:hint="eastAsia" w:ascii="宋体" w:hAnsi="宋体" w:eastAsia="宋体" w:cs="宋体"/>
                <w:color w:val="auto"/>
                <w:spacing w:val="0"/>
                <w:sz w:val="24"/>
                <w:szCs w:val="24"/>
                <w:highlight w:val="none"/>
              </w:rPr>
              <w:t>对设备维护服务应先提出工作规程、确定服务人员，经采购人审定后方可实施。</w:t>
            </w:r>
          </w:p>
        </w:tc>
        <w:tc>
          <w:tcPr>
            <w:tcW w:w="1335" w:type="dxa"/>
            <w:shd w:val="clear" w:color="auto" w:fill="auto"/>
            <w:vAlign w:val="center"/>
          </w:tcPr>
          <w:p w14:paraId="0514D75F">
            <w:pPr>
              <w:pStyle w:val="12"/>
              <w:rPr>
                <w:rFonts w:hint="eastAsia" w:ascii="宋体" w:hAnsi="宋体" w:eastAsia="宋体" w:cs="宋体"/>
                <w:color w:val="auto"/>
                <w:spacing w:val="0"/>
                <w:sz w:val="24"/>
                <w:szCs w:val="24"/>
                <w:highlight w:val="none"/>
              </w:rPr>
            </w:pPr>
          </w:p>
        </w:tc>
      </w:tr>
      <w:tr w14:paraId="1A766728">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840" w:hRule="atLeast"/>
          <w:jc w:val="center"/>
        </w:trPr>
        <w:tc>
          <w:tcPr>
            <w:tcW w:w="709" w:type="dxa"/>
            <w:shd w:val="clear" w:color="auto" w:fill="auto"/>
            <w:vAlign w:val="center"/>
          </w:tcPr>
          <w:p w14:paraId="454ABFE6">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vMerge w:val="continue"/>
            <w:shd w:val="clear" w:color="auto" w:fill="auto"/>
            <w:vAlign w:val="center"/>
          </w:tcPr>
          <w:p w14:paraId="60A7BF76">
            <w:pPr>
              <w:pStyle w:val="12"/>
              <w:spacing w:line="280" w:lineRule="exact"/>
              <w:ind w:firstLine="480" w:firstLineChars="200"/>
              <w:jc w:val="both"/>
              <w:rPr>
                <w:rFonts w:hint="eastAsia" w:ascii="宋体" w:hAnsi="宋体" w:eastAsia="宋体" w:cs="宋体"/>
                <w:color w:val="auto"/>
                <w:spacing w:val="0"/>
                <w:sz w:val="24"/>
                <w:szCs w:val="24"/>
                <w:highlight w:val="none"/>
              </w:rPr>
            </w:pPr>
          </w:p>
        </w:tc>
        <w:tc>
          <w:tcPr>
            <w:tcW w:w="6341" w:type="dxa"/>
            <w:shd w:val="clear" w:color="auto" w:fill="auto"/>
            <w:vAlign w:val="center"/>
          </w:tcPr>
          <w:p w14:paraId="7EDC61C2">
            <w:pPr>
              <w:pStyle w:val="12"/>
              <w:ind w:firstLine="480" w:firstLineChars="200"/>
              <w:jc w:val="both"/>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rPr>
              <w:t>进驻张家界市公安局交通管理支队直属二大队机关大院办公楼</w:t>
            </w:r>
            <w:r>
              <w:rPr>
                <w:rFonts w:hint="eastAsia" w:ascii="宋体" w:hAnsi="宋体" w:eastAsia="宋体" w:cs="宋体"/>
                <w:color w:val="auto"/>
                <w:spacing w:val="0"/>
                <w:sz w:val="24"/>
                <w:szCs w:val="24"/>
                <w:highlight w:val="none"/>
                <w:lang w:eastAsia="zh-CN"/>
              </w:rPr>
              <w:t>、生活楼</w:t>
            </w:r>
            <w:r>
              <w:rPr>
                <w:rFonts w:hint="eastAsia" w:ascii="宋体" w:hAnsi="宋体" w:eastAsia="宋体" w:cs="宋体"/>
                <w:color w:val="auto"/>
                <w:spacing w:val="0"/>
                <w:sz w:val="24"/>
                <w:szCs w:val="24"/>
                <w:highlight w:val="none"/>
              </w:rPr>
              <w:t>实施物业服务的工作人员，必须政治可靠、品德端正，熟悉业务，身体健康。对所有人员必须加强法纪教育，做好保密、防盗、防火等安全工作。发生窃、泄密和偷盗、破坏等违纪违法行为的，必须依法及时严肃查处。</w:t>
            </w:r>
            <w:r>
              <w:rPr>
                <w:rFonts w:hint="eastAsia" w:ascii="宋体" w:hAnsi="宋体" w:eastAsia="宋体" w:cs="宋体"/>
                <w:color w:val="auto"/>
                <w:spacing w:val="0"/>
                <w:sz w:val="24"/>
                <w:szCs w:val="24"/>
                <w:highlight w:val="none"/>
                <w:lang w:eastAsia="zh-CN"/>
              </w:rPr>
              <w:t>聘请人员无违法犯罪前科，未参加非法组织，从事非法活动，确保管理人员、录用人员没有不良记录。</w:t>
            </w:r>
          </w:p>
        </w:tc>
        <w:tc>
          <w:tcPr>
            <w:tcW w:w="1335" w:type="dxa"/>
            <w:shd w:val="clear" w:color="auto" w:fill="auto"/>
            <w:vAlign w:val="center"/>
          </w:tcPr>
          <w:p w14:paraId="50C91018">
            <w:pPr>
              <w:pStyle w:val="12"/>
              <w:rPr>
                <w:rFonts w:hint="eastAsia" w:ascii="宋体" w:hAnsi="宋体" w:eastAsia="宋体" w:cs="宋体"/>
                <w:color w:val="auto"/>
                <w:spacing w:val="0"/>
                <w:sz w:val="24"/>
                <w:szCs w:val="24"/>
                <w:highlight w:val="none"/>
              </w:rPr>
            </w:pPr>
          </w:p>
        </w:tc>
      </w:tr>
      <w:tr w14:paraId="7626C11D">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820" w:hRule="atLeast"/>
          <w:jc w:val="center"/>
        </w:trPr>
        <w:tc>
          <w:tcPr>
            <w:tcW w:w="709" w:type="dxa"/>
            <w:shd w:val="clear" w:color="auto" w:fill="auto"/>
            <w:vAlign w:val="center"/>
          </w:tcPr>
          <w:p w14:paraId="3CEBD75C">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vMerge w:val="continue"/>
            <w:shd w:val="clear" w:color="auto" w:fill="auto"/>
            <w:vAlign w:val="center"/>
          </w:tcPr>
          <w:p w14:paraId="12D73719">
            <w:pPr>
              <w:pStyle w:val="12"/>
              <w:ind w:firstLine="480" w:firstLineChars="200"/>
              <w:jc w:val="both"/>
              <w:rPr>
                <w:rFonts w:hint="eastAsia" w:ascii="宋体" w:hAnsi="宋体" w:eastAsia="宋体" w:cs="宋体"/>
                <w:color w:val="auto"/>
                <w:spacing w:val="0"/>
                <w:sz w:val="24"/>
                <w:szCs w:val="24"/>
                <w:highlight w:val="none"/>
              </w:rPr>
            </w:pPr>
          </w:p>
        </w:tc>
        <w:tc>
          <w:tcPr>
            <w:tcW w:w="6341" w:type="dxa"/>
            <w:shd w:val="clear" w:color="auto" w:fill="auto"/>
            <w:vAlign w:val="center"/>
          </w:tcPr>
          <w:p w14:paraId="6C9E63C5">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★认真贯彻《保密协议》，接受</w:t>
            </w:r>
            <w:r>
              <w:rPr>
                <w:rFonts w:hint="eastAsia" w:ascii="宋体" w:hAnsi="宋体" w:eastAsia="宋体" w:cs="宋体"/>
                <w:color w:val="auto"/>
                <w:spacing w:val="0"/>
                <w:sz w:val="24"/>
                <w:szCs w:val="24"/>
                <w:highlight w:val="none"/>
                <w:lang w:eastAsia="zh-CN"/>
              </w:rPr>
              <w:t>采购人</w:t>
            </w:r>
            <w:r>
              <w:rPr>
                <w:rFonts w:hint="eastAsia" w:ascii="宋体" w:hAnsi="宋体" w:eastAsia="宋体" w:cs="宋体"/>
                <w:color w:val="auto"/>
                <w:spacing w:val="0"/>
                <w:sz w:val="24"/>
                <w:szCs w:val="24"/>
                <w:highlight w:val="none"/>
              </w:rPr>
              <w:t>监督，承担因违反《保密协议》而造成事故的责任。</w:t>
            </w:r>
          </w:p>
        </w:tc>
        <w:tc>
          <w:tcPr>
            <w:tcW w:w="1335" w:type="dxa"/>
            <w:shd w:val="clear" w:color="auto" w:fill="auto"/>
            <w:vAlign w:val="center"/>
          </w:tcPr>
          <w:p w14:paraId="432C227B">
            <w:pPr>
              <w:pStyle w:val="12"/>
              <w:rPr>
                <w:rFonts w:hint="eastAsia" w:ascii="宋体" w:hAnsi="宋体" w:eastAsia="宋体" w:cs="宋体"/>
                <w:color w:val="auto"/>
                <w:spacing w:val="0"/>
                <w:sz w:val="24"/>
                <w:szCs w:val="24"/>
                <w:highlight w:val="none"/>
              </w:rPr>
            </w:pPr>
          </w:p>
        </w:tc>
      </w:tr>
      <w:tr w14:paraId="15516479">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510" w:hRule="atLeast"/>
          <w:jc w:val="center"/>
        </w:trPr>
        <w:tc>
          <w:tcPr>
            <w:tcW w:w="709" w:type="dxa"/>
            <w:shd w:val="clear" w:color="auto" w:fill="auto"/>
            <w:vAlign w:val="center"/>
          </w:tcPr>
          <w:p w14:paraId="5F42FCB9">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vMerge w:val="continue"/>
            <w:shd w:val="clear" w:color="auto" w:fill="auto"/>
            <w:vAlign w:val="center"/>
          </w:tcPr>
          <w:p w14:paraId="14130041">
            <w:pPr>
              <w:pStyle w:val="12"/>
              <w:ind w:firstLine="480" w:firstLineChars="200"/>
              <w:jc w:val="both"/>
              <w:rPr>
                <w:rFonts w:hint="eastAsia" w:ascii="宋体" w:hAnsi="宋体" w:eastAsia="宋体" w:cs="宋体"/>
                <w:color w:val="auto"/>
                <w:spacing w:val="0"/>
                <w:sz w:val="24"/>
                <w:szCs w:val="24"/>
                <w:highlight w:val="none"/>
              </w:rPr>
            </w:pPr>
          </w:p>
        </w:tc>
        <w:tc>
          <w:tcPr>
            <w:tcW w:w="6341" w:type="dxa"/>
            <w:shd w:val="clear" w:color="auto" w:fill="auto"/>
            <w:vAlign w:val="center"/>
          </w:tcPr>
          <w:p w14:paraId="6D080A56">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对采购人委托的管理项目负全部责任。</w:t>
            </w:r>
          </w:p>
        </w:tc>
        <w:tc>
          <w:tcPr>
            <w:tcW w:w="1335" w:type="dxa"/>
            <w:shd w:val="clear" w:color="auto" w:fill="auto"/>
            <w:vAlign w:val="center"/>
          </w:tcPr>
          <w:p w14:paraId="34EFB064">
            <w:pPr>
              <w:pStyle w:val="12"/>
              <w:rPr>
                <w:rFonts w:hint="eastAsia" w:ascii="宋体" w:hAnsi="宋体" w:eastAsia="宋体" w:cs="宋体"/>
                <w:color w:val="auto"/>
                <w:spacing w:val="0"/>
                <w:sz w:val="24"/>
                <w:szCs w:val="24"/>
                <w:highlight w:val="none"/>
              </w:rPr>
            </w:pPr>
          </w:p>
        </w:tc>
      </w:tr>
      <w:tr w14:paraId="35076834">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775" w:hRule="atLeast"/>
          <w:jc w:val="center"/>
        </w:trPr>
        <w:tc>
          <w:tcPr>
            <w:tcW w:w="709" w:type="dxa"/>
            <w:shd w:val="clear" w:color="auto" w:fill="auto"/>
            <w:vAlign w:val="center"/>
          </w:tcPr>
          <w:p w14:paraId="46EE5897">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vMerge w:val="continue"/>
            <w:shd w:val="clear" w:color="auto" w:fill="auto"/>
            <w:vAlign w:val="center"/>
          </w:tcPr>
          <w:p w14:paraId="054409E0">
            <w:pPr>
              <w:pStyle w:val="12"/>
              <w:ind w:firstLine="480" w:firstLineChars="200"/>
              <w:jc w:val="both"/>
              <w:rPr>
                <w:rFonts w:hint="eastAsia" w:ascii="宋体" w:hAnsi="宋体" w:eastAsia="宋体" w:cs="宋体"/>
                <w:color w:val="auto"/>
                <w:spacing w:val="0"/>
                <w:sz w:val="24"/>
                <w:szCs w:val="24"/>
                <w:highlight w:val="none"/>
              </w:rPr>
            </w:pPr>
          </w:p>
        </w:tc>
        <w:tc>
          <w:tcPr>
            <w:tcW w:w="6341" w:type="dxa"/>
            <w:shd w:val="clear" w:color="auto" w:fill="auto"/>
            <w:vAlign w:val="center"/>
          </w:tcPr>
          <w:p w14:paraId="76368431">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在服务期满时，向采购人移交办公用房和服务管理档案资料。</w:t>
            </w:r>
          </w:p>
        </w:tc>
        <w:tc>
          <w:tcPr>
            <w:tcW w:w="1335" w:type="dxa"/>
            <w:shd w:val="clear" w:color="auto" w:fill="auto"/>
            <w:vAlign w:val="center"/>
          </w:tcPr>
          <w:p w14:paraId="0E96A91D">
            <w:pPr>
              <w:pStyle w:val="12"/>
              <w:rPr>
                <w:rFonts w:hint="eastAsia" w:ascii="宋体" w:hAnsi="宋体" w:eastAsia="宋体" w:cs="宋体"/>
                <w:color w:val="auto"/>
                <w:spacing w:val="0"/>
                <w:sz w:val="24"/>
                <w:szCs w:val="24"/>
                <w:highlight w:val="none"/>
              </w:rPr>
            </w:pPr>
          </w:p>
        </w:tc>
      </w:tr>
      <w:tr w14:paraId="2868AA7F">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701" w:hRule="exact"/>
          <w:jc w:val="center"/>
        </w:trPr>
        <w:tc>
          <w:tcPr>
            <w:tcW w:w="709" w:type="dxa"/>
            <w:shd w:val="clear" w:color="auto" w:fill="auto"/>
            <w:vAlign w:val="center"/>
          </w:tcPr>
          <w:p w14:paraId="22CD3674">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vMerge w:val="restart"/>
            <w:shd w:val="clear" w:color="auto" w:fill="auto"/>
            <w:vAlign w:val="center"/>
          </w:tcPr>
          <w:p w14:paraId="5BE9C0AB">
            <w:pPr>
              <w:pStyle w:val="12"/>
              <w:jc w:val="center"/>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人员配置要求</w:t>
            </w:r>
          </w:p>
        </w:tc>
        <w:tc>
          <w:tcPr>
            <w:tcW w:w="6341" w:type="dxa"/>
            <w:shd w:val="clear" w:color="auto" w:fill="auto"/>
            <w:vAlign w:val="center"/>
          </w:tcPr>
          <w:p w14:paraId="2FF59D48">
            <w:pPr>
              <w:pStyle w:val="12"/>
              <w:spacing w:line="260" w:lineRule="exact"/>
              <w:ind w:firstLine="480" w:firstLineChars="200"/>
              <w:jc w:val="lef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人员资质要求：管理人员和专业技术人员需持证上岗</w:t>
            </w:r>
            <w:r>
              <w:rPr>
                <w:rFonts w:hint="eastAsia" w:ascii="宋体" w:hAnsi="宋体" w:eastAsia="宋体" w:cs="宋体"/>
                <w:color w:val="auto"/>
                <w:spacing w:val="0"/>
                <w:sz w:val="24"/>
                <w:szCs w:val="24"/>
                <w:highlight w:val="none"/>
                <w:lang w:eastAsia="zh-CN"/>
              </w:rPr>
              <w:t>。</w:t>
            </w:r>
          </w:p>
        </w:tc>
        <w:tc>
          <w:tcPr>
            <w:tcW w:w="1335" w:type="dxa"/>
            <w:shd w:val="clear" w:color="auto" w:fill="auto"/>
            <w:vAlign w:val="center"/>
          </w:tcPr>
          <w:p w14:paraId="472E0D94">
            <w:pPr>
              <w:pStyle w:val="12"/>
              <w:rPr>
                <w:rFonts w:hint="eastAsia" w:ascii="宋体" w:hAnsi="宋体" w:eastAsia="宋体" w:cs="宋体"/>
                <w:color w:val="auto"/>
                <w:spacing w:val="0"/>
                <w:sz w:val="24"/>
                <w:szCs w:val="24"/>
                <w:highlight w:val="none"/>
              </w:rPr>
            </w:pPr>
          </w:p>
        </w:tc>
      </w:tr>
      <w:tr w14:paraId="4DD603E0">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574" w:hRule="exact"/>
          <w:jc w:val="center"/>
        </w:trPr>
        <w:tc>
          <w:tcPr>
            <w:tcW w:w="709" w:type="dxa"/>
            <w:shd w:val="clear" w:color="auto" w:fill="auto"/>
            <w:vAlign w:val="center"/>
          </w:tcPr>
          <w:p w14:paraId="40E378EE">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vMerge w:val="continue"/>
            <w:shd w:val="clear" w:color="auto" w:fill="auto"/>
            <w:vAlign w:val="center"/>
          </w:tcPr>
          <w:p w14:paraId="3F279E02">
            <w:pPr>
              <w:pStyle w:val="12"/>
              <w:jc w:val="center"/>
              <w:rPr>
                <w:rFonts w:hint="eastAsia" w:ascii="宋体" w:hAnsi="宋体" w:eastAsia="宋体" w:cs="宋体"/>
                <w:color w:val="auto"/>
                <w:spacing w:val="0"/>
                <w:sz w:val="24"/>
                <w:szCs w:val="24"/>
                <w:highlight w:val="none"/>
              </w:rPr>
            </w:pPr>
          </w:p>
        </w:tc>
        <w:tc>
          <w:tcPr>
            <w:tcW w:w="6341" w:type="dxa"/>
            <w:shd w:val="clear" w:color="auto" w:fill="auto"/>
            <w:vAlign w:val="center"/>
          </w:tcPr>
          <w:p w14:paraId="289ED3B9">
            <w:pPr>
              <w:pStyle w:val="12"/>
              <w:spacing w:line="260" w:lineRule="exact"/>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★项目人数要求：人员配置总数不少于</w:t>
            </w:r>
            <w:r>
              <w:rPr>
                <w:rFonts w:hint="eastAsia" w:ascii="宋体" w:hAnsi="宋体" w:eastAsia="宋体" w:cs="宋体"/>
                <w:color w:val="auto"/>
                <w:spacing w:val="0"/>
                <w:sz w:val="24"/>
                <w:szCs w:val="24"/>
                <w:highlight w:val="none"/>
                <w:lang w:val="en-US" w:eastAsia="zh-CN"/>
              </w:rPr>
              <w:t>5</w:t>
            </w:r>
            <w:r>
              <w:rPr>
                <w:rFonts w:hint="eastAsia" w:ascii="宋体" w:hAnsi="宋体" w:eastAsia="宋体" w:cs="宋体"/>
                <w:color w:val="auto"/>
                <w:spacing w:val="0"/>
                <w:sz w:val="24"/>
                <w:szCs w:val="24"/>
                <w:highlight w:val="none"/>
              </w:rPr>
              <w:t>人。</w:t>
            </w:r>
          </w:p>
        </w:tc>
        <w:tc>
          <w:tcPr>
            <w:tcW w:w="1335" w:type="dxa"/>
            <w:shd w:val="clear" w:color="auto" w:fill="auto"/>
            <w:vAlign w:val="center"/>
          </w:tcPr>
          <w:p w14:paraId="25E9ED6A">
            <w:pPr>
              <w:pStyle w:val="12"/>
              <w:rPr>
                <w:rFonts w:hint="eastAsia" w:ascii="宋体" w:hAnsi="宋体" w:eastAsia="宋体" w:cs="宋体"/>
                <w:color w:val="auto"/>
                <w:spacing w:val="0"/>
                <w:sz w:val="24"/>
                <w:szCs w:val="24"/>
                <w:highlight w:val="none"/>
              </w:rPr>
            </w:pPr>
          </w:p>
        </w:tc>
      </w:tr>
      <w:tr w14:paraId="2BBE3303">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814" w:hRule="exact"/>
          <w:jc w:val="center"/>
        </w:trPr>
        <w:tc>
          <w:tcPr>
            <w:tcW w:w="709" w:type="dxa"/>
            <w:shd w:val="clear" w:color="auto" w:fill="auto"/>
            <w:vAlign w:val="center"/>
          </w:tcPr>
          <w:p w14:paraId="0D9D36FD">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vMerge w:val="continue"/>
            <w:shd w:val="clear" w:color="auto" w:fill="auto"/>
            <w:vAlign w:val="center"/>
          </w:tcPr>
          <w:p w14:paraId="1FDB82A8">
            <w:pPr>
              <w:pStyle w:val="12"/>
              <w:jc w:val="center"/>
              <w:rPr>
                <w:rFonts w:hint="eastAsia" w:ascii="宋体" w:hAnsi="宋体" w:eastAsia="宋体" w:cs="宋体"/>
                <w:color w:val="auto"/>
                <w:spacing w:val="0"/>
                <w:sz w:val="24"/>
                <w:szCs w:val="24"/>
                <w:highlight w:val="none"/>
              </w:rPr>
            </w:pPr>
          </w:p>
        </w:tc>
        <w:tc>
          <w:tcPr>
            <w:tcW w:w="6341" w:type="dxa"/>
            <w:shd w:val="clear" w:color="auto" w:fill="auto"/>
            <w:vAlign w:val="center"/>
          </w:tcPr>
          <w:p w14:paraId="1BECE844">
            <w:pPr>
              <w:pStyle w:val="12"/>
              <w:spacing w:line="260" w:lineRule="exact"/>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岗位人员配备：</w:t>
            </w:r>
            <w:r>
              <w:rPr>
                <w:rFonts w:hint="eastAsia" w:ascii="宋体" w:hAnsi="宋体" w:eastAsia="宋体" w:cs="宋体"/>
                <w:color w:val="auto"/>
                <w:spacing w:val="0"/>
                <w:sz w:val="24"/>
                <w:szCs w:val="24"/>
                <w:highlight w:val="none"/>
                <w:lang w:eastAsia="zh-CN"/>
              </w:rPr>
              <w:t>水电</w:t>
            </w:r>
            <w:r>
              <w:rPr>
                <w:rFonts w:hint="eastAsia" w:ascii="宋体" w:hAnsi="宋体" w:eastAsia="宋体" w:cs="宋体"/>
                <w:color w:val="auto"/>
                <w:spacing w:val="0"/>
                <w:sz w:val="24"/>
                <w:szCs w:val="24"/>
                <w:highlight w:val="none"/>
                <w:lang w:val="en-US" w:eastAsia="zh-CN"/>
              </w:rPr>
              <w:t>维修1人、保安人员3人、保洁1人</w:t>
            </w:r>
            <w:r>
              <w:rPr>
                <w:rFonts w:hint="eastAsia" w:ascii="宋体" w:hAnsi="宋体" w:eastAsia="宋体" w:cs="宋体"/>
                <w:color w:val="auto"/>
                <w:spacing w:val="0"/>
                <w:sz w:val="24"/>
                <w:szCs w:val="24"/>
                <w:highlight w:val="none"/>
              </w:rPr>
              <w:t>。</w:t>
            </w:r>
          </w:p>
        </w:tc>
        <w:tc>
          <w:tcPr>
            <w:tcW w:w="1335" w:type="dxa"/>
            <w:shd w:val="clear" w:color="auto" w:fill="auto"/>
            <w:vAlign w:val="center"/>
          </w:tcPr>
          <w:p w14:paraId="645F5742">
            <w:pPr>
              <w:pStyle w:val="12"/>
              <w:rPr>
                <w:rFonts w:hint="eastAsia" w:ascii="宋体" w:hAnsi="宋体" w:eastAsia="宋体" w:cs="宋体"/>
                <w:color w:val="auto"/>
                <w:spacing w:val="0"/>
                <w:sz w:val="24"/>
                <w:szCs w:val="24"/>
                <w:highlight w:val="none"/>
              </w:rPr>
            </w:pPr>
          </w:p>
        </w:tc>
      </w:tr>
      <w:tr w14:paraId="5AFC7552">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815" w:hRule="exact"/>
          <w:jc w:val="center"/>
        </w:trPr>
        <w:tc>
          <w:tcPr>
            <w:tcW w:w="709" w:type="dxa"/>
            <w:shd w:val="clear" w:color="auto" w:fill="auto"/>
            <w:vAlign w:val="center"/>
          </w:tcPr>
          <w:p w14:paraId="4509B46C">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vMerge w:val="continue"/>
            <w:shd w:val="clear" w:color="auto" w:fill="auto"/>
            <w:vAlign w:val="center"/>
          </w:tcPr>
          <w:p w14:paraId="3C8DFE8C">
            <w:pPr>
              <w:pStyle w:val="12"/>
              <w:jc w:val="center"/>
              <w:rPr>
                <w:rFonts w:hint="eastAsia" w:ascii="宋体" w:hAnsi="宋体" w:eastAsia="宋体" w:cs="宋体"/>
                <w:color w:val="auto"/>
                <w:spacing w:val="0"/>
                <w:sz w:val="24"/>
                <w:szCs w:val="24"/>
                <w:highlight w:val="none"/>
              </w:rPr>
            </w:pPr>
          </w:p>
        </w:tc>
        <w:tc>
          <w:tcPr>
            <w:tcW w:w="6341" w:type="dxa"/>
            <w:shd w:val="clear" w:color="auto" w:fill="auto"/>
            <w:vAlign w:val="center"/>
          </w:tcPr>
          <w:p w14:paraId="6B06694A">
            <w:pPr>
              <w:pStyle w:val="12"/>
              <w:spacing w:line="260" w:lineRule="exact"/>
              <w:ind w:firstLine="480" w:firstLineChars="200"/>
              <w:jc w:val="both"/>
              <w:rPr>
                <w:rFonts w:hint="eastAsia" w:ascii="宋体" w:hAnsi="宋体" w:eastAsia="宋体" w:cs="宋体"/>
                <w:color w:val="auto"/>
                <w:spacing w:val="0"/>
                <w:sz w:val="24"/>
                <w:szCs w:val="24"/>
                <w:highlight w:val="none"/>
                <w:lang w:val="en-US"/>
              </w:rPr>
            </w:pPr>
            <w:r>
              <w:rPr>
                <w:rFonts w:hint="eastAsia" w:ascii="宋体" w:hAnsi="宋体" w:eastAsia="宋体" w:cs="宋体"/>
                <w:color w:val="auto"/>
                <w:spacing w:val="0"/>
                <w:sz w:val="24"/>
                <w:szCs w:val="24"/>
                <w:highlight w:val="none"/>
                <w:lang w:val="en-US" w:eastAsia="zh-CN"/>
              </w:rPr>
              <w:t>水电维修</w:t>
            </w:r>
            <w:r>
              <w:rPr>
                <w:rFonts w:hint="eastAsia" w:ascii="宋体" w:hAnsi="宋体" w:eastAsia="宋体" w:cs="宋体"/>
                <w:color w:val="auto"/>
                <w:spacing w:val="0"/>
                <w:sz w:val="24"/>
                <w:szCs w:val="24"/>
                <w:highlight w:val="none"/>
                <w:lang w:eastAsia="zh-CN"/>
              </w:rPr>
              <w:t>人员：年龄在</w:t>
            </w:r>
            <w:r>
              <w:rPr>
                <w:rFonts w:hint="eastAsia" w:ascii="宋体" w:hAnsi="宋体" w:eastAsia="宋体" w:cs="宋体"/>
                <w:color w:val="auto"/>
                <w:spacing w:val="0"/>
                <w:sz w:val="24"/>
                <w:szCs w:val="24"/>
                <w:highlight w:val="none"/>
                <w:lang w:val="en-US" w:eastAsia="zh-CN"/>
              </w:rPr>
              <w:t>60</w:t>
            </w:r>
            <w:r>
              <w:rPr>
                <w:rFonts w:hint="eastAsia" w:ascii="宋体" w:hAnsi="宋体" w:eastAsia="宋体" w:cs="宋体"/>
                <w:color w:val="auto"/>
                <w:spacing w:val="0"/>
                <w:sz w:val="24"/>
                <w:szCs w:val="24"/>
                <w:highlight w:val="none"/>
                <w:lang w:eastAsia="zh-CN"/>
              </w:rPr>
              <w:t>岁以下，具有特种设备（A4）安全管理员证及电工证，保证能在工作时间内、外都有应急抢修处置专业能力。</w:t>
            </w:r>
          </w:p>
        </w:tc>
        <w:tc>
          <w:tcPr>
            <w:tcW w:w="1335" w:type="dxa"/>
            <w:shd w:val="clear" w:color="auto" w:fill="auto"/>
            <w:vAlign w:val="center"/>
          </w:tcPr>
          <w:p w14:paraId="216881EA">
            <w:pPr>
              <w:pStyle w:val="12"/>
              <w:rPr>
                <w:rFonts w:hint="eastAsia" w:ascii="宋体" w:hAnsi="宋体" w:eastAsia="宋体" w:cs="宋体"/>
                <w:color w:val="auto"/>
                <w:spacing w:val="0"/>
                <w:sz w:val="24"/>
                <w:szCs w:val="24"/>
                <w:highlight w:val="none"/>
              </w:rPr>
            </w:pPr>
          </w:p>
        </w:tc>
      </w:tr>
      <w:tr w14:paraId="4448AB38">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531" w:hRule="atLeast"/>
          <w:jc w:val="center"/>
        </w:trPr>
        <w:tc>
          <w:tcPr>
            <w:tcW w:w="709" w:type="dxa"/>
            <w:shd w:val="clear" w:color="auto" w:fill="auto"/>
            <w:vAlign w:val="center"/>
          </w:tcPr>
          <w:p w14:paraId="62A8AE05">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vMerge w:val="continue"/>
            <w:shd w:val="clear" w:color="auto" w:fill="auto"/>
            <w:vAlign w:val="center"/>
          </w:tcPr>
          <w:p w14:paraId="2B4F2E73">
            <w:pPr>
              <w:pStyle w:val="12"/>
              <w:jc w:val="center"/>
              <w:rPr>
                <w:rFonts w:hint="eastAsia" w:ascii="宋体" w:hAnsi="宋体" w:eastAsia="宋体" w:cs="宋体"/>
                <w:color w:val="auto"/>
                <w:spacing w:val="0"/>
                <w:sz w:val="24"/>
                <w:szCs w:val="24"/>
                <w:highlight w:val="none"/>
              </w:rPr>
            </w:pPr>
          </w:p>
        </w:tc>
        <w:tc>
          <w:tcPr>
            <w:tcW w:w="6341" w:type="dxa"/>
            <w:shd w:val="clear" w:color="auto" w:fill="auto"/>
            <w:vAlign w:val="center"/>
          </w:tcPr>
          <w:p w14:paraId="5AAEC5D0">
            <w:pPr>
              <w:pStyle w:val="12"/>
              <w:spacing w:line="260" w:lineRule="exact"/>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保洁</w:t>
            </w:r>
            <w:r>
              <w:rPr>
                <w:rFonts w:hint="eastAsia" w:ascii="宋体" w:hAnsi="宋体" w:eastAsia="宋体" w:cs="宋体"/>
                <w:color w:val="auto"/>
                <w:spacing w:val="0"/>
                <w:sz w:val="24"/>
                <w:szCs w:val="24"/>
                <w:highlight w:val="none"/>
                <w:lang w:eastAsia="zh-CN"/>
              </w:rPr>
              <w:t>服务</w:t>
            </w:r>
            <w:r>
              <w:rPr>
                <w:rFonts w:hint="eastAsia" w:ascii="宋体" w:hAnsi="宋体" w:eastAsia="宋体" w:cs="宋体"/>
                <w:color w:val="auto"/>
                <w:spacing w:val="0"/>
                <w:sz w:val="24"/>
                <w:szCs w:val="24"/>
                <w:highlight w:val="none"/>
              </w:rPr>
              <w:t>人员：年龄在</w:t>
            </w:r>
            <w:r>
              <w:rPr>
                <w:rFonts w:hint="eastAsia" w:ascii="宋体" w:hAnsi="宋体" w:eastAsia="宋体" w:cs="宋体"/>
                <w:color w:val="auto"/>
                <w:spacing w:val="0"/>
                <w:sz w:val="24"/>
                <w:szCs w:val="24"/>
                <w:highlight w:val="none"/>
                <w:lang w:val="en-US" w:eastAsia="zh-CN"/>
              </w:rPr>
              <w:t>52</w:t>
            </w:r>
            <w:r>
              <w:rPr>
                <w:rFonts w:hint="eastAsia" w:ascii="宋体" w:hAnsi="宋体" w:eastAsia="宋体" w:cs="宋体"/>
                <w:color w:val="auto"/>
                <w:spacing w:val="0"/>
                <w:sz w:val="24"/>
                <w:szCs w:val="24"/>
                <w:highlight w:val="none"/>
              </w:rPr>
              <w:t>岁以下，爱岗敬业</w:t>
            </w:r>
            <w:r>
              <w:rPr>
                <w:rFonts w:hint="eastAsia" w:ascii="宋体" w:hAnsi="宋体" w:eastAsia="宋体" w:cs="宋体"/>
                <w:color w:val="auto"/>
                <w:spacing w:val="0"/>
                <w:sz w:val="24"/>
                <w:szCs w:val="24"/>
                <w:highlight w:val="none"/>
                <w:lang w:eastAsia="zh-CN"/>
              </w:rPr>
              <w:t>。</w:t>
            </w:r>
          </w:p>
        </w:tc>
        <w:tc>
          <w:tcPr>
            <w:tcW w:w="1335" w:type="dxa"/>
            <w:shd w:val="clear" w:color="auto" w:fill="auto"/>
            <w:vAlign w:val="center"/>
          </w:tcPr>
          <w:p w14:paraId="79379B6A">
            <w:pPr>
              <w:pStyle w:val="12"/>
              <w:rPr>
                <w:rFonts w:hint="eastAsia" w:ascii="宋体" w:hAnsi="宋体" w:eastAsia="宋体" w:cs="宋体"/>
                <w:color w:val="auto"/>
                <w:spacing w:val="0"/>
                <w:sz w:val="24"/>
                <w:szCs w:val="24"/>
                <w:highlight w:val="none"/>
              </w:rPr>
            </w:pPr>
          </w:p>
        </w:tc>
      </w:tr>
      <w:tr w14:paraId="3E636A05">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782" w:hRule="exact"/>
          <w:jc w:val="center"/>
        </w:trPr>
        <w:tc>
          <w:tcPr>
            <w:tcW w:w="709" w:type="dxa"/>
            <w:shd w:val="clear" w:color="auto" w:fill="auto"/>
            <w:vAlign w:val="center"/>
          </w:tcPr>
          <w:p w14:paraId="7F348238">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vMerge w:val="continue"/>
            <w:shd w:val="clear" w:color="auto" w:fill="auto"/>
            <w:vAlign w:val="center"/>
          </w:tcPr>
          <w:p w14:paraId="12D50AF0">
            <w:pPr>
              <w:pStyle w:val="12"/>
              <w:jc w:val="center"/>
              <w:rPr>
                <w:rFonts w:hint="eastAsia" w:ascii="宋体" w:hAnsi="宋体" w:eastAsia="宋体" w:cs="宋体"/>
                <w:color w:val="auto"/>
                <w:spacing w:val="0"/>
                <w:sz w:val="24"/>
                <w:szCs w:val="24"/>
                <w:highlight w:val="none"/>
              </w:rPr>
            </w:pPr>
          </w:p>
        </w:tc>
        <w:tc>
          <w:tcPr>
            <w:tcW w:w="6341" w:type="dxa"/>
            <w:shd w:val="clear" w:color="auto" w:fill="auto"/>
            <w:vAlign w:val="center"/>
          </w:tcPr>
          <w:p w14:paraId="635CE3EC">
            <w:pPr>
              <w:pStyle w:val="12"/>
              <w:spacing w:line="260" w:lineRule="exact"/>
              <w:ind w:firstLine="480" w:firstLineChars="200"/>
              <w:jc w:val="both"/>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val="en-US" w:eastAsia="zh-CN"/>
              </w:rPr>
              <w:t>安防服务人员：所有人员需年满18周岁并在60岁以下。能吃苦耐劳，形象较好，</w:t>
            </w:r>
            <w:r>
              <w:rPr>
                <w:rFonts w:hint="eastAsia" w:ascii="宋体" w:hAnsi="宋体" w:eastAsia="宋体" w:cs="宋体"/>
                <w:color w:val="auto"/>
                <w:spacing w:val="0"/>
                <w:sz w:val="24"/>
                <w:szCs w:val="24"/>
                <w:highlight w:val="none"/>
                <w:lang w:eastAsia="zh-CN"/>
              </w:rPr>
              <w:t>保证能在工作时间内、外都有应急处置专业能力。</w:t>
            </w:r>
          </w:p>
        </w:tc>
        <w:tc>
          <w:tcPr>
            <w:tcW w:w="1335" w:type="dxa"/>
            <w:shd w:val="clear" w:color="auto" w:fill="auto"/>
            <w:vAlign w:val="center"/>
          </w:tcPr>
          <w:p w14:paraId="3CFCA38A">
            <w:pPr>
              <w:pStyle w:val="12"/>
              <w:rPr>
                <w:rFonts w:hint="eastAsia" w:ascii="宋体" w:hAnsi="宋体" w:eastAsia="宋体" w:cs="宋体"/>
                <w:color w:val="auto"/>
                <w:spacing w:val="0"/>
                <w:sz w:val="24"/>
                <w:szCs w:val="24"/>
                <w:highlight w:val="none"/>
              </w:rPr>
            </w:pPr>
          </w:p>
        </w:tc>
      </w:tr>
      <w:tr w14:paraId="4EC3A2F6">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835" w:hRule="atLeast"/>
          <w:jc w:val="center"/>
        </w:trPr>
        <w:tc>
          <w:tcPr>
            <w:tcW w:w="709" w:type="dxa"/>
            <w:shd w:val="clear" w:color="auto" w:fill="auto"/>
            <w:vAlign w:val="center"/>
          </w:tcPr>
          <w:p w14:paraId="52734586">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vMerge w:val="restart"/>
            <w:shd w:val="clear" w:color="auto" w:fill="auto"/>
            <w:vAlign w:val="center"/>
          </w:tcPr>
          <w:p w14:paraId="308EBB00">
            <w:pPr>
              <w:pStyle w:val="12"/>
              <w:jc w:val="center"/>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其他要求</w:t>
            </w:r>
          </w:p>
        </w:tc>
        <w:tc>
          <w:tcPr>
            <w:tcW w:w="6341" w:type="dxa"/>
            <w:shd w:val="clear" w:color="auto" w:fill="auto"/>
            <w:vAlign w:val="center"/>
          </w:tcPr>
          <w:p w14:paraId="41646EA5">
            <w:pPr>
              <w:pStyle w:val="12"/>
              <w:numPr>
                <w:ilvl w:val="0"/>
                <w:numId w:val="0"/>
              </w:numPr>
              <w:spacing w:line="260" w:lineRule="exact"/>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供应商</w:t>
            </w:r>
            <w:r>
              <w:rPr>
                <w:rFonts w:hint="eastAsia" w:ascii="宋体" w:hAnsi="宋体" w:eastAsia="宋体" w:cs="宋体"/>
                <w:color w:val="auto"/>
                <w:spacing w:val="0"/>
                <w:sz w:val="24"/>
                <w:szCs w:val="24"/>
                <w:highlight w:val="none"/>
              </w:rPr>
              <w:t>承诺保证所有员工的基本工资，社保，劳保福利，加班费等不得低于政府规定的最低标准。</w:t>
            </w:r>
          </w:p>
        </w:tc>
        <w:tc>
          <w:tcPr>
            <w:tcW w:w="1335" w:type="dxa"/>
            <w:shd w:val="clear" w:color="auto" w:fill="auto"/>
            <w:vAlign w:val="center"/>
          </w:tcPr>
          <w:p w14:paraId="0E444B13">
            <w:pPr>
              <w:pStyle w:val="12"/>
              <w:rPr>
                <w:rFonts w:hint="eastAsia" w:ascii="宋体" w:hAnsi="宋体" w:eastAsia="宋体" w:cs="宋体"/>
                <w:color w:val="auto"/>
                <w:spacing w:val="0"/>
                <w:sz w:val="24"/>
                <w:szCs w:val="24"/>
                <w:highlight w:val="none"/>
              </w:rPr>
            </w:pPr>
          </w:p>
        </w:tc>
      </w:tr>
      <w:tr w14:paraId="5DC8AA96">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105" w:hRule="atLeast"/>
          <w:jc w:val="center"/>
        </w:trPr>
        <w:tc>
          <w:tcPr>
            <w:tcW w:w="709" w:type="dxa"/>
            <w:shd w:val="clear" w:color="auto" w:fill="auto"/>
            <w:vAlign w:val="center"/>
          </w:tcPr>
          <w:p w14:paraId="62A717D4">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vMerge w:val="continue"/>
            <w:shd w:val="clear" w:color="auto" w:fill="auto"/>
            <w:vAlign w:val="center"/>
          </w:tcPr>
          <w:p w14:paraId="1FE6164A">
            <w:pPr>
              <w:pStyle w:val="12"/>
              <w:jc w:val="center"/>
              <w:rPr>
                <w:rFonts w:hint="eastAsia" w:ascii="宋体" w:hAnsi="宋体" w:eastAsia="宋体" w:cs="宋体"/>
                <w:color w:val="auto"/>
                <w:spacing w:val="0"/>
                <w:sz w:val="24"/>
                <w:szCs w:val="24"/>
                <w:highlight w:val="none"/>
              </w:rPr>
            </w:pPr>
          </w:p>
        </w:tc>
        <w:tc>
          <w:tcPr>
            <w:tcW w:w="6341" w:type="dxa"/>
            <w:shd w:val="clear" w:color="auto" w:fill="auto"/>
            <w:vAlign w:val="center"/>
          </w:tcPr>
          <w:p w14:paraId="154D5B31">
            <w:pPr>
              <w:pStyle w:val="12"/>
              <w:ind w:firstLine="480" w:firstLineChars="200"/>
              <w:jc w:val="both"/>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成交供应商</w:t>
            </w:r>
            <w:r>
              <w:rPr>
                <w:rFonts w:hint="eastAsia" w:ascii="宋体" w:hAnsi="宋体" w:eastAsia="宋体" w:cs="宋体"/>
                <w:color w:val="auto"/>
                <w:spacing w:val="0"/>
                <w:sz w:val="24"/>
                <w:szCs w:val="24"/>
                <w:highlight w:val="none"/>
              </w:rPr>
              <w:t>服务本项目管理人员不得随意更换，如需更换必须提前向采购人征求意见，并得到许可。采购人有权</w:t>
            </w:r>
            <w:r>
              <w:rPr>
                <w:rFonts w:hint="eastAsia" w:ascii="宋体" w:hAnsi="宋体" w:eastAsia="宋体" w:cs="宋体"/>
                <w:color w:val="auto"/>
                <w:spacing w:val="0"/>
                <w:sz w:val="24"/>
                <w:szCs w:val="24"/>
                <w:highlight w:val="none"/>
                <w:lang w:eastAsia="zh-CN"/>
              </w:rPr>
              <w:t>建议</w:t>
            </w:r>
            <w:r>
              <w:rPr>
                <w:rFonts w:hint="eastAsia" w:ascii="宋体" w:hAnsi="宋体" w:eastAsia="宋体" w:cs="宋体"/>
                <w:color w:val="auto"/>
                <w:spacing w:val="0"/>
                <w:sz w:val="24"/>
                <w:szCs w:val="24"/>
                <w:highlight w:val="none"/>
              </w:rPr>
              <w:t>辞退在本项目服务期间造成不良影响的员工。</w:t>
            </w:r>
          </w:p>
        </w:tc>
        <w:tc>
          <w:tcPr>
            <w:tcW w:w="1335" w:type="dxa"/>
            <w:shd w:val="clear" w:color="auto" w:fill="auto"/>
            <w:vAlign w:val="center"/>
          </w:tcPr>
          <w:p w14:paraId="309DEC96">
            <w:pPr>
              <w:pStyle w:val="12"/>
              <w:rPr>
                <w:rFonts w:hint="eastAsia" w:ascii="宋体" w:hAnsi="宋体" w:eastAsia="宋体" w:cs="宋体"/>
                <w:color w:val="auto"/>
                <w:spacing w:val="0"/>
                <w:sz w:val="24"/>
                <w:szCs w:val="24"/>
                <w:highlight w:val="none"/>
              </w:rPr>
            </w:pPr>
          </w:p>
        </w:tc>
      </w:tr>
      <w:tr w14:paraId="56B37464">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780" w:hRule="atLeast"/>
          <w:jc w:val="center"/>
        </w:trPr>
        <w:tc>
          <w:tcPr>
            <w:tcW w:w="709" w:type="dxa"/>
            <w:shd w:val="clear" w:color="auto" w:fill="auto"/>
            <w:vAlign w:val="center"/>
          </w:tcPr>
          <w:p w14:paraId="038D361C">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vMerge w:val="continue"/>
            <w:shd w:val="clear" w:color="auto" w:fill="auto"/>
            <w:vAlign w:val="center"/>
          </w:tcPr>
          <w:p w14:paraId="06F12AF5">
            <w:pPr>
              <w:pStyle w:val="12"/>
              <w:jc w:val="center"/>
              <w:rPr>
                <w:rFonts w:hint="eastAsia" w:ascii="宋体" w:hAnsi="宋体" w:eastAsia="宋体" w:cs="宋体"/>
                <w:color w:val="auto"/>
                <w:spacing w:val="0"/>
                <w:sz w:val="24"/>
                <w:szCs w:val="24"/>
                <w:highlight w:val="none"/>
              </w:rPr>
            </w:pPr>
          </w:p>
        </w:tc>
        <w:tc>
          <w:tcPr>
            <w:tcW w:w="6341" w:type="dxa"/>
            <w:shd w:val="clear" w:color="auto" w:fill="auto"/>
            <w:vAlign w:val="center"/>
          </w:tcPr>
          <w:p w14:paraId="261F1201">
            <w:pPr>
              <w:pStyle w:val="12"/>
              <w:ind w:firstLine="480" w:firstLineChars="200"/>
              <w:jc w:val="both"/>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rPr>
              <w:t>物业管理公司将每个月的耗材费用、数量报送给</w:t>
            </w:r>
            <w:r>
              <w:rPr>
                <w:rFonts w:hint="eastAsia" w:ascii="宋体" w:hAnsi="宋体" w:eastAsia="宋体" w:cs="宋体"/>
                <w:color w:val="auto"/>
                <w:spacing w:val="0"/>
                <w:sz w:val="24"/>
                <w:szCs w:val="24"/>
                <w:highlight w:val="none"/>
                <w:lang w:eastAsia="zh-CN"/>
              </w:rPr>
              <w:t>采购人</w:t>
            </w:r>
            <w:r>
              <w:rPr>
                <w:rFonts w:hint="eastAsia" w:ascii="宋体" w:hAnsi="宋体" w:eastAsia="宋体" w:cs="宋体"/>
                <w:color w:val="auto"/>
                <w:spacing w:val="0"/>
                <w:sz w:val="24"/>
                <w:szCs w:val="24"/>
                <w:highlight w:val="none"/>
              </w:rPr>
              <w:t>存档备案，及时申领所需耗材物资。</w:t>
            </w:r>
          </w:p>
        </w:tc>
        <w:tc>
          <w:tcPr>
            <w:tcW w:w="1335" w:type="dxa"/>
            <w:shd w:val="clear" w:color="auto" w:fill="auto"/>
            <w:vAlign w:val="center"/>
          </w:tcPr>
          <w:p w14:paraId="777C43F9">
            <w:pPr>
              <w:pStyle w:val="12"/>
              <w:rPr>
                <w:rFonts w:hint="eastAsia" w:ascii="宋体" w:hAnsi="宋体" w:eastAsia="宋体" w:cs="宋体"/>
                <w:color w:val="auto"/>
                <w:spacing w:val="0"/>
                <w:sz w:val="24"/>
                <w:szCs w:val="24"/>
                <w:highlight w:val="none"/>
              </w:rPr>
            </w:pPr>
          </w:p>
        </w:tc>
      </w:tr>
      <w:tr w14:paraId="3B2066F6">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445" w:hRule="atLeast"/>
          <w:jc w:val="center"/>
        </w:trPr>
        <w:tc>
          <w:tcPr>
            <w:tcW w:w="709" w:type="dxa"/>
            <w:shd w:val="clear" w:color="auto" w:fill="auto"/>
            <w:vAlign w:val="center"/>
          </w:tcPr>
          <w:p w14:paraId="6286838A">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vMerge w:val="continue"/>
            <w:shd w:val="clear" w:color="auto" w:fill="auto"/>
            <w:vAlign w:val="center"/>
          </w:tcPr>
          <w:p w14:paraId="7FCAF81A">
            <w:pPr>
              <w:pStyle w:val="12"/>
              <w:jc w:val="center"/>
              <w:rPr>
                <w:rFonts w:hint="eastAsia" w:ascii="宋体" w:hAnsi="宋体" w:eastAsia="宋体" w:cs="宋体"/>
                <w:color w:val="auto"/>
                <w:spacing w:val="0"/>
                <w:sz w:val="24"/>
                <w:szCs w:val="24"/>
                <w:highlight w:val="none"/>
              </w:rPr>
            </w:pPr>
          </w:p>
        </w:tc>
        <w:tc>
          <w:tcPr>
            <w:tcW w:w="6341" w:type="dxa"/>
            <w:shd w:val="clear" w:color="auto" w:fill="auto"/>
            <w:vAlign w:val="center"/>
          </w:tcPr>
          <w:p w14:paraId="491B56EB">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若</w:t>
            </w:r>
            <w:r>
              <w:rPr>
                <w:rFonts w:hint="eastAsia" w:ascii="宋体" w:hAnsi="宋体" w:eastAsia="宋体" w:cs="宋体"/>
                <w:color w:val="auto"/>
                <w:spacing w:val="0"/>
                <w:sz w:val="24"/>
                <w:szCs w:val="24"/>
                <w:highlight w:val="none"/>
                <w:lang w:eastAsia="zh-CN"/>
              </w:rPr>
              <w:t>成交供应商</w:t>
            </w:r>
            <w:r>
              <w:rPr>
                <w:rFonts w:hint="eastAsia" w:ascii="宋体" w:hAnsi="宋体" w:eastAsia="宋体" w:cs="宋体"/>
                <w:color w:val="auto"/>
                <w:spacing w:val="0"/>
                <w:sz w:val="24"/>
                <w:szCs w:val="24"/>
                <w:highlight w:val="none"/>
              </w:rPr>
              <w:t>在合同服务一年期间无质量纠纷，经</w:t>
            </w:r>
            <w:r>
              <w:rPr>
                <w:rFonts w:hint="eastAsia" w:ascii="宋体" w:hAnsi="宋体" w:eastAsia="宋体" w:cs="宋体"/>
                <w:color w:val="auto"/>
                <w:spacing w:val="0"/>
                <w:sz w:val="24"/>
                <w:szCs w:val="24"/>
                <w:highlight w:val="none"/>
                <w:lang w:eastAsia="zh-CN"/>
              </w:rPr>
              <w:t>采</w:t>
            </w:r>
            <w:r>
              <w:rPr>
                <w:rFonts w:hint="eastAsia" w:ascii="宋体" w:hAnsi="宋体" w:eastAsia="宋体" w:cs="宋体"/>
                <w:color w:val="auto"/>
                <w:spacing w:val="0"/>
                <w:sz w:val="24"/>
                <w:szCs w:val="24"/>
                <w:highlight w:val="none"/>
              </w:rPr>
              <w:t>购人年度考核物业服务合格（不合格为</w:t>
            </w:r>
            <w:r>
              <w:rPr>
                <w:rFonts w:hint="eastAsia" w:ascii="宋体" w:hAnsi="宋体" w:eastAsia="宋体" w:cs="宋体"/>
                <w:color w:val="auto"/>
                <w:spacing w:val="0"/>
                <w:sz w:val="24"/>
                <w:szCs w:val="24"/>
                <w:highlight w:val="none"/>
                <w:lang w:eastAsia="zh-CN"/>
              </w:rPr>
              <w:t>一年内有</w:t>
            </w:r>
            <w:r>
              <w:rPr>
                <w:rFonts w:hint="eastAsia" w:ascii="宋体" w:hAnsi="宋体" w:eastAsia="宋体" w:cs="宋体"/>
                <w:color w:val="auto"/>
                <w:spacing w:val="0"/>
                <w:sz w:val="24"/>
                <w:szCs w:val="24"/>
                <w:highlight w:val="none"/>
              </w:rPr>
              <w:t>两</w:t>
            </w:r>
            <w:r>
              <w:rPr>
                <w:rFonts w:hint="eastAsia" w:ascii="宋体" w:hAnsi="宋体" w:eastAsia="宋体" w:cs="宋体"/>
                <w:color w:val="auto"/>
                <w:spacing w:val="0"/>
                <w:sz w:val="24"/>
                <w:szCs w:val="24"/>
                <w:highlight w:val="none"/>
                <w:lang w:eastAsia="zh-CN"/>
              </w:rPr>
              <w:t>个</w:t>
            </w:r>
            <w:r>
              <w:rPr>
                <w:rFonts w:hint="eastAsia" w:ascii="宋体" w:hAnsi="宋体" w:eastAsia="宋体" w:cs="宋体"/>
                <w:color w:val="auto"/>
                <w:spacing w:val="0"/>
                <w:sz w:val="24"/>
                <w:szCs w:val="24"/>
                <w:highlight w:val="none"/>
              </w:rPr>
              <w:t>月得分70分以下或年度考核不合格70分以下），双方方可续签下一年度合同，每年价格不发生变化。服务期间如遇政府最低工资标准调整，由</w:t>
            </w:r>
            <w:r>
              <w:rPr>
                <w:rFonts w:hint="eastAsia" w:ascii="宋体" w:hAnsi="宋体" w:eastAsia="宋体" w:cs="宋体"/>
                <w:color w:val="auto"/>
                <w:spacing w:val="0"/>
                <w:sz w:val="24"/>
                <w:szCs w:val="24"/>
                <w:highlight w:val="none"/>
                <w:lang w:eastAsia="zh-CN"/>
              </w:rPr>
              <w:t>供应商</w:t>
            </w:r>
            <w:r>
              <w:rPr>
                <w:rFonts w:hint="eastAsia" w:ascii="宋体" w:hAnsi="宋体" w:eastAsia="宋体" w:cs="宋体"/>
                <w:color w:val="auto"/>
                <w:spacing w:val="0"/>
                <w:sz w:val="24"/>
                <w:szCs w:val="24"/>
                <w:highlight w:val="none"/>
              </w:rPr>
              <w:t>自行承担。故请</w:t>
            </w:r>
            <w:r>
              <w:rPr>
                <w:rFonts w:hint="eastAsia" w:ascii="宋体" w:hAnsi="宋体" w:eastAsia="宋体" w:cs="宋体"/>
                <w:color w:val="auto"/>
                <w:spacing w:val="0"/>
                <w:sz w:val="24"/>
                <w:szCs w:val="24"/>
                <w:highlight w:val="none"/>
                <w:lang w:eastAsia="zh-CN"/>
              </w:rPr>
              <w:t>供应商</w:t>
            </w:r>
            <w:r>
              <w:rPr>
                <w:rFonts w:hint="eastAsia" w:ascii="宋体" w:hAnsi="宋体" w:eastAsia="宋体" w:cs="宋体"/>
                <w:color w:val="auto"/>
                <w:spacing w:val="0"/>
                <w:sz w:val="24"/>
                <w:szCs w:val="24"/>
                <w:highlight w:val="none"/>
              </w:rPr>
              <w:t>综合考虑本次总报价；若合同服务期间出现质量纠纷，委托人有权撤销合同。</w:t>
            </w:r>
          </w:p>
        </w:tc>
        <w:tc>
          <w:tcPr>
            <w:tcW w:w="1335" w:type="dxa"/>
            <w:shd w:val="clear" w:color="auto" w:fill="auto"/>
            <w:vAlign w:val="center"/>
          </w:tcPr>
          <w:p w14:paraId="5F61196A">
            <w:pPr>
              <w:pStyle w:val="12"/>
              <w:rPr>
                <w:rFonts w:hint="eastAsia" w:ascii="宋体" w:hAnsi="宋体" w:eastAsia="宋体" w:cs="宋体"/>
                <w:color w:val="auto"/>
                <w:spacing w:val="0"/>
                <w:sz w:val="24"/>
                <w:szCs w:val="24"/>
                <w:highlight w:val="none"/>
              </w:rPr>
            </w:pPr>
          </w:p>
        </w:tc>
      </w:tr>
      <w:tr w14:paraId="1938BB5D">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105" w:hRule="atLeast"/>
          <w:jc w:val="center"/>
        </w:trPr>
        <w:tc>
          <w:tcPr>
            <w:tcW w:w="709" w:type="dxa"/>
            <w:shd w:val="clear" w:color="auto" w:fill="auto"/>
            <w:vAlign w:val="center"/>
          </w:tcPr>
          <w:p w14:paraId="5F0B6399">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shd w:val="clear" w:color="auto" w:fill="auto"/>
            <w:vAlign w:val="center"/>
          </w:tcPr>
          <w:p w14:paraId="7C80BCB4">
            <w:pPr>
              <w:pStyle w:val="12"/>
              <w:jc w:val="center"/>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服务人员配备和管理方案</w:t>
            </w:r>
          </w:p>
        </w:tc>
        <w:tc>
          <w:tcPr>
            <w:tcW w:w="6341" w:type="dxa"/>
            <w:shd w:val="clear" w:color="auto" w:fill="auto"/>
            <w:vAlign w:val="center"/>
          </w:tcPr>
          <w:p w14:paraId="00CA1223">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供应商</w:t>
            </w:r>
            <w:r>
              <w:rPr>
                <w:rFonts w:hint="eastAsia" w:ascii="宋体" w:hAnsi="宋体" w:eastAsia="宋体" w:cs="宋体"/>
                <w:color w:val="auto"/>
                <w:spacing w:val="0"/>
                <w:sz w:val="24"/>
                <w:szCs w:val="24"/>
                <w:highlight w:val="none"/>
              </w:rPr>
              <w:t>提供服务人员的配备和人员培训管理方案，内容详细可行，满足采购需求。</w:t>
            </w:r>
          </w:p>
        </w:tc>
        <w:tc>
          <w:tcPr>
            <w:tcW w:w="1335" w:type="dxa"/>
            <w:shd w:val="clear" w:color="auto" w:fill="auto"/>
            <w:vAlign w:val="center"/>
          </w:tcPr>
          <w:p w14:paraId="0ADF936F">
            <w:pPr>
              <w:pStyle w:val="12"/>
              <w:rPr>
                <w:rFonts w:hint="eastAsia" w:ascii="宋体" w:hAnsi="宋体" w:eastAsia="宋体" w:cs="宋体"/>
                <w:color w:val="auto"/>
                <w:spacing w:val="0"/>
                <w:sz w:val="24"/>
                <w:szCs w:val="24"/>
                <w:highlight w:val="none"/>
              </w:rPr>
            </w:pPr>
          </w:p>
        </w:tc>
      </w:tr>
      <w:tr w14:paraId="5FD64F89">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949" w:hRule="atLeast"/>
          <w:jc w:val="center"/>
        </w:trPr>
        <w:tc>
          <w:tcPr>
            <w:tcW w:w="709" w:type="dxa"/>
            <w:shd w:val="clear" w:color="auto" w:fill="auto"/>
            <w:vAlign w:val="center"/>
          </w:tcPr>
          <w:p w14:paraId="15854F25">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shd w:val="clear" w:color="auto" w:fill="auto"/>
            <w:vAlign w:val="center"/>
          </w:tcPr>
          <w:p w14:paraId="5C13AC03">
            <w:pPr>
              <w:pStyle w:val="12"/>
              <w:spacing w:line="240" w:lineRule="auto"/>
              <w:jc w:val="center"/>
              <w:rPr>
                <w:rFonts w:hint="eastAsia" w:ascii="宋体" w:hAnsi="宋体" w:eastAsia="宋体" w:cs="宋体"/>
                <w:color w:val="auto"/>
                <w:spacing w:val="-6"/>
                <w:sz w:val="24"/>
                <w:szCs w:val="24"/>
                <w:highlight w:val="none"/>
                <w:lang w:val="zh-CN"/>
              </w:rPr>
            </w:pPr>
            <w:r>
              <w:rPr>
                <w:rFonts w:hint="eastAsia" w:ascii="宋体" w:hAnsi="宋体" w:eastAsia="宋体" w:cs="宋体"/>
                <w:color w:val="auto"/>
                <w:spacing w:val="-6"/>
                <w:sz w:val="24"/>
                <w:szCs w:val="24"/>
                <w:highlight w:val="none"/>
                <w:lang w:val="zh-CN"/>
              </w:rPr>
              <w:t>设备运行</w:t>
            </w:r>
          </w:p>
          <w:p w14:paraId="2A6F56EB">
            <w:pPr>
              <w:pStyle w:val="12"/>
              <w:spacing w:line="240" w:lineRule="auto"/>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6"/>
                <w:sz w:val="24"/>
                <w:szCs w:val="24"/>
                <w:highlight w:val="none"/>
                <w:lang w:val="zh-CN"/>
              </w:rPr>
              <w:t>服务方案</w:t>
            </w:r>
          </w:p>
        </w:tc>
        <w:tc>
          <w:tcPr>
            <w:tcW w:w="6341" w:type="dxa"/>
            <w:shd w:val="clear" w:color="auto" w:fill="auto"/>
            <w:vAlign w:val="center"/>
          </w:tcPr>
          <w:p w14:paraId="33840CA9">
            <w:pPr>
              <w:pStyle w:val="12"/>
              <w:spacing w:line="240" w:lineRule="auto"/>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供应商</w:t>
            </w:r>
            <w:r>
              <w:rPr>
                <w:rFonts w:hint="eastAsia" w:ascii="宋体" w:hAnsi="宋体" w:eastAsia="宋体" w:cs="宋体"/>
                <w:color w:val="auto"/>
                <w:spacing w:val="0"/>
                <w:sz w:val="24"/>
                <w:szCs w:val="24"/>
                <w:highlight w:val="none"/>
              </w:rPr>
              <w:t>提供完整、合理、服务标准高，科学合理且符合项目特点及需求的设备设施管理服务方案及保障措施。</w:t>
            </w:r>
          </w:p>
        </w:tc>
        <w:tc>
          <w:tcPr>
            <w:tcW w:w="1335" w:type="dxa"/>
            <w:shd w:val="clear" w:color="auto" w:fill="auto"/>
            <w:vAlign w:val="center"/>
          </w:tcPr>
          <w:p w14:paraId="3660CB0F">
            <w:pPr>
              <w:pStyle w:val="12"/>
              <w:rPr>
                <w:rFonts w:hint="eastAsia" w:ascii="宋体" w:hAnsi="宋体" w:eastAsia="宋体" w:cs="宋体"/>
                <w:color w:val="auto"/>
                <w:spacing w:val="0"/>
                <w:sz w:val="24"/>
                <w:szCs w:val="24"/>
                <w:highlight w:val="none"/>
              </w:rPr>
            </w:pPr>
          </w:p>
        </w:tc>
      </w:tr>
      <w:tr w14:paraId="6ED91304">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90" w:hRule="atLeast"/>
          <w:jc w:val="center"/>
        </w:trPr>
        <w:tc>
          <w:tcPr>
            <w:tcW w:w="709" w:type="dxa"/>
            <w:shd w:val="clear" w:color="auto" w:fill="auto"/>
            <w:vAlign w:val="center"/>
          </w:tcPr>
          <w:p w14:paraId="6AB6FAFD">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shd w:val="clear" w:color="auto" w:fill="auto"/>
            <w:vAlign w:val="center"/>
          </w:tcPr>
          <w:p w14:paraId="1035D4D4">
            <w:pPr>
              <w:pStyle w:val="12"/>
              <w:spacing w:line="240" w:lineRule="auto"/>
              <w:jc w:val="center"/>
              <w:rPr>
                <w:rFonts w:hint="eastAsia" w:ascii="宋体" w:hAnsi="宋体" w:eastAsia="宋体" w:cs="宋体"/>
                <w:color w:val="auto"/>
                <w:spacing w:val="-6"/>
                <w:sz w:val="24"/>
                <w:szCs w:val="24"/>
                <w:highlight w:val="none"/>
                <w:lang w:val="zh-CN"/>
              </w:rPr>
            </w:pPr>
            <w:r>
              <w:rPr>
                <w:rFonts w:hint="eastAsia" w:ascii="宋体" w:hAnsi="宋体" w:eastAsia="宋体" w:cs="宋体"/>
                <w:color w:val="auto"/>
                <w:spacing w:val="-6"/>
                <w:sz w:val="24"/>
                <w:szCs w:val="24"/>
                <w:highlight w:val="none"/>
                <w:lang w:val="zh-CN"/>
              </w:rPr>
              <w:t>物业服务</w:t>
            </w:r>
          </w:p>
          <w:p w14:paraId="295A2067">
            <w:pPr>
              <w:pStyle w:val="12"/>
              <w:spacing w:line="240" w:lineRule="auto"/>
              <w:jc w:val="center"/>
              <w:rPr>
                <w:rFonts w:hint="eastAsia" w:ascii="宋体" w:hAnsi="宋体" w:eastAsia="宋体" w:cs="宋体"/>
                <w:color w:val="auto"/>
                <w:spacing w:val="-6"/>
                <w:sz w:val="24"/>
                <w:szCs w:val="24"/>
                <w:highlight w:val="none"/>
                <w:lang w:val="zh-CN"/>
              </w:rPr>
            </w:pPr>
            <w:r>
              <w:rPr>
                <w:rFonts w:hint="eastAsia" w:ascii="宋体" w:hAnsi="宋体" w:eastAsia="宋体" w:cs="宋体"/>
                <w:color w:val="auto"/>
                <w:spacing w:val="-6"/>
                <w:sz w:val="24"/>
                <w:szCs w:val="24"/>
                <w:highlight w:val="none"/>
                <w:lang w:val="zh-CN"/>
              </w:rPr>
              <w:t>的品质检查方案</w:t>
            </w:r>
            <w:r>
              <w:rPr>
                <w:rFonts w:hint="eastAsia" w:ascii="宋体" w:hAnsi="宋体" w:eastAsia="宋体" w:cs="宋体"/>
                <w:color w:val="auto"/>
                <w:spacing w:val="-6"/>
                <w:sz w:val="24"/>
                <w:szCs w:val="24"/>
                <w:highlight w:val="none"/>
                <w:lang w:val="zh-CN"/>
              </w:rPr>
              <w:tab/>
            </w:r>
          </w:p>
        </w:tc>
        <w:tc>
          <w:tcPr>
            <w:tcW w:w="6341" w:type="dxa"/>
            <w:shd w:val="clear" w:color="auto" w:fill="auto"/>
            <w:vAlign w:val="center"/>
          </w:tcPr>
          <w:p w14:paraId="3B3AA331">
            <w:pPr>
              <w:pStyle w:val="12"/>
              <w:spacing w:line="240" w:lineRule="auto"/>
              <w:ind w:firstLine="456" w:firstLineChars="200"/>
              <w:jc w:val="both"/>
              <w:rPr>
                <w:rFonts w:hint="eastAsia" w:ascii="宋体" w:hAnsi="宋体" w:eastAsia="宋体" w:cs="宋体"/>
                <w:color w:val="auto"/>
                <w:spacing w:val="-6"/>
                <w:sz w:val="24"/>
                <w:szCs w:val="24"/>
                <w:highlight w:val="none"/>
                <w:lang w:val="zh-CN"/>
              </w:rPr>
            </w:pPr>
            <w:r>
              <w:rPr>
                <w:rFonts w:hint="eastAsia" w:ascii="宋体" w:hAnsi="宋体" w:eastAsia="宋体" w:cs="宋体"/>
                <w:color w:val="auto"/>
                <w:spacing w:val="-6"/>
                <w:sz w:val="24"/>
                <w:szCs w:val="24"/>
                <w:highlight w:val="none"/>
                <w:lang w:val="zh-CN"/>
              </w:rPr>
              <w:t>供应商</w:t>
            </w:r>
            <w:r>
              <w:rPr>
                <w:rFonts w:hint="eastAsia" w:ascii="宋体" w:hAnsi="宋体" w:eastAsia="宋体" w:cs="宋体"/>
                <w:color w:val="auto"/>
                <w:spacing w:val="-6"/>
                <w:sz w:val="24"/>
                <w:szCs w:val="24"/>
                <w:highlight w:val="none"/>
                <w:lang w:val="en-US" w:eastAsia="zh-CN"/>
              </w:rPr>
              <w:t>提供</w:t>
            </w:r>
            <w:r>
              <w:rPr>
                <w:rFonts w:hint="eastAsia" w:ascii="宋体" w:hAnsi="宋体" w:eastAsia="宋体" w:cs="宋体"/>
                <w:color w:val="auto"/>
                <w:spacing w:val="-6"/>
                <w:sz w:val="24"/>
                <w:szCs w:val="24"/>
                <w:highlight w:val="none"/>
                <w:lang w:val="zh-CN"/>
              </w:rPr>
              <w:t>物业服务质量的检查</w:t>
            </w:r>
            <w:r>
              <w:rPr>
                <w:rFonts w:hint="eastAsia" w:ascii="宋体" w:hAnsi="宋体" w:eastAsia="宋体" w:cs="宋体"/>
                <w:color w:val="auto"/>
                <w:spacing w:val="-6"/>
                <w:sz w:val="24"/>
                <w:szCs w:val="24"/>
                <w:highlight w:val="none"/>
                <w:lang w:val="en-US" w:eastAsia="zh-CN"/>
              </w:rPr>
              <w:t>方案</w:t>
            </w:r>
            <w:r>
              <w:rPr>
                <w:rFonts w:hint="eastAsia" w:ascii="宋体" w:hAnsi="宋体" w:eastAsia="宋体" w:cs="宋体"/>
                <w:color w:val="auto"/>
                <w:spacing w:val="-6"/>
                <w:sz w:val="24"/>
                <w:szCs w:val="24"/>
                <w:highlight w:val="none"/>
                <w:lang w:val="zh-CN"/>
              </w:rPr>
              <w:t>。</w:t>
            </w:r>
          </w:p>
        </w:tc>
        <w:tc>
          <w:tcPr>
            <w:tcW w:w="1335" w:type="dxa"/>
            <w:shd w:val="clear" w:color="auto" w:fill="auto"/>
            <w:vAlign w:val="center"/>
          </w:tcPr>
          <w:p w14:paraId="6822970D">
            <w:pPr>
              <w:pStyle w:val="12"/>
              <w:rPr>
                <w:rFonts w:hint="eastAsia" w:ascii="宋体" w:hAnsi="宋体" w:eastAsia="宋体" w:cs="宋体"/>
                <w:color w:val="auto"/>
                <w:spacing w:val="0"/>
                <w:sz w:val="24"/>
                <w:szCs w:val="24"/>
                <w:highlight w:val="none"/>
              </w:rPr>
            </w:pPr>
          </w:p>
        </w:tc>
      </w:tr>
      <w:tr w14:paraId="0D194855">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120" w:hRule="atLeast"/>
          <w:jc w:val="center"/>
        </w:trPr>
        <w:tc>
          <w:tcPr>
            <w:tcW w:w="709" w:type="dxa"/>
            <w:shd w:val="clear" w:color="auto" w:fill="auto"/>
            <w:vAlign w:val="center"/>
          </w:tcPr>
          <w:p w14:paraId="04CD9191">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shd w:val="clear" w:color="auto" w:fill="auto"/>
            <w:vAlign w:val="center"/>
          </w:tcPr>
          <w:p w14:paraId="1E675A13">
            <w:pPr>
              <w:pStyle w:val="12"/>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对突发性</w:t>
            </w:r>
          </w:p>
          <w:p w14:paraId="5AF97465">
            <w:pPr>
              <w:pStyle w:val="12"/>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事件的应急预案</w:t>
            </w:r>
          </w:p>
        </w:tc>
        <w:tc>
          <w:tcPr>
            <w:tcW w:w="6341" w:type="dxa"/>
            <w:shd w:val="clear" w:color="auto" w:fill="auto"/>
            <w:vAlign w:val="center"/>
          </w:tcPr>
          <w:p w14:paraId="6C9F5BE5">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供应商</w:t>
            </w:r>
            <w:r>
              <w:rPr>
                <w:rFonts w:hint="eastAsia" w:ascii="宋体" w:hAnsi="宋体" w:eastAsia="宋体" w:cs="宋体"/>
                <w:color w:val="auto"/>
                <w:spacing w:val="0"/>
                <w:sz w:val="24"/>
                <w:szCs w:val="24"/>
                <w:highlight w:val="none"/>
              </w:rPr>
              <w:t>提供保洁卫生、设备运行、内部安保等实际操作性强的应对突发性事件的应急措施。</w:t>
            </w:r>
          </w:p>
        </w:tc>
        <w:tc>
          <w:tcPr>
            <w:tcW w:w="1335" w:type="dxa"/>
            <w:shd w:val="clear" w:color="auto" w:fill="auto"/>
            <w:vAlign w:val="center"/>
          </w:tcPr>
          <w:p w14:paraId="37E53A58">
            <w:pPr>
              <w:pStyle w:val="12"/>
              <w:rPr>
                <w:rFonts w:hint="eastAsia" w:ascii="宋体" w:hAnsi="宋体" w:eastAsia="宋体" w:cs="宋体"/>
                <w:color w:val="auto"/>
                <w:spacing w:val="0"/>
                <w:sz w:val="24"/>
                <w:szCs w:val="24"/>
                <w:highlight w:val="none"/>
              </w:rPr>
            </w:pPr>
          </w:p>
        </w:tc>
      </w:tr>
      <w:tr w14:paraId="3C1A5CEC">
        <w:tblPrEx>
          <w:tblBorders>
            <w:top w:val="double" w:color="auto" w:sz="4" w:space="0"/>
            <w:left w:val="double" w:color="auto" w:sz="4" w:space="0"/>
            <w:bottom w:val="double" w:color="auto" w:sz="4" w:space="0"/>
            <w:right w:val="double" w:color="auto" w:sz="4"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464" w:hRule="atLeast"/>
          <w:jc w:val="center"/>
        </w:trPr>
        <w:tc>
          <w:tcPr>
            <w:tcW w:w="709" w:type="dxa"/>
            <w:shd w:val="clear" w:color="auto" w:fill="auto"/>
            <w:vAlign w:val="center"/>
          </w:tcPr>
          <w:p w14:paraId="48F18A52">
            <w:pPr>
              <w:pStyle w:val="12"/>
              <w:numPr>
                <w:ilvl w:val="0"/>
                <w:numId w:val="3"/>
              </w:numPr>
              <w:jc w:val="center"/>
              <w:rPr>
                <w:rFonts w:hint="eastAsia" w:ascii="宋体" w:hAnsi="宋体" w:eastAsia="宋体" w:cs="宋体"/>
                <w:color w:val="auto"/>
                <w:spacing w:val="0"/>
                <w:sz w:val="24"/>
                <w:szCs w:val="24"/>
                <w:highlight w:val="none"/>
              </w:rPr>
            </w:pPr>
          </w:p>
        </w:tc>
        <w:tc>
          <w:tcPr>
            <w:tcW w:w="1598" w:type="dxa"/>
            <w:gridSpan w:val="2"/>
            <w:shd w:val="clear" w:color="auto" w:fill="auto"/>
            <w:vAlign w:val="center"/>
          </w:tcPr>
          <w:p w14:paraId="6995F5AF">
            <w:pPr>
              <w:pStyle w:val="12"/>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服务承诺及落实措施</w:t>
            </w:r>
          </w:p>
        </w:tc>
        <w:tc>
          <w:tcPr>
            <w:tcW w:w="6341" w:type="dxa"/>
            <w:shd w:val="clear" w:color="auto" w:fill="auto"/>
            <w:vAlign w:val="center"/>
          </w:tcPr>
          <w:p w14:paraId="7DDAE7AB">
            <w:pPr>
              <w:pStyle w:val="12"/>
              <w:ind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供应商</w:t>
            </w:r>
            <w:r>
              <w:rPr>
                <w:rFonts w:hint="eastAsia" w:ascii="宋体" w:hAnsi="宋体" w:eastAsia="宋体" w:cs="宋体"/>
                <w:color w:val="auto"/>
                <w:spacing w:val="0"/>
                <w:sz w:val="24"/>
                <w:szCs w:val="24"/>
                <w:highlight w:val="none"/>
              </w:rPr>
              <w:t>承诺物业服务各项质量指标的承诺及落实措施。</w:t>
            </w:r>
          </w:p>
        </w:tc>
        <w:tc>
          <w:tcPr>
            <w:tcW w:w="1335" w:type="dxa"/>
            <w:tcBorders>
              <w:bottom w:val="double" w:color="auto" w:sz="4" w:space="0"/>
            </w:tcBorders>
            <w:shd w:val="clear" w:color="auto" w:fill="auto"/>
            <w:vAlign w:val="center"/>
          </w:tcPr>
          <w:p w14:paraId="1DF256E7">
            <w:pPr>
              <w:pStyle w:val="12"/>
              <w:rPr>
                <w:rFonts w:hint="eastAsia" w:ascii="宋体" w:hAnsi="宋体" w:eastAsia="宋体" w:cs="宋体"/>
                <w:color w:val="auto"/>
                <w:spacing w:val="0"/>
                <w:sz w:val="24"/>
                <w:szCs w:val="24"/>
                <w:highlight w:val="none"/>
              </w:rPr>
            </w:pPr>
          </w:p>
        </w:tc>
      </w:tr>
    </w:tbl>
    <w:p w14:paraId="14043641">
      <w:pPr>
        <w:pStyle w:val="3"/>
        <w:numPr>
          <w:ilvl w:val="0"/>
          <w:numId w:val="2"/>
        </w:numPr>
        <w:bidi w:val="0"/>
        <w:ind w:firstLine="480" w:firstLineChars="200"/>
        <w:outlineLvl w:val="1"/>
        <w:rPr>
          <w:rFonts w:hint="eastAsia" w:ascii="黑体" w:hAnsi="黑体" w:eastAsia="黑体" w:cs="黑体"/>
          <w:color w:val="auto"/>
          <w:sz w:val="24"/>
          <w:szCs w:val="24"/>
          <w:lang w:eastAsia="zh-CN"/>
        </w:rPr>
      </w:pPr>
      <w:bookmarkStart w:id="8" w:name="_Toc9072"/>
      <w:r>
        <w:rPr>
          <w:rFonts w:hint="eastAsia" w:ascii="黑体" w:hAnsi="黑体" w:eastAsia="黑体" w:cs="黑体"/>
          <w:color w:val="auto"/>
          <w:sz w:val="24"/>
          <w:szCs w:val="24"/>
          <w:lang w:eastAsia="zh-CN"/>
        </w:rPr>
        <w:t>商务要求</w:t>
      </w:r>
      <w:bookmarkEnd w:id="8"/>
    </w:p>
    <w:tbl>
      <w:tblPr>
        <w:tblStyle w:val="5"/>
        <w:tblpPr w:leftFromText="180" w:rightFromText="180" w:vertAnchor="text" w:horzAnchor="page" w:tblpX="1037" w:tblpY="385"/>
        <w:tblOverlap w:val="never"/>
        <w:tblW w:w="10035"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8"/>
        <w:gridCol w:w="1460"/>
        <w:gridCol w:w="6352"/>
        <w:gridCol w:w="1345"/>
      </w:tblGrid>
      <w:tr w14:paraId="20AD6AD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blHeader/>
        </w:trPr>
        <w:tc>
          <w:tcPr>
            <w:tcW w:w="878" w:type="dxa"/>
            <w:tcBorders>
              <w:top w:val="double" w:color="auto" w:sz="4" w:space="0"/>
            </w:tcBorders>
            <w:shd w:val="clear" w:color="FFFFFF" w:themeColor="background1" w:fill="auto"/>
            <w:vAlign w:val="center"/>
          </w:tcPr>
          <w:p w14:paraId="489C9245">
            <w:pPr>
              <w:pStyle w:val="1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460" w:type="dxa"/>
            <w:tcBorders>
              <w:top w:val="double" w:color="auto" w:sz="4" w:space="0"/>
            </w:tcBorders>
            <w:shd w:val="clear" w:color="FFFFFF" w:themeColor="background1" w:fill="auto"/>
            <w:vAlign w:val="center"/>
          </w:tcPr>
          <w:p w14:paraId="5D83DD66">
            <w:pPr>
              <w:pStyle w:val="1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商务条款</w:t>
            </w:r>
          </w:p>
        </w:tc>
        <w:tc>
          <w:tcPr>
            <w:tcW w:w="6352" w:type="dxa"/>
            <w:tcBorders>
              <w:top w:val="double" w:color="auto" w:sz="4" w:space="0"/>
            </w:tcBorders>
            <w:shd w:val="clear" w:color="FFFFFF" w:themeColor="background1" w:fill="auto"/>
            <w:vAlign w:val="center"/>
          </w:tcPr>
          <w:p w14:paraId="1855A7B3">
            <w:pPr>
              <w:pStyle w:val="1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   　　 容</w:t>
            </w:r>
          </w:p>
        </w:tc>
        <w:tc>
          <w:tcPr>
            <w:tcW w:w="1345" w:type="dxa"/>
            <w:tcBorders>
              <w:top w:val="double" w:color="auto" w:sz="4" w:space="0"/>
            </w:tcBorders>
            <w:shd w:val="clear" w:color="FFFFFF" w:themeColor="background1" w:fill="auto"/>
            <w:vAlign w:val="center"/>
          </w:tcPr>
          <w:p w14:paraId="1E1ED302">
            <w:pPr>
              <w:pStyle w:val="1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757E51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878" w:type="dxa"/>
            <w:vAlign w:val="center"/>
          </w:tcPr>
          <w:p w14:paraId="60E5FE70">
            <w:pPr>
              <w:pStyle w:val="12"/>
              <w:numPr>
                <w:ilvl w:val="0"/>
                <w:numId w:val="4"/>
              </w:numPr>
              <w:jc w:val="center"/>
              <w:rPr>
                <w:rFonts w:hint="eastAsia" w:ascii="宋体" w:hAnsi="宋体" w:eastAsia="宋体" w:cs="宋体"/>
                <w:color w:val="auto"/>
                <w:sz w:val="24"/>
                <w:szCs w:val="24"/>
                <w:highlight w:val="none"/>
              </w:rPr>
            </w:pPr>
          </w:p>
        </w:tc>
        <w:tc>
          <w:tcPr>
            <w:tcW w:w="1460" w:type="dxa"/>
            <w:vAlign w:val="center"/>
          </w:tcPr>
          <w:p w14:paraId="16F400FD">
            <w:pPr>
              <w:pStyle w:val="1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服务期限</w:t>
            </w:r>
          </w:p>
        </w:tc>
        <w:tc>
          <w:tcPr>
            <w:tcW w:w="6352" w:type="dxa"/>
            <w:vAlign w:val="center"/>
          </w:tcPr>
          <w:p w14:paraId="3C002208">
            <w:pPr>
              <w:pStyle w:val="12"/>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★三年，合同一年一签</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经</w:t>
            </w:r>
            <w:r>
              <w:rPr>
                <w:rFonts w:hint="eastAsia" w:ascii="宋体" w:hAnsi="宋体" w:eastAsia="宋体" w:cs="宋体"/>
                <w:color w:val="auto"/>
                <w:sz w:val="24"/>
                <w:szCs w:val="24"/>
                <w:highlight w:val="none"/>
                <w:lang w:eastAsia="zh-CN"/>
              </w:rPr>
              <w:t>采</w:t>
            </w:r>
            <w:r>
              <w:rPr>
                <w:rFonts w:hint="eastAsia" w:ascii="宋体" w:hAnsi="宋体" w:eastAsia="宋体" w:cs="宋体"/>
                <w:color w:val="auto"/>
                <w:sz w:val="24"/>
                <w:szCs w:val="24"/>
                <w:highlight w:val="none"/>
              </w:rPr>
              <w:t>购人年度考核物业服务合格（不合格为</w:t>
            </w:r>
            <w:r>
              <w:rPr>
                <w:rFonts w:hint="eastAsia" w:ascii="宋体" w:hAnsi="宋体" w:eastAsia="宋体" w:cs="宋体"/>
                <w:color w:val="auto"/>
                <w:sz w:val="24"/>
                <w:szCs w:val="24"/>
                <w:highlight w:val="none"/>
                <w:lang w:eastAsia="zh-CN"/>
              </w:rPr>
              <w:t>一年内有</w:t>
            </w:r>
            <w:r>
              <w:rPr>
                <w:rFonts w:hint="eastAsia" w:ascii="宋体" w:hAnsi="宋体" w:eastAsia="宋体" w:cs="宋体"/>
                <w:color w:val="auto"/>
                <w:sz w:val="24"/>
                <w:szCs w:val="24"/>
                <w:highlight w:val="none"/>
              </w:rPr>
              <w:t>两</w:t>
            </w:r>
            <w:r>
              <w:rPr>
                <w:rFonts w:hint="eastAsia" w:ascii="宋体" w:hAnsi="宋体" w:eastAsia="宋体" w:cs="宋体"/>
                <w:color w:val="auto"/>
                <w:sz w:val="24"/>
                <w:szCs w:val="24"/>
                <w:highlight w:val="none"/>
                <w:lang w:eastAsia="zh-CN"/>
              </w:rPr>
              <w:t>个</w:t>
            </w:r>
            <w:r>
              <w:rPr>
                <w:rFonts w:hint="eastAsia" w:ascii="宋体" w:hAnsi="宋体" w:eastAsia="宋体" w:cs="宋体"/>
                <w:color w:val="auto"/>
                <w:sz w:val="24"/>
                <w:szCs w:val="24"/>
                <w:highlight w:val="none"/>
              </w:rPr>
              <w:t>月得分70分以下或年度考核不合格70分以下），双方方可续签下一年度合同。</w:t>
            </w:r>
          </w:p>
        </w:tc>
        <w:tc>
          <w:tcPr>
            <w:tcW w:w="1345" w:type="dxa"/>
          </w:tcPr>
          <w:p w14:paraId="49465815">
            <w:pPr>
              <w:pStyle w:val="8"/>
              <w:spacing w:before="312"/>
              <w:ind w:firstLine="31680"/>
              <w:rPr>
                <w:rFonts w:hint="eastAsia" w:ascii="宋体" w:hAnsi="宋体" w:eastAsia="宋体" w:cs="宋体"/>
                <w:color w:val="auto"/>
                <w:sz w:val="24"/>
                <w:szCs w:val="24"/>
                <w:highlight w:val="none"/>
              </w:rPr>
            </w:pPr>
          </w:p>
        </w:tc>
      </w:tr>
      <w:tr w14:paraId="0856C72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878" w:type="dxa"/>
            <w:vAlign w:val="center"/>
          </w:tcPr>
          <w:p w14:paraId="6F516717">
            <w:pPr>
              <w:pStyle w:val="12"/>
              <w:numPr>
                <w:ilvl w:val="0"/>
                <w:numId w:val="4"/>
              </w:numPr>
              <w:jc w:val="center"/>
              <w:rPr>
                <w:rFonts w:hint="eastAsia" w:ascii="宋体" w:hAnsi="宋体" w:eastAsia="宋体" w:cs="宋体"/>
                <w:color w:val="auto"/>
                <w:sz w:val="24"/>
                <w:szCs w:val="24"/>
                <w:highlight w:val="none"/>
              </w:rPr>
            </w:pPr>
          </w:p>
        </w:tc>
        <w:tc>
          <w:tcPr>
            <w:tcW w:w="1460" w:type="dxa"/>
            <w:vAlign w:val="center"/>
          </w:tcPr>
          <w:p w14:paraId="1F343906">
            <w:pPr>
              <w:pStyle w:val="1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服务地点</w:t>
            </w:r>
          </w:p>
        </w:tc>
        <w:tc>
          <w:tcPr>
            <w:tcW w:w="6352" w:type="dxa"/>
            <w:vAlign w:val="center"/>
          </w:tcPr>
          <w:p w14:paraId="468224C0">
            <w:pPr>
              <w:pStyle w:val="12"/>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b w:val="0"/>
                <w:bCs/>
                <w:color w:val="auto"/>
                <w:kern w:val="0"/>
                <w:sz w:val="24"/>
                <w:szCs w:val="24"/>
                <w:lang w:val="en-US" w:eastAsia="zh-CN" w:bidi="ar"/>
              </w:rPr>
              <w:t>张家界市武陵源区武陵大道东路98号</w:t>
            </w:r>
            <w:r>
              <w:rPr>
                <w:rFonts w:hint="eastAsia" w:ascii="宋体" w:hAnsi="宋体" w:eastAsia="宋体" w:cs="宋体"/>
                <w:b w:val="0"/>
                <w:bCs/>
                <w:color w:val="auto"/>
                <w:kern w:val="0"/>
                <w:sz w:val="24"/>
                <w:szCs w:val="24"/>
                <w:lang w:eastAsia="zh-Hans" w:bidi="ar"/>
              </w:rPr>
              <w:t>。</w:t>
            </w:r>
          </w:p>
        </w:tc>
        <w:tc>
          <w:tcPr>
            <w:tcW w:w="1345" w:type="dxa"/>
          </w:tcPr>
          <w:p w14:paraId="36D06C7D">
            <w:pPr>
              <w:pStyle w:val="8"/>
              <w:spacing w:before="312"/>
              <w:ind w:firstLine="31680"/>
              <w:rPr>
                <w:rFonts w:hint="eastAsia" w:ascii="宋体" w:hAnsi="宋体" w:eastAsia="宋体" w:cs="宋体"/>
                <w:color w:val="auto"/>
                <w:sz w:val="24"/>
                <w:szCs w:val="24"/>
                <w:highlight w:val="none"/>
              </w:rPr>
            </w:pPr>
          </w:p>
        </w:tc>
      </w:tr>
      <w:tr w14:paraId="3BE160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8" w:type="dxa"/>
            <w:vAlign w:val="center"/>
          </w:tcPr>
          <w:p w14:paraId="1D6DCBFB">
            <w:pPr>
              <w:pStyle w:val="12"/>
              <w:numPr>
                <w:ilvl w:val="0"/>
                <w:numId w:val="4"/>
              </w:numPr>
              <w:jc w:val="center"/>
              <w:rPr>
                <w:rFonts w:hint="eastAsia" w:ascii="宋体" w:hAnsi="宋体" w:eastAsia="宋体" w:cs="宋体"/>
                <w:color w:val="auto"/>
                <w:sz w:val="24"/>
                <w:szCs w:val="24"/>
                <w:highlight w:val="none"/>
              </w:rPr>
            </w:pPr>
          </w:p>
        </w:tc>
        <w:tc>
          <w:tcPr>
            <w:tcW w:w="1460" w:type="dxa"/>
            <w:vMerge w:val="restart"/>
            <w:vAlign w:val="center"/>
          </w:tcPr>
          <w:p w14:paraId="49A3EAED">
            <w:pPr>
              <w:pStyle w:val="1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报价要求</w:t>
            </w:r>
          </w:p>
        </w:tc>
        <w:tc>
          <w:tcPr>
            <w:tcW w:w="6352" w:type="dxa"/>
            <w:vAlign w:val="center"/>
          </w:tcPr>
          <w:p w14:paraId="6852A672">
            <w:pPr>
              <w:pStyle w:val="12"/>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的报价根据采购需求，报出</w:t>
            </w:r>
            <w:r>
              <w:rPr>
                <w:rFonts w:hint="eastAsia" w:ascii="宋体" w:hAnsi="宋体" w:eastAsia="宋体" w:cs="宋体"/>
                <w:color w:val="auto"/>
                <w:sz w:val="24"/>
                <w:szCs w:val="24"/>
                <w:highlight w:val="none"/>
                <w:lang w:val="en-US" w:eastAsia="zh-Hans"/>
              </w:rPr>
              <w:t>三年</w:t>
            </w:r>
            <w:r>
              <w:rPr>
                <w:rFonts w:hint="eastAsia" w:ascii="宋体" w:hAnsi="宋体" w:eastAsia="宋体" w:cs="宋体"/>
                <w:color w:val="auto"/>
                <w:sz w:val="24"/>
                <w:szCs w:val="24"/>
                <w:highlight w:val="none"/>
              </w:rPr>
              <w:t>服务期限的总报价。报价为完成</w:t>
            </w:r>
            <w:r>
              <w:rPr>
                <w:rFonts w:hint="eastAsia" w:ascii="宋体" w:hAnsi="宋体" w:eastAsia="宋体" w:cs="宋体"/>
                <w:color w:val="auto"/>
                <w:sz w:val="24"/>
                <w:szCs w:val="24"/>
                <w:highlight w:val="none"/>
                <w:lang w:eastAsia="zh-CN"/>
              </w:rPr>
              <w:t>采购文件</w:t>
            </w:r>
            <w:r>
              <w:rPr>
                <w:rFonts w:hint="eastAsia" w:ascii="宋体" w:hAnsi="宋体" w:eastAsia="宋体" w:cs="宋体"/>
                <w:color w:val="auto"/>
                <w:sz w:val="24"/>
                <w:szCs w:val="24"/>
                <w:highlight w:val="none"/>
              </w:rPr>
              <w:t>要求的物业服务内容所发生的一切总费用。</w:t>
            </w:r>
            <w:r>
              <w:rPr>
                <w:rFonts w:hint="eastAsia" w:ascii="宋体" w:hAnsi="宋体" w:eastAsia="宋体" w:cs="宋体"/>
                <w:color w:val="auto"/>
                <w:sz w:val="24"/>
                <w:szCs w:val="24"/>
                <w:highlight w:val="none"/>
                <w:lang w:val="en-US" w:eastAsia="zh-CN"/>
              </w:rPr>
              <w:t>对在合同实施过程中可能发生的其他费用，采购人概不负责。</w:t>
            </w:r>
          </w:p>
        </w:tc>
        <w:tc>
          <w:tcPr>
            <w:tcW w:w="1345" w:type="dxa"/>
          </w:tcPr>
          <w:p w14:paraId="1B18D0C0">
            <w:pPr>
              <w:pStyle w:val="8"/>
              <w:spacing w:before="312"/>
              <w:ind w:firstLine="31680"/>
              <w:rPr>
                <w:rFonts w:hint="eastAsia" w:ascii="宋体" w:hAnsi="宋体" w:eastAsia="宋体" w:cs="宋体"/>
                <w:color w:val="auto"/>
                <w:sz w:val="24"/>
                <w:szCs w:val="24"/>
                <w:highlight w:val="none"/>
              </w:rPr>
            </w:pPr>
          </w:p>
        </w:tc>
      </w:tr>
      <w:tr w14:paraId="0818235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7" w:hRule="atLeast"/>
        </w:trPr>
        <w:tc>
          <w:tcPr>
            <w:tcW w:w="878" w:type="dxa"/>
            <w:vAlign w:val="center"/>
          </w:tcPr>
          <w:p w14:paraId="5AA52A43">
            <w:pPr>
              <w:pStyle w:val="12"/>
              <w:numPr>
                <w:ilvl w:val="0"/>
                <w:numId w:val="4"/>
              </w:numPr>
              <w:jc w:val="center"/>
              <w:rPr>
                <w:rFonts w:hint="eastAsia" w:ascii="宋体" w:hAnsi="宋体" w:eastAsia="宋体" w:cs="宋体"/>
                <w:color w:val="auto"/>
                <w:sz w:val="24"/>
                <w:szCs w:val="24"/>
                <w:highlight w:val="none"/>
              </w:rPr>
            </w:pPr>
          </w:p>
        </w:tc>
        <w:tc>
          <w:tcPr>
            <w:tcW w:w="1460" w:type="dxa"/>
            <w:vMerge w:val="continue"/>
            <w:vAlign w:val="center"/>
          </w:tcPr>
          <w:p w14:paraId="4906581E">
            <w:pPr>
              <w:pStyle w:val="12"/>
              <w:jc w:val="center"/>
              <w:rPr>
                <w:rFonts w:hint="eastAsia" w:ascii="宋体" w:hAnsi="宋体" w:eastAsia="宋体" w:cs="宋体"/>
                <w:color w:val="auto"/>
                <w:sz w:val="24"/>
                <w:szCs w:val="24"/>
                <w:highlight w:val="none"/>
              </w:rPr>
            </w:pPr>
          </w:p>
        </w:tc>
        <w:tc>
          <w:tcPr>
            <w:tcW w:w="6352" w:type="dxa"/>
            <w:vAlign w:val="center"/>
          </w:tcPr>
          <w:p w14:paraId="2383B635">
            <w:pPr>
              <w:pStyle w:val="12"/>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★报价为完成本次项目的全部费用价格，其组成包括但不限于人员工资、管理费、服装费、办公费、通讯费、培训费、</w:t>
            </w:r>
            <w:r>
              <w:rPr>
                <w:rFonts w:hint="eastAsia" w:ascii="宋体" w:hAnsi="宋体" w:eastAsia="宋体" w:cs="宋体"/>
                <w:color w:val="auto"/>
                <w:sz w:val="24"/>
                <w:szCs w:val="24"/>
                <w:highlight w:val="none"/>
                <w:lang w:eastAsia="zh-CN"/>
              </w:rPr>
              <w:t>伙食费、</w:t>
            </w:r>
            <w:r>
              <w:rPr>
                <w:rFonts w:hint="eastAsia" w:ascii="宋体" w:hAnsi="宋体" w:eastAsia="宋体" w:cs="宋体"/>
                <w:color w:val="auto"/>
                <w:sz w:val="24"/>
                <w:szCs w:val="24"/>
                <w:highlight w:val="none"/>
              </w:rPr>
              <w:t>税金、利润、社会保险费等为完成本次项目所发生的一切费用。</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自行解决员工养老、失业、医疗、工伤、生育、纳税等保险及劳保、工资、福利等有关问题。</w:t>
            </w:r>
          </w:p>
        </w:tc>
        <w:tc>
          <w:tcPr>
            <w:tcW w:w="1345" w:type="dxa"/>
          </w:tcPr>
          <w:p w14:paraId="044102B3">
            <w:pPr>
              <w:pStyle w:val="8"/>
              <w:spacing w:before="312"/>
              <w:ind w:firstLine="31680"/>
              <w:rPr>
                <w:rFonts w:hint="eastAsia" w:ascii="宋体" w:hAnsi="宋体" w:eastAsia="宋体" w:cs="宋体"/>
                <w:color w:val="auto"/>
                <w:sz w:val="24"/>
                <w:szCs w:val="24"/>
                <w:highlight w:val="none"/>
              </w:rPr>
            </w:pPr>
          </w:p>
        </w:tc>
      </w:tr>
      <w:tr w14:paraId="6DA29A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trPr>
        <w:tc>
          <w:tcPr>
            <w:tcW w:w="878" w:type="dxa"/>
            <w:vAlign w:val="center"/>
          </w:tcPr>
          <w:p w14:paraId="4D41C97F">
            <w:pPr>
              <w:pStyle w:val="12"/>
              <w:numPr>
                <w:ilvl w:val="0"/>
                <w:numId w:val="4"/>
              </w:numPr>
              <w:jc w:val="center"/>
              <w:rPr>
                <w:rFonts w:hint="eastAsia" w:ascii="宋体" w:hAnsi="宋体" w:eastAsia="宋体" w:cs="宋体"/>
                <w:color w:val="auto"/>
                <w:sz w:val="24"/>
                <w:szCs w:val="24"/>
                <w:highlight w:val="none"/>
              </w:rPr>
            </w:pPr>
          </w:p>
        </w:tc>
        <w:tc>
          <w:tcPr>
            <w:tcW w:w="1460" w:type="dxa"/>
            <w:vMerge w:val="continue"/>
            <w:vAlign w:val="center"/>
          </w:tcPr>
          <w:p w14:paraId="0AABC8B8">
            <w:pPr>
              <w:pStyle w:val="12"/>
              <w:jc w:val="center"/>
              <w:rPr>
                <w:rFonts w:hint="eastAsia" w:ascii="宋体" w:hAnsi="宋体" w:eastAsia="宋体" w:cs="宋体"/>
                <w:color w:val="auto"/>
                <w:sz w:val="24"/>
                <w:szCs w:val="24"/>
                <w:highlight w:val="none"/>
              </w:rPr>
            </w:pPr>
          </w:p>
        </w:tc>
        <w:tc>
          <w:tcPr>
            <w:tcW w:w="6352" w:type="dxa"/>
            <w:vAlign w:val="center"/>
          </w:tcPr>
          <w:p w14:paraId="20E6EA59">
            <w:pPr>
              <w:pStyle w:val="12"/>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★拟派服务人员工资不得低于现行张家界市市区最低工资标准，为员工办理社会保险，缴费基数</w:t>
            </w:r>
            <w:r>
              <w:rPr>
                <w:rFonts w:hint="eastAsia" w:ascii="宋体" w:hAnsi="宋体" w:eastAsia="宋体" w:cs="宋体"/>
                <w:color w:val="auto"/>
                <w:sz w:val="24"/>
                <w:szCs w:val="24"/>
                <w:highlight w:val="none"/>
                <w:lang w:val="en-US" w:eastAsia="zh-CN"/>
              </w:rPr>
              <w:t>不低于</w:t>
            </w:r>
            <w:r>
              <w:rPr>
                <w:rFonts w:hint="eastAsia" w:ascii="宋体" w:hAnsi="宋体" w:eastAsia="宋体" w:cs="宋体"/>
                <w:color w:val="auto"/>
                <w:sz w:val="24"/>
                <w:szCs w:val="24"/>
                <w:highlight w:val="none"/>
              </w:rPr>
              <w:t>张家界市现行的最低缴费基数和配套费率计算；所有配备的人员都应计算保险部分。</w:t>
            </w:r>
          </w:p>
        </w:tc>
        <w:tc>
          <w:tcPr>
            <w:tcW w:w="1345" w:type="dxa"/>
          </w:tcPr>
          <w:p w14:paraId="2DCC92A4">
            <w:pPr>
              <w:pStyle w:val="8"/>
              <w:spacing w:before="312"/>
              <w:ind w:firstLine="31680"/>
              <w:rPr>
                <w:rFonts w:hint="eastAsia" w:ascii="宋体" w:hAnsi="宋体" w:eastAsia="宋体" w:cs="宋体"/>
                <w:color w:val="auto"/>
                <w:sz w:val="24"/>
                <w:szCs w:val="24"/>
                <w:highlight w:val="none"/>
              </w:rPr>
            </w:pPr>
          </w:p>
        </w:tc>
      </w:tr>
      <w:tr w14:paraId="4807E18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878" w:type="dxa"/>
            <w:tcBorders>
              <w:left w:val="single" w:color="auto" w:sz="4" w:space="0"/>
            </w:tcBorders>
            <w:vAlign w:val="center"/>
          </w:tcPr>
          <w:p w14:paraId="258F9500">
            <w:pPr>
              <w:pStyle w:val="12"/>
              <w:numPr>
                <w:ilvl w:val="0"/>
                <w:numId w:val="4"/>
              </w:numPr>
              <w:jc w:val="center"/>
              <w:rPr>
                <w:rFonts w:hint="eastAsia" w:ascii="宋体" w:hAnsi="宋体" w:eastAsia="宋体" w:cs="宋体"/>
                <w:color w:val="auto"/>
                <w:sz w:val="24"/>
                <w:szCs w:val="24"/>
                <w:highlight w:val="none"/>
              </w:rPr>
            </w:pPr>
          </w:p>
        </w:tc>
        <w:tc>
          <w:tcPr>
            <w:tcW w:w="1460" w:type="dxa"/>
            <w:vMerge w:val="restart"/>
            <w:vAlign w:val="center"/>
          </w:tcPr>
          <w:p w14:paraId="3C165942">
            <w:pPr>
              <w:pStyle w:val="1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付款方式</w:t>
            </w:r>
          </w:p>
        </w:tc>
        <w:tc>
          <w:tcPr>
            <w:tcW w:w="6352" w:type="dxa"/>
            <w:vAlign w:val="center"/>
          </w:tcPr>
          <w:p w14:paraId="6DF16B2D">
            <w:pPr>
              <w:pStyle w:val="12"/>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每年物业管理费按月支付（由</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提交发票），</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向</w:t>
            </w:r>
            <w:r>
              <w:rPr>
                <w:rFonts w:hint="eastAsia" w:ascii="宋体" w:hAnsi="宋体" w:eastAsia="宋体" w:cs="宋体"/>
                <w:color w:val="auto"/>
                <w:sz w:val="24"/>
                <w:szCs w:val="24"/>
                <w:highlight w:val="none"/>
                <w:lang w:eastAsia="zh-CN"/>
              </w:rPr>
              <w:t>张家界市公安局交通管理支队</w:t>
            </w:r>
            <w:r>
              <w:rPr>
                <w:rFonts w:hint="eastAsia" w:ascii="宋体" w:hAnsi="宋体" w:eastAsia="宋体" w:cs="宋体"/>
                <w:color w:val="auto"/>
                <w:sz w:val="24"/>
                <w:szCs w:val="24"/>
                <w:highlight w:val="none"/>
              </w:rPr>
              <w:t>提出付款申请，由</w:t>
            </w:r>
            <w:r>
              <w:rPr>
                <w:rFonts w:hint="eastAsia" w:ascii="宋体" w:hAnsi="宋体" w:eastAsia="宋体" w:cs="宋体"/>
                <w:color w:val="auto"/>
                <w:sz w:val="24"/>
                <w:szCs w:val="24"/>
                <w:highlight w:val="none"/>
                <w:lang w:eastAsia="zh-CN"/>
              </w:rPr>
              <w:t>张家界市公安局交通管理支队</w:t>
            </w:r>
            <w:r>
              <w:rPr>
                <w:rFonts w:hint="eastAsia" w:ascii="宋体" w:hAnsi="宋体" w:eastAsia="宋体" w:cs="宋体"/>
                <w:b w:val="0"/>
                <w:bCs/>
                <w:color w:val="auto"/>
                <w:kern w:val="0"/>
                <w:sz w:val="24"/>
                <w:szCs w:val="24"/>
                <w:lang w:val="en-US" w:eastAsia="zh-CN" w:bidi="ar"/>
              </w:rPr>
              <w:t>于次月20日内（具体按当月财政支付时间）</w:t>
            </w:r>
            <w:r>
              <w:rPr>
                <w:rFonts w:hint="eastAsia" w:ascii="宋体" w:hAnsi="宋体" w:eastAsia="宋体" w:cs="宋体"/>
                <w:color w:val="auto"/>
                <w:sz w:val="24"/>
                <w:szCs w:val="24"/>
                <w:highlight w:val="none"/>
              </w:rPr>
              <w:t>支付。</w:t>
            </w:r>
          </w:p>
        </w:tc>
        <w:tc>
          <w:tcPr>
            <w:tcW w:w="1345" w:type="dxa"/>
            <w:tcBorders>
              <w:right w:val="single" w:color="auto" w:sz="4" w:space="0"/>
            </w:tcBorders>
          </w:tcPr>
          <w:p w14:paraId="16DC9033">
            <w:pPr>
              <w:pStyle w:val="8"/>
              <w:spacing w:before="312"/>
              <w:ind w:firstLine="31680"/>
              <w:rPr>
                <w:rFonts w:hint="eastAsia" w:ascii="宋体" w:hAnsi="宋体" w:eastAsia="宋体" w:cs="宋体"/>
                <w:color w:val="auto"/>
                <w:sz w:val="24"/>
                <w:szCs w:val="24"/>
                <w:highlight w:val="none"/>
              </w:rPr>
            </w:pPr>
          </w:p>
        </w:tc>
      </w:tr>
      <w:tr w14:paraId="3649BD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878" w:type="dxa"/>
            <w:vAlign w:val="center"/>
          </w:tcPr>
          <w:p w14:paraId="2173C461">
            <w:pPr>
              <w:pStyle w:val="12"/>
              <w:numPr>
                <w:ilvl w:val="0"/>
                <w:numId w:val="4"/>
              </w:numPr>
              <w:jc w:val="center"/>
              <w:rPr>
                <w:rFonts w:hint="eastAsia" w:ascii="宋体" w:hAnsi="宋体" w:eastAsia="宋体" w:cs="宋体"/>
                <w:color w:val="auto"/>
                <w:sz w:val="24"/>
                <w:szCs w:val="24"/>
                <w:highlight w:val="none"/>
              </w:rPr>
            </w:pPr>
          </w:p>
        </w:tc>
        <w:tc>
          <w:tcPr>
            <w:tcW w:w="1460" w:type="dxa"/>
            <w:vMerge w:val="continue"/>
            <w:vAlign w:val="center"/>
          </w:tcPr>
          <w:p w14:paraId="4A603034">
            <w:pPr>
              <w:pStyle w:val="12"/>
              <w:jc w:val="center"/>
              <w:rPr>
                <w:rFonts w:hint="eastAsia" w:ascii="宋体" w:hAnsi="宋体" w:eastAsia="宋体" w:cs="宋体"/>
                <w:color w:val="auto"/>
                <w:sz w:val="24"/>
                <w:szCs w:val="24"/>
                <w:highlight w:val="none"/>
              </w:rPr>
            </w:pPr>
          </w:p>
        </w:tc>
        <w:tc>
          <w:tcPr>
            <w:tcW w:w="6352" w:type="dxa"/>
            <w:vAlign w:val="center"/>
          </w:tcPr>
          <w:p w14:paraId="326A2D8F">
            <w:pPr>
              <w:pStyle w:val="12"/>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必须按国家有关财税规定开具发票。</w:t>
            </w:r>
          </w:p>
        </w:tc>
        <w:tc>
          <w:tcPr>
            <w:tcW w:w="1345" w:type="dxa"/>
          </w:tcPr>
          <w:p w14:paraId="265EAEE0">
            <w:pPr>
              <w:pStyle w:val="8"/>
              <w:spacing w:before="312"/>
              <w:ind w:firstLine="31680"/>
              <w:rPr>
                <w:rFonts w:hint="eastAsia" w:ascii="宋体" w:hAnsi="宋体" w:eastAsia="宋体" w:cs="宋体"/>
                <w:color w:val="auto"/>
                <w:sz w:val="24"/>
                <w:szCs w:val="24"/>
                <w:highlight w:val="none"/>
              </w:rPr>
            </w:pPr>
          </w:p>
        </w:tc>
      </w:tr>
      <w:tr w14:paraId="2AA9E6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878" w:type="dxa"/>
            <w:vAlign w:val="center"/>
          </w:tcPr>
          <w:p w14:paraId="153C1D59">
            <w:pPr>
              <w:pStyle w:val="12"/>
              <w:numPr>
                <w:ilvl w:val="0"/>
                <w:numId w:val="4"/>
              </w:numPr>
              <w:jc w:val="center"/>
              <w:rPr>
                <w:rFonts w:hint="eastAsia" w:ascii="宋体" w:hAnsi="宋体" w:eastAsia="宋体" w:cs="宋体"/>
                <w:color w:val="auto"/>
                <w:sz w:val="24"/>
                <w:szCs w:val="24"/>
                <w:highlight w:val="none"/>
              </w:rPr>
            </w:pPr>
          </w:p>
        </w:tc>
        <w:tc>
          <w:tcPr>
            <w:tcW w:w="1460" w:type="dxa"/>
            <w:vMerge w:val="continue"/>
            <w:vAlign w:val="center"/>
          </w:tcPr>
          <w:p w14:paraId="790E490F">
            <w:pPr>
              <w:pStyle w:val="12"/>
              <w:jc w:val="center"/>
              <w:rPr>
                <w:rFonts w:hint="eastAsia" w:ascii="宋体" w:hAnsi="宋体" w:eastAsia="宋体" w:cs="宋体"/>
                <w:color w:val="auto"/>
                <w:sz w:val="24"/>
                <w:szCs w:val="24"/>
                <w:highlight w:val="none"/>
              </w:rPr>
            </w:pPr>
          </w:p>
        </w:tc>
        <w:tc>
          <w:tcPr>
            <w:tcW w:w="6352" w:type="dxa"/>
            <w:vAlign w:val="center"/>
          </w:tcPr>
          <w:p w14:paraId="0BD5DE2B">
            <w:pPr>
              <w:pStyle w:val="12"/>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成交供应商张家界市公安局交通管理支队直属二大队物业管理服务采购项目</w:t>
            </w:r>
            <w:r>
              <w:rPr>
                <w:rFonts w:hint="eastAsia" w:ascii="宋体" w:hAnsi="宋体" w:eastAsia="宋体" w:cs="宋体"/>
                <w:color w:val="auto"/>
                <w:sz w:val="24"/>
                <w:szCs w:val="24"/>
                <w:highlight w:val="none"/>
              </w:rPr>
              <w:t>标准按照国家物业管理相关标准执行，要求达到</w:t>
            </w:r>
            <w:r>
              <w:rPr>
                <w:rFonts w:hint="eastAsia" w:ascii="宋体" w:hAnsi="宋体" w:eastAsia="宋体" w:cs="宋体"/>
                <w:color w:val="auto"/>
                <w:sz w:val="24"/>
                <w:szCs w:val="24"/>
                <w:highlight w:val="none"/>
                <w:lang w:eastAsia="zh-CN"/>
              </w:rPr>
              <w:t>采购文件</w:t>
            </w:r>
            <w:r>
              <w:rPr>
                <w:rFonts w:hint="eastAsia" w:ascii="宋体" w:hAnsi="宋体" w:eastAsia="宋体" w:cs="宋体"/>
                <w:color w:val="auto"/>
                <w:sz w:val="24"/>
                <w:szCs w:val="24"/>
                <w:highlight w:val="none"/>
              </w:rPr>
              <w:t>要求、</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承诺、物业服务合同约定的有关条款，并以此作为</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验收、报验条件之一。</w:t>
            </w:r>
          </w:p>
        </w:tc>
        <w:tc>
          <w:tcPr>
            <w:tcW w:w="1345" w:type="dxa"/>
          </w:tcPr>
          <w:p w14:paraId="6DEF2A83">
            <w:pPr>
              <w:pStyle w:val="8"/>
              <w:spacing w:before="312"/>
              <w:ind w:firstLine="31680"/>
              <w:rPr>
                <w:rFonts w:hint="eastAsia" w:ascii="宋体" w:hAnsi="宋体" w:eastAsia="宋体" w:cs="宋体"/>
                <w:color w:val="auto"/>
                <w:sz w:val="24"/>
                <w:szCs w:val="24"/>
                <w:highlight w:val="none"/>
              </w:rPr>
            </w:pPr>
          </w:p>
        </w:tc>
      </w:tr>
      <w:tr w14:paraId="4EBB210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878" w:type="dxa"/>
            <w:vAlign w:val="center"/>
          </w:tcPr>
          <w:p w14:paraId="71468478">
            <w:pPr>
              <w:pStyle w:val="12"/>
              <w:numPr>
                <w:ilvl w:val="0"/>
                <w:numId w:val="4"/>
              </w:numPr>
              <w:jc w:val="center"/>
              <w:rPr>
                <w:rFonts w:hint="eastAsia" w:ascii="宋体" w:hAnsi="宋体" w:eastAsia="宋体" w:cs="宋体"/>
                <w:color w:val="auto"/>
                <w:sz w:val="24"/>
                <w:szCs w:val="24"/>
                <w:highlight w:val="none"/>
              </w:rPr>
            </w:pPr>
          </w:p>
        </w:tc>
        <w:tc>
          <w:tcPr>
            <w:tcW w:w="1460" w:type="dxa"/>
            <w:vMerge w:val="continue"/>
            <w:vAlign w:val="center"/>
          </w:tcPr>
          <w:p w14:paraId="0AC14043">
            <w:pPr>
              <w:pStyle w:val="12"/>
              <w:jc w:val="center"/>
              <w:rPr>
                <w:rFonts w:hint="eastAsia" w:ascii="宋体" w:hAnsi="宋体" w:eastAsia="宋体" w:cs="宋体"/>
                <w:color w:val="auto"/>
                <w:sz w:val="24"/>
                <w:szCs w:val="24"/>
                <w:highlight w:val="none"/>
              </w:rPr>
            </w:pPr>
          </w:p>
        </w:tc>
        <w:tc>
          <w:tcPr>
            <w:tcW w:w="6352" w:type="dxa"/>
            <w:vAlign w:val="center"/>
          </w:tcPr>
          <w:p w14:paraId="2B8F484D">
            <w:pPr>
              <w:pStyle w:val="12"/>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采购人每年组织物业服务质量考核评估，采取考核组考评、物业服务单位自评及机关干部职工满意度测评相结合方式进行。</w:t>
            </w:r>
          </w:p>
        </w:tc>
        <w:tc>
          <w:tcPr>
            <w:tcW w:w="1345" w:type="dxa"/>
          </w:tcPr>
          <w:p w14:paraId="25F89B07">
            <w:pPr>
              <w:pStyle w:val="8"/>
              <w:spacing w:before="312"/>
              <w:ind w:firstLine="31680"/>
              <w:rPr>
                <w:rFonts w:hint="eastAsia" w:ascii="宋体" w:hAnsi="宋体" w:eastAsia="宋体" w:cs="宋体"/>
                <w:color w:val="auto"/>
                <w:sz w:val="24"/>
                <w:szCs w:val="24"/>
                <w:highlight w:val="none"/>
              </w:rPr>
            </w:pPr>
          </w:p>
        </w:tc>
      </w:tr>
      <w:tr w14:paraId="54A3D88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878" w:type="dxa"/>
            <w:vAlign w:val="center"/>
          </w:tcPr>
          <w:p w14:paraId="566491F6">
            <w:pPr>
              <w:pStyle w:val="12"/>
              <w:numPr>
                <w:ilvl w:val="0"/>
                <w:numId w:val="4"/>
              </w:numPr>
              <w:jc w:val="center"/>
              <w:rPr>
                <w:rFonts w:hint="eastAsia" w:ascii="宋体" w:hAnsi="宋体" w:eastAsia="宋体" w:cs="宋体"/>
                <w:color w:val="auto"/>
                <w:sz w:val="24"/>
                <w:szCs w:val="24"/>
                <w:highlight w:val="none"/>
              </w:rPr>
            </w:pPr>
          </w:p>
        </w:tc>
        <w:tc>
          <w:tcPr>
            <w:tcW w:w="1460" w:type="dxa"/>
            <w:vMerge w:val="continue"/>
            <w:vAlign w:val="center"/>
          </w:tcPr>
          <w:p w14:paraId="036FAAD5">
            <w:pPr>
              <w:pStyle w:val="12"/>
              <w:jc w:val="center"/>
              <w:rPr>
                <w:rFonts w:hint="eastAsia" w:ascii="宋体" w:hAnsi="宋体" w:eastAsia="宋体" w:cs="宋体"/>
                <w:color w:val="auto"/>
                <w:sz w:val="24"/>
                <w:szCs w:val="24"/>
                <w:highlight w:val="none"/>
              </w:rPr>
            </w:pPr>
          </w:p>
        </w:tc>
        <w:tc>
          <w:tcPr>
            <w:tcW w:w="6352" w:type="dxa"/>
            <w:vAlign w:val="center"/>
          </w:tcPr>
          <w:p w14:paraId="740016F8">
            <w:pPr>
              <w:pStyle w:val="12"/>
              <w:ind w:firstLine="480" w:firstLineChars="20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考评内容主要包括保洁</w:t>
            </w:r>
            <w:r>
              <w:rPr>
                <w:rFonts w:hint="eastAsia" w:ascii="宋体" w:hAnsi="宋体" w:eastAsia="宋体" w:cs="宋体"/>
                <w:color w:val="auto"/>
                <w:sz w:val="24"/>
                <w:szCs w:val="24"/>
                <w:highlight w:val="none"/>
                <w:lang w:eastAsia="zh-CN"/>
              </w:rPr>
              <w:t>服务</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绿化养护、</w:t>
            </w:r>
            <w:r>
              <w:rPr>
                <w:rFonts w:hint="eastAsia" w:ascii="宋体" w:hAnsi="宋体" w:eastAsia="宋体" w:cs="宋体"/>
                <w:color w:val="auto"/>
                <w:sz w:val="24"/>
                <w:szCs w:val="24"/>
                <w:highlight w:val="none"/>
              </w:rPr>
              <w:t>设施设备维护、</w:t>
            </w:r>
            <w:r>
              <w:rPr>
                <w:rFonts w:hint="eastAsia" w:ascii="宋体" w:hAnsi="宋体" w:eastAsia="宋体" w:cs="宋体"/>
                <w:color w:val="auto"/>
                <w:sz w:val="24"/>
                <w:szCs w:val="24"/>
                <w:highlight w:val="none"/>
                <w:lang w:eastAsia="zh-CN"/>
              </w:rPr>
              <w:t>内部安保服务、</w:t>
            </w:r>
            <w:r>
              <w:rPr>
                <w:rFonts w:hint="eastAsia" w:ascii="宋体" w:hAnsi="宋体" w:eastAsia="宋体" w:cs="宋体"/>
                <w:color w:val="auto"/>
                <w:sz w:val="24"/>
                <w:szCs w:val="24"/>
                <w:highlight w:val="none"/>
                <w:lang w:val="en-US" w:eastAsia="zh-CN"/>
              </w:rPr>
              <w:t>涉案车辆管理</w:t>
            </w:r>
            <w:r>
              <w:rPr>
                <w:rFonts w:hint="eastAsia" w:ascii="宋体" w:hAnsi="宋体" w:eastAsia="宋体" w:cs="宋体"/>
                <w:color w:val="auto"/>
                <w:sz w:val="24"/>
                <w:szCs w:val="24"/>
                <w:highlight w:val="none"/>
              </w:rPr>
              <w:t>等内容</w:t>
            </w:r>
            <w:r>
              <w:rPr>
                <w:rFonts w:hint="eastAsia" w:ascii="宋体" w:hAnsi="宋体" w:eastAsia="宋体" w:cs="宋体"/>
                <w:color w:val="auto"/>
                <w:sz w:val="24"/>
                <w:szCs w:val="24"/>
                <w:highlight w:val="none"/>
                <w:lang w:eastAsia="zh-CN"/>
              </w:rPr>
              <w:t>。</w:t>
            </w:r>
          </w:p>
        </w:tc>
        <w:tc>
          <w:tcPr>
            <w:tcW w:w="1345" w:type="dxa"/>
          </w:tcPr>
          <w:p w14:paraId="3504138C">
            <w:pPr>
              <w:pStyle w:val="8"/>
              <w:spacing w:before="312"/>
              <w:ind w:firstLine="31680"/>
              <w:rPr>
                <w:rFonts w:hint="eastAsia" w:ascii="宋体" w:hAnsi="宋体" w:eastAsia="宋体" w:cs="宋体"/>
                <w:color w:val="auto"/>
                <w:sz w:val="24"/>
                <w:szCs w:val="24"/>
                <w:highlight w:val="none"/>
              </w:rPr>
            </w:pPr>
          </w:p>
        </w:tc>
      </w:tr>
      <w:tr w14:paraId="1BEA05D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878" w:type="dxa"/>
            <w:vAlign w:val="center"/>
          </w:tcPr>
          <w:p w14:paraId="3088E6C5">
            <w:pPr>
              <w:pStyle w:val="12"/>
              <w:numPr>
                <w:ilvl w:val="0"/>
                <w:numId w:val="4"/>
              </w:numPr>
              <w:jc w:val="center"/>
              <w:rPr>
                <w:rFonts w:hint="eastAsia" w:ascii="宋体" w:hAnsi="宋体" w:eastAsia="宋体" w:cs="宋体"/>
                <w:color w:val="auto"/>
                <w:sz w:val="24"/>
                <w:szCs w:val="24"/>
                <w:highlight w:val="none"/>
              </w:rPr>
            </w:pPr>
          </w:p>
        </w:tc>
        <w:tc>
          <w:tcPr>
            <w:tcW w:w="1460" w:type="dxa"/>
            <w:vAlign w:val="center"/>
          </w:tcPr>
          <w:p w14:paraId="7A798FBE">
            <w:pPr>
              <w:pStyle w:val="12"/>
              <w:jc w:val="center"/>
              <w:rPr>
                <w:rFonts w:hint="eastAsia" w:ascii="宋体" w:hAnsi="宋体" w:eastAsia="宋体" w:cs="宋体"/>
                <w:color w:val="auto"/>
                <w:sz w:val="24"/>
                <w:szCs w:val="24"/>
                <w:highlight w:val="none"/>
              </w:rPr>
            </w:pPr>
          </w:p>
        </w:tc>
        <w:tc>
          <w:tcPr>
            <w:tcW w:w="6352" w:type="dxa"/>
            <w:vAlign w:val="center"/>
          </w:tcPr>
          <w:p w14:paraId="5B7DA801">
            <w:pPr>
              <w:pStyle w:val="12"/>
              <w:ind w:firstLine="480" w:firstLineChars="20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采购人实行月考核制度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考核细则见附件《服务质量考核标准细则》</w:t>
            </w:r>
            <w:r>
              <w:rPr>
                <w:rFonts w:hint="eastAsia" w:ascii="宋体" w:hAnsi="宋体" w:eastAsia="宋体" w:cs="宋体"/>
                <w:color w:val="auto"/>
                <w:sz w:val="24"/>
                <w:szCs w:val="24"/>
                <w:highlight w:val="none"/>
              </w:rPr>
              <w:t>。</w:t>
            </w:r>
          </w:p>
        </w:tc>
        <w:tc>
          <w:tcPr>
            <w:tcW w:w="1345" w:type="dxa"/>
          </w:tcPr>
          <w:p w14:paraId="7354B1D2">
            <w:pPr>
              <w:pStyle w:val="8"/>
              <w:spacing w:before="312"/>
              <w:ind w:firstLine="31680"/>
              <w:rPr>
                <w:rFonts w:hint="eastAsia" w:ascii="宋体" w:hAnsi="宋体" w:eastAsia="宋体" w:cs="宋体"/>
                <w:color w:val="auto"/>
                <w:sz w:val="24"/>
                <w:szCs w:val="24"/>
                <w:highlight w:val="none"/>
              </w:rPr>
            </w:pPr>
          </w:p>
        </w:tc>
      </w:tr>
      <w:tr w14:paraId="54BDBC0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878" w:type="dxa"/>
            <w:vAlign w:val="center"/>
          </w:tcPr>
          <w:p w14:paraId="0B54DCF9">
            <w:pPr>
              <w:pStyle w:val="12"/>
              <w:numPr>
                <w:ilvl w:val="0"/>
                <w:numId w:val="4"/>
              </w:numPr>
              <w:jc w:val="center"/>
              <w:rPr>
                <w:rFonts w:hint="eastAsia" w:ascii="宋体" w:hAnsi="宋体" w:eastAsia="宋体" w:cs="宋体"/>
                <w:color w:val="auto"/>
                <w:sz w:val="24"/>
                <w:szCs w:val="24"/>
                <w:highlight w:val="none"/>
              </w:rPr>
            </w:pPr>
          </w:p>
        </w:tc>
        <w:tc>
          <w:tcPr>
            <w:tcW w:w="1460" w:type="dxa"/>
            <w:vMerge w:val="restart"/>
            <w:vAlign w:val="center"/>
          </w:tcPr>
          <w:p w14:paraId="066FB9D6">
            <w:pPr>
              <w:pStyle w:val="1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售后服务</w:t>
            </w:r>
          </w:p>
        </w:tc>
        <w:tc>
          <w:tcPr>
            <w:tcW w:w="6352" w:type="dxa"/>
            <w:vAlign w:val="center"/>
          </w:tcPr>
          <w:p w14:paraId="5FAB8BA6">
            <w:pPr>
              <w:pStyle w:val="12"/>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期限：根据《关于推进和完善服务项目政府采购有关问题的通知（财库【2014】37号）》相关规定，“采购需求具有相对固定性、延续性且价格变化幅度小的服务项目，在年度预算能保障的前提下，采购人可以签订不超过三年履行期限的政府采购合同”，本项目服务期12个月后，采购人将根据考核办法确定是否和</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继续签第二年合同。</w:t>
            </w:r>
          </w:p>
        </w:tc>
        <w:tc>
          <w:tcPr>
            <w:tcW w:w="1345" w:type="dxa"/>
          </w:tcPr>
          <w:p w14:paraId="3AEF7D7A">
            <w:pPr>
              <w:pStyle w:val="8"/>
              <w:spacing w:before="312"/>
              <w:ind w:firstLine="31680"/>
              <w:rPr>
                <w:rFonts w:hint="eastAsia" w:ascii="宋体" w:hAnsi="宋体" w:eastAsia="宋体" w:cs="宋体"/>
                <w:color w:val="auto"/>
                <w:sz w:val="24"/>
                <w:szCs w:val="24"/>
                <w:highlight w:val="none"/>
              </w:rPr>
            </w:pPr>
          </w:p>
        </w:tc>
      </w:tr>
      <w:tr w14:paraId="17D72C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878" w:type="dxa"/>
            <w:vAlign w:val="center"/>
          </w:tcPr>
          <w:p w14:paraId="57EB111C">
            <w:pPr>
              <w:pStyle w:val="12"/>
              <w:numPr>
                <w:ilvl w:val="0"/>
                <w:numId w:val="4"/>
              </w:numPr>
              <w:jc w:val="center"/>
              <w:rPr>
                <w:rFonts w:hint="eastAsia" w:ascii="宋体" w:hAnsi="宋体" w:eastAsia="宋体" w:cs="宋体"/>
                <w:color w:val="auto"/>
                <w:sz w:val="24"/>
                <w:szCs w:val="24"/>
                <w:highlight w:val="none"/>
              </w:rPr>
            </w:pPr>
          </w:p>
        </w:tc>
        <w:tc>
          <w:tcPr>
            <w:tcW w:w="1460" w:type="dxa"/>
            <w:vMerge w:val="continue"/>
            <w:vAlign w:val="center"/>
          </w:tcPr>
          <w:p w14:paraId="161116DF">
            <w:pPr>
              <w:pStyle w:val="12"/>
              <w:jc w:val="center"/>
              <w:rPr>
                <w:rFonts w:hint="eastAsia" w:ascii="宋体" w:hAnsi="宋体" w:eastAsia="宋体" w:cs="宋体"/>
                <w:color w:val="auto"/>
                <w:sz w:val="24"/>
                <w:szCs w:val="24"/>
                <w:highlight w:val="none"/>
              </w:rPr>
            </w:pPr>
          </w:p>
        </w:tc>
        <w:tc>
          <w:tcPr>
            <w:tcW w:w="6352" w:type="dxa"/>
            <w:vAlign w:val="center"/>
          </w:tcPr>
          <w:p w14:paraId="764EAD37">
            <w:pPr>
              <w:pStyle w:val="12"/>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接到通知后与采购人签订合同。如不能完成招</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承诺的服务指标，或不能遵守服务合同，采购人将根据考核情况以及合同约定，</w:t>
            </w:r>
            <w:r>
              <w:rPr>
                <w:rFonts w:hint="eastAsia" w:ascii="宋体" w:hAnsi="宋体" w:eastAsia="宋体" w:cs="宋体"/>
                <w:color w:val="auto"/>
                <w:sz w:val="24"/>
                <w:szCs w:val="24"/>
                <w:highlight w:val="none"/>
                <w:lang w:eastAsia="zh-CN"/>
              </w:rPr>
              <w:t>采购人有权及时终止合同</w:t>
            </w:r>
            <w:r>
              <w:rPr>
                <w:rFonts w:hint="eastAsia" w:ascii="宋体" w:hAnsi="宋体" w:eastAsia="宋体" w:cs="宋体"/>
                <w:color w:val="auto"/>
                <w:sz w:val="24"/>
                <w:szCs w:val="24"/>
                <w:highlight w:val="none"/>
              </w:rPr>
              <w:t>。</w:t>
            </w:r>
          </w:p>
        </w:tc>
        <w:tc>
          <w:tcPr>
            <w:tcW w:w="1345" w:type="dxa"/>
          </w:tcPr>
          <w:p w14:paraId="482229E4">
            <w:pPr>
              <w:pStyle w:val="8"/>
              <w:spacing w:before="312"/>
              <w:ind w:firstLine="31680"/>
              <w:rPr>
                <w:rFonts w:hint="eastAsia" w:ascii="宋体" w:hAnsi="宋体" w:eastAsia="宋体" w:cs="宋体"/>
                <w:color w:val="auto"/>
                <w:sz w:val="24"/>
                <w:szCs w:val="24"/>
                <w:highlight w:val="none"/>
              </w:rPr>
            </w:pPr>
          </w:p>
        </w:tc>
      </w:tr>
      <w:tr w14:paraId="391223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878" w:type="dxa"/>
            <w:vAlign w:val="center"/>
          </w:tcPr>
          <w:p w14:paraId="656961D4">
            <w:pPr>
              <w:pStyle w:val="12"/>
              <w:numPr>
                <w:ilvl w:val="0"/>
                <w:numId w:val="4"/>
              </w:numPr>
              <w:jc w:val="center"/>
              <w:rPr>
                <w:rFonts w:hint="eastAsia" w:ascii="宋体" w:hAnsi="宋体" w:eastAsia="宋体" w:cs="宋体"/>
                <w:color w:val="auto"/>
                <w:sz w:val="24"/>
                <w:szCs w:val="24"/>
                <w:highlight w:val="none"/>
              </w:rPr>
            </w:pPr>
          </w:p>
        </w:tc>
        <w:tc>
          <w:tcPr>
            <w:tcW w:w="1460" w:type="dxa"/>
            <w:vMerge w:val="continue"/>
            <w:vAlign w:val="center"/>
          </w:tcPr>
          <w:p w14:paraId="490ACCD0">
            <w:pPr>
              <w:pStyle w:val="12"/>
              <w:jc w:val="center"/>
              <w:rPr>
                <w:rFonts w:hint="eastAsia" w:ascii="宋体" w:hAnsi="宋体" w:eastAsia="宋体" w:cs="宋体"/>
                <w:color w:val="auto"/>
                <w:sz w:val="24"/>
                <w:szCs w:val="24"/>
                <w:highlight w:val="none"/>
              </w:rPr>
            </w:pPr>
          </w:p>
        </w:tc>
        <w:tc>
          <w:tcPr>
            <w:tcW w:w="6352" w:type="dxa"/>
            <w:vAlign w:val="center"/>
          </w:tcPr>
          <w:p w14:paraId="58022756">
            <w:pPr>
              <w:pStyle w:val="12"/>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物业管理公司保证本项目管理层人员不得随意更换，如需更换必须提前向采购人征求意见，并得到许可。</w:t>
            </w:r>
          </w:p>
        </w:tc>
        <w:tc>
          <w:tcPr>
            <w:tcW w:w="1345" w:type="dxa"/>
          </w:tcPr>
          <w:p w14:paraId="003C0D12">
            <w:pPr>
              <w:pStyle w:val="8"/>
              <w:spacing w:before="312"/>
              <w:ind w:firstLine="31680"/>
              <w:rPr>
                <w:rFonts w:hint="eastAsia" w:ascii="宋体" w:hAnsi="宋体" w:eastAsia="宋体" w:cs="宋体"/>
                <w:color w:val="auto"/>
                <w:sz w:val="24"/>
                <w:szCs w:val="24"/>
                <w:highlight w:val="none"/>
              </w:rPr>
            </w:pPr>
          </w:p>
        </w:tc>
      </w:tr>
      <w:tr w14:paraId="497714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7" w:hRule="atLeast"/>
        </w:trPr>
        <w:tc>
          <w:tcPr>
            <w:tcW w:w="878" w:type="dxa"/>
            <w:vAlign w:val="center"/>
          </w:tcPr>
          <w:p w14:paraId="5AB90B06">
            <w:pPr>
              <w:pStyle w:val="12"/>
              <w:numPr>
                <w:ilvl w:val="0"/>
                <w:numId w:val="4"/>
              </w:numPr>
              <w:jc w:val="center"/>
              <w:rPr>
                <w:rFonts w:hint="eastAsia" w:ascii="宋体" w:hAnsi="宋体" w:eastAsia="宋体" w:cs="宋体"/>
                <w:color w:val="auto"/>
                <w:sz w:val="24"/>
                <w:szCs w:val="24"/>
                <w:highlight w:val="none"/>
              </w:rPr>
            </w:pPr>
          </w:p>
        </w:tc>
        <w:tc>
          <w:tcPr>
            <w:tcW w:w="1460" w:type="dxa"/>
            <w:vMerge w:val="continue"/>
            <w:vAlign w:val="center"/>
          </w:tcPr>
          <w:p w14:paraId="5D4F9C52">
            <w:pPr>
              <w:pStyle w:val="12"/>
              <w:jc w:val="center"/>
              <w:rPr>
                <w:rFonts w:hint="eastAsia" w:ascii="宋体" w:hAnsi="宋体" w:eastAsia="宋体" w:cs="宋体"/>
                <w:color w:val="auto"/>
                <w:sz w:val="24"/>
                <w:szCs w:val="24"/>
                <w:highlight w:val="none"/>
              </w:rPr>
            </w:pPr>
          </w:p>
        </w:tc>
        <w:tc>
          <w:tcPr>
            <w:tcW w:w="6352" w:type="dxa"/>
            <w:vAlign w:val="center"/>
          </w:tcPr>
          <w:p w14:paraId="0F1AC2D9">
            <w:pPr>
              <w:pStyle w:val="12"/>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机关办公楼、设备及各项物业管理档案资料是物业管理的重要资源，档案资料要保证完整，各项运行机</w:t>
            </w:r>
            <w:r>
              <w:rPr>
                <w:rFonts w:hint="eastAsia" w:ascii="宋体" w:hAnsi="宋体" w:eastAsia="宋体" w:cs="宋体"/>
                <w:color w:val="auto"/>
                <w:sz w:val="24"/>
                <w:szCs w:val="24"/>
                <w:highlight w:val="none"/>
                <w:lang w:eastAsia="zh-CN"/>
              </w:rPr>
              <w:t>制</w:t>
            </w:r>
            <w:r>
              <w:rPr>
                <w:rFonts w:hint="eastAsia" w:ascii="宋体" w:hAnsi="宋体" w:eastAsia="宋体" w:cs="宋体"/>
                <w:color w:val="auto"/>
                <w:sz w:val="24"/>
                <w:szCs w:val="24"/>
                <w:highlight w:val="none"/>
              </w:rPr>
              <w:t>、故障记录、统计分析等都</w:t>
            </w:r>
            <w:r>
              <w:rPr>
                <w:rFonts w:hint="eastAsia" w:ascii="宋体" w:hAnsi="宋体" w:eastAsia="宋体" w:cs="宋体"/>
                <w:color w:val="auto"/>
                <w:sz w:val="24"/>
                <w:szCs w:val="24"/>
                <w:highlight w:val="none"/>
                <w:lang w:eastAsia="zh-CN"/>
              </w:rPr>
              <w:t>应</w:t>
            </w:r>
            <w:r>
              <w:rPr>
                <w:rFonts w:hint="eastAsia" w:ascii="宋体" w:hAnsi="宋体" w:eastAsia="宋体" w:cs="宋体"/>
                <w:color w:val="auto"/>
                <w:sz w:val="24"/>
                <w:szCs w:val="24"/>
                <w:highlight w:val="none"/>
              </w:rPr>
              <w:t>纳入档案管理，以便应用于指导实际工作。合同期满后，应将物业管理的全部档案资料无条件移交采购人。</w:t>
            </w:r>
          </w:p>
        </w:tc>
        <w:tc>
          <w:tcPr>
            <w:tcW w:w="1345" w:type="dxa"/>
          </w:tcPr>
          <w:p w14:paraId="323FE033">
            <w:pPr>
              <w:pStyle w:val="8"/>
              <w:spacing w:before="312"/>
              <w:ind w:firstLine="31680"/>
              <w:rPr>
                <w:rFonts w:hint="eastAsia" w:ascii="宋体" w:hAnsi="宋体" w:eastAsia="宋体" w:cs="宋体"/>
                <w:color w:val="auto"/>
                <w:sz w:val="24"/>
                <w:szCs w:val="24"/>
                <w:highlight w:val="none"/>
              </w:rPr>
            </w:pPr>
          </w:p>
        </w:tc>
      </w:tr>
      <w:tr w14:paraId="4DDF96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trPr>
        <w:tc>
          <w:tcPr>
            <w:tcW w:w="878" w:type="dxa"/>
            <w:vAlign w:val="center"/>
          </w:tcPr>
          <w:p w14:paraId="41EC13E8">
            <w:pPr>
              <w:pStyle w:val="12"/>
              <w:numPr>
                <w:ilvl w:val="0"/>
                <w:numId w:val="4"/>
              </w:numPr>
              <w:jc w:val="center"/>
              <w:rPr>
                <w:rFonts w:hint="eastAsia" w:ascii="宋体" w:hAnsi="宋体" w:eastAsia="宋体" w:cs="宋体"/>
                <w:color w:val="auto"/>
                <w:sz w:val="24"/>
                <w:szCs w:val="24"/>
                <w:highlight w:val="none"/>
              </w:rPr>
            </w:pPr>
          </w:p>
        </w:tc>
        <w:tc>
          <w:tcPr>
            <w:tcW w:w="1460" w:type="dxa"/>
            <w:vAlign w:val="center"/>
          </w:tcPr>
          <w:p w14:paraId="04AD4BE3">
            <w:pPr>
              <w:pStyle w:val="1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合同条款</w:t>
            </w:r>
          </w:p>
        </w:tc>
        <w:tc>
          <w:tcPr>
            <w:tcW w:w="6352" w:type="dxa"/>
            <w:vAlign w:val="center"/>
          </w:tcPr>
          <w:p w14:paraId="6D01CA48">
            <w:pPr>
              <w:pStyle w:val="12"/>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违约承担违约责任。所有中标内容均需按照</w:t>
            </w:r>
            <w:r>
              <w:rPr>
                <w:rFonts w:hint="eastAsia" w:ascii="宋体" w:hAnsi="宋体" w:eastAsia="宋体" w:cs="宋体"/>
                <w:color w:val="auto"/>
                <w:sz w:val="24"/>
                <w:szCs w:val="24"/>
                <w:highlight w:val="none"/>
                <w:lang w:eastAsia="zh-CN"/>
              </w:rPr>
              <w:t>采购文件</w:t>
            </w:r>
            <w:r>
              <w:rPr>
                <w:rFonts w:hint="eastAsia" w:ascii="宋体" w:hAnsi="宋体" w:eastAsia="宋体" w:cs="宋体"/>
                <w:color w:val="auto"/>
                <w:sz w:val="24"/>
                <w:szCs w:val="24"/>
                <w:highlight w:val="none"/>
              </w:rPr>
              <w:t>指标要求进行检查核对后方可进行报验，不满足</w:t>
            </w:r>
            <w:r>
              <w:rPr>
                <w:rFonts w:hint="eastAsia" w:ascii="宋体" w:hAnsi="宋体" w:eastAsia="宋体" w:cs="宋体"/>
                <w:color w:val="auto"/>
                <w:sz w:val="24"/>
                <w:szCs w:val="24"/>
                <w:highlight w:val="none"/>
                <w:lang w:eastAsia="zh-CN"/>
              </w:rPr>
              <w:t>采购文件</w:t>
            </w:r>
            <w:r>
              <w:rPr>
                <w:rFonts w:hint="eastAsia" w:ascii="宋体" w:hAnsi="宋体" w:eastAsia="宋体" w:cs="宋体"/>
                <w:color w:val="auto"/>
                <w:sz w:val="24"/>
                <w:szCs w:val="24"/>
                <w:highlight w:val="none"/>
              </w:rPr>
              <w:t>的，采购人有权不对其进行验收；同时</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对不满足要求的内容承担违约责任。</w:t>
            </w:r>
          </w:p>
        </w:tc>
        <w:tc>
          <w:tcPr>
            <w:tcW w:w="1345" w:type="dxa"/>
          </w:tcPr>
          <w:p w14:paraId="7002A795">
            <w:pPr>
              <w:pStyle w:val="8"/>
              <w:spacing w:before="312"/>
              <w:ind w:firstLine="31680"/>
              <w:rPr>
                <w:rFonts w:hint="eastAsia" w:ascii="宋体" w:hAnsi="宋体" w:eastAsia="宋体" w:cs="宋体"/>
                <w:color w:val="auto"/>
                <w:sz w:val="24"/>
                <w:szCs w:val="24"/>
                <w:highlight w:val="none"/>
              </w:rPr>
            </w:pPr>
          </w:p>
        </w:tc>
      </w:tr>
    </w:tbl>
    <w:p w14:paraId="4A240032">
      <w:pPr>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 w:hAnsi="仿宋" w:eastAsia="仿宋" w:cs="仿宋"/>
          <w:b/>
          <w:bCs/>
          <w:color w:val="auto"/>
          <w:sz w:val="28"/>
          <w:szCs w:val="28"/>
        </w:rPr>
      </w:pPr>
      <w:r>
        <w:rPr>
          <w:rFonts w:hint="eastAsia"/>
          <w:color w:val="auto"/>
          <w:u w:val="single"/>
          <w:lang w:val="en-US" w:eastAsia="zh-CN"/>
        </w:rPr>
        <w:br w:type="page"/>
      </w:r>
      <w:r>
        <w:rPr>
          <w:rFonts w:hint="eastAsia" w:ascii="仿宋" w:hAnsi="仿宋" w:eastAsia="仿宋" w:cs="仿宋"/>
          <w:b/>
          <w:bCs/>
          <w:color w:val="auto"/>
          <w:sz w:val="28"/>
          <w:szCs w:val="28"/>
        </w:rPr>
        <w:t>附件：《服务质量考核标准细则》</w:t>
      </w:r>
    </w:p>
    <w:p w14:paraId="74D287A3">
      <w:pPr>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color w:val="auto"/>
          <w:sz w:val="44"/>
          <w:szCs w:val="44"/>
        </w:rPr>
      </w:pPr>
    </w:p>
    <w:p w14:paraId="6D87438A">
      <w:pPr>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color w:val="auto"/>
          <w:sz w:val="32"/>
          <w:szCs w:val="32"/>
        </w:rPr>
      </w:pPr>
      <w:r>
        <w:rPr>
          <w:rFonts w:hint="eastAsia" w:ascii="方正小标宋简体" w:hAnsi="方正小标宋简体" w:eastAsia="方正小标宋简体" w:cs="方正小标宋简体"/>
          <w:b w:val="0"/>
          <w:bCs w:val="0"/>
          <w:color w:val="auto"/>
          <w:sz w:val="44"/>
          <w:szCs w:val="44"/>
          <w:lang w:val="en-US" w:eastAsia="zh-CN"/>
        </w:rPr>
        <w:t>院内</w:t>
      </w:r>
      <w:r>
        <w:rPr>
          <w:rFonts w:hint="eastAsia" w:ascii="方正小标宋简体" w:hAnsi="方正小标宋简体" w:eastAsia="方正小标宋简体" w:cs="方正小标宋简体"/>
          <w:b w:val="0"/>
          <w:bCs w:val="0"/>
          <w:color w:val="auto"/>
          <w:sz w:val="44"/>
          <w:szCs w:val="44"/>
        </w:rPr>
        <w:t>保洁服务考核标准细则</w:t>
      </w:r>
    </w:p>
    <w:p w14:paraId="44A13794">
      <w:pPr>
        <w:bidi w:val="0"/>
        <w:rPr>
          <w:rFonts w:hint="eastAsia"/>
          <w:color w:val="auto"/>
        </w:rPr>
      </w:pPr>
    </w:p>
    <w:p w14:paraId="0AEE438E">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一</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公共区域清洁（40分）</w:t>
      </w:r>
    </w:p>
    <w:p w14:paraId="7198508D">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1. 地面清洁（15分）</w:t>
      </w:r>
    </w:p>
    <w:p w14:paraId="33A6200B">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日常清扫（8分）</w:t>
      </w:r>
    </w:p>
    <w:p w14:paraId="60CE9D50">
      <w:pPr>
        <w:keepLines w:val="0"/>
        <w:pageBreakBefore w:val="0"/>
        <w:widowControl w:val="0"/>
        <w:numPr>
          <w:ilvl w:val="0"/>
          <w:numId w:val="5"/>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各业务大</w:t>
      </w:r>
      <w:r>
        <w:rPr>
          <w:rFonts w:hint="eastAsia" w:ascii="仿宋" w:hAnsi="仿宋" w:eastAsia="仿宋" w:cs="仿宋"/>
          <w:color w:val="auto"/>
          <w:sz w:val="28"/>
          <w:szCs w:val="28"/>
        </w:rPr>
        <w:t>厅、走廊、楼梯</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停车坪</w:t>
      </w:r>
      <w:r>
        <w:rPr>
          <w:rFonts w:hint="eastAsia" w:ascii="仿宋" w:hAnsi="仿宋" w:eastAsia="仿宋" w:cs="仿宋"/>
          <w:color w:val="auto"/>
          <w:sz w:val="28"/>
          <w:szCs w:val="28"/>
        </w:rPr>
        <w:t>等公共区域地面每日应清扫</w:t>
      </w: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rPr>
        <w:t>次，检查发现少清扫一次扣2分，累计最高扣6分。</w:t>
      </w:r>
    </w:p>
    <w:p w14:paraId="04299493">
      <w:pPr>
        <w:keepLines w:val="0"/>
        <w:pageBreakBefore w:val="0"/>
        <w:widowControl w:val="0"/>
        <w:numPr>
          <w:ilvl w:val="0"/>
          <w:numId w:val="5"/>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清扫后地面应无明显杂物、灰尘和脚印，每发现一处不合格扣1分，累计最高扣</w:t>
      </w:r>
      <w:r>
        <w:rPr>
          <w:rFonts w:hint="eastAsia" w:ascii="仿宋" w:hAnsi="仿宋" w:eastAsia="仿宋" w:cs="仿宋"/>
          <w:color w:val="auto"/>
          <w:sz w:val="28"/>
          <w:szCs w:val="28"/>
          <w:lang w:val="en-US" w:eastAsia="zh-CN"/>
        </w:rPr>
        <w:t>8</w:t>
      </w:r>
      <w:r>
        <w:rPr>
          <w:rFonts w:hint="eastAsia" w:ascii="仿宋" w:hAnsi="仿宋" w:eastAsia="仿宋" w:cs="仿宋"/>
          <w:color w:val="auto"/>
          <w:sz w:val="28"/>
          <w:szCs w:val="28"/>
        </w:rPr>
        <w:t>分。</w:t>
      </w:r>
    </w:p>
    <w:p w14:paraId="66654527">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拖地清洁（7分）</w:t>
      </w:r>
    </w:p>
    <w:p w14:paraId="3F93BEDC">
      <w:pPr>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地面每日应拖地</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次，检查发现少拖地一次扣2分，累计最高扣</w:t>
      </w: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rPr>
        <w:t>分。</w:t>
      </w:r>
    </w:p>
    <w:p w14:paraId="631A6179">
      <w:pPr>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拖地后地面应干净、无污渍和水渍，每发现一处不合格扣1分，累计最高扣</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分。</w:t>
      </w:r>
    </w:p>
    <w:p w14:paraId="06F695AB">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2. 墙面、天花板</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平台</w:t>
      </w:r>
      <w:r>
        <w:rPr>
          <w:rFonts w:hint="eastAsia" w:ascii="仿宋" w:hAnsi="仿宋" w:eastAsia="仿宋" w:cs="仿宋"/>
          <w:b/>
          <w:bCs/>
          <w:color w:val="auto"/>
          <w:sz w:val="28"/>
          <w:szCs w:val="28"/>
        </w:rPr>
        <w:t>清洁（1</w:t>
      </w:r>
      <w:r>
        <w:rPr>
          <w:rFonts w:hint="eastAsia" w:ascii="仿宋" w:hAnsi="仿宋" w:eastAsia="仿宋" w:cs="仿宋"/>
          <w:b/>
          <w:bCs/>
          <w:color w:val="auto"/>
          <w:sz w:val="28"/>
          <w:szCs w:val="28"/>
          <w:lang w:val="en-US" w:eastAsia="zh-CN"/>
        </w:rPr>
        <w:t>5</w:t>
      </w:r>
      <w:r>
        <w:rPr>
          <w:rFonts w:hint="eastAsia" w:ascii="仿宋" w:hAnsi="仿宋" w:eastAsia="仿宋" w:cs="仿宋"/>
          <w:b/>
          <w:bCs/>
          <w:color w:val="auto"/>
          <w:sz w:val="28"/>
          <w:szCs w:val="28"/>
        </w:rPr>
        <w:t>分）</w:t>
      </w:r>
    </w:p>
    <w:p w14:paraId="6768EA4A">
      <w:pPr>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清洁频次（4分）墙面、天花板</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平台</w:t>
      </w:r>
      <w:r>
        <w:rPr>
          <w:rFonts w:hint="eastAsia" w:ascii="仿宋" w:hAnsi="仿宋" w:eastAsia="仿宋" w:cs="仿宋"/>
          <w:color w:val="auto"/>
          <w:sz w:val="28"/>
          <w:szCs w:val="28"/>
        </w:rPr>
        <w:t>每月至少清洁</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次，少一次扣2分，累计最高扣4分。</w:t>
      </w:r>
    </w:p>
    <w:p w14:paraId="11089944">
      <w:pPr>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清洁效果（6分）墙面、天花板</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平台</w:t>
      </w:r>
      <w:r>
        <w:rPr>
          <w:rFonts w:hint="eastAsia" w:ascii="仿宋" w:hAnsi="仿宋" w:eastAsia="仿宋" w:cs="仿宋"/>
          <w:color w:val="auto"/>
          <w:sz w:val="28"/>
          <w:szCs w:val="28"/>
        </w:rPr>
        <w:t>应无明显蛛网、灰尘积聚</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垃圾</w:t>
      </w:r>
      <w:r>
        <w:rPr>
          <w:rFonts w:hint="eastAsia" w:ascii="仿宋" w:hAnsi="仿宋" w:eastAsia="仿宋" w:cs="仿宋"/>
          <w:color w:val="auto"/>
          <w:sz w:val="28"/>
          <w:szCs w:val="28"/>
        </w:rPr>
        <w:t>和污渍，每发现一处不合格扣1分，累计最高扣6分。</w:t>
      </w:r>
    </w:p>
    <w:p w14:paraId="1539ADC9">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3. 门窗</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台面及公共所属物件</w:t>
      </w:r>
      <w:r>
        <w:rPr>
          <w:rFonts w:hint="eastAsia" w:ascii="仿宋" w:hAnsi="仿宋" w:eastAsia="仿宋" w:cs="仿宋"/>
          <w:b/>
          <w:bCs/>
          <w:color w:val="auto"/>
          <w:sz w:val="28"/>
          <w:szCs w:val="28"/>
        </w:rPr>
        <w:t>清洁（10分）</w:t>
      </w:r>
    </w:p>
    <w:p w14:paraId="7A6DEA45">
      <w:pPr>
        <w:keepLines w:val="0"/>
        <w:pageBreakBefore w:val="0"/>
        <w:widowControl w:val="0"/>
        <w:numPr>
          <w:ilvl w:val="0"/>
          <w:numId w:val="8"/>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清洁频次（4分）每日应清洁</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次，少一次扣2分，累计最高扣4分。</w:t>
      </w:r>
    </w:p>
    <w:p w14:paraId="22A6D929">
      <w:pPr>
        <w:keepLines w:val="0"/>
        <w:pageBreakBefore w:val="0"/>
        <w:widowControl w:val="0"/>
        <w:numPr>
          <w:ilvl w:val="0"/>
          <w:numId w:val="8"/>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清洁效果（6分）应清洁明亮，无灰尘、污渍和手印，每发现</w:t>
      </w:r>
      <w:r>
        <w:rPr>
          <w:rFonts w:hint="eastAsia" w:ascii="仿宋" w:hAnsi="仿宋" w:eastAsia="仿宋" w:cs="仿宋"/>
          <w:color w:val="auto"/>
          <w:sz w:val="28"/>
          <w:szCs w:val="28"/>
          <w:lang w:val="en-US" w:eastAsia="zh-CN"/>
        </w:rPr>
        <w:t>一处</w:t>
      </w:r>
      <w:r>
        <w:rPr>
          <w:rFonts w:hint="eastAsia" w:ascii="仿宋" w:hAnsi="仿宋" w:eastAsia="仿宋" w:cs="仿宋"/>
          <w:color w:val="auto"/>
          <w:sz w:val="28"/>
          <w:szCs w:val="28"/>
        </w:rPr>
        <w:t>不合格扣1分，累计最高扣6分。</w:t>
      </w:r>
    </w:p>
    <w:p w14:paraId="1F01F574">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二</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卫生间清洁消毒（30分）</w:t>
      </w:r>
    </w:p>
    <w:p w14:paraId="0D8B1C56">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1. 卫生状况（15分）</w:t>
      </w:r>
    </w:p>
    <w:p w14:paraId="0425DCF7">
      <w:pPr>
        <w:keepLines w:val="0"/>
        <w:pageBreakBefore w:val="0"/>
        <w:widowControl w:val="0"/>
        <w:numPr>
          <w:ilvl w:val="0"/>
          <w:numId w:val="9"/>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日常清洁（8分）卫生间每日应清扫</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次，检查发现少清扫一次扣2分，累计最高扣6分。马桶、</w:t>
      </w:r>
      <w:r>
        <w:rPr>
          <w:rFonts w:hint="eastAsia" w:ascii="仿宋" w:hAnsi="仿宋" w:eastAsia="仿宋" w:cs="仿宋"/>
          <w:color w:val="auto"/>
          <w:sz w:val="28"/>
          <w:szCs w:val="28"/>
          <w:lang w:val="en-US" w:eastAsia="zh-CN"/>
        </w:rPr>
        <w:t>蹲便器、</w:t>
      </w:r>
      <w:r>
        <w:rPr>
          <w:rFonts w:hint="eastAsia" w:ascii="仿宋" w:hAnsi="仿宋" w:eastAsia="仿宋" w:cs="仿宋"/>
          <w:color w:val="auto"/>
          <w:sz w:val="28"/>
          <w:szCs w:val="28"/>
        </w:rPr>
        <w:t>小便池、洗手池等设施应无异味、无污渍和尿渍，每发现一处不合格扣1分，累计最高扣2分。</w:t>
      </w:r>
    </w:p>
    <w:p w14:paraId="3605205C">
      <w:pPr>
        <w:keepLines w:val="0"/>
        <w:pageBreakBefore w:val="0"/>
        <w:widowControl w:val="0"/>
        <w:numPr>
          <w:ilvl w:val="0"/>
          <w:numId w:val="9"/>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深度清洁（7分）卫生间每周至少进行一次深度清洁，包括马桶、</w:t>
      </w:r>
      <w:r>
        <w:rPr>
          <w:rFonts w:hint="eastAsia" w:ascii="仿宋" w:hAnsi="仿宋" w:eastAsia="仿宋" w:cs="仿宋"/>
          <w:color w:val="auto"/>
          <w:sz w:val="28"/>
          <w:szCs w:val="28"/>
          <w:lang w:val="en-US" w:eastAsia="zh-CN"/>
        </w:rPr>
        <w:t>蹲便器、</w:t>
      </w:r>
      <w:r>
        <w:rPr>
          <w:rFonts w:hint="eastAsia" w:ascii="仿宋" w:hAnsi="仿宋" w:eastAsia="仿宋" w:cs="仿宋"/>
          <w:color w:val="auto"/>
          <w:sz w:val="28"/>
          <w:szCs w:val="28"/>
        </w:rPr>
        <w:t>小便池内部清洗、墙面瓷砖擦拭等，少一次扣3分，累计最高扣6分。 深度清洁后应达到无顽固污渍、无异味的效果，每发现一处不合格扣1分，累计最高扣1分。</w:t>
      </w:r>
    </w:p>
    <w:p w14:paraId="1E6BC7D9">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2. 消毒工作（10分）</w:t>
      </w:r>
    </w:p>
    <w:p w14:paraId="03C821AD">
      <w:pPr>
        <w:keepLines w:val="0"/>
        <w:pageBreakBefore w:val="0"/>
        <w:widowControl w:val="0"/>
        <w:numPr>
          <w:ilvl w:val="0"/>
          <w:numId w:val="10"/>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消毒频次（</w:t>
      </w: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rPr>
        <w:t>分）卫生间每日应进行</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次消毒，检查发现少消毒一次扣2分，累计最高扣4分。</w:t>
      </w:r>
    </w:p>
    <w:p w14:paraId="5353F32E">
      <w:pPr>
        <w:keepLines w:val="0"/>
        <w:pageBreakBefore w:val="0"/>
        <w:widowControl w:val="0"/>
        <w:numPr>
          <w:ilvl w:val="0"/>
          <w:numId w:val="10"/>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消毒效果（</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分）采用专业的消毒方法和药剂，确保消毒效果符合卫生标准，通过定期抽检，如发现消毒不合格一次扣</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分。</w:t>
      </w:r>
    </w:p>
    <w:p w14:paraId="40D06E29">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3. 用品配备（5分）</w:t>
      </w:r>
    </w:p>
    <w:p w14:paraId="3981BD58">
      <w:pPr>
        <w:keepLines w:val="0"/>
        <w:pageBreakBefore w:val="0"/>
        <w:widowControl w:val="0"/>
        <w:numPr>
          <w:ilvl w:val="0"/>
          <w:numId w:val="11"/>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卫生纸等用品应及时补充，发现一处用品缺货扣1分，累计最高扣3分。</w:t>
      </w:r>
    </w:p>
    <w:p w14:paraId="510D35F2">
      <w:pPr>
        <w:keepLines w:val="0"/>
        <w:pageBreakBefore w:val="0"/>
        <w:widowControl w:val="0"/>
        <w:numPr>
          <w:ilvl w:val="0"/>
          <w:numId w:val="11"/>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用品摆放整齐、规范，无错漏，发现一处摆放不规范扣</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分，累计最高扣2分。</w:t>
      </w:r>
    </w:p>
    <w:p w14:paraId="4CE24A06">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color w:val="auto"/>
          <w:sz w:val="28"/>
          <w:szCs w:val="28"/>
        </w:rPr>
      </w:pPr>
      <w:r>
        <w:rPr>
          <w:rFonts w:hint="eastAsia" w:ascii="仿宋" w:hAnsi="仿宋" w:eastAsia="仿宋" w:cs="仿宋"/>
          <w:b/>
          <w:bCs/>
          <w:color w:val="auto"/>
          <w:sz w:val="28"/>
          <w:szCs w:val="28"/>
        </w:rPr>
        <w:t>三</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垃圾收集与清运（</w:t>
      </w:r>
      <w:r>
        <w:rPr>
          <w:rFonts w:hint="eastAsia" w:ascii="仿宋" w:hAnsi="仿宋" w:eastAsia="仿宋" w:cs="仿宋"/>
          <w:b/>
          <w:bCs/>
          <w:color w:val="auto"/>
          <w:sz w:val="28"/>
          <w:szCs w:val="28"/>
          <w:lang w:val="en-US" w:eastAsia="zh-CN"/>
        </w:rPr>
        <w:t>15</w:t>
      </w:r>
      <w:r>
        <w:rPr>
          <w:rFonts w:hint="eastAsia" w:ascii="仿宋" w:hAnsi="仿宋" w:eastAsia="仿宋" w:cs="仿宋"/>
          <w:b/>
          <w:bCs/>
          <w:color w:val="auto"/>
          <w:sz w:val="28"/>
          <w:szCs w:val="28"/>
        </w:rPr>
        <w:t>分）</w:t>
      </w:r>
    </w:p>
    <w:p w14:paraId="302EA45F">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1. 收集情况（</w:t>
      </w:r>
      <w:r>
        <w:rPr>
          <w:rFonts w:hint="eastAsia" w:ascii="仿宋" w:hAnsi="仿宋" w:eastAsia="仿宋" w:cs="仿宋"/>
          <w:b/>
          <w:bCs/>
          <w:color w:val="auto"/>
          <w:sz w:val="28"/>
          <w:szCs w:val="28"/>
          <w:lang w:val="en-US" w:eastAsia="zh-CN"/>
        </w:rPr>
        <w:t>9</w:t>
      </w:r>
      <w:r>
        <w:rPr>
          <w:rFonts w:hint="eastAsia" w:ascii="仿宋" w:hAnsi="仿宋" w:eastAsia="仿宋" w:cs="仿宋"/>
          <w:b/>
          <w:bCs/>
          <w:color w:val="auto"/>
          <w:sz w:val="28"/>
          <w:szCs w:val="28"/>
        </w:rPr>
        <w:t>分）</w:t>
      </w:r>
    </w:p>
    <w:p w14:paraId="2B8BB278">
      <w:pPr>
        <w:keepLines w:val="0"/>
        <w:pageBreakBefore w:val="0"/>
        <w:widowControl w:val="0"/>
        <w:numPr>
          <w:ilvl w:val="0"/>
          <w:numId w:val="12"/>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垃圾桶应每日清理</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次，检查发现少清理一次扣3分，累计最高扣</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分。</w:t>
      </w:r>
    </w:p>
    <w:p w14:paraId="2859FA62">
      <w:pPr>
        <w:keepLines w:val="0"/>
        <w:pageBreakBefore w:val="0"/>
        <w:widowControl w:val="0"/>
        <w:numPr>
          <w:ilvl w:val="0"/>
          <w:numId w:val="12"/>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垃圾应分类收集，发现混合收集一次扣</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分，累计最高扣</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分。</w:t>
      </w:r>
    </w:p>
    <w:p w14:paraId="2BFFAA3D">
      <w:pPr>
        <w:keepLines w:val="0"/>
        <w:pageBreakBefore w:val="0"/>
        <w:widowControl w:val="0"/>
        <w:numPr>
          <w:ilvl w:val="0"/>
          <w:numId w:val="12"/>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垃圾收集容器应保持清洁，无垃圾外溢、异味，每发现一处不合格扣1分，累计最高扣2分。</w:t>
      </w:r>
    </w:p>
    <w:p w14:paraId="4548F5AE">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2. 清运情况（</w:t>
      </w:r>
      <w:r>
        <w:rPr>
          <w:rFonts w:hint="eastAsia" w:ascii="仿宋" w:hAnsi="仿宋" w:eastAsia="仿宋" w:cs="仿宋"/>
          <w:b/>
          <w:bCs/>
          <w:color w:val="auto"/>
          <w:sz w:val="28"/>
          <w:szCs w:val="28"/>
          <w:lang w:val="en-US" w:eastAsia="zh-CN"/>
        </w:rPr>
        <w:t>6</w:t>
      </w:r>
      <w:r>
        <w:rPr>
          <w:rFonts w:hint="eastAsia" w:ascii="仿宋" w:hAnsi="仿宋" w:eastAsia="仿宋" w:cs="仿宋"/>
          <w:b/>
          <w:bCs/>
          <w:color w:val="auto"/>
          <w:sz w:val="28"/>
          <w:szCs w:val="28"/>
        </w:rPr>
        <w:t>分）</w:t>
      </w:r>
    </w:p>
    <w:p w14:paraId="446B257C">
      <w:pPr>
        <w:keepLines w:val="0"/>
        <w:pageBreakBefore w:val="0"/>
        <w:widowControl w:val="0"/>
        <w:numPr>
          <w:ilvl w:val="0"/>
          <w:numId w:val="13"/>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垃圾存放点应每日消毒</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次，未消毒扣3分，消毒记录不完整扣1分。</w:t>
      </w:r>
    </w:p>
    <w:p w14:paraId="1D682279">
      <w:pPr>
        <w:keepLines w:val="0"/>
        <w:pageBreakBefore w:val="0"/>
        <w:widowControl w:val="0"/>
        <w:numPr>
          <w:ilvl w:val="0"/>
          <w:numId w:val="13"/>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垃圾应及时清运，无外溢现象，发现一次外溢现象扣</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分。</w:t>
      </w:r>
    </w:p>
    <w:p w14:paraId="26974B34">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四</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特殊区域清洁（10分）</w:t>
      </w:r>
    </w:p>
    <w:p w14:paraId="41B98945">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玻璃应保持透明洁净，无污渍和水印，发现一处不合格扣1分，累计最高扣</w:t>
      </w:r>
      <w:r>
        <w:rPr>
          <w:rFonts w:hint="eastAsia" w:ascii="仿宋" w:hAnsi="仿宋" w:eastAsia="仿宋" w:cs="仿宋"/>
          <w:color w:val="auto"/>
          <w:sz w:val="28"/>
          <w:szCs w:val="28"/>
          <w:lang w:val="en-US" w:eastAsia="zh-CN"/>
        </w:rPr>
        <w:t>10</w:t>
      </w:r>
      <w:r>
        <w:rPr>
          <w:rFonts w:hint="eastAsia" w:ascii="仿宋" w:hAnsi="仿宋" w:eastAsia="仿宋" w:cs="仿宋"/>
          <w:color w:val="auto"/>
          <w:sz w:val="28"/>
          <w:szCs w:val="28"/>
        </w:rPr>
        <w:t>分。</w:t>
      </w:r>
    </w:p>
    <w:p w14:paraId="2DA54109">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五</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客户满意度（</w:t>
      </w:r>
      <w:r>
        <w:rPr>
          <w:rFonts w:hint="eastAsia" w:ascii="仿宋" w:hAnsi="仿宋" w:eastAsia="仿宋" w:cs="仿宋"/>
          <w:b/>
          <w:bCs/>
          <w:color w:val="auto"/>
          <w:sz w:val="28"/>
          <w:szCs w:val="28"/>
          <w:lang w:val="en-US" w:eastAsia="zh-CN"/>
        </w:rPr>
        <w:t>5</w:t>
      </w:r>
      <w:r>
        <w:rPr>
          <w:rFonts w:hint="eastAsia" w:ascii="仿宋" w:hAnsi="仿宋" w:eastAsia="仿宋" w:cs="仿宋"/>
          <w:b/>
          <w:bCs/>
          <w:color w:val="auto"/>
          <w:sz w:val="28"/>
          <w:szCs w:val="28"/>
        </w:rPr>
        <w:t>分）</w:t>
      </w:r>
    </w:p>
    <w:p w14:paraId="39799D84">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 通过问卷调查、现场访谈等方式收集</w:t>
      </w:r>
      <w:r>
        <w:rPr>
          <w:rFonts w:hint="eastAsia" w:ascii="仿宋" w:hAnsi="仿宋" w:eastAsia="仿宋" w:cs="仿宋"/>
          <w:color w:val="auto"/>
          <w:sz w:val="28"/>
          <w:szCs w:val="28"/>
          <w:lang w:eastAsia="zh-CN"/>
        </w:rPr>
        <w:t>服务对象</w:t>
      </w:r>
      <w:r>
        <w:rPr>
          <w:rFonts w:hint="eastAsia" w:ascii="仿宋" w:hAnsi="仿宋" w:eastAsia="仿宋" w:cs="仿宋"/>
          <w:color w:val="auto"/>
          <w:sz w:val="28"/>
          <w:szCs w:val="28"/>
        </w:rPr>
        <w:t>对保洁服务的满意度评价，满意度达到90%及以上得</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分，每降低5个百分点扣2分，低于70%得0分。</w:t>
      </w:r>
    </w:p>
    <w:p w14:paraId="5AE830D7">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z w:val="28"/>
          <w:szCs w:val="28"/>
        </w:rPr>
        <w:t>、加分项（最高5分）</w:t>
      </w:r>
    </w:p>
    <w:p w14:paraId="6EB7976D">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 在保洁工作中提出创新性的建议或方法，并取得显著成效，经</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认可后加2-5分。</w:t>
      </w:r>
    </w:p>
    <w:p w14:paraId="712D3F80">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 积极配合</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完成其他临时性工作任务，表现优秀，加1-3分。</w:t>
      </w:r>
    </w:p>
    <w:p w14:paraId="4202CE9A">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lang w:val="en-US" w:eastAsia="zh-CN"/>
        </w:rPr>
        <w:t>三</w:t>
      </w:r>
      <w:r>
        <w:rPr>
          <w:rFonts w:hint="eastAsia" w:ascii="仿宋" w:hAnsi="仿宋" w:eastAsia="仿宋" w:cs="仿宋"/>
          <w:b/>
          <w:bCs/>
          <w:color w:val="auto"/>
          <w:sz w:val="28"/>
          <w:szCs w:val="28"/>
        </w:rPr>
        <w:t>、扣分项（无上限）</w:t>
      </w:r>
    </w:p>
    <w:p w14:paraId="031A5F6A">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 因保洁服务不到位导致</w:t>
      </w:r>
      <w:r>
        <w:rPr>
          <w:rFonts w:hint="eastAsia" w:ascii="仿宋" w:hAnsi="仿宋" w:eastAsia="仿宋" w:cs="仿宋"/>
          <w:color w:val="auto"/>
          <w:sz w:val="28"/>
          <w:szCs w:val="28"/>
          <w:lang w:eastAsia="zh-CN"/>
        </w:rPr>
        <w:t>服务对象</w:t>
      </w:r>
      <w:r>
        <w:rPr>
          <w:rFonts w:hint="eastAsia" w:ascii="仿宋" w:hAnsi="仿宋" w:eastAsia="仿宋" w:cs="仿宋"/>
          <w:color w:val="auto"/>
          <w:sz w:val="28"/>
          <w:szCs w:val="28"/>
        </w:rPr>
        <w:t>投诉，经核实确属保洁责任，每次扣3-</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分。</w:t>
      </w:r>
    </w:p>
    <w:p w14:paraId="44DC5012">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 违反</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的相关管理规定，如擅自离岗、使用不当清洁剂等，每次扣2 -3分。</w:t>
      </w:r>
    </w:p>
    <w:p w14:paraId="780C1615">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b/>
          <w:bCs/>
          <w:color w:val="auto"/>
          <w:sz w:val="32"/>
          <w:szCs w:val="32"/>
        </w:rPr>
      </w:pPr>
      <w:r>
        <w:rPr>
          <w:rFonts w:hint="eastAsia" w:ascii="仿宋" w:hAnsi="仿宋" w:eastAsia="仿宋" w:cs="仿宋"/>
          <w:color w:val="auto"/>
          <w:sz w:val="28"/>
          <w:szCs w:val="28"/>
        </w:rPr>
        <w:t>3. 发生重大安全事故或卫生事故，视情节严重程度扣5-10分。</w:t>
      </w:r>
    </w:p>
    <w:p w14:paraId="45054FD9">
      <w:pPr>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br w:type="page"/>
      </w:r>
    </w:p>
    <w:p w14:paraId="5DC08B21">
      <w:pPr>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方正小标宋_GBK" w:hAnsi="方正小标宋_GBK" w:eastAsia="方正小标宋_GBK" w:cs="方正小标宋_GBK"/>
          <w:b w:val="0"/>
          <w:bCs w:val="0"/>
          <w:color w:val="auto"/>
          <w:sz w:val="44"/>
          <w:szCs w:val="44"/>
        </w:rPr>
      </w:pPr>
      <w:r>
        <w:rPr>
          <w:rFonts w:hint="eastAsia" w:ascii="方正小标宋_GBK" w:hAnsi="方正小标宋_GBK" w:eastAsia="方正小标宋_GBK" w:cs="方正小标宋_GBK"/>
          <w:b w:val="0"/>
          <w:bCs w:val="0"/>
          <w:color w:val="auto"/>
          <w:sz w:val="44"/>
          <w:szCs w:val="44"/>
          <w:lang w:val="en-US" w:eastAsia="zh-CN"/>
        </w:rPr>
        <w:t>安保</w:t>
      </w:r>
      <w:r>
        <w:rPr>
          <w:rFonts w:hint="eastAsia" w:ascii="方正小标宋_GBK" w:hAnsi="方正小标宋_GBK" w:eastAsia="方正小标宋_GBK" w:cs="方正小标宋_GBK"/>
          <w:b w:val="0"/>
          <w:bCs w:val="0"/>
          <w:color w:val="auto"/>
          <w:sz w:val="44"/>
          <w:szCs w:val="44"/>
        </w:rPr>
        <w:t>服务考核标准细则</w:t>
      </w:r>
    </w:p>
    <w:p w14:paraId="4EFC2CDB">
      <w:pPr>
        <w:bidi w:val="0"/>
        <w:rPr>
          <w:rFonts w:hint="eastAsia"/>
          <w:color w:val="auto"/>
        </w:rPr>
      </w:pPr>
    </w:p>
    <w:p w14:paraId="69E39A8F">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一</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人员出入登记（</w:t>
      </w:r>
      <w:r>
        <w:rPr>
          <w:rFonts w:hint="eastAsia" w:ascii="仿宋" w:hAnsi="仿宋" w:eastAsia="仿宋" w:cs="仿宋"/>
          <w:b/>
          <w:bCs/>
          <w:color w:val="auto"/>
          <w:sz w:val="28"/>
          <w:szCs w:val="28"/>
          <w:lang w:val="en-US" w:eastAsia="zh-CN"/>
        </w:rPr>
        <w:t>20</w:t>
      </w:r>
      <w:r>
        <w:rPr>
          <w:rFonts w:hint="eastAsia" w:ascii="仿宋" w:hAnsi="仿宋" w:eastAsia="仿宋" w:cs="仿宋"/>
          <w:b/>
          <w:bCs/>
          <w:color w:val="auto"/>
          <w:sz w:val="28"/>
          <w:szCs w:val="28"/>
        </w:rPr>
        <w:t>分）</w:t>
      </w:r>
    </w:p>
    <w:p w14:paraId="253ECAB3">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1. 登记信息完整性（</w:t>
      </w:r>
      <w:r>
        <w:rPr>
          <w:rFonts w:hint="eastAsia" w:ascii="仿宋" w:hAnsi="仿宋" w:eastAsia="仿宋" w:cs="仿宋"/>
          <w:b/>
          <w:bCs/>
          <w:color w:val="auto"/>
          <w:sz w:val="28"/>
          <w:szCs w:val="28"/>
          <w:lang w:val="en-US" w:eastAsia="zh-CN"/>
        </w:rPr>
        <w:t>12</w:t>
      </w:r>
      <w:r>
        <w:rPr>
          <w:rFonts w:hint="eastAsia" w:ascii="仿宋" w:hAnsi="仿宋" w:eastAsia="仿宋" w:cs="仿宋"/>
          <w:b/>
          <w:bCs/>
          <w:color w:val="auto"/>
          <w:sz w:val="28"/>
          <w:szCs w:val="28"/>
        </w:rPr>
        <w:t>分）</w:t>
      </w:r>
    </w:p>
    <w:p w14:paraId="5FB5C475">
      <w:pPr>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人员出入登记应详细准确，记录来访人员姓名、单位、来访事由、来访时间、离开时间等信息，登记准确率应达到98%以上。</w:t>
      </w:r>
    </w:p>
    <w:p w14:paraId="4F68538A">
      <w:pPr>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每发现1次信息遗漏或不准确（如来访单位填写错误、来访事由描述不清等），扣1分，累计最高扣</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分。</w:t>
      </w:r>
    </w:p>
    <w:p w14:paraId="03E8AE89">
      <w:pPr>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畅安楼门禁管控不到位，导致外来人员直接到办公区域，发现1次扣2分，</w:t>
      </w:r>
      <w:r>
        <w:rPr>
          <w:rFonts w:hint="eastAsia" w:ascii="仿宋" w:hAnsi="仿宋" w:eastAsia="仿宋" w:cs="仿宋"/>
          <w:color w:val="auto"/>
          <w:sz w:val="28"/>
          <w:szCs w:val="28"/>
        </w:rPr>
        <w:t>累计最高扣</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分。</w:t>
      </w:r>
    </w:p>
    <w:p w14:paraId="77E713AC">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2. 登记及时性（</w:t>
      </w:r>
      <w:r>
        <w:rPr>
          <w:rFonts w:hint="eastAsia" w:ascii="仿宋" w:hAnsi="仿宋" w:eastAsia="仿宋" w:cs="仿宋"/>
          <w:b/>
          <w:bCs/>
          <w:color w:val="auto"/>
          <w:sz w:val="28"/>
          <w:szCs w:val="28"/>
          <w:lang w:val="en-US" w:eastAsia="zh-CN"/>
        </w:rPr>
        <w:t>8</w:t>
      </w:r>
      <w:r>
        <w:rPr>
          <w:rFonts w:hint="eastAsia" w:ascii="仿宋" w:hAnsi="仿宋" w:eastAsia="仿宋" w:cs="仿宋"/>
          <w:b/>
          <w:bCs/>
          <w:color w:val="auto"/>
          <w:sz w:val="28"/>
          <w:szCs w:val="28"/>
        </w:rPr>
        <w:t>分）</w:t>
      </w:r>
    </w:p>
    <w:p w14:paraId="43EC716F">
      <w:pPr>
        <w:keepLines w:val="0"/>
        <w:pageBreakBefore w:val="0"/>
        <w:widowControl w:val="0"/>
        <w:numPr>
          <w:ilvl w:val="0"/>
          <w:numId w:val="15"/>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外来人员登记应及时，应在来访人员到达办公区域时立即进行登记，不得拖延。</w:t>
      </w:r>
    </w:p>
    <w:p w14:paraId="042F8F19">
      <w:pPr>
        <w:keepLines w:val="0"/>
        <w:pageBreakBefore w:val="0"/>
        <w:widowControl w:val="0"/>
        <w:numPr>
          <w:ilvl w:val="0"/>
          <w:numId w:val="15"/>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发现1次未及时登记的情况，扣3分，累计最高扣</w:t>
      </w:r>
      <w:r>
        <w:rPr>
          <w:rFonts w:hint="eastAsia" w:ascii="仿宋" w:hAnsi="仿宋" w:eastAsia="仿宋" w:cs="仿宋"/>
          <w:color w:val="auto"/>
          <w:sz w:val="28"/>
          <w:szCs w:val="28"/>
          <w:lang w:val="en-US" w:eastAsia="zh-CN"/>
        </w:rPr>
        <w:t>8</w:t>
      </w:r>
      <w:r>
        <w:rPr>
          <w:rFonts w:hint="eastAsia" w:ascii="仿宋" w:hAnsi="仿宋" w:eastAsia="仿宋" w:cs="仿宋"/>
          <w:color w:val="auto"/>
          <w:sz w:val="28"/>
          <w:szCs w:val="28"/>
        </w:rPr>
        <w:t>分。如来访人员进入办公区域</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分钟后仍未完成登记的，视作未及时登记。</w:t>
      </w:r>
    </w:p>
    <w:p w14:paraId="0B079EB7">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二</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车辆</w:t>
      </w:r>
      <w:r>
        <w:rPr>
          <w:rFonts w:hint="eastAsia" w:ascii="仿宋" w:hAnsi="仿宋" w:eastAsia="仿宋" w:cs="仿宋"/>
          <w:b/>
          <w:bCs/>
          <w:color w:val="auto"/>
          <w:sz w:val="28"/>
          <w:szCs w:val="28"/>
          <w:lang w:val="en-US" w:eastAsia="zh-CN"/>
        </w:rPr>
        <w:t>停放督导管控</w:t>
      </w: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val="en-US" w:eastAsia="zh-CN"/>
        </w:rPr>
        <w:t>40</w:t>
      </w:r>
      <w:r>
        <w:rPr>
          <w:rFonts w:hint="eastAsia" w:ascii="仿宋" w:hAnsi="仿宋" w:eastAsia="仿宋" w:cs="仿宋"/>
          <w:b/>
          <w:bCs/>
          <w:color w:val="auto"/>
          <w:sz w:val="28"/>
          <w:szCs w:val="28"/>
        </w:rPr>
        <w:t>分）</w:t>
      </w:r>
    </w:p>
    <w:p w14:paraId="3B0BDA5F">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1. </w:t>
      </w:r>
      <w:r>
        <w:rPr>
          <w:rFonts w:hint="eastAsia" w:ascii="仿宋" w:hAnsi="仿宋" w:eastAsia="仿宋" w:cs="仿宋"/>
          <w:b/>
          <w:bCs/>
          <w:color w:val="auto"/>
          <w:sz w:val="28"/>
          <w:szCs w:val="28"/>
          <w:lang w:val="en-US" w:eastAsia="zh-CN"/>
        </w:rPr>
        <w:t>督导管控</w:t>
      </w:r>
      <w:r>
        <w:rPr>
          <w:rFonts w:hint="eastAsia" w:ascii="仿宋" w:hAnsi="仿宋" w:eastAsia="仿宋" w:cs="仿宋"/>
          <w:b/>
          <w:bCs/>
          <w:color w:val="auto"/>
          <w:sz w:val="28"/>
          <w:szCs w:val="28"/>
        </w:rPr>
        <w:t>规范性（</w:t>
      </w:r>
      <w:r>
        <w:rPr>
          <w:rFonts w:hint="eastAsia" w:ascii="仿宋" w:hAnsi="仿宋" w:eastAsia="仿宋" w:cs="仿宋"/>
          <w:b/>
          <w:bCs/>
          <w:color w:val="auto"/>
          <w:sz w:val="28"/>
          <w:szCs w:val="28"/>
          <w:lang w:val="en-US" w:eastAsia="zh-CN"/>
        </w:rPr>
        <w:t>35</w:t>
      </w:r>
      <w:r>
        <w:rPr>
          <w:rFonts w:hint="eastAsia" w:ascii="仿宋" w:hAnsi="仿宋" w:eastAsia="仿宋" w:cs="仿宋"/>
          <w:b/>
          <w:bCs/>
          <w:color w:val="auto"/>
          <w:sz w:val="28"/>
          <w:szCs w:val="28"/>
        </w:rPr>
        <w:t>分）</w:t>
      </w:r>
    </w:p>
    <w:p w14:paraId="6409C6DA">
      <w:pPr>
        <w:keepLines w:val="0"/>
        <w:pageBreakBefore w:val="0"/>
        <w:widowControl w:val="0"/>
        <w:numPr>
          <w:ilvl w:val="0"/>
          <w:numId w:val="16"/>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所有</w:t>
      </w:r>
      <w:r>
        <w:rPr>
          <w:rFonts w:hint="eastAsia" w:ascii="仿宋" w:hAnsi="仿宋" w:eastAsia="仿宋" w:cs="仿宋"/>
          <w:color w:val="auto"/>
          <w:sz w:val="28"/>
          <w:szCs w:val="28"/>
        </w:rPr>
        <w:t>车辆</w:t>
      </w:r>
      <w:r>
        <w:rPr>
          <w:rFonts w:hint="eastAsia" w:ascii="仿宋" w:hAnsi="仿宋" w:eastAsia="仿宋" w:cs="仿宋"/>
          <w:color w:val="auto"/>
          <w:sz w:val="28"/>
          <w:szCs w:val="28"/>
          <w:lang w:val="en-US" w:eastAsia="zh-CN"/>
        </w:rPr>
        <w:t>进入院内应规范分类停放在指定车位上，所有车头一律朝外</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车道、消防通道一律不许停车</w:t>
      </w:r>
      <w:r>
        <w:rPr>
          <w:rFonts w:hint="eastAsia" w:ascii="仿宋" w:hAnsi="仿宋" w:eastAsia="仿宋" w:cs="仿宋"/>
          <w:color w:val="auto"/>
          <w:sz w:val="28"/>
          <w:szCs w:val="28"/>
        </w:rPr>
        <w:t>。每发现1次</w:t>
      </w:r>
      <w:r>
        <w:rPr>
          <w:rFonts w:hint="eastAsia" w:ascii="仿宋" w:hAnsi="仿宋" w:eastAsia="仿宋" w:cs="仿宋"/>
          <w:color w:val="auto"/>
          <w:sz w:val="28"/>
          <w:szCs w:val="28"/>
          <w:lang w:val="en-US" w:eastAsia="zh-CN"/>
        </w:rPr>
        <w:t>车辆</w:t>
      </w:r>
      <w:r>
        <w:rPr>
          <w:rFonts w:hint="eastAsia" w:ascii="仿宋" w:hAnsi="仿宋" w:eastAsia="仿宋" w:cs="仿宋"/>
          <w:color w:val="auto"/>
          <w:sz w:val="28"/>
          <w:szCs w:val="28"/>
        </w:rPr>
        <w:t>未按照标准</w:t>
      </w:r>
      <w:r>
        <w:rPr>
          <w:rFonts w:hint="eastAsia" w:ascii="仿宋" w:hAnsi="仿宋" w:eastAsia="仿宋" w:cs="仿宋"/>
          <w:color w:val="auto"/>
          <w:sz w:val="28"/>
          <w:szCs w:val="28"/>
          <w:lang w:val="en-US" w:eastAsia="zh-CN"/>
        </w:rPr>
        <w:t>及区域分类停放</w:t>
      </w:r>
      <w:r>
        <w:rPr>
          <w:rFonts w:hint="eastAsia" w:ascii="仿宋" w:hAnsi="仿宋" w:eastAsia="仿宋" w:cs="仿宋"/>
          <w:color w:val="auto"/>
          <w:sz w:val="28"/>
          <w:szCs w:val="28"/>
        </w:rPr>
        <w:t>扣</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分，累计最高扣</w:t>
      </w: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rPr>
        <w:t>分。</w:t>
      </w:r>
    </w:p>
    <w:p w14:paraId="073AFF89">
      <w:pPr>
        <w:keepLines w:val="0"/>
        <w:pageBreakBefore w:val="0"/>
        <w:widowControl w:val="0"/>
        <w:numPr>
          <w:ilvl w:val="0"/>
          <w:numId w:val="16"/>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业务车辆排队查验无序，没有正确引导疏通，造成交通拥堵</w:t>
      </w:r>
      <w:r>
        <w:rPr>
          <w:rFonts w:hint="eastAsia" w:ascii="仿宋" w:hAnsi="仿宋" w:eastAsia="仿宋" w:cs="仿宋"/>
          <w:color w:val="auto"/>
          <w:sz w:val="28"/>
          <w:szCs w:val="28"/>
        </w:rPr>
        <w:t>每发现1次扣</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分，累计最高扣</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分。</w:t>
      </w:r>
    </w:p>
    <w:p w14:paraId="4F67E852">
      <w:pPr>
        <w:keepLines w:val="0"/>
        <w:pageBreakBefore w:val="0"/>
        <w:widowControl w:val="0"/>
        <w:numPr>
          <w:ilvl w:val="0"/>
          <w:numId w:val="16"/>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车辆督导工作人员不在停车区域督导，擅自在业务大厅逗留超过5分钟以上的给予发现一次扣2分，累计最高扣4分。</w:t>
      </w:r>
    </w:p>
    <w:p w14:paraId="25BEEBED">
      <w:pPr>
        <w:keepLines w:val="0"/>
        <w:pageBreakBefore w:val="0"/>
        <w:widowControl w:val="0"/>
        <w:numPr>
          <w:ilvl w:val="0"/>
          <w:numId w:val="16"/>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车辆督导工作人员仪容仪表、行为举止不符合采购人要求，发现一次扣1分，累计最高扣3分</w:t>
      </w:r>
      <w:r>
        <w:rPr>
          <w:rFonts w:hint="eastAsia" w:ascii="仿宋" w:hAnsi="仿宋" w:eastAsia="仿宋" w:cs="仿宋"/>
          <w:color w:val="auto"/>
          <w:sz w:val="28"/>
          <w:szCs w:val="28"/>
          <w:lang w:eastAsia="zh-CN"/>
        </w:rPr>
        <w:t>。</w:t>
      </w:r>
    </w:p>
    <w:p w14:paraId="4DF4D6D0">
      <w:pPr>
        <w:keepLines w:val="0"/>
        <w:pageBreakBefore w:val="0"/>
        <w:widowControl w:val="0"/>
        <w:numPr>
          <w:ilvl w:val="0"/>
          <w:numId w:val="16"/>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sz w:val="28"/>
          <w:szCs w:val="28"/>
          <w:lang w:val="en-US" w:eastAsia="zh-CN"/>
        </w:rPr>
        <w:t>车辆督导工作人员督导车辆言语不委婉，方式方法不正确导致车主投诉发现一次扣2分，累计最高扣6分。</w:t>
      </w:r>
    </w:p>
    <w:p w14:paraId="1C4EB629">
      <w:pPr>
        <w:keepLines w:val="0"/>
        <w:pageBreakBefore w:val="0"/>
        <w:widowControl w:val="0"/>
        <w:numPr>
          <w:ilvl w:val="0"/>
          <w:numId w:val="16"/>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按照大队法宣部门规定要求接收、取放大队扣留的涉案违法车辆，并做好收、放登记，造成车辆错误取放扣2分、部件缺失扣4分；车辆丢失扣12分，累计最高扣12分。</w:t>
      </w:r>
    </w:p>
    <w:p w14:paraId="06609672">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2. 信息准确性（</w:t>
      </w:r>
      <w:r>
        <w:rPr>
          <w:rFonts w:hint="eastAsia" w:ascii="仿宋" w:hAnsi="仿宋" w:eastAsia="仿宋" w:cs="仿宋"/>
          <w:b/>
          <w:bCs/>
          <w:color w:val="auto"/>
          <w:sz w:val="28"/>
          <w:szCs w:val="28"/>
          <w:lang w:val="en-US" w:eastAsia="zh-CN"/>
        </w:rPr>
        <w:t>5</w:t>
      </w:r>
      <w:r>
        <w:rPr>
          <w:rFonts w:hint="eastAsia" w:ascii="仿宋" w:hAnsi="仿宋" w:eastAsia="仿宋" w:cs="仿宋"/>
          <w:b/>
          <w:bCs/>
          <w:color w:val="auto"/>
          <w:sz w:val="28"/>
          <w:szCs w:val="28"/>
        </w:rPr>
        <w:t>分）</w:t>
      </w:r>
    </w:p>
    <w:p w14:paraId="04847348">
      <w:pPr>
        <w:keepLines w:val="0"/>
        <w:pageBreakBefore w:val="0"/>
        <w:widowControl w:val="0"/>
        <w:numPr>
          <w:ilvl w:val="0"/>
          <w:numId w:val="17"/>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违停</w:t>
      </w:r>
      <w:r>
        <w:rPr>
          <w:rFonts w:hint="eastAsia" w:ascii="仿宋" w:hAnsi="仿宋" w:eastAsia="仿宋" w:cs="仿宋"/>
          <w:color w:val="auto"/>
          <w:sz w:val="28"/>
          <w:szCs w:val="28"/>
        </w:rPr>
        <w:t>车辆检查记录</w:t>
      </w:r>
      <w:r>
        <w:rPr>
          <w:rFonts w:hint="eastAsia" w:ascii="仿宋" w:hAnsi="仿宋" w:eastAsia="仿宋" w:cs="仿宋"/>
          <w:color w:val="auto"/>
          <w:sz w:val="28"/>
          <w:szCs w:val="28"/>
          <w:lang w:eastAsia="zh-CN"/>
        </w:rPr>
        <w:t>、涉案车辆登记</w:t>
      </w:r>
      <w:r>
        <w:rPr>
          <w:rFonts w:hint="eastAsia" w:ascii="仿宋" w:hAnsi="仿宋" w:eastAsia="仿宋" w:cs="仿宋"/>
          <w:color w:val="auto"/>
          <w:sz w:val="28"/>
          <w:szCs w:val="28"/>
        </w:rPr>
        <w:t>应完整清晰，包括车牌号码、司机</w:t>
      </w:r>
      <w:r>
        <w:rPr>
          <w:rFonts w:hint="eastAsia" w:ascii="仿宋" w:hAnsi="仿宋" w:eastAsia="仿宋" w:cs="仿宋"/>
          <w:color w:val="auto"/>
          <w:sz w:val="28"/>
          <w:szCs w:val="28"/>
          <w:lang w:val="en-US" w:eastAsia="zh-CN"/>
        </w:rPr>
        <w:t>联系方式等</w:t>
      </w:r>
      <w:r>
        <w:rPr>
          <w:rFonts w:hint="eastAsia" w:ascii="仿宋" w:hAnsi="仿宋" w:eastAsia="仿宋" w:cs="仿宋"/>
          <w:color w:val="auto"/>
          <w:sz w:val="28"/>
          <w:szCs w:val="28"/>
        </w:rPr>
        <w:t>信息准确无误。</w:t>
      </w:r>
    </w:p>
    <w:p w14:paraId="298D350E">
      <w:pPr>
        <w:keepLines w:val="0"/>
        <w:pageBreakBefore w:val="0"/>
        <w:widowControl w:val="0"/>
        <w:numPr>
          <w:ilvl w:val="0"/>
          <w:numId w:val="17"/>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每发现1次</w:t>
      </w:r>
      <w:r>
        <w:rPr>
          <w:rFonts w:hint="eastAsia" w:ascii="仿宋" w:hAnsi="仿宋" w:eastAsia="仿宋" w:cs="仿宋"/>
          <w:color w:val="auto"/>
          <w:sz w:val="28"/>
          <w:szCs w:val="28"/>
          <w:lang w:val="en-US" w:eastAsia="zh-CN"/>
        </w:rPr>
        <w:t>违停</w:t>
      </w:r>
      <w:r>
        <w:rPr>
          <w:rFonts w:hint="eastAsia" w:ascii="仿宋" w:hAnsi="仿宋" w:eastAsia="仿宋" w:cs="仿宋"/>
          <w:color w:val="auto"/>
          <w:sz w:val="28"/>
          <w:szCs w:val="28"/>
        </w:rPr>
        <w:t>车辆</w:t>
      </w:r>
      <w:r>
        <w:rPr>
          <w:rFonts w:hint="eastAsia" w:ascii="仿宋" w:hAnsi="仿宋" w:eastAsia="仿宋" w:cs="仿宋"/>
          <w:color w:val="auto"/>
          <w:sz w:val="28"/>
          <w:szCs w:val="28"/>
          <w:lang w:val="en-US" w:eastAsia="zh-CN"/>
        </w:rPr>
        <w:t>未联系司机处理</w:t>
      </w:r>
      <w:r>
        <w:rPr>
          <w:rFonts w:hint="eastAsia" w:ascii="仿宋" w:hAnsi="仿宋" w:eastAsia="仿宋" w:cs="仿宋"/>
          <w:color w:val="auto"/>
          <w:sz w:val="28"/>
          <w:szCs w:val="28"/>
        </w:rPr>
        <w:t>扣1分，</w:t>
      </w:r>
      <w:r>
        <w:rPr>
          <w:rFonts w:hint="eastAsia" w:ascii="仿宋" w:hAnsi="仿宋" w:eastAsia="仿宋" w:cs="仿宋"/>
          <w:color w:val="auto"/>
          <w:sz w:val="28"/>
          <w:szCs w:val="28"/>
          <w:lang w:eastAsia="zh-CN"/>
        </w:rPr>
        <w:t>涉案车辆</w:t>
      </w:r>
      <w:r>
        <w:rPr>
          <w:rFonts w:hint="eastAsia" w:ascii="仿宋" w:hAnsi="仿宋" w:eastAsia="仿宋" w:cs="仿宋"/>
          <w:color w:val="auto"/>
          <w:sz w:val="28"/>
          <w:szCs w:val="28"/>
          <w:lang w:val="en-US" w:eastAsia="zh-CN"/>
        </w:rPr>
        <w:t>登记信息遗漏或不准确一次扣2.5分，</w:t>
      </w:r>
      <w:r>
        <w:rPr>
          <w:rFonts w:hint="eastAsia" w:ascii="仿宋" w:hAnsi="仿宋" w:eastAsia="仿宋" w:cs="仿宋"/>
          <w:color w:val="auto"/>
          <w:sz w:val="28"/>
          <w:szCs w:val="28"/>
        </w:rPr>
        <w:t>累计最高扣</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分。</w:t>
      </w:r>
    </w:p>
    <w:p w14:paraId="2B8BBB09">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三</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巡逻工作（</w:t>
      </w:r>
      <w:r>
        <w:rPr>
          <w:rFonts w:hint="eastAsia" w:ascii="仿宋" w:hAnsi="仿宋" w:eastAsia="仿宋" w:cs="仿宋"/>
          <w:b/>
          <w:bCs/>
          <w:color w:val="auto"/>
          <w:sz w:val="28"/>
          <w:szCs w:val="28"/>
          <w:lang w:val="en-US" w:eastAsia="zh-CN"/>
        </w:rPr>
        <w:t>10</w:t>
      </w:r>
      <w:r>
        <w:rPr>
          <w:rFonts w:hint="eastAsia" w:ascii="仿宋" w:hAnsi="仿宋" w:eastAsia="仿宋" w:cs="仿宋"/>
          <w:b/>
          <w:bCs/>
          <w:color w:val="auto"/>
          <w:sz w:val="28"/>
          <w:szCs w:val="28"/>
        </w:rPr>
        <w:t>分）</w:t>
      </w:r>
    </w:p>
    <w:p w14:paraId="51DB12D0">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1. 巡逻路线与时间（</w:t>
      </w:r>
      <w:r>
        <w:rPr>
          <w:rFonts w:hint="eastAsia" w:ascii="仿宋" w:hAnsi="仿宋" w:eastAsia="仿宋" w:cs="仿宋"/>
          <w:b/>
          <w:bCs/>
          <w:color w:val="auto"/>
          <w:sz w:val="28"/>
          <w:szCs w:val="28"/>
          <w:lang w:val="en-US" w:eastAsia="zh-CN"/>
        </w:rPr>
        <w:t>2</w:t>
      </w:r>
      <w:r>
        <w:rPr>
          <w:rFonts w:hint="eastAsia" w:ascii="仿宋" w:hAnsi="仿宋" w:eastAsia="仿宋" w:cs="仿宋"/>
          <w:b/>
          <w:bCs/>
          <w:color w:val="auto"/>
          <w:sz w:val="28"/>
          <w:szCs w:val="28"/>
        </w:rPr>
        <w:t>分）</w:t>
      </w:r>
    </w:p>
    <w:p w14:paraId="4F0B6A84">
      <w:pPr>
        <w:keepLines w:val="0"/>
        <w:pageBreakBefore w:val="0"/>
        <w:widowControl w:val="0"/>
        <w:numPr>
          <w:ilvl w:val="0"/>
          <w:numId w:val="18"/>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巡逻人员应按照规定路线和时间进行巡逻，巡逻路线应覆盖</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办公区域的各个部位，不得遗漏重要区域。</w:t>
      </w:r>
    </w:p>
    <w:p w14:paraId="18F4FDC3">
      <w:pPr>
        <w:keepLines w:val="0"/>
        <w:pageBreakBefore w:val="0"/>
        <w:widowControl w:val="0"/>
        <w:numPr>
          <w:ilvl w:val="0"/>
          <w:numId w:val="18"/>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每月由</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随机选取</w:t>
      </w: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rPr>
        <w:t>个时间段进行不定期抽查，发现1次巡逻路线与规定路线不符，扣</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分；巡逻间隔时间超过规定时间</w:t>
      </w:r>
      <w:r>
        <w:rPr>
          <w:rFonts w:hint="eastAsia" w:ascii="仿宋" w:hAnsi="仿宋" w:eastAsia="仿宋" w:cs="仿宋"/>
          <w:color w:val="auto"/>
          <w:sz w:val="28"/>
          <w:szCs w:val="28"/>
          <w:lang w:val="en-US" w:eastAsia="zh-CN"/>
        </w:rPr>
        <w:t>30</w:t>
      </w:r>
      <w:r>
        <w:rPr>
          <w:rFonts w:hint="eastAsia" w:ascii="仿宋" w:hAnsi="仿宋" w:eastAsia="仿宋" w:cs="仿宋"/>
          <w:color w:val="auto"/>
          <w:sz w:val="28"/>
          <w:szCs w:val="28"/>
        </w:rPr>
        <w:t>分钟以上（含</w:t>
      </w:r>
      <w:r>
        <w:rPr>
          <w:rFonts w:hint="eastAsia" w:ascii="仿宋" w:hAnsi="仿宋" w:eastAsia="仿宋" w:cs="仿宋"/>
          <w:color w:val="auto"/>
          <w:sz w:val="28"/>
          <w:szCs w:val="28"/>
          <w:lang w:val="en-US" w:eastAsia="zh-CN"/>
        </w:rPr>
        <w:t>30</w:t>
      </w:r>
      <w:r>
        <w:rPr>
          <w:rFonts w:hint="eastAsia" w:ascii="仿宋" w:hAnsi="仿宋" w:eastAsia="仿宋" w:cs="仿宋"/>
          <w:color w:val="auto"/>
          <w:sz w:val="28"/>
          <w:szCs w:val="28"/>
        </w:rPr>
        <w:t>分钟），每次扣</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分，累计最高扣</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分。</w:t>
      </w:r>
    </w:p>
    <w:p w14:paraId="6AD9ABE6">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2. 巡查记录完整性（</w:t>
      </w:r>
      <w:r>
        <w:rPr>
          <w:rFonts w:hint="eastAsia" w:ascii="仿宋" w:hAnsi="仿宋" w:eastAsia="仿宋" w:cs="仿宋"/>
          <w:b/>
          <w:bCs/>
          <w:color w:val="auto"/>
          <w:sz w:val="28"/>
          <w:szCs w:val="28"/>
          <w:lang w:val="en-US" w:eastAsia="zh-CN"/>
        </w:rPr>
        <w:t>4</w:t>
      </w:r>
      <w:r>
        <w:rPr>
          <w:rFonts w:hint="eastAsia" w:ascii="仿宋" w:hAnsi="仿宋" w:eastAsia="仿宋" w:cs="仿宋"/>
          <w:b/>
          <w:bCs/>
          <w:color w:val="auto"/>
          <w:sz w:val="28"/>
          <w:szCs w:val="28"/>
        </w:rPr>
        <w:t>分）</w:t>
      </w:r>
    </w:p>
    <w:p w14:paraId="1CDBA0A2">
      <w:pPr>
        <w:keepLines w:val="0"/>
        <w:pageBreakBefore w:val="0"/>
        <w:widowControl w:val="0"/>
        <w:numPr>
          <w:ilvl w:val="0"/>
          <w:numId w:val="19"/>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巡逻过程中应详细记录巡查情况，包括巡查时间、巡查地点、发现的问题及处理情况等信息。</w:t>
      </w:r>
    </w:p>
    <w:p w14:paraId="55EEFFB7">
      <w:pPr>
        <w:keepLines w:val="0"/>
        <w:pageBreakBefore w:val="0"/>
        <w:widowControl w:val="0"/>
        <w:numPr>
          <w:ilvl w:val="0"/>
          <w:numId w:val="19"/>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每遗漏1次巡查记录或记录信息不清晰、不完整（如未描述发现的问题或未记录处理措施），扣2分，累计最高扣</w:t>
      </w: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rPr>
        <w:t>分。</w:t>
      </w:r>
    </w:p>
    <w:p w14:paraId="0F909F40">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3. 安全隐患发现与处理（</w:t>
      </w:r>
      <w:r>
        <w:rPr>
          <w:rFonts w:hint="eastAsia" w:ascii="仿宋" w:hAnsi="仿宋" w:eastAsia="仿宋" w:cs="仿宋"/>
          <w:b/>
          <w:bCs/>
          <w:color w:val="auto"/>
          <w:sz w:val="28"/>
          <w:szCs w:val="28"/>
          <w:lang w:val="en-US" w:eastAsia="zh-CN"/>
        </w:rPr>
        <w:t>2</w:t>
      </w:r>
      <w:r>
        <w:rPr>
          <w:rFonts w:hint="eastAsia" w:ascii="仿宋" w:hAnsi="仿宋" w:eastAsia="仿宋" w:cs="仿宋"/>
          <w:b/>
          <w:bCs/>
          <w:color w:val="auto"/>
          <w:sz w:val="28"/>
          <w:szCs w:val="28"/>
        </w:rPr>
        <w:t>分）</w:t>
      </w:r>
    </w:p>
    <w:p w14:paraId="3A1F7C6D">
      <w:pPr>
        <w:keepLines w:val="0"/>
        <w:pageBreakBefore w:val="0"/>
        <w:widowControl w:val="0"/>
        <w:numPr>
          <w:ilvl w:val="0"/>
          <w:numId w:val="20"/>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巡逻人员应认真检查，及时发现安全隐患并记录，如设施设备损坏、门窗未关好、水电线路异常等情况。</w:t>
      </w:r>
    </w:p>
    <w:p w14:paraId="797BCC71">
      <w:pPr>
        <w:keepLines w:val="0"/>
        <w:pageBreakBefore w:val="0"/>
        <w:widowControl w:val="0"/>
        <w:numPr>
          <w:ilvl w:val="0"/>
          <w:numId w:val="20"/>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发现1次未发现明显安全隐患（</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通过事后检查确认存在的隐患），扣</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分；发现安全隐患后[规定时间]内未上报</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相关部门，每次扣2分。</w:t>
      </w:r>
    </w:p>
    <w:p w14:paraId="6BCC60CC">
      <w:pPr>
        <w:keepLines w:val="0"/>
        <w:pageBreakBefore w:val="0"/>
        <w:widowControl w:val="0"/>
        <w:numPr>
          <w:ilvl w:val="0"/>
          <w:numId w:val="20"/>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安全隐患整改率达到95%以上。每低5%扣</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分，累计最高扣</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分。</w:t>
      </w:r>
    </w:p>
    <w:p w14:paraId="496F9E6F">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4. 临时防范措施（</w:t>
      </w:r>
      <w:r>
        <w:rPr>
          <w:rFonts w:hint="eastAsia" w:ascii="仿宋" w:hAnsi="仿宋" w:eastAsia="仿宋" w:cs="仿宋"/>
          <w:b/>
          <w:bCs/>
          <w:color w:val="auto"/>
          <w:sz w:val="28"/>
          <w:szCs w:val="28"/>
          <w:lang w:val="en-US" w:eastAsia="zh-CN"/>
        </w:rPr>
        <w:t>2</w:t>
      </w:r>
      <w:r>
        <w:rPr>
          <w:rFonts w:hint="eastAsia" w:ascii="仿宋" w:hAnsi="仿宋" w:eastAsia="仿宋" w:cs="仿宋"/>
          <w:b/>
          <w:bCs/>
          <w:color w:val="auto"/>
          <w:sz w:val="28"/>
          <w:szCs w:val="28"/>
        </w:rPr>
        <w:t>分）</w:t>
      </w:r>
    </w:p>
    <w:p w14:paraId="18910522">
      <w:pPr>
        <w:keepLines w:val="0"/>
        <w:pageBreakBefore w:val="0"/>
        <w:widowControl w:val="0"/>
        <w:numPr>
          <w:ilvl w:val="0"/>
          <w:numId w:val="21"/>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对于发现的安全隐患，巡逻人员应及时采取有效的临时防范措施，如设置警示标识、临时关闭通道等。</w:t>
      </w:r>
    </w:p>
    <w:p w14:paraId="7C99D642">
      <w:pPr>
        <w:keepLines w:val="0"/>
        <w:pageBreakBefore w:val="0"/>
        <w:widowControl w:val="0"/>
        <w:numPr>
          <w:ilvl w:val="0"/>
          <w:numId w:val="21"/>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发现1次未采取临时防范措施，扣</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分。</w:t>
      </w:r>
    </w:p>
    <w:p w14:paraId="25621F37">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四</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夜间巡逻（</w:t>
      </w:r>
      <w:r>
        <w:rPr>
          <w:rFonts w:hint="eastAsia" w:ascii="仿宋" w:hAnsi="仿宋" w:eastAsia="仿宋" w:cs="仿宋"/>
          <w:b/>
          <w:bCs/>
          <w:color w:val="auto"/>
          <w:sz w:val="28"/>
          <w:szCs w:val="28"/>
          <w:lang w:val="en-US" w:eastAsia="zh-CN"/>
        </w:rPr>
        <w:t>8</w:t>
      </w:r>
      <w:r>
        <w:rPr>
          <w:rFonts w:hint="eastAsia" w:ascii="仿宋" w:hAnsi="仿宋" w:eastAsia="仿宋" w:cs="仿宋"/>
          <w:b/>
          <w:bCs/>
          <w:color w:val="auto"/>
          <w:sz w:val="28"/>
          <w:szCs w:val="28"/>
        </w:rPr>
        <w:t>分）</w:t>
      </w:r>
    </w:p>
    <w:p w14:paraId="5117D04F">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1. 重点检查项目（</w:t>
      </w:r>
      <w:r>
        <w:rPr>
          <w:rFonts w:hint="eastAsia" w:ascii="仿宋" w:hAnsi="仿宋" w:eastAsia="仿宋" w:cs="仿宋"/>
          <w:b/>
          <w:bCs/>
          <w:color w:val="auto"/>
          <w:sz w:val="28"/>
          <w:szCs w:val="28"/>
          <w:lang w:val="en-US" w:eastAsia="zh-CN"/>
        </w:rPr>
        <w:t>2</w:t>
      </w:r>
      <w:r>
        <w:rPr>
          <w:rFonts w:hint="eastAsia" w:ascii="仿宋" w:hAnsi="仿宋" w:eastAsia="仿宋" w:cs="仿宋"/>
          <w:b/>
          <w:bCs/>
          <w:color w:val="auto"/>
          <w:sz w:val="28"/>
          <w:szCs w:val="28"/>
        </w:rPr>
        <w:t>分）</w:t>
      </w:r>
    </w:p>
    <w:p w14:paraId="2E928FCB">
      <w:pPr>
        <w:keepLines w:val="0"/>
        <w:pageBreakBefore w:val="0"/>
        <w:widowControl w:val="0"/>
        <w:numPr>
          <w:ilvl w:val="0"/>
          <w:numId w:val="22"/>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夜间巡逻应重点检查门窗关闭情况、消防安全设施完好情况、水电线路是否正常运行等，确保夜间</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人员财产安全。</w:t>
      </w:r>
    </w:p>
    <w:p w14:paraId="57688C9F">
      <w:pPr>
        <w:keepLines w:val="0"/>
        <w:pageBreakBefore w:val="0"/>
        <w:widowControl w:val="0"/>
        <w:numPr>
          <w:ilvl w:val="0"/>
          <w:numId w:val="22"/>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 每发现1次未对重点检查项目进行检查（如部分门窗未检查、未检查消防设施状态等），扣</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分。</w:t>
      </w:r>
    </w:p>
    <w:p w14:paraId="148A3BBD">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2. 问题处理与记录（</w:t>
      </w:r>
      <w:r>
        <w:rPr>
          <w:rFonts w:hint="eastAsia" w:ascii="仿宋" w:hAnsi="仿宋" w:eastAsia="仿宋" w:cs="仿宋"/>
          <w:b/>
          <w:bCs/>
          <w:color w:val="auto"/>
          <w:sz w:val="28"/>
          <w:szCs w:val="28"/>
          <w:lang w:val="en-US" w:eastAsia="zh-CN"/>
        </w:rPr>
        <w:t>3</w:t>
      </w:r>
      <w:r>
        <w:rPr>
          <w:rFonts w:hint="eastAsia" w:ascii="仿宋" w:hAnsi="仿宋" w:eastAsia="仿宋" w:cs="仿宋"/>
          <w:b/>
          <w:bCs/>
          <w:color w:val="auto"/>
          <w:sz w:val="28"/>
          <w:szCs w:val="28"/>
        </w:rPr>
        <w:t>分）</w:t>
      </w:r>
    </w:p>
    <w:p w14:paraId="55BA61E1">
      <w:pPr>
        <w:keepLines w:val="0"/>
        <w:pageBreakBefore w:val="0"/>
        <w:widowControl w:val="0"/>
        <w:numPr>
          <w:ilvl w:val="0"/>
          <w:numId w:val="23"/>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夜间巡逻发现问题应及时处理，如无法当场解决，应立即上报</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相关部门，并做好详细记录。</w:t>
      </w:r>
    </w:p>
    <w:p w14:paraId="3B8525CC">
      <w:pPr>
        <w:keepLines w:val="0"/>
        <w:pageBreakBefore w:val="0"/>
        <w:widowControl w:val="0"/>
        <w:numPr>
          <w:ilvl w:val="0"/>
          <w:numId w:val="23"/>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发现1次未及时处理问题（</w:t>
      </w:r>
      <w:r>
        <w:rPr>
          <w:rFonts w:hint="eastAsia" w:ascii="仿宋" w:hAnsi="仿宋" w:eastAsia="仿宋" w:cs="仿宋"/>
          <w:color w:val="auto"/>
          <w:sz w:val="28"/>
          <w:szCs w:val="28"/>
          <w:lang w:val="en-US" w:eastAsia="zh-CN"/>
        </w:rPr>
        <w:t>30分钟</w:t>
      </w:r>
      <w:r>
        <w:rPr>
          <w:rFonts w:hint="eastAsia" w:ascii="仿宋" w:hAnsi="仿宋" w:eastAsia="仿宋" w:cs="仿宋"/>
          <w:color w:val="auto"/>
          <w:sz w:val="28"/>
          <w:szCs w:val="28"/>
        </w:rPr>
        <w:t>内未采取相应措施），扣3分；发现1次未记录问题处理情况，扣1分，累计最高扣</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分。</w:t>
      </w:r>
    </w:p>
    <w:p w14:paraId="5DADB841">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3. 安全事故防范（</w:t>
      </w:r>
      <w:r>
        <w:rPr>
          <w:rFonts w:hint="eastAsia" w:ascii="仿宋" w:hAnsi="仿宋" w:eastAsia="仿宋" w:cs="仿宋"/>
          <w:b/>
          <w:bCs/>
          <w:color w:val="auto"/>
          <w:sz w:val="28"/>
          <w:szCs w:val="28"/>
          <w:lang w:val="en-US" w:eastAsia="zh-CN"/>
        </w:rPr>
        <w:t>3</w:t>
      </w:r>
      <w:r>
        <w:rPr>
          <w:rFonts w:hint="eastAsia" w:ascii="仿宋" w:hAnsi="仿宋" w:eastAsia="仿宋" w:cs="仿宋"/>
          <w:b/>
          <w:bCs/>
          <w:color w:val="auto"/>
          <w:sz w:val="28"/>
          <w:szCs w:val="28"/>
        </w:rPr>
        <w:t>分）</w:t>
      </w:r>
    </w:p>
    <w:p w14:paraId="1EED10E4">
      <w:pPr>
        <w:keepLines w:val="0"/>
        <w:pageBreakBefore w:val="0"/>
        <w:widowControl w:val="0"/>
        <w:numPr>
          <w:ilvl w:val="0"/>
          <w:numId w:val="24"/>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夜间巡逻人员应加强巡逻力度，注意观察周边环境和人员动态，防止发生盗窃、火灾等安全事故。</w:t>
      </w:r>
    </w:p>
    <w:p w14:paraId="5392280F">
      <w:pPr>
        <w:keepLines w:val="0"/>
        <w:pageBreakBefore w:val="0"/>
        <w:widowControl w:val="0"/>
        <w:numPr>
          <w:ilvl w:val="0"/>
          <w:numId w:val="24"/>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发生安全事故1次扣10分，如安全事故是由于巡逻人员疏忽或违规行为导致的，将加重扣分，并追究相关人员责任。</w:t>
      </w:r>
    </w:p>
    <w:p w14:paraId="734DDB83">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五</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值班纪律（</w:t>
      </w:r>
      <w:r>
        <w:rPr>
          <w:rFonts w:hint="eastAsia" w:ascii="仿宋" w:hAnsi="仿宋" w:eastAsia="仿宋" w:cs="仿宋"/>
          <w:b/>
          <w:bCs/>
          <w:color w:val="auto"/>
          <w:sz w:val="28"/>
          <w:szCs w:val="28"/>
          <w:lang w:val="en-US" w:eastAsia="zh-CN"/>
        </w:rPr>
        <w:t>16</w:t>
      </w:r>
      <w:r>
        <w:rPr>
          <w:rFonts w:hint="eastAsia" w:ascii="仿宋" w:hAnsi="仿宋" w:eastAsia="仿宋" w:cs="仿宋"/>
          <w:b/>
          <w:bCs/>
          <w:color w:val="auto"/>
          <w:sz w:val="28"/>
          <w:szCs w:val="28"/>
        </w:rPr>
        <w:t>分）</w:t>
      </w:r>
    </w:p>
    <w:p w14:paraId="15F26EB6">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1. 人员到岗与坚守岗位（</w:t>
      </w:r>
      <w:r>
        <w:rPr>
          <w:rFonts w:hint="eastAsia" w:ascii="仿宋" w:hAnsi="仿宋" w:eastAsia="仿宋" w:cs="仿宋"/>
          <w:b/>
          <w:bCs/>
          <w:color w:val="auto"/>
          <w:sz w:val="28"/>
          <w:szCs w:val="28"/>
          <w:lang w:val="en-US" w:eastAsia="zh-CN"/>
        </w:rPr>
        <w:t>6</w:t>
      </w:r>
      <w:r>
        <w:rPr>
          <w:rFonts w:hint="eastAsia" w:ascii="仿宋" w:hAnsi="仿宋" w:eastAsia="仿宋" w:cs="仿宋"/>
          <w:b/>
          <w:bCs/>
          <w:color w:val="auto"/>
          <w:sz w:val="28"/>
          <w:szCs w:val="28"/>
        </w:rPr>
        <w:t>分）</w:t>
      </w:r>
    </w:p>
    <w:p w14:paraId="54497103">
      <w:pPr>
        <w:keepLines w:val="0"/>
        <w:pageBreakBefore w:val="0"/>
        <w:widowControl w:val="0"/>
        <w:numPr>
          <w:ilvl w:val="0"/>
          <w:numId w:val="25"/>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人员出入登记、巡逻等工作应认真负责，值班人员应严格遵守值班时间，不得脱岗、漏岗。</w:t>
      </w:r>
    </w:p>
    <w:p w14:paraId="1A9FE151">
      <w:pPr>
        <w:keepLines w:val="0"/>
        <w:pageBreakBefore w:val="0"/>
        <w:widowControl w:val="0"/>
        <w:numPr>
          <w:ilvl w:val="0"/>
          <w:numId w:val="25"/>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发现1次脱岗（值班期间擅离岗位超过</w:t>
      </w:r>
      <w:r>
        <w:rPr>
          <w:rFonts w:hint="eastAsia" w:ascii="仿宋" w:hAnsi="仿宋" w:eastAsia="仿宋" w:cs="仿宋"/>
          <w:color w:val="auto"/>
          <w:sz w:val="28"/>
          <w:szCs w:val="28"/>
          <w:lang w:val="en-US" w:eastAsia="zh-CN"/>
        </w:rPr>
        <w:t>30分钟</w:t>
      </w:r>
      <w:r>
        <w:rPr>
          <w:rFonts w:hint="eastAsia" w:ascii="仿宋" w:hAnsi="仿宋" w:eastAsia="仿宋" w:cs="仿宋"/>
          <w:color w:val="auto"/>
          <w:sz w:val="28"/>
          <w:szCs w:val="28"/>
        </w:rPr>
        <w:t>]）、漏岗（在值班时间段内未对指定区域进行巡查或检查）情况，扣3分，累计最高扣</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分。</w:t>
      </w:r>
    </w:p>
    <w:p w14:paraId="231359C4">
      <w:pPr>
        <w:keepLines w:val="0"/>
        <w:pageBreakBefore w:val="0"/>
        <w:widowControl w:val="0"/>
        <w:numPr>
          <w:ilvl w:val="0"/>
          <w:numId w:val="25"/>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连续</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次（含</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次）被发现值班时间擅离岗位或不在岗位履行职责，除扣除相应分数外，</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有权要求乙方更换值班人员。</w:t>
      </w:r>
    </w:p>
    <w:p w14:paraId="202489F7">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2. 行为规范与工作态度（10分）</w:t>
      </w:r>
    </w:p>
    <w:p w14:paraId="1BFBD905">
      <w:pPr>
        <w:keepLines w:val="0"/>
        <w:pageBreakBefore w:val="0"/>
        <w:widowControl w:val="0"/>
        <w:numPr>
          <w:ilvl w:val="0"/>
          <w:numId w:val="26"/>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严禁在工作时间内饮酒、打牌、做与工作无关的事情。</w:t>
      </w:r>
    </w:p>
    <w:p w14:paraId="68B5CF98">
      <w:pPr>
        <w:keepLines w:val="0"/>
        <w:pageBreakBefore w:val="0"/>
        <w:widowControl w:val="0"/>
        <w:numPr>
          <w:ilvl w:val="0"/>
          <w:numId w:val="26"/>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发现1次违反行为规范（如被发现饮酒、在工作时间玩游戏等），扣5分，累计最高扣10分</w:t>
      </w:r>
      <w:r>
        <w:rPr>
          <w:rFonts w:hint="eastAsia" w:ascii="仿宋" w:hAnsi="仿宋" w:eastAsia="仿宋" w:cs="仿宋"/>
          <w:color w:val="auto"/>
          <w:sz w:val="28"/>
          <w:szCs w:val="28"/>
          <w:lang w:eastAsia="zh-CN"/>
        </w:rPr>
        <w:t>。</w:t>
      </w:r>
    </w:p>
    <w:p w14:paraId="3C54440C">
      <w:pPr>
        <w:keepLines w:val="0"/>
        <w:pageBreakBefore w:val="0"/>
        <w:widowControl w:val="0"/>
        <w:numPr>
          <w:ilvl w:val="0"/>
          <w:numId w:val="26"/>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如因值班人员工作态度不认真、不负责任导致服务出现较大问题或影响</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正常工作秩序，除扣分外，</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有权要求乙方对相关人员进行批评教育或更换。</w:t>
      </w:r>
    </w:p>
    <w:p w14:paraId="40D8BA30">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六</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应急响应与处置（</w:t>
      </w:r>
      <w:r>
        <w:rPr>
          <w:rFonts w:hint="eastAsia" w:ascii="仿宋" w:hAnsi="仿宋" w:eastAsia="仿宋" w:cs="仿宋"/>
          <w:b/>
          <w:bCs/>
          <w:color w:val="auto"/>
          <w:sz w:val="28"/>
          <w:szCs w:val="28"/>
          <w:lang w:val="en-US" w:eastAsia="zh-CN"/>
        </w:rPr>
        <w:t>6</w:t>
      </w:r>
      <w:r>
        <w:rPr>
          <w:rFonts w:hint="eastAsia" w:ascii="仿宋" w:hAnsi="仿宋" w:eastAsia="仿宋" w:cs="仿宋"/>
          <w:b/>
          <w:bCs/>
          <w:color w:val="auto"/>
          <w:sz w:val="28"/>
          <w:szCs w:val="28"/>
        </w:rPr>
        <w:t>分）</w:t>
      </w:r>
    </w:p>
    <w:p w14:paraId="1972D163">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1. 应急响应时间（3分）</w:t>
      </w:r>
    </w:p>
    <w:p w14:paraId="48D301BF">
      <w:pPr>
        <w:keepLines w:val="0"/>
        <w:pageBreakBefore w:val="0"/>
        <w:widowControl w:val="0"/>
        <w:numPr>
          <w:ilvl w:val="0"/>
          <w:numId w:val="27"/>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在遇到突发事件（如火灾、盗窃、治安事件等）时，值班人员应立即采取应急措施，并在</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分钟内报告</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相关部门，同时通知应急救援力量（如消防队、派出所等）。</w:t>
      </w:r>
    </w:p>
    <w:p w14:paraId="7EC8B2AA">
      <w:pPr>
        <w:keepLines w:val="0"/>
        <w:pageBreakBefore w:val="0"/>
        <w:widowControl w:val="0"/>
        <w:numPr>
          <w:ilvl w:val="0"/>
          <w:numId w:val="27"/>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发现1次超时报告或未报告，扣3分。</w:t>
      </w:r>
    </w:p>
    <w:p w14:paraId="5ABDBD72">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2. 应急处置配合（</w:t>
      </w:r>
      <w:r>
        <w:rPr>
          <w:rFonts w:hint="eastAsia" w:ascii="仿宋" w:hAnsi="仿宋" w:eastAsia="仿宋" w:cs="仿宋"/>
          <w:b/>
          <w:bCs/>
          <w:color w:val="auto"/>
          <w:sz w:val="28"/>
          <w:szCs w:val="28"/>
          <w:lang w:val="en-US" w:eastAsia="zh-CN"/>
        </w:rPr>
        <w:t>3</w:t>
      </w:r>
      <w:r>
        <w:rPr>
          <w:rFonts w:hint="eastAsia" w:ascii="仿宋" w:hAnsi="仿宋" w:eastAsia="仿宋" w:cs="仿宋"/>
          <w:b/>
          <w:bCs/>
          <w:color w:val="auto"/>
          <w:sz w:val="28"/>
          <w:szCs w:val="28"/>
        </w:rPr>
        <w:t>分）</w:t>
      </w:r>
    </w:p>
    <w:p w14:paraId="24D93CEA">
      <w:pPr>
        <w:keepLines w:val="0"/>
        <w:pageBreakBefore w:val="0"/>
        <w:widowControl w:val="0"/>
        <w:numPr>
          <w:ilvl w:val="0"/>
          <w:numId w:val="28"/>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在应急救援过程中，值班人员应积极配合</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、消防部门、公安部门等相关单位进行应急处置工作，听从指挥调度。</w:t>
      </w:r>
    </w:p>
    <w:p w14:paraId="5FB7B1CE">
      <w:pPr>
        <w:keepLines w:val="0"/>
        <w:pageBreakBefore w:val="0"/>
        <w:widowControl w:val="0"/>
        <w:numPr>
          <w:ilvl w:val="0"/>
          <w:numId w:val="28"/>
        </w:numPr>
        <w:kinsoku/>
        <w:wordWrap/>
        <w:overflowPunct/>
        <w:topLinePunct w:val="0"/>
        <w:autoSpaceDE/>
        <w:autoSpaceDN/>
        <w:bidi w:val="0"/>
        <w:adjustRightInd/>
        <w:snapToGrid/>
        <w:spacing w:line="540" w:lineRule="exact"/>
        <w:ind w:left="0" w:leftChars="0"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如发现值班人员不配合或消极怠工，每次扣</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分。</w:t>
      </w:r>
    </w:p>
    <w:p w14:paraId="4BD6FA7A">
      <w:pPr>
        <w:rPr>
          <w:rFonts w:hint="eastAsia"/>
          <w:color w:val="auto"/>
          <w:lang w:val="en-US" w:eastAsia="zh-CN"/>
        </w:rPr>
      </w:pPr>
      <w:r>
        <w:rPr>
          <w:rFonts w:hint="eastAsia"/>
          <w:color w:val="auto"/>
          <w:lang w:val="en-US" w:eastAsia="zh-CN"/>
        </w:rPr>
        <w:br w:type="page"/>
      </w:r>
    </w:p>
    <w:p w14:paraId="58BE4D29">
      <w:pPr>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8"/>
          <w:szCs w:val="28"/>
        </w:rPr>
      </w:pPr>
      <w:r>
        <w:rPr>
          <w:rFonts w:hint="eastAsia" w:ascii="方正小标宋简体" w:hAnsi="方正小标宋简体" w:eastAsia="方正小标宋简体" w:cs="方正小标宋简体"/>
          <w:b w:val="0"/>
          <w:bCs w:val="0"/>
          <w:color w:val="auto"/>
          <w:sz w:val="44"/>
          <w:szCs w:val="44"/>
          <w:lang w:eastAsia="zh-CN"/>
        </w:rPr>
        <w:t>维修</w:t>
      </w:r>
      <w:r>
        <w:rPr>
          <w:rFonts w:hint="eastAsia" w:ascii="方正小标宋简体" w:hAnsi="方正小标宋简体" w:eastAsia="方正小标宋简体" w:cs="方正小标宋简体"/>
          <w:b w:val="0"/>
          <w:bCs w:val="0"/>
          <w:color w:val="auto"/>
          <w:sz w:val="44"/>
          <w:szCs w:val="44"/>
        </w:rPr>
        <w:t>服务考核标准细则</w:t>
      </w:r>
    </w:p>
    <w:p w14:paraId="0B46423C">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一</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人员管理（</w:t>
      </w:r>
      <w:r>
        <w:rPr>
          <w:rFonts w:hint="eastAsia" w:ascii="仿宋" w:hAnsi="仿宋" w:eastAsia="仿宋" w:cs="仿宋"/>
          <w:b/>
          <w:bCs/>
          <w:color w:val="auto"/>
          <w:sz w:val="28"/>
          <w:szCs w:val="28"/>
          <w:lang w:val="en-US" w:eastAsia="zh-CN"/>
        </w:rPr>
        <w:t>1</w:t>
      </w:r>
      <w:r>
        <w:rPr>
          <w:rFonts w:hint="eastAsia" w:ascii="仿宋" w:hAnsi="仿宋" w:eastAsia="仿宋" w:cs="仿宋"/>
          <w:b/>
          <w:bCs/>
          <w:color w:val="auto"/>
          <w:sz w:val="28"/>
          <w:szCs w:val="28"/>
        </w:rPr>
        <w:t>0分）</w:t>
      </w:r>
    </w:p>
    <w:p w14:paraId="5DD788E5">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乙方应按照合同约定配备</w:t>
      </w:r>
      <w:r>
        <w:rPr>
          <w:rFonts w:hint="eastAsia" w:ascii="仿宋" w:hAnsi="仿宋" w:eastAsia="仿宋" w:cs="仿宋"/>
          <w:color w:val="auto"/>
          <w:sz w:val="28"/>
          <w:szCs w:val="28"/>
          <w:lang w:val="en-US" w:eastAsia="zh-CN"/>
        </w:rPr>
        <w:t>专业</w:t>
      </w:r>
      <w:r>
        <w:rPr>
          <w:rFonts w:hint="eastAsia" w:ascii="仿宋" w:hAnsi="仿宋" w:eastAsia="仿宋" w:cs="仿宋"/>
          <w:color w:val="auto"/>
          <w:sz w:val="28"/>
          <w:szCs w:val="28"/>
        </w:rPr>
        <w:t>的</w:t>
      </w:r>
      <w:r>
        <w:rPr>
          <w:rFonts w:hint="eastAsia" w:ascii="仿宋" w:hAnsi="仿宋" w:eastAsia="仿宋" w:cs="仿宋"/>
          <w:color w:val="auto"/>
          <w:sz w:val="28"/>
          <w:szCs w:val="28"/>
          <w:lang w:val="en-US" w:eastAsia="zh-CN"/>
        </w:rPr>
        <w:t>水电维修</w:t>
      </w:r>
      <w:r>
        <w:rPr>
          <w:rFonts w:hint="eastAsia" w:ascii="仿宋" w:hAnsi="仿宋" w:eastAsia="仿宋" w:cs="仿宋"/>
          <w:color w:val="auto"/>
          <w:sz w:val="28"/>
          <w:szCs w:val="28"/>
        </w:rPr>
        <w:t>人员，人员数量不足或岗位设置不合理，每项扣3 - 5分。</w:t>
      </w:r>
    </w:p>
    <w:p w14:paraId="054389AE">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乙方应确保</w:t>
      </w:r>
      <w:r>
        <w:rPr>
          <w:rFonts w:hint="eastAsia" w:ascii="仿宋" w:hAnsi="仿宋" w:eastAsia="仿宋" w:cs="仿宋"/>
          <w:color w:val="auto"/>
          <w:sz w:val="28"/>
          <w:szCs w:val="28"/>
          <w:lang w:val="en-US" w:eastAsia="zh-CN"/>
        </w:rPr>
        <w:t>水电维修</w:t>
      </w:r>
      <w:r>
        <w:rPr>
          <w:rFonts w:hint="eastAsia" w:ascii="仿宋" w:hAnsi="仿宋" w:eastAsia="仿宋" w:cs="仿宋"/>
          <w:color w:val="auto"/>
          <w:sz w:val="28"/>
          <w:szCs w:val="28"/>
        </w:rPr>
        <w:t>人员的资质符合要求，严禁无证上岗人员从事相关工作。发现一起无证上岗人员，扣5分；情节严重的可暂停服务并扣除当月相应费用。</w:t>
      </w:r>
    </w:p>
    <w:p w14:paraId="0EF03BB3">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3、水电维修</w:t>
      </w:r>
      <w:r>
        <w:rPr>
          <w:rFonts w:hint="eastAsia" w:ascii="仿宋" w:hAnsi="仿宋" w:eastAsia="仿宋" w:cs="仿宋"/>
          <w:color w:val="auto"/>
          <w:sz w:val="28"/>
          <w:szCs w:val="28"/>
        </w:rPr>
        <w:t>人员应着装整洁，服务态度热情、礼貌。若因服务态度问题被</w:t>
      </w:r>
      <w:r>
        <w:rPr>
          <w:rFonts w:hint="eastAsia" w:ascii="仿宋" w:hAnsi="仿宋" w:eastAsia="仿宋" w:cs="仿宋"/>
          <w:color w:val="auto"/>
          <w:sz w:val="28"/>
          <w:szCs w:val="28"/>
          <w:lang w:val="en-US" w:eastAsia="zh-CN"/>
        </w:rPr>
        <w:t>科室</w:t>
      </w:r>
      <w:r>
        <w:rPr>
          <w:rFonts w:hint="eastAsia" w:ascii="仿宋" w:hAnsi="仿宋" w:eastAsia="仿宋" w:cs="仿宋"/>
          <w:color w:val="auto"/>
          <w:sz w:val="28"/>
          <w:szCs w:val="28"/>
        </w:rPr>
        <w:t>投诉，每次扣2 - 5分。</w:t>
      </w:r>
    </w:p>
    <w:p w14:paraId="7AEB90CE">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二</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维修工作（</w:t>
      </w:r>
      <w:r>
        <w:rPr>
          <w:rFonts w:hint="eastAsia" w:ascii="仿宋" w:hAnsi="仿宋" w:eastAsia="仿宋" w:cs="仿宋"/>
          <w:b/>
          <w:bCs/>
          <w:color w:val="auto"/>
          <w:sz w:val="28"/>
          <w:szCs w:val="28"/>
          <w:lang w:val="en-US" w:eastAsia="zh-CN"/>
        </w:rPr>
        <w:t>5</w:t>
      </w:r>
      <w:r>
        <w:rPr>
          <w:rFonts w:hint="eastAsia" w:ascii="仿宋" w:hAnsi="仿宋" w:eastAsia="仿宋" w:cs="仿宋"/>
          <w:b/>
          <w:bCs/>
          <w:color w:val="auto"/>
          <w:sz w:val="28"/>
          <w:szCs w:val="28"/>
        </w:rPr>
        <w:t>0分）</w:t>
      </w:r>
    </w:p>
    <w:p w14:paraId="3961C937">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一般维修（如更换水龙头、更换灯泡等简单维修任务）应在接到报修后</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小时内完成。超时一次扣2-</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分。</w:t>
      </w:r>
    </w:p>
    <w:p w14:paraId="07ACDA41">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 xml:space="preserve"> 紧急维修（如水管爆裂、电路起火等严重影响正常生活的维修任务）应在</w:t>
      </w:r>
      <w:r>
        <w:rPr>
          <w:rFonts w:hint="eastAsia" w:ascii="仿宋" w:hAnsi="仿宋" w:eastAsia="仿宋" w:cs="仿宋"/>
          <w:color w:val="auto"/>
          <w:sz w:val="28"/>
          <w:szCs w:val="28"/>
          <w:lang w:val="en-US" w:eastAsia="zh-CN"/>
        </w:rPr>
        <w:t>15</w:t>
      </w:r>
      <w:r>
        <w:rPr>
          <w:rFonts w:hint="eastAsia" w:ascii="仿宋" w:hAnsi="仿宋" w:eastAsia="仿宋" w:cs="仿宋"/>
          <w:color w:val="auto"/>
          <w:sz w:val="28"/>
          <w:szCs w:val="28"/>
        </w:rPr>
        <w:t>分钟内到达现场，并尽快修复。每迟到一次扣5-10分；若因维修不及时造成损失，乙方应承担相应赔偿责任并按严重项扣分。</w:t>
      </w:r>
    </w:p>
    <w:p w14:paraId="446CD595">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 xml:space="preserve"> 维修后的设施设备应能正常运行，且保证维修质量满足相关行业标准和</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要求。维修后一个月内同一设施设备因相同问题再次报修，每次扣3-5分。</w:t>
      </w:r>
    </w:p>
    <w:p w14:paraId="7767AF87">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rPr>
        <w:t>若因维修质量问题导致设施设备损坏加重或引发安全事故，扣10分，并要求乙方承担全部维修及周边影响的处理费用。</w:t>
      </w:r>
    </w:p>
    <w:p w14:paraId="3BC82FB0">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 xml:space="preserve"> 维修过程中应使用符合质量标准的配件和材料，如发现使用不合格产品一次扣5分，因配件和材料质量问题导致再次故障一次扣5分。累计最高扣15分。</w:t>
      </w:r>
    </w:p>
    <w:p w14:paraId="6606864A">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收到</w:t>
      </w:r>
      <w:r>
        <w:rPr>
          <w:rFonts w:hint="eastAsia" w:ascii="仿宋" w:hAnsi="仿宋" w:eastAsia="仿宋" w:cs="仿宋"/>
          <w:color w:val="auto"/>
          <w:sz w:val="28"/>
          <w:szCs w:val="28"/>
          <w:lang w:val="en-US" w:eastAsia="zh-CN"/>
        </w:rPr>
        <w:t>相关</w:t>
      </w:r>
      <w:r>
        <w:rPr>
          <w:rFonts w:hint="eastAsia" w:ascii="仿宋" w:hAnsi="仿宋" w:eastAsia="仿宋" w:cs="仿宋"/>
          <w:color w:val="auto"/>
          <w:sz w:val="28"/>
          <w:szCs w:val="28"/>
        </w:rPr>
        <w:t>部门停电</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停水</w:t>
      </w:r>
      <w:r>
        <w:rPr>
          <w:rFonts w:hint="eastAsia" w:ascii="仿宋" w:hAnsi="仿宋" w:eastAsia="仿宋" w:cs="仿宋"/>
          <w:color w:val="auto"/>
          <w:sz w:val="28"/>
          <w:szCs w:val="28"/>
        </w:rPr>
        <w:t>通知时，书面通知</w:t>
      </w:r>
      <w:r>
        <w:rPr>
          <w:rFonts w:hint="eastAsia" w:ascii="仿宋" w:hAnsi="仿宋" w:eastAsia="仿宋" w:cs="仿宋"/>
          <w:color w:val="auto"/>
          <w:sz w:val="28"/>
          <w:szCs w:val="28"/>
          <w:lang w:val="en-US" w:eastAsia="zh-CN"/>
        </w:rPr>
        <w:t>采购人</w:t>
      </w:r>
      <w:r>
        <w:rPr>
          <w:rFonts w:hint="eastAsia" w:ascii="仿宋" w:hAnsi="仿宋" w:eastAsia="仿宋" w:cs="仿宋"/>
          <w:color w:val="auto"/>
          <w:sz w:val="28"/>
          <w:szCs w:val="28"/>
        </w:rPr>
        <w:t>，在</w:t>
      </w:r>
      <w:r>
        <w:rPr>
          <w:rFonts w:hint="eastAsia" w:ascii="仿宋" w:hAnsi="仿宋" w:eastAsia="仿宋" w:cs="仿宋"/>
          <w:color w:val="auto"/>
          <w:sz w:val="28"/>
          <w:szCs w:val="28"/>
          <w:lang w:val="en-US" w:eastAsia="zh-CN"/>
        </w:rPr>
        <w:t>采购人</w:t>
      </w:r>
      <w:r>
        <w:rPr>
          <w:rFonts w:hint="eastAsia" w:ascii="仿宋" w:hAnsi="仿宋" w:eastAsia="仿宋" w:cs="仿宋"/>
          <w:color w:val="auto"/>
          <w:sz w:val="28"/>
          <w:szCs w:val="28"/>
        </w:rPr>
        <w:t>相关负责人和维保单位的指导下，做好主备供电源切换工作</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未按要求执行每发现一次扣5分，以此类推。</w:t>
      </w:r>
    </w:p>
    <w:p w14:paraId="0CC44CC1">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7、</w:t>
      </w:r>
      <w:r>
        <w:rPr>
          <w:rFonts w:hint="eastAsia" w:ascii="仿宋" w:hAnsi="仿宋" w:eastAsia="仿宋" w:cs="仿宋"/>
          <w:color w:val="auto"/>
          <w:sz w:val="28"/>
          <w:szCs w:val="28"/>
        </w:rPr>
        <w:t>每天</w:t>
      </w:r>
      <w:r>
        <w:rPr>
          <w:rFonts w:hint="eastAsia" w:ascii="仿宋" w:hAnsi="仿宋" w:eastAsia="仿宋" w:cs="仿宋"/>
          <w:color w:val="auto"/>
          <w:sz w:val="28"/>
          <w:szCs w:val="28"/>
          <w:lang w:eastAsia="zh-CN"/>
        </w:rPr>
        <w:t>至少</w:t>
      </w:r>
      <w:r>
        <w:rPr>
          <w:rFonts w:hint="eastAsia" w:ascii="仿宋" w:hAnsi="仿宋" w:eastAsia="仿宋" w:cs="仿宋"/>
          <w:color w:val="auto"/>
          <w:sz w:val="28"/>
          <w:szCs w:val="28"/>
        </w:rPr>
        <w:t>一次对机关</w:t>
      </w:r>
      <w:r>
        <w:rPr>
          <w:rFonts w:hint="eastAsia" w:ascii="仿宋" w:hAnsi="仿宋" w:eastAsia="仿宋" w:cs="仿宋"/>
          <w:color w:val="auto"/>
          <w:sz w:val="28"/>
          <w:szCs w:val="28"/>
          <w:lang w:eastAsia="zh-CN"/>
        </w:rPr>
        <w:t>办公楼和生活楼</w:t>
      </w:r>
      <w:r>
        <w:rPr>
          <w:rFonts w:hint="eastAsia" w:ascii="仿宋" w:hAnsi="仿宋" w:eastAsia="仿宋" w:cs="仿宋"/>
          <w:color w:val="auto"/>
          <w:sz w:val="28"/>
          <w:szCs w:val="28"/>
        </w:rPr>
        <w:t>公共部位水、电、冷暖设备及管线进行巡查，对经确认损坏需更换的用水、用电、用暖设备及零配件，及时反馈，并做好维修及工作记录</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未按</w:t>
      </w:r>
      <w:r>
        <w:rPr>
          <w:rFonts w:hint="eastAsia" w:ascii="仿宋" w:hAnsi="仿宋" w:eastAsia="仿宋" w:cs="仿宋"/>
          <w:color w:val="auto"/>
          <w:sz w:val="28"/>
          <w:szCs w:val="28"/>
        </w:rPr>
        <w:t>规定一项一次扣0.5分，无记录的扣1分</w:t>
      </w:r>
      <w:r>
        <w:rPr>
          <w:rFonts w:hint="eastAsia" w:ascii="仿宋" w:hAnsi="仿宋" w:eastAsia="仿宋" w:cs="仿宋"/>
          <w:color w:val="auto"/>
          <w:sz w:val="28"/>
          <w:szCs w:val="28"/>
          <w:lang w:eastAsia="zh-CN"/>
        </w:rPr>
        <w:t>。</w:t>
      </w:r>
    </w:p>
    <w:p w14:paraId="241D2958">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8、</w:t>
      </w:r>
      <w:r>
        <w:rPr>
          <w:rFonts w:hint="eastAsia" w:ascii="仿宋" w:hAnsi="仿宋" w:eastAsia="仿宋" w:cs="仿宋"/>
          <w:color w:val="auto"/>
          <w:sz w:val="28"/>
          <w:szCs w:val="28"/>
        </w:rPr>
        <w:t>做好机关办公楼办公室、会议室、公共区域</w:t>
      </w:r>
      <w:r>
        <w:rPr>
          <w:rFonts w:hint="eastAsia" w:ascii="仿宋" w:hAnsi="仿宋" w:eastAsia="仿宋" w:cs="仿宋"/>
          <w:color w:val="auto"/>
          <w:sz w:val="28"/>
          <w:szCs w:val="28"/>
          <w:lang w:eastAsia="zh-CN"/>
        </w:rPr>
        <w:t>及生活楼</w:t>
      </w:r>
      <w:r>
        <w:rPr>
          <w:rFonts w:hint="eastAsia" w:ascii="仿宋" w:hAnsi="仿宋" w:eastAsia="仿宋" w:cs="仿宋"/>
          <w:color w:val="auto"/>
          <w:sz w:val="28"/>
          <w:szCs w:val="28"/>
        </w:rPr>
        <w:t>照明灯具巡查与更换，做好日常更换记录</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未按</w:t>
      </w:r>
      <w:r>
        <w:rPr>
          <w:rFonts w:hint="eastAsia" w:ascii="仿宋" w:hAnsi="仿宋" w:eastAsia="仿宋" w:cs="仿宋"/>
          <w:color w:val="auto"/>
          <w:sz w:val="28"/>
          <w:szCs w:val="28"/>
        </w:rPr>
        <w:t>规定一项一次扣0.5分，无记录的扣1分</w:t>
      </w:r>
      <w:r>
        <w:rPr>
          <w:rFonts w:hint="eastAsia" w:ascii="仿宋" w:hAnsi="仿宋" w:eastAsia="仿宋" w:cs="仿宋"/>
          <w:color w:val="auto"/>
          <w:sz w:val="28"/>
          <w:szCs w:val="28"/>
          <w:lang w:eastAsia="zh-CN"/>
        </w:rPr>
        <w:t>。</w:t>
      </w:r>
    </w:p>
    <w:p w14:paraId="27C33C47">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pacing w:val="0"/>
          <w:sz w:val="28"/>
          <w:szCs w:val="28"/>
          <w:highlight w:val="none"/>
          <w:lang w:val="en-US" w:eastAsia="zh-CN"/>
        </w:rPr>
      </w:pP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rPr>
        <w:t xml:space="preserve"> 每次维修均应认真填写维修记录，包括维修日期、故障描述、维修措施、维修人员等信息。维修记录不完整或缺失，每次扣1 - 2分。</w:t>
      </w:r>
    </w:p>
    <w:p w14:paraId="3441F208">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三</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安全管理（</w:t>
      </w:r>
      <w:r>
        <w:rPr>
          <w:rFonts w:hint="eastAsia" w:ascii="仿宋" w:hAnsi="仿宋" w:eastAsia="仿宋" w:cs="仿宋"/>
          <w:b/>
          <w:bCs/>
          <w:color w:val="auto"/>
          <w:sz w:val="28"/>
          <w:szCs w:val="28"/>
          <w:lang w:val="en-US" w:eastAsia="zh-CN"/>
        </w:rPr>
        <w:t>10</w:t>
      </w:r>
      <w:r>
        <w:rPr>
          <w:rFonts w:hint="eastAsia" w:ascii="仿宋" w:hAnsi="仿宋" w:eastAsia="仿宋" w:cs="仿宋"/>
          <w:b/>
          <w:bCs/>
          <w:color w:val="auto"/>
          <w:sz w:val="28"/>
          <w:szCs w:val="28"/>
        </w:rPr>
        <w:t>分）</w:t>
      </w:r>
    </w:p>
    <w:p w14:paraId="17871374">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 xml:space="preserve"> 乙方应建立健全工程服务安全管理制度，并报</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备案。安全管理制度应符合国家相关法律法规及</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物业管理规定要求</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制度不完善或缺失，扣3分。</w:t>
      </w:r>
    </w:p>
    <w:p w14:paraId="44A1D2BE">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 xml:space="preserve"> 乙方应每周至少对物业区域内的工程设施设备进行一次安全检查，每月形成安全检查及隐患排查报告并报送</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。少一次安全检查扣2分。</w:t>
      </w:r>
    </w:p>
    <w:p w14:paraId="35023F14">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 xml:space="preserve"> 对于发现的安全隐患，乙方应在</w:t>
      </w:r>
      <w:r>
        <w:rPr>
          <w:rFonts w:hint="eastAsia" w:ascii="仿宋" w:hAnsi="仿宋" w:eastAsia="仿宋" w:cs="仿宋"/>
          <w:color w:val="auto"/>
          <w:sz w:val="28"/>
          <w:szCs w:val="28"/>
          <w:lang w:val="en-US" w:eastAsia="zh-CN"/>
        </w:rPr>
        <w:t>3日</w:t>
      </w:r>
      <w:r>
        <w:rPr>
          <w:rFonts w:hint="eastAsia" w:ascii="仿宋" w:hAnsi="仿宋" w:eastAsia="仿宋" w:cs="仿宋"/>
          <w:color w:val="auto"/>
          <w:sz w:val="28"/>
          <w:szCs w:val="28"/>
        </w:rPr>
        <w:t>内整改完毕并反馈整改情况。未按时整改一项安全隐患，扣3-5分。</w:t>
      </w:r>
    </w:p>
    <w:p w14:paraId="78F035D9">
      <w:pPr>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四</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设备设施维护（</w:t>
      </w:r>
      <w:r>
        <w:rPr>
          <w:rFonts w:hint="eastAsia" w:ascii="仿宋" w:hAnsi="仿宋" w:eastAsia="仿宋" w:cs="仿宋"/>
          <w:b/>
          <w:bCs/>
          <w:color w:val="auto"/>
          <w:sz w:val="28"/>
          <w:szCs w:val="28"/>
          <w:lang w:val="en-US" w:eastAsia="zh-CN"/>
        </w:rPr>
        <w:t>30</w:t>
      </w:r>
      <w:r>
        <w:rPr>
          <w:rFonts w:hint="eastAsia" w:ascii="仿宋" w:hAnsi="仿宋" w:eastAsia="仿宋" w:cs="仿宋"/>
          <w:b/>
          <w:bCs/>
          <w:color w:val="auto"/>
          <w:sz w:val="28"/>
          <w:szCs w:val="28"/>
        </w:rPr>
        <w:t>分）</w:t>
      </w:r>
    </w:p>
    <w:p w14:paraId="4F24B08C">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乙方应按照设备设施维护保养计划对物业区域内的各类设施设备（如消防设备、给排水设备、供电设备等）进行日常维护，维护保养计划应报</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审核。维护计划不完善或未报</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审核，扣3分。</w:t>
      </w:r>
    </w:p>
    <w:p w14:paraId="55B8630D">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日常维护记录应详细、准确，包括设备名称、维护内容、维护时间、维护人员等信息。每少一次维护记录扣1分；记录不详细，每次扣</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分。</w:t>
      </w:r>
    </w:p>
    <w:p w14:paraId="77A0C02F">
      <w:pPr>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根据各类设备设施的特点和维护要求，乙方应定期对设备设施进行全面保养，保养周期和方法应符合相关标准和规定。未按时进行定期保养，每次扣3 - 5分。</w:t>
      </w:r>
    </w:p>
    <w:p w14:paraId="59646365">
      <w:pPr>
        <w:pStyle w:val="9"/>
        <w:bidi w:val="0"/>
        <w:rPr>
          <w:rFonts w:hint="eastAsia"/>
          <w:color w:val="auto"/>
          <w:lang w:val="en-US" w:eastAsia="zh-CN"/>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eastAsia="zh-CN"/>
        </w:rPr>
        <w:t>采购人</w:t>
      </w:r>
      <w:r>
        <w:rPr>
          <w:rFonts w:hint="eastAsia" w:ascii="仿宋" w:hAnsi="仿宋" w:eastAsia="仿宋" w:cs="仿宋"/>
          <w:color w:val="auto"/>
          <w:sz w:val="28"/>
          <w:szCs w:val="28"/>
        </w:rPr>
        <w:t>有权对乙方定期保养情况进行抽检，如发现保养质量不合格，每次扣2-3分。</w:t>
      </w:r>
    </w:p>
    <w:p w14:paraId="5AEE267C">
      <w:pPr>
        <w:rPr>
          <w:rFonts w:hint="eastAsia"/>
          <w:color w:val="auto"/>
          <w:highlight w:val="none"/>
          <w:lang w:val="en-US" w:eastAsia="zh-CN"/>
        </w:rPr>
      </w:pPr>
    </w:p>
    <w:p w14:paraId="1E538F1B">
      <w:pPr>
        <w:rPr>
          <w:rFonts w:hint="eastAsia"/>
          <w:color w:val="auto"/>
          <w:highlight w:val="none"/>
          <w:lang w:val="en-US" w:eastAsia="zh-CN"/>
        </w:rPr>
      </w:pPr>
    </w:p>
    <w:p w14:paraId="4942EA8B">
      <w:bookmarkStart w:id="9" w:name="_GoBack"/>
      <w:bookmarkEnd w:id="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Arial Narrow">
    <w:altName w:val="Arial"/>
    <w:panose1 w:val="020B0606020202030204"/>
    <w:charset w:val="00"/>
    <w:family w:val="auto"/>
    <w:pitch w:val="default"/>
    <w:sig w:usb0="00000000" w:usb1="00000000" w:usb2="00000000" w:usb3="00000000" w:csb0="2000009F" w:csb1="DFD7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小标宋简体">
    <w:altName w:val="仿宋_GB2312"/>
    <w:panose1 w:val="02000000000000000000"/>
    <w:charset w:val="86"/>
    <w:family w:val="auto"/>
    <w:pitch w:val="default"/>
    <w:sig w:usb0="00000000" w:usb1="00000000" w:usb2="00000012" w:usb3="00000000" w:csb0="00040001" w:csb1="00000000"/>
  </w:font>
  <w:font w:name="KSOF3D47F291">
    <w:panose1 w:val="020B0604020202020204"/>
    <w:charset w:val="00"/>
    <w:family w:val="auto"/>
    <w:pitch w:val="default"/>
    <w:sig w:usb0="00000001" w:usb1="00000000" w:usb2="00000000" w:usb3="00000000" w:csb0="0000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FC0ECC"/>
    <w:multiLevelType w:val="singleLevel"/>
    <w:tmpl w:val="BBFC0ECC"/>
    <w:lvl w:ilvl="0" w:tentative="0">
      <w:start w:val="1"/>
      <w:numFmt w:val="decimalEnclosedCircleChinese"/>
      <w:suff w:val="nothing"/>
      <w:lvlText w:val="%1　"/>
      <w:lvlJc w:val="left"/>
      <w:pPr>
        <w:ind w:left="0" w:firstLine="400"/>
      </w:pPr>
      <w:rPr>
        <w:rFonts w:hint="eastAsia"/>
      </w:rPr>
    </w:lvl>
  </w:abstractNum>
  <w:abstractNum w:abstractNumId="1">
    <w:nsid w:val="BEFD39D0"/>
    <w:multiLevelType w:val="singleLevel"/>
    <w:tmpl w:val="BEFD39D0"/>
    <w:lvl w:ilvl="0" w:tentative="0">
      <w:start w:val="1"/>
      <w:numFmt w:val="decimalEnclosedCircleChinese"/>
      <w:suff w:val="nothing"/>
      <w:lvlText w:val="%1　"/>
      <w:lvlJc w:val="left"/>
      <w:pPr>
        <w:ind w:left="0" w:firstLine="400"/>
      </w:pPr>
      <w:rPr>
        <w:rFonts w:hint="eastAsia"/>
      </w:rPr>
    </w:lvl>
  </w:abstractNum>
  <w:abstractNum w:abstractNumId="2">
    <w:nsid w:val="BF7F6C2E"/>
    <w:multiLevelType w:val="singleLevel"/>
    <w:tmpl w:val="BF7F6C2E"/>
    <w:lvl w:ilvl="0" w:tentative="0">
      <w:start w:val="1"/>
      <w:numFmt w:val="decimalEnclosedCircleChinese"/>
      <w:suff w:val="nothing"/>
      <w:lvlText w:val="%1　"/>
      <w:lvlJc w:val="left"/>
      <w:pPr>
        <w:ind w:left="0" w:firstLine="400"/>
      </w:pPr>
      <w:rPr>
        <w:rFonts w:hint="eastAsia"/>
      </w:rPr>
    </w:lvl>
  </w:abstractNum>
  <w:abstractNum w:abstractNumId="3">
    <w:nsid w:val="CC017888"/>
    <w:multiLevelType w:val="singleLevel"/>
    <w:tmpl w:val="CC017888"/>
    <w:lvl w:ilvl="0" w:tentative="0">
      <w:start w:val="1"/>
      <w:numFmt w:val="decimal"/>
      <w:pStyle w:val="10"/>
      <w:suff w:val="nothing"/>
      <w:lvlText w:val="%1"/>
      <w:lvlJc w:val="center"/>
      <w:pPr>
        <w:ind w:left="0" w:firstLine="0"/>
      </w:pPr>
      <w:rPr>
        <w:rFonts w:hint="default"/>
      </w:rPr>
    </w:lvl>
  </w:abstractNum>
  <w:abstractNum w:abstractNumId="4">
    <w:nsid w:val="DBBAC487"/>
    <w:multiLevelType w:val="singleLevel"/>
    <w:tmpl w:val="DBBAC487"/>
    <w:lvl w:ilvl="0" w:tentative="0">
      <w:start w:val="1"/>
      <w:numFmt w:val="decimalEnclosedCircleChinese"/>
      <w:suff w:val="nothing"/>
      <w:lvlText w:val="%1　"/>
      <w:lvlJc w:val="left"/>
      <w:pPr>
        <w:ind w:left="0" w:firstLine="400"/>
      </w:pPr>
      <w:rPr>
        <w:rFonts w:hint="eastAsia"/>
      </w:rPr>
    </w:lvl>
  </w:abstractNum>
  <w:abstractNum w:abstractNumId="5">
    <w:nsid w:val="DFA62A74"/>
    <w:multiLevelType w:val="singleLevel"/>
    <w:tmpl w:val="DFA62A74"/>
    <w:lvl w:ilvl="0" w:tentative="0">
      <w:start w:val="1"/>
      <w:numFmt w:val="decimalEnclosedCircleChinese"/>
      <w:suff w:val="nothing"/>
      <w:lvlText w:val="%1　"/>
      <w:lvlJc w:val="left"/>
      <w:pPr>
        <w:ind w:left="0" w:firstLine="400"/>
      </w:pPr>
      <w:rPr>
        <w:rFonts w:hint="eastAsia"/>
      </w:rPr>
    </w:lvl>
  </w:abstractNum>
  <w:abstractNum w:abstractNumId="6">
    <w:nsid w:val="DFBE9913"/>
    <w:multiLevelType w:val="singleLevel"/>
    <w:tmpl w:val="DFBE9913"/>
    <w:lvl w:ilvl="0" w:tentative="0">
      <w:start w:val="1"/>
      <w:numFmt w:val="decimalEnclosedCircleChinese"/>
      <w:suff w:val="nothing"/>
      <w:lvlText w:val="%1　"/>
      <w:lvlJc w:val="left"/>
      <w:pPr>
        <w:ind w:left="0" w:firstLine="400"/>
      </w:pPr>
      <w:rPr>
        <w:rFonts w:hint="eastAsia"/>
      </w:rPr>
    </w:lvl>
  </w:abstractNum>
  <w:abstractNum w:abstractNumId="7">
    <w:nsid w:val="E6FD9C29"/>
    <w:multiLevelType w:val="singleLevel"/>
    <w:tmpl w:val="E6FD9C29"/>
    <w:lvl w:ilvl="0" w:tentative="0">
      <w:start w:val="1"/>
      <w:numFmt w:val="decimalEnclosedCircleChinese"/>
      <w:suff w:val="nothing"/>
      <w:lvlText w:val="%1　"/>
      <w:lvlJc w:val="left"/>
      <w:pPr>
        <w:ind w:left="0" w:firstLine="400"/>
      </w:pPr>
      <w:rPr>
        <w:rFonts w:hint="eastAsia"/>
      </w:rPr>
    </w:lvl>
  </w:abstractNum>
  <w:abstractNum w:abstractNumId="8">
    <w:nsid w:val="EBFF1D20"/>
    <w:multiLevelType w:val="singleLevel"/>
    <w:tmpl w:val="EBFF1D20"/>
    <w:lvl w:ilvl="0" w:tentative="0">
      <w:start w:val="1"/>
      <w:numFmt w:val="decimalEnclosedCircleChinese"/>
      <w:suff w:val="nothing"/>
      <w:lvlText w:val="%1　"/>
      <w:lvlJc w:val="left"/>
      <w:pPr>
        <w:ind w:left="0" w:firstLine="400"/>
      </w:pPr>
      <w:rPr>
        <w:rFonts w:hint="eastAsia"/>
      </w:rPr>
    </w:lvl>
  </w:abstractNum>
  <w:abstractNum w:abstractNumId="9">
    <w:nsid w:val="F1FA62A5"/>
    <w:multiLevelType w:val="singleLevel"/>
    <w:tmpl w:val="F1FA62A5"/>
    <w:lvl w:ilvl="0" w:tentative="0">
      <w:start w:val="1"/>
      <w:numFmt w:val="decimalEnclosedCircleChinese"/>
      <w:suff w:val="nothing"/>
      <w:lvlText w:val="%1　"/>
      <w:lvlJc w:val="left"/>
      <w:pPr>
        <w:ind w:left="0" w:firstLine="400"/>
      </w:pPr>
      <w:rPr>
        <w:rFonts w:hint="eastAsia"/>
      </w:rPr>
    </w:lvl>
  </w:abstractNum>
  <w:abstractNum w:abstractNumId="10">
    <w:nsid w:val="F6CB6B8C"/>
    <w:multiLevelType w:val="singleLevel"/>
    <w:tmpl w:val="F6CB6B8C"/>
    <w:lvl w:ilvl="0" w:tentative="0">
      <w:start w:val="1"/>
      <w:numFmt w:val="decimal"/>
      <w:suff w:val="nothing"/>
      <w:lvlText w:val="%1"/>
      <w:lvlJc w:val="center"/>
      <w:pPr>
        <w:ind w:left="0" w:firstLine="0"/>
      </w:pPr>
      <w:rPr>
        <w:rFonts w:hint="default"/>
      </w:rPr>
    </w:lvl>
  </w:abstractNum>
  <w:abstractNum w:abstractNumId="11">
    <w:nsid w:val="FBBC8CA6"/>
    <w:multiLevelType w:val="singleLevel"/>
    <w:tmpl w:val="FBBC8CA6"/>
    <w:lvl w:ilvl="0" w:tentative="0">
      <w:start w:val="1"/>
      <w:numFmt w:val="decimalEnclosedCircleChinese"/>
      <w:suff w:val="nothing"/>
      <w:lvlText w:val="%1　"/>
      <w:lvlJc w:val="left"/>
      <w:pPr>
        <w:ind w:left="0" w:firstLine="400"/>
      </w:pPr>
      <w:rPr>
        <w:rFonts w:hint="eastAsia"/>
      </w:rPr>
    </w:lvl>
  </w:abstractNum>
  <w:abstractNum w:abstractNumId="12">
    <w:nsid w:val="FDDFA281"/>
    <w:multiLevelType w:val="singleLevel"/>
    <w:tmpl w:val="FDDFA281"/>
    <w:lvl w:ilvl="0" w:tentative="0">
      <w:start w:val="1"/>
      <w:numFmt w:val="decimalEnclosedCircleChinese"/>
      <w:suff w:val="nothing"/>
      <w:lvlText w:val="%1　"/>
      <w:lvlJc w:val="left"/>
      <w:pPr>
        <w:ind w:left="0" w:firstLine="400"/>
      </w:pPr>
      <w:rPr>
        <w:rFonts w:hint="eastAsia"/>
      </w:rPr>
    </w:lvl>
  </w:abstractNum>
  <w:abstractNum w:abstractNumId="13">
    <w:nsid w:val="FEB3D190"/>
    <w:multiLevelType w:val="singleLevel"/>
    <w:tmpl w:val="FEB3D190"/>
    <w:lvl w:ilvl="0" w:tentative="0">
      <w:start w:val="1"/>
      <w:numFmt w:val="decimalEnclosedCircleChinese"/>
      <w:suff w:val="nothing"/>
      <w:lvlText w:val="%1　"/>
      <w:lvlJc w:val="left"/>
      <w:pPr>
        <w:ind w:left="0" w:firstLine="400"/>
      </w:pPr>
      <w:rPr>
        <w:rFonts w:hint="eastAsia"/>
      </w:rPr>
    </w:lvl>
  </w:abstractNum>
  <w:abstractNum w:abstractNumId="14">
    <w:nsid w:val="FFBA2E2D"/>
    <w:multiLevelType w:val="singleLevel"/>
    <w:tmpl w:val="FFBA2E2D"/>
    <w:lvl w:ilvl="0" w:tentative="0">
      <w:start w:val="1"/>
      <w:numFmt w:val="decimalEnclosedCircleChinese"/>
      <w:suff w:val="nothing"/>
      <w:lvlText w:val="%1　"/>
      <w:lvlJc w:val="left"/>
      <w:pPr>
        <w:ind w:left="0" w:firstLine="400"/>
      </w:pPr>
      <w:rPr>
        <w:rFonts w:hint="eastAsia"/>
      </w:rPr>
    </w:lvl>
  </w:abstractNum>
  <w:abstractNum w:abstractNumId="15">
    <w:nsid w:val="FFCFCB1A"/>
    <w:multiLevelType w:val="singleLevel"/>
    <w:tmpl w:val="FFCFCB1A"/>
    <w:lvl w:ilvl="0" w:tentative="0">
      <w:start w:val="1"/>
      <w:numFmt w:val="decimalEnclosedCircleChinese"/>
      <w:suff w:val="nothing"/>
      <w:lvlText w:val="%1　"/>
      <w:lvlJc w:val="left"/>
      <w:pPr>
        <w:ind w:left="0" w:firstLine="400"/>
      </w:pPr>
      <w:rPr>
        <w:rFonts w:hint="eastAsia"/>
      </w:rPr>
    </w:lvl>
  </w:abstractNum>
  <w:abstractNum w:abstractNumId="16">
    <w:nsid w:val="2618B967"/>
    <w:multiLevelType w:val="singleLevel"/>
    <w:tmpl w:val="2618B967"/>
    <w:lvl w:ilvl="0" w:tentative="0">
      <w:start w:val="1"/>
      <w:numFmt w:val="chineseCounting"/>
      <w:suff w:val="nothing"/>
      <w:lvlText w:val="（%1）"/>
      <w:lvlJc w:val="left"/>
      <w:pPr>
        <w:ind w:left="0" w:firstLine="420"/>
      </w:pPr>
      <w:rPr>
        <w:rFonts w:hint="eastAsia"/>
      </w:rPr>
    </w:lvl>
  </w:abstractNum>
  <w:abstractNum w:abstractNumId="17">
    <w:nsid w:val="3B1F4B24"/>
    <w:multiLevelType w:val="singleLevel"/>
    <w:tmpl w:val="3B1F4B24"/>
    <w:lvl w:ilvl="0" w:tentative="0">
      <w:start w:val="1"/>
      <w:numFmt w:val="decimalEnclosedCircleChinese"/>
      <w:suff w:val="nothing"/>
      <w:lvlText w:val="%1　"/>
      <w:lvlJc w:val="left"/>
      <w:pPr>
        <w:ind w:left="0" w:firstLine="400"/>
      </w:pPr>
      <w:rPr>
        <w:rFonts w:hint="eastAsia"/>
      </w:rPr>
    </w:lvl>
  </w:abstractNum>
  <w:abstractNum w:abstractNumId="18">
    <w:nsid w:val="3FB4321D"/>
    <w:multiLevelType w:val="singleLevel"/>
    <w:tmpl w:val="3FB4321D"/>
    <w:lvl w:ilvl="0" w:tentative="0">
      <w:start w:val="1"/>
      <w:numFmt w:val="decimalEnclosedCircleChinese"/>
      <w:suff w:val="nothing"/>
      <w:lvlText w:val="%1　"/>
      <w:lvlJc w:val="left"/>
      <w:pPr>
        <w:ind w:left="0" w:firstLine="400"/>
      </w:pPr>
      <w:rPr>
        <w:rFonts w:hint="eastAsia"/>
      </w:rPr>
    </w:lvl>
  </w:abstractNum>
  <w:abstractNum w:abstractNumId="19">
    <w:nsid w:val="4FFFD1C5"/>
    <w:multiLevelType w:val="singleLevel"/>
    <w:tmpl w:val="4FFFD1C5"/>
    <w:lvl w:ilvl="0" w:tentative="0">
      <w:start w:val="1"/>
      <w:numFmt w:val="decimalEnclosedCircleChinese"/>
      <w:suff w:val="nothing"/>
      <w:lvlText w:val="%1　"/>
      <w:lvlJc w:val="left"/>
      <w:pPr>
        <w:ind w:left="0" w:firstLine="400"/>
      </w:pPr>
      <w:rPr>
        <w:rFonts w:hint="eastAsia"/>
      </w:rPr>
    </w:lvl>
  </w:abstractNum>
  <w:abstractNum w:abstractNumId="20">
    <w:nsid w:val="5AF75717"/>
    <w:multiLevelType w:val="singleLevel"/>
    <w:tmpl w:val="5AF75717"/>
    <w:lvl w:ilvl="0" w:tentative="0">
      <w:start w:val="1"/>
      <w:numFmt w:val="decimalEnclosedCircleChinese"/>
      <w:suff w:val="nothing"/>
      <w:lvlText w:val="%1　"/>
      <w:lvlJc w:val="left"/>
      <w:pPr>
        <w:ind w:left="0" w:firstLine="400"/>
      </w:pPr>
      <w:rPr>
        <w:rFonts w:hint="eastAsia"/>
      </w:rPr>
    </w:lvl>
  </w:abstractNum>
  <w:abstractNum w:abstractNumId="21">
    <w:nsid w:val="5FF4087A"/>
    <w:multiLevelType w:val="singleLevel"/>
    <w:tmpl w:val="5FF4087A"/>
    <w:lvl w:ilvl="0" w:tentative="0">
      <w:start w:val="1"/>
      <w:numFmt w:val="decimalEnclosedCircleChinese"/>
      <w:suff w:val="nothing"/>
      <w:lvlText w:val="%1　"/>
      <w:lvlJc w:val="left"/>
      <w:pPr>
        <w:ind w:left="0" w:firstLine="400"/>
      </w:pPr>
      <w:rPr>
        <w:rFonts w:hint="eastAsia"/>
      </w:rPr>
    </w:lvl>
  </w:abstractNum>
  <w:abstractNum w:abstractNumId="22">
    <w:nsid w:val="63FB6DEC"/>
    <w:multiLevelType w:val="singleLevel"/>
    <w:tmpl w:val="63FB6DEC"/>
    <w:lvl w:ilvl="0" w:tentative="0">
      <w:start w:val="1"/>
      <w:numFmt w:val="decimalEnclosedCircleChinese"/>
      <w:suff w:val="nothing"/>
      <w:lvlText w:val="%1　"/>
      <w:lvlJc w:val="left"/>
      <w:pPr>
        <w:ind w:left="0" w:firstLine="400"/>
      </w:pPr>
      <w:rPr>
        <w:rFonts w:hint="eastAsia"/>
      </w:rPr>
    </w:lvl>
  </w:abstractNum>
  <w:abstractNum w:abstractNumId="23">
    <w:nsid w:val="6BFCBCC3"/>
    <w:multiLevelType w:val="singleLevel"/>
    <w:tmpl w:val="6BFCBCC3"/>
    <w:lvl w:ilvl="0" w:tentative="0">
      <w:start w:val="1"/>
      <w:numFmt w:val="decimalEnclosedCircleChinese"/>
      <w:suff w:val="nothing"/>
      <w:lvlText w:val="%1　"/>
      <w:lvlJc w:val="left"/>
      <w:pPr>
        <w:ind w:left="0" w:firstLine="400"/>
      </w:pPr>
      <w:rPr>
        <w:rFonts w:hint="eastAsia"/>
      </w:rPr>
    </w:lvl>
  </w:abstractNum>
  <w:abstractNum w:abstractNumId="24">
    <w:nsid w:val="775F0F62"/>
    <w:multiLevelType w:val="singleLevel"/>
    <w:tmpl w:val="775F0F62"/>
    <w:lvl w:ilvl="0" w:tentative="0">
      <w:start w:val="1"/>
      <w:numFmt w:val="decimalEnclosedCircleChinese"/>
      <w:suff w:val="nothing"/>
      <w:lvlText w:val="%1　"/>
      <w:lvlJc w:val="left"/>
      <w:pPr>
        <w:ind w:left="0" w:firstLine="400"/>
      </w:pPr>
      <w:rPr>
        <w:rFonts w:hint="eastAsia"/>
      </w:rPr>
    </w:lvl>
  </w:abstractNum>
  <w:abstractNum w:abstractNumId="25">
    <w:nsid w:val="78D6DC3B"/>
    <w:multiLevelType w:val="singleLevel"/>
    <w:tmpl w:val="78D6DC3B"/>
    <w:lvl w:ilvl="0" w:tentative="0">
      <w:start w:val="1"/>
      <w:numFmt w:val="decimalEnclosedCircleChinese"/>
      <w:suff w:val="nothing"/>
      <w:lvlText w:val="%1　"/>
      <w:lvlJc w:val="left"/>
      <w:pPr>
        <w:ind w:left="0" w:firstLine="400"/>
      </w:pPr>
      <w:rPr>
        <w:rFonts w:hint="eastAsia"/>
      </w:rPr>
    </w:lvl>
  </w:abstractNum>
  <w:abstractNum w:abstractNumId="26">
    <w:nsid w:val="7C0B8B18"/>
    <w:multiLevelType w:val="singleLevel"/>
    <w:tmpl w:val="7C0B8B18"/>
    <w:lvl w:ilvl="0" w:tentative="0">
      <w:start w:val="1"/>
      <w:numFmt w:val="decimal"/>
      <w:suff w:val="nothing"/>
      <w:lvlText w:val="%1"/>
      <w:lvlJc w:val="left"/>
      <w:rPr>
        <w:rFonts w:hint="default" w:cs="Times New Roman"/>
      </w:rPr>
    </w:lvl>
  </w:abstractNum>
  <w:abstractNum w:abstractNumId="27">
    <w:nsid w:val="7FFF9885"/>
    <w:multiLevelType w:val="singleLevel"/>
    <w:tmpl w:val="7FFF9885"/>
    <w:lvl w:ilvl="0" w:tentative="0">
      <w:start w:val="1"/>
      <w:numFmt w:val="decimalEnclosedCircleChinese"/>
      <w:suff w:val="nothing"/>
      <w:lvlText w:val="%1　"/>
      <w:lvlJc w:val="left"/>
      <w:pPr>
        <w:ind w:left="0" w:firstLine="400"/>
      </w:pPr>
      <w:rPr>
        <w:rFonts w:hint="eastAsia"/>
      </w:rPr>
    </w:lvl>
  </w:abstractNum>
  <w:num w:numId="1">
    <w:abstractNumId w:val="3"/>
  </w:num>
  <w:num w:numId="2">
    <w:abstractNumId w:val="16"/>
  </w:num>
  <w:num w:numId="3">
    <w:abstractNumId w:val="26"/>
  </w:num>
  <w:num w:numId="4">
    <w:abstractNumId w:val="10"/>
  </w:num>
  <w:num w:numId="5">
    <w:abstractNumId w:val="22"/>
  </w:num>
  <w:num w:numId="6">
    <w:abstractNumId w:val="8"/>
  </w:num>
  <w:num w:numId="7">
    <w:abstractNumId w:val="14"/>
  </w:num>
  <w:num w:numId="8">
    <w:abstractNumId w:val="7"/>
  </w:num>
  <w:num w:numId="9">
    <w:abstractNumId w:val="5"/>
  </w:num>
  <w:num w:numId="10">
    <w:abstractNumId w:val="4"/>
  </w:num>
  <w:num w:numId="11">
    <w:abstractNumId w:val="27"/>
  </w:num>
  <w:num w:numId="12">
    <w:abstractNumId w:val="17"/>
  </w:num>
  <w:num w:numId="13">
    <w:abstractNumId w:val="2"/>
  </w:num>
  <w:num w:numId="14">
    <w:abstractNumId w:val="0"/>
  </w:num>
  <w:num w:numId="15">
    <w:abstractNumId w:val="12"/>
  </w:num>
  <w:num w:numId="16">
    <w:abstractNumId w:val="24"/>
  </w:num>
  <w:num w:numId="17">
    <w:abstractNumId w:val="13"/>
  </w:num>
  <w:num w:numId="18">
    <w:abstractNumId w:val="11"/>
  </w:num>
  <w:num w:numId="19">
    <w:abstractNumId w:val="6"/>
  </w:num>
  <w:num w:numId="20">
    <w:abstractNumId w:val="9"/>
  </w:num>
  <w:num w:numId="21">
    <w:abstractNumId w:val="19"/>
  </w:num>
  <w:num w:numId="22">
    <w:abstractNumId w:val="20"/>
  </w:num>
  <w:num w:numId="23">
    <w:abstractNumId w:val="1"/>
  </w:num>
  <w:num w:numId="24">
    <w:abstractNumId w:val="15"/>
  </w:num>
  <w:num w:numId="25">
    <w:abstractNumId w:val="18"/>
  </w:num>
  <w:num w:numId="26">
    <w:abstractNumId w:val="23"/>
  </w:num>
  <w:num w:numId="27">
    <w:abstractNumId w:val="25"/>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41F1A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widowControl w:val="0"/>
      <w:spacing w:before="340" w:after="330" w:line="360" w:lineRule="auto"/>
      <w:jc w:val="center"/>
      <w:outlineLvl w:val="0"/>
    </w:pPr>
    <w:rPr>
      <w:rFonts w:ascii="Times New Roman" w:hAnsi="Times New Roman" w:eastAsia="方正小标宋_GBK" w:cs="Times New Roman"/>
      <w:spacing w:val="28"/>
      <w:kern w:val="36"/>
      <w:sz w:val="36"/>
      <w:szCs w:val="20"/>
    </w:rPr>
  </w:style>
  <w:style w:type="paragraph" w:styleId="3">
    <w:name w:val="heading 5"/>
    <w:basedOn w:val="1"/>
    <w:next w:val="1"/>
    <w:qFormat/>
    <w:uiPriority w:val="0"/>
    <w:pPr>
      <w:keepNext/>
      <w:keepLines/>
      <w:widowControl w:val="0"/>
      <w:spacing w:before="160" w:after="290" w:line="240" w:lineRule="auto"/>
      <w:jc w:val="both"/>
      <w:outlineLvl w:val="4"/>
    </w:pPr>
    <w:rPr>
      <w:rFonts w:ascii="Times New Roman" w:hAnsi="Times New Roman" w:eastAsia="黑体" w:cs="Times New Roman"/>
      <w:sz w:val="24"/>
      <w:szCs w:val="2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caption"/>
    <w:basedOn w:val="1"/>
    <w:next w:val="1"/>
    <w:qFormat/>
    <w:uiPriority w:val="99"/>
    <w:rPr>
      <w:rFonts w:ascii="Arial" w:hAnsi="Arial" w:eastAsia="黑体"/>
      <w:sz w:val="20"/>
      <w:szCs w:val="20"/>
    </w:rPr>
  </w:style>
  <w:style w:type="table" w:styleId="6">
    <w:name w:val="Table Grid"/>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文章正文"/>
    <w:qFormat/>
    <w:uiPriority w:val="0"/>
    <w:pPr>
      <w:widowControl w:val="0"/>
      <w:adjustRightInd w:val="0"/>
      <w:snapToGrid w:val="0"/>
      <w:spacing w:before="100" w:beforeLines="100" w:line="440" w:lineRule="exact"/>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9">
    <w:name w:val="正文(首行缩进)"/>
    <w:basedOn w:val="1"/>
    <w:qFormat/>
    <w:uiPriority w:val="0"/>
    <w:pPr>
      <w:widowControl/>
      <w:spacing w:line="440" w:lineRule="exact"/>
      <w:ind w:firstLine="1840" w:firstLineChars="200"/>
      <w:jc w:val="left"/>
    </w:pPr>
    <w:rPr>
      <w:rFonts w:ascii="Arial Narrow" w:hAnsi="Arial Narrow" w:eastAsia="宋体" w:cs="宋体"/>
      <w:sz w:val="24"/>
    </w:rPr>
  </w:style>
  <w:style w:type="paragraph" w:customStyle="1" w:styleId="10">
    <w:name w:val="表格内容左对齐"/>
    <w:basedOn w:val="1"/>
    <w:qFormat/>
    <w:uiPriority w:val="0"/>
    <w:pPr>
      <w:widowControl/>
      <w:numPr>
        <w:ilvl w:val="0"/>
        <w:numId w:val="1"/>
      </w:numPr>
      <w:tabs>
        <w:tab w:val="left" w:pos="33"/>
      </w:tabs>
      <w:spacing w:line="260" w:lineRule="exact"/>
      <w:ind w:right="-48" w:rightChars="-23" w:firstLine="920" w:firstLineChars="100"/>
      <w:jc w:val="left"/>
    </w:pPr>
    <w:rPr>
      <w:rFonts w:ascii="宋体" w:hAnsi="宋体" w:eastAsia="微软雅黑"/>
      <w:sz w:val="20"/>
      <w:szCs w:val="24"/>
    </w:rPr>
  </w:style>
  <w:style w:type="paragraph" w:customStyle="1" w:styleId="11">
    <w:name w:val="表头"/>
    <w:basedOn w:val="4"/>
    <w:qFormat/>
    <w:uiPriority w:val="0"/>
    <w:pPr>
      <w:spacing w:line="240" w:lineRule="exact"/>
      <w:jc w:val="center"/>
    </w:pPr>
    <w:rPr>
      <w:rFonts w:ascii="Times New Roman" w:hAnsi="Times New Roman" w:eastAsia="微软雅黑" w:cs="Times New Roman"/>
      <w:b/>
      <w:sz w:val="20"/>
      <w:szCs w:val="20"/>
    </w:rPr>
  </w:style>
  <w:style w:type="paragraph" w:customStyle="1" w:styleId="12">
    <w:name w:val="表格1"/>
    <w:qFormat/>
    <w:uiPriority w:val="0"/>
    <w:pPr>
      <w:widowControl w:val="0"/>
      <w:spacing w:line="300" w:lineRule="exact"/>
      <w:jc w:val="center"/>
    </w:pPr>
    <w:rPr>
      <w:rFonts w:ascii="Times New Roman" w:hAnsi="Times New Roman" w:eastAsia="微软雅黑"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2026-10-12T00:59:11Z</dcterms:created>
  <dc:creator>Administrator</dc:creator>
  <cp:lastModifiedBy>Yoona</cp:lastModifiedBy>
  <dcterms:modified xsi:type="dcterms:W3CDTF">2026-10-12T00:59:16Z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eyJoZGlkIjoiYzk5NmQ1OGFhOWNjYmUwYzhiODk0ZDZiOTk0NWVkYzYiLCJ1c2VySWQiOiIyOTExMjc3OTMifQ==</vt:lpwstr>
  </property>
  <property fmtid="{D5CDD505-2E9C-101B-9397-08002B2CF9AE}" pid="4" name="ICV">
    <vt:lpwstr>73B8F5D66F95448BA2D3BE1BA4FB4507_12</vt:lpwstr>
  </property>
</Properties>
</file>