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4D19A">
      <w:pPr>
        <w:pStyle w:val="2"/>
        <w:keepLines/>
        <w:pageBreakBefore/>
        <w:rPr>
          <w:rFonts w:hint="eastAsia" w:ascii="宋体" w:hAnsi="宋体" w:eastAsia="宋体" w:cs="Times New Roman"/>
          <w:sz w:val="32"/>
          <w:szCs w:val="22"/>
        </w:rPr>
      </w:pPr>
      <w:r>
        <w:rPr>
          <w:rFonts w:hint="eastAsia" w:ascii="宋体" w:hAnsi="宋体" w:eastAsia="宋体" w:cs="Times New Roman"/>
          <w:sz w:val="32"/>
          <w:szCs w:val="22"/>
          <w:highlight w:val="white"/>
        </w:rPr>
        <w:t>采购需求</w:t>
      </w:r>
    </w:p>
    <w:p w14:paraId="41873D7F">
      <w:pPr>
        <w:rPr>
          <w:rFonts w:hint="eastAsia" w:ascii="宋体" w:hAnsi="宋体" w:eastAsia="宋体" w:cs="Times New Roman"/>
          <w:highlight w:val="red"/>
        </w:rPr>
      </w:pPr>
    </w:p>
    <w:p w14:paraId="4113A7A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/>
        <w:jc w:val="both"/>
        <w:outlineLvl w:val="1"/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0" w:name="_Toc256000014"/>
      <w:bookmarkStart w:id="1" w:name="EBa08a45fa5f874f5f92af9e867f6c876f_0"/>
      <w:r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一、项目概况</w:t>
      </w:r>
      <w:bookmarkEnd w:id="0"/>
    </w:p>
    <w:p w14:paraId="423BBEA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jc w:val="both"/>
        <w:outlineLvl w:val="2"/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2" w:name="_Toc256000015"/>
      <w:r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1.1项目背景</w:t>
      </w:r>
      <w:bookmarkEnd w:id="2"/>
    </w:p>
    <w:p w14:paraId="44F0A4A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为统筹推进鸟类保护与农业生产安全，破解“护鸟损农、护农伤鸟”矛盾，落实《中华人民共和国野生动物保护法》《湖南省陆生野生动物致害补偿办法》《湖南省防鸟网使用技术指南》相关要求，开展衡南县鸟类致害综合防控试点工作，构建“调查</w:t>
      </w: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noBreakHyphen/>
      </w: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防控</w:t>
      </w: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noBreakHyphen/>
      </w: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保险</w:t>
      </w: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noBreakHyphen/>
      </w: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补偿”四位一体综合防控模式，降低果园、农田、鱼塘、菜地鸟类致害损失，推广生态友好型鸟类防控设施设备，完成设施安装调试、巡护服务、专项调查等工作，实现鸟类保护与农业稳产双赢。</w:t>
      </w:r>
    </w:p>
    <w:p w14:paraId="4CF2C8C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本项目实施覆盖云集街道、车江街道、向阳桥街道、宝盖镇、栗江镇、江口镇、咸塘镇、三塘镇、谭子山镇、泉湖镇、岐山镇、相市乡共12个乡镇（街道），设置36个试点样地、4个对照样地，合计40个样地。</w:t>
      </w:r>
    </w:p>
    <w:p w14:paraId="6198F82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jc w:val="both"/>
        <w:outlineLvl w:val="2"/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3" w:name="_Toc256000016"/>
      <w:r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1.2采购目的</w:t>
      </w:r>
      <w:bookmarkEnd w:id="3"/>
    </w:p>
    <w:p w14:paraId="4477998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通过采购鸟类致害专项调查服务、生态友好型防鸟防控物资设备、设备安装服务、视频监控设备、巡护服务，完成衡南县2026年鸟类致害综合防控试点建设，达成试点区鸟类致害平均经济损失同比降低≥30%、防控设施覆盖率≥80%、设施完好率≥90%、保险理赔兑现率100%，受损农户满意度≥90%的项目目标。</w:t>
      </w:r>
    </w:p>
    <w:p w14:paraId="1F9401D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jc w:val="both"/>
        <w:outlineLvl w:val="2"/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4" w:name="_Toc256000017"/>
      <w:r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1.3采购预算</w:t>
      </w:r>
      <w:bookmarkEnd w:id="4"/>
    </w:p>
    <w:p w14:paraId="59D10FF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本项目采购总预算：</w:t>
      </w:r>
      <w:r>
        <w:rPr>
          <w:rStyle w:val="6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108.321720万元</w:t>
      </w: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，所有报价不得超过预算金额，报价包含货物、运输、装卸、安装、调试、辅材、人工、培训、质保、保险、税费等全部费用。</w:t>
      </w:r>
    </w:p>
    <w:p w14:paraId="16F3280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jc w:val="both"/>
        <w:outlineLvl w:val="2"/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5" w:name="_Toc256000018"/>
      <w:r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1.4服务期限</w:t>
      </w:r>
      <w:bookmarkEnd w:id="5"/>
    </w:p>
    <w:p w14:paraId="38BAC75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自合同签订之日起至本试点项目全部任务完成并通过验收为止；设备质保期不少于12个月；专项调查服务须在合同生效后6个月内完成全部调查并提交正式调查报告。</w:t>
      </w:r>
    </w:p>
    <w:p w14:paraId="2053B4A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jc w:val="both"/>
        <w:outlineLvl w:val="2"/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6" w:name="_Toc256000019"/>
      <w:r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1.5交货及实施地点</w:t>
      </w:r>
      <w:bookmarkEnd w:id="6"/>
    </w:p>
    <w:p w14:paraId="6F43AF2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衡南县云集街道、车江街道、向阳桥街道、宝盖镇、栗江镇、江口镇、咸塘镇、三塘镇、谭子山镇、泉湖镇、岐山镇、相市乡12个乡镇（街道）指定试点地块。</w:t>
      </w:r>
    </w:p>
    <w:p w14:paraId="076FFA6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/>
        <w:jc w:val="both"/>
        <w:outlineLvl w:val="1"/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7" w:name="_Toc256000020"/>
      <w:r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二、采购内容及技术参数要求</w:t>
      </w:r>
      <w:bookmarkEnd w:id="7"/>
    </w:p>
    <w:p w14:paraId="05713B7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说明：本项目包含清单中全部项目，投标人须对全部采购内容整体响应，不得拆分投标。</w:t>
      </w: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5"/>
        <w:gridCol w:w="1299"/>
        <w:gridCol w:w="726"/>
        <w:gridCol w:w="783"/>
        <w:gridCol w:w="5059"/>
      </w:tblGrid>
      <w:tr w14:paraId="3A340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  <w:tblHeader/>
          <w:jc w:val="center"/>
        </w:trPr>
        <w:tc>
          <w:tcPr>
            <w:tcW w:w="65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00133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b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129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E18FB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b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项目名称</w:t>
            </w:r>
          </w:p>
        </w:tc>
        <w:tc>
          <w:tcPr>
            <w:tcW w:w="726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4A4D3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b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单位</w:t>
            </w:r>
          </w:p>
        </w:tc>
        <w:tc>
          <w:tcPr>
            <w:tcW w:w="783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17B22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b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数量</w:t>
            </w:r>
          </w:p>
        </w:tc>
        <w:tc>
          <w:tcPr>
            <w:tcW w:w="505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FE687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b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核心技术参数及要求</w:t>
            </w:r>
          </w:p>
        </w:tc>
      </w:tr>
      <w:tr w14:paraId="35EA2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46" w:hRule="atLeast"/>
          <w:jc w:val="center"/>
        </w:trPr>
        <w:tc>
          <w:tcPr>
            <w:tcW w:w="65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C7995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29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B6DA0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鸟类致害专项调查服务</w:t>
            </w:r>
          </w:p>
        </w:tc>
        <w:tc>
          <w:tcPr>
            <w:tcW w:w="726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5A214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项</w:t>
            </w:r>
          </w:p>
        </w:tc>
        <w:tc>
          <w:tcPr>
            <w:tcW w:w="783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EB623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</w:t>
            </w:r>
          </w:p>
        </w:tc>
        <w:tc>
          <w:tcPr>
            <w:tcW w:w="505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A3A98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1.组建调查专班，每组3</w:t>
            </w: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noBreakHyphen/>
            </w: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4人，须配备鸟类识别专员、农业技术人员；</w:t>
            </w:r>
          </w:p>
          <w:p w14:paraId="11C8BB8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2.覆盖12个乡镇（街道）果园、农田、鱼塘、菜地，完成入户访问问卷调查、12条固定样线实地调查；</w:t>
            </w:r>
          </w:p>
          <w:p w14:paraId="3126AC4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3.开展调查监测评估不少于20次，收集致害鸟类种类、种群、致害时段、受损地块、减产比例、直接经济损失等数据；</w:t>
            </w:r>
          </w:p>
          <w:p w14:paraId="4196E7B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4.输出完整《衡南县鸟类致害情况调查表》原始台账、数据集，编制正式《衡南县鸟类致害情况调查报告》；</w:t>
            </w:r>
          </w:p>
          <w:p w14:paraId="1B2D12E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5.成果资料含纸质版、可编辑电子版，通过采购人组织的专家审查。</w:t>
            </w:r>
          </w:p>
        </w:tc>
      </w:tr>
      <w:tr w14:paraId="64574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4" w:hRule="atLeast"/>
          <w:jc w:val="center"/>
        </w:trPr>
        <w:tc>
          <w:tcPr>
            <w:tcW w:w="65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51B0F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29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74E6D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太阳能语音驱鸟器</w:t>
            </w:r>
          </w:p>
        </w:tc>
        <w:tc>
          <w:tcPr>
            <w:tcW w:w="726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74769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台</w:t>
            </w:r>
          </w:p>
        </w:tc>
        <w:tc>
          <w:tcPr>
            <w:tcW w:w="783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4EDBF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1000</w:t>
            </w:r>
          </w:p>
        </w:tc>
        <w:tc>
          <w:tcPr>
            <w:tcW w:w="505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FA6FD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1.太阳能供电，独立支架安装，安装高度距地面约1.5米，太阳能板朝南无遮挡；</w:t>
            </w:r>
          </w:p>
          <w:p w14:paraId="2D671B0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2.支持随机语音播放模式，可切换多种驱鸟音源，避免鸟类产生适应性；喇叭朝向受保护地块；</w:t>
            </w:r>
          </w:p>
          <w:p w14:paraId="2E4883B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3.含设备本体、配套支架、紧固件，含运输、现场调试；</w:t>
            </w:r>
          </w:p>
          <w:p w14:paraId="6DF5016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4.适应户外露天农田、果园、鱼塘环境，防水防尘。</w:t>
            </w:r>
          </w:p>
        </w:tc>
      </w:tr>
      <w:tr w14:paraId="0BD57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8" w:hRule="atLeast"/>
          <w:jc w:val="center"/>
        </w:trPr>
        <w:tc>
          <w:tcPr>
            <w:tcW w:w="65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1CB19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29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EC794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超声波驱鸟器</w:t>
            </w:r>
          </w:p>
        </w:tc>
        <w:tc>
          <w:tcPr>
            <w:tcW w:w="726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837D0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台</w:t>
            </w:r>
          </w:p>
        </w:tc>
        <w:tc>
          <w:tcPr>
            <w:tcW w:w="783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268AC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800</w:t>
            </w:r>
          </w:p>
        </w:tc>
        <w:tc>
          <w:tcPr>
            <w:tcW w:w="505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69379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1.太阳能供电，户外防水防尘，支架式安装，距地面约1.5米；</w:t>
            </w:r>
          </w:p>
          <w:p w14:paraId="6D493E7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2.具备多模式变频超声波驱鸟功能，可定时切换模式，降低鸟类适应性；</w:t>
            </w:r>
          </w:p>
          <w:p w14:paraId="23DC1C8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3.含设备本体、支架、紧固件，含运输、现场调试；</w:t>
            </w:r>
          </w:p>
          <w:p w14:paraId="59A13DD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4.适配南方高温多雨户外环境。</w:t>
            </w:r>
          </w:p>
        </w:tc>
      </w:tr>
      <w:tr w14:paraId="1B89B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5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F185C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29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07DCB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驱鸟彩带</w:t>
            </w:r>
          </w:p>
        </w:tc>
        <w:tc>
          <w:tcPr>
            <w:tcW w:w="726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F3E4C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万米</w:t>
            </w:r>
          </w:p>
        </w:tc>
        <w:tc>
          <w:tcPr>
            <w:tcW w:w="783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BDC1C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18</w:t>
            </w:r>
          </w:p>
        </w:tc>
        <w:tc>
          <w:tcPr>
            <w:tcW w:w="505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87F5A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1.宽度4.8cm，厚度3.0</w:t>
            </w: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noBreakHyphen/>
            </w: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3.8丝；反光材质，风吹可自由飘动形成反光驱鸟效果；</w:t>
            </w:r>
          </w:p>
          <w:p w14:paraId="6FCC0C0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2.耐日晒雨淋、抗老化；</w:t>
            </w:r>
          </w:p>
          <w:p w14:paraId="351558B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3.含运输、分发、现场布设指导。</w:t>
            </w:r>
          </w:p>
        </w:tc>
      </w:tr>
      <w:tr w14:paraId="6513F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5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2667E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29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702C9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生态友好型防鸟网</w:t>
            </w:r>
          </w:p>
        </w:tc>
        <w:tc>
          <w:tcPr>
            <w:tcW w:w="726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C0A90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平方米</w:t>
            </w:r>
          </w:p>
        </w:tc>
        <w:tc>
          <w:tcPr>
            <w:tcW w:w="783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81FA2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130000</w:t>
            </w:r>
          </w:p>
        </w:tc>
        <w:tc>
          <w:tcPr>
            <w:tcW w:w="505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67619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1.材质：聚乙烯；网线直径≥0.4mm；颜色为亮白色/蓝色醒目色，严禁使用透明网、粘网；</w:t>
            </w:r>
          </w:p>
          <w:p w14:paraId="59CF976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2.果园、稻田网孔2</w:t>
            </w: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noBreakHyphen/>
            </w: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3厘米；鱼塘用网孔＞5厘米，网孔面积不小于1平方厘米；网体高度3米；</w:t>
            </w:r>
          </w:p>
          <w:p w14:paraId="1AF5F23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3.符合《湖南省防鸟网使用技术指南》；具备抗紫外线、抗老化，适合露天田间使用；</w:t>
            </w:r>
          </w:p>
          <w:p w14:paraId="335BC5F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4.报价包含产品、包装、运输到项目各乡镇点位。</w:t>
            </w:r>
          </w:p>
        </w:tc>
      </w:tr>
      <w:tr w14:paraId="4AF03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5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30356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6</w:t>
            </w:r>
          </w:p>
        </w:tc>
        <w:tc>
          <w:tcPr>
            <w:tcW w:w="129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DDA58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监控摄像机</w:t>
            </w:r>
          </w:p>
        </w:tc>
        <w:tc>
          <w:tcPr>
            <w:tcW w:w="726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1788A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  <w:tc>
          <w:tcPr>
            <w:tcW w:w="783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2B669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40</w:t>
            </w:r>
          </w:p>
        </w:tc>
        <w:tc>
          <w:tcPr>
            <w:tcW w:w="505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FB4F6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1.≥400万像素网络摄像机，户外防水；含摄像头、存储卡、录像机、配套线材支架辅材；</w:t>
            </w:r>
          </w:p>
          <w:p w14:paraId="51114FE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2.支持野外农田果园环境视频监控，可接入采购人现有网络条件；</w:t>
            </w:r>
          </w:p>
          <w:p w14:paraId="0875AB6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3.含设备供货、运输、安装调试。</w:t>
            </w:r>
          </w:p>
        </w:tc>
      </w:tr>
      <w:tr w14:paraId="74838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5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257AF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7</w:t>
            </w:r>
          </w:p>
        </w:tc>
        <w:tc>
          <w:tcPr>
            <w:tcW w:w="129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D1A1F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设备安装服务</w:t>
            </w:r>
          </w:p>
        </w:tc>
        <w:tc>
          <w:tcPr>
            <w:tcW w:w="726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0C65F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项</w:t>
            </w:r>
          </w:p>
        </w:tc>
        <w:tc>
          <w:tcPr>
            <w:tcW w:w="783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BF377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</w:t>
            </w:r>
          </w:p>
        </w:tc>
        <w:tc>
          <w:tcPr>
            <w:tcW w:w="505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5023B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1.承担生态防鸟网、太阳能语音驱鸟器、超声波驱鸟器、监控摄像头全套立杆、支架架设、辅材耗材、人工安装；</w:t>
            </w:r>
          </w:p>
          <w:p w14:paraId="1B9B8FF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2.防鸟网分场景标准化安装：</w:t>
            </w:r>
          </w:p>
          <w:p w14:paraId="6714997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①果园：立柱高于果树1.5米，分区搭建，钢线加固，边缘压实；</w:t>
            </w:r>
          </w:p>
          <w:p w14:paraId="25006AC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②稻田：立柱横向间距5</w:t>
            </w: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noBreakHyphen/>
            </w: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8米、纵向10</w:t>
            </w: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noBreakHyphen/>
            </w: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20米，网面垂落地面覆土压实；</w:t>
            </w:r>
          </w:p>
          <w:p w14:paraId="7C859CD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③鱼塘：立柱间距≤10米，三角斜拉框架，网边缘埋土20</w:t>
            </w: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noBreakHyphen/>
            </w: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30厘米；</w:t>
            </w:r>
          </w:p>
          <w:p w14:paraId="30D8509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④菜地：立柱间距1.5</w:t>
            </w: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noBreakHyphen/>
            </w: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2米，支架高出作物0.5</w:t>
            </w: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noBreakHyphen/>
            </w: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1米，钢丝绷紧支撑；</w:t>
            </w:r>
          </w:p>
          <w:p w14:paraId="765966F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3.驱鸟器严格执行提前布防、太阳能板朝向、喇叭朝向、模式调试；</w:t>
            </w:r>
          </w:p>
          <w:p w14:paraId="5BB18FA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4.完成40个样地全部设备安装，提供现场技术培训，教会乡镇、护林员日常维护；</w:t>
            </w:r>
          </w:p>
          <w:p w14:paraId="3C0BA57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5.非防护季节（作物采收后）15日内完成防鸟网回收，统一归集到乡镇农综存放。</w:t>
            </w:r>
          </w:p>
        </w:tc>
      </w:tr>
      <w:tr w14:paraId="1A5C9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55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35356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8</w:t>
            </w:r>
          </w:p>
        </w:tc>
        <w:tc>
          <w:tcPr>
            <w:tcW w:w="129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72C6D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人工巡护服务</w:t>
            </w:r>
          </w:p>
        </w:tc>
        <w:tc>
          <w:tcPr>
            <w:tcW w:w="726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711C1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项</w:t>
            </w:r>
          </w:p>
        </w:tc>
        <w:tc>
          <w:tcPr>
            <w:tcW w:w="783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19EB3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</w:t>
            </w:r>
          </w:p>
        </w:tc>
        <w:tc>
          <w:tcPr>
            <w:tcW w:w="505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AE477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1.聘请巡护人员、志愿者，对试点乡镇重点区域开展日常巡护；</w:t>
            </w:r>
          </w:p>
          <w:p w14:paraId="70119B9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2.开展鸟类保护宣传，排查非法捕鸟网、猎套猎夹，发现违规网具及时上报；</w:t>
            </w:r>
          </w:p>
          <w:p w14:paraId="71B3E5D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3.定期检查试点防控设施，清理杂物、修补破损设施；</w:t>
            </w:r>
          </w:p>
          <w:p w14:paraId="7520180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rPr>
                <w:rStyle w:val="4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4.承担项目舆情监测、线索收集，落实有奖举报线索初步核实；建立完整巡护台账记录。</w:t>
            </w:r>
          </w:p>
        </w:tc>
      </w:tr>
    </w:tbl>
    <w:p w14:paraId="209F6F9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/>
        <w:jc w:val="both"/>
        <w:outlineLvl w:val="1"/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8" w:name="_Toc256000021"/>
      <w:r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三、总体实施要求</w:t>
      </w:r>
      <w:bookmarkEnd w:id="8"/>
    </w:p>
    <w:p w14:paraId="79650CA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jc w:val="both"/>
        <w:outlineLvl w:val="2"/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9" w:name="_Toc256000022"/>
      <w:r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3.1物资供货要求</w:t>
      </w:r>
      <w:bookmarkEnd w:id="9"/>
    </w:p>
    <w:p w14:paraId="7109D0D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1、中标人须按采购人通知分批次将货物配送至12个乡镇指定试点地块，运输、装卸损耗由中标人承担。</w:t>
      </w:r>
    </w:p>
    <w:p w14:paraId="160E9D6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2.所有硬件设备必须为全新原厂正品，不允许翻新、二手、改装产品，提供产品合格证、质量检测相关证明文件。</w:t>
      </w:r>
    </w:p>
    <w:p w14:paraId="2B7E825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3、防鸟网严禁提供粘网、透明网，到货后采购人有权抽样送检，若不满足技术参数，采购人有权拒收、解除合同并追究违约责任。</w:t>
      </w:r>
    </w:p>
    <w:p w14:paraId="2F55715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jc w:val="both"/>
        <w:outlineLvl w:val="2"/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10" w:name="_Toc256000023"/>
      <w:r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3.2现场实施与安装要求</w:t>
      </w:r>
      <w:bookmarkEnd w:id="10"/>
    </w:p>
    <w:p w14:paraId="46CF2A0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1、成立现场技术实施团队，可配合采购人邀请的野生动物保护专家开展技术指导；高空作业人员必须佩戴安全帽、安全带，大风、雨天禁止高空作业；电力类驱鸟设备安装必须做好用电安全防护。</w:t>
      </w:r>
    </w:p>
    <w:p w14:paraId="297C1EF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2、防鸟网、驱鸟设备、监控摄像头严格按照本采购需求分场景安装规范执行；驱鸟设备要定期轮换播放模式、位置，降低鸟类适应性；鸟类繁殖季、夜间不得使用强声强光设备。</w:t>
      </w:r>
    </w:p>
    <w:p w14:paraId="39B654B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3、</w:t>
      </w: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项目实施全过程做好台账记录，每个样地留存安装前后对比照片、位置信息，建立项目设备物资清单台账。</w:t>
      </w:r>
    </w:p>
    <w:p w14:paraId="44E5DBC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4、完成现场技术培训，对乡镇工作人员、护林员、农户开展设备使用、维护、防鸟网收网操作培训。</w:t>
      </w:r>
    </w:p>
    <w:p w14:paraId="0FCD86C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jc w:val="both"/>
        <w:outlineLvl w:val="2"/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11" w:name="_Toc256000024"/>
      <w:r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3.3专项调查服务要求</w:t>
      </w:r>
      <w:bookmarkEnd w:id="11"/>
    </w:p>
    <w:p w14:paraId="4D09B98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1、严格按照实施方案开展入户访谈、问卷、样线踏查；所有原始调查资料完整留存，不得篡改调查数据。</w:t>
      </w:r>
    </w:p>
    <w:p w14:paraId="7A680C3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2、调查报告需要明确高频致害区域、主要致害鸟类、损失排名，成果满足项目绩效评估、第三方评估使用要求。</w:t>
      </w:r>
    </w:p>
    <w:p w14:paraId="5C0C23C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jc w:val="both"/>
        <w:outlineLvl w:val="2"/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12" w:name="_Toc256000025"/>
      <w:r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3.4巡护服务要求</w:t>
      </w:r>
      <w:bookmarkEnd w:id="12"/>
    </w:p>
    <w:p w14:paraId="2C0B9DC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1、建立巡护工作制度，做好巡护日志，重点排查非法捕鸟工具，及时上报风险线索；协助开展政策科普宣传。</w:t>
      </w:r>
    </w:p>
    <w:p w14:paraId="5A398E4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2、对试点防控设施进行定期巡检，发现破损及时反馈，配合采购人开展设施维护。</w:t>
      </w:r>
    </w:p>
    <w:p w14:paraId="4581E4E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/>
        <w:jc w:val="both"/>
        <w:outlineLvl w:val="1"/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13" w:name="_Toc256000026"/>
      <w:r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四、质量控制、质保及售后服务</w:t>
      </w:r>
      <w:bookmarkEnd w:id="13"/>
    </w:p>
    <w:p w14:paraId="748FE86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2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6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1、硬件设备质保期：不少于12个月</w:t>
      </w: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，自项目整体竣工验收合格之日起算。质保期内，设备出现非人为损坏故障，中标人48小时内到达现场维修或免费更换；</w:t>
      </w:r>
    </w:p>
    <w:p w14:paraId="70CB24B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2、防鸟网质保：正常使用条件下质保1年，出现大面积老化破损由中标人提供技术指导，对批量质量问题免费更换；</w:t>
      </w:r>
    </w:p>
    <w:p w14:paraId="60AF4DA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3、设立项目对接人，提供7×24小时电话技术支持；</w:t>
      </w:r>
    </w:p>
    <w:p w14:paraId="3008C69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4、质保期内提供不少于2次现场回访巡检服务。</w:t>
      </w:r>
    </w:p>
    <w:p w14:paraId="4CA88B3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2" w:firstLineChars="200"/>
        <w:jc w:val="both"/>
        <w:outlineLvl w:val="1"/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14" w:name="_Toc256000027"/>
      <w:r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五、验收要求</w:t>
      </w:r>
      <w:bookmarkEnd w:id="14"/>
    </w:p>
    <w:p w14:paraId="381A444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jc w:val="both"/>
        <w:outlineLvl w:val="2"/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15" w:name="_Toc256000028"/>
      <w:r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5.1分阶段验收</w:t>
      </w:r>
      <w:bookmarkEnd w:id="15"/>
    </w:p>
    <w:p w14:paraId="4D535CC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第一阶段：调查服务成果验收，完成全部野外调查，提交调查报告及全套原始台账，采购人组织审核；</w:t>
      </w:r>
    </w:p>
    <w:p w14:paraId="2FF0CB6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第二阶段：货物到货验收，核对所有设备物资规格型号、数量、质量证明材料，抽样核查关键参数；</w:t>
      </w:r>
    </w:p>
    <w:p w14:paraId="095FD08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第三阶段：安装实施完工验收，核查全部试点地块设备安装质量、布设点位，核对安装台账、影像资料，核查巡护服务台账；</w:t>
      </w:r>
    </w:p>
    <w:p w14:paraId="22687D4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项目整体竣工验收，可根据实施方案需要，配合采购人接受第三方成效评估。</w:t>
      </w:r>
    </w:p>
    <w:p w14:paraId="2A15C53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jc w:val="both"/>
        <w:outlineLvl w:val="2"/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16" w:name="_Toc256000029"/>
      <w:r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5.2验收依据</w:t>
      </w:r>
      <w:bookmarkEnd w:id="16"/>
    </w:p>
    <w:p w14:paraId="652CDB3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采购文件、投标文件、合同文件、衡南县2026年鸟类致害综合防控试点工作实施方案、国家及行业相关标准。</w:t>
      </w:r>
    </w:p>
    <w:p w14:paraId="02F78B8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jc w:val="both"/>
        <w:outlineLvl w:val="2"/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17" w:name="_Toc256000030"/>
      <w:r>
        <w:rPr>
          <w:rStyle w:val="4"/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5.3验收指标</w:t>
      </w:r>
      <w:bookmarkEnd w:id="17"/>
    </w:p>
    <w:p w14:paraId="37057EB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1、货物设备全部满足技术参数；试点40个样地按要求完成设施布设；</w:t>
      </w:r>
    </w:p>
    <w:p w14:paraId="12FA571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20" w:firstLineChars="200"/>
        <w:jc w:val="left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2、专项调查成果完整规范；巡护台账齐全；</w:t>
      </w:r>
    </w:p>
    <w:p w14:paraId="5AE46F7F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beforeAutospacing="0" w:afterAutospacing="0" w:line="360" w:lineRule="auto"/>
        <w:ind w:left="0" w:leftChars="0" w:right="0" w:firstLine="420" w:firstLineChars="200"/>
        <w:jc w:val="both"/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Style w:val="4"/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 w:bidi="ar"/>
        </w:rPr>
        <w:t>3、资料完整，包含物资台账、调查原始记录、调查报告、安装影像资料、培训记录、巡护日志等纸质+电子档案。</w:t>
      </w:r>
    </w:p>
    <w:p w14:paraId="7377FBA3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beforeAutospacing="0" w:afterAutospacing="0" w:line="360" w:lineRule="auto"/>
        <w:ind w:right="0"/>
        <w:jc w:val="both"/>
        <w:rPr>
          <w:rStyle w:val="4"/>
          <w:rFonts w:hint="default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Style w:val="4"/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  <w:t>五</w:t>
      </w:r>
      <w:r>
        <w:rPr>
          <w:rStyle w:val="4"/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</w:rPr>
        <w:t>、</w:t>
      </w:r>
      <w:r>
        <w:rPr>
          <w:rStyle w:val="4"/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  <w:t>付款方式</w:t>
      </w:r>
    </w:p>
    <w:p w14:paraId="2CAA713C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beforeAutospacing="0" w:afterAutospacing="0" w:line="360" w:lineRule="auto"/>
        <w:ind w:left="0" w:leftChars="0" w:right="0" w:firstLine="420" w:firstLineChars="200"/>
        <w:jc w:val="both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1.付款人：采购人。</w:t>
      </w:r>
    </w:p>
    <w:p w14:paraId="1280F53D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beforeAutospacing="0" w:afterAutospacing="0" w:line="360" w:lineRule="auto"/>
        <w:ind w:left="0" w:leftChars="0" w:right="0" w:firstLine="420" w:firstLineChars="200"/>
        <w:jc w:val="both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2.合同方式：本项目合同采用固定总价合同，包括成交供应商履行本合同的全部成本、税费、利润、报酬和专家评审费等，除非甲乙双方就费用调整事宜或者工作服务内容达成一致，否则本款约定的技术服务费不因任何原因作任何调整。</w:t>
      </w:r>
    </w:p>
    <w:p w14:paraId="5D8E27D7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beforeAutospacing="0" w:afterAutospacing="0" w:line="360" w:lineRule="auto"/>
        <w:ind w:left="0" w:leftChars="0" w:right="0" w:firstLine="420" w:firstLineChars="200"/>
        <w:jc w:val="both"/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Style w:val="4"/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3.付款方式：合同签订后，成交供应商硬件设备验收合格，且提交合格的工作成果文件，采购人向成交供应商支付80%款项，本项目通过验收后支付20%剩余款项，成交供应商向采购人提供相应增值税发票。</w:t>
      </w:r>
    </w:p>
    <w:p w14:paraId="56EFCE76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spacing w:beforeAutospacing="0" w:afterAutospacing="0" w:line="360" w:lineRule="auto"/>
        <w:ind w:left="0" w:leftChars="0" w:right="0" w:firstLine="422" w:firstLineChars="200"/>
        <w:jc w:val="both"/>
        <w:rPr>
          <w:rStyle w:val="4"/>
          <w:rFonts w:hint="eastAsia" w:ascii="宋体" w:hAnsi="宋体" w:eastAsia="宋体" w:cs="宋体"/>
          <w:b/>
          <w:bCs w:val="0"/>
          <w:color w:val="auto"/>
          <w:kern w:val="2"/>
          <w:sz w:val="21"/>
          <w:szCs w:val="21"/>
          <w:highlight w:val="none"/>
          <w:lang w:val="en-US" w:eastAsia="zh-CN" w:bidi="ar"/>
        </w:rPr>
      </w:pPr>
    </w:p>
    <w:p w14:paraId="0A327DE7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spacing w:beforeAutospacing="0" w:afterAutospacing="0" w:line="360" w:lineRule="auto"/>
        <w:ind w:left="0" w:leftChars="0" w:right="0" w:firstLine="422" w:firstLineChars="200"/>
        <w:jc w:val="both"/>
        <w:rPr>
          <w:rStyle w:val="4"/>
          <w:rFonts w:hint="eastAsia" w:ascii="宋体" w:hAnsi="宋体"/>
          <w:color w:val="auto"/>
          <w:sz w:val="20"/>
          <w:highlight w:val="none"/>
        </w:rPr>
      </w:pPr>
      <w:r>
        <w:rPr>
          <w:rStyle w:val="4"/>
          <w:rFonts w:hint="eastAsia" w:ascii="宋体" w:hAnsi="宋体" w:eastAsia="宋体" w:cs="宋体"/>
          <w:b/>
          <w:bCs w:val="0"/>
          <w:color w:val="auto"/>
          <w:kern w:val="2"/>
          <w:sz w:val="21"/>
          <w:szCs w:val="21"/>
          <w:highlight w:val="none"/>
          <w:lang w:val="en-US" w:eastAsia="zh-CN" w:bidi="ar"/>
        </w:rPr>
        <w:t>对于上述项目要求，供应商应在响应文件中进行回应或作出承诺或说明。</w:t>
      </w:r>
      <w:bookmarkEnd w:id="1"/>
    </w:p>
    <w:p w14:paraId="72B83F84">
      <w:bookmarkStart w:id="18" w:name="_GoBack"/>
      <w:bookmarkEnd w:id="18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E773A2"/>
    <w:rsid w:val="56E7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widowControl w:val="0"/>
      <w:jc w:val="center"/>
      <w:outlineLvl w:val="0"/>
    </w:pPr>
    <w:rPr>
      <w:rFonts w:ascii="Calibri" w:hAnsi="Calibri" w:eastAsia="宋体" w:cs="Times New Roman"/>
      <w:b/>
      <w:bCs/>
      <w:kern w:val="2"/>
      <w:sz w:val="24"/>
      <w:szCs w:val="2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正文_1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">
    <w:name w:val="要点_1"/>
    <w:qFormat/>
    <w:uiPriority w:val="0"/>
    <w:rPr>
      <w:rFonts w:ascii="Calibri" w:hAnsi="Calibri"/>
      <w:b/>
      <w:bCs/>
    </w:rPr>
  </w:style>
  <w:style w:type="paragraph" w:customStyle="1" w:styleId="7">
    <w:name w:val="正文_17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2026-10-20T04:03:00Z</dcterms:created>
  <dc:creator>xiaoping</dc:creator>
  <cp:lastModifiedBy>xiaoping</cp:lastModifiedBy>
  <dcterms:modified xsi:type="dcterms:W3CDTF">2026-10-20T04:03:43Z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4363039524274A10B4B0F32E1684FFA6_11</vt:lpwstr>
  </property>
  <property fmtid="{D5CDD505-2E9C-101B-9397-08002B2CF9AE}" pid="4" name="KSOTemplateDocerSaveRecord">
    <vt:lpwstr>eyJoZGlkIjoiNjkwMDBkZjgwYTUzNGEwNWZiNDE0MTlkMjk0ZmY2ODUiLCJ1c2VySWQiOiIzMTcwMjkyMTEifQ==</vt:lpwstr>
  </property>
</Properties>
</file>