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5793C">
      <w:pPr>
        <w:rPr>
          <w:rFonts w:hint="eastAsia" w:ascii="宋体" w:hAnsi="宋体" w:eastAsia="宋体" w:cs="宋体"/>
          <w:color w:val="auto"/>
          <w:sz w:val="24"/>
          <w:highlight w:val="none"/>
        </w:rPr>
      </w:pPr>
    </w:p>
    <w:p w14:paraId="237B9A09">
      <w:pPr>
        <w:rPr>
          <w:rFonts w:hint="eastAsia" w:ascii="宋体" w:hAnsi="宋体" w:eastAsia="宋体" w:cs="宋体"/>
          <w:color w:val="auto"/>
          <w:sz w:val="24"/>
          <w:highlight w:val="none"/>
        </w:rPr>
      </w:pPr>
    </w:p>
    <w:p w14:paraId="39D27F56">
      <w:pPr>
        <w:pStyle w:val="2"/>
        <w:outlineLvl w:val="9"/>
        <w:rPr>
          <w:rFonts w:hint="eastAsia" w:ascii="宋体" w:hAnsi="宋体" w:eastAsia="宋体" w:cs="宋体"/>
          <w:color w:val="auto"/>
          <w:highlight w:val="none"/>
        </w:rPr>
      </w:pPr>
    </w:p>
    <w:p w14:paraId="796E01E1">
      <w:pPr>
        <w:rPr>
          <w:rFonts w:hint="eastAsia" w:ascii="宋体" w:hAnsi="宋体" w:eastAsia="宋体" w:cs="宋体"/>
          <w:color w:val="auto"/>
          <w:sz w:val="24"/>
          <w:highlight w:val="none"/>
        </w:rPr>
      </w:pPr>
    </w:p>
    <w:p w14:paraId="387E95F8">
      <w:pPr>
        <w:bidi w:val="0"/>
        <w:rPr>
          <w:rFonts w:hint="eastAsia" w:ascii="宋体" w:hAnsi="宋体" w:eastAsia="宋体" w:cs="宋体"/>
          <w:color w:val="auto"/>
          <w:highlight w:val="none"/>
        </w:rPr>
      </w:pPr>
    </w:p>
    <w:p w14:paraId="42CB8547">
      <w:pPr>
        <w:bidi w:val="0"/>
        <w:rPr>
          <w:rFonts w:hint="eastAsia" w:ascii="宋体" w:hAnsi="宋体" w:eastAsia="宋体" w:cs="宋体"/>
          <w:color w:val="auto"/>
          <w:highlight w:val="none"/>
        </w:rPr>
      </w:pPr>
    </w:p>
    <w:p w14:paraId="2706DE83">
      <w:pPr>
        <w:pStyle w:val="28"/>
        <w:jc w:val="center"/>
        <w:rPr>
          <w:rFonts w:hint="eastAsia" w:ascii="宋体" w:hAnsi="宋体" w:eastAsia="宋体" w:cs="宋体"/>
          <w:b/>
          <w:bCs/>
          <w:color w:val="auto"/>
          <w:sz w:val="72"/>
          <w:szCs w:val="72"/>
          <w:highlight w:val="none"/>
        </w:rPr>
      </w:pPr>
      <w:r>
        <w:rPr>
          <w:rFonts w:hint="eastAsia" w:ascii="宋体" w:hAnsi="宋体" w:eastAsia="宋体" w:cs="宋体"/>
          <w:b/>
          <w:color w:val="auto"/>
          <w:sz w:val="72"/>
          <w:szCs w:val="72"/>
          <w:highlight w:val="none"/>
        </w:rPr>
        <w:t>政府采购</w:t>
      </w:r>
    </w:p>
    <w:p w14:paraId="51AEA3D0">
      <w:pPr>
        <w:pStyle w:val="28"/>
        <w:jc w:val="center"/>
        <w:rPr>
          <w:rFonts w:hint="eastAsia" w:ascii="宋体" w:hAnsi="宋体" w:eastAsia="宋体" w:cs="宋体"/>
          <w:b/>
          <w:color w:val="auto"/>
          <w:sz w:val="84"/>
          <w:szCs w:val="84"/>
          <w:highlight w:val="none"/>
        </w:rPr>
      </w:pPr>
      <w:bookmarkStart w:id="0" w:name="_Toc16620"/>
      <w:bookmarkStart w:id="1" w:name="_Toc11250"/>
      <w:bookmarkStart w:id="2" w:name="_Toc16962"/>
      <w:r>
        <w:rPr>
          <w:rFonts w:hint="eastAsia" w:ascii="宋体" w:hAnsi="宋体" w:eastAsia="宋体" w:cs="宋体"/>
          <w:b/>
          <w:color w:val="auto"/>
          <w:sz w:val="84"/>
          <w:szCs w:val="84"/>
          <w:highlight w:val="none"/>
        </w:rPr>
        <w:t>竞争性磋商文件</w:t>
      </w:r>
      <w:bookmarkEnd w:id="0"/>
      <w:bookmarkEnd w:id="1"/>
      <w:bookmarkEnd w:id="2"/>
    </w:p>
    <w:p w14:paraId="4A31A6F8">
      <w:pPr>
        <w:pStyle w:val="28"/>
        <w:adjustRightInd w:val="0"/>
        <w:snapToGrid w:val="0"/>
        <w:spacing w:before="156" w:beforeLines="50" w:line="360" w:lineRule="auto"/>
        <w:jc w:val="both"/>
        <w:rPr>
          <w:rFonts w:hint="eastAsia" w:ascii="宋体" w:hAnsi="宋体" w:eastAsia="宋体" w:cs="宋体"/>
          <w:b/>
          <w:bCs/>
          <w:color w:val="auto"/>
          <w:sz w:val="48"/>
          <w:szCs w:val="48"/>
          <w:highlight w:val="none"/>
        </w:rPr>
      </w:pPr>
    </w:p>
    <w:p w14:paraId="02A106E2">
      <w:pPr>
        <w:pStyle w:val="28"/>
        <w:adjustRightInd w:val="0"/>
        <w:snapToGrid w:val="0"/>
        <w:spacing w:line="360" w:lineRule="auto"/>
        <w:ind w:left="3207" w:leftChars="456" w:hanging="2249" w:hangingChars="700"/>
        <w:jc w:val="left"/>
        <w:rPr>
          <w:rFonts w:hint="eastAsia" w:ascii="宋体" w:hAnsi="宋体" w:eastAsia="宋体" w:cs="宋体"/>
          <w:b/>
          <w:bCs/>
          <w:color w:val="auto"/>
          <w:sz w:val="32"/>
          <w:szCs w:val="32"/>
          <w:highlight w:val="none"/>
          <w:u w:val="none"/>
        </w:rPr>
      </w:pPr>
      <w:bookmarkStart w:id="3" w:name="_Toc2800"/>
      <w:bookmarkStart w:id="4" w:name="_Toc1308"/>
      <w:bookmarkStart w:id="5" w:name="_Toc20657"/>
      <w:bookmarkStart w:id="6" w:name="_Toc18889"/>
      <w:bookmarkStart w:id="7" w:name="_Toc2441"/>
      <w:bookmarkStart w:id="8" w:name="_Toc12732"/>
      <w:bookmarkStart w:id="9" w:name="_Toc13109"/>
      <w:bookmarkStart w:id="10" w:name="_Toc18137"/>
      <w:r>
        <w:rPr>
          <w:rFonts w:hint="eastAsia" w:ascii="宋体" w:hAnsi="宋体" w:eastAsia="宋体" w:cs="宋体"/>
          <w:b/>
          <w:bCs/>
          <w:color w:val="auto"/>
          <w:sz w:val="32"/>
          <w:szCs w:val="32"/>
          <w:highlight w:val="none"/>
          <w:u w:val="none"/>
        </w:rPr>
        <w:t>采购项目名称：</w:t>
      </w:r>
      <w:bookmarkEnd w:id="3"/>
      <w:bookmarkEnd w:id="4"/>
      <w:bookmarkEnd w:id="5"/>
      <w:bookmarkEnd w:id="6"/>
      <w:bookmarkEnd w:id="7"/>
      <w:bookmarkEnd w:id="8"/>
      <w:bookmarkEnd w:id="9"/>
      <w:bookmarkEnd w:id="10"/>
      <w:bookmarkStart w:id="11" w:name="_Toc8461"/>
      <w:bookmarkStart w:id="12" w:name="_Toc788"/>
      <w:bookmarkStart w:id="13" w:name="_Toc23914"/>
      <w:bookmarkStart w:id="14" w:name="_Toc13421"/>
      <w:bookmarkStart w:id="15" w:name="_Toc7738"/>
      <w:r>
        <w:rPr>
          <w:rFonts w:hint="eastAsia" w:ascii="宋体" w:hAnsi="宋体" w:eastAsia="宋体" w:cs="宋体"/>
          <w:b/>
          <w:bCs/>
          <w:color w:val="auto"/>
          <w:sz w:val="32"/>
          <w:szCs w:val="32"/>
          <w:highlight w:val="none"/>
          <w:u w:val="none"/>
        </w:rPr>
        <w:t>华容县人民医院彩色多普勒超声诊断仪采购项目</w:t>
      </w:r>
    </w:p>
    <w:p w14:paraId="38F7E092">
      <w:pPr>
        <w:pStyle w:val="28"/>
        <w:adjustRightInd w:val="0"/>
        <w:snapToGrid w:val="0"/>
        <w:spacing w:line="360" w:lineRule="auto"/>
        <w:ind w:firstLine="964" w:firstLineChars="300"/>
        <w:jc w:val="left"/>
        <w:rPr>
          <w:rFonts w:hint="eastAsia" w:ascii="宋体" w:hAnsi="宋体" w:eastAsia="宋体" w:cs="宋体"/>
          <w:b/>
          <w:bCs/>
          <w:color w:val="auto"/>
          <w:sz w:val="32"/>
          <w:szCs w:val="32"/>
          <w:highlight w:val="none"/>
          <w:u w:val="none"/>
        </w:rPr>
      </w:pPr>
      <w:bookmarkStart w:id="16" w:name="_Toc23781"/>
      <w:bookmarkStart w:id="17" w:name="_Toc15841"/>
      <w:bookmarkStart w:id="18" w:name="_Toc29969"/>
      <w:r>
        <w:rPr>
          <w:rFonts w:hint="eastAsia" w:ascii="宋体" w:hAnsi="宋体" w:eastAsia="宋体" w:cs="宋体"/>
          <w:b/>
          <w:bCs/>
          <w:color w:val="auto"/>
          <w:sz w:val="32"/>
          <w:szCs w:val="32"/>
          <w:highlight w:val="none"/>
          <w:u w:val="none"/>
        </w:rPr>
        <w:t>采    购  人：华容县人民医院</w:t>
      </w:r>
      <w:bookmarkEnd w:id="11"/>
      <w:bookmarkEnd w:id="12"/>
      <w:bookmarkEnd w:id="13"/>
      <w:bookmarkEnd w:id="14"/>
      <w:bookmarkEnd w:id="15"/>
      <w:bookmarkEnd w:id="16"/>
      <w:bookmarkEnd w:id="17"/>
      <w:bookmarkEnd w:id="18"/>
    </w:p>
    <w:p w14:paraId="02A66582">
      <w:pPr>
        <w:pStyle w:val="28"/>
        <w:adjustRightInd w:val="0"/>
        <w:snapToGrid w:val="0"/>
        <w:spacing w:line="360" w:lineRule="auto"/>
        <w:ind w:firstLine="964" w:firstLineChars="300"/>
        <w:jc w:val="left"/>
        <w:rPr>
          <w:rFonts w:hint="eastAsia" w:ascii="宋体" w:hAnsi="宋体" w:eastAsia="宋体" w:cs="宋体"/>
          <w:b/>
          <w:bCs/>
          <w:color w:val="auto"/>
          <w:sz w:val="32"/>
          <w:szCs w:val="32"/>
          <w:highlight w:val="none"/>
          <w:u w:val="none"/>
        </w:rPr>
      </w:pPr>
      <w:r>
        <w:rPr>
          <w:rFonts w:hint="eastAsia" w:ascii="宋体" w:hAnsi="宋体" w:eastAsia="宋体" w:cs="宋体"/>
          <w:b/>
          <w:bCs/>
          <w:color w:val="auto"/>
          <w:sz w:val="32"/>
          <w:szCs w:val="32"/>
          <w:highlight w:val="none"/>
          <w:u w:val="none"/>
        </w:rPr>
        <w:t>政府采购</w:t>
      </w:r>
      <w:r>
        <w:rPr>
          <w:rFonts w:hint="eastAsia" w:hAnsi="宋体" w:cs="宋体"/>
          <w:b/>
          <w:bCs/>
          <w:color w:val="auto"/>
          <w:sz w:val="32"/>
          <w:szCs w:val="32"/>
          <w:highlight w:val="none"/>
          <w:u w:val="none"/>
          <w:lang w:val="en-US" w:eastAsia="zh-CN"/>
        </w:rPr>
        <w:t>计划</w:t>
      </w:r>
      <w:r>
        <w:rPr>
          <w:rFonts w:hint="eastAsia" w:ascii="宋体" w:hAnsi="宋体" w:eastAsia="宋体" w:cs="宋体"/>
          <w:b/>
          <w:bCs/>
          <w:color w:val="auto"/>
          <w:sz w:val="32"/>
          <w:szCs w:val="32"/>
          <w:highlight w:val="none"/>
          <w:u w:val="none"/>
        </w:rPr>
        <w:t>编</w:t>
      </w:r>
      <w:r>
        <w:rPr>
          <w:rFonts w:hint="eastAsia" w:ascii="宋体" w:hAnsi="宋体" w:eastAsia="宋体" w:cs="宋体"/>
          <w:bCs/>
          <w:color w:val="auto"/>
          <w:sz w:val="36"/>
          <w:szCs w:val="36"/>
          <w:highlight w:val="none"/>
          <w:lang w:eastAsia="zh-CN"/>
        </w:rPr>
        <w:t xml:space="preserve">号：(2026)430623000015-1 </w:t>
      </w:r>
    </w:p>
    <w:p w14:paraId="47FA902C">
      <w:pPr>
        <w:pStyle w:val="28"/>
        <w:adjustRightInd w:val="0"/>
        <w:snapToGrid w:val="0"/>
        <w:spacing w:line="360" w:lineRule="auto"/>
        <w:ind w:firstLine="964" w:firstLineChars="300"/>
        <w:rPr>
          <w:rFonts w:hint="eastAsia" w:ascii="宋体" w:hAnsi="宋体" w:eastAsia="宋体" w:cs="宋体"/>
          <w:b/>
          <w:bCs/>
          <w:color w:val="auto"/>
          <w:sz w:val="32"/>
          <w:szCs w:val="32"/>
          <w:highlight w:val="none"/>
          <w:u w:val="none"/>
          <w:lang w:val="en-US" w:eastAsia="zh-CN"/>
        </w:rPr>
      </w:pPr>
      <w:r>
        <w:rPr>
          <w:rFonts w:hint="eastAsia" w:ascii="宋体" w:hAnsi="宋体" w:eastAsia="宋体" w:cs="宋体"/>
          <w:b/>
          <w:bCs/>
          <w:color w:val="auto"/>
          <w:sz w:val="32"/>
          <w:szCs w:val="32"/>
          <w:highlight w:val="none"/>
          <w:u w:val="none"/>
        </w:rPr>
        <w:t>委托代理编号：</w:t>
      </w:r>
      <w:r>
        <w:rPr>
          <w:rFonts w:hint="eastAsia" w:ascii="宋体" w:hAnsi="宋体" w:eastAsia="宋体" w:cs="宋体"/>
          <w:bCs/>
          <w:color w:val="auto"/>
          <w:sz w:val="36"/>
          <w:szCs w:val="36"/>
          <w:highlight w:val="none"/>
          <w:lang w:eastAsia="zh-CN"/>
        </w:rPr>
        <w:t>HNRCH202</w:t>
      </w:r>
      <w:r>
        <w:rPr>
          <w:rFonts w:hint="eastAsia" w:ascii="宋体" w:hAnsi="宋体" w:eastAsia="宋体" w:cs="宋体"/>
          <w:bCs/>
          <w:color w:val="auto"/>
          <w:sz w:val="36"/>
          <w:szCs w:val="36"/>
          <w:highlight w:val="none"/>
          <w:lang w:val="en-US" w:eastAsia="zh-CN"/>
        </w:rPr>
        <w:t>6</w:t>
      </w:r>
      <w:r>
        <w:rPr>
          <w:rFonts w:hint="eastAsia" w:ascii="宋体" w:hAnsi="宋体" w:eastAsia="宋体" w:cs="宋体"/>
          <w:bCs/>
          <w:color w:val="auto"/>
          <w:sz w:val="36"/>
          <w:szCs w:val="36"/>
          <w:highlight w:val="none"/>
          <w:lang w:eastAsia="zh-CN"/>
        </w:rPr>
        <w:t>-0</w:t>
      </w:r>
      <w:r>
        <w:rPr>
          <w:rFonts w:hint="eastAsia" w:ascii="宋体" w:hAnsi="宋体" w:eastAsia="宋体" w:cs="宋体"/>
          <w:bCs/>
          <w:color w:val="auto"/>
          <w:sz w:val="36"/>
          <w:szCs w:val="36"/>
          <w:highlight w:val="none"/>
          <w:lang w:val="en-US" w:eastAsia="zh-CN"/>
        </w:rPr>
        <w:t>08</w:t>
      </w:r>
    </w:p>
    <w:p w14:paraId="2F7DC962">
      <w:pPr>
        <w:pStyle w:val="28"/>
        <w:adjustRightInd w:val="0"/>
        <w:snapToGrid w:val="0"/>
        <w:spacing w:line="360" w:lineRule="auto"/>
        <w:ind w:firstLine="964" w:firstLineChars="300"/>
        <w:jc w:val="left"/>
        <w:rPr>
          <w:rFonts w:hint="eastAsia" w:ascii="宋体" w:hAnsi="宋体" w:eastAsia="宋体" w:cs="宋体"/>
          <w:b/>
          <w:bCs/>
          <w:color w:val="auto"/>
          <w:sz w:val="32"/>
          <w:szCs w:val="32"/>
          <w:highlight w:val="none"/>
          <w:u w:val="none"/>
        </w:rPr>
      </w:pPr>
      <w:r>
        <w:rPr>
          <w:rFonts w:hint="eastAsia" w:ascii="宋体" w:hAnsi="宋体" w:eastAsia="宋体" w:cs="宋体"/>
          <w:b/>
          <w:bCs/>
          <w:color w:val="auto"/>
          <w:sz w:val="32"/>
          <w:szCs w:val="32"/>
          <w:highlight w:val="none"/>
          <w:u w:val="none"/>
        </w:rPr>
        <w:t>采购代理机构：湖南</w:t>
      </w:r>
      <w:r>
        <w:rPr>
          <w:rFonts w:hint="eastAsia" w:ascii="宋体" w:hAnsi="宋体" w:eastAsia="宋体" w:cs="宋体"/>
          <w:b/>
          <w:bCs/>
          <w:color w:val="auto"/>
          <w:sz w:val="32"/>
          <w:szCs w:val="32"/>
          <w:highlight w:val="none"/>
          <w:u w:val="none"/>
          <w:lang w:val="en-US" w:eastAsia="zh-CN"/>
        </w:rPr>
        <w:t>容成和</w:t>
      </w:r>
      <w:r>
        <w:rPr>
          <w:rFonts w:hint="eastAsia" w:ascii="宋体" w:hAnsi="宋体" w:eastAsia="宋体" w:cs="宋体"/>
          <w:b/>
          <w:bCs/>
          <w:color w:val="auto"/>
          <w:sz w:val="32"/>
          <w:szCs w:val="32"/>
          <w:highlight w:val="none"/>
          <w:u w:val="none"/>
        </w:rPr>
        <w:t>项目管理有限公司</w:t>
      </w:r>
    </w:p>
    <w:p w14:paraId="1A63885A">
      <w:pPr>
        <w:pStyle w:val="28"/>
        <w:adjustRightInd w:val="0"/>
        <w:snapToGrid w:val="0"/>
        <w:spacing w:line="360" w:lineRule="auto"/>
        <w:rPr>
          <w:rFonts w:hint="eastAsia" w:ascii="宋体" w:hAnsi="宋体" w:eastAsia="宋体" w:cs="宋体"/>
          <w:color w:val="auto"/>
          <w:sz w:val="32"/>
          <w:szCs w:val="32"/>
          <w:highlight w:val="none"/>
        </w:rPr>
      </w:pPr>
    </w:p>
    <w:p w14:paraId="13D79B25">
      <w:pPr>
        <w:rPr>
          <w:rFonts w:hint="eastAsia" w:ascii="宋体" w:hAnsi="宋体" w:eastAsia="宋体" w:cs="宋体"/>
          <w:color w:val="auto"/>
          <w:highlight w:val="none"/>
        </w:rPr>
      </w:pPr>
    </w:p>
    <w:p w14:paraId="2BF9351D">
      <w:pPr>
        <w:pStyle w:val="28"/>
        <w:adjustRightInd w:val="0"/>
        <w:snapToGrid w:val="0"/>
        <w:spacing w:line="360" w:lineRule="auto"/>
        <w:jc w:val="center"/>
        <w:rPr>
          <w:rFonts w:hint="eastAsia" w:ascii="宋体" w:hAnsi="宋体" w:eastAsia="宋体" w:cs="宋体"/>
          <w:b/>
          <w:color w:val="auto"/>
          <w:sz w:val="32"/>
          <w:highlight w:val="none"/>
        </w:rPr>
      </w:pPr>
    </w:p>
    <w:p w14:paraId="38AD566B">
      <w:pPr>
        <w:pStyle w:val="28"/>
        <w:adjustRightInd w:val="0"/>
        <w:snapToGrid w:val="0"/>
        <w:spacing w:line="360" w:lineRule="auto"/>
        <w:jc w:val="center"/>
        <w:rPr>
          <w:rFonts w:hint="eastAsia" w:ascii="宋体" w:hAnsi="宋体" w:eastAsia="宋体" w:cs="宋体"/>
          <w:b/>
          <w:color w:val="auto"/>
          <w:sz w:val="32"/>
          <w:highlight w:val="none"/>
        </w:rPr>
      </w:pPr>
    </w:p>
    <w:p w14:paraId="0C9131BF">
      <w:pPr>
        <w:pStyle w:val="28"/>
        <w:adjustRightInd w:val="0"/>
        <w:snapToGrid w:val="0"/>
        <w:spacing w:line="360" w:lineRule="auto"/>
        <w:jc w:val="center"/>
        <w:rPr>
          <w:rFonts w:hint="eastAsia" w:ascii="宋体" w:hAnsi="宋体" w:eastAsia="宋体" w:cs="宋体"/>
          <w:b/>
          <w:color w:val="auto"/>
          <w:sz w:val="32"/>
          <w:highlight w:val="none"/>
        </w:rPr>
      </w:pPr>
    </w:p>
    <w:p w14:paraId="3F6BB0A3">
      <w:pPr>
        <w:pStyle w:val="28"/>
        <w:adjustRightInd w:val="0"/>
        <w:snapToGrid w:val="0"/>
        <w:spacing w:line="360" w:lineRule="auto"/>
        <w:jc w:val="center"/>
        <w:rPr>
          <w:rFonts w:hint="eastAsia" w:ascii="宋体" w:hAnsi="宋体" w:eastAsia="宋体" w:cs="宋体"/>
          <w:b/>
          <w:color w:val="auto"/>
          <w:sz w:val="32"/>
          <w:highlight w:val="none"/>
        </w:rPr>
      </w:pPr>
    </w:p>
    <w:p w14:paraId="6D20C7D5">
      <w:pPr>
        <w:pStyle w:val="28"/>
        <w:adjustRightInd w:val="0"/>
        <w:snapToGrid w:val="0"/>
        <w:spacing w:line="360" w:lineRule="auto"/>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二零二</w:t>
      </w:r>
      <w:r>
        <w:rPr>
          <w:rFonts w:hint="eastAsia" w:ascii="宋体" w:hAnsi="宋体" w:eastAsia="宋体" w:cs="宋体"/>
          <w:b/>
          <w:color w:val="auto"/>
          <w:sz w:val="32"/>
          <w:highlight w:val="none"/>
          <w:lang w:val="en-US" w:eastAsia="zh-CN"/>
        </w:rPr>
        <w:t>六</w:t>
      </w:r>
      <w:r>
        <w:rPr>
          <w:rFonts w:hint="eastAsia" w:ascii="宋体" w:hAnsi="宋体" w:eastAsia="宋体" w:cs="宋体"/>
          <w:b/>
          <w:color w:val="auto"/>
          <w:sz w:val="32"/>
          <w:highlight w:val="none"/>
        </w:rPr>
        <w:t>年</w:t>
      </w:r>
      <w:r>
        <w:rPr>
          <w:rFonts w:hint="eastAsia" w:ascii="宋体" w:hAnsi="宋体" w:eastAsia="宋体" w:cs="宋体"/>
          <w:b/>
          <w:color w:val="auto"/>
          <w:sz w:val="32"/>
          <w:highlight w:val="none"/>
          <w:lang w:val="en-US" w:eastAsia="zh-CN"/>
        </w:rPr>
        <w:t xml:space="preserve">   </w:t>
      </w:r>
      <w:r>
        <w:rPr>
          <w:rFonts w:hint="eastAsia" w:ascii="宋体" w:hAnsi="宋体" w:eastAsia="宋体" w:cs="宋体"/>
          <w:b/>
          <w:color w:val="auto"/>
          <w:sz w:val="32"/>
          <w:highlight w:val="none"/>
        </w:rPr>
        <w:t>月</w:t>
      </w:r>
    </w:p>
    <w:p w14:paraId="55BD94B2">
      <w:pPr>
        <w:pStyle w:val="28"/>
        <w:adjustRightInd w:val="0"/>
        <w:snapToGrid w:val="0"/>
        <w:spacing w:line="360" w:lineRule="auto"/>
        <w:jc w:val="center"/>
        <w:rPr>
          <w:rFonts w:hint="eastAsia" w:ascii="宋体" w:hAnsi="宋体" w:eastAsia="宋体" w:cs="宋体"/>
          <w:b/>
          <w:bCs/>
          <w:color w:val="auto"/>
          <w:spacing w:val="160"/>
          <w:sz w:val="36"/>
          <w:szCs w:val="36"/>
          <w:highlight w:val="none"/>
        </w:rPr>
        <w:sectPr>
          <w:headerReference r:id="rId4" w:type="first"/>
          <w:headerReference r:id="rId3" w:type="default"/>
          <w:footerReference r:id="rId5" w:type="default"/>
          <w:pgSz w:w="11906" w:h="16838"/>
          <w:pgMar w:top="1440" w:right="1587" w:bottom="1440" w:left="1587" w:header="851" w:footer="992" w:gutter="0"/>
          <w:pgNumType w:fmt="decimal"/>
          <w:cols w:space="720" w:num="1"/>
          <w:titlePg/>
          <w:docGrid w:type="lines" w:linePitch="312" w:charSpace="0"/>
        </w:sectPr>
      </w:pPr>
    </w:p>
    <w:sdt>
      <w:sdtPr>
        <w:rPr>
          <w:rFonts w:hint="eastAsia" w:ascii="宋体" w:hAnsi="宋体" w:eastAsia="宋体" w:cs="宋体"/>
          <w:b/>
          <w:bCs/>
          <w:color w:val="auto"/>
          <w:kern w:val="2"/>
          <w:sz w:val="30"/>
          <w:szCs w:val="30"/>
          <w:highlight w:val="none"/>
          <w:lang w:val="en-US" w:eastAsia="zh-CN" w:bidi="ar-SA"/>
        </w:rPr>
        <w:id w:val="147452151"/>
        <w15:color w:val="DBDBDB"/>
        <w:docPartObj>
          <w:docPartGallery w:val="Table of Contents"/>
          <w:docPartUnique/>
        </w:docPartObj>
      </w:sdtPr>
      <w:sdtEndPr>
        <w:rPr>
          <w:rFonts w:hint="eastAsia" w:ascii="宋体" w:hAnsi="宋体" w:eastAsia="宋体" w:cs="宋体"/>
          <w:b/>
          <w:bCs/>
          <w:color w:val="auto"/>
          <w:kern w:val="2"/>
          <w:sz w:val="24"/>
          <w:szCs w:val="24"/>
          <w:highlight w:val="none"/>
          <w:lang w:val="en-US" w:eastAsia="zh-CN" w:bidi="ar-SA"/>
        </w:rPr>
      </w:sdtEndPr>
      <w:sdtContent>
        <w:p w14:paraId="4500C9BC">
          <w:pPr>
            <w:spacing w:before="0" w:beforeLines="0" w:after="0" w:afterLines="0" w:line="240" w:lineRule="auto"/>
            <w:ind w:left="0" w:leftChars="0" w:right="0" w:rightChars="0" w:firstLine="0" w:firstLineChars="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目</w:t>
          </w:r>
          <w:r>
            <w:rPr>
              <w:rFonts w:hint="eastAsia" w:ascii="宋体" w:hAnsi="宋体" w:eastAsia="宋体" w:cs="宋体"/>
              <w:b/>
              <w:bCs/>
              <w:color w:val="auto"/>
              <w:sz w:val="30"/>
              <w:szCs w:val="30"/>
              <w:highlight w:val="none"/>
              <w:lang w:val="en-US" w:eastAsia="zh-CN"/>
            </w:rPr>
            <w:t xml:space="preserve"> </w:t>
          </w:r>
          <w:r>
            <w:rPr>
              <w:rFonts w:hint="eastAsia" w:ascii="宋体" w:hAnsi="宋体" w:eastAsia="宋体" w:cs="宋体"/>
              <w:b/>
              <w:bCs/>
              <w:color w:val="auto"/>
              <w:sz w:val="30"/>
              <w:szCs w:val="30"/>
              <w:highlight w:val="none"/>
            </w:rPr>
            <w:t>录</w:t>
          </w:r>
        </w:p>
        <w:p w14:paraId="1E60260A">
          <w:pPr>
            <w:pStyle w:val="35"/>
            <w:tabs>
              <w:tab w:val="right" w:leader="dot" w:pos="8844"/>
            </w:tabs>
            <w:rPr>
              <w:rFonts w:hint="eastAsia" w:ascii="宋体" w:hAnsi="宋体" w:eastAsia="宋体" w:cs="宋体"/>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_Toc19699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2"/>
              <w:highlight w:val="none"/>
            </w:rPr>
            <w:t>第一章  磋商邀请</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_Toc19699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265BCBAB">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_Toc17796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一、采购项目基本信息</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_Toc17796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7C29E9DD">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_Toc8584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二、采购人的采购需求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_Toc8584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40CAAE28">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_Toc17927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三、采购项目需落实的政府采购政策：</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_Toc17927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4DB4B709">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_Toc20950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四、投标人的资格要求：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_Toc20950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367A144">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_Toc6580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五、获取招标文件的时间、期限、地点及方式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_Toc6580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4D477C0F">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_Toc15015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六、投标截止时间、开标时间及地点</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_Toc15015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C9E46DB">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_Toc32474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七、公告期限</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_Toc32474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0BFABA35">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_Toc19215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八、询问及质疑</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_Toc19215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F6E18B2">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_Toc12848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九、投标说明</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_Toc12848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33AA425">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_Toc5885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十、采购项目联系人姓名和电话</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_Toc5885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819D084">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_Toc25020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十一、采购人、采购代理机构的名称、地址和联系方法</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_Toc25020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008F899D">
          <w:pPr>
            <w:pStyle w:val="35"/>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_Toc32509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2"/>
              <w:highlight w:val="none"/>
            </w:rPr>
            <w:t>第二章  磋商须知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_Toc32509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4BDA699">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_Toc8063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0"/>
              <w:highlight w:val="none"/>
            </w:rPr>
            <w:t xml:space="preserve">附页1 </w:t>
          </w:r>
          <w:r>
            <w:rPr>
              <w:rFonts w:hint="eastAsia" w:ascii="宋体" w:hAnsi="宋体" w:eastAsia="宋体" w:cs="宋体"/>
              <w:color w:val="auto"/>
              <w:szCs w:val="30"/>
              <w:highlight w:val="none"/>
              <w:lang w:val="en-US" w:eastAsia="zh-CN"/>
            </w:rPr>
            <w:t>资格性审查表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_Toc8063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11</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DA937DD">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_Toc27742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0"/>
              <w:highlight w:val="none"/>
            </w:rPr>
            <w:t>附页</w:t>
          </w:r>
          <w:r>
            <w:rPr>
              <w:rFonts w:hint="eastAsia" w:ascii="宋体" w:hAnsi="宋体" w:eastAsia="宋体" w:cs="宋体"/>
              <w:color w:val="auto"/>
              <w:szCs w:val="30"/>
              <w:highlight w:val="none"/>
              <w:lang w:val="en-US" w:eastAsia="zh-CN"/>
            </w:rPr>
            <w:t>2 符合性审查表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_Toc27742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11</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ED29529">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_Toc2780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0"/>
              <w:highlight w:val="none"/>
            </w:rPr>
            <w:t>附页</w:t>
          </w:r>
          <w:r>
            <w:rPr>
              <w:rFonts w:hint="eastAsia" w:ascii="宋体" w:hAnsi="宋体" w:eastAsia="宋体" w:cs="宋体"/>
              <w:color w:val="auto"/>
              <w:szCs w:val="30"/>
              <w:highlight w:val="none"/>
              <w:lang w:val="en-US" w:eastAsia="zh-CN"/>
            </w:rPr>
            <w:t>3 评标方法及标准前附表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_Toc2780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12</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15A718F">
          <w:pPr>
            <w:pStyle w:val="35"/>
            <w:tabs>
              <w:tab w:val="right" w:leader="dot" w:pos="8844"/>
            </w:tabs>
            <w:ind w:firstLine="420" w:firstLineChars="200"/>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_Toc17472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评标因素和标准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_Toc17472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371214A">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_Toc11498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40"/>
              <w:highlight w:val="none"/>
            </w:rPr>
            <w:t>磋商须知正文</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_Toc11498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EA4CD1E">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_Toc31260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一、说明</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_Toc31260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0C740914">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_Toc27625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二、磋商文件</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_Toc27625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17</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26012A32">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_Toc32137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三、响应文件</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_Toc32137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18</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6EDBCFE">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_Toc31236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四、响应文件的递交</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_Toc31236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19</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CD6BB4D">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_Toc32047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五、响应文件的磋商与评审</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_Toc32047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20</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4714AC0">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_Toc9158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六、成交结果信息公布与授予合同</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_Toc9158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4B464FE7">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_Toc4589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七、其他规定</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_Toc4589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24</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42FAE168">
          <w:pPr>
            <w:pStyle w:val="35"/>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_Toc2853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2"/>
              <w:highlight w:val="none"/>
            </w:rPr>
            <w:t>第三章  合同草案条款</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_Toc2853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1F19A5A">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_Toc22564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0"/>
              <w:highlight w:val="none"/>
            </w:rPr>
            <w:t>第一节 合同协议书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_Toc22564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91637FA">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_Toc31775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8"/>
              <w:highlight w:val="none"/>
            </w:rPr>
            <w:t>第二节 政府采购合同通用条款</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_Toc31775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27</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9B4BB89">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_Toc4217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8"/>
              <w:highlight w:val="none"/>
              <w:lang w:eastAsia="zh-CN"/>
            </w:rPr>
            <w:t>第</w:t>
          </w:r>
          <w:r>
            <w:rPr>
              <w:rFonts w:hint="eastAsia" w:ascii="宋体" w:hAnsi="宋体" w:eastAsia="宋体" w:cs="宋体"/>
              <w:color w:val="auto"/>
              <w:szCs w:val="28"/>
              <w:highlight w:val="none"/>
            </w:rPr>
            <w:t>三</w:t>
          </w:r>
          <w:r>
            <w:rPr>
              <w:rFonts w:hint="eastAsia" w:ascii="宋体" w:hAnsi="宋体" w:eastAsia="宋体" w:cs="宋体"/>
              <w:color w:val="auto"/>
              <w:szCs w:val="28"/>
              <w:highlight w:val="none"/>
              <w:lang w:eastAsia="zh-CN"/>
            </w:rPr>
            <w:t>节</w:t>
          </w:r>
          <w:r>
            <w:rPr>
              <w:rFonts w:hint="eastAsia" w:ascii="宋体" w:hAnsi="宋体" w:eastAsia="宋体" w:cs="宋体"/>
              <w:color w:val="auto"/>
              <w:szCs w:val="28"/>
              <w:highlight w:val="none"/>
            </w:rPr>
            <w:t>、政府采购合同专用条款</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_Toc4217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34</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72C51829">
          <w:pPr>
            <w:pStyle w:val="35"/>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_Toc12023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2"/>
              <w:highlight w:val="none"/>
            </w:rPr>
            <w:t>第四章 采购需求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_Toc12023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B462023">
          <w:pPr>
            <w:pStyle w:val="35"/>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_Toc27532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2"/>
              <w:highlight w:val="none"/>
            </w:rPr>
            <w:t>第五章 响应文件组成</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_Toc27532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38</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23A87EF9">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_Toc11662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2"/>
              <w:highlight w:val="none"/>
            </w:rPr>
            <w:t>一、磋商响应声明</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_Toc11662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40</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A5DDA7F">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_Toc114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8"/>
              <w:highlight w:val="none"/>
            </w:rPr>
            <w:t>附件1-1</w:t>
          </w:r>
          <w:r>
            <w:rPr>
              <w:rFonts w:hint="eastAsia" w:ascii="宋体" w:hAnsi="宋体" w:eastAsia="宋体" w:cs="宋体"/>
              <w:color w:val="auto"/>
              <w:szCs w:val="28"/>
              <w:highlight w:val="none"/>
              <w:lang w:val="en-US" w:eastAsia="zh-CN"/>
            </w:rPr>
            <w:t xml:space="preserve"> 法定代表人身份证明</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41</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62231F8">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_Toc31866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8"/>
              <w:highlight w:val="none"/>
              <w:lang w:val="en-US" w:eastAsia="zh-CN"/>
            </w:rPr>
            <w:t>附件1-2 法定代表人授权委托书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_Toc31866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42</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01FFD210">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_Toc11254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二、磋商保证金缴纳证明材料</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_Toc11254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25106173">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_Toc28092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0"/>
              <w:highlight w:val="none"/>
              <w:lang w:val="en-US" w:eastAsia="zh-CN"/>
            </w:rPr>
            <w:t>三、供应商的资格证明资料</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_Toc28092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44</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50FF7D4">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_Toc18154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0"/>
              <w:highlight w:val="none"/>
              <w:lang w:val="en-US" w:eastAsia="zh-CN"/>
            </w:rPr>
            <w:t>四、技术/商务响应与偏离表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_Toc18154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49</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C4C36FD">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_Toc29259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0"/>
              <w:highlight w:val="none"/>
            </w:rPr>
            <w:t>五、提供政府采购政策产品等证明材料</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_Toc29259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50</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2B14CE23">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_Toc21530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0"/>
              <w:highlight w:val="none"/>
            </w:rPr>
            <w:t>六、 货物说明一览表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_Toc21530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3600382">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_Toc10442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0"/>
              <w:highlight w:val="none"/>
              <w:lang w:val="en-US" w:eastAsia="zh-CN"/>
            </w:rPr>
            <w:t>七、报价一览表及分项报价明细表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_Toc10442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56</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06B1662">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_Toc2706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0"/>
              <w:highlight w:val="none"/>
              <w:lang w:val="en-US" w:eastAsia="zh-CN"/>
            </w:rPr>
            <w:t>八、供应商认为需提供的资料及说明</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_Toc2706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58</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7941D03">
          <w:pPr>
            <w:pStyle w:val="39"/>
            <w:tabs>
              <w:tab w:val="right" w:leader="dot" w:pos="8844"/>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_Toc6949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30"/>
              <w:highlight w:val="none"/>
              <w:lang w:val="en-US" w:eastAsia="zh-CN"/>
            </w:rPr>
            <w:t>九、最后报价</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_Toc6949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59</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4868F65">
          <w:pPr>
            <w:pStyle w:val="2"/>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end"/>
          </w:r>
          <w:bookmarkStart w:id="19" w:name="_Toc19699"/>
        </w:p>
      </w:sdtContent>
    </w:sdt>
    <w:p w14:paraId="44A6B9A5">
      <w:pPr>
        <w:pStyle w:val="2"/>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第一章  磋商邀请</w:t>
      </w:r>
      <w:bookmarkEnd w:id="19"/>
    </w:p>
    <w:p w14:paraId="78EB84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华容县人民医院彩色多普勒超声诊断仪采购项目进行采购，现邀请合格投标人参加投标。 </w:t>
      </w:r>
    </w:p>
    <w:p w14:paraId="5125EA17">
      <w:pPr>
        <w:pStyle w:val="3"/>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bookmarkStart w:id="20" w:name="_Toc17796"/>
      <w:r>
        <w:rPr>
          <w:rFonts w:hint="eastAsia" w:ascii="宋体" w:hAnsi="宋体" w:eastAsia="宋体" w:cs="宋体"/>
          <w:color w:val="auto"/>
          <w:sz w:val="24"/>
          <w:szCs w:val="24"/>
          <w:highlight w:val="none"/>
        </w:rPr>
        <w:t>一、采购项目基本信息</w:t>
      </w:r>
      <w:bookmarkEnd w:id="20"/>
    </w:p>
    <w:p w14:paraId="1C599C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1、采购项目名称：华容县人民医院彩色多普勒超声诊断仪采购项目 </w:t>
      </w:r>
    </w:p>
    <w:p w14:paraId="06F5D4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2、政府采购计划编号：(2026)430623000015-1</w:t>
      </w:r>
    </w:p>
    <w:p w14:paraId="0F93B2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3、委托代理编号：HNRCH2026-008</w:t>
      </w:r>
    </w:p>
    <w:p w14:paraId="47ACBA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4、采购项目预算：</w:t>
      </w:r>
      <w:r>
        <w:rPr>
          <w:rFonts w:hint="eastAsia" w:ascii="宋体" w:hAnsi="宋体" w:eastAsia="宋体" w:cs="宋体"/>
          <w:color w:val="auto"/>
          <w:sz w:val="24"/>
          <w:szCs w:val="24"/>
          <w:highlight w:val="none"/>
          <w:lang w:val="en-US" w:eastAsia="zh-CN"/>
        </w:rPr>
        <w:t>19000</w:t>
      </w:r>
      <w:r>
        <w:rPr>
          <w:rFonts w:hint="eastAsia" w:ascii="宋体" w:hAnsi="宋体" w:eastAsia="宋体" w:cs="宋体"/>
          <w:color w:val="auto"/>
          <w:sz w:val="24"/>
          <w:szCs w:val="24"/>
          <w:highlight w:val="none"/>
        </w:rPr>
        <w:t>00.00元</w:t>
      </w:r>
      <w:r>
        <w:rPr>
          <w:rFonts w:hint="eastAsia" w:ascii="宋体" w:hAnsi="宋体" w:eastAsia="宋体" w:cs="宋体"/>
          <w:color w:val="auto"/>
          <w:kern w:val="0"/>
          <w:sz w:val="24"/>
          <w:szCs w:val="24"/>
          <w:highlight w:val="none"/>
          <w:lang w:val="en-US" w:eastAsia="zh-CN" w:bidi="ar"/>
        </w:rPr>
        <w:t xml:space="preserve"> </w:t>
      </w:r>
    </w:p>
    <w:p w14:paraId="3215ED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84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object>
          <v:shape id="_x0000_i1025" o:spt="201" alt="" type="#_x0000_t201" style="height:14.4pt;width:18pt;" o:ole="t" filled="f" o:preferrelative="t" stroked="f" coordsize="21600,21600">
            <v:path/>
            <v:fill on="f" focussize="0,0"/>
            <v:stroke on="f"/>
            <v:imagedata r:id="rId17" o:title=""/>
            <o:lock v:ext="edit" aspectratio="t"/>
            <w10:wrap type="none"/>
            <w10:anchorlock/>
          </v:shape>
          <w:control r:id="rId16" w:name="Control 1" w:shapeid="_x0000_i1025"/>
        </w:object>
      </w:r>
      <w:r>
        <w:rPr>
          <w:rFonts w:hint="eastAsia" w:ascii="宋体" w:hAnsi="宋体" w:eastAsia="宋体" w:cs="宋体"/>
          <w:color w:val="auto"/>
          <w:kern w:val="0"/>
          <w:sz w:val="24"/>
          <w:szCs w:val="24"/>
          <w:highlight w:val="none"/>
          <w:lang w:val="en-US" w:eastAsia="zh-CN" w:bidi="ar"/>
        </w:rPr>
        <w:t>支持预付款，预付比例：</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 xml:space="preserve"> </w:t>
      </w:r>
    </w:p>
    <w:p w14:paraId="76AB17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lang w:val="en-US" w:eastAsia="zh-CN" w:bidi="ar"/>
        </w:rPr>
        <w:t>5、本项目对应的中小企业划分标准所属行业：</w:t>
      </w:r>
      <w:r>
        <w:rPr>
          <w:rFonts w:hint="eastAsia" w:ascii="宋体" w:hAnsi="宋体" w:eastAsia="宋体" w:cs="宋体"/>
          <w:color w:val="auto"/>
          <w:kern w:val="0"/>
          <w:sz w:val="24"/>
          <w:szCs w:val="24"/>
          <w:highlight w:val="none"/>
          <w:u w:val="single"/>
          <w:lang w:val="en-US" w:eastAsia="zh-CN" w:bidi="ar"/>
        </w:rPr>
        <w:t xml:space="preserve">  工业  </w:t>
      </w:r>
    </w:p>
    <w:p w14:paraId="35250E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6、评标方法： </w:t>
      </w:r>
      <w:r>
        <w:rPr>
          <w:rFonts w:hint="eastAsia" w:ascii="宋体" w:hAnsi="宋体" w:eastAsia="宋体" w:cs="宋体"/>
          <w:color w:val="auto"/>
          <w:kern w:val="0"/>
          <w:sz w:val="24"/>
          <w:szCs w:val="24"/>
          <w:highlight w:val="none"/>
          <w:lang w:val="en-US" w:eastAsia="zh-CN" w:bidi="ar"/>
        </w:rPr>
        <w:object>
          <v:shape id="_x0000_i1026" o:spt="201" alt="" type="#_x0000_t201" style="height:14.4pt;width:18pt;" o:ole="t" filled="f" o:preferrelative="t" stroked="f" coordsize="21600,21600">
            <v:path/>
            <v:fill on="f" focussize="0,0"/>
            <v:stroke on="f"/>
            <v:imagedata r:id="rId17" o:title=""/>
            <o:lock v:ext="edit" aspectratio="t"/>
            <w10:wrap type="none"/>
            <w10:anchorlock/>
          </v:shape>
          <w:control r:id="rId18" w:name="Control 2" w:shapeid="_x0000_i1026"/>
        </w:object>
      </w:r>
      <w:r>
        <w:rPr>
          <w:rFonts w:hint="eastAsia" w:ascii="宋体" w:hAnsi="宋体" w:eastAsia="宋体" w:cs="宋体"/>
          <w:color w:val="auto"/>
          <w:kern w:val="0"/>
          <w:sz w:val="24"/>
          <w:szCs w:val="24"/>
          <w:highlight w:val="none"/>
          <w:lang w:val="en-US" w:eastAsia="zh-CN" w:bidi="ar"/>
        </w:rPr>
        <w:t xml:space="preserve">最低价法 </w:t>
      </w:r>
      <w:r>
        <w:rPr>
          <w:rFonts w:hint="eastAsia" w:ascii="宋体" w:hAnsi="宋体" w:eastAsia="宋体" w:cs="宋体"/>
          <w:color w:val="auto"/>
          <w:kern w:val="0"/>
          <w:sz w:val="24"/>
          <w:szCs w:val="24"/>
          <w:highlight w:val="none"/>
          <w:lang w:val="en-US" w:eastAsia="zh-CN" w:bidi="ar"/>
        </w:rPr>
        <w:object>
          <v:shape id="_x0000_i1027" o:spt="201" alt="" type="#_x0000_t201" style="height:14.4pt;width:18pt;" o:ole="t" filled="f" o:preferrelative="t" stroked="f" coordsize="21600,21600">
            <v:path/>
            <v:fill on="f" focussize="0,0"/>
            <v:stroke on="f"/>
            <v:imagedata r:id="rId20" o:title=""/>
            <o:lock v:ext="edit" aspectratio="t"/>
            <w10:wrap type="none"/>
            <w10:anchorlock/>
          </v:shape>
          <w:control r:id="rId19" w:name="Control 3" w:shapeid="_x0000_i1027"/>
        </w:object>
      </w:r>
      <w:r>
        <w:rPr>
          <w:rFonts w:hint="eastAsia" w:ascii="宋体" w:hAnsi="宋体" w:eastAsia="宋体" w:cs="宋体"/>
          <w:color w:val="auto"/>
          <w:kern w:val="0"/>
          <w:sz w:val="24"/>
          <w:szCs w:val="24"/>
          <w:highlight w:val="none"/>
          <w:lang w:val="en-US" w:eastAsia="zh-CN" w:bidi="ar"/>
        </w:rPr>
        <w:t xml:space="preserve">综合评分法 </w:t>
      </w:r>
    </w:p>
    <w:p w14:paraId="19A0DC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7、合同定价方式： </w:t>
      </w:r>
      <w:r>
        <w:rPr>
          <w:rFonts w:hint="eastAsia" w:ascii="宋体" w:hAnsi="宋体" w:eastAsia="宋体" w:cs="宋体"/>
          <w:color w:val="auto"/>
          <w:kern w:val="0"/>
          <w:sz w:val="24"/>
          <w:szCs w:val="24"/>
          <w:highlight w:val="none"/>
          <w:lang w:val="en-US" w:eastAsia="zh-CN" w:bidi="ar"/>
        </w:rPr>
        <w:object>
          <v:shape id="_x0000_i1028" o:spt="201" alt="" type="#_x0000_t201" style="height:14.4pt;width:18pt;" o:ole="t" filled="f" o:preferrelative="t" stroked="f" coordsize="21600,21600">
            <v:path/>
            <v:fill on="f" focussize="0,0"/>
            <v:stroke on="f"/>
            <v:imagedata r:id="rId20" o:title=""/>
            <o:lock v:ext="edit" aspectratio="t"/>
            <w10:wrap type="none"/>
            <w10:anchorlock/>
          </v:shape>
          <w:control r:id="rId21" w:name="Control 4" w:shapeid="_x0000_i1028"/>
        </w:object>
      </w:r>
      <w:r>
        <w:rPr>
          <w:rFonts w:hint="eastAsia" w:ascii="宋体" w:hAnsi="宋体" w:eastAsia="宋体" w:cs="宋体"/>
          <w:color w:val="auto"/>
          <w:kern w:val="0"/>
          <w:sz w:val="24"/>
          <w:szCs w:val="24"/>
          <w:highlight w:val="none"/>
          <w:lang w:val="en-US" w:eastAsia="zh-CN" w:bidi="ar"/>
        </w:rPr>
        <w:t xml:space="preserve">固定总价 </w:t>
      </w:r>
      <w:r>
        <w:rPr>
          <w:rFonts w:hint="eastAsia" w:ascii="宋体" w:hAnsi="宋体" w:eastAsia="宋体" w:cs="宋体"/>
          <w:color w:val="auto"/>
          <w:kern w:val="0"/>
          <w:sz w:val="24"/>
          <w:szCs w:val="24"/>
          <w:highlight w:val="none"/>
          <w:lang w:val="en-US" w:eastAsia="zh-CN" w:bidi="ar"/>
        </w:rPr>
        <w:object>
          <v:shape id="_x0000_i1029" o:spt="201" alt="" type="#_x0000_t201" style="height:14.4pt;width:18pt;" o:ole="t" filled="f" o:preferrelative="t" stroked="f" coordsize="21600,21600">
            <v:path/>
            <v:fill on="f" focussize="0,0"/>
            <v:stroke on="f"/>
            <v:imagedata r:id="rId17" o:title=""/>
            <o:lock v:ext="edit" aspectratio="t"/>
            <w10:wrap type="none"/>
            <w10:anchorlock/>
          </v:shape>
          <w:control r:id="rId22" w:name="Control 5" w:shapeid="_x0000_i1029"/>
        </w:object>
      </w:r>
      <w:r>
        <w:rPr>
          <w:rFonts w:hint="eastAsia" w:ascii="宋体" w:hAnsi="宋体" w:eastAsia="宋体" w:cs="宋体"/>
          <w:color w:val="auto"/>
          <w:kern w:val="0"/>
          <w:sz w:val="24"/>
          <w:szCs w:val="24"/>
          <w:highlight w:val="none"/>
          <w:lang w:val="en-US" w:eastAsia="zh-CN" w:bidi="ar"/>
        </w:rPr>
        <w:t xml:space="preserve">固定单价 </w:t>
      </w:r>
      <w:r>
        <w:rPr>
          <w:rFonts w:hint="eastAsia" w:ascii="宋体" w:hAnsi="宋体" w:eastAsia="宋体" w:cs="宋体"/>
          <w:color w:val="auto"/>
          <w:kern w:val="0"/>
          <w:sz w:val="24"/>
          <w:szCs w:val="24"/>
          <w:highlight w:val="none"/>
          <w:lang w:val="en-US" w:eastAsia="zh-CN" w:bidi="ar"/>
        </w:rPr>
        <w:object>
          <v:shape id="_x0000_i1030" o:spt="201" alt="" type="#_x0000_t201" style="height:14.4pt;width:18pt;" o:ole="t" filled="f" o:preferrelative="t" stroked="f" coordsize="21600,21600">
            <v:path/>
            <v:fill on="f" focussize="0,0"/>
            <v:stroke on="f"/>
            <v:imagedata r:id="rId17" o:title=""/>
            <o:lock v:ext="edit" aspectratio="t"/>
            <w10:wrap type="none"/>
            <w10:anchorlock/>
          </v:shape>
          <w:control r:id="rId23" w:name="Control 6" w:shapeid="_x0000_i1030"/>
        </w:object>
      </w:r>
      <w:r>
        <w:rPr>
          <w:rFonts w:hint="eastAsia" w:ascii="宋体" w:hAnsi="宋体" w:eastAsia="宋体" w:cs="宋体"/>
          <w:color w:val="auto"/>
          <w:kern w:val="0"/>
          <w:sz w:val="24"/>
          <w:szCs w:val="24"/>
          <w:highlight w:val="none"/>
          <w:lang w:val="en-US" w:eastAsia="zh-CN" w:bidi="ar"/>
        </w:rPr>
        <w:t xml:space="preserve">成本补偿 </w:t>
      </w:r>
      <w:r>
        <w:rPr>
          <w:rFonts w:hint="eastAsia" w:ascii="宋体" w:hAnsi="宋体" w:eastAsia="宋体" w:cs="宋体"/>
          <w:color w:val="auto"/>
          <w:kern w:val="0"/>
          <w:sz w:val="24"/>
          <w:szCs w:val="24"/>
          <w:highlight w:val="none"/>
          <w:lang w:val="en-US" w:eastAsia="zh-CN" w:bidi="ar"/>
        </w:rPr>
        <w:object>
          <v:shape id="_x0000_i1031" o:spt="201" alt="" type="#_x0000_t201" style="height:14.4pt;width:18pt;" o:ole="t" filled="f" o:preferrelative="t" stroked="f" coordsize="21600,21600">
            <v:path/>
            <v:fill on="f" focussize="0,0"/>
            <v:stroke on="f"/>
            <v:imagedata r:id="rId17" o:title=""/>
            <o:lock v:ext="edit" aspectratio="t"/>
            <w10:wrap type="none"/>
            <w10:anchorlock/>
          </v:shape>
          <w:control r:id="rId24" w:name="Control 7" w:shapeid="_x0000_i1031"/>
        </w:object>
      </w:r>
      <w:r>
        <w:rPr>
          <w:rFonts w:hint="eastAsia" w:ascii="宋体" w:hAnsi="宋体" w:eastAsia="宋体" w:cs="宋体"/>
          <w:color w:val="auto"/>
          <w:kern w:val="0"/>
          <w:sz w:val="24"/>
          <w:szCs w:val="24"/>
          <w:highlight w:val="none"/>
          <w:lang w:val="en-US" w:eastAsia="zh-CN" w:bidi="ar"/>
        </w:rPr>
        <w:t xml:space="preserve">绩效激励 </w:t>
      </w:r>
    </w:p>
    <w:p w14:paraId="3A6A0FBE">
      <w:pPr>
        <w:keepNext w:val="0"/>
        <w:keepLines w:val="0"/>
        <w:pageBreakBefore w:val="0"/>
        <w:widowControl w:val="0"/>
        <w:kinsoku/>
        <w:wordWrap/>
        <w:overflowPunct/>
        <w:topLinePunct w:val="0"/>
        <w:autoSpaceDE/>
        <w:autoSpaceDN/>
        <w:bidi w:val="0"/>
        <w:adjustRightInd/>
        <w:snapToGrid/>
        <w:spacing w:line="440" w:lineRule="exact"/>
        <w:ind w:left="6" w:leftChars="3"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8、合同履行期限：合同签订后三个月完成供货到院及安装调试并验收合格。</w:t>
      </w:r>
    </w:p>
    <w:p w14:paraId="777B03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9、本项目分阶段要求投标人提供以下保证：</w:t>
      </w:r>
    </w:p>
    <w:p w14:paraId="46B159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object>
          <v:shape id="_x0000_i1032" o:spt="201" alt="" type="#_x0000_t201" style="height:14.4pt;width:18pt;" o:ole="t" filled="f" o:preferrelative="t" stroked="f" coordsize="21600,21600">
            <v:path/>
            <v:fill on="f" focussize="0,0"/>
            <v:stroke on="f"/>
            <v:imagedata r:id="rId17" o:title=""/>
            <o:lock v:ext="edit" aspectratio="t"/>
            <w10:wrap type="none"/>
            <w10:anchorlock/>
          </v:shape>
          <w:control r:id="rId25" w:name="Control 8" w:shapeid="_x0000_i1032"/>
        </w:object>
      </w:r>
      <w:r>
        <w:rPr>
          <w:rFonts w:hint="eastAsia" w:ascii="宋体" w:hAnsi="宋体" w:eastAsia="宋体" w:cs="宋体"/>
          <w:color w:val="auto"/>
          <w:kern w:val="0"/>
          <w:sz w:val="24"/>
          <w:szCs w:val="24"/>
          <w:highlight w:val="none"/>
          <w:lang w:val="en-US" w:eastAsia="zh-CN" w:bidi="ar"/>
        </w:rPr>
        <w:t>投标保证金：采购项目预算的</w:t>
      </w:r>
      <w:r>
        <w:rPr>
          <w:rFonts w:hint="eastAsia" w:ascii="宋体" w:hAnsi="宋体" w:eastAsia="宋体" w:cs="宋体"/>
          <w:color w:val="auto"/>
          <w:kern w:val="0"/>
          <w:sz w:val="24"/>
          <w:szCs w:val="24"/>
          <w:highlight w:val="none"/>
          <w:u w:val="single"/>
          <w:lang w:val="en-US" w:eastAsia="zh-CN" w:bidi="ar"/>
        </w:rPr>
        <w:t>  </w:t>
      </w:r>
      <w:r>
        <w:rPr>
          <w:rFonts w:hint="eastAsia" w:ascii="宋体" w:hAnsi="宋体" w:eastAsia="宋体" w:cs="宋体"/>
          <w:color w:val="auto"/>
          <w:kern w:val="0"/>
          <w:sz w:val="24"/>
          <w:szCs w:val="24"/>
          <w:highlight w:val="none"/>
          <w:lang w:val="en-US" w:eastAsia="zh-CN" w:bidi="ar"/>
        </w:rPr>
        <w:t xml:space="preserve">%； </w:t>
      </w:r>
    </w:p>
    <w:p w14:paraId="482FF5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object>
          <v:shape id="_x0000_i1033" o:spt="201" alt="" type="#_x0000_t201" style="height:14.4pt;width:18pt;" o:ole="t" filled="f" o:preferrelative="t" stroked="f" coordsize="21600,21600">
            <v:path/>
            <v:fill on="f" focussize="0,0"/>
            <v:stroke on="f"/>
            <v:imagedata r:id="rId17" o:title=""/>
            <o:lock v:ext="edit" aspectratio="t"/>
            <w10:wrap type="none"/>
            <w10:anchorlock/>
          </v:shape>
          <w:control r:id="rId26" w:name="Control 9" w:shapeid="_x0000_i1033"/>
        </w:object>
      </w:r>
      <w:r>
        <w:rPr>
          <w:rFonts w:hint="eastAsia" w:ascii="宋体" w:hAnsi="宋体" w:eastAsia="宋体" w:cs="宋体"/>
          <w:color w:val="auto"/>
          <w:kern w:val="0"/>
          <w:sz w:val="24"/>
          <w:szCs w:val="24"/>
          <w:highlight w:val="none"/>
          <w:lang w:val="en-US" w:eastAsia="zh-CN" w:bidi="ar"/>
        </w:rPr>
        <w:t>履约保证金：中标金额的</w:t>
      </w:r>
      <w:r>
        <w:rPr>
          <w:rFonts w:hint="eastAsia" w:ascii="宋体" w:hAnsi="宋体" w:eastAsia="宋体" w:cs="宋体"/>
          <w:color w:val="auto"/>
          <w:kern w:val="0"/>
          <w:sz w:val="24"/>
          <w:szCs w:val="24"/>
          <w:highlight w:val="none"/>
          <w:u w:val="single"/>
          <w:lang w:val="en-US" w:eastAsia="zh-CN" w:bidi="ar"/>
        </w:rPr>
        <w:t>  </w:t>
      </w:r>
      <w:r>
        <w:rPr>
          <w:rFonts w:hint="eastAsia" w:ascii="宋体" w:hAnsi="宋体" w:eastAsia="宋体" w:cs="宋体"/>
          <w:color w:val="auto"/>
          <w:kern w:val="0"/>
          <w:sz w:val="24"/>
          <w:szCs w:val="24"/>
          <w:highlight w:val="none"/>
          <w:lang w:val="en-US" w:eastAsia="zh-CN" w:bidi="ar"/>
        </w:rPr>
        <w:t xml:space="preserve">%； </w:t>
      </w:r>
    </w:p>
    <w:p w14:paraId="404290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object>
          <v:shape id="_x0000_i1034" o:spt="201" alt="" type="#_x0000_t201" style="height:14.4pt;width:18pt;" o:ole="t" filled="f" o:preferrelative="t" stroked="f" coordsize="21600,21600">
            <v:path/>
            <v:fill on="f" focussize="0,0"/>
            <v:stroke on="f"/>
            <v:imagedata r:id="rId17" o:title=""/>
            <o:lock v:ext="edit" aspectratio="t"/>
            <w10:wrap type="none"/>
            <w10:anchorlock/>
          </v:shape>
          <w:control r:id="rId27" w:name="Control 10" w:shapeid="_x0000_i1034"/>
        </w:object>
      </w:r>
      <w:r>
        <w:rPr>
          <w:rFonts w:hint="eastAsia" w:ascii="宋体" w:hAnsi="宋体" w:eastAsia="宋体" w:cs="宋体"/>
          <w:color w:val="auto"/>
          <w:kern w:val="0"/>
          <w:sz w:val="24"/>
          <w:szCs w:val="24"/>
          <w:highlight w:val="none"/>
          <w:lang w:val="en-US" w:eastAsia="zh-CN" w:bidi="ar"/>
        </w:rPr>
        <w:t>预付款保证金：预付款的</w:t>
      </w:r>
      <w:r>
        <w:rPr>
          <w:rFonts w:hint="eastAsia" w:ascii="宋体" w:hAnsi="宋体" w:eastAsia="宋体" w:cs="宋体"/>
          <w:color w:val="auto"/>
          <w:kern w:val="0"/>
          <w:sz w:val="24"/>
          <w:szCs w:val="24"/>
          <w:highlight w:val="none"/>
          <w:u w:val="single"/>
          <w:lang w:val="en-US" w:eastAsia="zh-CN" w:bidi="ar"/>
        </w:rPr>
        <w:t>  </w:t>
      </w:r>
      <w:r>
        <w:rPr>
          <w:rFonts w:hint="eastAsia" w:ascii="宋体" w:hAnsi="宋体" w:eastAsia="宋体" w:cs="宋体"/>
          <w:color w:val="auto"/>
          <w:kern w:val="0"/>
          <w:sz w:val="24"/>
          <w:szCs w:val="24"/>
          <w:highlight w:val="none"/>
          <w:lang w:val="en-US" w:eastAsia="zh-CN" w:bidi="ar"/>
        </w:rPr>
        <w:t xml:space="preserve">%； </w:t>
      </w:r>
    </w:p>
    <w:p w14:paraId="715B02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object>
          <v:shape id="_x0000_i1035" o:spt="201" alt="" type="#_x0000_t201" style="height:14.4pt;width:18pt;" o:ole="t" filled="f" o:preferrelative="t" stroked="f" coordsize="21600,21600">
            <v:path/>
            <v:fill on="f" focussize="0,0"/>
            <v:stroke on="f"/>
            <v:imagedata r:id="rId17" o:title=""/>
            <o:lock v:ext="edit" aspectratio="t"/>
            <w10:wrap type="none"/>
            <w10:anchorlock/>
          </v:shape>
          <w:control r:id="rId28" w:name="Control 11" w:shapeid="_x0000_i1035"/>
        </w:object>
      </w:r>
      <w:r>
        <w:rPr>
          <w:rFonts w:hint="eastAsia" w:ascii="宋体" w:hAnsi="宋体" w:eastAsia="宋体" w:cs="宋体"/>
          <w:color w:val="auto"/>
          <w:kern w:val="0"/>
          <w:sz w:val="24"/>
          <w:szCs w:val="24"/>
          <w:highlight w:val="none"/>
          <w:lang w:val="en-US" w:eastAsia="zh-CN" w:bidi="ar"/>
        </w:rPr>
        <w:t>质量保证金：合同金额的</w:t>
      </w:r>
      <w:r>
        <w:rPr>
          <w:rFonts w:hint="eastAsia" w:ascii="宋体" w:hAnsi="宋体" w:eastAsia="宋体" w:cs="宋体"/>
          <w:color w:val="auto"/>
          <w:kern w:val="0"/>
          <w:sz w:val="24"/>
          <w:szCs w:val="24"/>
          <w:highlight w:val="none"/>
          <w:u w:val="single"/>
          <w:lang w:val="en-US" w:eastAsia="zh-CN" w:bidi="ar"/>
        </w:rPr>
        <w:t>  </w:t>
      </w:r>
      <w:r>
        <w:rPr>
          <w:rFonts w:hint="eastAsia" w:ascii="宋体" w:hAnsi="宋体" w:eastAsia="宋体" w:cs="宋体"/>
          <w:color w:val="auto"/>
          <w:kern w:val="0"/>
          <w:sz w:val="24"/>
          <w:szCs w:val="24"/>
          <w:highlight w:val="none"/>
          <w:lang w:val="en-US" w:eastAsia="zh-CN" w:bidi="ar"/>
        </w:rPr>
        <w:t xml:space="preserve">%； </w:t>
      </w:r>
    </w:p>
    <w:p w14:paraId="75AE506A">
      <w:pPr>
        <w:pStyle w:val="3"/>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bookmarkStart w:id="21" w:name="_Toc8584"/>
      <w:r>
        <w:rPr>
          <w:rFonts w:hint="eastAsia" w:ascii="宋体" w:hAnsi="宋体" w:eastAsia="宋体" w:cs="宋体"/>
          <w:color w:val="auto"/>
          <w:sz w:val="24"/>
          <w:szCs w:val="24"/>
          <w:highlight w:val="none"/>
        </w:rPr>
        <w:t>二、采购人的采购需求</w:t>
      </w:r>
      <w:bookmarkEnd w:id="21"/>
    </w:p>
    <w:tbl>
      <w:tblPr>
        <w:tblStyle w:val="50"/>
        <w:tblpPr w:leftFromText="180" w:rightFromText="180" w:vertAnchor="text" w:horzAnchor="page" w:tblpX="739" w:tblpY="973"/>
        <w:tblOverlap w:val="never"/>
        <w:tblW w:w="5695" w:type="pct"/>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17"/>
        <w:gridCol w:w="1574"/>
        <w:gridCol w:w="1298"/>
        <w:gridCol w:w="2311"/>
        <w:gridCol w:w="1128"/>
        <w:gridCol w:w="891"/>
        <w:gridCol w:w="1263"/>
        <w:gridCol w:w="594"/>
        <w:gridCol w:w="609"/>
      </w:tblGrid>
      <w:tr w14:paraId="5B0E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43" w:hRule="atLeast"/>
          <w:tblCellSpacing w:w="0" w:type="dxa"/>
        </w:trPr>
        <w:tc>
          <w:tcPr>
            <w:tcW w:w="389" w:type="pct"/>
            <w:shd w:val="clear" w:color="auto" w:fill="auto"/>
            <w:noWrap/>
            <w:vAlign w:val="center"/>
          </w:tcPr>
          <w:p w14:paraId="13DB6512">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包名称</w:t>
            </w:r>
          </w:p>
        </w:tc>
        <w:tc>
          <w:tcPr>
            <w:tcW w:w="750" w:type="pct"/>
            <w:shd w:val="clear" w:color="auto" w:fill="auto"/>
            <w:noWrap/>
            <w:vAlign w:val="center"/>
          </w:tcPr>
          <w:p w14:paraId="1F9A47AE">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color w:val="auto"/>
                <w:sz w:val="24"/>
                <w:szCs w:val="24"/>
                <w:highlight w:val="none"/>
              </w:rPr>
              <w:t>品目名称</w:t>
            </w:r>
          </w:p>
        </w:tc>
        <w:tc>
          <w:tcPr>
            <w:tcW w:w="618" w:type="pct"/>
            <w:shd w:val="clear" w:color="auto" w:fill="auto"/>
            <w:noWrap/>
            <w:vAlign w:val="center"/>
          </w:tcPr>
          <w:p w14:paraId="2E87E202">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最高限价（元）</w:t>
            </w:r>
          </w:p>
        </w:tc>
        <w:tc>
          <w:tcPr>
            <w:tcW w:w="1102" w:type="pct"/>
            <w:shd w:val="clear" w:color="auto" w:fill="auto"/>
            <w:noWrap/>
            <w:vAlign w:val="center"/>
          </w:tcPr>
          <w:p w14:paraId="410F2606">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标的名称</w:t>
            </w:r>
          </w:p>
        </w:tc>
        <w:tc>
          <w:tcPr>
            <w:tcW w:w="537" w:type="pct"/>
            <w:shd w:val="clear" w:color="auto" w:fill="auto"/>
            <w:noWrap/>
            <w:vAlign w:val="center"/>
          </w:tcPr>
          <w:p w14:paraId="145266D1">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简要技术要求</w:t>
            </w:r>
          </w:p>
        </w:tc>
        <w:tc>
          <w:tcPr>
            <w:tcW w:w="424" w:type="pct"/>
            <w:shd w:val="clear" w:color="auto" w:fill="auto"/>
            <w:noWrap/>
            <w:vAlign w:val="center"/>
          </w:tcPr>
          <w:p w14:paraId="377F2E16">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数量</w:t>
            </w:r>
          </w:p>
        </w:tc>
        <w:tc>
          <w:tcPr>
            <w:tcW w:w="602" w:type="pct"/>
            <w:shd w:val="clear" w:color="auto" w:fill="auto"/>
            <w:noWrap/>
            <w:vAlign w:val="center"/>
          </w:tcPr>
          <w:p w14:paraId="584648F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标的预算（元）</w:t>
            </w:r>
          </w:p>
        </w:tc>
        <w:tc>
          <w:tcPr>
            <w:tcW w:w="283" w:type="pct"/>
            <w:shd w:val="clear" w:color="auto" w:fill="auto"/>
            <w:noWrap/>
            <w:vAlign w:val="center"/>
          </w:tcPr>
          <w:p w14:paraId="7486C10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节能产品</w:t>
            </w:r>
          </w:p>
        </w:tc>
        <w:tc>
          <w:tcPr>
            <w:tcW w:w="290" w:type="pct"/>
            <w:shd w:val="clear" w:color="auto" w:fill="auto"/>
            <w:noWrap/>
            <w:vAlign w:val="center"/>
          </w:tcPr>
          <w:p w14:paraId="00DA6127">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进口产品</w:t>
            </w:r>
          </w:p>
        </w:tc>
      </w:tr>
      <w:tr w14:paraId="514E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2" w:hRule="atLeast"/>
          <w:tblCellSpacing w:w="0" w:type="dxa"/>
        </w:trPr>
        <w:tc>
          <w:tcPr>
            <w:tcW w:w="389" w:type="pct"/>
            <w:shd w:val="clear" w:color="auto" w:fill="auto"/>
            <w:vAlign w:val="center"/>
          </w:tcPr>
          <w:p w14:paraId="79FC4AAE">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包1</w:t>
            </w:r>
          </w:p>
        </w:tc>
        <w:tc>
          <w:tcPr>
            <w:tcW w:w="750" w:type="pct"/>
            <w:shd w:val="clear" w:color="auto" w:fill="auto"/>
            <w:vAlign w:val="center"/>
          </w:tcPr>
          <w:p w14:paraId="635F47F2">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240" w:firstLineChars="1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A02329900其他医疗设备</w:t>
            </w:r>
          </w:p>
        </w:tc>
        <w:tc>
          <w:tcPr>
            <w:tcW w:w="618" w:type="pct"/>
            <w:shd w:val="clear" w:color="auto" w:fill="auto"/>
            <w:vAlign w:val="center"/>
          </w:tcPr>
          <w:p w14:paraId="372489F8">
            <w:pPr>
              <w:keepNext w:val="0"/>
              <w:keepLines w:val="0"/>
              <w:pageBreakBefore w:val="0"/>
              <w:widowControl/>
              <w:suppressLineNumbers w:val="0"/>
              <w:kinsoku/>
              <w:wordWrap/>
              <w:overflowPunct/>
              <w:topLinePunct w:val="0"/>
              <w:autoSpaceDE/>
              <w:autoSpaceDN/>
              <w:bidi w:val="0"/>
              <w:adjustRightInd/>
              <w:snapToGrid/>
              <w:spacing w:beforeAutospacing="0" w:line="44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19000</w:t>
            </w:r>
            <w:r>
              <w:rPr>
                <w:rFonts w:hint="eastAsia" w:ascii="宋体" w:hAnsi="宋体" w:eastAsia="宋体" w:cs="宋体"/>
                <w:color w:val="auto"/>
                <w:sz w:val="24"/>
                <w:szCs w:val="24"/>
                <w:highlight w:val="none"/>
              </w:rPr>
              <w:t>00.00</w:t>
            </w:r>
          </w:p>
        </w:tc>
        <w:tc>
          <w:tcPr>
            <w:tcW w:w="1102" w:type="pct"/>
            <w:shd w:val="clear" w:color="auto" w:fill="auto"/>
            <w:vAlign w:val="center"/>
          </w:tcPr>
          <w:p w14:paraId="644098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right="0" w:firstLine="240" w:firstLineChars="10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彩色多普勒超声诊断仪</w:t>
            </w:r>
          </w:p>
        </w:tc>
        <w:tc>
          <w:tcPr>
            <w:tcW w:w="537" w:type="pct"/>
            <w:shd w:val="clear" w:color="auto" w:fill="auto"/>
            <w:vAlign w:val="center"/>
          </w:tcPr>
          <w:p w14:paraId="488EFCEF">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详见磋商文件</w:t>
            </w:r>
          </w:p>
        </w:tc>
        <w:tc>
          <w:tcPr>
            <w:tcW w:w="424" w:type="pct"/>
            <w:shd w:val="clear" w:color="auto" w:fill="auto"/>
            <w:vAlign w:val="center"/>
          </w:tcPr>
          <w:p w14:paraId="672C7773">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1</w:t>
            </w:r>
            <w:r>
              <w:rPr>
                <w:rFonts w:hint="eastAsia" w:ascii="宋体" w:hAnsi="宋体" w:cs="宋体"/>
                <w:color w:val="auto"/>
                <w:kern w:val="0"/>
                <w:sz w:val="24"/>
                <w:szCs w:val="24"/>
                <w:highlight w:val="none"/>
                <w:lang w:val="en-US" w:eastAsia="zh-CN" w:bidi="ar"/>
              </w:rPr>
              <w:t>套</w:t>
            </w:r>
          </w:p>
        </w:tc>
        <w:tc>
          <w:tcPr>
            <w:tcW w:w="602" w:type="pct"/>
            <w:shd w:val="clear" w:color="auto" w:fill="auto"/>
            <w:vAlign w:val="center"/>
          </w:tcPr>
          <w:p w14:paraId="47AEE31A">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19000</w:t>
            </w:r>
            <w:r>
              <w:rPr>
                <w:rFonts w:hint="eastAsia" w:ascii="宋体" w:hAnsi="宋体" w:eastAsia="宋体" w:cs="宋体"/>
                <w:color w:val="auto"/>
                <w:sz w:val="24"/>
                <w:szCs w:val="24"/>
                <w:highlight w:val="none"/>
              </w:rPr>
              <w:t>00.00</w:t>
            </w:r>
          </w:p>
        </w:tc>
        <w:tc>
          <w:tcPr>
            <w:tcW w:w="283" w:type="pct"/>
            <w:shd w:val="clear" w:color="auto" w:fill="auto"/>
            <w:vAlign w:val="center"/>
          </w:tcPr>
          <w:p w14:paraId="730FA573">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object>
                <v:shape id="_x0000_i1036" o:spt="201" alt="" type="#_x0000_t201" style="height:14.4pt;width:18pt;" o:ole="t" filled="f" o:preferrelative="t" stroked="f" coordsize="21600,21600">
                  <v:path/>
                  <v:fill on="f" focussize="0,0"/>
                  <v:stroke on="f"/>
                  <v:imagedata r:id="rId17" o:title=""/>
                  <o:lock v:ext="edit" aspectratio="t"/>
                  <w10:wrap type="none"/>
                  <w10:anchorlock/>
                </v:shape>
                <w:control r:id="rId29" w:name="Control 12" w:shapeid="_x0000_i1036"/>
              </w:object>
            </w:r>
          </w:p>
        </w:tc>
        <w:tc>
          <w:tcPr>
            <w:tcW w:w="290" w:type="pct"/>
            <w:shd w:val="clear" w:color="auto" w:fill="auto"/>
            <w:vAlign w:val="center"/>
          </w:tcPr>
          <w:p w14:paraId="4E927C56">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object>
                <v:shape id="_x0000_i1037" o:spt="201" alt="" type="#_x0000_t201" style="height:14.4pt;width:18pt;" o:ole="t" filled="f" o:preferrelative="t" stroked="f" coordsize="21600,21600">
                  <v:path/>
                  <v:fill on="f" focussize="0,0"/>
                  <v:stroke on="f"/>
                  <v:imagedata r:id="rId17" o:title=""/>
                  <o:lock v:ext="edit" aspectratio="t"/>
                  <w10:wrap type="none"/>
                  <w10:anchorlock/>
                </v:shape>
                <w:control r:id="rId30" w:name="Control 13" w:shapeid="_x0000_i1037"/>
              </w:object>
            </w:r>
          </w:p>
        </w:tc>
      </w:tr>
    </w:tbl>
    <w:p w14:paraId="3E7BEB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说明： 1.节能产品实行强制采购的，需提供国家认证机构出具的、处于有效期内的节能产品证书。 </w:t>
      </w:r>
    </w:p>
    <w:p w14:paraId="412517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2.同意购买进口产品的，不限制满足采购需求的国内产品参与投标。 </w:t>
      </w:r>
    </w:p>
    <w:p w14:paraId="1EC37B09">
      <w:pPr>
        <w:pStyle w:val="3"/>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bookmarkStart w:id="22" w:name="_Toc17927"/>
      <w:r>
        <w:rPr>
          <w:rFonts w:hint="eastAsia" w:ascii="宋体" w:hAnsi="宋体" w:eastAsia="宋体" w:cs="宋体"/>
          <w:color w:val="auto"/>
          <w:sz w:val="24"/>
          <w:szCs w:val="24"/>
          <w:highlight w:val="none"/>
        </w:rPr>
        <w:t>三、采购项目需落实的政府采购政策：</w:t>
      </w:r>
      <w:bookmarkEnd w:id="22"/>
    </w:p>
    <w:p w14:paraId="525026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1、优先采购：节能产品、环境标志产品、两型产品享受加分或价格折扣。</w:t>
      </w:r>
    </w:p>
    <w:p w14:paraId="05CA62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2、支持中小企业：中小企业享受预留采购份额或价格折扣。</w:t>
      </w:r>
    </w:p>
    <w:p w14:paraId="417B2AA3">
      <w:pPr>
        <w:pStyle w:val="3"/>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bookmarkStart w:id="23" w:name="_Toc20950"/>
      <w:r>
        <w:rPr>
          <w:rFonts w:hint="eastAsia" w:ascii="宋体" w:hAnsi="宋体" w:eastAsia="宋体" w:cs="宋体"/>
          <w:color w:val="auto"/>
          <w:sz w:val="24"/>
          <w:szCs w:val="24"/>
          <w:highlight w:val="none"/>
        </w:rPr>
        <w:t>四、投标人的资格要求：</w:t>
      </w:r>
      <w:bookmarkEnd w:id="23"/>
    </w:p>
    <w:p w14:paraId="642F6B87">
      <w:pPr>
        <w:pageBreakBefore w:val="0"/>
        <w:kinsoku/>
        <w:wordWrap/>
        <w:overflowPunct/>
        <w:topLinePunct w:val="0"/>
        <w:autoSpaceDE/>
        <w:autoSpaceDN/>
        <w:bidi w:val="0"/>
        <w:adjustRightInd w:val="0"/>
        <w:snapToGrid w:val="0"/>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1、投标人的基本资格条件：投标人必须是在中华人民共和国境内注册登记的法人、其他组织或者自然人，且应当符合《政府采购法》第二十二条第一款的规定。 </w:t>
      </w:r>
      <w:r>
        <w:rPr>
          <w:rFonts w:hint="eastAsia" w:ascii="宋体" w:hAnsi="宋体" w:eastAsia="宋体" w:cs="宋体"/>
          <w:color w:val="auto"/>
          <w:sz w:val="24"/>
          <w:szCs w:val="24"/>
          <w:highlight w:val="none"/>
        </w:rPr>
        <w:t>即：</w:t>
      </w:r>
    </w:p>
    <w:p w14:paraId="0A298BAE">
      <w:pPr>
        <w:pageBreakBefore w:val="0"/>
        <w:kinsoku/>
        <w:wordWrap/>
        <w:overflowPunct/>
        <w:topLinePunct w:val="0"/>
        <w:autoSpaceDE/>
        <w:autoSpaceDN/>
        <w:bidi w:val="0"/>
        <w:adjustRightInd w:val="0"/>
        <w:snapToGrid w:val="0"/>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14:paraId="7FCE6538">
      <w:pPr>
        <w:pageBreakBefore w:val="0"/>
        <w:kinsoku/>
        <w:wordWrap/>
        <w:overflowPunct/>
        <w:topLinePunct w:val="0"/>
        <w:autoSpaceDE/>
        <w:autoSpaceDN/>
        <w:bidi w:val="0"/>
        <w:adjustRightInd w:val="0"/>
        <w:snapToGrid w:val="0"/>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75FACFD4">
      <w:pPr>
        <w:pageBreakBefore w:val="0"/>
        <w:kinsoku/>
        <w:wordWrap/>
        <w:overflowPunct/>
        <w:topLinePunct w:val="0"/>
        <w:autoSpaceDE/>
        <w:autoSpaceDN/>
        <w:bidi w:val="0"/>
        <w:adjustRightInd w:val="0"/>
        <w:snapToGrid w:val="0"/>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4B19017B">
      <w:pPr>
        <w:pageBreakBefore w:val="0"/>
        <w:kinsoku/>
        <w:wordWrap/>
        <w:overflowPunct/>
        <w:topLinePunct w:val="0"/>
        <w:autoSpaceDE/>
        <w:autoSpaceDN/>
        <w:bidi w:val="0"/>
        <w:adjustRightInd w:val="0"/>
        <w:snapToGrid w:val="0"/>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39791693">
      <w:pPr>
        <w:pageBreakBefore w:val="0"/>
        <w:kinsoku/>
        <w:wordWrap/>
        <w:overflowPunct/>
        <w:topLinePunct w:val="0"/>
        <w:autoSpaceDE/>
        <w:autoSpaceDN/>
        <w:bidi w:val="0"/>
        <w:adjustRightInd w:val="0"/>
        <w:snapToGrid w:val="0"/>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345CDA85">
      <w:pPr>
        <w:pageBreakBefore w:val="0"/>
        <w:kinsoku/>
        <w:wordWrap/>
        <w:overflowPunct/>
        <w:topLinePunct w:val="0"/>
        <w:autoSpaceDE/>
        <w:autoSpaceDN/>
        <w:bidi w:val="0"/>
        <w:adjustRightInd w:val="0"/>
        <w:snapToGrid w:val="0"/>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350A6A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2、落实政府采购政策需满足的资格要求： </w:t>
      </w:r>
    </w:p>
    <w:p w14:paraId="2BCAB31C">
      <w:pPr>
        <w:pStyle w:val="67"/>
        <w:pageBreakBefore w:val="0"/>
        <w:kinsoku/>
        <w:wordWrap/>
        <w:overflowPunct/>
        <w:topLinePunct w:val="0"/>
        <w:autoSpaceDE/>
        <w:autoSpaceDN/>
        <w:bidi w:val="0"/>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kern w:val="0"/>
          <w:sz w:val="24"/>
          <w:szCs w:val="24"/>
          <w:highlight w:val="none"/>
        </w:rPr>
        <w:t xml:space="preserve">专门面向： </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kern w:val="0"/>
          <w:sz w:val="24"/>
          <w:szCs w:val="24"/>
          <w:highlight w:val="none"/>
        </w:rPr>
        <w:t xml:space="preserve">中小企业 </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kern w:val="0"/>
          <w:sz w:val="24"/>
          <w:szCs w:val="24"/>
          <w:highlight w:val="none"/>
        </w:rPr>
        <w:t xml:space="preserve">小微企业 </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kern w:val="0"/>
          <w:sz w:val="24"/>
          <w:szCs w:val="24"/>
          <w:highlight w:val="none"/>
        </w:rPr>
        <w:t xml:space="preserve">监狱企业 </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kern w:val="0"/>
          <w:sz w:val="24"/>
          <w:szCs w:val="24"/>
          <w:highlight w:val="none"/>
        </w:rPr>
        <w:t>福利性单位 。</w:t>
      </w:r>
    </w:p>
    <w:p w14:paraId="1038AD53">
      <w:pPr>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kern w:val="0"/>
          <w:sz w:val="24"/>
          <w:szCs w:val="24"/>
          <w:highlight w:val="none"/>
        </w:rPr>
        <w:t>强制分包：大型企业应将采购份额的</w:t>
      </w:r>
      <w:r>
        <w:rPr>
          <w:rFonts w:hint="eastAsia" w:ascii="宋体" w:hAnsi="宋体" w:eastAsia="宋体" w:cs="宋体"/>
          <w:color w:val="auto"/>
          <w:kern w:val="0"/>
          <w:sz w:val="24"/>
          <w:szCs w:val="24"/>
          <w:highlight w:val="none"/>
          <w:u w:val="single"/>
        </w:rPr>
        <w:t>     </w:t>
      </w:r>
      <w:r>
        <w:rPr>
          <w:rFonts w:hint="eastAsia" w:ascii="宋体" w:hAnsi="宋体" w:eastAsia="宋体" w:cs="宋体"/>
          <w:color w:val="auto"/>
          <w:kern w:val="0"/>
          <w:sz w:val="24"/>
          <w:szCs w:val="24"/>
          <w:highlight w:val="none"/>
        </w:rPr>
        <w:t>%分包给中小企业。</w:t>
      </w:r>
      <w:r>
        <w:rPr>
          <w:rFonts w:hint="eastAsia" w:ascii="宋体" w:hAnsi="宋体" w:eastAsia="宋体" w:cs="宋体"/>
          <w:color w:val="auto"/>
          <w:kern w:val="0"/>
          <w:sz w:val="24"/>
          <w:szCs w:val="24"/>
          <w:highlight w:val="none"/>
          <w:lang w:val="en-US" w:eastAsia="zh-CN" w:bidi="ar"/>
        </w:rPr>
        <w:t xml:space="preserve"> </w:t>
      </w:r>
    </w:p>
    <w:p w14:paraId="2DC23163">
      <w:pPr>
        <w:keepNext w:val="0"/>
        <w:keepLines w:val="0"/>
        <w:pageBreakBefore w:val="0"/>
        <w:widowControl/>
        <w:numPr>
          <w:ilvl w:val="0"/>
          <w:numId w:val="2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 xml:space="preserve">供应商特定资格条件： </w:t>
      </w:r>
    </w:p>
    <w:p w14:paraId="6CE7123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420" w:leftChars="0" w:right="0" w:rightChars="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包1:</w:t>
      </w:r>
    </w:p>
    <w:p w14:paraId="7BDED6F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42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rPr>
        <w:t>投标人为经营企业的，从事第三类医疗器械经营的应取得有效期内的《医疗器械经营许可证》(具备相应经营范围)。</w:t>
      </w:r>
    </w:p>
    <w:p w14:paraId="1CB1AE2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42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rPr>
        <w:t>投标人为生产厂商的，从事第二类或第三类医疗器械生产的厂商，应取得有效期内的《医疗器械生产许可证》(具备相应生产范围)。</w:t>
      </w:r>
    </w:p>
    <w:p w14:paraId="10FF2B4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420" w:leftChars="0" w:right="0" w:rightChars="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③</w:t>
      </w:r>
      <w:r>
        <w:rPr>
          <w:rFonts w:hint="eastAsia" w:ascii="宋体" w:hAnsi="宋体" w:eastAsia="宋体" w:cs="宋体"/>
          <w:color w:val="auto"/>
          <w:sz w:val="24"/>
          <w:szCs w:val="24"/>
          <w:highlight w:val="none"/>
        </w:rPr>
        <w:t>投标产品若属于中国医疗器械注册管理范围内的，则应取得有效期内的监督管理部门颁发的相应的《中华人民共和国医疗器械注册证》</w:t>
      </w:r>
      <w:r>
        <w:rPr>
          <w:rFonts w:hint="eastAsia" w:ascii="宋体" w:hAnsi="宋体" w:eastAsia="宋体" w:cs="宋体"/>
          <w:color w:val="auto"/>
          <w:sz w:val="24"/>
          <w:szCs w:val="24"/>
          <w:highlight w:val="none"/>
          <w:lang w:eastAsia="zh-CN"/>
        </w:rPr>
        <w:t>。</w:t>
      </w:r>
    </w:p>
    <w:p w14:paraId="50213C1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420" w:leftChars="0" w:right="0" w:rightChars="0" w:firstLine="480" w:firstLineChars="200"/>
        <w:jc w:val="left"/>
        <w:textAlignment w:val="auto"/>
        <w:rPr>
          <w:rFonts w:hint="eastAsia" w:ascii="宋体" w:hAnsi="宋体" w:eastAsia="宋体" w:cs="宋体"/>
          <w:color w:val="auto"/>
          <w:sz w:val="24"/>
          <w:szCs w:val="24"/>
          <w:highlight w:val="none"/>
          <w:lang w:eastAsia="zh-CN"/>
        </w:rPr>
      </w:pPr>
    </w:p>
    <w:p w14:paraId="438568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4、单位负责人为同一人或者存在直接控股、管理关系的不同投标人，不得参加同一合同项下的政府采购活动。 </w:t>
      </w:r>
    </w:p>
    <w:p w14:paraId="4C4681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5、为本采购项目提供整体设计、规范编制或者项目管理、监理、检测等服务的，不得再参加此项目的其他采购活动。 </w:t>
      </w:r>
    </w:p>
    <w:p w14:paraId="637A14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6、列入失信被执行人、重大税收违法失信主体名单、政府采购严重违法失信行为记录名单的，拒绝其参与政府采购活动。 </w:t>
      </w:r>
    </w:p>
    <w:p w14:paraId="3A2F15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7、联合体投标。本次招标</w:t>
      </w:r>
      <w:r>
        <w:rPr>
          <w:rFonts w:hint="eastAsia" w:ascii="宋体" w:hAnsi="宋体" w:eastAsia="宋体" w:cs="宋体"/>
          <w:color w:val="auto"/>
          <w:kern w:val="0"/>
          <w:sz w:val="24"/>
          <w:szCs w:val="24"/>
          <w:highlight w:val="none"/>
          <w:u w:val="single"/>
          <w:lang w:val="en-US" w:eastAsia="zh-CN" w:bidi="ar"/>
        </w:rPr>
        <w:t>不接受</w:t>
      </w:r>
      <w:r>
        <w:rPr>
          <w:rFonts w:hint="eastAsia" w:ascii="宋体" w:hAnsi="宋体" w:eastAsia="宋体" w:cs="宋体"/>
          <w:color w:val="auto"/>
          <w:kern w:val="0"/>
          <w:sz w:val="24"/>
          <w:szCs w:val="24"/>
          <w:highlight w:val="none"/>
          <w:lang w:val="en-US" w:eastAsia="zh-CN" w:bidi="ar"/>
        </w:rPr>
        <w:t xml:space="preserve">联合体投标。 </w:t>
      </w:r>
    </w:p>
    <w:p w14:paraId="175858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kern w:val="0"/>
          <w:sz w:val="21"/>
          <w:szCs w:val="21"/>
          <w:highlight w:val="none"/>
          <w:lang w:val="en-US" w:eastAsia="zh-CN" w:bidi="ar"/>
        </w:rPr>
      </w:pPr>
      <w:bookmarkStart w:id="24" w:name="_Toc6580"/>
      <w:r>
        <w:rPr>
          <w:rFonts w:hint="eastAsia" w:ascii="宋体" w:hAnsi="宋体" w:eastAsia="宋体" w:cs="宋体"/>
          <w:color w:val="auto"/>
          <w:kern w:val="0"/>
          <w:sz w:val="21"/>
          <w:szCs w:val="21"/>
          <w:highlight w:val="none"/>
          <w:lang w:val="en-US" w:eastAsia="zh-CN" w:bidi="ar"/>
        </w:rPr>
        <w:t>其他说明:</w:t>
      </w:r>
    </w:p>
    <w:p w14:paraId="4EEA6E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①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税务登记证、社会保险登记证和统计登记证，符合基本资格条件的相关条款，</w:t>
      </w:r>
      <w:r>
        <w:rPr>
          <w:rFonts w:hint="eastAsia" w:ascii="宋体" w:hAnsi="宋体" w:eastAsia="宋体" w:cs="宋体"/>
          <w:color w:val="auto"/>
          <w:kern w:val="0"/>
          <w:sz w:val="21"/>
          <w:szCs w:val="21"/>
          <w:highlight w:val="none"/>
          <w:lang w:val="zh-CN" w:eastAsia="zh-CN" w:bidi="ar"/>
        </w:rPr>
        <w:t>供应商如是“三证合一或五证合一”请自行说明。</w:t>
      </w:r>
    </w:p>
    <w:p w14:paraId="41E0D3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left="0" w:righ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②根据《湖南省财政厅湖南省工业和信息化厅关于运用政府采购促进中小企业发展有关事项的通知》(湘财购【2021】16 号文)和《湖南省财政厅关于政府采购促进中小企业发展有关措施的通知》(湘财购【2022】17 号文)，符合法定条件的供应商凭《湖南省政府采购供应商资格承诺函》(格式详见(湘财购【2022】17 号文))参与政府采购活动，无需提供财政状况、缴纳税收和社会保障资金等资格证明材料。经采购人或监管部门查实，提供虚假承诺的供应商将以虚假资料谋取中标(成交)的违法行为，被列入不良记录名单，采购人有权取消其中标资格)。</w:t>
      </w:r>
    </w:p>
    <w:p w14:paraId="7AE61A43">
      <w:pPr>
        <w:pageBreakBefore w:val="0"/>
        <w:kinsoku/>
        <w:wordWrap/>
        <w:overflowPunct/>
        <w:topLinePunct w:val="0"/>
        <w:autoSpaceDE/>
        <w:autoSpaceDN/>
        <w:bidi w:val="0"/>
        <w:spacing w:line="420" w:lineRule="exact"/>
        <w:ind w:firstLine="420" w:firstLineChars="200"/>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③非法人组织参与投标需提供的相关证明材料，如分公司或分支机构参与投标，须提供总公司（法人）出具的有效授权证明文件，明确授权范围及愿意承担全部民事责任。</w:t>
      </w:r>
    </w:p>
    <w:p w14:paraId="4E04F9EE">
      <w:pPr>
        <w:pStyle w:val="3"/>
        <w:pageBreakBefore w:val="0"/>
        <w:kinsoku/>
        <w:wordWrap/>
        <w:overflowPunct/>
        <w:topLinePunct w:val="0"/>
        <w:autoSpaceDE/>
        <w:autoSpaceDN/>
        <w:bidi w:val="0"/>
        <w:spacing w:line="42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五、获取招标文件的时间、期限、地点及方式</w:t>
      </w:r>
      <w:bookmarkEnd w:id="24"/>
    </w:p>
    <w:p w14:paraId="01078DC5">
      <w:pPr>
        <w:pageBreakBefore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有意参加投标者，于2026年</w:t>
      </w:r>
      <w:r>
        <w:rPr>
          <w:rFonts w:hint="eastAsia" w:ascii="宋体" w:hAnsi="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val="en-US" w:eastAsia="zh-CN" w:bidi="ar"/>
        </w:rPr>
        <w:t>月</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 xml:space="preserve">日 至2026年 </w:t>
      </w:r>
      <w:r>
        <w:rPr>
          <w:rFonts w:hint="eastAsia" w:ascii="宋体" w:hAnsi="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val="en-US" w:eastAsia="zh-CN" w:bidi="ar"/>
        </w:rPr>
        <w:t xml:space="preserve"> 月</w:t>
      </w:r>
      <w:r>
        <w:rPr>
          <w:rFonts w:hint="eastAsia" w:ascii="宋体" w:hAnsi="宋体" w:cs="宋体"/>
          <w:color w:val="auto"/>
          <w:kern w:val="0"/>
          <w:sz w:val="24"/>
          <w:szCs w:val="24"/>
          <w:highlight w:val="none"/>
          <w:lang w:val="en-US" w:eastAsia="zh-CN" w:bidi="ar"/>
        </w:rPr>
        <w:t>7</w:t>
      </w:r>
      <w:r>
        <w:rPr>
          <w:rFonts w:hint="eastAsia" w:ascii="宋体" w:hAnsi="宋体" w:eastAsia="宋体" w:cs="宋体"/>
          <w:color w:val="auto"/>
          <w:kern w:val="0"/>
          <w:sz w:val="24"/>
          <w:szCs w:val="24"/>
          <w:highlight w:val="none"/>
          <w:lang w:val="en-US" w:eastAsia="zh-CN" w:bidi="ar"/>
        </w:rPr>
        <w:t xml:space="preserve"> 日 ， 上午8：30至12：00、下午14：00至17：00（北京时间），双休日及节假日除外， 在</w:t>
      </w:r>
      <w:r>
        <w:rPr>
          <w:rFonts w:hint="eastAsia" w:ascii="宋体" w:hAnsi="宋体" w:eastAsia="宋体" w:cs="宋体"/>
          <w:color w:val="auto"/>
          <w:kern w:val="2"/>
          <w:sz w:val="24"/>
          <w:szCs w:val="24"/>
          <w:highlight w:val="none"/>
          <w:lang w:val="en-US" w:eastAsia="zh-CN" w:bidi="ar-SA"/>
        </w:rPr>
        <w:t>湖南省岳阳经济技术开发区岳阳大道东郡首府1栋303号门面（</w:t>
      </w:r>
      <w:r>
        <w:rPr>
          <w:rFonts w:hint="eastAsia" w:ascii="宋体" w:hAnsi="宋体" w:eastAsia="宋体" w:cs="宋体"/>
          <w:color w:val="auto"/>
          <w:sz w:val="24"/>
          <w:szCs w:val="24"/>
          <w:highlight w:val="none"/>
          <w:lang w:val="en-US" w:eastAsia="zh-CN"/>
        </w:rPr>
        <w:t>湖南容成和项目管理有限公司</w:t>
      </w:r>
      <w:r>
        <w:rPr>
          <w:rFonts w:hint="eastAsia" w:ascii="宋体" w:hAnsi="宋体" w:eastAsia="宋体" w:cs="宋体"/>
          <w:color w:val="auto"/>
          <w:kern w:val="0"/>
          <w:sz w:val="24"/>
          <w:szCs w:val="24"/>
          <w:highlight w:val="none"/>
          <w:lang w:val="en-US" w:eastAsia="zh-CN" w:bidi="ar"/>
        </w:rPr>
        <w:t>采购代理机构指定办公室，）持个人身份证原件、法定代表人身份证明(或者授权委托书并附法定代表人身份证明)、营业执照副本复印件获取招标文件（</w:t>
      </w:r>
      <w:r>
        <w:rPr>
          <w:rFonts w:hint="eastAsia" w:ascii="宋体" w:hAnsi="宋体" w:cs="宋体"/>
          <w:color w:val="auto"/>
          <w:kern w:val="0"/>
          <w:sz w:val="24"/>
          <w:szCs w:val="24"/>
          <w:highlight w:val="none"/>
          <w:lang w:val="en-US" w:eastAsia="zh-CN" w:bidi="ar"/>
        </w:rPr>
        <w:t>现场</w:t>
      </w:r>
      <w:r>
        <w:rPr>
          <w:rFonts w:hint="eastAsia" w:ascii="宋体" w:hAnsi="宋体" w:eastAsia="宋体" w:cs="宋体"/>
          <w:color w:val="auto"/>
          <w:kern w:val="0"/>
          <w:sz w:val="24"/>
          <w:szCs w:val="24"/>
          <w:highlight w:val="none"/>
          <w:lang w:val="en-US" w:eastAsia="zh-CN" w:bidi="ar"/>
        </w:rPr>
        <w:t>提交的资料要盖公章）。</w:t>
      </w:r>
    </w:p>
    <w:p w14:paraId="4F4DDB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20" w:lineRule="exact"/>
        <w:ind w:lef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object>
          <v:shape id="_x0000_i1038" o:spt="201" alt="" type="#_x0000_t201" style="height:14.4pt;width:18pt;" o:ole="t" filled="f" o:preferrelative="t" stroked="f" coordsize="21600,21600">
            <v:path/>
            <v:fill on="f" focussize="0,0"/>
            <v:stroke on="f"/>
            <v:imagedata r:id="rId17" o:title=""/>
            <o:lock v:ext="edit" aspectratio="t"/>
            <w10:wrap type="none"/>
            <w10:anchorlock/>
          </v:shape>
          <w:control r:id="rId31" w:name="Control 20" w:shapeid="_x0000_i1038"/>
        </w:object>
      </w:r>
      <w:r>
        <w:rPr>
          <w:rFonts w:hint="eastAsia" w:ascii="宋体" w:hAnsi="宋体" w:eastAsia="宋体" w:cs="宋体"/>
          <w:color w:val="auto"/>
          <w:kern w:val="0"/>
          <w:sz w:val="24"/>
          <w:szCs w:val="24"/>
          <w:highlight w:val="none"/>
          <w:lang w:val="en-US" w:eastAsia="zh-CN" w:bidi="ar"/>
        </w:rPr>
        <w:t xml:space="preserve">本项目实行电子交易，有意参加投标者，在湖南省岳阳经济技术开发区岳阳大道东郡首府1栋303号门面（采购代理机构指定地址）持本人身份证原件、法定代表人身份证明(或者授权委托书并附法定代表人身份证明)、营业执照副本复印件获取电子版招标文件。 </w:t>
      </w:r>
    </w:p>
    <w:p w14:paraId="43A318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20" w:lineRule="exact"/>
        <w:ind w:lef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object>
          <v:shape id="_x0000_i1039" o:spt="201" alt="" type="#_x0000_t201" style="height:14.4pt;width:18pt;" o:ole="t" filled="f" o:preferrelative="t" stroked="f" coordsize="21600,21600">
            <v:path/>
            <v:fill on="f" focussize="0,0"/>
            <v:stroke on="f"/>
            <v:imagedata r:id="rId17" o:title=""/>
            <o:lock v:ext="edit" aspectratio="t"/>
            <w10:wrap type="none"/>
            <w10:anchorlock/>
          </v:shape>
          <w:control r:id="rId32" w:name="Control 21" w:shapeid="_x0000_i1039"/>
        </w:object>
      </w:r>
      <w:r>
        <w:rPr>
          <w:rFonts w:hint="eastAsia" w:ascii="宋体" w:hAnsi="宋体" w:eastAsia="宋体" w:cs="宋体"/>
          <w:color w:val="auto"/>
          <w:kern w:val="0"/>
          <w:sz w:val="24"/>
          <w:szCs w:val="24"/>
          <w:highlight w:val="none"/>
          <w:lang w:val="en-US" w:eastAsia="zh-CN" w:bidi="ar"/>
        </w:rPr>
        <w:t xml:space="preserve">本项目进行资格预审，招标文件将向所有通过资格预审的供应商提供。 </w:t>
      </w:r>
    </w:p>
    <w:p w14:paraId="60AB407A">
      <w:pPr>
        <w:pStyle w:val="3"/>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bookmarkStart w:id="25" w:name="_Toc15015"/>
      <w:r>
        <w:rPr>
          <w:rFonts w:hint="eastAsia" w:ascii="宋体" w:hAnsi="宋体" w:eastAsia="宋体" w:cs="宋体"/>
          <w:color w:val="auto"/>
          <w:sz w:val="24"/>
          <w:szCs w:val="24"/>
          <w:highlight w:val="none"/>
        </w:rPr>
        <w:t>六、投标截止时间、开标时间及地点</w:t>
      </w:r>
      <w:bookmarkEnd w:id="25"/>
    </w:p>
    <w:p w14:paraId="16892B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20" w:lineRule="exact"/>
        <w:ind w:lef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1、提交投标文件的截止时间：2026年</w:t>
      </w:r>
      <w:r>
        <w:rPr>
          <w:rFonts w:hint="eastAsia" w:ascii="宋体" w:hAnsi="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val="en-US" w:eastAsia="zh-CN" w:bidi="ar"/>
        </w:rPr>
        <w:t>月</w:t>
      </w:r>
      <w:r>
        <w:rPr>
          <w:rFonts w:hint="eastAsia" w:ascii="宋体" w:hAnsi="宋体" w:cs="宋体"/>
          <w:color w:val="auto"/>
          <w:kern w:val="0"/>
          <w:sz w:val="24"/>
          <w:szCs w:val="24"/>
          <w:highlight w:val="none"/>
          <w:lang w:val="en-US" w:eastAsia="zh-CN" w:bidi="ar"/>
        </w:rPr>
        <w:t>12</w:t>
      </w:r>
      <w:r>
        <w:rPr>
          <w:rFonts w:hint="eastAsia" w:ascii="宋体" w:hAnsi="宋体" w:eastAsia="宋体" w:cs="宋体"/>
          <w:color w:val="auto"/>
          <w:kern w:val="0"/>
          <w:sz w:val="24"/>
          <w:szCs w:val="24"/>
          <w:highlight w:val="none"/>
          <w:lang w:val="en-US" w:eastAsia="zh-CN" w:bidi="ar"/>
        </w:rPr>
        <w:t xml:space="preserve">日9 :00（北京时间） </w:t>
      </w:r>
    </w:p>
    <w:p w14:paraId="49AE53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20" w:lineRule="exact"/>
        <w:ind w:left="0" w:firstLine="42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val="en-US" w:eastAsia="zh-CN" w:bidi="ar"/>
        </w:rPr>
        <w:t>2、提交投标文件地点：</w:t>
      </w:r>
      <w:r>
        <w:rPr>
          <w:rFonts w:hint="eastAsia" w:ascii="宋体" w:hAnsi="宋体" w:eastAsia="宋体" w:cs="宋体"/>
          <w:color w:val="auto"/>
          <w:sz w:val="24"/>
          <w:szCs w:val="24"/>
          <w:highlight w:val="none"/>
        </w:rPr>
        <w:t>湖南</w:t>
      </w:r>
      <w:r>
        <w:rPr>
          <w:rFonts w:hint="eastAsia" w:ascii="宋体" w:hAnsi="宋体" w:eastAsia="宋体" w:cs="宋体"/>
          <w:color w:val="auto"/>
          <w:sz w:val="24"/>
          <w:szCs w:val="24"/>
          <w:highlight w:val="none"/>
          <w:lang w:val="en-US" w:eastAsia="zh-CN"/>
        </w:rPr>
        <w:t>容成和</w:t>
      </w:r>
      <w:r>
        <w:rPr>
          <w:rFonts w:hint="eastAsia" w:ascii="宋体" w:hAnsi="宋体" w:eastAsia="宋体" w:cs="宋体"/>
          <w:color w:val="auto"/>
          <w:sz w:val="24"/>
          <w:szCs w:val="24"/>
          <w:highlight w:val="none"/>
        </w:rPr>
        <w:t>项目管理有限公司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 w:val="24"/>
          <w:szCs w:val="24"/>
          <w:highlight w:val="none"/>
          <w:lang w:val="en-US" w:eastAsia="zh-CN" w:bidi="ar"/>
        </w:rPr>
        <w:t>湖南省岳阳市华容县章华镇田家湖生态新区杏花村西路024号101室</w:t>
      </w:r>
      <w:r>
        <w:rPr>
          <w:rFonts w:hint="eastAsia" w:ascii="宋体" w:hAnsi="宋体" w:eastAsia="宋体" w:cs="宋体"/>
          <w:color w:val="auto"/>
          <w:sz w:val="24"/>
          <w:szCs w:val="24"/>
          <w:highlight w:val="none"/>
          <w:lang w:eastAsia="zh-CN"/>
        </w:rPr>
        <w:t>）</w:t>
      </w:r>
    </w:p>
    <w:p w14:paraId="5E3F0B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20" w:lineRule="exact"/>
        <w:ind w:left="0" w:firstLine="42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3、开标时间：2026年</w:t>
      </w:r>
      <w:r>
        <w:rPr>
          <w:rFonts w:hint="eastAsia" w:ascii="宋体" w:hAnsi="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val="en-US" w:eastAsia="zh-CN" w:bidi="ar"/>
        </w:rPr>
        <w:t>月</w:t>
      </w:r>
      <w:r>
        <w:rPr>
          <w:rFonts w:hint="eastAsia" w:ascii="宋体" w:hAnsi="宋体" w:cs="宋体"/>
          <w:color w:val="auto"/>
          <w:kern w:val="0"/>
          <w:sz w:val="24"/>
          <w:szCs w:val="24"/>
          <w:highlight w:val="none"/>
          <w:lang w:val="en-US" w:eastAsia="zh-CN" w:bidi="ar"/>
        </w:rPr>
        <w:t>12</w:t>
      </w:r>
      <w:r>
        <w:rPr>
          <w:rFonts w:hint="eastAsia" w:ascii="宋体" w:hAnsi="宋体" w:eastAsia="宋体" w:cs="宋体"/>
          <w:color w:val="auto"/>
          <w:kern w:val="0"/>
          <w:sz w:val="24"/>
          <w:szCs w:val="24"/>
          <w:highlight w:val="none"/>
          <w:lang w:val="en-US" w:eastAsia="zh-CN" w:bidi="ar"/>
        </w:rPr>
        <w:t xml:space="preserve"> 日9 :00（北京时间）</w:t>
      </w:r>
    </w:p>
    <w:p w14:paraId="60E296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20" w:lineRule="exact"/>
        <w:ind w:lef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4、开标地点：</w:t>
      </w:r>
      <w:r>
        <w:rPr>
          <w:rFonts w:hint="eastAsia" w:ascii="宋体" w:hAnsi="宋体" w:eastAsia="宋体" w:cs="宋体"/>
          <w:color w:val="auto"/>
          <w:sz w:val="24"/>
          <w:szCs w:val="24"/>
          <w:highlight w:val="none"/>
        </w:rPr>
        <w:t>湖南</w:t>
      </w:r>
      <w:r>
        <w:rPr>
          <w:rFonts w:hint="eastAsia" w:ascii="宋体" w:hAnsi="宋体" w:eastAsia="宋体" w:cs="宋体"/>
          <w:color w:val="auto"/>
          <w:sz w:val="24"/>
          <w:szCs w:val="24"/>
          <w:highlight w:val="none"/>
          <w:lang w:val="en-US" w:eastAsia="zh-CN"/>
        </w:rPr>
        <w:t>容成和</w:t>
      </w:r>
      <w:r>
        <w:rPr>
          <w:rFonts w:hint="eastAsia" w:ascii="宋体" w:hAnsi="宋体" w:eastAsia="宋体" w:cs="宋体"/>
          <w:color w:val="auto"/>
          <w:sz w:val="24"/>
          <w:szCs w:val="24"/>
          <w:highlight w:val="none"/>
        </w:rPr>
        <w:t>项目管理有限公司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 w:val="24"/>
          <w:szCs w:val="24"/>
          <w:highlight w:val="none"/>
          <w:lang w:val="en-US" w:eastAsia="zh-CN" w:bidi="ar"/>
        </w:rPr>
        <w:t>湖南省岳阳市华容县章华镇田家湖生态新区杏花村西路024号101室</w:t>
      </w:r>
      <w:r>
        <w:rPr>
          <w:rFonts w:hint="eastAsia" w:ascii="宋体" w:hAnsi="宋体" w:eastAsia="宋体" w:cs="宋体"/>
          <w:color w:val="auto"/>
          <w:sz w:val="24"/>
          <w:szCs w:val="24"/>
          <w:highlight w:val="none"/>
          <w:lang w:eastAsia="zh-CN"/>
        </w:rPr>
        <w:t>）</w:t>
      </w:r>
    </w:p>
    <w:p w14:paraId="51760C53">
      <w:pPr>
        <w:pStyle w:val="3"/>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bookmarkStart w:id="26" w:name="_Toc32474"/>
      <w:r>
        <w:rPr>
          <w:rFonts w:hint="eastAsia" w:ascii="宋体" w:hAnsi="宋体" w:eastAsia="宋体" w:cs="宋体"/>
          <w:color w:val="auto"/>
          <w:sz w:val="24"/>
          <w:szCs w:val="24"/>
          <w:highlight w:val="none"/>
        </w:rPr>
        <w:t>七、公告期限</w:t>
      </w:r>
      <w:bookmarkEnd w:id="26"/>
    </w:p>
    <w:p w14:paraId="5A34A1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20" w:lineRule="exact"/>
        <w:ind w:lef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1、本招标公告在中国湖南政府采购网（www.ccgp-hunan.gov.cn）发布。公告期限从本招标公告发布之日起5个工作日。</w:t>
      </w:r>
    </w:p>
    <w:p w14:paraId="1230CD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20" w:lineRule="exact"/>
        <w:ind w:left="0" w:firstLine="42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2、在其他媒体发布的招标公告，公告内容以本招标公告指定媒体发布的公告为准；公告期限自本招标公告指定媒体最先发布公告之日起算。</w:t>
      </w:r>
      <w:bookmarkStart w:id="27" w:name="_Toc19215"/>
    </w:p>
    <w:p w14:paraId="6C399014">
      <w:pPr>
        <w:pStyle w:val="3"/>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八、询问及质疑</w:t>
      </w:r>
      <w:bookmarkEnd w:id="27"/>
    </w:p>
    <w:p w14:paraId="6DF373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00" w:lineRule="exact"/>
        <w:ind w:lef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1、投标人对政府采购活动事项如有疑问的，可以向采购人、采购代理机构提出询问。采购人、采购代理机构将在3个工作日内作出答复。</w:t>
      </w:r>
    </w:p>
    <w:p w14:paraId="1EB4FD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00" w:lineRule="exact"/>
        <w:ind w:lef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2、投标人对电子交易平台办理CA证书、操作等如有疑问，请咨询电子交易平台服务机构。</w:t>
      </w:r>
    </w:p>
    <w:p w14:paraId="668AA5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00" w:lineRule="exact"/>
        <w:ind w:lef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692FA548">
      <w:pPr>
        <w:pStyle w:val="3"/>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bookmarkStart w:id="28" w:name="_Toc12848"/>
      <w:r>
        <w:rPr>
          <w:rFonts w:hint="eastAsia" w:ascii="宋体" w:hAnsi="宋体" w:eastAsia="宋体" w:cs="宋体"/>
          <w:color w:val="auto"/>
          <w:sz w:val="24"/>
          <w:szCs w:val="24"/>
          <w:highlight w:val="none"/>
        </w:rPr>
        <w:t>九、投标说明</w:t>
      </w:r>
      <w:bookmarkEnd w:id="28"/>
    </w:p>
    <w:p w14:paraId="139F25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00" w:lineRule="exact"/>
        <w:ind w:lef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1、本公告选项：</w:t>
      </w:r>
      <w:r>
        <w:rPr>
          <w:rFonts w:hint="eastAsia" w:ascii="宋体" w:hAnsi="宋体" w:eastAsia="宋体" w:cs="宋体"/>
          <w:color w:val="auto"/>
          <w:kern w:val="0"/>
          <w:sz w:val="24"/>
          <w:szCs w:val="24"/>
          <w:highlight w:val="none"/>
          <w:lang w:val="en-US" w:eastAsia="zh-CN" w:bidi="ar"/>
        </w:rPr>
        <w:object>
          <v:shape id="_x0000_i1040" o:spt="201" alt="" type="#_x0000_t201" style="height:14.4pt;width:18pt;" o:ole="t" filled="f" o:preferrelative="t" stroked="f" coordsize="21600,21600">
            <v:path/>
            <v:fill on="f" focussize="0,0"/>
            <v:stroke on="f"/>
            <v:imagedata r:id="rId20" o:title=""/>
            <o:lock v:ext="edit" aspectratio="t"/>
            <w10:wrap type="none"/>
            <w10:anchorlock/>
          </v:shape>
          <w:control r:id="rId33" w:name="Control 22" w:shapeid="_x0000_i1040"/>
        </w:object>
      </w:r>
      <w:r>
        <w:rPr>
          <w:rFonts w:hint="eastAsia" w:ascii="宋体" w:hAnsi="宋体" w:eastAsia="宋体" w:cs="宋体"/>
          <w:color w:val="auto"/>
          <w:kern w:val="0"/>
          <w:sz w:val="24"/>
          <w:szCs w:val="24"/>
          <w:highlight w:val="none"/>
          <w:lang w:val="en-US" w:eastAsia="zh-CN" w:bidi="ar"/>
        </w:rPr>
        <w:t>表示选择，</w:t>
      </w:r>
      <w:r>
        <w:rPr>
          <w:rFonts w:hint="eastAsia" w:ascii="宋体" w:hAnsi="宋体" w:eastAsia="宋体" w:cs="宋体"/>
          <w:color w:val="auto"/>
          <w:kern w:val="0"/>
          <w:sz w:val="24"/>
          <w:szCs w:val="24"/>
          <w:highlight w:val="none"/>
          <w:lang w:val="en-US" w:eastAsia="zh-CN" w:bidi="ar"/>
        </w:rPr>
        <w:object>
          <v:shape id="_x0000_i1041" o:spt="201" alt="" type="#_x0000_t201" style="height:14.4pt;width:18pt;" o:ole="t" filled="f" o:preferrelative="t" stroked="f" coordsize="21600,21600">
            <v:path/>
            <v:fill on="f" focussize="0,0"/>
            <v:stroke on="f"/>
            <v:imagedata r:id="rId17" o:title=""/>
            <o:lock v:ext="edit" aspectratio="t"/>
            <w10:wrap type="none"/>
            <w10:anchorlock/>
          </v:shape>
          <w:control r:id="rId34" w:name="Control 23" w:shapeid="_x0000_i1041"/>
        </w:object>
      </w:r>
      <w:r>
        <w:rPr>
          <w:rFonts w:hint="eastAsia" w:ascii="宋体" w:hAnsi="宋体" w:eastAsia="宋体" w:cs="宋体"/>
          <w:color w:val="auto"/>
          <w:kern w:val="0"/>
          <w:sz w:val="24"/>
          <w:szCs w:val="24"/>
          <w:highlight w:val="none"/>
          <w:lang w:val="en-US" w:eastAsia="zh-CN" w:bidi="ar"/>
        </w:rPr>
        <w:t xml:space="preserve">表示未选择。 </w:t>
      </w:r>
    </w:p>
    <w:p w14:paraId="4D8FD4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00" w:lineRule="exact"/>
        <w:ind w:lef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2、投标人参与政府采购活动，无需向采购人、代理机构、交易平台缴纳任何费用。</w:t>
      </w:r>
    </w:p>
    <w:p w14:paraId="41365BE1">
      <w:pPr>
        <w:pStyle w:val="3"/>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bookmarkStart w:id="29" w:name="_Toc5885"/>
      <w:r>
        <w:rPr>
          <w:rFonts w:hint="eastAsia" w:ascii="宋体" w:hAnsi="宋体" w:eastAsia="宋体" w:cs="宋体"/>
          <w:color w:val="auto"/>
          <w:sz w:val="24"/>
          <w:szCs w:val="24"/>
          <w:highlight w:val="none"/>
        </w:rPr>
        <w:t>十、采购项目联系人姓名和电话</w:t>
      </w:r>
      <w:bookmarkEnd w:id="29"/>
    </w:p>
    <w:p w14:paraId="701A63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00" w:lineRule="exact"/>
        <w:ind w:left="0" w:firstLine="420"/>
        <w:jc w:val="left"/>
        <w:textAlignment w:val="auto"/>
        <w:rPr>
          <w:rFonts w:hint="eastAsia" w:ascii="宋体" w:hAnsi="宋体" w:eastAsia="宋体" w:cs="宋体"/>
          <w:color w:val="auto"/>
          <w:kern w:val="0"/>
          <w:sz w:val="24"/>
          <w:szCs w:val="24"/>
          <w:highlight w:val="none"/>
          <w:lang w:val="en-US" w:eastAsia="zh-CN" w:bidi="ar"/>
        </w:rPr>
      </w:pPr>
      <w:bookmarkStart w:id="30" w:name="_Toc25020"/>
      <w:r>
        <w:rPr>
          <w:rFonts w:hint="eastAsia" w:ascii="宋体" w:hAnsi="宋体" w:eastAsia="宋体" w:cs="宋体"/>
          <w:color w:val="auto"/>
          <w:kern w:val="0"/>
          <w:sz w:val="24"/>
          <w:szCs w:val="24"/>
          <w:highlight w:val="none"/>
          <w:lang w:val="en-US" w:eastAsia="zh-CN" w:bidi="ar"/>
        </w:rPr>
        <w:t>1、联系人姓名：</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莫红霞 </w:t>
      </w:r>
      <w:r>
        <w:rPr>
          <w:rFonts w:hint="eastAsia" w:ascii="宋体" w:hAnsi="宋体" w:eastAsia="宋体" w:cs="宋体"/>
          <w:color w:val="auto"/>
          <w:sz w:val="24"/>
          <w:szCs w:val="24"/>
          <w:highlight w:val="none"/>
          <w:u w:val="none"/>
          <w:lang w:val="en-US" w:eastAsia="zh-CN"/>
        </w:rPr>
        <w:t xml:space="preserve"> </w:t>
      </w:r>
    </w:p>
    <w:p w14:paraId="5C1B4C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2、电话：</w:t>
      </w:r>
      <w:r>
        <w:rPr>
          <w:rFonts w:hint="eastAsia" w:ascii="宋体" w:hAnsi="宋体" w:eastAsia="宋体" w:cs="宋体"/>
          <w:color w:val="auto"/>
          <w:sz w:val="24"/>
          <w:szCs w:val="24"/>
          <w:highlight w:val="none"/>
          <w:lang w:val="en-US" w:eastAsia="zh-CN"/>
        </w:rPr>
        <w:t>15200296098</w:t>
      </w:r>
    </w:p>
    <w:p w14:paraId="4CCFC8D6">
      <w:pPr>
        <w:pStyle w:val="3"/>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十一、采购人、采购代理机构的名称、地址和联系方法</w:t>
      </w:r>
      <w:bookmarkEnd w:id="30"/>
    </w:p>
    <w:p w14:paraId="2C99EF80">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1、采购人信息</w:t>
      </w:r>
    </w:p>
    <w:p w14:paraId="5D1BCC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（1）名 称：华容县人民医院 </w:t>
      </w:r>
    </w:p>
    <w:p w14:paraId="2D35DB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（2）地 址：湖南省岳阳市华容县田家湖生态新区华鲇路110号 </w:t>
      </w:r>
    </w:p>
    <w:p w14:paraId="2CE52E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（3）联系人：</w:t>
      </w:r>
      <w:r>
        <w:rPr>
          <w:rFonts w:hint="eastAsia" w:ascii="宋体" w:hAnsi="宋体" w:eastAsia="宋体" w:cs="宋体"/>
          <w:color w:val="auto"/>
          <w:kern w:val="0"/>
          <w:sz w:val="24"/>
          <w:szCs w:val="24"/>
          <w:highlight w:val="none"/>
          <w:lang w:val="en-US" w:eastAsia="zh-CN" w:bidi="ar"/>
        </w:rPr>
        <w:t xml:space="preserve"> 汤超 </w:t>
      </w:r>
    </w:p>
    <w:p w14:paraId="50028C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（4）邮 编：414200 </w:t>
      </w:r>
    </w:p>
    <w:p w14:paraId="34A9A5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（5）电 话：0730-4689158</w:t>
      </w:r>
    </w:p>
    <w:p w14:paraId="29CCFE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（6）电子邮箱：/ </w:t>
      </w:r>
    </w:p>
    <w:p w14:paraId="5E7026F4">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2、采购代理机构信息</w:t>
      </w:r>
    </w:p>
    <w:p w14:paraId="0648FA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rPr>
      </w:pPr>
      <w:bookmarkStart w:id="31" w:name="_Toc32509"/>
      <w:r>
        <w:rPr>
          <w:rFonts w:hint="eastAsia" w:ascii="宋体" w:hAnsi="宋体" w:eastAsia="宋体" w:cs="宋体"/>
          <w:color w:val="auto"/>
          <w:kern w:val="0"/>
          <w:sz w:val="24"/>
          <w:szCs w:val="24"/>
          <w:highlight w:val="none"/>
          <w:lang w:val="en-US" w:eastAsia="zh-CN" w:bidi="ar"/>
        </w:rPr>
        <w:t>（1）名 称：</w:t>
      </w:r>
      <w:r>
        <w:rPr>
          <w:rFonts w:hint="eastAsia" w:ascii="宋体" w:hAnsi="宋体" w:eastAsia="宋体" w:cs="宋体"/>
          <w:color w:val="auto"/>
          <w:sz w:val="24"/>
          <w:szCs w:val="24"/>
          <w:highlight w:val="none"/>
          <w:lang w:val="en-US" w:eastAsia="zh-CN"/>
        </w:rPr>
        <w:t>湖南容成和项目管理有限公司</w:t>
      </w:r>
    </w:p>
    <w:p w14:paraId="7A1C84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（2）地 址：</w:t>
      </w:r>
      <w:r>
        <w:rPr>
          <w:rFonts w:hint="eastAsia" w:ascii="宋体" w:hAnsi="宋体" w:eastAsia="宋体" w:cs="宋体"/>
          <w:color w:val="auto"/>
          <w:kern w:val="2"/>
          <w:sz w:val="24"/>
          <w:szCs w:val="24"/>
          <w:highlight w:val="none"/>
          <w:lang w:val="en-US" w:eastAsia="zh-CN" w:bidi="ar-SA"/>
        </w:rPr>
        <w:t>湖南省岳阳经济技术开发区岳阳大道东郡首府1栋303号门面</w:t>
      </w:r>
    </w:p>
    <w:p w14:paraId="420B7D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（3</w:t>
      </w:r>
      <w:r>
        <w:rPr>
          <w:rFonts w:hint="eastAsia" w:ascii="宋体" w:hAnsi="宋体" w:eastAsia="宋体" w:cs="宋体"/>
          <w:color w:val="auto"/>
          <w:sz w:val="24"/>
          <w:szCs w:val="24"/>
          <w:highlight w:val="none"/>
          <w:lang w:val="en-US" w:eastAsia="zh-CN"/>
        </w:rPr>
        <w:t xml:space="preserve">）联系人：莫红霞  </w:t>
      </w:r>
    </w:p>
    <w:p w14:paraId="384E1C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（4）邮 编：414200  </w:t>
      </w:r>
    </w:p>
    <w:p w14:paraId="03849C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（5）电 话：15200296098</w:t>
      </w:r>
    </w:p>
    <w:p w14:paraId="34F7BE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line="400" w:lineRule="exact"/>
        <w:ind w:left="0" w:firstLine="42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（6）电子邮箱：</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"mailto:657242364@qq.com"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657242364@qq.com</w:t>
      </w:r>
      <w:r>
        <w:rPr>
          <w:rFonts w:hint="eastAsia" w:ascii="宋体" w:hAnsi="宋体" w:eastAsia="宋体" w:cs="宋体"/>
          <w:color w:val="auto"/>
          <w:sz w:val="24"/>
          <w:szCs w:val="24"/>
          <w:highlight w:val="none"/>
          <w:lang w:val="en-US" w:eastAsia="zh-CN"/>
        </w:rPr>
        <w:fldChar w:fldCharType="end"/>
      </w:r>
    </w:p>
    <w:p w14:paraId="73B5C8D6">
      <w:pPr>
        <w:pStyle w:val="2"/>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第二章  磋商须知</w:t>
      </w:r>
      <w:bookmarkEnd w:id="31"/>
    </w:p>
    <w:p w14:paraId="095C9D8F">
      <w:pPr>
        <w:pStyle w:val="3"/>
        <w:bidi w:val="0"/>
        <w:jc w:val="center"/>
        <w:rPr>
          <w:rFonts w:hint="eastAsia" w:ascii="宋体" w:hAnsi="宋体" w:eastAsia="宋体" w:cs="宋体"/>
          <w:color w:val="auto"/>
          <w:sz w:val="30"/>
          <w:szCs w:val="30"/>
          <w:highlight w:val="none"/>
        </w:rPr>
      </w:pPr>
      <w:bookmarkStart w:id="32" w:name="_Toc13291"/>
      <w:r>
        <w:rPr>
          <w:rFonts w:hint="eastAsia" w:ascii="宋体" w:hAnsi="宋体" w:eastAsia="宋体" w:cs="宋体"/>
          <w:color w:val="auto"/>
          <w:sz w:val="30"/>
          <w:szCs w:val="30"/>
          <w:highlight w:val="none"/>
        </w:rPr>
        <w:t>磋商须知前附表</w:t>
      </w:r>
      <w:bookmarkEnd w:id="32"/>
    </w:p>
    <w:p w14:paraId="36E1F697">
      <w:pPr>
        <w:pStyle w:val="28"/>
        <w:rPr>
          <w:rFonts w:hint="eastAsia" w:ascii="宋体" w:hAnsi="宋体" w:eastAsia="宋体" w:cs="宋体"/>
          <w:color w:val="auto"/>
          <w:highlight w:val="none"/>
        </w:rPr>
      </w:pPr>
      <w:r>
        <w:rPr>
          <w:rFonts w:hint="eastAsia" w:ascii="宋体" w:hAnsi="宋体" w:eastAsia="宋体" w:cs="宋体"/>
          <w:color w:val="auto"/>
          <w:highlight w:val="none"/>
        </w:rPr>
        <w:t>（本项目采用的条款用“■”标示）</w:t>
      </w:r>
    </w:p>
    <w:tbl>
      <w:tblPr>
        <w:tblStyle w:val="50"/>
        <w:tblW w:w="990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43"/>
        <w:gridCol w:w="1462"/>
        <w:gridCol w:w="7101"/>
      </w:tblGrid>
      <w:tr w14:paraId="0683C9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blHeader/>
          <w:jc w:val="center"/>
        </w:trPr>
        <w:tc>
          <w:tcPr>
            <w:tcW w:w="1343" w:type="dxa"/>
            <w:vAlign w:val="center"/>
          </w:tcPr>
          <w:p w14:paraId="63BB4B53">
            <w:pPr>
              <w:adjustRightInd w:val="0"/>
              <w:snapToGrid w:val="0"/>
              <w:spacing w:line="32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1462" w:type="dxa"/>
            <w:vAlign w:val="center"/>
          </w:tcPr>
          <w:p w14:paraId="20570B9B">
            <w:pPr>
              <w:adjustRightInd w:val="0"/>
              <w:snapToGrid w:val="0"/>
              <w:spacing w:line="32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条款名称</w:t>
            </w:r>
          </w:p>
        </w:tc>
        <w:tc>
          <w:tcPr>
            <w:tcW w:w="7101" w:type="dxa"/>
            <w:vAlign w:val="center"/>
          </w:tcPr>
          <w:p w14:paraId="32AE4423">
            <w:pPr>
              <w:adjustRightInd w:val="0"/>
              <w:snapToGrid w:val="0"/>
              <w:spacing w:line="32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编列内容规定</w:t>
            </w:r>
          </w:p>
        </w:tc>
      </w:tr>
      <w:tr w14:paraId="149CA7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906" w:type="dxa"/>
            <w:gridSpan w:val="3"/>
            <w:vAlign w:val="center"/>
          </w:tcPr>
          <w:p w14:paraId="72BD4C03">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一、说明</w:t>
            </w:r>
          </w:p>
        </w:tc>
      </w:tr>
      <w:tr w14:paraId="571091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35B3C3D9">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27A6A515">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第1.1款</w:t>
            </w:r>
          </w:p>
        </w:tc>
        <w:tc>
          <w:tcPr>
            <w:tcW w:w="1462" w:type="dxa"/>
            <w:vAlign w:val="center"/>
          </w:tcPr>
          <w:p w14:paraId="311227B6">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w:t>
            </w:r>
          </w:p>
        </w:tc>
        <w:tc>
          <w:tcPr>
            <w:tcW w:w="7101" w:type="dxa"/>
            <w:vAlign w:val="center"/>
          </w:tcPr>
          <w:p w14:paraId="1668461C">
            <w:pPr>
              <w:adjustRightInd w:val="0"/>
              <w:snapToGrid w:val="0"/>
              <w:spacing w:line="32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华容县人民医院彩色多普勒超声诊断仪采购项目 </w:t>
            </w:r>
          </w:p>
        </w:tc>
      </w:tr>
      <w:tr w14:paraId="13EE14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2C16E6F7">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4A912401">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第2.1款</w:t>
            </w:r>
          </w:p>
        </w:tc>
        <w:tc>
          <w:tcPr>
            <w:tcW w:w="1462" w:type="dxa"/>
            <w:vAlign w:val="center"/>
          </w:tcPr>
          <w:p w14:paraId="266A2F2E">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c>
          <w:tcPr>
            <w:tcW w:w="7101" w:type="dxa"/>
            <w:vAlign w:val="center"/>
          </w:tcPr>
          <w:p w14:paraId="0A6FC41C">
            <w:pPr>
              <w:adjustRightInd w:val="0"/>
              <w:snapToGrid w:val="0"/>
              <w:spacing w:line="32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采购人：</w:t>
            </w:r>
            <w:r>
              <w:rPr>
                <w:rFonts w:hint="eastAsia" w:ascii="宋体" w:hAnsi="宋体" w:eastAsia="宋体" w:cs="宋体"/>
                <w:color w:val="auto"/>
                <w:sz w:val="21"/>
                <w:szCs w:val="21"/>
                <w:highlight w:val="none"/>
                <w:lang w:eastAsia="zh-CN"/>
              </w:rPr>
              <w:t>华容县人民医院</w:t>
            </w:r>
          </w:p>
          <w:p w14:paraId="05C22DD1">
            <w:pPr>
              <w:adjustRightInd w:val="0"/>
              <w:snapToGrid w:val="0"/>
              <w:spacing w:line="32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val="en-US" w:eastAsia="zh-CN"/>
              </w:rPr>
              <w:t>岳阳市华容县田家湖生态新区华鲇路110号</w:t>
            </w:r>
          </w:p>
          <w:p w14:paraId="2884EC36">
            <w:pPr>
              <w:adjustRightInd w:val="0"/>
              <w:snapToGrid w:val="0"/>
              <w:spacing w:line="32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w:t>
            </w:r>
            <w:r>
              <w:rPr>
                <w:rFonts w:hint="eastAsia" w:ascii="宋体" w:hAnsi="宋体" w:eastAsia="宋体" w:cs="宋体"/>
                <w:color w:val="auto"/>
                <w:sz w:val="21"/>
                <w:szCs w:val="21"/>
                <w:highlight w:val="none"/>
                <w:lang w:val="en-US" w:eastAsia="zh-CN"/>
              </w:rPr>
              <w:t xml:space="preserve">人：汤超 </w:t>
            </w:r>
          </w:p>
          <w:p w14:paraId="4E8509C5">
            <w:pPr>
              <w:adjustRightInd w:val="0"/>
              <w:snapToGrid w:val="0"/>
              <w:spacing w:line="32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lang w:eastAsia="zh-CN"/>
              </w:rPr>
              <w:t>0730-4689158</w:t>
            </w:r>
          </w:p>
        </w:tc>
      </w:tr>
      <w:tr w14:paraId="63C5BB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7389C4A9">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52A47FE9">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第2.2款</w:t>
            </w:r>
          </w:p>
        </w:tc>
        <w:tc>
          <w:tcPr>
            <w:tcW w:w="1462" w:type="dxa"/>
            <w:vAlign w:val="center"/>
          </w:tcPr>
          <w:p w14:paraId="66DF66B2">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w:t>
            </w:r>
          </w:p>
          <w:p w14:paraId="3426A3EA">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机构</w:t>
            </w:r>
          </w:p>
        </w:tc>
        <w:tc>
          <w:tcPr>
            <w:tcW w:w="7101" w:type="dxa"/>
            <w:vAlign w:val="center"/>
          </w:tcPr>
          <w:p w14:paraId="32A64DDA">
            <w:pPr>
              <w:adjustRightInd w:val="0"/>
              <w:snapToGrid w:val="0"/>
              <w:spacing w:line="3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代理机构：</w:t>
            </w:r>
            <w:r>
              <w:rPr>
                <w:rFonts w:hint="eastAsia" w:ascii="宋体" w:hAnsi="宋体" w:eastAsia="宋体" w:cs="宋体"/>
                <w:color w:val="auto"/>
                <w:sz w:val="21"/>
                <w:szCs w:val="21"/>
                <w:highlight w:val="none"/>
                <w:lang w:val="en-US" w:eastAsia="zh-CN"/>
              </w:rPr>
              <w:t xml:space="preserve">湖南容成和项目管理有限公司   </w:t>
            </w:r>
            <w:r>
              <w:rPr>
                <w:rFonts w:hint="eastAsia" w:ascii="宋体" w:hAnsi="宋体" w:eastAsia="宋体" w:cs="宋体"/>
                <w:color w:val="auto"/>
                <w:sz w:val="21"/>
                <w:szCs w:val="21"/>
                <w:highlight w:val="none"/>
              </w:rPr>
              <w:t xml:space="preserve">          </w:t>
            </w:r>
          </w:p>
          <w:p w14:paraId="6BB60432">
            <w:pPr>
              <w:adjustRightInd w:val="0"/>
              <w:snapToGrid w:val="0"/>
              <w:spacing w:line="3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val="en-US" w:eastAsia="zh-CN"/>
              </w:rPr>
              <w:t>湖南省岳阳经济技术开发区岳阳大道东郡首府1栋303号门面</w:t>
            </w:r>
            <w:r>
              <w:rPr>
                <w:rFonts w:hint="eastAsia" w:ascii="宋体" w:hAnsi="宋体" w:eastAsia="宋体" w:cs="宋体"/>
                <w:color w:val="auto"/>
                <w:sz w:val="21"/>
                <w:szCs w:val="21"/>
                <w:highlight w:val="none"/>
              </w:rPr>
              <w:t xml:space="preserve">                  </w:t>
            </w:r>
          </w:p>
          <w:p w14:paraId="10C348EF">
            <w:pPr>
              <w:adjustRightInd w:val="0"/>
              <w:snapToGrid w:val="0"/>
              <w:spacing w:line="3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莫红霞</w:t>
            </w:r>
            <w:r>
              <w:rPr>
                <w:rFonts w:hint="eastAsia" w:ascii="宋体" w:hAnsi="宋体" w:eastAsia="宋体" w:cs="宋体"/>
                <w:color w:val="auto"/>
                <w:sz w:val="21"/>
                <w:szCs w:val="21"/>
                <w:highlight w:val="none"/>
              </w:rPr>
              <w:t xml:space="preserve">                  </w:t>
            </w:r>
          </w:p>
          <w:p w14:paraId="2A262AF8">
            <w:pPr>
              <w:adjustRightInd w:val="0"/>
              <w:snapToGrid w:val="0"/>
              <w:spacing w:line="3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15200296098</w:t>
            </w:r>
          </w:p>
        </w:tc>
      </w:tr>
      <w:tr w14:paraId="762413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Merge w:val="restart"/>
            <w:vAlign w:val="center"/>
          </w:tcPr>
          <w:p w14:paraId="7D62A1A7">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5D006946">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第2.3款</w:t>
            </w:r>
          </w:p>
        </w:tc>
        <w:tc>
          <w:tcPr>
            <w:tcW w:w="1462" w:type="dxa"/>
            <w:vAlign w:val="center"/>
          </w:tcPr>
          <w:p w14:paraId="1D0F6B33">
            <w:pPr>
              <w:adjustRightInd w:val="0"/>
              <w:snapToGrid w:val="0"/>
              <w:spacing w:line="320" w:lineRule="exact"/>
              <w:jc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供应商的</w:t>
            </w:r>
            <w:r>
              <w:rPr>
                <w:rFonts w:hint="eastAsia" w:ascii="宋体" w:hAnsi="宋体" w:eastAsia="宋体" w:cs="宋体"/>
                <w:color w:val="auto"/>
                <w:sz w:val="21"/>
                <w:szCs w:val="21"/>
                <w:highlight w:val="none"/>
              </w:rPr>
              <w:t>邀请方式</w:t>
            </w:r>
          </w:p>
        </w:tc>
        <w:tc>
          <w:tcPr>
            <w:tcW w:w="7101" w:type="dxa"/>
            <w:vAlign w:val="center"/>
          </w:tcPr>
          <w:p w14:paraId="399ABE53">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发布公告</w:t>
            </w:r>
          </w:p>
          <w:p w14:paraId="124A4EB8">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从省级以上财政部门建立的供应商库中随机抽取</w:t>
            </w:r>
          </w:p>
          <w:p w14:paraId="5E01AABC">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采购人和评审专家分别书面推荐的方式</w:t>
            </w:r>
          </w:p>
        </w:tc>
      </w:tr>
      <w:tr w14:paraId="0ADDB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Merge w:val="continue"/>
            <w:vAlign w:val="center"/>
          </w:tcPr>
          <w:p w14:paraId="0AB255F1">
            <w:pPr>
              <w:adjustRightInd w:val="0"/>
              <w:snapToGrid w:val="0"/>
              <w:spacing w:line="320" w:lineRule="exact"/>
              <w:jc w:val="center"/>
              <w:rPr>
                <w:rFonts w:hint="eastAsia" w:ascii="宋体" w:hAnsi="宋体" w:eastAsia="宋体" w:cs="宋体"/>
                <w:color w:val="auto"/>
                <w:sz w:val="21"/>
                <w:szCs w:val="21"/>
                <w:highlight w:val="none"/>
              </w:rPr>
            </w:pPr>
          </w:p>
        </w:tc>
        <w:tc>
          <w:tcPr>
            <w:tcW w:w="1462" w:type="dxa"/>
            <w:vAlign w:val="center"/>
          </w:tcPr>
          <w:p w14:paraId="79AA787C">
            <w:pPr>
              <w:adjustRightInd w:val="0"/>
              <w:snapToGrid w:val="0"/>
              <w:spacing w:line="32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购买磋商文件时应提供的资料</w:t>
            </w:r>
          </w:p>
        </w:tc>
        <w:tc>
          <w:tcPr>
            <w:tcW w:w="7101" w:type="dxa"/>
            <w:vAlign w:val="center"/>
          </w:tcPr>
          <w:p w14:paraId="00F0F7A7">
            <w:pPr>
              <w:adjustRightInd w:val="0"/>
              <w:snapToGrid w:val="0"/>
              <w:spacing w:line="32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持本人</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原件</w:t>
            </w:r>
            <w:r>
              <w:rPr>
                <w:rFonts w:hint="eastAsia" w:ascii="宋体" w:hAnsi="宋体" w:eastAsia="宋体" w:cs="宋体"/>
                <w:color w:val="auto"/>
                <w:sz w:val="21"/>
                <w:szCs w:val="21"/>
                <w:highlight w:val="none"/>
              </w:rPr>
              <w:t>、法定代表人身份证明(或者授权委托书并附法定代表人身份证明)、营业执照副本复印件</w:t>
            </w:r>
            <w:r>
              <w:rPr>
                <w:rFonts w:hint="eastAsia" w:ascii="宋体" w:hAnsi="宋体" w:eastAsia="宋体" w:cs="宋体"/>
                <w:color w:val="auto"/>
                <w:sz w:val="21"/>
                <w:szCs w:val="21"/>
                <w:highlight w:val="none"/>
                <w:lang w:val="en-US" w:eastAsia="zh-CN"/>
              </w:rPr>
              <w:t>（提交的资料要盖公章）</w:t>
            </w:r>
          </w:p>
        </w:tc>
      </w:tr>
      <w:tr w14:paraId="6670DD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 w:hRule="atLeast"/>
          <w:jc w:val="center"/>
        </w:trPr>
        <w:tc>
          <w:tcPr>
            <w:tcW w:w="1343" w:type="dxa"/>
            <w:vAlign w:val="center"/>
          </w:tcPr>
          <w:p w14:paraId="2D007732">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0EB61363">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第3.1款</w:t>
            </w:r>
          </w:p>
        </w:tc>
        <w:tc>
          <w:tcPr>
            <w:tcW w:w="1462" w:type="dxa"/>
            <w:vAlign w:val="center"/>
          </w:tcPr>
          <w:p w14:paraId="76B4917B">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资格条件</w:t>
            </w:r>
          </w:p>
        </w:tc>
        <w:tc>
          <w:tcPr>
            <w:tcW w:w="7101" w:type="dxa"/>
            <w:vAlign w:val="center"/>
          </w:tcPr>
          <w:p w14:paraId="6E7C5F5F">
            <w:pPr>
              <w:pageBreakBefore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1、投标人的基本资格条件：投标人必须是在中华人民共和国境内注册登记的法人、其他组织或者自然人，且应当符合《政府采购法》第二十二条第一款的规定。 </w:t>
            </w:r>
            <w:r>
              <w:rPr>
                <w:rFonts w:hint="eastAsia" w:ascii="宋体" w:hAnsi="宋体" w:eastAsia="宋体" w:cs="宋体"/>
                <w:color w:val="auto"/>
                <w:sz w:val="21"/>
                <w:szCs w:val="21"/>
                <w:highlight w:val="none"/>
              </w:rPr>
              <w:t>即：</w:t>
            </w:r>
          </w:p>
          <w:p w14:paraId="398DF486">
            <w:pPr>
              <w:pageBreakBefore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（1）具有独立承担民事责任的能力；</w:t>
            </w:r>
          </w:p>
          <w:p w14:paraId="4CA5DF73">
            <w:pPr>
              <w:pageBreakBefore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（2）具有良好的商业信誉和健全的财务会计制度；</w:t>
            </w:r>
          </w:p>
          <w:p w14:paraId="6FBEAE52">
            <w:pPr>
              <w:pageBreakBefore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（3）具有履行合同所必需的设备和专业技术能力；</w:t>
            </w:r>
          </w:p>
          <w:p w14:paraId="5E14F15C">
            <w:pPr>
              <w:pageBreakBefore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（4）有依法缴纳税收和社会保障资金的良好记录；</w:t>
            </w:r>
          </w:p>
          <w:p w14:paraId="1056F027">
            <w:pPr>
              <w:pageBreakBefore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（5）参加政府采购活动前三年内，在经营活动中没有重大违法记录；</w:t>
            </w:r>
          </w:p>
          <w:p w14:paraId="0CDAB23D">
            <w:pPr>
              <w:pageBreakBefore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（6）法律、行政法规规定的其他条件。</w:t>
            </w:r>
          </w:p>
          <w:p w14:paraId="5BD38A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2、落实政府采购政策需满足的资格要求： </w:t>
            </w:r>
          </w:p>
          <w:p w14:paraId="39740B15">
            <w:pPr>
              <w:pStyle w:val="67"/>
              <w:pageBreakBefore w:val="0"/>
              <w:kinsoku/>
              <w:wordWrap/>
              <w:overflowPunct/>
              <w:topLinePunct w:val="0"/>
              <w:autoSpaceDE/>
              <w:autoSpaceDN/>
              <w:bidi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0"/>
                <w:sz w:val="21"/>
                <w:szCs w:val="21"/>
                <w:highlight w:val="none"/>
              </w:rPr>
              <w:t xml:space="preserve">专门面向： </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0"/>
                <w:sz w:val="21"/>
                <w:szCs w:val="21"/>
                <w:highlight w:val="none"/>
              </w:rPr>
              <w:t xml:space="preserve">中小企业 </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0"/>
                <w:sz w:val="21"/>
                <w:szCs w:val="21"/>
                <w:highlight w:val="none"/>
              </w:rPr>
              <w:t xml:space="preserve">小微企业 </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0"/>
                <w:sz w:val="21"/>
                <w:szCs w:val="21"/>
                <w:highlight w:val="none"/>
              </w:rPr>
              <w:t xml:space="preserve">监狱企业 </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0"/>
                <w:sz w:val="21"/>
                <w:szCs w:val="21"/>
                <w:highlight w:val="none"/>
              </w:rPr>
              <w:t>福利性单位 。</w:t>
            </w:r>
          </w:p>
          <w:p w14:paraId="2F400260">
            <w:pPr>
              <w:pageBreakBefore w:val="0"/>
              <w:widowControl/>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0"/>
                <w:sz w:val="21"/>
                <w:szCs w:val="21"/>
                <w:highlight w:val="none"/>
              </w:rPr>
              <w:t>强制分包：大型企业应将采购份额的</w:t>
            </w:r>
            <w:r>
              <w:rPr>
                <w:rFonts w:hint="eastAsia" w:ascii="宋体" w:hAnsi="宋体" w:eastAsia="宋体" w:cs="宋体"/>
                <w:color w:val="auto"/>
                <w:kern w:val="0"/>
                <w:sz w:val="21"/>
                <w:szCs w:val="21"/>
                <w:highlight w:val="none"/>
                <w:u w:val="single"/>
              </w:rPr>
              <w:t>     </w:t>
            </w:r>
            <w:r>
              <w:rPr>
                <w:rFonts w:hint="eastAsia" w:ascii="宋体" w:hAnsi="宋体" w:eastAsia="宋体" w:cs="宋体"/>
                <w:color w:val="auto"/>
                <w:kern w:val="0"/>
                <w:sz w:val="21"/>
                <w:szCs w:val="21"/>
                <w:highlight w:val="none"/>
              </w:rPr>
              <w:t>%分包给中小企业。</w:t>
            </w:r>
            <w:r>
              <w:rPr>
                <w:rFonts w:hint="eastAsia" w:ascii="宋体" w:hAnsi="宋体" w:eastAsia="宋体" w:cs="宋体"/>
                <w:color w:val="auto"/>
                <w:kern w:val="0"/>
                <w:sz w:val="21"/>
                <w:szCs w:val="21"/>
                <w:highlight w:val="none"/>
                <w:lang w:val="en-US" w:eastAsia="zh-CN" w:bidi="ar"/>
              </w:rPr>
              <w:t xml:space="preserve"> </w:t>
            </w:r>
          </w:p>
          <w:p w14:paraId="004243A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3.供应商特定资格条件： </w:t>
            </w:r>
          </w:p>
          <w:p w14:paraId="0C87D6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包1:</w:t>
            </w:r>
          </w:p>
          <w:p w14:paraId="420471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①投标人为经营企业的，从事第三类医疗器械经营的应取得有效期内的《医疗器械经营许可证》(具备相应经营范围)。</w:t>
            </w:r>
          </w:p>
          <w:p w14:paraId="117218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②投标人为生产厂商的，从事第二类或第三类医疗器械生产的厂商，应取得有效期内的《医疗器械生产许可证》(具备相应生产范围)。</w:t>
            </w:r>
          </w:p>
          <w:p w14:paraId="37238C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③投标产品若属于中国医疗器械注册管理范围内的，则应取得有效期内的监督管理部门颁发的相应的《中华人民共和国医疗器械注册证》。</w:t>
            </w:r>
          </w:p>
          <w:p w14:paraId="02A985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4、单位负责人为同一人或者存在直接控股、管理关系的不同投标人，不得参加同一合同项下的政府采购活动。 </w:t>
            </w:r>
          </w:p>
          <w:p w14:paraId="6242A8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5、为本采购项目提供整体设计、规范编制或者项目管理、监理、检测等服务的，不得再参加此项目的其他采购活动。 </w:t>
            </w:r>
          </w:p>
          <w:p w14:paraId="2E17A5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6、列入失信被执行人、重大税收违法失信主体名单、政府采购严重违法失信行为记录名单的，拒绝其参与政府采购活动。 </w:t>
            </w:r>
          </w:p>
          <w:p w14:paraId="1F4D40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7、联合体投标。本次招标</w:t>
            </w:r>
            <w:r>
              <w:rPr>
                <w:rFonts w:hint="eastAsia" w:ascii="宋体" w:hAnsi="宋体" w:eastAsia="宋体" w:cs="宋体"/>
                <w:color w:val="auto"/>
                <w:kern w:val="0"/>
                <w:sz w:val="21"/>
                <w:szCs w:val="21"/>
                <w:highlight w:val="none"/>
                <w:u w:val="single"/>
                <w:lang w:val="en-US" w:eastAsia="zh-CN" w:bidi="ar"/>
              </w:rPr>
              <w:t>不接受</w:t>
            </w:r>
            <w:r>
              <w:rPr>
                <w:rFonts w:hint="eastAsia" w:ascii="宋体" w:hAnsi="宋体" w:eastAsia="宋体" w:cs="宋体"/>
                <w:color w:val="auto"/>
                <w:kern w:val="0"/>
                <w:sz w:val="21"/>
                <w:szCs w:val="21"/>
                <w:highlight w:val="none"/>
                <w:lang w:val="en-US" w:eastAsia="zh-CN" w:bidi="ar"/>
              </w:rPr>
              <w:t xml:space="preserve">联合体投标。 </w:t>
            </w:r>
          </w:p>
          <w:p w14:paraId="3B02F1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其他说明:</w:t>
            </w:r>
          </w:p>
          <w:p w14:paraId="0A4B71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①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税务登记证、社会保险登记证和统计登记证，符合基本资格条件的相关条款，</w:t>
            </w:r>
            <w:r>
              <w:rPr>
                <w:rFonts w:hint="eastAsia" w:ascii="宋体" w:hAnsi="宋体" w:eastAsia="宋体" w:cs="宋体"/>
                <w:color w:val="auto"/>
                <w:kern w:val="0"/>
                <w:sz w:val="21"/>
                <w:szCs w:val="21"/>
                <w:highlight w:val="none"/>
                <w:lang w:val="zh-CN" w:eastAsia="zh-CN" w:bidi="ar"/>
              </w:rPr>
              <w:t>供应商如是“三证合一或五证合一”请自行说明。</w:t>
            </w:r>
          </w:p>
          <w:p w14:paraId="2DBA46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②根据《湖南省财政厅湖南省工业和信息化厅关于运用政府采购促进中小企业发展有关事项的通知》(湘财购【2021】16 号文)和《湖南省财政厅关于政府采购促进中小企业发展有关措施的通知》(湘财购【2022】17 号文)，符合法定条件的供应商凭《湖南省政府采购供应商资格承诺函》(格式详见(湘财购【2022】17 号文))参与政府采购活动，无需提供财政状况、缴纳税收和社会保障资金等资格证明材料。经采购人或监管部门查实，提供虚假承诺的供应商将以虚假资料谋取中标(成交)的违法行为，被列入不良记录名单，采购人有权取消其中标资格)。</w:t>
            </w:r>
          </w:p>
          <w:p w14:paraId="7812F2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lang w:val="en-US" w:eastAsia="zh-CN" w:bidi="ar"/>
              </w:rPr>
              <w:t>③非法人组织参与投标需提供的相关证明材料，如分公司或分支机构参与投标，须提供总公司（法人）出具的有效授权证明文件，明确授权范围及愿意承担全部民事责任。</w:t>
            </w:r>
          </w:p>
        </w:tc>
      </w:tr>
      <w:tr w14:paraId="4C2E89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49E22412">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7C62B97F">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第6.1款</w:t>
            </w:r>
          </w:p>
        </w:tc>
        <w:tc>
          <w:tcPr>
            <w:tcW w:w="1462" w:type="dxa"/>
            <w:vAlign w:val="center"/>
          </w:tcPr>
          <w:p w14:paraId="6ECC0BEE">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联合体形式</w:t>
            </w:r>
          </w:p>
        </w:tc>
        <w:tc>
          <w:tcPr>
            <w:tcW w:w="7101" w:type="dxa"/>
            <w:vAlign w:val="center"/>
          </w:tcPr>
          <w:p w14:paraId="69EFC768">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不接受</w:t>
            </w:r>
          </w:p>
          <w:p w14:paraId="16EA22E3">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接受</w:t>
            </w:r>
          </w:p>
        </w:tc>
      </w:tr>
      <w:tr w14:paraId="300AC8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6951278A">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335C95F2">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第6.2款</w:t>
            </w:r>
          </w:p>
        </w:tc>
        <w:tc>
          <w:tcPr>
            <w:tcW w:w="1462" w:type="dxa"/>
            <w:vAlign w:val="center"/>
          </w:tcPr>
          <w:p w14:paraId="4FB2368F">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对联合体</w:t>
            </w:r>
          </w:p>
          <w:p w14:paraId="69064079">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各方的要求</w:t>
            </w:r>
          </w:p>
        </w:tc>
        <w:tc>
          <w:tcPr>
            <w:tcW w:w="7101" w:type="dxa"/>
            <w:vAlign w:val="center"/>
          </w:tcPr>
          <w:p w14:paraId="40A1FDDB">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2E62C1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1BA08708">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3169C3FF">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第7.1款</w:t>
            </w:r>
          </w:p>
        </w:tc>
        <w:tc>
          <w:tcPr>
            <w:tcW w:w="1462" w:type="dxa"/>
            <w:vAlign w:val="center"/>
          </w:tcPr>
          <w:p w14:paraId="408716CA">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现场勘察</w:t>
            </w:r>
          </w:p>
        </w:tc>
        <w:tc>
          <w:tcPr>
            <w:tcW w:w="7101" w:type="dxa"/>
            <w:vAlign w:val="center"/>
          </w:tcPr>
          <w:p w14:paraId="7CB41077">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采购人不组织（如有必要，另行通知）</w:t>
            </w:r>
          </w:p>
          <w:p w14:paraId="6EDB9F44">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采购人组织</w:t>
            </w:r>
          </w:p>
        </w:tc>
      </w:tr>
      <w:tr w14:paraId="7A3C09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7B300D97">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437984EC">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第8.1款</w:t>
            </w:r>
          </w:p>
        </w:tc>
        <w:tc>
          <w:tcPr>
            <w:tcW w:w="1462" w:type="dxa"/>
            <w:vAlign w:val="center"/>
          </w:tcPr>
          <w:p w14:paraId="7F33CC5F">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采购进口产品</w:t>
            </w:r>
          </w:p>
        </w:tc>
        <w:tc>
          <w:tcPr>
            <w:tcW w:w="7101" w:type="dxa"/>
            <w:vAlign w:val="center"/>
          </w:tcPr>
          <w:p w14:paraId="5531CF11">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本项目拒绝采购进口产品</w:t>
            </w:r>
          </w:p>
          <w:p w14:paraId="724F5F5F">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本项目已经财政部门审核同意购买进口产品</w:t>
            </w:r>
          </w:p>
        </w:tc>
      </w:tr>
      <w:tr w14:paraId="1DFE99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5E4D8F78">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666CB5D3">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第9.1款</w:t>
            </w:r>
          </w:p>
        </w:tc>
        <w:tc>
          <w:tcPr>
            <w:tcW w:w="1462" w:type="dxa"/>
            <w:vAlign w:val="center"/>
          </w:tcPr>
          <w:p w14:paraId="7C3DC671">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政府采购强制采购：</w:t>
            </w:r>
          </w:p>
          <w:p w14:paraId="6509BB26">
            <w:pPr>
              <w:adjustRightInd w:val="0"/>
              <w:snapToGrid w:val="0"/>
              <w:spacing w:line="3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1、强制采购的节能产品；</w:t>
            </w:r>
          </w:p>
          <w:p w14:paraId="70BDE368">
            <w:pPr>
              <w:adjustRightInd w:val="0"/>
              <w:snapToGrid w:val="0"/>
              <w:spacing w:line="3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2、其他。</w:t>
            </w:r>
          </w:p>
        </w:tc>
        <w:tc>
          <w:tcPr>
            <w:tcW w:w="7101" w:type="dxa"/>
            <w:vAlign w:val="center"/>
          </w:tcPr>
          <w:p w14:paraId="7C91ECB0">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否</w:t>
            </w:r>
          </w:p>
          <w:p w14:paraId="48AE9B62">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是，采购《节能产品政府采购品目清单》内标记★符号的节能产品。</w:t>
            </w:r>
          </w:p>
        </w:tc>
      </w:tr>
      <w:tr w14:paraId="2BEF18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3BD0357E">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606FF5DA">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第9.2款</w:t>
            </w:r>
          </w:p>
        </w:tc>
        <w:tc>
          <w:tcPr>
            <w:tcW w:w="1462" w:type="dxa"/>
            <w:vAlign w:val="center"/>
          </w:tcPr>
          <w:p w14:paraId="5D99F42F">
            <w:pPr>
              <w:keepNext w:val="0"/>
              <w:keepLines w:val="0"/>
              <w:pageBreakBefore w:val="0"/>
              <w:widowControl w:val="0"/>
              <w:kinsoku/>
              <w:wordWrap w:val="0"/>
              <w:overflowPunct/>
              <w:topLinePunct w:val="0"/>
              <w:autoSpaceDE/>
              <w:autoSpaceDN/>
              <w:bidi w:val="0"/>
              <w:spacing w:line="240" w:lineRule="auto"/>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政府采购优先采购：</w:t>
            </w:r>
          </w:p>
          <w:p w14:paraId="39790B2C">
            <w:pPr>
              <w:keepNext w:val="0"/>
              <w:keepLines w:val="0"/>
              <w:pageBreakBefore w:val="0"/>
              <w:widowControl w:val="0"/>
              <w:kinsoku/>
              <w:wordWrap w:val="0"/>
              <w:overflowPunct/>
              <w:topLinePunct w:val="0"/>
              <w:autoSpaceDE/>
              <w:autoSpaceDN/>
              <w:bidi w:val="0"/>
              <w:spacing w:line="240" w:lineRule="auto"/>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1、非强制采购的节能产品；</w:t>
            </w:r>
          </w:p>
          <w:p w14:paraId="28DA0C7B">
            <w:pPr>
              <w:keepNext w:val="0"/>
              <w:keepLines w:val="0"/>
              <w:pageBreakBefore w:val="0"/>
              <w:widowControl w:val="0"/>
              <w:kinsoku/>
              <w:wordWrap w:val="0"/>
              <w:overflowPunct/>
              <w:topLinePunct w:val="0"/>
              <w:autoSpaceDE/>
              <w:autoSpaceDN/>
              <w:bidi w:val="0"/>
              <w:spacing w:line="240" w:lineRule="auto"/>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2、环境标志产品；</w:t>
            </w:r>
          </w:p>
          <w:p w14:paraId="36E675FB">
            <w:pPr>
              <w:keepNext w:val="0"/>
              <w:keepLines w:val="0"/>
              <w:pageBreakBefore w:val="0"/>
              <w:widowControl w:val="0"/>
              <w:kinsoku/>
              <w:wordWrap w:val="0"/>
              <w:overflowPunct/>
              <w:topLinePunct w:val="0"/>
              <w:autoSpaceDE/>
              <w:autoSpaceDN/>
              <w:bidi w:val="0"/>
              <w:spacing w:line="240" w:lineRule="auto"/>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3、两型产品；</w:t>
            </w:r>
          </w:p>
          <w:p w14:paraId="5EED2F01">
            <w:pPr>
              <w:keepNext w:val="0"/>
              <w:keepLines w:val="0"/>
              <w:pageBreakBefore w:val="0"/>
              <w:widowControl w:val="0"/>
              <w:kinsoku/>
              <w:wordWrap w:val="0"/>
              <w:overflowPunct/>
              <w:topLinePunct w:val="0"/>
              <w:autoSpaceDE/>
              <w:autoSpaceDN/>
              <w:bidi w:val="0"/>
              <w:spacing w:line="240" w:lineRule="auto"/>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4、支持中小企业发展；</w:t>
            </w:r>
          </w:p>
          <w:p w14:paraId="631F077C">
            <w:pPr>
              <w:keepNext w:val="0"/>
              <w:keepLines w:val="0"/>
              <w:pageBreakBefore w:val="0"/>
              <w:widowControl w:val="0"/>
              <w:kinsoku/>
              <w:wordWrap w:val="0"/>
              <w:overflowPunct/>
              <w:topLinePunct w:val="0"/>
              <w:autoSpaceDE/>
              <w:autoSpaceDN/>
              <w:bidi w:val="0"/>
              <w:spacing w:line="240" w:lineRule="auto"/>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5、支持残疾人福利单位发展；</w:t>
            </w:r>
          </w:p>
          <w:p w14:paraId="476116C0">
            <w:pPr>
              <w:keepNext w:val="0"/>
              <w:keepLines w:val="0"/>
              <w:pageBreakBefore w:val="0"/>
              <w:widowControl w:val="0"/>
              <w:kinsoku/>
              <w:wordWrap w:val="0"/>
              <w:overflowPunct/>
              <w:topLinePunct w:val="0"/>
              <w:autoSpaceDE/>
              <w:autoSpaceDN/>
              <w:bidi w:val="0"/>
              <w:spacing w:line="240" w:lineRule="auto"/>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6、支持监狱企业发展；</w:t>
            </w:r>
          </w:p>
          <w:p w14:paraId="256EFFB7">
            <w:pPr>
              <w:keepNext w:val="0"/>
              <w:keepLines w:val="0"/>
              <w:pageBreakBefore w:val="0"/>
              <w:widowControl w:val="0"/>
              <w:kinsoku/>
              <w:wordWrap w:val="0"/>
              <w:overflowPunct/>
              <w:topLinePunct w:val="0"/>
              <w:autoSpaceDE/>
              <w:autoSpaceDN/>
              <w:bidi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highlight w:val="none"/>
                <w:lang w:eastAsia="zh-CN"/>
              </w:rPr>
              <w:t>7、其他。</w:t>
            </w:r>
          </w:p>
        </w:tc>
        <w:tc>
          <w:tcPr>
            <w:tcW w:w="7101" w:type="dxa"/>
            <w:vAlign w:val="center"/>
          </w:tcPr>
          <w:p w14:paraId="3BB07278">
            <w:pPr>
              <w:keepNext w:val="0"/>
              <w:keepLines w:val="0"/>
              <w:pageBreakBefore w:val="0"/>
              <w:widowControl w:val="0"/>
              <w:kinsoku/>
              <w:wordWrap w:val="0"/>
              <w:overflowPunct/>
              <w:topLinePunct w:val="0"/>
              <w:autoSpaceDE/>
              <w:autoSpaceDN/>
              <w:bidi w:val="0"/>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1、采购产品为《节能产品政府采购清单》(最新一期)内非标记★符号的，分别给予技术和价格项标准总分值4%-8%的加分。本项目具体加分比例分别为：技术</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lang w:eastAsia="zh-CN"/>
              </w:rPr>
              <w:t>、价格</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eastAsia="zh-CN"/>
              </w:rPr>
              <w:t>。</w:t>
            </w:r>
          </w:p>
          <w:p w14:paraId="2C3612E0">
            <w:pPr>
              <w:keepNext w:val="0"/>
              <w:keepLines w:val="0"/>
              <w:pageBreakBefore w:val="0"/>
              <w:widowControl w:val="0"/>
              <w:kinsoku/>
              <w:wordWrap w:val="0"/>
              <w:overflowPunct/>
              <w:topLinePunct w:val="0"/>
              <w:autoSpaceDE/>
              <w:autoSpaceDN/>
              <w:bidi w:val="0"/>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2、采购产品为《环境标志产品政府采购清单》(最新一期)内的，分别给予技术和价格项标准总分值4%-8%的加分。本项目具体加分比例分别为：技术4%、价格4%。</w:t>
            </w:r>
          </w:p>
          <w:p w14:paraId="350D41F9">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3、投标主材产品如属于湖南省两型产品政府采购目录（第十一批）的，对于价格、技术和商务分，分别给予价格、技术和商务评审总得分 </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的加分。</w:t>
            </w:r>
          </w:p>
          <w:p w14:paraId="7210FAAC">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4、非专门面向中小企业采购的项目，且符合政府采购促进中小企业发展相关规定的：给予小型和微型企业产品的价格给予</w:t>
            </w:r>
            <w:r>
              <w:rPr>
                <w:rFonts w:hint="eastAsia" w:ascii="宋体" w:hAnsi="宋体" w:eastAsia="宋体" w:cs="宋体"/>
                <w:color w:val="auto"/>
                <w:sz w:val="21"/>
                <w:szCs w:val="21"/>
                <w:highlight w:val="none"/>
                <w:u w:val="single"/>
                <w:lang w:val="en-US" w:eastAsia="zh-CN"/>
              </w:rPr>
              <w:t xml:space="preserve">10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的扣除，用扣除后的价格参与评审。</w:t>
            </w:r>
          </w:p>
          <w:p w14:paraId="1480B7A2">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5、非专门面向中小企业采购的项目，残疾人福利性单位视同小微企业在价格评审时给予 </w:t>
            </w:r>
            <w:r>
              <w:rPr>
                <w:rFonts w:hint="eastAsia" w:ascii="宋体" w:hAnsi="宋体" w:eastAsia="宋体" w:cs="宋体"/>
                <w:color w:val="auto"/>
                <w:sz w:val="21"/>
                <w:szCs w:val="21"/>
                <w:highlight w:val="none"/>
                <w:u w:val="single"/>
                <w:lang w:val="en-US" w:eastAsia="zh-CN"/>
              </w:rPr>
              <w:t xml:space="preserve"> 10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的扣除，用扣除后的价格参与评审。</w:t>
            </w:r>
          </w:p>
          <w:p w14:paraId="6156D7F3">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6、非专门面向中小企业采购的项目，监狱企业视同小微企业在价格评审时给予</w:t>
            </w:r>
            <w:r>
              <w:rPr>
                <w:rFonts w:hint="eastAsia" w:ascii="宋体" w:hAnsi="宋体" w:eastAsia="宋体" w:cs="宋体"/>
                <w:color w:val="auto"/>
                <w:sz w:val="21"/>
                <w:szCs w:val="21"/>
                <w:highlight w:val="none"/>
                <w:u w:val="single"/>
                <w:lang w:val="en-US" w:eastAsia="zh-CN"/>
              </w:rPr>
              <w:t xml:space="preserve">10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的扣除，用扣除后的价格参与评审。</w:t>
            </w:r>
          </w:p>
          <w:p w14:paraId="15B3148A">
            <w:pPr>
              <w:bidi w:val="0"/>
              <w:rPr>
                <w:rFonts w:hint="eastAsia" w:ascii="宋体" w:hAnsi="宋体" w:eastAsia="宋体" w:cs="宋体"/>
                <w:b w:val="0"/>
                <w:bCs w:val="0"/>
                <w:color w:val="auto"/>
                <w:sz w:val="21"/>
                <w:szCs w:val="21"/>
                <w:highlight w:val="none"/>
              </w:rPr>
            </w:pPr>
          </w:p>
          <w:p w14:paraId="4EF36ECF">
            <w:pPr>
              <w:pageBreakBefore w:val="0"/>
              <w:kinsoku/>
              <w:wordWrap/>
              <w:overflowPunct/>
              <w:topLinePunct w:val="0"/>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注：</w:t>
            </w:r>
            <w:r>
              <w:rPr>
                <w:rFonts w:hint="eastAsia" w:ascii="宋体" w:hAnsi="宋体" w:eastAsia="宋体" w:cs="宋体"/>
                <w:b/>
                <w:bCs/>
                <w:color w:val="auto"/>
                <w:sz w:val="21"/>
                <w:szCs w:val="21"/>
                <w:highlight w:val="none"/>
              </w:rPr>
              <w:t>本项目</w:t>
            </w:r>
            <w:r>
              <w:rPr>
                <w:rFonts w:hint="eastAsia" w:ascii="宋体" w:hAnsi="宋体" w:eastAsia="宋体" w:cs="宋体"/>
                <w:b/>
                <w:bCs/>
                <w:color w:val="auto"/>
                <w:sz w:val="21"/>
                <w:szCs w:val="21"/>
                <w:highlight w:val="none"/>
                <w:lang w:val="en-US" w:eastAsia="zh-CN"/>
              </w:rPr>
              <w:t>为非</w:t>
            </w:r>
            <w:r>
              <w:rPr>
                <w:rFonts w:hint="eastAsia" w:ascii="宋体" w:hAnsi="宋体" w:eastAsia="宋体" w:cs="宋体"/>
                <w:b/>
                <w:bCs/>
                <w:color w:val="auto"/>
                <w:sz w:val="21"/>
                <w:szCs w:val="21"/>
                <w:highlight w:val="none"/>
              </w:rPr>
              <w:t>专门面向中小企业采购。</w:t>
            </w:r>
            <w:r>
              <w:rPr>
                <w:rFonts w:hint="eastAsia" w:ascii="宋体" w:hAnsi="宋体" w:eastAsia="宋体" w:cs="宋体"/>
                <w:b w:val="0"/>
                <w:bCs w:val="0"/>
                <w:color w:val="auto"/>
                <w:sz w:val="21"/>
                <w:szCs w:val="21"/>
                <w:highlight w:val="none"/>
              </w:rPr>
              <w:t>节能产品</w:t>
            </w:r>
            <w:r>
              <w:rPr>
                <w:rFonts w:hint="eastAsia" w:ascii="宋体" w:hAnsi="宋体" w:eastAsia="宋体" w:cs="宋体"/>
                <w:b w:val="0"/>
                <w:bCs w:val="0"/>
                <w:color w:val="auto"/>
                <w:sz w:val="21"/>
                <w:szCs w:val="21"/>
                <w:highlight w:val="none"/>
                <w:lang w:val="en-US" w:eastAsia="zh-CN"/>
              </w:rPr>
              <w:t>与</w:t>
            </w:r>
            <w:r>
              <w:rPr>
                <w:rFonts w:hint="eastAsia" w:ascii="宋体" w:hAnsi="宋体" w:eastAsia="宋体" w:cs="宋体"/>
                <w:b w:val="0"/>
                <w:bCs w:val="0"/>
                <w:color w:val="auto"/>
                <w:sz w:val="21"/>
                <w:szCs w:val="21"/>
                <w:highlight w:val="none"/>
              </w:rPr>
              <w:t>环境标志产品</w:t>
            </w:r>
            <w:r>
              <w:rPr>
                <w:rFonts w:hint="eastAsia" w:ascii="宋体" w:hAnsi="宋体" w:eastAsia="宋体" w:cs="宋体"/>
                <w:b w:val="0"/>
                <w:bCs w:val="0"/>
                <w:color w:val="auto"/>
                <w:sz w:val="21"/>
                <w:szCs w:val="21"/>
                <w:highlight w:val="none"/>
                <w:lang w:val="en-US" w:eastAsia="zh-CN"/>
              </w:rPr>
              <w:t>中</w:t>
            </w:r>
            <w:r>
              <w:rPr>
                <w:rFonts w:hint="eastAsia" w:ascii="宋体" w:hAnsi="宋体" w:eastAsia="宋体" w:cs="宋体"/>
                <w:b w:val="0"/>
                <w:bCs w:val="0"/>
                <w:color w:val="auto"/>
                <w:sz w:val="21"/>
                <w:szCs w:val="21"/>
                <w:highlight w:val="none"/>
              </w:rPr>
              <w:t>加分</w:t>
            </w:r>
            <w:r>
              <w:rPr>
                <w:rFonts w:hint="eastAsia" w:ascii="宋体" w:hAnsi="宋体" w:eastAsia="宋体" w:cs="宋体"/>
                <w:b w:val="0"/>
                <w:bCs w:val="0"/>
                <w:color w:val="auto"/>
                <w:sz w:val="21"/>
                <w:szCs w:val="21"/>
                <w:highlight w:val="none"/>
                <w:lang w:val="en-US" w:eastAsia="zh-CN"/>
              </w:rPr>
              <w:t>只计一项；</w:t>
            </w:r>
            <w:r>
              <w:rPr>
                <w:rFonts w:hint="eastAsia" w:ascii="宋体" w:hAnsi="宋体" w:eastAsia="宋体" w:cs="宋体"/>
                <w:color w:val="auto"/>
                <w:sz w:val="21"/>
                <w:szCs w:val="21"/>
                <w:highlight w:val="none"/>
              </w:rPr>
              <w:t>（1）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3C623048">
            <w:pPr>
              <w:numPr>
                <w:ilvl w:val="0"/>
                <w:numId w:val="22"/>
              </w:num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提供由省级以上监狱管理局、戒毒管理局（含新疆生产建设兵团）出具的属于监狱企业证明文件的，视同为小型和微型企业。</w:t>
            </w:r>
          </w:p>
          <w:p w14:paraId="5D23B80A">
            <w:pPr>
              <w:adjustRightInd w:val="0"/>
              <w:snapToGrid w:val="0"/>
              <w:spacing w:line="320" w:lineRule="exact"/>
              <w:rPr>
                <w:rFonts w:hint="eastAsia" w:ascii="宋体" w:hAnsi="宋体" w:eastAsia="宋体" w:cs="宋体"/>
                <w:b w:val="0"/>
                <w:bCs w:val="0"/>
                <w:color w:val="auto"/>
                <w:sz w:val="24"/>
                <w:szCs w:val="24"/>
                <w:highlight w:val="none"/>
                <w:lang w:val="en-US" w:eastAsia="zh-CN"/>
              </w:rPr>
            </w:pPr>
          </w:p>
        </w:tc>
      </w:tr>
      <w:tr w14:paraId="0B97B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79C20D58">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17AC2D2F">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第9.2、9.4款</w:t>
            </w:r>
          </w:p>
        </w:tc>
        <w:tc>
          <w:tcPr>
            <w:tcW w:w="1462" w:type="dxa"/>
            <w:vAlign w:val="center"/>
          </w:tcPr>
          <w:p w14:paraId="6BD10CBD">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多处获得政府采购政策优惠的计算方法</w:t>
            </w:r>
          </w:p>
        </w:tc>
        <w:tc>
          <w:tcPr>
            <w:tcW w:w="7101" w:type="dxa"/>
            <w:vAlign w:val="center"/>
          </w:tcPr>
          <w:p w14:paraId="5A6A20E8">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1、符合政府采购优先采购政策的，由供应商在响应文件中按规定的格式填写相应表格，评审时进行价格扣除。</w:t>
            </w:r>
          </w:p>
          <w:p w14:paraId="6EE32B45">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2、同时符合支持中小企业发展、支持残疾人福利性单位发展、支持监狱企业发展政府采购优先采购政策的，只能享受其中一项优惠政策，由供应商选择相应的表格填写。</w:t>
            </w:r>
          </w:p>
          <w:p w14:paraId="520B1EDF">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3、投标主材产品取得两个及以上优先采购产品认证的，评审时只有其中一项产品能享受优先采购优惠，由供应商选择相应的表格填写。</w:t>
            </w:r>
          </w:p>
          <w:p w14:paraId="0E2917A6">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4、供应商享受支持中小企业发展、支持残疾人福利性单位发展、支持监狱企业发展政策优惠的，可以与同时享受节能产品、环境标志产品、两型产品优惠中的一项累加。</w:t>
            </w:r>
          </w:p>
          <w:p w14:paraId="4C2C064A">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同一项目中只有部分产品满足节能、环保、两型优先采购政策的，评审时只对该部分产品的报价实行价格扣除，或按该部分产品报价所占比重，对价格、商务、技术分值按总得分值的优惠比例进行加分（详见《评标因素和标准》）。</w:t>
            </w:r>
          </w:p>
        </w:tc>
      </w:tr>
      <w:tr w14:paraId="194B17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343" w:type="dxa"/>
            <w:tcBorders>
              <w:top w:val="single" w:color="auto" w:sz="4" w:space="0"/>
            </w:tcBorders>
            <w:vAlign w:val="center"/>
          </w:tcPr>
          <w:p w14:paraId="68778D24">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5CE101BA">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第9.6款</w:t>
            </w:r>
          </w:p>
        </w:tc>
        <w:tc>
          <w:tcPr>
            <w:tcW w:w="1462" w:type="dxa"/>
            <w:tcBorders>
              <w:top w:val="single" w:color="auto" w:sz="4" w:space="0"/>
            </w:tcBorders>
            <w:vAlign w:val="center"/>
          </w:tcPr>
          <w:p w14:paraId="09288B73">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rPr>
              <w:t>中小企业融资、信用担保</w:t>
            </w:r>
          </w:p>
        </w:tc>
        <w:tc>
          <w:tcPr>
            <w:tcW w:w="7101" w:type="dxa"/>
            <w:tcBorders>
              <w:top w:val="single" w:color="auto" w:sz="4" w:space="0"/>
            </w:tcBorders>
            <w:vAlign w:val="center"/>
          </w:tcPr>
          <w:p w14:paraId="15CF944B">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有融资、信用担保需求的，可登陆中国湖南政府采购网查询。</w:t>
            </w:r>
          </w:p>
        </w:tc>
      </w:tr>
      <w:tr w14:paraId="52ACDB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906" w:type="dxa"/>
            <w:gridSpan w:val="3"/>
            <w:vAlign w:val="center"/>
          </w:tcPr>
          <w:p w14:paraId="4A9F651A">
            <w:pPr>
              <w:adjustRightInd w:val="0"/>
              <w:snapToGrid w:val="0"/>
              <w:spacing w:line="32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二、磋商文件</w:t>
            </w:r>
          </w:p>
        </w:tc>
      </w:tr>
      <w:tr w14:paraId="2968FF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 w:hRule="atLeast"/>
          <w:jc w:val="center"/>
        </w:trPr>
        <w:tc>
          <w:tcPr>
            <w:tcW w:w="1343" w:type="dxa"/>
            <w:vAlign w:val="center"/>
          </w:tcPr>
          <w:p w14:paraId="478394EE">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4E41A46C">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第10.2款</w:t>
            </w:r>
          </w:p>
        </w:tc>
        <w:tc>
          <w:tcPr>
            <w:tcW w:w="1462" w:type="dxa"/>
            <w:vAlign w:val="center"/>
          </w:tcPr>
          <w:p w14:paraId="0D9721E5">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磋商文件的可能实质性变动内容</w:t>
            </w:r>
          </w:p>
        </w:tc>
        <w:tc>
          <w:tcPr>
            <w:tcW w:w="7101" w:type="dxa"/>
            <w:vAlign w:val="center"/>
          </w:tcPr>
          <w:p w14:paraId="1E376D06">
            <w:pPr>
              <w:adjustRightInd w:val="0"/>
              <w:snapToGrid w:val="0"/>
              <w:spacing w:line="3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在磋商过程中，磋商文件第四章“采购需求”的技术、商务条款可能发生实质性变动，由磋商小组根据磋商情况确定。如有变动，磋商小组将书面告知供应商。供应商应书面回复和进行响应承诺。</w:t>
            </w:r>
          </w:p>
        </w:tc>
      </w:tr>
      <w:tr w14:paraId="211691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111CF4A7">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4E744648">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第11.1款</w:t>
            </w:r>
          </w:p>
        </w:tc>
        <w:tc>
          <w:tcPr>
            <w:tcW w:w="1462" w:type="dxa"/>
            <w:vAlign w:val="center"/>
          </w:tcPr>
          <w:p w14:paraId="1F18B348">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提交首次响应文件的截止时间</w:t>
            </w:r>
          </w:p>
        </w:tc>
        <w:tc>
          <w:tcPr>
            <w:tcW w:w="7101" w:type="dxa"/>
            <w:vAlign w:val="center"/>
          </w:tcPr>
          <w:p w14:paraId="3EFBE0ED">
            <w:pPr>
              <w:adjustRightInd w:val="0"/>
              <w:snapToGrid w:val="0"/>
              <w:spacing w:line="3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详见第一章“磋商邀请”</w:t>
            </w:r>
          </w:p>
        </w:tc>
      </w:tr>
      <w:tr w14:paraId="5A7DAA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906" w:type="dxa"/>
            <w:gridSpan w:val="3"/>
            <w:vAlign w:val="center"/>
          </w:tcPr>
          <w:p w14:paraId="148E9B08">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三、响应文件的编写</w:t>
            </w:r>
          </w:p>
        </w:tc>
      </w:tr>
      <w:tr w14:paraId="0FA4DB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17C3177C">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4608893A">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第15.4款</w:t>
            </w:r>
          </w:p>
        </w:tc>
        <w:tc>
          <w:tcPr>
            <w:tcW w:w="1462" w:type="dxa"/>
            <w:vAlign w:val="center"/>
          </w:tcPr>
          <w:p w14:paraId="74172A06">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w:t>
            </w:r>
          </w:p>
          <w:p w14:paraId="2A683FD7">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预算/</w:t>
            </w:r>
          </w:p>
          <w:p w14:paraId="70C6620B">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p>
        </w:tc>
        <w:tc>
          <w:tcPr>
            <w:tcW w:w="7101" w:type="dxa"/>
            <w:vAlign w:val="center"/>
          </w:tcPr>
          <w:p w14:paraId="5773142D">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采购项目预算：</w:t>
            </w:r>
            <w:r>
              <w:rPr>
                <w:rFonts w:hint="eastAsia" w:ascii="宋体" w:hAnsi="宋体" w:eastAsia="宋体" w:cs="宋体"/>
                <w:color w:val="auto"/>
                <w:sz w:val="21"/>
                <w:szCs w:val="21"/>
                <w:highlight w:val="none"/>
                <w:lang w:val="en-US" w:eastAsia="zh-CN"/>
              </w:rPr>
              <w:t>19000</w:t>
            </w:r>
            <w:r>
              <w:rPr>
                <w:rFonts w:hint="eastAsia" w:ascii="宋体" w:hAnsi="宋体" w:eastAsia="宋体" w:cs="宋体"/>
                <w:color w:val="auto"/>
                <w:sz w:val="21"/>
                <w:szCs w:val="21"/>
                <w:highlight w:val="none"/>
              </w:rPr>
              <w:t>00.00元；最高限价：</w:t>
            </w:r>
            <w:r>
              <w:rPr>
                <w:rFonts w:hint="eastAsia" w:ascii="宋体" w:hAnsi="宋体" w:eastAsia="宋体" w:cs="宋体"/>
                <w:color w:val="auto"/>
                <w:sz w:val="21"/>
                <w:szCs w:val="21"/>
                <w:highlight w:val="none"/>
                <w:lang w:val="en-US" w:eastAsia="zh-CN"/>
              </w:rPr>
              <w:t>19000</w:t>
            </w:r>
            <w:r>
              <w:rPr>
                <w:rFonts w:hint="eastAsia" w:ascii="宋体" w:hAnsi="宋体" w:eastAsia="宋体" w:cs="宋体"/>
                <w:color w:val="auto"/>
                <w:sz w:val="21"/>
                <w:szCs w:val="21"/>
                <w:highlight w:val="none"/>
              </w:rPr>
              <w:t>00.00元</w:t>
            </w:r>
          </w:p>
        </w:tc>
      </w:tr>
      <w:tr w14:paraId="068679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5897D4C0">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7A6110D9">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第17.1款</w:t>
            </w:r>
          </w:p>
        </w:tc>
        <w:tc>
          <w:tcPr>
            <w:tcW w:w="1462" w:type="dxa"/>
            <w:vAlign w:val="center"/>
          </w:tcPr>
          <w:p w14:paraId="7E2091A4">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磋商保证金</w:t>
            </w:r>
          </w:p>
        </w:tc>
        <w:tc>
          <w:tcPr>
            <w:tcW w:w="7101" w:type="dxa"/>
            <w:vAlign w:val="center"/>
          </w:tcPr>
          <w:p w14:paraId="7CAF34BA">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不要求提供</w:t>
            </w:r>
          </w:p>
          <w:p w14:paraId="0B031443">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要求提供</w:t>
            </w:r>
          </w:p>
          <w:p w14:paraId="64164725">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1、保证金数额：/。</w:t>
            </w:r>
          </w:p>
          <w:p w14:paraId="1BEC103D">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缴纳方式：从供应商基本账户转账，或以支票、汇票、本票（开户银行账户须为投标人基本账户）或金融机构、担保机构出具的保函等非现金形式提交。银行转账、银行电汇或银行汇票须于投标截止时间前到账，以银行到账回单为准。否则其投标作无效投标处理。</w:t>
            </w:r>
          </w:p>
          <w:p w14:paraId="47BB1F75">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账户名称：/</w:t>
            </w:r>
          </w:p>
          <w:p w14:paraId="17C454CC">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 户 行：/</w:t>
            </w:r>
          </w:p>
          <w:p w14:paraId="08425855">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tc>
      </w:tr>
      <w:tr w14:paraId="2CBAEB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394208EF">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7C016886">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第18.1款</w:t>
            </w:r>
          </w:p>
        </w:tc>
        <w:tc>
          <w:tcPr>
            <w:tcW w:w="1462" w:type="dxa"/>
            <w:vAlign w:val="center"/>
          </w:tcPr>
          <w:p w14:paraId="4A4EDFA1">
            <w:pPr>
              <w:adjustRightInd w:val="0"/>
              <w:snapToGrid w:val="0"/>
              <w:spacing w:line="32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响应文件</w:t>
            </w:r>
          </w:p>
          <w:p w14:paraId="50FDD5AC">
            <w:pPr>
              <w:adjustRightInd w:val="0"/>
              <w:snapToGrid w:val="0"/>
              <w:spacing w:line="32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有效期</w:t>
            </w:r>
          </w:p>
        </w:tc>
        <w:tc>
          <w:tcPr>
            <w:tcW w:w="7101" w:type="dxa"/>
            <w:vAlign w:val="center"/>
          </w:tcPr>
          <w:p w14:paraId="663FCE18">
            <w:pPr>
              <w:adjustRightInd w:val="0"/>
              <w:snapToGrid w:val="0"/>
              <w:spacing w:line="320" w:lineRule="exac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u w:val="single"/>
              </w:rPr>
              <w:t>90</w:t>
            </w:r>
            <w:r>
              <w:rPr>
                <w:rFonts w:hint="eastAsia" w:ascii="宋体" w:hAnsi="宋体" w:eastAsia="宋体" w:cs="宋体"/>
                <w:color w:val="auto"/>
                <w:sz w:val="21"/>
                <w:szCs w:val="21"/>
                <w:highlight w:val="none"/>
              </w:rPr>
              <w:t>日（日历日）</w:t>
            </w:r>
          </w:p>
        </w:tc>
      </w:tr>
      <w:tr w14:paraId="79D9FD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76" w:hRule="atLeast"/>
          <w:jc w:val="center"/>
        </w:trPr>
        <w:tc>
          <w:tcPr>
            <w:tcW w:w="1343" w:type="dxa"/>
            <w:vAlign w:val="center"/>
          </w:tcPr>
          <w:p w14:paraId="4FF93DC2">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2A82F399">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第19.1款</w:t>
            </w:r>
          </w:p>
        </w:tc>
        <w:tc>
          <w:tcPr>
            <w:tcW w:w="1462" w:type="dxa"/>
            <w:vAlign w:val="center"/>
          </w:tcPr>
          <w:p w14:paraId="1280DE32">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响应</w:t>
            </w:r>
            <w:r>
              <w:rPr>
                <w:rFonts w:hint="eastAsia" w:ascii="宋体" w:hAnsi="宋体" w:eastAsia="宋体" w:cs="宋体"/>
                <w:color w:val="auto"/>
                <w:sz w:val="21"/>
                <w:szCs w:val="21"/>
                <w:highlight w:val="none"/>
              </w:rPr>
              <w:t>文件</w:t>
            </w:r>
          </w:p>
          <w:p w14:paraId="04997F36">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副本份数</w:t>
            </w:r>
          </w:p>
        </w:tc>
        <w:tc>
          <w:tcPr>
            <w:tcW w:w="7101" w:type="dxa"/>
            <w:vAlign w:val="center"/>
          </w:tcPr>
          <w:p w14:paraId="05E65006">
            <w:pPr>
              <w:adjustRightInd w:val="0"/>
              <w:snapToGrid w:val="0"/>
              <w:spacing w:line="32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Cs w:val="21"/>
                <w:highlight w:val="none"/>
              </w:rPr>
              <w:t>正本1份，副本2份，电子标书（U盘）一份（</w:t>
            </w:r>
            <w:r>
              <w:rPr>
                <w:rFonts w:hint="eastAsia" w:ascii="宋体" w:hAnsi="宋体" w:eastAsia="宋体" w:cs="宋体"/>
                <w:b/>
                <w:bCs/>
                <w:color w:val="auto"/>
                <w:sz w:val="24"/>
                <w:szCs w:val="24"/>
                <w:highlight w:val="none"/>
              </w:rPr>
              <w:t>内含签字盖章版PDF</w:t>
            </w:r>
            <w:r>
              <w:rPr>
                <w:rFonts w:hint="eastAsia" w:ascii="宋体" w:hAnsi="宋体" w:eastAsia="宋体" w:cs="宋体"/>
                <w:color w:val="auto"/>
                <w:szCs w:val="21"/>
                <w:highlight w:val="none"/>
                <w:lang w:eastAsia="zh-CN"/>
              </w:rPr>
              <w:t>及</w:t>
            </w:r>
            <w:r>
              <w:rPr>
                <w:rFonts w:hint="eastAsia" w:ascii="宋体" w:hAnsi="宋体" w:eastAsia="宋体" w:cs="宋体"/>
                <w:color w:val="auto"/>
                <w:szCs w:val="21"/>
                <w:highlight w:val="none"/>
                <w:lang w:val="en-US" w:eastAsia="zh-CN"/>
              </w:rPr>
              <w:t>Word版本</w:t>
            </w:r>
            <w:r>
              <w:rPr>
                <w:rFonts w:hint="eastAsia" w:ascii="宋体" w:hAnsi="宋体" w:eastAsia="宋体" w:cs="宋体"/>
                <w:color w:val="auto"/>
                <w:szCs w:val="21"/>
                <w:highlight w:val="none"/>
              </w:rPr>
              <w:t>响应文件）</w:t>
            </w:r>
            <w:r>
              <w:rPr>
                <w:rFonts w:hint="eastAsia" w:ascii="宋体" w:hAnsi="宋体" w:eastAsia="宋体" w:cs="宋体"/>
                <w:color w:val="auto"/>
                <w:sz w:val="21"/>
                <w:szCs w:val="21"/>
                <w:highlight w:val="none"/>
                <w:u w:val="none"/>
              </w:rPr>
              <w:t>，并在响应文件封面上明确写明“正本”或“副本”，正本和副本内容如不一致，以正本为准。响应文件的正本与副本均应装订成册（胶装），不得采用活页夹。电子版文件在响应文件递交时一并提交。</w:t>
            </w:r>
          </w:p>
        </w:tc>
      </w:tr>
      <w:tr w14:paraId="3C091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906" w:type="dxa"/>
            <w:gridSpan w:val="3"/>
            <w:vAlign w:val="center"/>
          </w:tcPr>
          <w:p w14:paraId="268CC894">
            <w:pPr>
              <w:adjustRightInd w:val="0"/>
              <w:snapToGrid w:val="0"/>
              <w:spacing w:line="320" w:lineRule="exact"/>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四、响应文件的递交</w:t>
            </w:r>
          </w:p>
        </w:tc>
      </w:tr>
      <w:tr w14:paraId="7EFCF8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0B2278B4">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60736719">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第20.2款</w:t>
            </w:r>
          </w:p>
        </w:tc>
        <w:tc>
          <w:tcPr>
            <w:tcW w:w="1462" w:type="dxa"/>
            <w:vAlign w:val="center"/>
          </w:tcPr>
          <w:p w14:paraId="7495795B">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封套上应载明的信息</w:t>
            </w:r>
          </w:p>
        </w:tc>
        <w:tc>
          <w:tcPr>
            <w:tcW w:w="7101" w:type="dxa"/>
            <w:vAlign w:val="center"/>
          </w:tcPr>
          <w:p w14:paraId="443EBA9D">
            <w:pPr>
              <w:pageBreakBefore w:val="0"/>
              <w:kinsoku/>
              <w:wordWrap/>
              <w:overflowPunct/>
              <w:topLinePunct w:val="0"/>
              <w:bidi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（项目名称）响应文件  </w:t>
            </w:r>
          </w:p>
          <w:p w14:paraId="72EA94FE">
            <w:pPr>
              <w:pageBreakBefore w:val="0"/>
              <w:kinsoku/>
              <w:wordWrap/>
              <w:overflowPunct/>
              <w:topLinePunct w:val="0"/>
              <w:bidi w:val="0"/>
              <w:spacing w:line="40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政府</w:t>
            </w:r>
            <w:r>
              <w:rPr>
                <w:rFonts w:hint="eastAsia" w:ascii="宋体" w:hAnsi="宋体" w:eastAsia="宋体" w:cs="宋体"/>
                <w:color w:val="auto"/>
                <w:sz w:val="21"/>
                <w:szCs w:val="21"/>
                <w:highlight w:val="none"/>
              </w:rPr>
              <w:t>采购编号：</w:t>
            </w:r>
            <w:r>
              <w:rPr>
                <w:rFonts w:hint="eastAsia" w:ascii="宋体" w:hAnsi="宋体" w:eastAsia="宋体" w:cs="宋体"/>
                <w:color w:val="auto"/>
                <w:sz w:val="21"/>
                <w:szCs w:val="21"/>
                <w:highlight w:val="none"/>
                <w:u w:val="single"/>
              </w:rPr>
              <w:t xml:space="preserve">              </w:t>
            </w:r>
          </w:p>
          <w:p w14:paraId="129DCBCA">
            <w:pPr>
              <w:pageBreakBefore w:val="0"/>
              <w:kinsoku/>
              <w:wordWrap/>
              <w:overflowPunct/>
              <w:topLinePunct w:val="0"/>
              <w:bidi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委托代理编号：</w:t>
            </w:r>
            <w:r>
              <w:rPr>
                <w:rFonts w:hint="eastAsia" w:ascii="宋体" w:hAnsi="宋体" w:eastAsia="宋体" w:cs="宋体"/>
                <w:color w:val="auto"/>
                <w:sz w:val="21"/>
                <w:szCs w:val="21"/>
                <w:highlight w:val="none"/>
                <w:u w:val="single"/>
              </w:rPr>
              <w:t xml:space="preserve">           </w:t>
            </w:r>
          </w:p>
          <w:p w14:paraId="552F15AE">
            <w:pPr>
              <w:pageBreakBefore w:val="0"/>
              <w:kinsoku/>
              <w:wordWrap/>
              <w:overflowPunct/>
              <w:topLinePunct w:val="0"/>
              <w:bidi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p>
          <w:p w14:paraId="3C0ED8F0">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分（磋商响应文件递交截止时间）之前不得启封 </w:t>
            </w:r>
          </w:p>
        </w:tc>
      </w:tr>
      <w:tr w14:paraId="194C4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285CA4B4">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3AF4FF05">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第22.1款</w:t>
            </w:r>
          </w:p>
        </w:tc>
        <w:tc>
          <w:tcPr>
            <w:tcW w:w="1462" w:type="dxa"/>
            <w:vAlign w:val="center"/>
          </w:tcPr>
          <w:p w14:paraId="41539F5B">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响应文件的递交地点</w:t>
            </w:r>
          </w:p>
        </w:tc>
        <w:tc>
          <w:tcPr>
            <w:tcW w:w="7101" w:type="dxa"/>
            <w:vAlign w:val="center"/>
          </w:tcPr>
          <w:p w14:paraId="48C8E9FD">
            <w:pPr>
              <w:spacing w:line="320" w:lineRule="exac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湖南容成和项目管理有限公司（湖南省岳阳市华容县章华镇田家湖生态新区杏花村西路024号101室）</w:t>
            </w:r>
          </w:p>
        </w:tc>
      </w:tr>
      <w:tr w14:paraId="32AF74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906" w:type="dxa"/>
            <w:gridSpan w:val="3"/>
            <w:vAlign w:val="center"/>
          </w:tcPr>
          <w:p w14:paraId="1BA2C4C6">
            <w:pPr>
              <w:adjustRightInd w:val="0"/>
              <w:snapToGrid w:val="0"/>
              <w:spacing w:line="32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五、响应文件的磋商与评审</w:t>
            </w:r>
          </w:p>
        </w:tc>
      </w:tr>
      <w:tr w14:paraId="5E02E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2B4154E6">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3DDD7848">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第29.2款</w:t>
            </w:r>
          </w:p>
        </w:tc>
        <w:tc>
          <w:tcPr>
            <w:tcW w:w="1462" w:type="dxa"/>
            <w:vAlign w:val="center"/>
          </w:tcPr>
          <w:p w14:paraId="364DF3E8">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评审因素和标准</w:t>
            </w:r>
          </w:p>
        </w:tc>
        <w:tc>
          <w:tcPr>
            <w:tcW w:w="7101" w:type="dxa"/>
            <w:vAlign w:val="center"/>
          </w:tcPr>
          <w:p w14:paraId="612F4FA1">
            <w:pPr>
              <w:adjustRightInd w:val="0"/>
              <w:snapToGrid w:val="0"/>
              <w:spacing w:line="320" w:lineRule="exac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见本表附页</w:t>
            </w:r>
            <w:r>
              <w:rPr>
                <w:rFonts w:hint="eastAsia" w:ascii="宋体" w:hAnsi="宋体" w:eastAsia="宋体" w:cs="宋体"/>
                <w:bCs/>
                <w:color w:val="auto"/>
                <w:sz w:val="21"/>
                <w:szCs w:val="21"/>
                <w:highlight w:val="none"/>
                <w:lang w:val="en-US" w:eastAsia="zh-CN"/>
              </w:rPr>
              <w:t>3</w:t>
            </w:r>
          </w:p>
        </w:tc>
      </w:tr>
      <w:tr w14:paraId="13D08A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3A1B00F2">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734374C7">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第29.3款</w:t>
            </w:r>
          </w:p>
        </w:tc>
        <w:tc>
          <w:tcPr>
            <w:tcW w:w="1462" w:type="dxa"/>
            <w:vAlign w:val="center"/>
          </w:tcPr>
          <w:p w14:paraId="5BBA8865">
            <w:pPr>
              <w:adjustRightInd w:val="0"/>
              <w:snapToGrid w:val="0"/>
              <w:spacing w:line="32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最后报价</w:t>
            </w:r>
          </w:p>
          <w:p w14:paraId="64528E8D">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调整</w:t>
            </w:r>
          </w:p>
        </w:tc>
        <w:tc>
          <w:tcPr>
            <w:tcW w:w="7101" w:type="dxa"/>
            <w:vAlign w:val="center"/>
          </w:tcPr>
          <w:p w14:paraId="664814CD">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符合第二章第9.2款规定的，按以下进行报价调整：</w:t>
            </w:r>
          </w:p>
          <w:p w14:paraId="618B3F71">
            <w:pPr>
              <w:adjustRightInd w:val="0"/>
              <w:snapToGrid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政府采购支持中小企业发展：</w:t>
            </w:r>
          </w:p>
          <w:p w14:paraId="1435A17D">
            <w:pPr>
              <w:adjustRightInd w:val="0"/>
              <w:snapToGrid w:val="0"/>
              <w:spacing w:line="320" w:lineRule="exact"/>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小型或微型企业，最后报价扣除比例为</w:t>
            </w:r>
            <w:r>
              <w:rPr>
                <w:rFonts w:hint="eastAsia" w:ascii="宋体" w:hAnsi="宋体" w:eastAsia="宋体" w:cs="宋体"/>
                <w:bCs/>
                <w:color w:val="auto"/>
                <w:kern w:val="0"/>
                <w:sz w:val="21"/>
                <w:szCs w:val="21"/>
                <w:highlight w:val="none"/>
                <w:u w:val="single"/>
                <w:lang w:val="en-US" w:eastAsia="zh-CN"/>
              </w:rPr>
              <w:t xml:space="preserve"> 10 </w:t>
            </w:r>
            <w:r>
              <w:rPr>
                <w:rFonts w:hint="eastAsia" w:ascii="宋体" w:hAnsi="宋体" w:eastAsia="宋体" w:cs="宋体"/>
                <w:bCs/>
                <w:color w:val="auto"/>
                <w:kern w:val="0"/>
                <w:sz w:val="21"/>
                <w:szCs w:val="21"/>
                <w:highlight w:val="none"/>
                <w:u w:val="single"/>
              </w:rPr>
              <w:t>%</w:t>
            </w:r>
            <w:r>
              <w:rPr>
                <w:rFonts w:hint="eastAsia" w:ascii="宋体" w:hAnsi="宋体" w:eastAsia="宋体" w:cs="宋体"/>
                <w:bCs/>
                <w:color w:val="auto"/>
                <w:kern w:val="0"/>
                <w:sz w:val="21"/>
                <w:szCs w:val="21"/>
                <w:highlight w:val="none"/>
              </w:rPr>
              <w:t>；评审时，用扣除后的最后报价计算价格分</w:t>
            </w:r>
            <w:r>
              <w:rPr>
                <w:rFonts w:hint="eastAsia" w:ascii="宋体" w:hAnsi="宋体" w:eastAsia="宋体" w:cs="宋体"/>
                <w:bCs/>
                <w:color w:val="auto"/>
                <w:kern w:val="0"/>
                <w:sz w:val="21"/>
                <w:szCs w:val="21"/>
                <w:highlight w:val="none"/>
                <w:lang w:eastAsia="zh-CN"/>
              </w:rPr>
              <w:t>。</w:t>
            </w:r>
          </w:p>
        </w:tc>
      </w:tr>
      <w:tr w14:paraId="58B46E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1C2B1DE1">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5DE9FC06">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第29.5款</w:t>
            </w:r>
          </w:p>
        </w:tc>
        <w:tc>
          <w:tcPr>
            <w:tcW w:w="1462" w:type="dxa"/>
            <w:vAlign w:val="center"/>
          </w:tcPr>
          <w:p w14:paraId="691E0CDC">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技术、价格</w:t>
            </w:r>
            <w:r>
              <w:rPr>
                <w:rFonts w:hint="eastAsia" w:ascii="宋体" w:hAnsi="宋体" w:eastAsia="宋体" w:cs="宋体"/>
                <w:color w:val="auto"/>
                <w:kern w:val="0"/>
                <w:sz w:val="21"/>
                <w:szCs w:val="21"/>
                <w:highlight w:val="none"/>
              </w:rPr>
              <w:t>得分或总得分</w:t>
            </w:r>
            <w:r>
              <w:rPr>
                <w:rFonts w:hint="eastAsia" w:ascii="宋体" w:hAnsi="宋体" w:eastAsia="宋体" w:cs="宋体"/>
                <w:color w:val="auto"/>
                <w:sz w:val="21"/>
                <w:szCs w:val="21"/>
                <w:highlight w:val="none"/>
              </w:rPr>
              <w:t>调整</w:t>
            </w:r>
          </w:p>
        </w:tc>
        <w:tc>
          <w:tcPr>
            <w:tcW w:w="7101" w:type="dxa"/>
            <w:vAlign w:val="center"/>
          </w:tcPr>
          <w:p w14:paraId="029A3688">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符合第二章第9.2款规定的，按以下进行分值调整：（加分比例见本表“第二章第9.2款”</w:t>
            </w:r>
          </w:p>
          <w:p w14:paraId="01BF57B2">
            <w:pPr>
              <w:numPr>
                <w:ilvl w:val="0"/>
                <w:numId w:val="23"/>
              </w:numPr>
              <w:adjustRightInd w:val="0"/>
              <w:snapToGrid w:val="0"/>
              <w:spacing w:line="320" w:lineRule="exact"/>
              <w:ind w:lef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节能产品：</w:t>
            </w:r>
          </w:p>
          <w:p w14:paraId="5E0E7856">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技术加分＝技术评审总分值×加分比例，下同）×（节能产品报价÷总报价）；</w:t>
            </w:r>
          </w:p>
          <w:p w14:paraId="3EA0D358">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价格加分＝价格评审总分值×加分比例×（节能产品报价÷总报价）。</w:t>
            </w:r>
          </w:p>
          <w:p w14:paraId="4E7B8D8C">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2、环境标志产品：</w:t>
            </w:r>
          </w:p>
          <w:p w14:paraId="1D2FCD10">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技术加分＝技术评审总分值×加分比例×（环境标志产品报价÷总报价）；</w:t>
            </w:r>
          </w:p>
          <w:p w14:paraId="4437EB66">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价格加分＝价格评审总分值×加分比例×（环境标志产品报价÷总报价）。</w:t>
            </w:r>
          </w:p>
          <w:p w14:paraId="3D02BB7A">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3、两型产品：</w:t>
            </w:r>
          </w:p>
          <w:p w14:paraId="267AF29C">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技术加分＝技术评审总分值×加分比例×（两型产品报价÷总报价）；</w:t>
            </w:r>
          </w:p>
          <w:p w14:paraId="3DABEB92">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商务加分＝商务评审总分值×加分比例×（两型产品报价÷总报价）</w:t>
            </w:r>
          </w:p>
          <w:p w14:paraId="765A3655">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价格加分＝价格评审总分值×加分比例×（两型产品报价÷总报价）。</w:t>
            </w:r>
          </w:p>
        </w:tc>
      </w:tr>
      <w:tr w14:paraId="7A6894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906" w:type="dxa"/>
            <w:gridSpan w:val="3"/>
            <w:vAlign w:val="center"/>
          </w:tcPr>
          <w:p w14:paraId="11C89875">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六、成交结果信息公布与授予合同</w:t>
            </w:r>
          </w:p>
        </w:tc>
      </w:tr>
      <w:tr w14:paraId="34FBF9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77567F8B">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78279491">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第35.1款</w:t>
            </w:r>
          </w:p>
        </w:tc>
        <w:tc>
          <w:tcPr>
            <w:tcW w:w="1462" w:type="dxa"/>
            <w:vAlign w:val="center"/>
          </w:tcPr>
          <w:p w14:paraId="1E391ECB">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财政部门指定的媒体</w:t>
            </w:r>
          </w:p>
        </w:tc>
        <w:tc>
          <w:tcPr>
            <w:tcW w:w="7101" w:type="dxa"/>
            <w:vAlign w:val="center"/>
          </w:tcPr>
          <w:p w14:paraId="7CA7F9E5">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中国湖南政府采购网</w:t>
            </w:r>
          </w:p>
          <w:p w14:paraId="70CB64FE">
            <w:pPr>
              <w:adjustRightInd w:val="0"/>
              <w:snapToGrid w:val="0"/>
              <w:spacing w:line="32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rPr>
              <w:t>http：//www.ccgp-hunan.gov.cn</w:t>
            </w:r>
          </w:p>
        </w:tc>
      </w:tr>
      <w:tr w14:paraId="34538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1656CBD3">
            <w:pPr>
              <w:adjustRightInd w:val="0"/>
              <w:snapToGrid w:val="0"/>
              <w:spacing w:line="320" w:lineRule="exact"/>
              <w:jc w:val="center"/>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第二章</w:t>
            </w:r>
          </w:p>
          <w:p w14:paraId="1085FB75">
            <w:pPr>
              <w:adjustRightInd w:val="0"/>
              <w:snapToGrid w:val="0"/>
              <w:spacing w:line="320" w:lineRule="exact"/>
              <w:jc w:val="center"/>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第37.3款</w:t>
            </w:r>
          </w:p>
        </w:tc>
        <w:tc>
          <w:tcPr>
            <w:tcW w:w="1462" w:type="dxa"/>
            <w:vAlign w:val="center"/>
          </w:tcPr>
          <w:p w14:paraId="4D574D1A">
            <w:pPr>
              <w:adjustRightInd w:val="0"/>
              <w:snapToGrid w:val="0"/>
              <w:spacing w:line="320" w:lineRule="exact"/>
              <w:jc w:val="center"/>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履约担保</w:t>
            </w:r>
          </w:p>
        </w:tc>
        <w:tc>
          <w:tcPr>
            <w:tcW w:w="7101" w:type="dxa"/>
            <w:vAlign w:val="center"/>
          </w:tcPr>
          <w:p w14:paraId="02164966">
            <w:pPr>
              <w:adjustRightInd w:val="0"/>
              <w:snapToGrid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 不要求提供</w:t>
            </w:r>
          </w:p>
          <w:p w14:paraId="3A59137D">
            <w:pPr>
              <w:adjustRightInd w:val="0"/>
              <w:snapToGrid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 要求提供，履约担保的金额为：/</w:t>
            </w:r>
          </w:p>
        </w:tc>
      </w:tr>
      <w:tr w14:paraId="63BC69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906" w:type="dxa"/>
            <w:gridSpan w:val="3"/>
            <w:vAlign w:val="center"/>
          </w:tcPr>
          <w:p w14:paraId="701ED2FF">
            <w:pPr>
              <w:adjustRightInd w:val="0"/>
              <w:snapToGrid w:val="0"/>
              <w:spacing w:line="32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七、其他规定</w:t>
            </w:r>
          </w:p>
        </w:tc>
      </w:tr>
      <w:tr w14:paraId="183681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78B28D56">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4C3D9831">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第39.1款</w:t>
            </w:r>
          </w:p>
        </w:tc>
        <w:tc>
          <w:tcPr>
            <w:tcW w:w="1462" w:type="dxa"/>
            <w:vAlign w:val="center"/>
          </w:tcPr>
          <w:p w14:paraId="28D52CB3">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采购代理服务费</w:t>
            </w:r>
          </w:p>
        </w:tc>
        <w:tc>
          <w:tcPr>
            <w:tcW w:w="7101" w:type="dxa"/>
            <w:vAlign w:val="center"/>
          </w:tcPr>
          <w:p w14:paraId="7192547B">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u w:val="none"/>
                <w:lang w:val="en-US" w:eastAsia="zh-CN"/>
              </w:rPr>
              <w:t>采购人支付代理服务费，本项目代理服务费为8800</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u w:val="none"/>
                <w:lang w:eastAsia="zh-CN"/>
              </w:rPr>
              <w:t>。</w:t>
            </w:r>
          </w:p>
        </w:tc>
      </w:tr>
      <w:tr w14:paraId="521BA2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61" w:hRule="exact"/>
          <w:jc w:val="center"/>
        </w:trPr>
        <w:tc>
          <w:tcPr>
            <w:tcW w:w="1343" w:type="dxa"/>
            <w:vMerge w:val="restart"/>
            <w:vAlign w:val="center"/>
          </w:tcPr>
          <w:p w14:paraId="29174220">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7EACD675">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第40条</w:t>
            </w:r>
          </w:p>
        </w:tc>
        <w:tc>
          <w:tcPr>
            <w:tcW w:w="1462" w:type="dxa"/>
            <w:vAlign w:val="center"/>
          </w:tcPr>
          <w:p w14:paraId="67CD95DA">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企业信用查询</w:t>
            </w:r>
          </w:p>
        </w:tc>
        <w:tc>
          <w:tcPr>
            <w:tcW w:w="7101" w:type="dxa"/>
            <w:vAlign w:val="center"/>
          </w:tcPr>
          <w:p w14:paraId="7B3A8332">
            <w:pPr>
              <w:pageBreakBefore w:val="0"/>
              <w:kinsoku/>
              <w:wordWrap/>
              <w:overflowPunct/>
              <w:topLinePunct w:val="0"/>
              <w:bidi w:val="0"/>
              <w:adjustRightInd w:val="0"/>
              <w:snapToGrid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1E71C8A">
            <w:p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1、信用信息查询的查询渠道：信用中国网站（www.creditchina.gov.cn）、中国政府采购网（www.ccgp.gov.cn）、湖南信用网（https://credit.fgw.hunan.gov.cn/）。</w:t>
            </w:r>
          </w:p>
          <w:p w14:paraId="409DE39E">
            <w:pPr>
              <w:pageBreakBefore w:val="0"/>
              <w:kinsoku/>
              <w:wordWrap/>
              <w:overflowPunct/>
              <w:topLinePunct w:val="0"/>
              <w:bidi w:val="0"/>
              <w:adjustRightInd w:val="0"/>
              <w:snapToGrid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2、信用信息查询的截止时点：至本项目投标截止时间止。</w:t>
            </w:r>
          </w:p>
          <w:p w14:paraId="2D67515F">
            <w:pPr>
              <w:pageBreakBefore w:val="0"/>
              <w:kinsoku/>
              <w:wordWrap/>
              <w:overflowPunct/>
              <w:topLinePunct w:val="0"/>
              <w:bidi w:val="0"/>
              <w:adjustRightInd w:val="0"/>
              <w:snapToGrid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3、信用信息查询记录的具体方式：采购人或采购代理机构在开标后在规定的查询渠道进行查询。</w:t>
            </w:r>
          </w:p>
          <w:p w14:paraId="23E0244C">
            <w:pPr>
              <w:pageBreakBefore w:val="0"/>
              <w:kinsoku/>
              <w:wordWrap/>
              <w:overflowPunct/>
              <w:topLinePunct w:val="0"/>
              <w:bidi w:val="0"/>
              <w:adjustRightInd w:val="0"/>
              <w:snapToGrid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4、信用信息查询记录证据留存的具体方式：查询记录的网上打印件。</w:t>
            </w:r>
          </w:p>
          <w:p w14:paraId="6CC73BFC">
            <w:pPr>
              <w:adjustRightInd w:val="0"/>
              <w:snapToGrid w:val="0"/>
              <w:spacing w:line="32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5、信用信息的使用规则：信用信息查询后交由评标委员会评定。</w:t>
            </w:r>
          </w:p>
        </w:tc>
      </w:tr>
      <w:tr w14:paraId="0AB8FF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Merge w:val="continue"/>
            <w:vAlign w:val="center"/>
          </w:tcPr>
          <w:p w14:paraId="21FBE5D6">
            <w:pPr>
              <w:adjustRightInd w:val="0"/>
              <w:snapToGrid w:val="0"/>
              <w:spacing w:line="320" w:lineRule="exact"/>
              <w:jc w:val="center"/>
              <w:rPr>
                <w:rFonts w:hint="eastAsia" w:ascii="宋体" w:hAnsi="宋体" w:eastAsia="宋体" w:cs="宋体"/>
                <w:color w:val="auto"/>
                <w:sz w:val="21"/>
                <w:szCs w:val="21"/>
                <w:highlight w:val="none"/>
              </w:rPr>
            </w:pPr>
          </w:p>
        </w:tc>
        <w:tc>
          <w:tcPr>
            <w:tcW w:w="1462" w:type="dxa"/>
            <w:vAlign w:val="center"/>
          </w:tcPr>
          <w:p w14:paraId="245E0F93">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其他规定</w:t>
            </w:r>
          </w:p>
        </w:tc>
        <w:tc>
          <w:tcPr>
            <w:tcW w:w="7101" w:type="dxa"/>
            <w:vAlign w:val="center"/>
          </w:tcPr>
          <w:p w14:paraId="119F7DAE">
            <w:pPr>
              <w:adjustRightInd w:val="0"/>
              <w:snapToGrid w:val="0"/>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val="en-US" w:eastAsia="zh-CN"/>
              </w:rPr>
              <w:t>（确定有效投标单位标准）提供相同品牌产品且通过资格审查、符合性审查的不同投标人参加同一合同项下投标的，按一家投标单位计算，评审后得分最高的同品牌投标单位获得中标（成交）推荐资格；评审得分相同的，按投标报价由低到高顺序排列。得分且投标报价相同的，按技术指标优劣顺序排列。得分、投标报价、技术得分相同的，按照商务得分由高到低顺序排列。得分、投标报价、技术得分、商务得分相同的，采购人自行确定排列顺序。</w:t>
            </w:r>
          </w:p>
        </w:tc>
      </w:tr>
    </w:tbl>
    <w:p w14:paraId="1A2FE5CF">
      <w:pPr>
        <w:adjustRightInd w:val="0"/>
        <w:snapToGrid w:val="0"/>
        <w:spacing w:line="360" w:lineRule="auto"/>
        <w:rPr>
          <w:rFonts w:hint="eastAsia" w:ascii="宋体" w:hAnsi="宋体" w:eastAsia="宋体" w:cs="宋体"/>
          <w:color w:val="auto"/>
          <w:sz w:val="24"/>
          <w:highlight w:val="none"/>
        </w:rPr>
        <w:sectPr>
          <w:headerReference r:id="rId6" w:type="default"/>
          <w:footerReference r:id="rId7" w:type="default"/>
          <w:pgSz w:w="11906" w:h="16838"/>
          <w:pgMar w:top="1304" w:right="1304" w:bottom="1304" w:left="1418" w:header="851" w:footer="992" w:gutter="0"/>
          <w:pgNumType w:fmt="decimal"/>
          <w:cols w:space="720" w:num="1"/>
          <w:docGrid w:type="linesAndChars" w:linePitch="312" w:charSpace="0"/>
        </w:sectPr>
      </w:pPr>
    </w:p>
    <w:p w14:paraId="33D1A216">
      <w:pPr>
        <w:pStyle w:val="3"/>
        <w:bidi w:val="0"/>
        <w:rPr>
          <w:rFonts w:hint="eastAsia" w:ascii="宋体" w:hAnsi="宋体" w:eastAsia="宋体" w:cs="宋体"/>
          <w:color w:val="auto"/>
          <w:sz w:val="30"/>
          <w:szCs w:val="30"/>
          <w:highlight w:val="none"/>
        </w:rPr>
      </w:pPr>
      <w:bookmarkStart w:id="33" w:name="_Toc8063"/>
      <w:r>
        <w:rPr>
          <w:rFonts w:hint="eastAsia" w:ascii="宋体" w:hAnsi="宋体" w:eastAsia="宋体" w:cs="宋体"/>
          <w:color w:val="auto"/>
          <w:sz w:val="30"/>
          <w:szCs w:val="30"/>
          <w:highlight w:val="none"/>
        </w:rPr>
        <w:t xml:space="preserve">附页1   </w:t>
      </w:r>
      <w:r>
        <w:rPr>
          <w:rFonts w:hint="eastAsia" w:ascii="宋体" w:hAnsi="宋体" w:eastAsia="宋体" w:cs="宋体"/>
          <w:color w:val="auto"/>
          <w:sz w:val="30"/>
          <w:szCs w:val="30"/>
          <w:highlight w:val="none"/>
          <w:lang w:val="en-US" w:eastAsia="zh-CN"/>
        </w:rPr>
        <w:t>资格性审查表</w:t>
      </w:r>
      <w:bookmarkEnd w:id="33"/>
    </w:p>
    <w:p w14:paraId="6E15E18D">
      <w:pPr>
        <w:rPr>
          <w:rFonts w:hint="eastAsia" w:ascii="宋体" w:hAnsi="宋体" w:eastAsia="宋体" w:cs="宋体"/>
          <w:b/>
          <w:color w:val="auto"/>
          <w:szCs w:val="21"/>
          <w:highlight w:val="none"/>
        </w:rPr>
      </w:pPr>
    </w:p>
    <w:tbl>
      <w:tblPr>
        <w:tblStyle w:val="50"/>
        <w:tblpPr w:leftFromText="180" w:rightFromText="180" w:vertAnchor="text" w:horzAnchor="page" w:tblpX="911" w:tblpY="6"/>
        <w:tblOverlap w:val="never"/>
        <w:tblW w:w="1031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85"/>
        <w:gridCol w:w="5125"/>
        <w:gridCol w:w="3291"/>
        <w:gridCol w:w="459"/>
        <w:gridCol w:w="496"/>
        <w:gridCol w:w="462"/>
      </w:tblGrid>
      <w:tr w14:paraId="1E2B5A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85" w:type="dxa"/>
            <w:tcBorders>
              <w:top w:val="double" w:color="auto" w:sz="4" w:space="0"/>
            </w:tcBorders>
            <w:noWrap w:val="0"/>
            <w:vAlign w:val="center"/>
          </w:tcPr>
          <w:p w14:paraId="13175A21">
            <w:pPr>
              <w:adjustRightInd w:val="0"/>
              <w:snapToGrid w:val="0"/>
              <w:spacing w:before="120" w:beforeLines="50"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5125" w:type="dxa"/>
            <w:tcBorders>
              <w:top w:val="double" w:color="auto" w:sz="4" w:space="0"/>
            </w:tcBorders>
            <w:noWrap w:val="0"/>
            <w:vAlign w:val="center"/>
          </w:tcPr>
          <w:p w14:paraId="4CF3A260">
            <w:pPr>
              <w:adjustRightInd w:val="0"/>
              <w:snapToGrid w:val="0"/>
              <w:spacing w:before="120" w:beforeLines="50"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审查项目</w:t>
            </w:r>
          </w:p>
        </w:tc>
        <w:tc>
          <w:tcPr>
            <w:tcW w:w="3291" w:type="dxa"/>
            <w:tcBorders>
              <w:top w:val="double" w:color="auto" w:sz="4" w:space="0"/>
            </w:tcBorders>
            <w:noWrap w:val="0"/>
            <w:vAlign w:val="center"/>
          </w:tcPr>
          <w:p w14:paraId="272C4688">
            <w:pPr>
              <w:adjustRightInd w:val="0"/>
              <w:snapToGrid w:val="0"/>
              <w:spacing w:before="120" w:beforeLines="50"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审查标准</w:t>
            </w:r>
          </w:p>
        </w:tc>
        <w:tc>
          <w:tcPr>
            <w:tcW w:w="1417" w:type="dxa"/>
            <w:gridSpan w:val="3"/>
            <w:tcBorders>
              <w:top w:val="double" w:color="auto" w:sz="4" w:space="0"/>
            </w:tcBorders>
            <w:noWrap w:val="0"/>
            <w:vAlign w:val="center"/>
          </w:tcPr>
          <w:p w14:paraId="2191D027">
            <w:pPr>
              <w:adjustRightInd w:val="0"/>
              <w:snapToGrid w:val="0"/>
              <w:spacing w:before="120" w:beforeLines="50"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lang w:eastAsia="zh-CN"/>
              </w:rPr>
              <w:t>供应商名称</w:t>
            </w:r>
          </w:p>
        </w:tc>
      </w:tr>
      <w:tr w14:paraId="705788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4" w:hRule="atLeast"/>
        </w:trPr>
        <w:tc>
          <w:tcPr>
            <w:tcW w:w="485" w:type="dxa"/>
            <w:noWrap w:val="0"/>
            <w:vAlign w:val="center"/>
          </w:tcPr>
          <w:p w14:paraId="5898F3F9">
            <w:pPr>
              <w:widowControl/>
              <w:numPr>
                <w:ilvl w:val="0"/>
                <w:numId w:val="0"/>
              </w:numPr>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125" w:type="dxa"/>
            <w:shd w:val="clear" w:color="auto" w:fill="auto"/>
            <w:noWrap w:val="0"/>
            <w:vAlign w:val="center"/>
          </w:tcPr>
          <w:p w14:paraId="70ECE319">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营业执照、税务登记证、组织机构代码证</w:t>
            </w:r>
          </w:p>
        </w:tc>
        <w:tc>
          <w:tcPr>
            <w:tcW w:w="3291" w:type="dxa"/>
            <w:shd w:val="clear" w:color="auto" w:fill="auto"/>
            <w:noWrap w:val="0"/>
            <w:vAlign w:val="center"/>
          </w:tcPr>
          <w:p w14:paraId="5F000883">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查验响应文件中证书复印件加盖公章，要求：真实有效</w:t>
            </w:r>
          </w:p>
        </w:tc>
        <w:tc>
          <w:tcPr>
            <w:tcW w:w="459" w:type="dxa"/>
            <w:noWrap w:val="0"/>
            <w:vAlign w:val="center"/>
          </w:tcPr>
          <w:p w14:paraId="4A53908F">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96" w:type="dxa"/>
            <w:noWrap w:val="0"/>
            <w:vAlign w:val="center"/>
          </w:tcPr>
          <w:p w14:paraId="3FB9802C">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62" w:type="dxa"/>
            <w:noWrap w:val="0"/>
            <w:vAlign w:val="center"/>
          </w:tcPr>
          <w:p w14:paraId="375D16F7">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r>
      <w:tr w14:paraId="2FF82F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85" w:type="dxa"/>
            <w:noWrap w:val="0"/>
            <w:vAlign w:val="center"/>
          </w:tcPr>
          <w:p w14:paraId="0A518A6B">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p>
        </w:tc>
        <w:tc>
          <w:tcPr>
            <w:tcW w:w="5125" w:type="dxa"/>
            <w:shd w:val="clear" w:color="auto" w:fill="auto"/>
            <w:noWrap w:val="0"/>
            <w:vAlign w:val="center"/>
          </w:tcPr>
          <w:p w14:paraId="787CDE3B">
            <w:pPr>
              <w:widowControl/>
              <w:numPr>
                <w:ilvl w:val="0"/>
                <w:numId w:val="0"/>
              </w:numPr>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（法人参加磋商）法定代表人</w:t>
            </w:r>
            <w:r>
              <w:rPr>
                <w:rFonts w:hint="eastAsia" w:ascii="宋体" w:hAnsi="宋体" w:eastAsia="宋体" w:cs="宋体"/>
                <w:color w:val="auto"/>
                <w:sz w:val="21"/>
                <w:szCs w:val="21"/>
                <w:highlight w:val="none"/>
                <w:lang w:eastAsia="zh-CN"/>
              </w:rPr>
              <w:t>身份证明</w:t>
            </w:r>
            <w:r>
              <w:rPr>
                <w:rFonts w:hint="eastAsia" w:ascii="宋体" w:hAnsi="宋体" w:eastAsia="宋体" w:cs="宋体"/>
                <w:color w:val="auto"/>
                <w:sz w:val="21"/>
                <w:szCs w:val="21"/>
                <w:highlight w:val="none"/>
              </w:rPr>
              <w:t>及法定代表人身份证</w:t>
            </w:r>
          </w:p>
          <w:p w14:paraId="2C4B7D65">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或（委托人参加磋商）授权委托书</w:t>
            </w:r>
            <w:r>
              <w:rPr>
                <w:rFonts w:hint="eastAsia" w:ascii="宋体" w:hAnsi="宋体" w:eastAsia="宋体" w:cs="宋体"/>
                <w:color w:val="auto"/>
                <w:sz w:val="21"/>
                <w:szCs w:val="21"/>
                <w:highlight w:val="none"/>
                <w:lang w:val="en-US" w:eastAsia="zh-CN"/>
              </w:rPr>
              <w:t>并附法定代表人身份证明</w:t>
            </w:r>
            <w:r>
              <w:rPr>
                <w:rFonts w:hint="eastAsia" w:ascii="宋体" w:hAnsi="宋体" w:eastAsia="宋体" w:cs="宋体"/>
                <w:color w:val="auto"/>
                <w:sz w:val="21"/>
                <w:szCs w:val="21"/>
                <w:highlight w:val="none"/>
              </w:rPr>
              <w:t>及被委托人身份证</w:t>
            </w:r>
          </w:p>
        </w:tc>
        <w:tc>
          <w:tcPr>
            <w:tcW w:w="3291" w:type="dxa"/>
            <w:shd w:val="clear" w:color="auto" w:fill="auto"/>
            <w:noWrap w:val="0"/>
            <w:vAlign w:val="center"/>
          </w:tcPr>
          <w:p w14:paraId="66FD84E4">
            <w:pPr>
              <w:widowControl/>
              <w:numPr>
                <w:ilvl w:val="0"/>
                <w:numId w:val="0"/>
              </w:numPr>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查验身份证原件</w:t>
            </w:r>
          </w:p>
          <w:p w14:paraId="663791CD">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eastAsia="zh-CN"/>
              </w:rPr>
              <w:t>身份证明或</w:t>
            </w:r>
            <w:r>
              <w:rPr>
                <w:rFonts w:hint="eastAsia" w:ascii="宋体" w:hAnsi="宋体" w:eastAsia="宋体" w:cs="宋体"/>
                <w:color w:val="auto"/>
                <w:sz w:val="21"/>
                <w:szCs w:val="21"/>
                <w:highlight w:val="none"/>
              </w:rPr>
              <w:t>授权委托书原件可装订在响应文件正本中</w:t>
            </w:r>
          </w:p>
        </w:tc>
        <w:tc>
          <w:tcPr>
            <w:tcW w:w="459" w:type="dxa"/>
            <w:noWrap w:val="0"/>
            <w:vAlign w:val="center"/>
          </w:tcPr>
          <w:p w14:paraId="521EBA75">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96" w:type="dxa"/>
            <w:noWrap w:val="0"/>
            <w:vAlign w:val="center"/>
          </w:tcPr>
          <w:p w14:paraId="18A7AFEB">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62" w:type="dxa"/>
            <w:noWrap w:val="0"/>
            <w:vAlign w:val="center"/>
          </w:tcPr>
          <w:p w14:paraId="675FC522">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r>
      <w:tr w14:paraId="2E376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85" w:type="dxa"/>
            <w:noWrap w:val="0"/>
            <w:vAlign w:val="center"/>
          </w:tcPr>
          <w:p w14:paraId="224567A3">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p>
        </w:tc>
        <w:tc>
          <w:tcPr>
            <w:tcW w:w="5125" w:type="dxa"/>
            <w:shd w:val="clear" w:color="auto" w:fill="auto"/>
            <w:noWrap w:val="0"/>
            <w:vAlign w:val="center"/>
          </w:tcPr>
          <w:p w14:paraId="66B7BCDC">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《湖南省政府采购供应商资格承诺函》</w:t>
            </w:r>
          </w:p>
        </w:tc>
        <w:tc>
          <w:tcPr>
            <w:tcW w:w="3291" w:type="dxa"/>
            <w:shd w:val="clear" w:color="auto" w:fill="auto"/>
            <w:noWrap w:val="0"/>
            <w:vAlign w:val="center"/>
          </w:tcPr>
          <w:p w14:paraId="13CC9107">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查验</w:t>
            </w:r>
            <w:r>
              <w:rPr>
                <w:rFonts w:hint="eastAsia" w:ascii="宋体" w:hAnsi="宋体" w:eastAsia="宋体" w:cs="宋体"/>
                <w:color w:val="auto"/>
                <w:sz w:val="21"/>
                <w:szCs w:val="21"/>
                <w:highlight w:val="none"/>
                <w:lang w:val="en-US" w:eastAsia="zh-CN"/>
              </w:rPr>
              <w:t>原件</w:t>
            </w:r>
            <w:r>
              <w:rPr>
                <w:rFonts w:hint="eastAsia" w:ascii="宋体" w:hAnsi="宋体" w:eastAsia="宋体" w:cs="宋体"/>
                <w:color w:val="auto"/>
                <w:sz w:val="21"/>
                <w:szCs w:val="21"/>
                <w:highlight w:val="none"/>
                <w:lang w:eastAsia="zh-CN"/>
              </w:rPr>
              <w:t>并加盖公章，</w:t>
            </w:r>
            <w:r>
              <w:rPr>
                <w:rFonts w:hint="eastAsia" w:ascii="宋体" w:hAnsi="宋体" w:eastAsia="宋体" w:cs="宋体"/>
                <w:color w:val="auto"/>
                <w:sz w:val="21"/>
                <w:szCs w:val="21"/>
                <w:highlight w:val="none"/>
              </w:rPr>
              <w:t>原件可装订在响应文件正本中</w:t>
            </w:r>
          </w:p>
        </w:tc>
        <w:tc>
          <w:tcPr>
            <w:tcW w:w="459" w:type="dxa"/>
            <w:noWrap w:val="0"/>
            <w:vAlign w:val="center"/>
          </w:tcPr>
          <w:p w14:paraId="6B42F8CE">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96" w:type="dxa"/>
            <w:noWrap w:val="0"/>
            <w:vAlign w:val="center"/>
          </w:tcPr>
          <w:p w14:paraId="5471E295">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62" w:type="dxa"/>
            <w:noWrap w:val="0"/>
            <w:vAlign w:val="center"/>
          </w:tcPr>
          <w:p w14:paraId="7262462A">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r>
      <w:tr w14:paraId="05BFDB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85" w:type="dxa"/>
            <w:noWrap w:val="0"/>
            <w:vAlign w:val="center"/>
          </w:tcPr>
          <w:p w14:paraId="2D804C68">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5125" w:type="dxa"/>
            <w:shd w:val="clear" w:color="auto" w:fill="auto"/>
            <w:noWrap w:val="0"/>
            <w:vAlign w:val="center"/>
          </w:tcPr>
          <w:p w14:paraId="16F7F499">
            <w:pPr>
              <w:widowControl/>
              <w:numPr>
                <w:ilvl w:val="0"/>
                <w:numId w:val="0"/>
              </w:numPr>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投标人为经营企业的，从事第三类医疗器械经营的应取得有效期内的《医疗器械经营许可证》(具备相应经营范围)。</w:t>
            </w:r>
          </w:p>
          <w:p w14:paraId="4EC9D8F1">
            <w:pPr>
              <w:widowControl/>
              <w:numPr>
                <w:ilvl w:val="0"/>
                <w:numId w:val="0"/>
              </w:numPr>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投标人为生产厂商的，从事第二类或第三类医疗器械生产的厂商，应取得有效期内的《医疗器械生产许可证》(具备相应生产范围)。</w:t>
            </w:r>
          </w:p>
          <w:p w14:paraId="3A7A055C">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w:t>
            </w:r>
            <w:r>
              <w:rPr>
                <w:rFonts w:hint="eastAsia" w:ascii="宋体" w:hAnsi="宋体" w:eastAsia="宋体" w:cs="宋体"/>
                <w:color w:val="auto"/>
                <w:sz w:val="21"/>
                <w:szCs w:val="21"/>
                <w:highlight w:val="none"/>
              </w:rPr>
              <w:t>投标产品若属于中国医疗器械注册管理范围内的，则应取得有效期内的监督管理部门颁发的相应的《中华人民共和国医疗器械注册证》</w:t>
            </w:r>
            <w:r>
              <w:rPr>
                <w:rFonts w:hint="eastAsia" w:ascii="宋体" w:hAnsi="宋体" w:eastAsia="宋体" w:cs="宋体"/>
                <w:color w:val="auto"/>
                <w:sz w:val="21"/>
                <w:szCs w:val="21"/>
                <w:highlight w:val="none"/>
                <w:lang w:eastAsia="zh-CN"/>
              </w:rPr>
              <w:t>。</w:t>
            </w:r>
          </w:p>
        </w:tc>
        <w:tc>
          <w:tcPr>
            <w:tcW w:w="3291" w:type="dxa"/>
            <w:shd w:val="clear" w:color="auto" w:fill="auto"/>
            <w:noWrap w:val="0"/>
            <w:vAlign w:val="center"/>
          </w:tcPr>
          <w:p w14:paraId="01CEBCC2">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查验</w:t>
            </w:r>
            <w:r>
              <w:rPr>
                <w:rFonts w:hint="eastAsia" w:ascii="宋体" w:hAnsi="宋体" w:eastAsia="宋体" w:cs="宋体"/>
                <w:color w:val="auto"/>
                <w:sz w:val="21"/>
                <w:szCs w:val="21"/>
                <w:highlight w:val="none"/>
                <w:lang w:eastAsia="zh-CN"/>
              </w:rPr>
              <w:t>复印件并加盖公章</w:t>
            </w:r>
            <w:r>
              <w:rPr>
                <w:rFonts w:hint="eastAsia" w:ascii="宋体" w:hAnsi="宋体" w:eastAsia="宋体" w:cs="宋体"/>
                <w:color w:val="auto"/>
                <w:sz w:val="21"/>
                <w:szCs w:val="21"/>
                <w:highlight w:val="none"/>
              </w:rPr>
              <w:t>可装订在响应文件正本中</w:t>
            </w:r>
          </w:p>
        </w:tc>
        <w:tc>
          <w:tcPr>
            <w:tcW w:w="459" w:type="dxa"/>
            <w:noWrap w:val="0"/>
            <w:vAlign w:val="center"/>
          </w:tcPr>
          <w:p w14:paraId="42285713">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96" w:type="dxa"/>
            <w:noWrap w:val="0"/>
            <w:vAlign w:val="center"/>
          </w:tcPr>
          <w:p w14:paraId="23D7008E">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62" w:type="dxa"/>
            <w:noWrap w:val="0"/>
            <w:vAlign w:val="center"/>
          </w:tcPr>
          <w:p w14:paraId="16DD1CEB">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r>
      <w:tr w14:paraId="10AB80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85" w:type="dxa"/>
            <w:noWrap w:val="0"/>
            <w:vAlign w:val="center"/>
          </w:tcPr>
          <w:p w14:paraId="27F818DA">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5125" w:type="dxa"/>
            <w:shd w:val="clear" w:color="auto" w:fill="auto"/>
            <w:noWrap w:val="0"/>
            <w:vAlign w:val="center"/>
          </w:tcPr>
          <w:p w14:paraId="1C6ED3C3">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参加政府采购活动前三年内在经营活动中没有重大违法记录的书面声明</w:t>
            </w:r>
          </w:p>
        </w:tc>
        <w:tc>
          <w:tcPr>
            <w:tcW w:w="3291" w:type="dxa"/>
            <w:shd w:val="clear" w:color="auto" w:fill="auto"/>
            <w:noWrap w:val="0"/>
            <w:vAlign w:val="center"/>
          </w:tcPr>
          <w:p w14:paraId="5FF5E577">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查验</w:t>
            </w:r>
            <w:r>
              <w:rPr>
                <w:rFonts w:hint="eastAsia" w:ascii="宋体" w:hAnsi="宋体" w:eastAsia="宋体" w:cs="宋体"/>
                <w:color w:val="auto"/>
                <w:sz w:val="21"/>
                <w:szCs w:val="21"/>
                <w:highlight w:val="none"/>
                <w:lang w:val="en-US" w:eastAsia="zh-CN"/>
              </w:rPr>
              <w:t>原件</w:t>
            </w:r>
            <w:r>
              <w:rPr>
                <w:rFonts w:hint="eastAsia" w:ascii="宋体" w:hAnsi="宋体" w:eastAsia="宋体" w:cs="宋体"/>
                <w:color w:val="auto"/>
                <w:sz w:val="21"/>
                <w:szCs w:val="21"/>
                <w:highlight w:val="none"/>
                <w:lang w:eastAsia="zh-CN"/>
              </w:rPr>
              <w:t>并加盖公章，</w:t>
            </w:r>
            <w:r>
              <w:rPr>
                <w:rFonts w:hint="eastAsia" w:ascii="宋体" w:hAnsi="宋体" w:eastAsia="宋体" w:cs="宋体"/>
                <w:color w:val="auto"/>
                <w:sz w:val="21"/>
                <w:szCs w:val="21"/>
                <w:highlight w:val="none"/>
              </w:rPr>
              <w:t>原件可装订在响应文件正本中</w:t>
            </w:r>
          </w:p>
        </w:tc>
        <w:tc>
          <w:tcPr>
            <w:tcW w:w="459" w:type="dxa"/>
            <w:noWrap w:val="0"/>
            <w:vAlign w:val="center"/>
          </w:tcPr>
          <w:p w14:paraId="12AE1BEB">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96" w:type="dxa"/>
            <w:noWrap w:val="0"/>
            <w:vAlign w:val="center"/>
          </w:tcPr>
          <w:p w14:paraId="305C7F00">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62" w:type="dxa"/>
            <w:noWrap w:val="0"/>
            <w:vAlign w:val="center"/>
          </w:tcPr>
          <w:p w14:paraId="2977B193">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r>
      <w:tr w14:paraId="4E0E92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85" w:type="dxa"/>
            <w:noWrap w:val="0"/>
            <w:vAlign w:val="center"/>
          </w:tcPr>
          <w:p w14:paraId="4053958A">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5125" w:type="dxa"/>
            <w:shd w:val="clear" w:color="auto" w:fill="auto"/>
            <w:noWrap w:val="0"/>
            <w:vAlign w:val="center"/>
          </w:tcPr>
          <w:p w14:paraId="1F1B08E7">
            <w:pPr>
              <w:widowControl/>
              <w:numPr>
                <w:ilvl w:val="0"/>
                <w:numId w:val="0"/>
              </w:numPr>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 “信用中国”网站</w:t>
            </w:r>
          </w:p>
          <w:p w14:paraId="1445B1FF">
            <w:pPr>
              <w:widowControl/>
              <w:numPr>
                <w:ilvl w:val="0"/>
                <w:numId w:val="0"/>
              </w:numPr>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（www.creditchina.gov.cn ）、</w:t>
            </w:r>
          </w:p>
          <w:p w14:paraId="0202425A">
            <w:pPr>
              <w:widowControl/>
              <w:numPr>
                <w:ilvl w:val="0"/>
                <w:numId w:val="0"/>
              </w:numPr>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“湖南信用网”</w:t>
            </w:r>
          </w:p>
          <w:p w14:paraId="3964B7E4">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（https://credit.fgw.hunan.gov.cn/ )未列入失信被执行人和重大税收违法案件当事人名单和“中国政府采购网”（www.ccgp.gov.cn ） 网站未列入政府采购严重违法失信行为记录名单等被禁止投标记录。</w:t>
            </w:r>
          </w:p>
        </w:tc>
        <w:tc>
          <w:tcPr>
            <w:tcW w:w="3291" w:type="dxa"/>
            <w:shd w:val="clear" w:color="auto" w:fill="auto"/>
            <w:noWrap w:val="0"/>
            <w:vAlign w:val="center"/>
          </w:tcPr>
          <w:p w14:paraId="1C091FD4">
            <w:pPr>
              <w:widowControl/>
              <w:numPr>
                <w:ilvl w:val="0"/>
                <w:numId w:val="0"/>
              </w:numPr>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查验供应商资格声明或提供投标截止日前一个月内网站查询记录的网上截图</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lang w:eastAsia="zh-CN"/>
              </w:rPr>
              <w:t>采购人、采购代理机构在规定的查询渠道查询；</w:t>
            </w:r>
          </w:p>
        </w:tc>
        <w:tc>
          <w:tcPr>
            <w:tcW w:w="459" w:type="dxa"/>
            <w:noWrap w:val="0"/>
            <w:vAlign w:val="center"/>
          </w:tcPr>
          <w:p w14:paraId="38506B69">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96" w:type="dxa"/>
            <w:noWrap w:val="0"/>
            <w:vAlign w:val="center"/>
          </w:tcPr>
          <w:p w14:paraId="337661C2">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62" w:type="dxa"/>
            <w:noWrap w:val="0"/>
            <w:vAlign w:val="center"/>
          </w:tcPr>
          <w:p w14:paraId="6CF96FCF">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r>
      <w:tr w14:paraId="3242A4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85" w:type="dxa"/>
            <w:noWrap w:val="0"/>
            <w:vAlign w:val="center"/>
          </w:tcPr>
          <w:p w14:paraId="7C725A87">
            <w:pPr>
              <w:adjustRightInd w:val="0"/>
              <w:snapToGrid w:val="0"/>
              <w:spacing w:before="120" w:beforeLines="50" w:line="360" w:lineRule="auto"/>
              <w:jc w:val="center"/>
              <w:rPr>
                <w:rFonts w:hint="eastAsia" w:ascii="宋体" w:hAnsi="宋体" w:eastAsia="宋体" w:cs="宋体"/>
                <w:color w:val="auto"/>
                <w:kern w:val="0"/>
                <w:sz w:val="21"/>
                <w:szCs w:val="21"/>
                <w:highlight w:val="none"/>
                <w:lang w:val="en-US" w:eastAsia="zh-CN"/>
              </w:rPr>
            </w:pPr>
          </w:p>
        </w:tc>
        <w:tc>
          <w:tcPr>
            <w:tcW w:w="8416" w:type="dxa"/>
            <w:gridSpan w:val="2"/>
            <w:noWrap w:val="0"/>
            <w:vAlign w:val="center"/>
          </w:tcPr>
          <w:p w14:paraId="74D404C2">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结论（填写合格与不合格）</w:t>
            </w:r>
          </w:p>
        </w:tc>
        <w:tc>
          <w:tcPr>
            <w:tcW w:w="459" w:type="dxa"/>
            <w:noWrap w:val="0"/>
            <w:vAlign w:val="center"/>
          </w:tcPr>
          <w:p w14:paraId="441E8599">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96" w:type="dxa"/>
            <w:noWrap w:val="0"/>
            <w:vAlign w:val="center"/>
          </w:tcPr>
          <w:p w14:paraId="4196A73B">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c>
          <w:tcPr>
            <w:tcW w:w="462" w:type="dxa"/>
            <w:noWrap w:val="0"/>
            <w:vAlign w:val="center"/>
          </w:tcPr>
          <w:p w14:paraId="75567B63">
            <w:pPr>
              <w:adjustRightInd w:val="0"/>
              <w:snapToGrid w:val="0"/>
              <w:spacing w:before="120" w:beforeLines="50" w:line="360" w:lineRule="auto"/>
              <w:jc w:val="center"/>
              <w:rPr>
                <w:rFonts w:hint="eastAsia" w:ascii="宋体" w:hAnsi="宋体" w:eastAsia="宋体" w:cs="宋体"/>
                <w:color w:val="auto"/>
                <w:kern w:val="0"/>
                <w:sz w:val="21"/>
                <w:szCs w:val="21"/>
                <w:highlight w:val="none"/>
              </w:rPr>
            </w:pPr>
          </w:p>
        </w:tc>
      </w:tr>
      <w:tr w14:paraId="362B47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85" w:type="dxa"/>
            <w:vMerge w:val="restart"/>
            <w:noWrap w:val="0"/>
            <w:textDirection w:val="tbRlV"/>
            <w:vAlign w:val="center"/>
          </w:tcPr>
          <w:p w14:paraId="3621764C">
            <w:pPr>
              <w:widowControl/>
              <w:spacing w:before="24" w:beforeLines="10" w:after="24" w:afterLines="10" w:line="300" w:lineRule="exact"/>
              <w:ind w:left="500" w:leftChars="0" w:right="113" w:rightChars="0" w:hanging="500" w:hangingChars="200"/>
              <w:jc w:val="center"/>
              <w:rPr>
                <w:rFonts w:hint="eastAsia" w:ascii="宋体" w:hAnsi="宋体" w:eastAsia="宋体" w:cs="宋体"/>
                <w:color w:val="auto"/>
                <w:spacing w:val="20"/>
                <w:szCs w:val="21"/>
                <w:highlight w:val="none"/>
              </w:rPr>
            </w:pPr>
            <w:r>
              <w:rPr>
                <w:rFonts w:hint="eastAsia" w:ascii="宋体" w:hAnsi="宋体" w:eastAsia="宋体" w:cs="宋体"/>
                <w:color w:val="auto"/>
                <w:spacing w:val="20"/>
                <w:szCs w:val="21"/>
                <w:highlight w:val="none"/>
              </w:rPr>
              <w:t>备注</w:t>
            </w:r>
          </w:p>
        </w:tc>
        <w:tc>
          <w:tcPr>
            <w:tcW w:w="9833" w:type="dxa"/>
            <w:gridSpan w:val="5"/>
            <w:noWrap w:val="0"/>
            <w:vAlign w:val="center"/>
          </w:tcPr>
          <w:p w14:paraId="516CEF49">
            <w:pPr>
              <w:pStyle w:val="24"/>
              <w:spacing w:after="0" w:line="300" w:lineRule="exac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上述内容合格用“√”表示，不合格用“×”表示；</w:t>
            </w:r>
          </w:p>
          <w:p w14:paraId="63A0FF80">
            <w:pPr>
              <w:pStyle w:val="49"/>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以上内容有一项不合格的，则初步评审的综合评定结果为不合格。</w:t>
            </w:r>
          </w:p>
        </w:tc>
      </w:tr>
      <w:tr w14:paraId="296480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85" w:type="dxa"/>
            <w:vMerge w:val="continue"/>
            <w:noWrap w:val="0"/>
            <w:textDirection w:val="tbRlV"/>
            <w:vAlign w:val="center"/>
          </w:tcPr>
          <w:p w14:paraId="5FE5AD32">
            <w:pPr>
              <w:widowControl/>
              <w:spacing w:before="24" w:beforeLines="10" w:after="24" w:afterLines="10" w:line="300" w:lineRule="exact"/>
              <w:ind w:left="500" w:leftChars="0" w:right="113" w:rightChars="0" w:hanging="500" w:hangingChars="200"/>
              <w:jc w:val="center"/>
              <w:rPr>
                <w:rFonts w:hint="eastAsia" w:ascii="宋体" w:hAnsi="宋体" w:eastAsia="宋体" w:cs="宋体"/>
                <w:color w:val="auto"/>
                <w:spacing w:val="20"/>
                <w:kern w:val="2"/>
                <w:sz w:val="21"/>
                <w:szCs w:val="21"/>
                <w:highlight w:val="none"/>
                <w:lang w:val="en-US" w:eastAsia="zh-CN" w:bidi="ar-SA"/>
              </w:rPr>
            </w:pPr>
          </w:p>
        </w:tc>
        <w:tc>
          <w:tcPr>
            <w:tcW w:w="9833" w:type="dxa"/>
            <w:gridSpan w:val="5"/>
            <w:noWrap w:val="0"/>
            <w:vAlign w:val="center"/>
          </w:tcPr>
          <w:p w14:paraId="2A9C90B4">
            <w:pPr>
              <w:pStyle w:val="49"/>
              <w:ind w:left="0" w:leftChars="0"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说明: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税务登记证、社会保险登记证和统计登记证，符合基本资格条件的相关条款，供应商如是“三证合一或五证合一”请自行说明。</w:t>
            </w:r>
          </w:p>
          <w:p w14:paraId="3B7F1C3F">
            <w:pPr>
              <w:pStyle w:val="49"/>
              <w:ind w:left="0" w:leftChars="0"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2)根据《湖南省财政厅湖南省工业和信息化厅关于运用政府采购促进中小企业发展有关事项的通知》(湘财购【2021】16 号文)和《湖南省财政厅关于政府采购促进中小企业发展有关措施的通知》(湘财购【2022】17 号文)，符合法定条件的供应商凭《湖南省政府采购供应商资格承诺函》(格式详见(湘财购【2022】17 号文))参与政府采购活动，无需提供财政状况、缴纳税收和社会保障资金等资格证明材料。经采购人或监管部门查实，提供虚假承诺的供应商将以虚假资料谋取中标(成交)的违法行为，被列入不良记录名单，采购人有权取消其中标资格)。</w:t>
            </w:r>
          </w:p>
          <w:p w14:paraId="3F6E8B31">
            <w:pPr>
              <w:pStyle w:val="49"/>
              <w:ind w:left="0" w:leftChars="0"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0"/>
                <w:szCs w:val="20"/>
                <w:highlight w:val="none"/>
              </w:rPr>
              <w:t>3)非法人组织参与投标需提供的相关证明材料，如分公司或分支机构参与投标，须提供总公司（法人）出具的有效授权证明文件，明确授权范围及愿意承担全部民事责任。</w:t>
            </w:r>
          </w:p>
        </w:tc>
      </w:tr>
    </w:tbl>
    <w:p w14:paraId="40390709">
      <w:pPr>
        <w:pStyle w:val="3"/>
        <w:bidi w:val="0"/>
        <w:rPr>
          <w:rFonts w:hint="eastAsia" w:ascii="宋体" w:hAnsi="宋体" w:eastAsia="宋体" w:cs="宋体"/>
          <w:color w:val="auto"/>
          <w:sz w:val="30"/>
          <w:szCs w:val="30"/>
          <w:highlight w:val="none"/>
          <w:lang w:val="en-US" w:eastAsia="zh-CN"/>
        </w:rPr>
      </w:pPr>
      <w:bookmarkStart w:id="34" w:name="_Toc27742"/>
      <w:r>
        <w:rPr>
          <w:rFonts w:hint="eastAsia" w:ascii="宋体" w:hAnsi="宋体" w:eastAsia="宋体" w:cs="宋体"/>
          <w:color w:val="auto"/>
          <w:sz w:val="30"/>
          <w:szCs w:val="30"/>
          <w:highlight w:val="none"/>
        </w:rPr>
        <w:t>附页</w:t>
      </w:r>
      <w:r>
        <w:rPr>
          <w:rFonts w:hint="eastAsia" w:ascii="宋体" w:hAnsi="宋体" w:eastAsia="宋体" w:cs="宋体"/>
          <w:color w:val="auto"/>
          <w:sz w:val="30"/>
          <w:szCs w:val="30"/>
          <w:highlight w:val="none"/>
          <w:lang w:val="en-US" w:eastAsia="zh-CN"/>
        </w:rPr>
        <w:t>2 符合性审查表</w:t>
      </w:r>
      <w:bookmarkEnd w:id="34"/>
    </w:p>
    <w:tbl>
      <w:tblPr>
        <w:tblStyle w:val="50"/>
        <w:tblpPr w:leftFromText="180" w:rightFromText="180" w:vertAnchor="text" w:horzAnchor="page" w:tblpXSpec="center" w:tblpY="1049"/>
        <w:tblOverlap w:val="never"/>
        <w:tblW w:w="108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3808"/>
        <w:gridCol w:w="2530"/>
        <w:gridCol w:w="891"/>
        <w:gridCol w:w="1025"/>
        <w:gridCol w:w="1025"/>
        <w:gridCol w:w="913"/>
      </w:tblGrid>
      <w:tr w14:paraId="36EA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35" w:type="dxa"/>
            <w:noWrap/>
            <w:vAlign w:val="center"/>
          </w:tcPr>
          <w:p w14:paraId="15C74BF0">
            <w:pPr>
              <w:spacing w:line="2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3808" w:type="dxa"/>
            <w:noWrap/>
            <w:vAlign w:val="center"/>
          </w:tcPr>
          <w:p w14:paraId="74D1597E">
            <w:pPr>
              <w:spacing w:line="2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评审内容</w:t>
            </w:r>
          </w:p>
        </w:tc>
        <w:tc>
          <w:tcPr>
            <w:tcW w:w="2530" w:type="dxa"/>
            <w:noWrap/>
            <w:vAlign w:val="center"/>
          </w:tcPr>
          <w:p w14:paraId="390E16D3">
            <w:pPr>
              <w:spacing w:line="240" w:lineRule="exact"/>
              <w:jc w:val="center"/>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rPr>
              <w:t>审查标准</w:t>
            </w:r>
          </w:p>
        </w:tc>
        <w:tc>
          <w:tcPr>
            <w:tcW w:w="3854" w:type="dxa"/>
            <w:gridSpan w:val="4"/>
            <w:noWrap/>
            <w:vAlign w:val="center"/>
          </w:tcPr>
          <w:p w14:paraId="6528872F">
            <w:pPr>
              <w:spacing w:line="2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w:t>
            </w:r>
          </w:p>
        </w:tc>
      </w:tr>
      <w:tr w14:paraId="01AE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exact"/>
          <w:jc w:val="center"/>
        </w:trPr>
        <w:tc>
          <w:tcPr>
            <w:tcW w:w="635" w:type="dxa"/>
            <w:noWrap/>
            <w:vAlign w:val="center"/>
          </w:tcPr>
          <w:p w14:paraId="395FC5A8">
            <w:pPr>
              <w:widowControl/>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808" w:type="dxa"/>
            <w:noWrap/>
            <w:vAlign w:val="center"/>
          </w:tcPr>
          <w:p w14:paraId="2895CCB9">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商务技术投标文件的签署、盖章</w:t>
            </w:r>
          </w:p>
        </w:tc>
        <w:tc>
          <w:tcPr>
            <w:tcW w:w="2530" w:type="dxa"/>
            <w:noWrap/>
            <w:vAlign w:val="top"/>
          </w:tcPr>
          <w:p w14:paraId="7CE37F8C">
            <w:pPr>
              <w:spacing w:line="2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满足招标文件要求</w:t>
            </w:r>
          </w:p>
        </w:tc>
        <w:tc>
          <w:tcPr>
            <w:tcW w:w="891" w:type="dxa"/>
            <w:noWrap/>
            <w:vAlign w:val="top"/>
          </w:tcPr>
          <w:p w14:paraId="54735F86">
            <w:pPr>
              <w:spacing w:line="240" w:lineRule="exact"/>
              <w:jc w:val="center"/>
              <w:rPr>
                <w:rFonts w:hint="eastAsia" w:ascii="宋体" w:hAnsi="宋体" w:eastAsia="宋体" w:cs="宋体"/>
                <w:color w:val="auto"/>
                <w:szCs w:val="21"/>
                <w:highlight w:val="none"/>
              </w:rPr>
            </w:pPr>
          </w:p>
        </w:tc>
        <w:tc>
          <w:tcPr>
            <w:tcW w:w="1025" w:type="dxa"/>
            <w:noWrap/>
            <w:vAlign w:val="top"/>
          </w:tcPr>
          <w:p w14:paraId="74019E2E">
            <w:pPr>
              <w:spacing w:line="240" w:lineRule="exact"/>
              <w:jc w:val="center"/>
              <w:rPr>
                <w:rFonts w:hint="eastAsia" w:ascii="宋体" w:hAnsi="宋体" w:eastAsia="宋体" w:cs="宋体"/>
                <w:color w:val="auto"/>
                <w:szCs w:val="21"/>
                <w:highlight w:val="none"/>
              </w:rPr>
            </w:pPr>
          </w:p>
        </w:tc>
        <w:tc>
          <w:tcPr>
            <w:tcW w:w="1025" w:type="dxa"/>
            <w:noWrap/>
            <w:vAlign w:val="top"/>
          </w:tcPr>
          <w:p w14:paraId="406E7FBB">
            <w:pPr>
              <w:spacing w:line="240" w:lineRule="exact"/>
              <w:jc w:val="center"/>
              <w:rPr>
                <w:rFonts w:hint="eastAsia" w:ascii="宋体" w:hAnsi="宋体" w:eastAsia="宋体" w:cs="宋体"/>
                <w:color w:val="auto"/>
                <w:szCs w:val="21"/>
                <w:highlight w:val="none"/>
              </w:rPr>
            </w:pPr>
          </w:p>
        </w:tc>
        <w:tc>
          <w:tcPr>
            <w:tcW w:w="913" w:type="dxa"/>
            <w:noWrap/>
            <w:vAlign w:val="top"/>
          </w:tcPr>
          <w:p w14:paraId="5A8F6BCF">
            <w:pPr>
              <w:spacing w:line="240" w:lineRule="exact"/>
              <w:jc w:val="center"/>
              <w:rPr>
                <w:rFonts w:hint="eastAsia" w:ascii="宋体" w:hAnsi="宋体" w:eastAsia="宋体" w:cs="宋体"/>
                <w:color w:val="auto"/>
                <w:szCs w:val="21"/>
                <w:highlight w:val="none"/>
              </w:rPr>
            </w:pPr>
          </w:p>
        </w:tc>
      </w:tr>
      <w:tr w14:paraId="40D4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exact"/>
          <w:jc w:val="center"/>
        </w:trPr>
        <w:tc>
          <w:tcPr>
            <w:tcW w:w="635" w:type="dxa"/>
            <w:noWrap/>
            <w:vAlign w:val="center"/>
          </w:tcPr>
          <w:p w14:paraId="1A03EA61">
            <w:pPr>
              <w:widowControl/>
              <w:spacing w:line="24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2</w:t>
            </w:r>
          </w:p>
        </w:tc>
        <w:tc>
          <w:tcPr>
            <w:tcW w:w="3808" w:type="dxa"/>
            <w:noWrap/>
            <w:vAlign w:val="center"/>
          </w:tcPr>
          <w:p w14:paraId="47CABC7F">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2530" w:type="dxa"/>
            <w:noWrap/>
            <w:vAlign w:val="top"/>
          </w:tcPr>
          <w:p w14:paraId="1874C08A">
            <w:pPr>
              <w:spacing w:line="2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满足招标文件要求</w:t>
            </w:r>
          </w:p>
        </w:tc>
        <w:tc>
          <w:tcPr>
            <w:tcW w:w="891" w:type="dxa"/>
            <w:noWrap/>
            <w:vAlign w:val="top"/>
          </w:tcPr>
          <w:p w14:paraId="41CC3495">
            <w:pPr>
              <w:spacing w:line="240" w:lineRule="exact"/>
              <w:jc w:val="center"/>
              <w:rPr>
                <w:rFonts w:hint="eastAsia" w:ascii="宋体" w:hAnsi="宋体" w:eastAsia="宋体" w:cs="宋体"/>
                <w:color w:val="auto"/>
                <w:szCs w:val="21"/>
                <w:highlight w:val="none"/>
              </w:rPr>
            </w:pPr>
          </w:p>
        </w:tc>
        <w:tc>
          <w:tcPr>
            <w:tcW w:w="1025" w:type="dxa"/>
            <w:noWrap/>
            <w:vAlign w:val="top"/>
          </w:tcPr>
          <w:p w14:paraId="2C462232">
            <w:pPr>
              <w:spacing w:line="240" w:lineRule="exact"/>
              <w:jc w:val="center"/>
              <w:rPr>
                <w:rFonts w:hint="eastAsia" w:ascii="宋体" w:hAnsi="宋体" w:eastAsia="宋体" w:cs="宋体"/>
                <w:color w:val="auto"/>
                <w:szCs w:val="21"/>
                <w:highlight w:val="none"/>
              </w:rPr>
            </w:pPr>
          </w:p>
        </w:tc>
        <w:tc>
          <w:tcPr>
            <w:tcW w:w="1025" w:type="dxa"/>
            <w:noWrap/>
            <w:vAlign w:val="top"/>
          </w:tcPr>
          <w:p w14:paraId="21A256F5">
            <w:pPr>
              <w:spacing w:line="240" w:lineRule="exact"/>
              <w:jc w:val="center"/>
              <w:rPr>
                <w:rFonts w:hint="eastAsia" w:ascii="宋体" w:hAnsi="宋体" w:eastAsia="宋体" w:cs="宋体"/>
                <w:color w:val="auto"/>
                <w:szCs w:val="21"/>
                <w:highlight w:val="none"/>
              </w:rPr>
            </w:pPr>
          </w:p>
        </w:tc>
        <w:tc>
          <w:tcPr>
            <w:tcW w:w="913" w:type="dxa"/>
            <w:noWrap/>
            <w:vAlign w:val="top"/>
          </w:tcPr>
          <w:p w14:paraId="40CD2277">
            <w:pPr>
              <w:spacing w:line="240" w:lineRule="exact"/>
              <w:jc w:val="center"/>
              <w:rPr>
                <w:rFonts w:hint="eastAsia" w:ascii="宋体" w:hAnsi="宋体" w:eastAsia="宋体" w:cs="宋体"/>
                <w:color w:val="auto"/>
                <w:szCs w:val="21"/>
                <w:highlight w:val="none"/>
              </w:rPr>
            </w:pPr>
          </w:p>
        </w:tc>
      </w:tr>
      <w:tr w14:paraId="75EF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exact"/>
          <w:jc w:val="center"/>
        </w:trPr>
        <w:tc>
          <w:tcPr>
            <w:tcW w:w="635" w:type="dxa"/>
            <w:noWrap/>
            <w:vAlign w:val="center"/>
          </w:tcPr>
          <w:p w14:paraId="08D067B1">
            <w:pPr>
              <w:widowControl/>
              <w:spacing w:line="24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3</w:t>
            </w:r>
          </w:p>
        </w:tc>
        <w:tc>
          <w:tcPr>
            <w:tcW w:w="3808" w:type="dxa"/>
            <w:noWrap/>
            <w:vAlign w:val="center"/>
          </w:tcPr>
          <w:p w14:paraId="05822F43">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highlight w:val="none"/>
              </w:rPr>
              <w:t>交货时间</w:t>
            </w:r>
          </w:p>
        </w:tc>
        <w:tc>
          <w:tcPr>
            <w:tcW w:w="2530" w:type="dxa"/>
            <w:noWrap/>
            <w:vAlign w:val="top"/>
          </w:tcPr>
          <w:p w14:paraId="4D9BD837">
            <w:pPr>
              <w:spacing w:line="24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满足招标文件要求</w:t>
            </w:r>
          </w:p>
        </w:tc>
        <w:tc>
          <w:tcPr>
            <w:tcW w:w="891" w:type="dxa"/>
            <w:noWrap/>
            <w:vAlign w:val="top"/>
          </w:tcPr>
          <w:p w14:paraId="6D06E6EF">
            <w:pPr>
              <w:spacing w:line="240" w:lineRule="exact"/>
              <w:jc w:val="center"/>
              <w:rPr>
                <w:rFonts w:hint="eastAsia" w:ascii="宋体" w:hAnsi="宋体" w:eastAsia="宋体" w:cs="宋体"/>
                <w:color w:val="auto"/>
                <w:szCs w:val="21"/>
                <w:highlight w:val="none"/>
              </w:rPr>
            </w:pPr>
          </w:p>
        </w:tc>
        <w:tc>
          <w:tcPr>
            <w:tcW w:w="1025" w:type="dxa"/>
            <w:noWrap/>
            <w:vAlign w:val="top"/>
          </w:tcPr>
          <w:p w14:paraId="5F9ECB0E">
            <w:pPr>
              <w:spacing w:line="240" w:lineRule="exact"/>
              <w:jc w:val="center"/>
              <w:rPr>
                <w:rFonts w:hint="eastAsia" w:ascii="宋体" w:hAnsi="宋体" w:eastAsia="宋体" w:cs="宋体"/>
                <w:color w:val="auto"/>
                <w:szCs w:val="21"/>
                <w:highlight w:val="none"/>
              </w:rPr>
            </w:pPr>
          </w:p>
        </w:tc>
        <w:tc>
          <w:tcPr>
            <w:tcW w:w="1025" w:type="dxa"/>
            <w:noWrap/>
            <w:vAlign w:val="top"/>
          </w:tcPr>
          <w:p w14:paraId="5A639331">
            <w:pPr>
              <w:spacing w:line="240" w:lineRule="exact"/>
              <w:jc w:val="center"/>
              <w:rPr>
                <w:rFonts w:hint="eastAsia" w:ascii="宋体" w:hAnsi="宋体" w:eastAsia="宋体" w:cs="宋体"/>
                <w:color w:val="auto"/>
                <w:szCs w:val="21"/>
                <w:highlight w:val="none"/>
              </w:rPr>
            </w:pPr>
          </w:p>
        </w:tc>
        <w:tc>
          <w:tcPr>
            <w:tcW w:w="913" w:type="dxa"/>
            <w:noWrap/>
            <w:vAlign w:val="top"/>
          </w:tcPr>
          <w:p w14:paraId="414BF237">
            <w:pPr>
              <w:spacing w:line="240" w:lineRule="exact"/>
              <w:jc w:val="center"/>
              <w:rPr>
                <w:rFonts w:hint="eastAsia" w:ascii="宋体" w:hAnsi="宋体" w:eastAsia="宋体" w:cs="宋体"/>
                <w:color w:val="auto"/>
                <w:szCs w:val="21"/>
                <w:highlight w:val="none"/>
              </w:rPr>
            </w:pPr>
          </w:p>
        </w:tc>
      </w:tr>
      <w:tr w14:paraId="2AED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635" w:type="dxa"/>
            <w:noWrap/>
            <w:vAlign w:val="center"/>
          </w:tcPr>
          <w:p w14:paraId="7BC13461">
            <w:pPr>
              <w:widowControl/>
              <w:spacing w:line="240" w:lineRule="exact"/>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w:t>
            </w:r>
          </w:p>
        </w:tc>
        <w:tc>
          <w:tcPr>
            <w:tcW w:w="3808" w:type="dxa"/>
            <w:noWrap/>
            <w:vAlign w:val="center"/>
          </w:tcPr>
          <w:p w14:paraId="1C41CF9E">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tc>
        <w:tc>
          <w:tcPr>
            <w:tcW w:w="2530" w:type="dxa"/>
            <w:noWrap/>
            <w:vAlign w:val="top"/>
          </w:tcPr>
          <w:p w14:paraId="58C585F3">
            <w:pPr>
              <w:spacing w:line="2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rPr>
              <w:t>超过招标文件的预算金额或者最高限价</w:t>
            </w:r>
          </w:p>
        </w:tc>
        <w:tc>
          <w:tcPr>
            <w:tcW w:w="891" w:type="dxa"/>
            <w:noWrap/>
            <w:vAlign w:val="top"/>
          </w:tcPr>
          <w:p w14:paraId="70EC6BDF">
            <w:pPr>
              <w:spacing w:line="240" w:lineRule="exact"/>
              <w:jc w:val="center"/>
              <w:rPr>
                <w:rFonts w:hint="eastAsia" w:ascii="宋体" w:hAnsi="宋体" w:eastAsia="宋体" w:cs="宋体"/>
                <w:color w:val="auto"/>
                <w:szCs w:val="21"/>
                <w:highlight w:val="none"/>
              </w:rPr>
            </w:pPr>
          </w:p>
        </w:tc>
        <w:tc>
          <w:tcPr>
            <w:tcW w:w="1025" w:type="dxa"/>
            <w:noWrap/>
            <w:vAlign w:val="top"/>
          </w:tcPr>
          <w:p w14:paraId="22A8197C">
            <w:pPr>
              <w:spacing w:line="240" w:lineRule="exact"/>
              <w:jc w:val="center"/>
              <w:rPr>
                <w:rFonts w:hint="eastAsia" w:ascii="宋体" w:hAnsi="宋体" w:eastAsia="宋体" w:cs="宋体"/>
                <w:color w:val="auto"/>
                <w:szCs w:val="21"/>
                <w:highlight w:val="none"/>
              </w:rPr>
            </w:pPr>
          </w:p>
        </w:tc>
        <w:tc>
          <w:tcPr>
            <w:tcW w:w="1025" w:type="dxa"/>
            <w:noWrap/>
            <w:vAlign w:val="top"/>
          </w:tcPr>
          <w:p w14:paraId="3028EA44">
            <w:pPr>
              <w:spacing w:line="240" w:lineRule="exact"/>
              <w:jc w:val="center"/>
              <w:rPr>
                <w:rFonts w:hint="eastAsia" w:ascii="宋体" w:hAnsi="宋体" w:eastAsia="宋体" w:cs="宋体"/>
                <w:color w:val="auto"/>
                <w:szCs w:val="21"/>
                <w:highlight w:val="none"/>
              </w:rPr>
            </w:pPr>
          </w:p>
        </w:tc>
        <w:tc>
          <w:tcPr>
            <w:tcW w:w="913" w:type="dxa"/>
            <w:noWrap/>
            <w:vAlign w:val="top"/>
          </w:tcPr>
          <w:p w14:paraId="4418BE1A">
            <w:pPr>
              <w:spacing w:line="240" w:lineRule="exact"/>
              <w:jc w:val="center"/>
              <w:rPr>
                <w:rFonts w:hint="eastAsia" w:ascii="宋体" w:hAnsi="宋体" w:eastAsia="宋体" w:cs="宋体"/>
                <w:color w:val="auto"/>
                <w:szCs w:val="21"/>
                <w:highlight w:val="none"/>
              </w:rPr>
            </w:pPr>
          </w:p>
        </w:tc>
      </w:tr>
      <w:tr w14:paraId="208B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635" w:type="dxa"/>
            <w:noWrap/>
            <w:vAlign w:val="center"/>
          </w:tcPr>
          <w:p w14:paraId="45FD0EBD">
            <w:pPr>
              <w:widowControl/>
              <w:spacing w:line="240" w:lineRule="exact"/>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w:t>
            </w:r>
          </w:p>
        </w:tc>
        <w:tc>
          <w:tcPr>
            <w:tcW w:w="3808" w:type="dxa"/>
            <w:noWrap/>
            <w:vAlign w:val="center"/>
          </w:tcPr>
          <w:p w14:paraId="0530E37E">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highlight w:val="none"/>
              </w:rPr>
              <w:t>付款方式</w:t>
            </w:r>
          </w:p>
        </w:tc>
        <w:tc>
          <w:tcPr>
            <w:tcW w:w="2530" w:type="dxa"/>
            <w:noWrap/>
            <w:vAlign w:val="top"/>
          </w:tcPr>
          <w:p w14:paraId="2530B2D6">
            <w:pPr>
              <w:spacing w:line="2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满足招标文件要求</w:t>
            </w:r>
          </w:p>
        </w:tc>
        <w:tc>
          <w:tcPr>
            <w:tcW w:w="891" w:type="dxa"/>
            <w:noWrap/>
            <w:vAlign w:val="top"/>
          </w:tcPr>
          <w:p w14:paraId="1F8548C4">
            <w:pPr>
              <w:spacing w:line="240" w:lineRule="exact"/>
              <w:jc w:val="center"/>
              <w:rPr>
                <w:rFonts w:hint="eastAsia" w:ascii="宋体" w:hAnsi="宋体" w:eastAsia="宋体" w:cs="宋体"/>
                <w:color w:val="auto"/>
                <w:szCs w:val="21"/>
                <w:highlight w:val="none"/>
              </w:rPr>
            </w:pPr>
          </w:p>
        </w:tc>
        <w:tc>
          <w:tcPr>
            <w:tcW w:w="1025" w:type="dxa"/>
            <w:noWrap/>
            <w:vAlign w:val="top"/>
          </w:tcPr>
          <w:p w14:paraId="676DEA82">
            <w:pPr>
              <w:spacing w:line="240" w:lineRule="exact"/>
              <w:jc w:val="center"/>
              <w:rPr>
                <w:rFonts w:hint="eastAsia" w:ascii="宋体" w:hAnsi="宋体" w:eastAsia="宋体" w:cs="宋体"/>
                <w:color w:val="auto"/>
                <w:szCs w:val="21"/>
                <w:highlight w:val="none"/>
              </w:rPr>
            </w:pPr>
          </w:p>
        </w:tc>
        <w:tc>
          <w:tcPr>
            <w:tcW w:w="1025" w:type="dxa"/>
            <w:noWrap/>
            <w:vAlign w:val="top"/>
          </w:tcPr>
          <w:p w14:paraId="25040D05">
            <w:pPr>
              <w:spacing w:line="240" w:lineRule="exact"/>
              <w:jc w:val="center"/>
              <w:rPr>
                <w:rFonts w:hint="eastAsia" w:ascii="宋体" w:hAnsi="宋体" w:eastAsia="宋体" w:cs="宋体"/>
                <w:color w:val="auto"/>
                <w:szCs w:val="21"/>
                <w:highlight w:val="none"/>
              </w:rPr>
            </w:pPr>
          </w:p>
        </w:tc>
        <w:tc>
          <w:tcPr>
            <w:tcW w:w="913" w:type="dxa"/>
            <w:noWrap/>
            <w:vAlign w:val="top"/>
          </w:tcPr>
          <w:p w14:paraId="207F4E17">
            <w:pPr>
              <w:spacing w:line="240" w:lineRule="exact"/>
              <w:jc w:val="center"/>
              <w:rPr>
                <w:rFonts w:hint="eastAsia" w:ascii="宋体" w:hAnsi="宋体" w:eastAsia="宋体" w:cs="宋体"/>
                <w:color w:val="auto"/>
                <w:szCs w:val="21"/>
                <w:highlight w:val="none"/>
              </w:rPr>
            </w:pPr>
          </w:p>
        </w:tc>
      </w:tr>
      <w:tr w14:paraId="5B2B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exact"/>
          <w:jc w:val="center"/>
        </w:trPr>
        <w:tc>
          <w:tcPr>
            <w:tcW w:w="635" w:type="dxa"/>
            <w:noWrap/>
            <w:vAlign w:val="center"/>
          </w:tcPr>
          <w:p w14:paraId="058A7706">
            <w:pPr>
              <w:widowControl/>
              <w:spacing w:line="24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6</w:t>
            </w:r>
          </w:p>
        </w:tc>
        <w:tc>
          <w:tcPr>
            <w:tcW w:w="3808" w:type="dxa"/>
            <w:noWrap/>
            <w:vAlign w:val="center"/>
          </w:tcPr>
          <w:p w14:paraId="2FA07E89">
            <w:pPr>
              <w:widowControl/>
              <w:spacing w:line="24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响应文件中没有附任何采购人不能接受的附加条件，没有出现磋商文件或法规明确规定废标情形。</w:t>
            </w:r>
          </w:p>
        </w:tc>
        <w:tc>
          <w:tcPr>
            <w:tcW w:w="2530" w:type="dxa"/>
            <w:noWrap/>
            <w:vAlign w:val="top"/>
          </w:tcPr>
          <w:p w14:paraId="78786A56">
            <w:pPr>
              <w:widowControl/>
              <w:spacing w:line="240" w:lineRule="exact"/>
              <w:jc w:val="left"/>
              <w:rPr>
                <w:rFonts w:hint="eastAsia" w:ascii="宋体" w:hAnsi="宋体" w:eastAsia="宋体" w:cs="宋体"/>
                <w:color w:val="auto"/>
                <w:kern w:val="0"/>
                <w:sz w:val="21"/>
                <w:szCs w:val="21"/>
                <w:highlight w:val="none"/>
                <w:lang w:val="en-US" w:eastAsia="zh-CN"/>
              </w:rPr>
            </w:pPr>
          </w:p>
          <w:p w14:paraId="1B0CB503">
            <w:pPr>
              <w:widowControl/>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要求符合</w:t>
            </w:r>
          </w:p>
        </w:tc>
        <w:tc>
          <w:tcPr>
            <w:tcW w:w="891" w:type="dxa"/>
            <w:noWrap/>
            <w:vAlign w:val="top"/>
          </w:tcPr>
          <w:p w14:paraId="17FCBDFB">
            <w:pPr>
              <w:spacing w:line="240" w:lineRule="exact"/>
              <w:jc w:val="center"/>
              <w:rPr>
                <w:rFonts w:hint="eastAsia" w:ascii="宋体" w:hAnsi="宋体" w:eastAsia="宋体" w:cs="宋体"/>
                <w:color w:val="auto"/>
                <w:szCs w:val="21"/>
                <w:highlight w:val="none"/>
              </w:rPr>
            </w:pPr>
          </w:p>
        </w:tc>
        <w:tc>
          <w:tcPr>
            <w:tcW w:w="1025" w:type="dxa"/>
            <w:noWrap/>
            <w:vAlign w:val="top"/>
          </w:tcPr>
          <w:p w14:paraId="0EB8F8AD">
            <w:pPr>
              <w:spacing w:line="240" w:lineRule="exact"/>
              <w:jc w:val="center"/>
              <w:rPr>
                <w:rFonts w:hint="eastAsia" w:ascii="宋体" w:hAnsi="宋体" w:eastAsia="宋体" w:cs="宋体"/>
                <w:color w:val="auto"/>
                <w:szCs w:val="21"/>
                <w:highlight w:val="none"/>
              </w:rPr>
            </w:pPr>
          </w:p>
        </w:tc>
        <w:tc>
          <w:tcPr>
            <w:tcW w:w="1025" w:type="dxa"/>
            <w:noWrap/>
            <w:vAlign w:val="top"/>
          </w:tcPr>
          <w:p w14:paraId="2D0AE562">
            <w:pPr>
              <w:spacing w:line="240" w:lineRule="exact"/>
              <w:jc w:val="center"/>
              <w:rPr>
                <w:rFonts w:hint="eastAsia" w:ascii="宋体" w:hAnsi="宋体" w:eastAsia="宋体" w:cs="宋体"/>
                <w:color w:val="auto"/>
                <w:szCs w:val="21"/>
                <w:highlight w:val="none"/>
              </w:rPr>
            </w:pPr>
          </w:p>
        </w:tc>
        <w:tc>
          <w:tcPr>
            <w:tcW w:w="913" w:type="dxa"/>
            <w:noWrap/>
            <w:vAlign w:val="top"/>
          </w:tcPr>
          <w:p w14:paraId="5A9114D4">
            <w:pPr>
              <w:spacing w:line="240" w:lineRule="exact"/>
              <w:jc w:val="center"/>
              <w:rPr>
                <w:rFonts w:hint="eastAsia" w:ascii="宋体" w:hAnsi="宋体" w:eastAsia="宋体" w:cs="宋体"/>
                <w:color w:val="auto"/>
                <w:szCs w:val="21"/>
                <w:highlight w:val="none"/>
              </w:rPr>
            </w:pPr>
          </w:p>
        </w:tc>
      </w:tr>
      <w:tr w14:paraId="5F51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4443" w:type="dxa"/>
            <w:gridSpan w:val="2"/>
            <w:noWrap/>
            <w:vAlign w:val="center"/>
          </w:tcPr>
          <w:p w14:paraId="2D6F22C4">
            <w:pPr>
              <w:spacing w:line="2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结论（填写合格与不合格）</w:t>
            </w:r>
          </w:p>
        </w:tc>
        <w:tc>
          <w:tcPr>
            <w:tcW w:w="2530" w:type="dxa"/>
            <w:noWrap/>
            <w:vAlign w:val="top"/>
          </w:tcPr>
          <w:p w14:paraId="400F6EA8">
            <w:pPr>
              <w:spacing w:line="240" w:lineRule="exact"/>
              <w:jc w:val="center"/>
              <w:rPr>
                <w:rFonts w:hint="eastAsia" w:ascii="宋体" w:hAnsi="宋体" w:eastAsia="宋体" w:cs="宋体"/>
                <w:color w:val="auto"/>
                <w:szCs w:val="21"/>
                <w:highlight w:val="none"/>
              </w:rPr>
            </w:pPr>
          </w:p>
        </w:tc>
        <w:tc>
          <w:tcPr>
            <w:tcW w:w="891" w:type="dxa"/>
            <w:noWrap/>
            <w:vAlign w:val="top"/>
          </w:tcPr>
          <w:p w14:paraId="1523B65F">
            <w:pPr>
              <w:spacing w:line="240" w:lineRule="exact"/>
              <w:jc w:val="center"/>
              <w:rPr>
                <w:rFonts w:hint="eastAsia" w:ascii="宋体" w:hAnsi="宋体" w:eastAsia="宋体" w:cs="宋体"/>
                <w:color w:val="auto"/>
                <w:szCs w:val="21"/>
                <w:highlight w:val="none"/>
              </w:rPr>
            </w:pPr>
          </w:p>
        </w:tc>
        <w:tc>
          <w:tcPr>
            <w:tcW w:w="1025" w:type="dxa"/>
            <w:noWrap/>
            <w:vAlign w:val="top"/>
          </w:tcPr>
          <w:p w14:paraId="7CF4D030">
            <w:pPr>
              <w:spacing w:line="240" w:lineRule="exact"/>
              <w:jc w:val="center"/>
              <w:rPr>
                <w:rFonts w:hint="eastAsia" w:ascii="宋体" w:hAnsi="宋体" w:eastAsia="宋体" w:cs="宋体"/>
                <w:color w:val="auto"/>
                <w:szCs w:val="21"/>
                <w:highlight w:val="none"/>
              </w:rPr>
            </w:pPr>
          </w:p>
        </w:tc>
        <w:tc>
          <w:tcPr>
            <w:tcW w:w="1025" w:type="dxa"/>
            <w:noWrap/>
            <w:vAlign w:val="top"/>
          </w:tcPr>
          <w:p w14:paraId="02121EDF">
            <w:pPr>
              <w:spacing w:line="240" w:lineRule="exact"/>
              <w:jc w:val="center"/>
              <w:rPr>
                <w:rFonts w:hint="eastAsia" w:ascii="宋体" w:hAnsi="宋体" w:eastAsia="宋体" w:cs="宋体"/>
                <w:color w:val="auto"/>
                <w:szCs w:val="21"/>
                <w:highlight w:val="none"/>
              </w:rPr>
            </w:pPr>
          </w:p>
        </w:tc>
        <w:tc>
          <w:tcPr>
            <w:tcW w:w="913" w:type="dxa"/>
            <w:noWrap/>
            <w:vAlign w:val="top"/>
          </w:tcPr>
          <w:p w14:paraId="1A9962DB">
            <w:pPr>
              <w:spacing w:line="240" w:lineRule="exact"/>
              <w:jc w:val="center"/>
              <w:rPr>
                <w:rFonts w:hint="eastAsia" w:ascii="宋体" w:hAnsi="宋体" w:eastAsia="宋体" w:cs="宋体"/>
                <w:color w:val="auto"/>
                <w:szCs w:val="21"/>
                <w:highlight w:val="none"/>
              </w:rPr>
            </w:pPr>
          </w:p>
        </w:tc>
      </w:tr>
      <w:tr w14:paraId="0C84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4443" w:type="dxa"/>
            <w:gridSpan w:val="2"/>
            <w:noWrap/>
            <w:vAlign w:val="center"/>
          </w:tcPr>
          <w:p w14:paraId="40F2FC79">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eastAsia="zh-CN"/>
              </w:rPr>
              <w:t>备注</w:t>
            </w:r>
          </w:p>
        </w:tc>
        <w:tc>
          <w:tcPr>
            <w:tcW w:w="6384" w:type="dxa"/>
            <w:gridSpan w:val="5"/>
            <w:noWrap/>
            <w:vAlign w:val="center"/>
          </w:tcPr>
          <w:p w14:paraId="5BF2F158">
            <w:pPr>
              <w:pStyle w:val="24"/>
              <w:spacing w:after="0" w:line="300" w:lineRule="exac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1、上述内容合格用“√”表示，不合格用“×”表示；</w:t>
            </w:r>
          </w:p>
          <w:p w14:paraId="7C03F4A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2、以上内容有一项不合格的，则初步评审的综合评定结果为不合格。</w:t>
            </w:r>
          </w:p>
        </w:tc>
      </w:tr>
    </w:tbl>
    <w:p w14:paraId="4D203A2F">
      <w:pPr>
        <w:rPr>
          <w:rFonts w:hint="eastAsia" w:ascii="宋体" w:hAnsi="宋体" w:eastAsia="宋体" w:cs="宋体"/>
          <w:color w:val="auto"/>
          <w:highlight w:val="none"/>
          <w:lang w:val="en-US" w:eastAsia="zh-CN"/>
        </w:rPr>
      </w:pPr>
    </w:p>
    <w:p w14:paraId="5E3338EA">
      <w:pPr>
        <w:rPr>
          <w:rFonts w:hint="eastAsia" w:ascii="宋体" w:hAnsi="宋体" w:eastAsia="宋体" w:cs="宋体"/>
          <w:color w:val="auto"/>
          <w:highlight w:val="none"/>
        </w:rPr>
      </w:pPr>
      <w:r>
        <w:rPr>
          <w:rFonts w:hint="eastAsia" w:ascii="宋体" w:hAnsi="宋体" w:eastAsia="宋体" w:cs="宋体"/>
          <w:b/>
          <w:bCs/>
          <w:color w:val="auto"/>
          <w:sz w:val="30"/>
          <w:szCs w:val="30"/>
          <w:highlight w:val="none"/>
        </w:rPr>
        <w:br w:type="page"/>
      </w:r>
    </w:p>
    <w:p w14:paraId="33816BCB">
      <w:pPr>
        <w:pStyle w:val="3"/>
        <w:bidi w:val="0"/>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rPr>
        <w:t xml:space="preserve"> </w:t>
      </w:r>
      <w:bookmarkStart w:id="35" w:name="_Toc2780"/>
      <w:r>
        <w:rPr>
          <w:rFonts w:hint="eastAsia" w:ascii="宋体" w:hAnsi="宋体" w:eastAsia="宋体" w:cs="宋体"/>
          <w:color w:val="auto"/>
          <w:sz w:val="30"/>
          <w:szCs w:val="30"/>
          <w:highlight w:val="none"/>
        </w:rPr>
        <w:t>附页</w:t>
      </w:r>
      <w:r>
        <w:rPr>
          <w:rFonts w:hint="eastAsia" w:ascii="宋体" w:hAnsi="宋体" w:eastAsia="宋体" w:cs="宋体"/>
          <w:color w:val="auto"/>
          <w:sz w:val="30"/>
          <w:szCs w:val="30"/>
          <w:highlight w:val="none"/>
          <w:lang w:val="en-US" w:eastAsia="zh-CN"/>
        </w:rPr>
        <w:t xml:space="preserve">3 </w:t>
      </w:r>
      <w:bookmarkStart w:id="36" w:name="_Toc29913911"/>
      <w:r>
        <w:rPr>
          <w:rFonts w:hint="eastAsia" w:ascii="宋体" w:hAnsi="宋体" w:eastAsia="宋体" w:cs="宋体"/>
          <w:color w:val="auto"/>
          <w:sz w:val="30"/>
          <w:szCs w:val="30"/>
          <w:highlight w:val="none"/>
          <w:lang w:val="en-US" w:eastAsia="zh-CN"/>
        </w:rPr>
        <w:t>评标方法及标准前附表</w:t>
      </w:r>
      <w:bookmarkEnd w:id="35"/>
      <w:bookmarkEnd w:id="36"/>
    </w:p>
    <w:tbl>
      <w:tblPr>
        <w:tblStyle w:val="50"/>
        <w:tblW w:w="9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70"/>
        <w:gridCol w:w="2365"/>
        <w:gridCol w:w="5385"/>
      </w:tblGrid>
      <w:tr w14:paraId="60950C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1770" w:type="dxa"/>
            <w:tcBorders>
              <w:top w:val="double" w:color="auto" w:sz="4" w:space="0"/>
              <w:bottom w:val="single" w:color="auto" w:sz="6" w:space="0"/>
            </w:tcBorders>
          </w:tcPr>
          <w:p w14:paraId="08CF1076">
            <w:pPr>
              <w:adjustRightInd w:val="0"/>
              <w:snapToGrid w:val="0"/>
              <w:spacing w:before="156" w:beforeLines="50"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365" w:type="dxa"/>
            <w:tcBorders>
              <w:top w:val="double" w:color="auto" w:sz="4" w:space="0"/>
              <w:bottom w:val="single" w:color="auto" w:sz="6" w:space="0"/>
            </w:tcBorders>
          </w:tcPr>
          <w:p w14:paraId="0B10F182">
            <w:pPr>
              <w:adjustRightInd w:val="0"/>
              <w:snapToGrid w:val="0"/>
              <w:spacing w:before="156" w:beforeLines="50"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5385" w:type="dxa"/>
            <w:tcBorders>
              <w:top w:val="double" w:color="auto" w:sz="4" w:space="0"/>
              <w:bottom w:val="single" w:color="auto" w:sz="6" w:space="0"/>
            </w:tcBorders>
          </w:tcPr>
          <w:p w14:paraId="27FA9263">
            <w:pPr>
              <w:adjustRightInd w:val="0"/>
              <w:snapToGrid w:val="0"/>
              <w:spacing w:before="156" w:beforeLines="50"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编列内容规定</w:t>
            </w:r>
          </w:p>
        </w:tc>
      </w:tr>
      <w:tr w14:paraId="7DB9C5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1770" w:type="dxa"/>
            <w:tcBorders>
              <w:top w:val="single" w:color="auto" w:sz="6" w:space="0"/>
              <w:bottom w:val="single" w:color="auto" w:sz="6" w:space="0"/>
            </w:tcBorders>
            <w:vAlign w:val="center"/>
          </w:tcPr>
          <w:p w14:paraId="7A41BAE6">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w:t>
            </w:r>
            <w:r>
              <w:rPr>
                <w:rFonts w:hint="eastAsia" w:ascii="宋体" w:hAnsi="宋体" w:eastAsia="宋体" w:cs="宋体"/>
                <w:color w:val="auto"/>
                <w:szCs w:val="21"/>
                <w:highlight w:val="none"/>
                <w:lang w:val="zh-CN"/>
              </w:rPr>
              <w:t>款</w:t>
            </w:r>
          </w:p>
        </w:tc>
        <w:tc>
          <w:tcPr>
            <w:tcW w:w="2365" w:type="dxa"/>
            <w:tcBorders>
              <w:top w:val="single" w:color="auto" w:sz="6" w:space="0"/>
              <w:bottom w:val="single" w:color="auto" w:sz="6" w:space="0"/>
            </w:tcBorders>
            <w:vAlign w:val="center"/>
          </w:tcPr>
          <w:p w14:paraId="68C614DF">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评标方法</w:t>
            </w:r>
          </w:p>
        </w:tc>
        <w:tc>
          <w:tcPr>
            <w:tcW w:w="5385" w:type="dxa"/>
            <w:tcBorders>
              <w:top w:val="single" w:color="auto" w:sz="6" w:space="0"/>
              <w:bottom w:val="single" w:color="auto" w:sz="6" w:space="0"/>
            </w:tcBorders>
            <w:vAlign w:val="center"/>
          </w:tcPr>
          <w:p w14:paraId="1FF272B8">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w:t>
            </w:r>
          </w:p>
        </w:tc>
      </w:tr>
      <w:tr w14:paraId="568A42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1770" w:type="dxa"/>
            <w:tcBorders>
              <w:top w:val="single" w:color="auto" w:sz="6" w:space="0"/>
              <w:bottom w:val="single" w:color="auto" w:sz="6" w:space="0"/>
            </w:tcBorders>
            <w:vAlign w:val="center"/>
          </w:tcPr>
          <w:p w14:paraId="14E5390E">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第3.4</w:t>
            </w:r>
            <w:r>
              <w:rPr>
                <w:rFonts w:hint="eastAsia" w:ascii="宋体" w:hAnsi="宋体" w:eastAsia="宋体" w:cs="宋体"/>
                <w:color w:val="auto"/>
                <w:szCs w:val="21"/>
                <w:highlight w:val="none"/>
                <w:lang w:val="zh-CN"/>
              </w:rPr>
              <w:t>款</w:t>
            </w:r>
          </w:p>
        </w:tc>
        <w:tc>
          <w:tcPr>
            <w:tcW w:w="2365" w:type="dxa"/>
            <w:tcBorders>
              <w:top w:val="single" w:color="auto" w:sz="6" w:space="0"/>
              <w:bottom w:val="single" w:color="auto" w:sz="6" w:space="0"/>
            </w:tcBorders>
            <w:vAlign w:val="center"/>
          </w:tcPr>
          <w:p w14:paraId="52D015BD">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非单一产品采购项目的核心产品</w:t>
            </w:r>
          </w:p>
        </w:tc>
        <w:tc>
          <w:tcPr>
            <w:tcW w:w="5385" w:type="dxa"/>
            <w:tcBorders>
              <w:top w:val="single" w:color="auto" w:sz="6" w:space="0"/>
              <w:bottom w:val="single" w:color="auto" w:sz="6" w:space="0"/>
            </w:tcBorders>
            <w:vAlign w:val="center"/>
          </w:tcPr>
          <w:p w14:paraId="0EFDE0E8">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彩色多普勒超声诊断仪</w:t>
            </w:r>
          </w:p>
        </w:tc>
      </w:tr>
      <w:tr w14:paraId="53B4B9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1770" w:type="dxa"/>
            <w:tcBorders>
              <w:top w:val="single" w:color="auto" w:sz="6" w:space="0"/>
              <w:bottom w:val="single" w:color="auto" w:sz="6" w:space="0"/>
            </w:tcBorders>
            <w:vAlign w:val="center"/>
          </w:tcPr>
          <w:p w14:paraId="30B6D687">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第4.2</w:t>
            </w:r>
            <w:r>
              <w:rPr>
                <w:rFonts w:hint="eastAsia" w:ascii="宋体" w:hAnsi="宋体" w:eastAsia="宋体" w:cs="宋体"/>
                <w:color w:val="auto"/>
                <w:szCs w:val="21"/>
                <w:highlight w:val="none"/>
                <w:lang w:val="zh-CN"/>
              </w:rPr>
              <w:t>款</w:t>
            </w:r>
          </w:p>
        </w:tc>
        <w:tc>
          <w:tcPr>
            <w:tcW w:w="2365" w:type="dxa"/>
            <w:tcBorders>
              <w:top w:val="single" w:color="auto" w:sz="6" w:space="0"/>
              <w:bottom w:val="single" w:color="auto" w:sz="6" w:space="0"/>
            </w:tcBorders>
            <w:vAlign w:val="center"/>
          </w:tcPr>
          <w:p w14:paraId="7F29A475">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投标文件报价出现前后不一致的修正</w:t>
            </w:r>
          </w:p>
        </w:tc>
        <w:tc>
          <w:tcPr>
            <w:tcW w:w="5385" w:type="dxa"/>
            <w:tcBorders>
              <w:top w:val="single" w:color="auto" w:sz="6" w:space="0"/>
              <w:bottom w:val="single" w:color="auto" w:sz="6" w:space="0"/>
            </w:tcBorders>
            <w:vAlign w:val="center"/>
          </w:tcPr>
          <w:p w14:paraId="51FE9394">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按本章正文规定修正</w:t>
            </w:r>
          </w:p>
        </w:tc>
      </w:tr>
      <w:tr w14:paraId="653CAE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39" w:hRule="atLeast"/>
        </w:trPr>
        <w:tc>
          <w:tcPr>
            <w:tcW w:w="1770" w:type="dxa"/>
            <w:tcBorders>
              <w:top w:val="single" w:color="auto" w:sz="6" w:space="0"/>
              <w:bottom w:val="single" w:color="auto" w:sz="6" w:space="0"/>
            </w:tcBorders>
            <w:vAlign w:val="center"/>
          </w:tcPr>
          <w:p w14:paraId="0524EAE0">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第5.2</w:t>
            </w:r>
            <w:r>
              <w:rPr>
                <w:rFonts w:hint="eastAsia" w:ascii="宋体" w:hAnsi="宋体" w:eastAsia="宋体" w:cs="宋体"/>
                <w:color w:val="auto"/>
                <w:szCs w:val="21"/>
                <w:highlight w:val="none"/>
                <w:lang w:val="zh-CN"/>
              </w:rPr>
              <w:t>项</w:t>
            </w:r>
          </w:p>
        </w:tc>
        <w:tc>
          <w:tcPr>
            <w:tcW w:w="2365" w:type="dxa"/>
            <w:tcBorders>
              <w:top w:val="single" w:color="auto" w:sz="6" w:space="0"/>
              <w:bottom w:val="single" w:color="auto" w:sz="6" w:space="0"/>
            </w:tcBorders>
            <w:vAlign w:val="center"/>
          </w:tcPr>
          <w:p w14:paraId="5201DC72">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相同品牌产品评审</w:t>
            </w:r>
          </w:p>
          <w:p w14:paraId="60DB56B7">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得分相同的规定</w:t>
            </w:r>
          </w:p>
        </w:tc>
        <w:tc>
          <w:tcPr>
            <w:tcW w:w="5385" w:type="dxa"/>
            <w:tcBorders>
              <w:top w:val="single" w:color="auto" w:sz="6" w:space="0"/>
              <w:bottom w:val="single" w:color="auto" w:sz="6" w:space="0"/>
            </w:tcBorders>
            <w:vAlign w:val="center"/>
          </w:tcPr>
          <w:p w14:paraId="308DCDCA">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zh-CN" w:eastAsia="zh-CN"/>
              </w:rPr>
              <w:t>√</w:t>
            </w:r>
            <w:r>
              <w:rPr>
                <w:rFonts w:hint="eastAsia" w:ascii="宋体" w:hAnsi="宋体" w:eastAsia="宋体" w:cs="宋体"/>
                <w:color w:val="auto"/>
                <w:szCs w:val="21"/>
                <w:highlight w:val="none"/>
                <w:lang w:val="en-US" w:eastAsia="zh-CN"/>
              </w:rPr>
              <w:t>提供相同品牌产品且通过资格、符合性审查的，按 1 家投标人计算；</w:t>
            </w:r>
          </w:p>
          <w:p w14:paraId="3C9047C0">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得分相同的，按投标报价由低到高顺序排列。得分且投标报价相同的，按技术指标优劣顺序排列。</w:t>
            </w:r>
            <w:bookmarkStart w:id="37" w:name="EBd70d0e7b19be4583bd36a26036955249"/>
          </w:p>
          <w:p w14:paraId="30434059">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得分、投标报价、技术得分相同的，按照商务得分由高到低顺序排列。得分、投标报价、技术得分、商务得分相同的，采购人自行确定排列顺序。</w:t>
            </w:r>
            <w:bookmarkEnd w:id="37"/>
          </w:p>
        </w:tc>
      </w:tr>
    </w:tbl>
    <w:p w14:paraId="5214EDA8">
      <w:pPr>
        <w:pStyle w:val="4"/>
        <w:bidi w:val="0"/>
        <w:jc w:val="left"/>
        <w:rPr>
          <w:rFonts w:hint="eastAsia" w:ascii="宋体" w:hAnsi="宋体" w:eastAsia="宋体" w:cs="宋体"/>
          <w:color w:val="auto"/>
          <w:sz w:val="30"/>
          <w:szCs w:val="30"/>
          <w:highlight w:val="none"/>
        </w:rPr>
      </w:pPr>
      <w:bookmarkStart w:id="38" w:name="OLE_LINK6"/>
      <w:r>
        <w:rPr>
          <w:rFonts w:hint="eastAsia" w:ascii="宋体" w:hAnsi="宋体" w:eastAsia="宋体" w:cs="宋体"/>
          <w:color w:val="auto"/>
          <w:sz w:val="30"/>
          <w:szCs w:val="30"/>
          <w:highlight w:val="none"/>
        </w:rPr>
        <w:t>附页</w:t>
      </w:r>
      <w:r>
        <w:rPr>
          <w:rFonts w:hint="eastAsia" w:ascii="宋体" w:hAnsi="宋体" w:eastAsia="宋体" w:cs="宋体"/>
          <w:color w:val="auto"/>
          <w:sz w:val="30"/>
          <w:szCs w:val="30"/>
          <w:highlight w:val="none"/>
          <w:lang w:val="en-US" w:eastAsia="zh-CN"/>
        </w:rPr>
        <w:t>3</w:t>
      </w:r>
      <w:r>
        <w:rPr>
          <w:rFonts w:hint="eastAsia" w:ascii="宋体" w:hAnsi="宋体" w:eastAsia="宋体" w:cs="宋体"/>
          <w:color w:val="auto"/>
          <w:sz w:val="30"/>
          <w:szCs w:val="30"/>
          <w:highlight w:val="none"/>
        </w:rPr>
        <w:t xml:space="preserve"> 评分办法</w:t>
      </w:r>
    </w:p>
    <w:p w14:paraId="533738D0">
      <w:pPr>
        <w:pStyle w:val="2"/>
        <w:bidi w:val="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评标因素和标准</w:t>
      </w:r>
    </w:p>
    <w:p w14:paraId="66D03108">
      <w:pPr>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取值范围</w:t>
      </w:r>
    </w:p>
    <w:p w14:paraId="34A65FD7">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1.2.3权值的取值范围见下表，本采购项目的权值为：</w:t>
      </w:r>
    </w:p>
    <w:tbl>
      <w:tblPr>
        <w:tblStyle w:val="50"/>
        <w:tblW w:w="9180" w:type="dxa"/>
        <w:tblInd w:w="2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15"/>
        <w:gridCol w:w="5283"/>
        <w:gridCol w:w="2682"/>
      </w:tblGrid>
      <w:tr w14:paraId="383A84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8" w:hRule="atLeast"/>
        </w:trPr>
        <w:tc>
          <w:tcPr>
            <w:tcW w:w="1215" w:type="dxa"/>
            <w:noWrap w:val="0"/>
            <w:vAlign w:val="center"/>
          </w:tcPr>
          <w:p w14:paraId="140C634C">
            <w:pPr>
              <w:adjustRightInd w:val="0"/>
              <w:snapToGrid w:val="0"/>
              <w:spacing w:before="156" w:beforeLines="50"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5283" w:type="dxa"/>
            <w:noWrap w:val="0"/>
            <w:vAlign w:val="center"/>
          </w:tcPr>
          <w:p w14:paraId="73F9D904">
            <w:pPr>
              <w:adjustRightInd w:val="0"/>
              <w:snapToGrid w:val="0"/>
              <w:spacing w:before="156" w:beforeLines="50"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     目</w:t>
            </w:r>
          </w:p>
        </w:tc>
        <w:tc>
          <w:tcPr>
            <w:tcW w:w="2682" w:type="dxa"/>
            <w:noWrap w:val="0"/>
            <w:vAlign w:val="center"/>
          </w:tcPr>
          <w:p w14:paraId="13608E4C">
            <w:pPr>
              <w:adjustRightInd w:val="0"/>
              <w:snapToGrid w:val="0"/>
              <w:spacing w:before="156" w:beforeLines="50"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权值的取值</w:t>
            </w:r>
          </w:p>
        </w:tc>
      </w:tr>
      <w:tr w14:paraId="70F257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1215" w:type="dxa"/>
            <w:noWrap w:val="0"/>
            <w:vAlign w:val="center"/>
          </w:tcPr>
          <w:p w14:paraId="5C31B0D8">
            <w:pPr>
              <w:adjustRightInd w:val="0"/>
              <w:snapToGrid w:val="0"/>
              <w:spacing w:before="156" w:beforeLines="50"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5283" w:type="dxa"/>
            <w:noWrap w:val="0"/>
            <w:vAlign w:val="center"/>
          </w:tcPr>
          <w:p w14:paraId="61F33210">
            <w:pPr>
              <w:adjustRightInd w:val="0"/>
              <w:snapToGrid w:val="0"/>
              <w:spacing w:before="156" w:beforeLines="50"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价格</w:t>
            </w:r>
          </w:p>
        </w:tc>
        <w:tc>
          <w:tcPr>
            <w:tcW w:w="2682" w:type="dxa"/>
            <w:noWrap w:val="0"/>
            <w:vAlign w:val="center"/>
          </w:tcPr>
          <w:p w14:paraId="52837E2E">
            <w:pPr>
              <w:jc w:val="center"/>
              <w:rPr>
                <w:rFonts w:hint="eastAsia" w:ascii="宋体" w:hAnsi="宋体" w:cs="宋体"/>
                <w:color w:val="auto"/>
                <w:kern w:val="2"/>
                <w:sz w:val="24"/>
                <w:szCs w:val="24"/>
                <w:highlight w:val="none"/>
                <w:lang w:val="en-US" w:eastAsia="zh-CN" w:bidi="ar-SA"/>
              </w:rPr>
            </w:pPr>
            <w:bookmarkStart w:id="39" w:name="S_2_7"/>
            <w:bookmarkEnd w:id="39"/>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rPr>
              <w:t>%</w:t>
            </w:r>
          </w:p>
        </w:tc>
      </w:tr>
      <w:tr w14:paraId="569B05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8" w:hRule="atLeast"/>
        </w:trPr>
        <w:tc>
          <w:tcPr>
            <w:tcW w:w="1215" w:type="dxa"/>
            <w:noWrap w:val="0"/>
            <w:vAlign w:val="center"/>
          </w:tcPr>
          <w:p w14:paraId="75414146">
            <w:pPr>
              <w:adjustRightInd w:val="0"/>
              <w:snapToGrid w:val="0"/>
              <w:spacing w:before="156" w:beforeLines="50"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5283" w:type="dxa"/>
            <w:noWrap w:val="0"/>
            <w:vAlign w:val="center"/>
          </w:tcPr>
          <w:p w14:paraId="389F440B">
            <w:pPr>
              <w:adjustRightInd w:val="0"/>
              <w:snapToGrid w:val="0"/>
              <w:spacing w:before="156" w:beforeLines="50"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技术</w:t>
            </w:r>
          </w:p>
        </w:tc>
        <w:tc>
          <w:tcPr>
            <w:tcW w:w="2682" w:type="dxa"/>
            <w:noWrap w:val="0"/>
            <w:vAlign w:val="center"/>
          </w:tcPr>
          <w:p w14:paraId="72078758">
            <w:pPr>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48</w:t>
            </w:r>
            <w:r>
              <w:rPr>
                <w:rFonts w:hint="eastAsia" w:ascii="宋体" w:hAnsi="宋体" w:cs="宋体"/>
                <w:color w:val="auto"/>
                <w:sz w:val="24"/>
                <w:szCs w:val="24"/>
                <w:highlight w:val="none"/>
              </w:rPr>
              <w:t>%</w:t>
            </w:r>
          </w:p>
        </w:tc>
      </w:tr>
      <w:tr w14:paraId="19F1B1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8" w:hRule="atLeast"/>
        </w:trPr>
        <w:tc>
          <w:tcPr>
            <w:tcW w:w="1215" w:type="dxa"/>
            <w:noWrap w:val="0"/>
            <w:vAlign w:val="center"/>
          </w:tcPr>
          <w:p w14:paraId="24481F43">
            <w:pPr>
              <w:adjustRightInd w:val="0"/>
              <w:snapToGrid w:val="0"/>
              <w:spacing w:before="156" w:beforeLines="50"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5283" w:type="dxa"/>
            <w:noWrap w:val="0"/>
            <w:vAlign w:val="center"/>
          </w:tcPr>
          <w:p w14:paraId="54F415DC">
            <w:pPr>
              <w:adjustRightInd w:val="0"/>
              <w:snapToGrid w:val="0"/>
              <w:spacing w:before="156" w:beforeLines="50"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商务</w:t>
            </w:r>
          </w:p>
        </w:tc>
        <w:tc>
          <w:tcPr>
            <w:tcW w:w="2682" w:type="dxa"/>
            <w:noWrap w:val="0"/>
            <w:vAlign w:val="center"/>
          </w:tcPr>
          <w:p w14:paraId="563F5E1B">
            <w:pPr>
              <w:jc w:val="center"/>
              <w:rPr>
                <w:rFonts w:hint="eastAsia" w:ascii="宋体" w:hAnsi="宋体" w:cs="宋体"/>
                <w:color w:val="auto"/>
                <w:kern w:val="2"/>
                <w:sz w:val="24"/>
                <w:szCs w:val="24"/>
                <w:highlight w:val="none"/>
                <w:lang w:val="en-US" w:eastAsia="zh-CN" w:bidi="ar-SA"/>
              </w:rPr>
            </w:pPr>
            <w:bookmarkStart w:id="40" w:name="S_2_9"/>
            <w:bookmarkEnd w:id="40"/>
            <w:r>
              <w:rPr>
                <w:rFonts w:hint="eastAsia" w:ascii="宋体" w:hAnsi="宋体" w:cs="宋体"/>
                <w:color w:val="auto"/>
                <w:sz w:val="24"/>
                <w:szCs w:val="24"/>
                <w:highlight w:val="none"/>
                <w:lang w:val="en-US" w:eastAsia="zh-CN"/>
              </w:rPr>
              <w:t>22</w:t>
            </w:r>
            <w:r>
              <w:rPr>
                <w:rFonts w:hint="eastAsia" w:ascii="宋体" w:hAnsi="宋体" w:cs="宋体"/>
                <w:color w:val="auto"/>
                <w:sz w:val="24"/>
                <w:szCs w:val="24"/>
                <w:highlight w:val="none"/>
              </w:rPr>
              <w:t>%</w:t>
            </w:r>
          </w:p>
        </w:tc>
      </w:tr>
      <w:tr w14:paraId="5496C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8" w:hRule="atLeast"/>
        </w:trPr>
        <w:tc>
          <w:tcPr>
            <w:tcW w:w="6498" w:type="dxa"/>
            <w:gridSpan w:val="2"/>
            <w:noWrap w:val="0"/>
            <w:vAlign w:val="center"/>
          </w:tcPr>
          <w:p w14:paraId="2A98CDF7">
            <w:pPr>
              <w:adjustRightInd w:val="0"/>
              <w:snapToGrid w:val="0"/>
              <w:spacing w:before="156" w:beforeLines="50" w:line="360" w:lineRule="auto"/>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sz w:val="24"/>
                <w:szCs w:val="24"/>
                <w:highlight w:val="none"/>
              </w:rPr>
              <w:t>∑(1+2+3)=1</w:t>
            </w:r>
          </w:p>
        </w:tc>
        <w:tc>
          <w:tcPr>
            <w:tcW w:w="2682" w:type="dxa"/>
            <w:noWrap w:val="0"/>
            <w:vAlign w:val="center"/>
          </w:tcPr>
          <w:p w14:paraId="358F8BAB">
            <w:pPr>
              <w:adjustRightInd w:val="0"/>
              <w:snapToGrid w:val="0"/>
              <w:spacing w:before="156" w:beforeLines="50" w:line="360"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00%</w:t>
            </w:r>
          </w:p>
        </w:tc>
      </w:tr>
    </w:tbl>
    <w:p w14:paraId="6A3BDAD5">
      <w:pPr>
        <w:bidi w:val="0"/>
        <w:rPr>
          <w:rFonts w:hint="eastAsia"/>
          <w:color w:val="auto"/>
          <w:highlight w:val="none"/>
        </w:rPr>
      </w:pPr>
    </w:p>
    <w:tbl>
      <w:tblPr>
        <w:tblStyle w:val="50"/>
        <w:tblpPr w:leftFromText="180" w:rightFromText="180" w:vertAnchor="text" w:horzAnchor="page" w:tblpX="817" w:tblpY="538"/>
        <w:tblOverlap w:val="never"/>
        <w:tblW w:w="10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1244"/>
        <w:gridCol w:w="757"/>
        <w:gridCol w:w="7618"/>
      </w:tblGrid>
      <w:tr w14:paraId="0141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0" w:type="dxa"/>
            <w:noWrap w:val="0"/>
            <w:vAlign w:val="center"/>
          </w:tcPr>
          <w:p w14:paraId="5A9107ED">
            <w:pPr>
              <w:shd w:val="clear" w:color="auto" w:fill="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类别</w:t>
            </w:r>
          </w:p>
        </w:tc>
        <w:tc>
          <w:tcPr>
            <w:tcW w:w="1244" w:type="dxa"/>
            <w:noWrap w:val="0"/>
            <w:vAlign w:val="center"/>
          </w:tcPr>
          <w:p w14:paraId="779F4CC9">
            <w:pPr>
              <w:shd w:val="clear" w:color="auto" w:fill="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评审因素</w:t>
            </w:r>
          </w:p>
        </w:tc>
        <w:tc>
          <w:tcPr>
            <w:tcW w:w="757" w:type="dxa"/>
            <w:noWrap w:val="0"/>
            <w:vAlign w:val="center"/>
          </w:tcPr>
          <w:p w14:paraId="1CC88DE6">
            <w:pPr>
              <w:shd w:val="clear" w:color="auto" w:fill="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分值（分）</w:t>
            </w:r>
          </w:p>
        </w:tc>
        <w:tc>
          <w:tcPr>
            <w:tcW w:w="7618" w:type="dxa"/>
            <w:noWrap w:val="0"/>
            <w:vAlign w:val="center"/>
          </w:tcPr>
          <w:p w14:paraId="17483DBE">
            <w:pPr>
              <w:shd w:val="clear" w:color="auto" w:fill="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评分标准</w:t>
            </w:r>
          </w:p>
        </w:tc>
      </w:tr>
      <w:tr w14:paraId="1E65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0" w:type="dxa"/>
            <w:noWrap w:val="0"/>
            <w:vAlign w:val="center"/>
          </w:tcPr>
          <w:p w14:paraId="2C9BF7F8">
            <w:pPr>
              <w:shd w:val="clear" w:color="auto" w:fill="auto"/>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w:t>
            </w:r>
          </w:p>
          <w:p w14:paraId="7D831F3A">
            <w:pPr>
              <w:shd w:val="clear" w:color="auto" w:fill="auto"/>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c>
          <w:tcPr>
            <w:tcW w:w="1244" w:type="dxa"/>
            <w:noWrap w:val="0"/>
            <w:vAlign w:val="center"/>
          </w:tcPr>
          <w:p w14:paraId="45DF9795">
            <w:pPr>
              <w:shd w:val="clear" w:color="auto" w:fill="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tc>
        <w:tc>
          <w:tcPr>
            <w:tcW w:w="757" w:type="dxa"/>
            <w:noWrap w:val="0"/>
            <w:vAlign w:val="center"/>
          </w:tcPr>
          <w:p w14:paraId="0F84B26C">
            <w:pPr>
              <w:shd w:val="clear" w:color="auto" w:fill="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p>
        </w:tc>
        <w:tc>
          <w:tcPr>
            <w:tcW w:w="7618" w:type="dxa"/>
            <w:noWrap w:val="0"/>
            <w:vAlign w:val="center"/>
          </w:tcPr>
          <w:p w14:paraId="7A8003C4">
            <w:pPr>
              <w:shd w:val="clear" w:color="auto" w:fil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经评委会一致认定满足文件要求且投标价格最低的投标报价为评标基准价，其价格得分计</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0分。其他供应商的价格得分统一按公式计算：</w:t>
            </w:r>
          </w:p>
          <w:p w14:paraId="543B51D1">
            <w:pPr>
              <w:shd w:val="clear" w:color="auto" w:fil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投标报价得分=（评标基准价调整／投标报价调整）×（报价权重分）</w:t>
            </w:r>
          </w:p>
          <w:p w14:paraId="31507636">
            <w:pPr>
              <w:widowControl w:val="0"/>
              <w:jc w:val="left"/>
              <w:rPr>
                <w:rFonts w:ascii="宋体" w:hAnsi="宋体" w:eastAsia="宋体" w:cs="宋体"/>
                <w:b w:val="0"/>
                <w:color w:val="auto"/>
                <w:kern w:val="2"/>
                <w:sz w:val="21"/>
                <w:szCs w:val="22"/>
                <w:highlight w:val="none"/>
                <w:lang w:val="en-US" w:eastAsia="zh-CN" w:bidi="ar-SA"/>
              </w:rPr>
            </w:pPr>
            <w:r>
              <w:rPr>
                <w:rFonts w:ascii="宋体" w:hAnsi="宋体" w:eastAsia="宋体" w:cs="宋体"/>
                <w:b w:val="0"/>
                <w:color w:val="auto"/>
                <w:kern w:val="2"/>
                <w:sz w:val="21"/>
                <w:szCs w:val="22"/>
                <w:highlight w:val="none"/>
                <w:lang w:val="en-US" w:eastAsia="zh-CN" w:bidi="ar-SA"/>
              </w:rPr>
              <w:t>注:1. 因落实政府采购政策(价格 评审优惠、优先采购)进行价格调整的， 以调整后的价格计算评标基准价和投标报价</w:t>
            </w:r>
            <w:r>
              <w:rPr>
                <w:rFonts w:hint="eastAsia" w:ascii="宋体" w:hAnsi="宋体" w:eastAsia="宋体" w:cs="宋体"/>
                <w:b w:val="0"/>
                <w:color w:val="auto"/>
                <w:kern w:val="2"/>
                <w:sz w:val="21"/>
                <w:szCs w:val="22"/>
                <w:highlight w:val="none"/>
                <w:lang w:val="en-US" w:eastAsia="zh-CN" w:bidi="ar-SA"/>
              </w:rPr>
              <w:t>。</w:t>
            </w:r>
          </w:p>
          <w:p w14:paraId="312BD974">
            <w:pPr>
              <w:widowControl w:val="0"/>
              <w:jc w:val="left"/>
              <w:rPr>
                <w:rFonts w:ascii="宋体" w:hAnsi="宋体" w:eastAsia="宋体" w:cs="宋体"/>
                <w:b w:val="0"/>
                <w:color w:val="auto"/>
                <w:kern w:val="2"/>
                <w:sz w:val="21"/>
                <w:szCs w:val="22"/>
                <w:highlight w:val="none"/>
                <w:lang w:val="en-US" w:eastAsia="zh-CN" w:bidi="ar-SA"/>
              </w:rPr>
            </w:pPr>
            <w:r>
              <w:rPr>
                <w:rFonts w:ascii="宋体" w:hAnsi="宋体" w:eastAsia="宋体" w:cs="宋体"/>
                <w:b w:val="0"/>
                <w:color w:val="auto"/>
                <w:kern w:val="2"/>
                <w:sz w:val="21"/>
                <w:szCs w:val="22"/>
                <w:highlight w:val="none"/>
                <w:lang w:val="en-US" w:eastAsia="zh-CN" w:bidi="ar-SA"/>
              </w:rPr>
              <w:t>2.政府采购评审中出现下列情形之一的，评审委员会应当启动异常低价投标（响应）审查程序：</w:t>
            </w:r>
          </w:p>
          <w:p w14:paraId="51F646F2">
            <w:pPr>
              <w:widowControl w:val="0"/>
              <w:jc w:val="left"/>
              <w:rPr>
                <w:rFonts w:ascii="宋体" w:hAnsi="宋体" w:eastAsia="宋体" w:cs="宋体"/>
                <w:b w:val="0"/>
                <w:color w:val="auto"/>
                <w:kern w:val="2"/>
                <w:sz w:val="21"/>
                <w:szCs w:val="22"/>
                <w:highlight w:val="none"/>
                <w:lang w:val="en-US" w:eastAsia="zh-CN" w:bidi="ar-SA"/>
              </w:rPr>
            </w:pPr>
            <w:r>
              <w:rPr>
                <w:rFonts w:ascii="宋体" w:hAnsi="宋体" w:eastAsia="宋体" w:cs="宋体"/>
                <w:b w:val="0"/>
                <w:color w:val="auto"/>
                <w:kern w:val="2"/>
                <w:sz w:val="21"/>
                <w:szCs w:val="22"/>
                <w:highlight w:val="none"/>
                <w:lang w:val="en-US" w:eastAsia="zh-CN" w:bidi="ar-SA"/>
              </w:rPr>
              <w:t>2.1投标（响应）报价低于全部通过符合性审查供应商投标（响应）报价平均值</w:t>
            </w:r>
            <w:r>
              <w:rPr>
                <w:rFonts w:hint="eastAsia" w:ascii="宋体" w:hAnsi="宋体" w:eastAsia="宋体" w:cs="宋体"/>
                <w:b w:val="0"/>
                <w:color w:val="auto"/>
                <w:kern w:val="2"/>
                <w:sz w:val="21"/>
                <w:szCs w:val="22"/>
                <w:highlight w:val="none"/>
                <w:lang w:val="en-US" w:eastAsia="zh-CN" w:bidi="ar-SA"/>
              </w:rPr>
              <w:t>50</w:t>
            </w:r>
            <w:r>
              <w:rPr>
                <w:rFonts w:ascii="宋体" w:hAnsi="宋体" w:eastAsia="宋体" w:cs="宋体"/>
                <w:b w:val="0"/>
                <w:color w:val="auto"/>
                <w:kern w:val="2"/>
                <w:sz w:val="21"/>
                <w:szCs w:val="22"/>
                <w:highlight w:val="none"/>
                <w:lang w:val="en-US" w:eastAsia="zh-CN" w:bidi="ar-SA"/>
              </w:rPr>
              <w:t>%的，即投标（响应）报价&lt;全部通过符合性审查供应商投标（响应）报价平均值×</w:t>
            </w:r>
            <w:r>
              <w:rPr>
                <w:rFonts w:hint="eastAsia" w:ascii="宋体" w:hAnsi="宋体" w:eastAsia="宋体" w:cs="宋体"/>
                <w:b w:val="0"/>
                <w:color w:val="auto"/>
                <w:kern w:val="2"/>
                <w:sz w:val="21"/>
                <w:szCs w:val="22"/>
                <w:highlight w:val="none"/>
                <w:lang w:val="en-US" w:eastAsia="zh-CN" w:bidi="ar-SA"/>
              </w:rPr>
              <w:t>50</w:t>
            </w:r>
            <w:r>
              <w:rPr>
                <w:rFonts w:ascii="宋体" w:hAnsi="宋体" w:eastAsia="宋体" w:cs="宋体"/>
                <w:b w:val="0"/>
                <w:color w:val="auto"/>
                <w:kern w:val="2"/>
                <w:sz w:val="21"/>
                <w:szCs w:val="22"/>
                <w:highlight w:val="none"/>
                <w:lang w:val="en-US" w:eastAsia="zh-CN" w:bidi="ar-SA"/>
              </w:rPr>
              <w:t>%；</w:t>
            </w:r>
          </w:p>
          <w:p w14:paraId="17B3F3E9">
            <w:pPr>
              <w:widowControl w:val="0"/>
              <w:jc w:val="left"/>
              <w:rPr>
                <w:rFonts w:ascii="宋体" w:hAnsi="宋体" w:eastAsia="宋体" w:cs="宋体"/>
                <w:b w:val="0"/>
                <w:color w:val="auto"/>
                <w:kern w:val="2"/>
                <w:sz w:val="21"/>
                <w:szCs w:val="22"/>
                <w:highlight w:val="none"/>
                <w:lang w:val="en-US" w:eastAsia="zh-CN" w:bidi="ar-SA"/>
              </w:rPr>
            </w:pPr>
            <w:r>
              <w:rPr>
                <w:rFonts w:ascii="宋体" w:hAnsi="宋体" w:eastAsia="宋体" w:cs="宋体"/>
                <w:b w:val="0"/>
                <w:color w:val="auto"/>
                <w:kern w:val="2"/>
                <w:sz w:val="21"/>
                <w:szCs w:val="22"/>
                <w:highlight w:val="none"/>
                <w:lang w:val="en-US" w:eastAsia="zh-CN" w:bidi="ar-SA"/>
              </w:rPr>
              <w:t>2.2投标（响应）报价低于通过符合性审查的次低报价供应商投标（响应）报价</w:t>
            </w:r>
            <w:r>
              <w:rPr>
                <w:rFonts w:hint="eastAsia" w:ascii="宋体" w:hAnsi="宋体" w:eastAsia="宋体" w:cs="宋体"/>
                <w:b w:val="0"/>
                <w:color w:val="auto"/>
                <w:kern w:val="2"/>
                <w:sz w:val="21"/>
                <w:szCs w:val="22"/>
                <w:highlight w:val="none"/>
                <w:lang w:val="en-US" w:eastAsia="zh-CN" w:bidi="ar-SA"/>
              </w:rPr>
              <w:t>50</w:t>
            </w:r>
            <w:r>
              <w:rPr>
                <w:rFonts w:ascii="宋体" w:hAnsi="宋体" w:eastAsia="宋体" w:cs="宋体"/>
                <w:b w:val="0"/>
                <w:color w:val="auto"/>
                <w:kern w:val="2"/>
                <w:sz w:val="21"/>
                <w:szCs w:val="22"/>
                <w:highlight w:val="none"/>
                <w:lang w:val="en-US" w:eastAsia="zh-CN" w:bidi="ar-SA"/>
              </w:rPr>
              <w:t>%的，即投标（响应）报价&lt;通过符合性审查的次低报价供应商投标（响应）报价×</w:t>
            </w:r>
            <w:r>
              <w:rPr>
                <w:rFonts w:hint="eastAsia" w:ascii="宋体" w:hAnsi="宋体" w:eastAsia="宋体" w:cs="宋体"/>
                <w:b w:val="0"/>
                <w:color w:val="auto"/>
                <w:kern w:val="2"/>
                <w:sz w:val="21"/>
                <w:szCs w:val="22"/>
                <w:highlight w:val="none"/>
                <w:lang w:val="en-US" w:eastAsia="zh-CN" w:bidi="ar-SA"/>
              </w:rPr>
              <w:t>50</w:t>
            </w:r>
            <w:r>
              <w:rPr>
                <w:rFonts w:ascii="宋体" w:hAnsi="宋体" w:eastAsia="宋体" w:cs="宋体"/>
                <w:b w:val="0"/>
                <w:color w:val="auto"/>
                <w:kern w:val="2"/>
                <w:sz w:val="21"/>
                <w:szCs w:val="22"/>
                <w:highlight w:val="none"/>
                <w:lang w:val="en-US" w:eastAsia="zh-CN" w:bidi="ar-SA"/>
              </w:rPr>
              <w:t>%；</w:t>
            </w:r>
          </w:p>
          <w:p w14:paraId="32C7AE4E">
            <w:pPr>
              <w:widowControl w:val="0"/>
              <w:jc w:val="left"/>
              <w:rPr>
                <w:rFonts w:ascii="宋体" w:hAnsi="宋体" w:eastAsia="宋体" w:cs="宋体"/>
                <w:b w:val="0"/>
                <w:color w:val="auto"/>
                <w:kern w:val="2"/>
                <w:sz w:val="21"/>
                <w:szCs w:val="22"/>
                <w:highlight w:val="none"/>
                <w:lang w:val="en-US" w:eastAsia="zh-CN" w:bidi="ar-SA"/>
              </w:rPr>
            </w:pPr>
            <w:r>
              <w:rPr>
                <w:rFonts w:ascii="宋体" w:hAnsi="宋体" w:eastAsia="宋体" w:cs="宋体"/>
                <w:b w:val="0"/>
                <w:color w:val="auto"/>
                <w:kern w:val="2"/>
                <w:sz w:val="21"/>
                <w:szCs w:val="22"/>
                <w:highlight w:val="none"/>
                <w:lang w:val="en-US" w:eastAsia="zh-CN" w:bidi="ar-SA"/>
              </w:rPr>
              <w:t>2.3投标（响应）报价低于采购项目最高限价</w:t>
            </w:r>
            <w:r>
              <w:rPr>
                <w:rFonts w:hint="eastAsia" w:ascii="宋体" w:hAnsi="宋体" w:eastAsia="宋体" w:cs="宋体"/>
                <w:b w:val="0"/>
                <w:color w:val="auto"/>
                <w:kern w:val="2"/>
                <w:sz w:val="21"/>
                <w:szCs w:val="22"/>
                <w:highlight w:val="none"/>
                <w:lang w:val="en-US" w:eastAsia="zh-CN" w:bidi="ar-SA"/>
              </w:rPr>
              <w:t>4</w:t>
            </w:r>
            <w:r>
              <w:rPr>
                <w:rFonts w:ascii="宋体" w:hAnsi="宋体" w:eastAsia="宋体" w:cs="宋体"/>
                <w:b w:val="0"/>
                <w:color w:val="auto"/>
                <w:kern w:val="2"/>
                <w:sz w:val="21"/>
                <w:szCs w:val="22"/>
                <w:highlight w:val="none"/>
                <w:lang w:val="en-US" w:eastAsia="zh-CN" w:bidi="ar-SA"/>
              </w:rPr>
              <w:t>5%的，即投标（响应）报价&lt;采购项目最高限价×</w:t>
            </w:r>
            <w:r>
              <w:rPr>
                <w:rFonts w:hint="eastAsia" w:ascii="宋体" w:hAnsi="宋体" w:eastAsia="宋体" w:cs="宋体"/>
                <w:b w:val="0"/>
                <w:color w:val="auto"/>
                <w:kern w:val="2"/>
                <w:sz w:val="21"/>
                <w:szCs w:val="22"/>
                <w:highlight w:val="none"/>
                <w:lang w:val="en-US" w:eastAsia="zh-CN" w:bidi="ar-SA"/>
              </w:rPr>
              <w:t>4</w:t>
            </w:r>
            <w:r>
              <w:rPr>
                <w:rFonts w:ascii="宋体" w:hAnsi="宋体" w:eastAsia="宋体" w:cs="宋体"/>
                <w:b w:val="0"/>
                <w:color w:val="auto"/>
                <w:kern w:val="2"/>
                <w:sz w:val="21"/>
                <w:szCs w:val="22"/>
                <w:highlight w:val="none"/>
                <w:lang w:val="en-US" w:eastAsia="zh-CN" w:bidi="ar-SA"/>
              </w:rPr>
              <w:t>5%；</w:t>
            </w:r>
          </w:p>
          <w:p w14:paraId="2CF98ABB">
            <w:pPr>
              <w:widowControl w:val="0"/>
              <w:jc w:val="left"/>
              <w:rPr>
                <w:rFonts w:ascii="宋体" w:hAnsi="宋体" w:eastAsia="宋体" w:cs="宋体"/>
                <w:b w:val="0"/>
                <w:color w:val="auto"/>
                <w:kern w:val="2"/>
                <w:sz w:val="21"/>
                <w:szCs w:val="22"/>
                <w:highlight w:val="none"/>
                <w:lang w:val="en-US" w:eastAsia="zh-CN" w:bidi="ar-SA"/>
              </w:rPr>
            </w:pPr>
            <w:r>
              <w:rPr>
                <w:rFonts w:ascii="宋体" w:hAnsi="宋体" w:eastAsia="宋体" w:cs="宋体"/>
                <w:b w:val="0"/>
                <w:color w:val="auto"/>
                <w:kern w:val="2"/>
                <w:sz w:val="21"/>
                <w:szCs w:val="22"/>
                <w:highlight w:val="none"/>
                <w:lang w:val="en-US" w:eastAsia="zh-CN" w:bidi="ar-SA"/>
              </w:rPr>
              <w:t>2.4评审委员会基于专业判断，认为供应商报价过低，有可能影响产品质量或者不能诚信履约的其他情形。</w:t>
            </w:r>
          </w:p>
          <w:p w14:paraId="68ED3AF6">
            <w:pPr>
              <w:widowControl w:val="0"/>
              <w:jc w:val="left"/>
              <w:rPr>
                <w:rFonts w:ascii="宋体" w:hAnsi="宋体" w:eastAsia="宋体" w:cs="宋体"/>
                <w:b w:val="0"/>
                <w:color w:val="auto"/>
                <w:kern w:val="2"/>
                <w:sz w:val="21"/>
                <w:szCs w:val="22"/>
                <w:highlight w:val="none"/>
                <w:lang w:val="en-US" w:eastAsia="zh-CN" w:bidi="ar-SA"/>
              </w:rPr>
            </w:pPr>
            <w:r>
              <w:rPr>
                <w:rFonts w:ascii="宋体" w:hAnsi="宋体" w:eastAsia="宋体" w:cs="宋体"/>
                <w:b w:val="0"/>
                <w:color w:val="auto"/>
                <w:kern w:val="2"/>
                <w:sz w:val="21"/>
                <w:szCs w:val="22"/>
                <w:highlight w:val="none"/>
                <w:lang w:val="en-US" w:eastAsia="zh-CN" w:bidi="ar-SA"/>
              </w:rPr>
              <w:t>相关法律法规对供应商报价有规定的，从其规定。</w:t>
            </w:r>
          </w:p>
          <w:p w14:paraId="4CAE35B8">
            <w:pPr>
              <w:shd w:val="clear" w:color="auto" w:fill="auto"/>
              <w:jc w:val="left"/>
              <w:rPr>
                <w:rFonts w:ascii="宋体" w:hAnsi="宋体" w:eastAsia="宋体" w:cs="宋体"/>
                <w:b w:val="0"/>
                <w:color w:val="auto"/>
                <w:kern w:val="2"/>
                <w:sz w:val="21"/>
                <w:szCs w:val="22"/>
                <w:highlight w:val="none"/>
                <w:lang w:val="en-US" w:eastAsia="zh-CN" w:bidi="ar-SA"/>
              </w:rPr>
            </w:pPr>
            <w:r>
              <w:rPr>
                <w:rFonts w:ascii="宋体" w:hAnsi="宋体" w:eastAsia="宋体" w:cs="宋体"/>
                <w:b w:val="0"/>
                <w:color w:val="auto"/>
                <w:kern w:val="2"/>
                <w:sz w:val="21"/>
                <w:szCs w:val="22"/>
                <w:highlight w:val="none"/>
                <w:lang w:val="en-US" w:eastAsia="zh-CN" w:bidi="ar-SA"/>
              </w:rPr>
              <w:t>评审委员会启动异常低价投标（响应）审查后，属于前述第2.1项至第2.4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2.3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1CE0D0F">
            <w:pPr>
              <w:shd w:val="clear" w:color="auto" w:fill="auto"/>
              <w:jc w:val="left"/>
              <w:rPr>
                <w:rFonts w:hint="eastAsia" w:ascii="宋体" w:hAnsi="宋体" w:eastAsia="宋体" w:cs="宋体"/>
                <w:b w:val="0"/>
                <w:color w:val="auto"/>
                <w:kern w:val="2"/>
                <w:sz w:val="21"/>
                <w:szCs w:val="22"/>
                <w:highlight w:val="none"/>
                <w:lang w:val="en-US" w:eastAsia="zh-CN" w:bidi="ar-SA"/>
              </w:rPr>
            </w:pPr>
          </w:p>
        </w:tc>
      </w:tr>
      <w:tr w14:paraId="2DE1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1000" w:type="dxa"/>
            <w:vMerge w:val="restart"/>
            <w:noWrap w:val="0"/>
            <w:vAlign w:val="center"/>
          </w:tcPr>
          <w:p w14:paraId="0A31C2AC">
            <w:pPr>
              <w:shd w:val="clear" w:color="auto" w:fill="auto"/>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w:t>
            </w:r>
          </w:p>
          <w:p w14:paraId="24E25F83">
            <w:pPr>
              <w:shd w:val="clear" w:color="auto" w:fill="auto"/>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48</w:t>
            </w:r>
            <w:r>
              <w:rPr>
                <w:rFonts w:hint="eastAsia" w:ascii="宋体" w:hAnsi="宋体" w:eastAsia="宋体" w:cs="宋体"/>
                <w:color w:val="auto"/>
                <w:sz w:val="21"/>
                <w:szCs w:val="21"/>
                <w:highlight w:val="none"/>
              </w:rPr>
              <w:t>分）</w:t>
            </w:r>
          </w:p>
        </w:tc>
        <w:tc>
          <w:tcPr>
            <w:tcW w:w="1244" w:type="dxa"/>
            <w:shd w:val="clear" w:color="auto" w:fill="auto"/>
            <w:noWrap w:val="0"/>
            <w:vAlign w:val="center"/>
          </w:tcPr>
          <w:p w14:paraId="5B3F2954">
            <w:pPr>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满足磋商文件技术、商务要求程度</w:t>
            </w:r>
          </w:p>
        </w:tc>
        <w:tc>
          <w:tcPr>
            <w:tcW w:w="757" w:type="dxa"/>
            <w:shd w:val="clear" w:color="auto" w:fill="auto"/>
            <w:noWrap w:val="0"/>
            <w:vAlign w:val="center"/>
          </w:tcPr>
          <w:p w14:paraId="0AA04A6E">
            <w:pPr>
              <w:pStyle w:val="762"/>
              <w:widowControl w:val="0"/>
              <w:jc w:val="center"/>
              <w:rPr>
                <w:rFonts w:hint="default"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54</w:t>
            </w:r>
          </w:p>
        </w:tc>
        <w:tc>
          <w:tcPr>
            <w:tcW w:w="7618" w:type="dxa"/>
            <w:shd w:val="clear" w:color="auto" w:fill="auto"/>
            <w:noWrap w:val="0"/>
            <w:vAlign w:val="center"/>
          </w:tcPr>
          <w:p w14:paraId="33F4DB9B">
            <w:pPr>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完全满足磋商文件商务及技术要求的计</w:t>
            </w:r>
            <w:r>
              <w:rPr>
                <w:rFonts w:hint="eastAsia" w:ascii="宋体" w:hAnsi="宋体" w:cs="宋体"/>
                <w:color w:val="auto"/>
                <w:sz w:val="21"/>
                <w:szCs w:val="21"/>
                <w:highlight w:val="none"/>
                <w:lang w:val="en-US" w:eastAsia="zh-CN"/>
              </w:rPr>
              <w:t>54</w:t>
            </w:r>
            <w:r>
              <w:rPr>
                <w:rFonts w:hint="eastAsia" w:ascii="宋体" w:hAnsi="宋体" w:eastAsia="宋体" w:cs="宋体"/>
                <w:color w:val="auto"/>
                <w:sz w:val="21"/>
                <w:szCs w:val="21"/>
                <w:highlight w:val="none"/>
              </w:rPr>
              <w:t>分。</w:t>
            </w:r>
            <w:r>
              <w:rPr>
                <w:rFonts w:hint="eastAsia" w:ascii="宋体" w:hAnsi="宋体" w:eastAsia="宋体" w:cs="宋体"/>
                <w:color w:val="auto"/>
                <w:kern w:val="0"/>
                <w:sz w:val="21"/>
                <w:szCs w:val="21"/>
                <w:highlight w:val="none"/>
                <w:lang w:val="en-US" w:eastAsia="zh-CN"/>
              </w:rPr>
              <w:t>配置不详、技术参数不清、缺漏项的，视为负偏离。</w:t>
            </w:r>
            <w:r>
              <w:rPr>
                <w:rFonts w:hint="eastAsia" w:ascii="宋体" w:hAnsi="宋体" w:eastAsia="宋体" w:cs="宋体"/>
                <w:color w:val="auto"/>
                <w:sz w:val="21"/>
                <w:szCs w:val="21"/>
                <w:highlight w:val="none"/>
                <w:lang w:eastAsia="zh-CN"/>
              </w:rPr>
              <w:t>带</w:t>
            </w:r>
            <w:r>
              <w:rPr>
                <w:rFonts w:hint="eastAsia" w:ascii="宋体" w:hAnsi="宋体" w:eastAsia="宋体" w:cs="宋体"/>
                <w:color w:val="auto"/>
                <w:sz w:val="21"/>
                <w:szCs w:val="21"/>
                <w:highlight w:val="none"/>
              </w:rPr>
              <w:t>“ ▲”号</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参数为重要</w:t>
            </w:r>
            <w:r>
              <w:rPr>
                <w:rFonts w:hint="eastAsia" w:ascii="宋体" w:hAnsi="宋体" w:eastAsia="宋体" w:cs="宋体"/>
                <w:color w:val="auto"/>
                <w:sz w:val="21"/>
                <w:szCs w:val="21"/>
                <w:highlight w:val="none"/>
                <w:lang w:eastAsia="zh-CN"/>
              </w:rPr>
              <w:t>技术</w:t>
            </w:r>
            <w:r>
              <w:rPr>
                <w:rFonts w:hint="eastAsia" w:ascii="宋体" w:hAnsi="宋体" w:eastAsia="宋体" w:cs="宋体"/>
                <w:color w:val="auto"/>
                <w:sz w:val="21"/>
                <w:szCs w:val="21"/>
                <w:highlight w:val="none"/>
              </w:rPr>
              <w:t>参数，</w:t>
            </w:r>
            <w:r>
              <w:rPr>
                <w:rFonts w:hint="eastAsia" w:ascii="宋体" w:hAnsi="宋体" w:eastAsia="宋体" w:cs="宋体"/>
                <w:color w:val="auto"/>
                <w:sz w:val="21"/>
                <w:szCs w:val="21"/>
                <w:highlight w:val="none"/>
                <w:lang w:eastAsia="zh-CN"/>
              </w:rPr>
              <w:t>每偏离一项扣</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rPr>
              <w:t>一般商务条款、技术参数与功能要求中</w:t>
            </w:r>
            <w:r>
              <w:rPr>
                <w:rFonts w:hint="eastAsia" w:ascii="宋体" w:hAnsi="宋体" w:eastAsia="宋体" w:cs="宋体"/>
                <w:color w:val="auto"/>
                <w:sz w:val="21"/>
                <w:szCs w:val="21"/>
                <w:highlight w:val="none"/>
                <w:lang w:eastAsia="zh-CN"/>
              </w:rPr>
              <w:t>未标记</w:t>
            </w:r>
            <w:r>
              <w:rPr>
                <w:rFonts w:hint="eastAsia" w:ascii="宋体" w:hAnsi="宋体" w:eastAsia="宋体" w:cs="宋体"/>
                <w:color w:val="auto"/>
                <w:sz w:val="21"/>
                <w:szCs w:val="21"/>
                <w:highlight w:val="none"/>
              </w:rPr>
              <w:t>“▲”号</w:t>
            </w:r>
            <w:r>
              <w:rPr>
                <w:rFonts w:hint="eastAsia" w:ascii="宋体" w:hAnsi="宋体" w:eastAsia="宋体" w:cs="宋体"/>
                <w:color w:val="auto"/>
                <w:sz w:val="21"/>
                <w:szCs w:val="21"/>
                <w:highlight w:val="none"/>
                <w:lang w:eastAsia="zh-CN"/>
              </w:rPr>
              <w:t>的参数为一般</w:t>
            </w:r>
            <w:r>
              <w:rPr>
                <w:rFonts w:hint="eastAsia" w:ascii="宋体" w:hAnsi="宋体" w:eastAsia="宋体" w:cs="宋体"/>
                <w:color w:val="auto"/>
                <w:sz w:val="21"/>
                <w:szCs w:val="21"/>
                <w:highlight w:val="none"/>
              </w:rPr>
              <w:t>参数有负偏离的每项扣</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没有提供</w:t>
            </w:r>
            <w:r>
              <w:rPr>
                <w:rFonts w:hint="eastAsia" w:ascii="宋体" w:hAnsi="宋体" w:eastAsia="宋体" w:cs="宋体"/>
                <w:color w:val="auto"/>
                <w:sz w:val="21"/>
                <w:szCs w:val="21"/>
                <w:highlight w:val="none"/>
                <w:lang w:val="en-US" w:eastAsia="zh-CN"/>
              </w:rPr>
              <w:t>技术/商务响应与偏离表</w:t>
            </w:r>
            <w:r>
              <w:rPr>
                <w:rFonts w:hint="eastAsia" w:ascii="宋体" w:hAnsi="宋体" w:eastAsia="宋体" w:cs="宋体"/>
                <w:color w:val="auto"/>
                <w:sz w:val="21"/>
                <w:szCs w:val="21"/>
                <w:highlight w:val="none"/>
              </w:rPr>
              <w:t>的，此项不得分。</w:t>
            </w:r>
          </w:p>
        </w:tc>
      </w:tr>
      <w:tr w14:paraId="524C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0" w:type="dxa"/>
            <w:vMerge w:val="continue"/>
            <w:noWrap w:val="0"/>
            <w:vAlign w:val="center"/>
          </w:tcPr>
          <w:p w14:paraId="67A0B51A">
            <w:pPr>
              <w:shd w:val="clear" w:color="auto" w:fill="auto"/>
              <w:snapToGrid w:val="0"/>
              <w:jc w:val="center"/>
              <w:rPr>
                <w:rFonts w:hint="eastAsia" w:ascii="宋体" w:hAnsi="宋体" w:eastAsia="宋体" w:cs="宋体"/>
                <w:color w:val="auto"/>
                <w:sz w:val="21"/>
                <w:szCs w:val="21"/>
                <w:highlight w:val="none"/>
              </w:rPr>
            </w:pPr>
          </w:p>
          <w:p w14:paraId="22594E17">
            <w:pPr>
              <w:shd w:val="clear" w:color="auto" w:fill="auto"/>
              <w:snapToGrid w:val="0"/>
              <w:jc w:val="center"/>
              <w:rPr>
                <w:rFonts w:hint="eastAsia" w:ascii="宋体" w:hAnsi="宋体" w:eastAsia="宋体" w:cs="宋体"/>
                <w:color w:val="auto"/>
                <w:sz w:val="21"/>
                <w:szCs w:val="21"/>
                <w:highlight w:val="none"/>
              </w:rPr>
            </w:pPr>
          </w:p>
        </w:tc>
        <w:tc>
          <w:tcPr>
            <w:tcW w:w="1244" w:type="dxa"/>
            <w:shd w:val="clear" w:color="auto" w:fill="auto"/>
            <w:noWrap w:val="0"/>
            <w:vAlign w:val="center"/>
          </w:tcPr>
          <w:p w14:paraId="0AB4C231">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实施</w:t>
            </w:r>
          </w:p>
          <w:p w14:paraId="72BC6287">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方案</w:t>
            </w:r>
          </w:p>
          <w:p w14:paraId="36AA1ECF">
            <w:pPr>
              <w:jc w:val="left"/>
              <w:rPr>
                <w:rFonts w:hint="eastAsia" w:ascii="宋体" w:hAnsi="宋体" w:eastAsia="宋体" w:cs="宋体"/>
                <w:color w:val="auto"/>
                <w:kern w:val="2"/>
                <w:sz w:val="21"/>
                <w:szCs w:val="21"/>
                <w:highlight w:val="none"/>
                <w:lang w:val="en-US" w:eastAsia="zh-CN" w:bidi="ar-SA"/>
              </w:rPr>
            </w:pPr>
          </w:p>
        </w:tc>
        <w:tc>
          <w:tcPr>
            <w:tcW w:w="757" w:type="dxa"/>
            <w:shd w:val="clear" w:color="auto" w:fill="auto"/>
            <w:noWrap w:val="0"/>
            <w:vAlign w:val="center"/>
          </w:tcPr>
          <w:p w14:paraId="26717E4A">
            <w:pPr>
              <w:pStyle w:val="762"/>
              <w:widowControl w:val="0"/>
              <w:jc w:val="center"/>
              <w:rPr>
                <w:rFonts w:hint="default"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30</w:t>
            </w:r>
          </w:p>
        </w:tc>
        <w:tc>
          <w:tcPr>
            <w:tcW w:w="7618" w:type="dxa"/>
            <w:shd w:val="clear" w:color="auto" w:fill="auto"/>
            <w:noWrap w:val="0"/>
            <w:vAlign w:val="center"/>
          </w:tcPr>
          <w:p w14:paraId="5AFDA605">
            <w:pPr>
              <w:jc w:val="left"/>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根据投标人提供的实施方案</w:t>
            </w:r>
            <w:r>
              <w:rPr>
                <w:rFonts w:hint="eastAsia" w:ascii="宋体" w:hAnsi="宋体" w:eastAsia="宋体" w:cs="宋体"/>
                <w:color w:val="auto"/>
                <w:kern w:val="2"/>
                <w:sz w:val="21"/>
                <w:szCs w:val="21"/>
                <w:highlight w:val="none"/>
                <w:lang w:val="en-US" w:eastAsia="zh-CN" w:bidi="ar-SA"/>
              </w:rPr>
              <w:t>（包括但不限于</w:t>
            </w:r>
            <w:r>
              <w:rPr>
                <w:rFonts w:hint="eastAsia" w:ascii="宋体" w:hAnsi="宋体" w:eastAsia="宋体" w:cs="宋体"/>
                <w:color w:val="auto"/>
                <w:sz w:val="21"/>
                <w:szCs w:val="21"/>
                <w:highlight w:val="none"/>
              </w:rPr>
              <w:t>①项目进度安排②到货周期③人员配备及安排④质量保证措施</w:t>
            </w:r>
            <w:r>
              <w:rPr>
                <w:rFonts w:hint="eastAsia" w:ascii="宋体" w:hAnsi="宋体" w:eastAsia="宋体" w:cs="宋体"/>
                <w:color w:val="auto"/>
                <w:sz w:val="21"/>
                <w:szCs w:val="21"/>
                <w:highlight w:val="none"/>
                <w:lang w:val="en-US" w:eastAsia="zh-CN"/>
              </w:rPr>
              <w:t>⑤</w:t>
            </w:r>
            <w:r>
              <w:rPr>
                <w:rFonts w:hint="eastAsia" w:ascii="宋体" w:hAnsi="宋体" w:eastAsia="宋体" w:cs="宋体"/>
                <w:color w:val="auto"/>
                <w:sz w:val="21"/>
                <w:szCs w:val="21"/>
                <w:highlight w:val="none"/>
                <w:lang w:eastAsia="zh-CN"/>
              </w:rPr>
              <w:t>产品运输及安装调试</w:t>
            </w:r>
            <w:r>
              <w:rPr>
                <w:rFonts w:hint="eastAsia" w:ascii="宋体" w:hAnsi="宋体" w:eastAsia="宋体" w:cs="宋体"/>
                <w:color w:val="auto"/>
                <w:kern w:val="2"/>
                <w:sz w:val="21"/>
                <w:szCs w:val="21"/>
                <w:highlight w:val="none"/>
                <w:lang w:val="en-US" w:eastAsia="zh-CN" w:bidi="ar-SA"/>
              </w:rPr>
              <w:t>）进行综合评审：</w:t>
            </w:r>
          </w:p>
          <w:p w14:paraId="3C7BD75E">
            <w:pPr>
              <w:pStyle w:val="762"/>
              <w:widowControl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方案完整、合理、针对性强，思路明晰、完全满足本项目采购需求的，计</w:t>
            </w:r>
            <w:r>
              <w:rPr>
                <w:rFonts w:hint="eastAsia" w:ascii="宋体" w:hAnsi="宋体" w:cs="宋体"/>
                <w:color w:val="auto"/>
                <w:kern w:val="2"/>
                <w:sz w:val="21"/>
                <w:szCs w:val="21"/>
                <w:highlight w:val="none"/>
                <w:lang w:val="en-US" w:eastAsia="zh-CN" w:bidi="ar-SA"/>
              </w:rPr>
              <w:t>30</w:t>
            </w:r>
            <w:r>
              <w:rPr>
                <w:rFonts w:hint="eastAsia" w:ascii="宋体" w:hAnsi="宋体" w:eastAsia="宋体" w:cs="宋体"/>
                <w:color w:val="auto"/>
                <w:kern w:val="2"/>
                <w:sz w:val="21"/>
                <w:szCs w:val="21"/>
                <w:highlight w:val="none"/>
                <w:lang w:val="en-US" w:eastAsia="zh-CN" w:bidi="ar-SA"/>
              </w:rPr>
              <w:t>分；</w:t>
            </w:r>
            <w:r>
              <w:rPr>
                <w:rFonts w:hint="eastAsia" w:ascii="宋体" w:hAnsi="宋体" w:eastAsia="宋体" w:cs="宋体"/>
                <w:snapToGrid/>
                <w:color w:val="auto"/>
                <w:kern w:val="0"/>
                <w:sz w:val="21"/>
                <w:szCs w:val="21"/>
                <w:highlight w:val="none"/>
                <w:lang w:val="en-US" w:eastAsia="zh-CN"/>
              </w:rPr>
              <w:t>每缺一项扣</w:t>
            </w:r>
            <w:r>
              <w:rPr>
                <w:rFonts w:hint="eastAsia" w:ascii="宋体" w:hAnsi="宋体" w:cs="宋体"/>
                <w:snapToGrid/>
                <w:color w:val="auto"/>
                <w:kern w:val="0"/>
                <w:sz w:val="21"/>
                <w:szCs w:val="21"/>
                <w:highlight w:val="none"/>
                <w:lang w:val="en-US" w:eastAsia="zh-CN"/>
              </w:rPr>
              <w:t>6</w:t>
            </w:r>
            <w:r>
              <w:rPr>
                <w:rFonts w:hint="eastAsia" w:ascii="宋体" w:hAnsi="宋体" w:eastAsia="宋体" w:cs="宋体"/>
                <w:snapToGrid/>
                <w:color w:val="auto"/>
                <w:kern w:val="0"/>
                <w:sz w:val="21"/>
                <w:szCs w:val="21"/>
                <w:highlight w:val="none"/>
                <w:lang w:val="en-US" w:eastAsia="zh-CN"/>
              </w:rPr>
              <w:t>分，</w:t>
            </w:r>
            <w:r>
              <w:rPr>
                <w:rFonts w:hint="eastAsia" w:ascii="宋体" w:hAnsi="宋体" w:eastAsia="宋体" w:cs="宋体"/>
                <w:color w:val="auto"/>
                <w:kern w:val="2"/>
                <w:sz w:val="21"/>
                <w:szCs w:val="21"/>
                <w:highlight w:val="none"/>
                <w:lang w:val="en-US" w:eastAsia="zh-CN" w:bidi="ar-SA"/>
              </w:rPr>
              <w:t>方案内容不详细或欠合理或针对性欠缺的每处扣2分</w:t>
            </w:r>
            <w:r>
              <w:rPr>
                <w:rFonts w:hint="eastAsia" w:ascii="宋体" w:hAnsi="宋体" w:eastAsia="宋体" w:cs="宋体"/>
                <w:snapToGrid/>
                <w:color w:val="auto"/>
                <w:kern w:val="0"/>
                <w:sz w:val="21"/>
                <w:szCs w:val="21"/>
                <w:highlight w:val="none"/>
                <w:lang w:val="en-US" w:eastAsia="zh-CN"/>
              </w:rPr>
              <w:t>，扣完为止，</w:t>
            </w:r>
            <w:r>
              <w:rPr>
                <w:rFonts w:hint="eastAsia" w:ascii="宋体" w:hAnsi="宋体" w:eastAsia="宋体" w:cs="宋体"/>
                <w:color w:val="auto"/>
                <w:kern w:val="2"/>
                <w:sz w:val="21"/>
                <w:szCs w:val="21"/>
                <w:highlight w:val="none"/>
                <w:lang w:val="en-US" w:eastAsia="zh-CN" w:bidi="ar-SA"/>
              </w:rPr>
              <w:t>未提供方案的不计分。</w:t>
            </w:r>
          </w:p>
          <w:p w14:paraId="6194C233">
            <w:pPr>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1）“完整”指内容覆盖全面，具体细节、需涵盖要点描述清晰；“合理”指方案提出的对策措施是符合项目实际要求、利于项目实施的；（2）方案内容不详细或欠合理或针对性欠缺是指存在项目名称错误、地点区域错误、方案内容矛盾或表述前后不一致、仅有框架或标题、适用的标准（方法）错误、明显复制其他项目内容、方案内容与项目需求不一致或没有关联性、涉及的技术规范标准等与国家标准或行业标准或采购文件要求不一致，相关评审具体实施方案内容与实际实施时存在差异性，计划安排无条理性、方案内容空洞、语义表述不清，存在歧义、逻辑混乱、有错别字，需涵盖的要点不完善或缺失等；（3）缺漏项是指该项内容缺失或未提供具体的实施内容，或者整段内容照搬采购需求、评审办法的内容未做修改。</w:t>
            </w:r>
          </w:p>
        </w:tc>
      </w:tr>
      <w:tr w14:paraId="4CEE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0" w:type="dxa"/>
            <w:vMerge w:val="continue"/>
            <w:noWrap w:val="0"/>
            <w:vAlign w:val="center"/>
          </w:tcPr>
          <w:p w14:paraId="1649E281">
            <w:pPr>
              <w:shd w:val="clear" w:color="auto" w:fill="auto"/>
              <w:snapToGrid w:val="0"/>
              <w:jc w:val="center"/>
              <w:rPr>
                <w:rFonts w:hint="eastAsia" w:ascii="宋体" w:hAnsi="宋体" w:eastAsia="宋体" w:cs="宋体"/>
                <w:color w:val="auto"/>
                <w:sz w:val="21"/>
                <w:szCs w:val="21"/>
                <w:highlight w:val="none"/>
              </w:rPr>
            </w:pPr>
          </w:p>
        </w:tc>
        <w:tc>
          <w:tcPr>
            <w:tcW w:w="1244" w:type="dxa"/>
            <w:shd w:val="clear" w:color="auto" w:fill="auto"/>
            <w:noWrap w:val="0"/>
            <w:vAlign w:val="center"/>
          </w:tcPr>
          <w:p w14:paraId="3CF33EA1">
            <w:p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培训</w:t>
            </w:r>
          </w:p>
          <w:p w14:paraId="79AFB7A6">
            <w:p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w:t>
            </w:r>
          </w:p>
          <w:p w14:paraId="668075A4">
            <w:pPr>
              <w:jc w:val="left"/>
              <w:rPr>
                <w:rFonts w:hint="eastAsia" w:ascii="宋体" w:hAnsi="宋体" w:eastAsia="宋体" w:cs="宋体"/>
                <w:color w:val="auto"/>
                <w:kern w:val="2"/>
                <w:sz w:val="21"/>
                <w:szCs w:val="21"/>
                <w:highlight w:val="none"/>
                <w:lang w:val="en-US" w:eastAsia="zh-CN" w:bidi="ar-SA"/>
              </w:rPr>
            </w:pPr>
          </w:p>
        </w:tc>
        <w:tc>
          <w:tcPr>
            <w:tcW w:w="757" w:type="dxa"/>
            <w:shd w:val="clear" w:color="auto" w:fill="auto"/>
            <w:noWrap w:val="0"/>
            <w:vAlign w:val="center"/>
          </w:tcPr>
          <w:p w14:paraId="459CAADD">
            <w:pPr>
              <w:pStyle w:val="762"/>
              <w:widowControl w:val="0"/>
              <w:jc w:val="center"/>
              <w:rPr>
                <w:rFonts w:hint="default"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16</w:t>
            </w:r>
          </w:p>
        </w:tc>
        <w:tc>
          <w:tcPr>
            <w:tcW w:w="7618" w:type="dxa"/>
            <w:shd w:val="clear" w:color="auto" w:fill="auto"/>
            <w:noWrap w:val="0"/>
            <w:vAlign w:val="center"/>
          </w:tcPr>
          <w:p w14:paraId="680FFC55">
            <w:pPr>
              <w:jc w:val="left"/>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color w:val="auto"/>
                <w:sz w:val="21"/>
                <w:szCs w:val="21"/>
                <w:highlight w:val="none"/>
              </w:rPr>
              <w:t>根据投标人提供的培训方案</w:t>
            </w:r>
            <w:r>
              <w:rPr>
                <w:rFonts w:hint="eastAsia" w:ascii="宋体" w:hAnsi="宋体" w:eastAsia="宋体" w:cs="宋体"/>
                <w:color w:val="auto"/>
                <w:kern w:val="2"/>
                <w:sz w:val="21"/>
                <w:szCs w:val="21"/>
                <w:highlight w:val="none"/>
                <w:lang w:val="en-US" w:eastAsia="zh-CN" w:bidi="ar-SA"/>
              </w:rPr>
              <w:t>（包括但不限于</w:t>
            </w:r>
            <w:r>
              <w:rPr>
                <w:rFonts w:hint="eastAsia" w:ascii="宋体" w:hAnsi="宋体" w:eastAsia="宋体" w:cs="宋体"/>
                <w:color w:val="auto"/>
                <w:sz w:val="21"/>
                <w:szCs w:val="21"/>
                <w:highlight w:val="none"/>
              </w:rPr>
              <w:t>①设备的原理和技术性能②操作维护方法③</w:t>
            </w:r>
            <w:r>
              <w:rPr>
                <w:rFonts w:hint="eastAsia" w:ascii="宋体" w:hAnsi="宋体" w:eastAsia="宋体" w:cs="宋体"/>
                <w:color w:val="auto"/>
                <w:sz w:val="21"/>
                <w:szCs w:val="21"/>
                <w:highlight w:val="none"/>
                <w:lang w:eastAsia="zh-CN"/>
              </w:rPr>
              <w:t>安装调试及</w:t>
            </w:r>
            <w:r>
              <w:rPr>
                <w:rFonts w:hint="eastAsia" w:ascii="宋体" w:hAnsi="宋体" w:eastAsia="宋体" w:cs="宋体"/>
                <w:color w:val="auto"/>
                <w:sz w:val="21"/>
                <w:szCs w:val="21"/>
                <w:highlight w:val="none"/>
              </w:rPr>
              <w:t>故障排除④培训后达到的效果：人员能熟练操作设备，了解设备结构、工作原理，并能排除一般故障</w:t>
            </w:r>
            <w:r>
              <w:rPr>
                <w:rFonts w:hint="eastAsia" w:ascii="宋体" w:hAnsi="宋体" w:eastAsia="宋体" w:cs="宋体"/>
                <w:color w:val="auto"/>
                <w:kern w:val="2"/>
                <w:sz w:val="21"/>
                <w:szCs w:val="21"/>
                <w:highlight w:val="none"/>
                <w:lang w:val="en-US" w:eastAsia="zh-CN" w:bidi="ar-SA"/>
              </w:rPr>
              <w:t>）进行综合评审：</w:t>
            </w:r>
          </w:p>
          <w:p w14:paraId="02980940">
            <w:pPr>
              <w:pStyle w:val="762"/>
              <w:widowControl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方案完整、合理、针对性强，思路明晰、完全满足本项目采购需求的，计</w:t>
            </w:r>
            <w:r>
              <w:rPr>
                <w:rFonts w:hint="eastAsia" w:ascii="宋体" w:hAnsi="宋体" w:cs="宋体"/>
                <w:color w:val="auto"/>
                <w:kern w:val="2"/>
                <w:sz w:val="21"/>
                <w:szCs w:val="21"/>
                <w:highlight w:val="none"/>
                <w:lang w:val="en-US" w:eastAsia="zh-CN" w:bidi="ar-SA"/>
              </w:rPr>
              <w:t>16</w:t>
            </w:r>
            <w:r>
              <w:rPr>
                <w:rFonts w:hint="eastAsia" w:ascii="宋体" w:hAnsi="宋体" w:eastAsia="宋体" w:cs="宋体"/>
                <w:color w:val="auto"/>
                <w:kern w:val="2"/>
                <w:sz w:val="21"/>
                <w:szCs w:val="21"/>
                <w:highlight w:val="none"/>
                <w:lang w:val="en-US" w:eastAsia="zh-CN" w:bidi="ar-SA"/>
              </w:rPr>
              <w:t>分；</w:t>
            </w:r>
            <w:r>
              <w:rPr>
                <w:rFonts w:hint="eastAsia" w:ascii="宋体" w:hAnsi="宋体" w:eastAsia="宋体" w:cs="宋体"/>
                <w:snapToGrid/>
                <w:color w:val="auto"/>
                <w:kern w:val="0"/>
                <w:sz w:val="21"/>
                <w:szCs w:val="21"/>
                <w:highlight w:val="none"/>
                <w:lang w:val="en-US" w:eastAsia="zh-CN"/>
              </w:rPr>
              <w:t>每缺一项扣</w:t>
            </w:r>
            <w:r>
              <w:rPr>
                <w:rFonts w:hint="eastAsia" w:ascii="宋体" w:hAnsi="宋体" w:cs="宋体"/>
                <w:snapToGrid/>
                <w:color w:val="auto"/>
                <w:kern w:val="0"/>
                <w:sz w:val="21"/>
                <w:szCs w:val="21"/>
                <w:highlight w:val="none"/>
                <w:lang w:val="en-US" w:eastAsia="zh-CN"/>
              </w:rPr>
              <w:t>4</w:t>
            </w:r>
            <w:r>
              <w:rPr>
                <w:rFonts w:hint="eastAsia" w:ascii="宋体" w:hAnsi="宋体" w:eastAsia="宋体" w:cs="宋体"/>
                <w:snapToGrid/>
                <w:color w:val="auto"/>
                <w:kern w:val="0"/>
                <w:sz w:val="21"/>
                <w:szCs w:val="21"/>
                <w:highlight w:val="none"/>
                <w:lang w:val="en-US" w:eastAsia="zh-CN"/>
              </w:rPr>
              <w:t>分，</w:t>
            </w:r>
            <w:r>
              <w:rPr>
                <w:rFonts w:hint="eastAsia" w:ascii="宋体" w:hAnsi="宋体" w:eastAsia="宋体" w:cs="宋体"/>
                <w:color w:val="auto"/>
                <w:kern w:val="2"/>
                <w:sz w:val="21"/>
                <w:szCs w:val="21"/>
                <w:highlight w:val="none"/>
                <w:lang w:val="en-US" w:eastAsia="zh-CN" w:bidi="ar-SA"/>
              </w:rPr>
              <w:t>方案内容不详细或欠合理或针对性欠缺的每处扣2分</w:t>
            </w:r>
            <w:r>
              <w:rPr>
                <w:rFonts w:hint="eastAsia" w:ascii="宋体" w:hAnsi="宋体" w:eastAsia="宋体" w:cs="宋体"/>
                <w:snapToGrid/>
                <w:color w:val="auto"/>
                <w:kern w:val="0"/>
                <w:sz w:val="21"/>
                <w:szCs w:val="21"/>
                <w:highlight w:val="none"/>
                <w:lang w:val="en-US" w:eastAsia="zh-CN"/>
              </w:rPr>
              <w:t>，扣完为止，</w:t>
            </w:r>
            <w:r>
              <w:rPr>
                <w:rFonts w:hint="eastAsia" w:ascii="宋体" w:hAnsi="宋体" w:eastAsia="宋体" w:cs="宋体"/>
                <w:color w:val="auto"/>
                <w:kern w:val="2"/>
                <w:sz w:val="21"/>
                <w:szCs w:val="21"/>
                <w:highlight w:val="none"/>
                <w:lang w:val="en-US" w:eastAsia="zh-CN" w:bidi="ar-SA"/>
              </w:rPr>
              <w:t>未提供方案的不计分。</w:t>
            </w:r>
          </w:p>
          <w:p w14:paraId="4979D426">
            <w:pPr>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1）“完整”指内容覆盖全面，具体细节、需涵盖要点描述清晰；“合理”指方案提出的对策措施是符合项目实际要求、利于项目实施的；（2）方案内容不详细或欠合理或针对性欠缺是指存在项目名称错误、地点区域错误、方案内容矛盾或表述前后不一致、仅有框架或标题、适用的标准（方法）错误、明显复制其他项目内容、方案内容与项目需求不一致或没有关联性、涉及的技术规范标准等与国家标准或行业标准或采购文件要求不一致，相关评审具体实施方案内容与实际实施时存在差异性，计划安排无条理性、方案内容空洞、语义表述不清，存在歧义、逻辑混乱、有错别字，需涵盖的要点不完善或缺失等；（3）缺漏项是指该项内容缺失或未提供具体的实施内容，或者整段内容照搬采购需求、评审办法的内容未做修改。</w:t>
            </w:r>
          </w:p>
        </w:tc>
      </w:tr>
      <w:tr w14:paraId="24B2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0" w:type="dxa"/>
            <w:vMerge w:val="restart"/>
            <w:noWrap w:val="0"/>
            <w:vAlign w:val="center"/>
          </w:tcPr>
          <w:p w14:paraId="473AE76E">
            <w:pPr>
              <w:shd w:val="clear" w:color="auto" w:fill="auto"/>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p w14:paraId="19E04220">
            <w:pPr>
              <w:shd w:val="clear" w:color="auto" w:fill="auto"/>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rPr>
              <w:t>分）</w:t>
            </w:r>
          </w:p>
          <w:p w14:paraId="727EAD0E">
            <w:pPr>
              <w:shd w:val="clear" w:color="auto" w:fill="auto"/>
              <w:jc w:val="center"/>
              <w:rPr>
                <w:rFonts w:hint="eastAsia" w:ascii="宋体" w:hAnsi="宋体" w:eastAsia="宋体" w:cs="宋体"/>
                <w:color w:val="auto"/>
                <w:sz w:val="21"/>
                <w:szCs w:val="21"/>
                <w:highlight w:val="none"/>
              </w:rPr>
            </w:pPr>
          </w:p>
        </w:tc>
        <w:tc>
          <w:tcPr>
            <w:tcW w:w="1244" w:type="dxa"/>
            <w:shd w:val="clear" w:color="auto" w:fill="auto"/>
            <w:noWrap w:val="0"/>
            <w:vAlign w:val="center"/>
          </w:tcPr>
          <w:p w14:paraId="4EE1AD16">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w:t>
            </w:r>
          </w:p>
          <w:p w14:paraId="40EFA415">
            <w:pPr>
              <w:jc w:val="left"/>
              <w:rPr>
                <w:rFonts w:hint="eastAsia" w:ascii="宋体" w:hAnsi="宋体" w:eastAsia="宋体" w:cs="宋体"/>
                <w:color w:val="auto"/>
                <w:kern w:val="2"/>
                <w:sz w:val="21"/>
                <w:szCs w:val="21"/>
                <w:highlight w:val="none"/>
                <w:lang w:val="en-US" w:eastAsia="zh-CN" w:bidi="ar-SA"/>
              </w:rPr>
            </w:pPr>
          </w:p>
        </w:tc>
        <w:tc>
          <w:tcPr>
            <w:tcW w:w="757" w:type="dxa"/>
            <w:shd w:val="clear" w:color="auto" w:fill="auto"/>
            <w:noWrap w:val="0"/>
            <w:vAlign w:val="center"/>
          </w:tcPr>
          <w:p w14:paraId="39B7956C">
            <w:pPr>
              <w:pStyle w:val="762"/>
              <w:widowControl w:val="0"/>
              <w:jc w:val="center"/>
              <w:rPr>
                <w:rFonts w:hint="default"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60</w:t>
            </w:r>
          </w:p>
        </w:tc>
        <w:tc>
          <w:tcPr>
            <w:tcW w:w="7618" w:type="dxa"/>
            <w:shd w:val="clear" w:color="auto" w:fill="auto"/>
            <w:noWrap w:val="0"/>
            <w:vAlign w:val="center"/>
          </w:tcPr>
          <w:p w14:paraId="468D00F3">
            <w:pPr>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根据投标人提供的</w:t>
            </w:r>
            <w:r>
              <w:rPr>
                <w:rFonts w:hint="eastAsia" w:ascii="宋体" w:hAnsi="宋体" w:eastAsia="宋体" w:cs="宋体"/>
                <w:color w:val="auto"/>
                <w:sz w:val="21"/>
                <w:szCs w:val="21"/>
                <w:highlight w:val="none"/>
              </w:rPr>
              <w:t>售后</w:t>
            </w:r>
            <w:r>
              <w:rPr>
                <w:rFonts w:hint="eastAsia" w:ascii="宋体" w:hAnsi="宋体" w:eastAsia="宋体" w:cs="宋体"/>
                <w:color w:val="auto"/>
                <w:sz w:val="21"/>
                <w:szCs w:val="21"/>
                <w:highlight w:val="none"/>
                <w:lang w:val="en-US" w:eastAsia="zh-CN"/>
              </w:rPr>
              <w:t>方案</w:t>
            </w:r>
            <w:r>
              <w:rPr>
                <w:rFonts w:hint="eastAsia" w:ascii="宋体" w:hAnsi="宋体" w:eastAsia="宋体" w:cs="宋体"/>
                <w:color w:val="auto"/>
                <w:kern w:val="2"/>
                <w:sz w:val="21"/>
                <w:szCs w:val="21"/>
                <w:highlight w:val="none"/>
                <w:lang w:val="en-US" w:eastAsia="zh-CN" w:bidi="ar-SA"/>
              </w:rPr>
              <w:t>（包括但不限于</w:t>
            </w: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lang w:val="en-US" w:eastAsia="zh-CN"/>
              </w:rPr>
              <w:t>售后人员技术力量②</w:t>
            </w:r>
            <w:r>
              <w:rPr>
                <w:rFonts w:hint="eastAsia" w:ascii="宋体" w:hAnsi="宋体" w:eastAsia="宋体" w:cs="宋体"/>
                <w:color w:val="auto"/>
                <w:sz w:val="21"/>
                <w:szCs w:val="21"/>
                <w:highlight w:val="none"/>
              </w:rPr>
              <w:t>质量期满后服务措施</w:t>
            </w:r>
            <w:r>
              <w:rPr>
                <w:rFonts w:hint="eastAsia" w:ascii="宋体" w:hAnsi="宋体" w:eastAsia="宋体" w:cs="宋体"/>
                <w:color w:val="auto"/>
                <w:sz w:val="21"/>
                <w:szCs w:val="21"/>
                <w:highlight w:val="none"/>
                <w:lang w:val="en-US" w:eastAsia="zh-CN"/>
              </w:rPr>
              <w:t>③</w:t>
            </w:r>
            <w:r>
              <w:rPr>
                <w:rFonts w:hint="eastAsia" w:ascii="宋体" w:hAnsi="宋体" w:eastAsia="宋体" w:cs="宋体"/>
                <w:color w:val="auto"/>
                <w:sz w:val="21"/>
                <w:szCs w:val="21"/>
                <w:highlight w:val="none"/>
              </w:rPr>
              <w:t>特殊或不预见情况的服务解决方案</w:t>
            </w:r>
            <w:r>
              <w:rPr>
                <w:rFonts w:hint="eastAsia" w:ascii="宋体" w:hAnsi="宋体" w:eastAsia="宋体" w:cs="宋体"/>
                <w:color w:val="auto"/>
                <w:sz w:val="21"/>
                <w:szCs w:val="21"/>
                <w:highlight w:val="none"/>
                <w:lang w:val="en-US" w:eastAsia="zh-CN"/>
              </w:rPr>
              <w:t>④备品备件保障</w:t>
            </w:r>
            <w:r>
              <w:rPr>
                <w:rFonts w:hint="eastAsia" w:ascii="宋体" w:hAnsi="宋体" w:eastAsia="宋体" w:cs="宋体"/>
                <w:color w:val="auto"/>
                <w:kern w:val="2"/>
                <w:sz w:val="21"/>
                <w:szCs w:val="21"/>
                <w:highlight w:val="none"/>
                <w:lang w:val="en-US" w:eastAsia="zh-CN" w:bidi="ar-SA"/>
              </w:rPr>
              <w:t>）进行综合评审：方案完整、合理、针对性强，思路明晰、完全满足本项目采购需求的，计</w:t>
            </w:r>
            <w:r>
              <w:rPr>
                <w:rFonts w:hint="eastAsia" w:ascii="宋体" w:hAnsi="宋体" w:cs="宋体"/>
                <w:color w:val="auto"/>
                <w:kern w:val="2"/>
                <w:sz w:val="21"/>
                <w:szCs w:val="21"/>
                <w:highlight w:val="none"/>
                <w:lang w:val="en-US" w:eastAsia="zh-CN" w:bidi="ar-SA"/>
              </w:rPr>
              <w:t>60</w:t>
            </w:r>
            <w:r>
              <w:rPr>
                <w:rFonts w:hint="eastAsia" w:ascii="宋体" w:hAnsi="宋体" w:eastAsia="宋体" w:cs="宋体"/>
                <w:color w:val="auto"/>
                <w:kern w:val="2"/>
                <w:sz w:val="21"/>
                <w:szCs w:val="21"/>
                <w:highlight w:val="none"/>
                <w:lang w:val="en-US" w:eastAsia="zh-CN" w:bidi="ar-SA"/>
              </w:rPr>
              <w:t>分；</w:t>
            </w:r>
            <w:r>
              <w:rPr>
                <w:rFonts w:hint="eastAsia" w:ascii="宋体" w:hAnsi="宋体" w:eastAsia="宋体" w:cs="宋体"/>
                <w:snapToGrid/>
                <w:color w:val="auto"/>
                <w:kern w:val="0"/>
                <w:sz w:val="21"/>
                <w:szCs w:val="21"/>
                <w:highlight w:val="none"/>
                <w:lang w:val="en-US" w:eastAsia="zh-CN"/>
              </w:rPr>
              <w:t>每缺一项扣</w:t>
            </w:r>
            <w:r>
              <w:rPr>
                <w:rFonts w:hint="eastAsia" w:ascii="宋体" w:hAnsi="宋体" w:cs="宋体"/>
                <w:snapToGrid/>
                <w:color w:val="auto"/>
                <w:kern w:val="0"/>
                <w:sz w:val="21"/>
                <w:szCs w:val="21"/>
                <w:highlight w:val="none"/>
                <w:lang w:val="en-US" w:eastAsia="zh-CN"/>
              </w:rPr>
              <w:t>15</w:t>
            </w:r>
            <w:r>
              <w:rPr>
                <w:rFonts w:hint="eastAsia" w:ascii="宋体" w:hAnsi="宋体" w:eastAsia="宋体" w:cs="宋体"/>
                <w:snapToGrid/>
                <w:color w:val="auto"/>
                <w:kern w:val="0"/>
                <w:sz w:val="21"/>
                <w:szCs w:val="21"/>
                <w:highlight w:val="none"/>
                <w:lang w:val="en-US" w:eastAsia="zh-CN"/>
              </w:rPr>
              <w:t>分，</w:t>
            </w:r>
            <w:r>
              <w:rPr>
                <w:rFonts w:hint="eastAsia" w:ascii="宋体" w:hAnsi="宋体" w:eastAsia="宋体" w:cs="宋体"/>
                <w:color w:val="auto"/>
                <w:kern w:val="2"/>
                <w:sz w:val="21"/>
                <w:szCs w:val="21"/>
                <w:highlight w:val="none"/>
                <w:lang w:val="en-US" w:eastAsia="zh-CN" w:bidi="ar-SA"/>
              </w:rPr>
              <w:t>方案内容不详细或欠合理或针对性欠缺的每处扣</w:t>
            </w: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分</w:t>
            </w:r>
            <w:r>
              <w:rPr>
                <w:rFonts w:hint="eastAsia" w:ascii="宋体" w:hAnsi="宋体" w:eastAsia="宋体" w:cs="宋体"/>
                <w:snapToGrid/>
                <w:color w:val="auto"/>
                <w:kern w:val="0"/>
                <w:sz w:val="21"/>
                <w:szCs w:val="21"/>
                <w:highlight w:val="none"/>
                <w:lang w:val="en-US" w:eastAsia="zh-CN"/>
              </w:rPr>
              <w:t>，扣完为止，</w:t>
            </w:r>
            <w:r>
              <w:rPr>
                <w:rFonts w:hint="eastAsia" w:ascii="宋体" w:hAnsi="宋体" w:eastAsia="宋体" w:cs="宋体"/>
                <w:color w:val="auto"/>
                <w:kern w:val="2"/>
                <w:sz w:val="21"/>
                <w:szCs w:val="21"/>
                <w:highlight w:val="none"/>
                <w:lang w:val="en-US" w:eastAsia="zh-CN" w:bidi="ar-SA"/>
              </w:rPr>
              <w:t>未提供方案的不计分。</w:t>
            </w:r>
          </w:p>
          <w:p w14:paraId="2759AF5C">
            <w:pPr>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1）“完整”指内容覆盖全面，具体细节、需涵盖要点描述清晰；“合理”指方案提出的对策措施是符合项目实际要求、利于项目实施的；（2）方案内容不详细或欠合理或针对性欠缺是指存在项目名称错误、地点区域错误、方案内容矛盾或表述前后不一致、仅有框架或标题、适用的标准（方法）错误、明显复制其他项目内容、方案内容与项目需求不一致或没有关联性、涉及的技术规范标准等与国家标准或行业标准或采购文件要求不一致，相关评审具体实施方案内容与实际实施时存在差异性，计划安排无条理性、方案内容空洞、语义表述不清，存在歧义、逻辑混乱、有错别字，需涵盖的要点不完善或缺失等；（3）缺漏项是指该项内容缺失或未提供具体的实施内容，或者整段内容照搬采购需求、评审办法的内容未做修改。</w:t>
            </w:r>
          </w:p>
        </w:tc>
      </w:tr>
      <w:tr w14:paraId="351C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trPr>
        <w:tc>
          <w:tcPr>
            <w:tcW w:w="1000" w:type="dxa"/>
            <w:vMerge w:val="continue"/>
            <w:noWrap w:val="0"/>
            <w:vAlign w:val="center"/>
          </w:tcPr>
          <w:p w14:paraId="1490D968">
            <w:pPr>
              <w:shd w:val="clear" w:color="auto" w:fill="auto"/>
              <w:jc w:val="center"/>
              <w:rPr>
                <w:rFonts w:hint="eastAsia" w:ascii="宋体" w:hAnsi="宋体" w:eastAsia="宋体" w:cs="宋体"/>
                <w:color w:val="auto"/>
                <w:sz w:val="21"/>
                <w:szCs w:val="21"/>
                <w:highlight w:val="none"/>
              </w:rPr>
            </w:pPr>
          </w:p>
        </w:tc>
        <w:tc>
          <w:tcPr>
            <w:tcW w:w="1244" w:type="dxa"/>
            <w:shd w:val="clear" w:color="auto" w:fill="auto"/>
            <w:noWrap w:val="0"/>
            <w:vAlign w:val="center"/>
          </w:tcPr>
          <w:p w14:paraId="748D1AC1">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240" w:lineRule="auto"/>
              <w:ind w:left="105" w:leftChars="5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类似业绩</w:t>
            </w:r>
          </w:p>
          <w:p w14:paraId="368FB71B">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360" w:lineRule="auto"/>
              <w:ind w:right="0" w:rightChars="0"/>
              <w:jc w:val="center"/>
              <w:textAlignment w:val="auto"/>
              <w:rPr>
                <w:rFonts w:hint="eastAsia" w:ascii="宋体" w:hAnsi="宋体" w:eastAsia="宋体" w:cs="宋体"/>
                <w:color w:val="auto"/>
                <w:kern w:val="2"/>
                <w:sz w:val="21"/>
                <w:szCs w:val="21"/>
                <w:highlight w:val="none"/>
                <w:lang w:val="en-US" w:eastAsia="zh-CN" w:bidi="ar-SA"/>
              </w:rPr>
            </w:pPr>
          </w:p>
        </w:tc>
        <w:tc>
          <w:tcPr>
            <w:tcW w:w="757" w:type="dxa"/>
            <w:shd w:val="clear" w:color="auto" w:fill="auto"/>
            <w:noWrap w:val="0"/>
            <w:vAlign w:val="center"/>
          </w:tcPr>
          <w:p w14:paraId="51402AEF">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360" w:lineRule="auto"/>
              <w:ind w:right="0" w:right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40</w:t>
            </w:r>
          </w:p>
        </w:tc>
        <w:tc>
          <w:tcPr>
            <w:tcW w:w="7618" w:type="dxa"/>
            <w:shd w:val="clear" w:color="auto" w:fill="auto"/>
            <w:noWrap w:val="0"/>
            <w:vAlign w:val="center"/>
          </w:tcPr>
          <w:p w14:paraId="5479B8B9">
            <w:pPr>
              <w:pStyle w:val="743"/>
              <w:spacing w:before="4"/>
              <w:ind w:left="11"/>
              <w:jc w:val="left"/>
              <w:rPr>
                <w:rFonts w:hint="eastAsia" w:ascii="宋体" w:hAnsi="宋体" w:eastAsia="宋体" w:cs="宋体"/>
                <w:color w:val="auto"/>
                <w:kern w:val="2"/>
                <w:sz w:val="21"/>
                <w:szCs w:val="21"/>
                <w:highlight w:val="none"/>
                <w:lang w:val="en-US" w:eastAsia="zh-CN" w:bidi="ar-SA"/>
              </w:rPr>
            </w:pPr>
            <w:bookmarkStart w:id="98" w:name="_GoBack"/>
            <w:r>
              <w:rPr>
                <w:rFonts w:hint="eastAsia" w:ascii="宋体" w:hAnsi="宋体" w:eastAsia="宋体" w:cs="宋体"/>
                <w:color w:val="auto"/>
                <w:kern w:val="2"/>
                <w:sz w:val="21"/>
                <w:szCs w:val="21"/>
                <w:highlight w:val="none"/>
                <w:lang w:val="en-US" w:eastAsia="zh-CN" w:bidi="ar-SA"/>
              </w:rPr>
              <w:t>供应商提供自 2023 年1月1日至投标截止之日，</w:t>
            </w:r>
            <w:r>
              <w:rPr>
                <w:rFonts w:hint="eastAsia" w:ascii="宋体" w:hAnsi="宋体" w:eastAsia="宋体" w:cs="宋体"/>
                <w:snapToGrid/>
                <w:color w:val="auto"/>
                <w:kern w:val="0"/>
                <w:sz w:val="21"/>
                <w:szCs w:val="21"/>
                <w:highlight w:val="none"/>
                <w:lang w:val="en-US" w:eastAsia="zh-CN"/>
              </w:rPr>
              <w:t>每提供一份</w:t>
            </w:r>
            <w:r>
              <w:rPr>
                <w:rFonts w:hint="eastAsia" w:cs="宋体"/>
                <w:color w:val="auto"/>
                <w:sz w:val="21"/>
                <w:szCs w:val="21"/>
                <w:highlight w:val="none"/>
                <w:lang w:val="en-US" w:eastAsia="zh-CN"/>
              </w:rPr>
              <w:t>彩色多普勒超声诊断仪</w:t>
            </w:r>
            <w:r>
              <w:rPr>
                <w:rFonts w:ascii="宋体" w:hAnsi="宋体" w:eastAsia="宋体" w:cs="宋体"/>
                <w:color w:val="auto"/>
                <w:sz w:val="21"/>
                <w:szCs w:val="21"/>
                <w:highlight w:val="none"/>
              </w:rPr>
              <w:t>业绩</w:t>
            </w:r>
            <w:r>
              <w:rPr>
                <w:rFonts w:hint="eastAsia" w:ascii="宋体" w:hAnsi="宋体" w:eastAsia="宋体" w:cs="宋体"/>
                <w:color w:val="auto"/>
                <w:sz w:val="21"/>
                <w:szCs w:val="21"/>
                <w:highlight w:val="none"/>
              </w:rPr>
              <w:t>服务</w:t>
            </w:r>
            <w:r>
              <w:rPr>
                <w:rFonts w:hint="eastAsia" w:ascii="宋体" w:hAnsi="宋体" w:eastAsia="宋体" w:cs="宋体"/>
                <w:snapToGrid/>
                <w:color w:val="auto"/>
                <w:kern w:val="0"/>
                <w:sz w:val="21"/>
                <w:szCs w:val="21"/>
                <w:highlight w:val="none"/>
                <w:lang w:val="en-US" w:eastAsia="zh-CN"/>
              </w:rPr>
              <w:t>合同的计</w:t>
            </w:r>
            <w:r>
              <w:rPr>
                <w:rFonts w:hint="eastAsia" w:cs="宋体"/>
                <w:snapToGrid/>
                <w:color w:val="auto"/>
                <w:kern w:val="0"/>
                <w:sz w:val="21"/>
                <w:szCs w:val="21"/>
                <w:highlight w:val="none"/>
                <w:lang w:val="en-US" w:eastAsia="zh-CN"/>
              </w:rPr>
              <w:t>20</w:t>
            </w:r>
            <w:r>
              <w:rPr>
                <w:rFonts w:hint="eastAsia" w:ascii="宋体" w:hAnsi="宋体" w:eastAsia="宋体" w:cs="宋体"/>
                <w:snapToGrid/>
                <w:color w:val="auto"/>
                <w:kern w:val="0"/>
                <w:sz w:val="21"/>
                <w:szCs w:val="21"/>
                <w:highlight w:val="none"/>
                <w:lang w:val="en-US" w:eastAsia="zh-CN"/>
              </w:rPr>
              <w:t>分，</w:t>
            </w:r>
            <w:r>
              <w:rPr>
                <w:rFonts w:hint="eastAsia" w:ascii="宋体" w:hAnsi="宋体" w:eastAsia="宋体" w:cs="宋体"/>
                <w:color w:val="auto"/>
                <w:kern w:val="2"/>
                <w:sz w:val="21"/>
                <w:szCs w:val="21"/>
                <w:highlight w:val="none"/>
                <w:lang w:val="en-US" w:eastAsia="zh-CN" w:bidi="ar-SA"/>
              </w:rPr>
              <w:t>最高累计计</w:t>
            </w:r>
            <w:r>
              <w:rPr>
                <w:rFonts w:hint="eastAsia" w:cs="宋体"/>
                <w:color w:val="auto"/>
                <w:kern w:val="2"/>
                <w:sz w:val="21"/>
                <w:szCs w:val="21"/>
                <w:highlight w:val="none"/>
                <w:lang w:val="en-US" w:eastAsia="zh-CN" w:bidi="ar-SA"/>
              </w:rPr>
              <w:t>40</w:t>
            </w:r>
            <w:r>
              <w:rPr>
                <w:rFonts w:hint="eastAsia" w:ascii="宋体" w:hAnsi="宋体" w:eastAsia="宋体" w:cs="宋体"/>
                <w:color w:val="auto"/>
                <w:kern w:val="2"/>
                <w:sz w:val="21"/>
                <w:szCs w:val="21"/>
                <w:highlight w:val="none"/>
                <w:lang w:val="en-US" w:eastAsia="zh-CN" w:bidi="ar-SA"/>
              </w:rPr>
              <w:t>分。</w:t>
            </w:r>
            <w:r>
              <w:rPr>
                <w:rFonts w:hint="eastAsia" w:ascii="宋体" w:hAnsi="宋体" w:eastAsia="宋体" w:cs="宋体"/>
                <w:snapToGrid/>
                <w:color w:val="auto"/>
                <w:kern w:val="0"/>
                <w:sz w:val="21"/>
                <w:szCs w:val="21"/>
                <w:highlight w:val="none"/>
                <w:lang w:val="en-US" w:eastAsia="zh-CN"/>
              </w:rPr>
              <w:t>（时间以签订合同时间为准）</w:t>
            </w:r>
          </w:p>
          <w:p w14:paraId="4DB301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w:t>
            </w:r>
          </w:p>
          <w:p w14:paraId="75BA7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ascii="宋体" w:hAnsi="宋体" w:eastAsia="宋体" w:cs="宋体"/>
                <w:color w:val="auto"/>
                <w:sz w:val="21"/>
                <w:szCs w:val="21"/>
                <w:highlight w:val="none"/>
              </w:rPr>
            </w:pPr>
            <w:r>
              <w:rPr>
                <w:rFonts w:hint="eastAsia" w:ascii="宋体" w:hAnsi="宋体" w:cs="宋体"/>
                <w:color w:val="auto"/>
                <w:kern w:val="2"/>
                <w:sz w:val="21"/>
                <w:szCs w:val="21"/>
                <w:highlight w:val="none"/>
                <w:lang w:val="en-US" w:eastAsia="zh-CN" w:bidi="ar-SA"/>
              </w:rPr>
              <w:t>①</w:t>
            </w:r>
            <w:r>
              <w:rPr>
                <w:rFonts w:hint="eastAsia" w:ascii="宋体" w:hAnsi="宋体" w:eastAsia="宋体" w:cs="宋体"/>
                <w:color w:val="auto"/>
                <w:kern w:val="2"/>
                <w:sz w:val="21"/>
                <w:szCs w:val="21"/>
                <w:highlight w:val="none"/>
                <w:lang w:val="en-US" w:eastAsia="zh-CN" w:bidi="ar-SA"/>
              </w:rPr>
              <w:t>提供合同</w:t>
            </w:r>
            <w:r>
              <w:rPr>
                <w:rFonts w:ascii="宋体" w:hAnsi="宋体" w:eastAsia="宋体" w:cs="宋体"/>
                <w:color w:val="auto"/>
                <w:sz w:val="21"/>
                <w:szCs w:val="21"/>
                <w:highlight w:val="none"/>
              </w:rPr>
              <w:t>加盖投标人公章的复印件</w:t>
            </w:r>
            <w:r>
              <w:rPr>
                <w:rFonts w:hint="eastAsia" w:ascii="宋体" w:hAnsi="宋体" w:eastAsia="宋体" w:cs="宋体"/>
                <w:color w:val="auto"/>
                <w:kern w:val="2"/>
                <w:sz w:val="21"/>
                <w:szCs w:val="21"/>
                <w:highlight w:val="none"/>
                <w:lang w:val="en-US" w:eastAsia="zh-CN" w:bidi="ar-SA"/>
              </w:rPr>
              <w:t>，同一业主单位的多份合同按一份有效业绩计算；</w:t>
            </w:r>
            <w:r>
              <w:rPr>
                <w:rFonts w:ascii="宋体" w:hAnsi="宋体" w:eastAsia="宋体" w:cs="宋体"/>
                <w:color w:val="auto"/>
                <w:sz w:val="21"/>
                <w:szCs w:val="21"/>
                <w:highlight w:val="none"/>
              </w:rPr>
              <w:t>（须提供合同关键页复印件加盖公章，含项目名称、服务内容、签订时间，否则不计分）</w:t>
            </w:r>
          </w:p>
          <w:p w14:paraId="0FD146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②业绩要求:投标人可提供投标人自身签订的同类项目业绩合同;投标人为经销企业的，也可提供本项目所投产品生产厂商签订的同类项目业绩合同。所有业绩均须为同类货物销售业绩。制造商业绩仅限本次投标响应产品的生产厂商。</w:t>
            </w:r>
            <w:bookmarkEnd w:id="98"/>
          </w:p>
        </w:tc>
      </w:tr>
    </w:tbl>
    <w:p w14:paraId="2C87931E">
      <w:pPr>
        <w:jc w:val="center"/>
        <w:rPr>
          <w:rFonts w:hint="eastAsia" w:ascii="宋体" w:hAnsi="宋体" w:cs="宋体"/>
          <w:b/>
          <w:bCs/>
          <w:color w:val="auto"/>
          <w:sz w:val="36"/>
          <w:szCs w:val="36"/>
          <w:highlight w:val="none"/>
        </w:rPr>
      </w:pPr>
    </w:p>
    <w:p w14:paraId="3B2373E4">
      <w:pPr>
        <w:adjustRightInd w:val="0"/>
        <w:snapToGrid w:val="0"/>
        <w:spacing w:before="156" w:beforeLines="50"/>
        <w:jc w:val="center"/>
        <w:rPr>
          <w:rFonts w:hint="eastAsia" w:ascii="黑体" w:hAnsi="黑体" w:eastAsia="黑体"/>
          <w:b/>
          <w:color w:val="auto"/>
          <w:sz w:val="28"/>
          <w:szCs w:val="28"/>
          <w:highlight w:val="none"/>
        </w:rPr>
      </w:pPr>
    </w:p>
    <w:p w14:paraId="094F4B0B">
      <w:pPr>
        <w:adjustRightInd w:val="0"/>
        <w:snapToGrid w:val="0"/>
        <w:spacing w:line="240" w:lineRule="auto"/>
        <w:rPr>
          <w:rFonts w:ascii="宋体" w:hAnsi="宋体" w:cs="宋体"/>
          <w:b/>
          <w:bCs/>
          <w:color w:val="auto"/>
          <w:sz w:val="20"/>
          <w:szCs w:val="20"/>
          <w:highlight w:val="none"/>
        </w:rPr>
      </w:pPr>
      <w:r>
        <w:rPr>
          <w:rFonts w:hint="eastAsia" w:ascii="宋体" w:hAnsi="宋体" w:cs="宋体"/>
          <w:b/>
          <w:bCs/>
          <w:color w:val="auto"/>
          <w:sz w:val="20"/>
          <w:szCs w:val="20"/>
          <w:highlight w:val="none"/>
        </w:rPr>
        <w:t>注:</w:t>
      </w:r>
    </w:p>
    <w:p w14:paraId="3050FCA9">
      <w:pPr>
        <w:numPr>
          <w:ilvl w:val="0"/>
          <w:numId w:val="24"/>
        </w:numPr>
        <w:adjustRightInd w:val="0"/>
        <w:snapToGrid w:val="0"/>
        <w:spacing w:line="240" w:lineRule="auto"/>
        <w:rPr>
          <w:rFonts w:ascii="宋体" w:hAnsi="宋体" w:cs="宋体"/>
          <w:b/>
          <w:bCs/>
          <w:color w:val="auto"/>
          <w:sz w:val="20"/>
          <w:szCs w:val="20"/>
          <w:highlight w:val="none"/>
        </w:rPr>
      </w:pPr>
      <w:r>
        <w:rPr>
          <w:rFonts w:hint="eastAsia" w:ascii="宋体" w:hAnsi="宋体" w:cs="宋体"/>
          <w:b/>
          <w:bCs/>
          <w:color w:val="auto"/>
          <w:sz w:val="20"/>
          <w:szCs w:val="20"/>
          <w:highlight w:val="none"/>
        </w:rPr>
        <w:t>上述要求提供的复印件，均须加盖投标单位公章。</w:t>
      </w:r>
    </w:p>
    <w:p w14:paraId="558E7629">
      <w:pPr>
        <w:numPr>
          <w:ilvl w:val="0"/>
          <w:numId w:val="24"/>
        </w:numPr>
        <w:adjustRightInd w:val="0"/>
        <w:snapToGrid w:val="0"/>
        <w:spacing w:line="240" w:lineRule="auto"/>
        <w:rPr>
          <w:rFonts w:hint="eastAsia" w:ascii="宋体" w:hAnsi="宋体" w:cs="宋体"/>
          <w:b/>
          <w:bCs/>
          <w:color w:val="auto"/>
          <w:sz w:val="20"/>
          <w:szCs w:val="20"/>
          <w:highlight w:val="none"/>
        </w:rPr>
      </w:pPr>
      <w:r>
        <w:rPr>
          <w:rFonts w:hint="eastAsia" w:ascii="宋体" w:hAnsi="宋体" w:cs="宋体"/>
          <w:b/>
          <w:bCs/>
          <w:color w:val="auto"/>
          <w:sz w:val="20"/>
          <w:szCs w:val="20"/>
          <w:highlight w:val="none"/>
        </w:rPr>
        <w:t>投标人须对上述提交资料的真实性负责，如存在弄虚作假行为，视为无效投标，并报相关部门进行处理。</w:t>
      </w:r>
    </w:p>
    <w:p w14:paraId="259E2352">
      <w:pPr>
        <w:adjustRightInd w:val="0"/>
        <w:snapToGrid w:val="0"/>
        <w:spacing w:line="240" w:lineRule="auto"/>
        <w:rPr>
          <w:rFonts w:hint="eastAsia" w:ascii="宋体" w:hAnsi="宋体" w:eastAsia="宋体" w:cs="宋体"/>
          <w:color w:val="auto"/>
          <w:sz w:val="30"/>
          <w:szCs w:val="30"/>
          <w:highlight w:val="none"/>
        </w:rPr>
      </w:pPr>
      <w:r>
        <w:rPr>
          <w:rFonts w:hint="eastAsia" w:ascii="宋体" w:hAnsi="宋体" w:cs="宋体"/>
          <w:b/>
          <w:bCs/>
          <w:color w:val="auto"/>
          <w:sz w:val="20"/>
          <w:szCs w:val="20"/>
          <w:highlight w:val="none"/>
        </w:rPr>
        <w:t>3、如证件正处于换证时期，须提供发证单位出具的证明文件</w:t>
      </w:r>
      <w:r>
        <w:rPr>
          <w:rFonts w:hint="eastAsia" w:ascii="宋体" w:hAnsi="宋体" w:eastAsia="宋体" w:cs="宋体"/>
          <w:b/>
          <w:bCs/>
          <w:color w:val="auto"/>
          <w:sz w:val="20"/>
          <w:szCs w:val="20"/>
          <w:highlight w:val="none"/>
        </w:rPr>
        <w:t>原件</w:t>
      </w:r>
      <w:r>
        <w:rPr>
          <w:rFonts w:hint="eastAsia" w:ascii="宋体" w:hAnsi="宋体" w:eastAsia="宋体" w:cs="宋体"/>
          <w:b/>
          <w:bCs/>
          <w:color w:val="auto"/>
          <w:sz w:val="20"/>
          <w:szCs w:val="20"/>
          <w:highlight w:val="none"/>
          <w:lang w:eastAsia="zh-CN"/>
        </w:rPr>
        <w:t>的</w:t>
      </w:r>
      <w:r>
        <w:rPr>
          <w:rFonts w:hint="eastAsia" w:ascii="宋体" w:hAnsi="宋体" w:eastAsia="宋体" w:cs="宋体"/>
          <w:b/>
          <w:bCs/>
          <w:color w:val="auto"/>
          <w:sz w:val="20"/>
          <w:szCs w:val="20"/>
          <w:highlight w:val="none"/>
          <w:lang w:val="en-US" w:eastAsia="zh-CN"/>
        </w:rPr>
        <w:t>复印件并加盖投标单位公章</w:t>
      </w:r>
      <w:r>
        <w:rPr>
          <w:rFonts w:hint="eastAsia" w:ascii="宋体" w:hAnsi="宋体" w:eastAsia="宋体" w:cs="宋体"/>
          <w:b/>
          <w:bCs/>
          <w:color w:val="auto"/>
          <w:sz w:val="20"/>
          <w:szCs w:val="20"/>
          <w:highlight w:val="none"/>
        </w:rPr>
        <w:t>，否则不予以计分。</w:t>
      </w:r>
    </w:p>
    <w:p w14:paraId="284207B0">
      <w:pPr>
        <w:rPr>
          <w:color w:val="auto"/>
          <w:highlight w:val="none"/>
        </w:rPr>
      </w:pPr>
    </w:p>
    <w:p w14:paraId="38841361">
      <w:pPr>
        <w:rPr>
          <w:color w:val="auto"/>
          <w:highlight w:val="none"/>
        </w:rPr>
      </w:pPr>
    </w:p>
    <w:p w14:paraId="0668D9B3">
      <w:pPr>
        <w:keepNext w:val="0"/>
        <w:keepLines w:val="0"/>
        <w:pageBreakBefore w:val="0"/>
        <w:widowControl w:val="0"/>
        <w:tabs>
          <w:tab w:val="left" w:pos="360"/>
          <w:tab w:val="left" w:pos="900"/>
          <w:tab w:val="left" w:pos="1080"/>
          <w:tab w:val="left" w:pos="2014"/>
        </w:tabs>
        <w:kinsoku/>
        <w:wordWrap/>
        <w:overflowPunct/>
        <w:topLinePunct w:val="0"/>
        <w:autoSpaceDE/>
        <w:autoSpaceDN/>
        <w:bidi w:val="0"/>
        <w:adjustRightInd/>
        <w:snapToGrid w:val="0"/>
        <w:spacing w:line="400" w:lineRule="exact"/>
        <w:ind w:left="723" w:leftChars="0" w:right="0" w:rightChars="0" w:hanging="723" w:hangingChars="300"/>
        <w:jc w:val="both"/>
        <w:textAlignment w:val="auto"/>
        <w:outlineLvl w:val="9"/>
        <w:rPr>
          <w:rFonts w:hint="eastAsia" w:ascii="宋体" w:hAnsi="宋体" w:eastAsia="宋体" w:cs="宋体"/>
          <w:b/>
          <w:color w:val="auto"/>
          <w:sz w:val="24"/>
          <w:highlight w:val="none"/>
          <w:lang w:eastAsia="zh-CN"/>
        </w:rPr>
      </w:pPr>
    </w:p>
    <w:p w14:paraId="6105A599">
      <w:pPr>
        <w:bidi w:val="0"/>
        <w:rPr>
          <w:rFonts w:hint="eastAsia" w:ascii="宋体" w:hAnsi="宋体" w:eastAsia="宋体" w:cs="宋体"/>
          <w:color w:val="auto"/>
          <w:highlight w:val="none"/>
          <w:lang w:eastAsia="zh-CN"/>
        </w:rPr>
      </w:pPr>
    </w:p>
    <w:p w14:paraId="09737AAF">
      <w:pPr>
        <w:rPr>
          <w:rFonts w:hint="eastAsia" w:ascii="宋体" w:hAnsi="宋体" w:eastAsia="宋体" w:cs="宋体"/>
          <w:color w:val="auto"/>
          <w:highlight w:val="none"/>
        </w:rPr>
      </w:pPr>
    </w:p>
    <w:p w14:paraId="3541ADC4">
      <w:pPr>
        <w:jc w:val="center"/>
        <w:rPr>
          <w:rFonts w:hint="eastAsia" w:ascii="宋体" w:hAnsi="宋体" w:eastAsia="宋体" w:cs="宋体"/>
          <w:b w:val="0"/>
          <w:bCs w:val="0"/>
          <w:color w:val="auto"/>
          <w:sz w:val="32"/>
          <w:szCs w:val="40"/>
          <w:highlight w:val="none"/>
        </w:rPr>
      </w:pPr>
    </w:p>
    <w:p w14:paraId="76B0BA3D">
      <w:pPr>
        <w:rPr>
          <w:rFonts w:hint="eastAsia" w:ascii="宋体" w:hAnsi="宋体" w:eastAsia="宋体" w:cs="宋体"/>
          <w:b/>
          <w:bCs/>
          <w:color w:val="auto"/>
          <w:sz w:val="32"/>
          <w:szCs w:val="40"/>
          <w:highlight w:val="none"/>
        </w:rPr>
      </w:pPr>
      <w:r>
        <w:rPr>
          <w:rFonts w:hint="eastAsia" w:ascii="宋体" w:hAnsi="宋体" w:eastAsia="宋体" w:cs="宋体"/>
          <w:b/>
          <w:bCs/>
          <w:color w:val="auto"/>
          <w:sz w:val="32"/>
          <w:szCs w:val="40"/>
          <w:highlight w:val="none"/>
        </w:rPr>
        <w:br w:type="page"/>
      </w:r>
    </w:p>
    <w:bookmarkEnd w:id="38"/>
    <w:p w14:paraId="6B7EE868">
      <w:pPr>
        <w:adjustRightInd w:val="0"/>
        <w:snapToGrid w:val="0"/>
        <w:spacing w:line="240" w:lineRule="auto"/>
        <w:rPr>
          <w:rFonts w:hint="eastAsia" w:ascii="宋体" w:hAnsi="宋体" w:eastAsia="宋体" w:cs="宋体"/>
          <w:b/>
          <w:bCs/>
          <w:color w:val="auto"/>
          <w:sz w:val="20"/>
          <w:szCs w:val="20"/>
          <w:highlight w:val="none"/>
        </w:rPr>
      </w:pPr>
    </w:p>
    <w:p w14:paraId="74B1C345">
      <w:pPr>
        <w:spacing w:line="400" w:lineRule="exact"/>
        <w:rPr>
          <w:rFonts w:hint="eastAsia" w:ascii="宋体" w:hAnsi="宋体" w:eastAsia="宋体" w:cs="宋体"/>
          <w:b/>
          <w:color w:val="auto"/>
          <w:szCs w:val="21"/>
          <w:highlight w:val="none"/>
        </w:rPr>
      </w:pPr>
    </w:p>
    <w:p w14:paraId="3FE94347">
      <w:pPr>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w:t>
      </w:r>
    </w:p>
    <w:p w14:paraId="5894CCC6">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1、上述《评标因素和标准》中执行政府采购优惠政策的计算方法详见《磋商须知前附表》。表格中所述“报价”、“投标总价格”、“投标报价”均指投标人的最后报价</w:t>
      </w:r>
      <w:r>
        <w:rPr>
          <w:rFonts w:hint="eastAsia" w:ascii="宋体" w:hAnsi="宋体" w:eastAsia="宋体" w:cs="宋体"/>
          <w:color w:val="auto"/>
          <w:kern w:val="0"/>
          <w:szCs w:val="21"/>
          <w:highlight w:val="none"/>
        </w:rPr>
        <w:t>按采购文件规定的办法进行算术修正及政府采购政策调整后的评标价格。</w:t>
      </w:r>
    </w:p>
    <w:p w14:paraId="05670EA8">
      <w:pPr>
        <w:adjustRightInd w:val="0"/>
        <w:snapToGrid w:val="0"/>
        <w:spacing w:line="40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2、投标人编制响应文件时须依据上述“评标因素和标准”中的内容提供“评审索引表”，注明相应评审内容所在的页码，否则由投标人承担评审过程中可能发生的遗漏风险。</w:t>
      </w:r>
    </w:p>
    <w:p w14:paraId="1CE01050">
      <w:pPr>
        <w:adjustRightInd w:val="0"/>
        <w:snapToGrid w:val="0"/>
        <w:spacing w:line="40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评分标准中涉及要求提供复印（影印）件的，响应文件中须附相关证书和证明文件的复印（影印）件并加盖单位公章，否则相应计分项不予计分。评分标准或资格条件中涉及要求递交原件的，投标人须在投标截止时间前将要求提供的原件单独密封包装（外包装上注明投标人名称和证件明细）与响应文件一起递交，否则相应计分项不予计分。</w:t>
      </w:r>
    </w:p>
    <w:p w14:paraId="36BE053E">
      <w:pPr>
        <w:adjustRightInd w:val="0"/>
        <w:snapToGri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投标人参与政府采购应提供真实有效的证明材料，应当诚信守法、公平竞争。如有以提供虚假材料（包括但不限于虚假技术参数响应、虚假制造商产品彩页、虚假业绩、虚假证书等）、隐瞒失信信息等谋取中标（成交）的行为，一经发现，将报行政监管部门严肃查处。</w:t>
      </w:r>
    </w:p>
    <w:p w14:paraId="46CB9658">
      <w:pPr>
        <w:rPr>
          <w:rFonts w:hint="eastAsia" w:ascii="宋体" w:hAnsi="宋体" w:eastAsia="宋体" w:cs="宋体"/>
          <w:b/>
          <w:color w:val="auto"/>
          <w:sz w:val="32"/>
          <w:szCs w:val="32"/>
          <w:highlight w:val="none"/>
        </w:rPr>
      </w:pPr>
    </w:p>
    <w:p w14:paraId="3F39CCBA">
      <w:pPr>
        <w:rPr>
          <w:rFonts w:hint="eastAsia" w:ascii="宋体" w:hAnsi="宋体" w:eastAsia="宋体" w:cs="宋体"/>
          <w:color w:val="auto"/>
          <w:highlight w:val="none"/>
        </w:rPr>
      </w:pPr>
    </w:p>
    <w:p w14:paraId="37721844">
      <w:pPr>
        <w:rPr>
          <w:rFonts w:hint="eastAsia" w:ascii="宋体" w:hAnsi="宋体" w:eastAsia="宋体" w:cs="宋体"/>
          <w:color w:val="auto"/>
          <w:sz w:val="32"/>
          <w:szCs w:val="40"/>
          <w:highlight w:val="none"/>
        </w:rPr>
      </w:pPr>
      <w:r>
        <w:rPr>
          <w:rFonts w:hint="eastAsia" w:ascii="宋体" w:hAnsi="宋体" w:eastAsia="宋体" w:cs="宋体"/>
          <w:color w:val="auto"/>
          <w:sz w:val="32"/>
          <w:szCs w:val="40"/>
          <w:highlight w:val="none"/>
        </w:rPr>
        <w:br w:type="page"/>
      </w:r>
    </w:p>
    <w:p w14:paraId="7D85F8CF">
      <w:pPr>
        <w:pStyle w:val="3"/>
        <w:bidi w:val="0"/>
        <w:jc w:val="center"/>
        <w:rPr>
          <w:rFonts w:hint="eastAsia" w:ascii="宋体" w:hAnsi="宋体" w:eastAsia="宋体" w:cs="宋体"/>
          <w:color w:val="auto"/>
          <w:sz w:val="32"/>
          <w:szCs w:val="40"/>
          <w:highlight w:val="none"/>
        </w:rPr>
      </w:pPr>
      <w:bookmarkStart w:id="41" w:name="_Toc11498"/>
      <w:r>
        <w:rPr>
          <w:rFonts w:hint="eastAsia" w:ascii="宋体" w:hAnsi="宋体" w:eastAsia="宋体" w:cs="宋体"/>
          <w:color w:val="auto"/>
          <w:sz w:val="32"/>
          <w:szCs w:val="40"/>
          <w:highlight w:val="none"/>
        </w:rPr>
        <w:t>磋商须知正文</w:t>
      </w:r>
      <w:bookmarkEnd w:id="41"/>
    </w:p>
    <w:p w14:paraId="3A47F8AF">
      <w:pPr>
        <w:adjustRightInd w:val="0"/>
        <w:snapToGrid w:val="0"/>
        <w:spacing w:before="120" w:beforeLines="50" w:line="420" w:lineRule="exact"/>
        <w:outlineLvl w:val="1"/>
        <w:rPr>
          <w:rFonts w:hint="eastAsia" w:ascii="宋体" w:hAnsi="宋体" w:eastAsia="宋体" w:cs="宋体"/>
          <w:b/>
          <w:color w:val="auto"/>
          <w:sz w:val="24"/>
          <w:highlight w:val="none"/>
        </w:rPr>
      </w:pPr>
      <w:bookmarkStart w:id="42" w:name="_Toc31260"/>
      <w:r>
        <w:rPr>
          <w:rFonts w:hint="eastAsia" w:ascii="宋体" w:hAnsi="宋体" w:eastAsia="宋体" w:cs="宋体"/>
          <w:b/>
          <w:color w:val="auto"/>
          <w:sz w:val="24"/>
          <w:highlight w:val="none"/>
        </w:rPr>
        <w:t>一、说明</w:t>
      </w:r>
      <w:bookmarkEnd w:id="42"/>
    </w:p>
    <w:p w14:paraId="7D0F62A1">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1.适用范围</w:t>
      </w:r>
    </w:p>
    <w:p w14:paraId="4AAEA620">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 本磋商文件仅适用于磋商须知前附表（以下简称</w:t>
      </w:r>
      <w:r>
        <w:rPr>
          <w:rFonts w:hint="eastAsia" w:ascii="宋体" w:hAnsi="宋体" w:eastAsia="宋体" w:cs="宋体"/>
          <w:b/>
          <w:color w:val="auto"/>
          <w:szCs w:val="21"/>
          <w:highlight w:val="none"/>
        </w:rPr>
        <w:t>磋商须知前附表</w:t>
      </w:r>
      <w:r>
        <w:rPr>
          <w:rFonts w:hint="eastAsia" w:ascii="宋体" w:hAnsi="宋体" w:eastAsia="宋体" w:cs="宋体"/>
          <w:color w:val="auto"/>
          <w:szCs w:val="21"/>
          <w:highlight w:val="none"/>
        </w:rPr>
        <w:t>）中所叙述的采购项目。</w:t>
      </w:r>
    </w:p>
    <w:p w14:paraId="1DBDD161">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2.定义</w:t>
      </w:r>
    </w:p>
    <w:p w14:paraId="1A450109">
      <w:pPr>
        <w:adjustRightInd w:val="0"/>
        <w:snapToGrid w:val="0"/>
        <w:spacing w:line="420" w:lineRule="exact"/>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2.1 “采购人”是指依法进行政府采购的国家机关、事业单位、团体组织。本次政府采购的采购人名称、地址、电话、联系人见</w:t>
      </w:r>
      <w:r>
        <w:rPr>
          <w:rFonts w:hint="eastAsia" w:ascii="宋体" w:hAnsi="宋体" w:eastAsia="宋体" w:cs="宋体"/>
          <w:b/>
          <w:color w:val="auto"/>
          <w:szCs w:val="21"/>
          <w:highlight w:val="none"/>
        </w:rPr>
        <w:t>磋商须知前附表</w:t>
      </w:r>
      <w:r>
        <w:rPr>
          <w:rFonts w:hint="eastAsia" w:ascii="宋体" w:hAnsi="宋体" w:eastAsia="宋体" w:cs="宋体"/>
          <w:color w:val="auto"/>
          <w:szCs w:val="21"/>
          <w:highlight w:val="none"/>
        </w:rPr>
        <w:t>。</w:t>
      </w:r>
    </w:p>
    <w:p w14:paraId="7B839626">
      <w:pPr>
        <w:adjustRightInd w:val="0"/>
        <w:snapToGrid w:val="0"/>
        <w:spacing w:line="420" w:lineRule="exact"/>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color w:val="auto"/>
          <w:szCs w:val="21"/>
          <w:highlight w:val="none"/>
        </w:rPr>
        <w:t>磋商须知前附表。</w:t>
      </w:r>
    </w:p>
    <w:p w14:paraId="61E9A784">
      <w:pPr>
        <w:adjustRightInd w:val="0"/>
        <w:snapToGrid w:val="0"/>
        <w:spacing w:line="420" w:lineRule="exact"/>
        <w:ind w:firstLine="420" w:firstLineChars="200"/>
        <w:rPr>
          <w:rFonts w:hint="eastAsia" w:ascii="宋体" w:hAnsi="宋体" w:eastAsia="宋体" w:cs="宋体"/>
          <w:bCs/>
          <w:color w:val="auto"/>
          <w:kern w:val="36"/>
          <w:szCs w:val="21"/>
          <w:highlight w:val="none"/>
        </w:rPr>
      </w:pPr>
      <w:r>
        <w:rPr>
          <w:rFonts w:hint="eastAsia" w:ascii="宋体" w:hAnsi="宋体" w:eastAsia="宋体" w:cs="宋体"/>
          <w:color w:val="auto"/>
          <w:szCs w:val="21"/>
          <w:highlight w:val="none"/>
        </w:rPr>
        <w:t xml:space="preserve">2.3 </w:t>
      </w:r>
      <w:r>
        <w:rPr>
          <w:rFonts w:hint="eastAsia" w:ascii="宋体" w:hAnsi="宋体" w:eastAsia="宋体" w:cs="宋体"/>
          <w:color w:val="auto"/>
          <w:kern w:val="0"/>
          <w:szCs w:val="21"/>
          <w:highlight w:val="none"/>
        </w:rPr>
        <w:t>“供应商”和“投标人”是指响应磋商文件要求、参加竞争性磋商采购的法人、其他组织或者自然人。本次政府采购项目采用</w:t>
      </w:r>
      <w:r>
        <w:rPr>
          <w:rFonts w:hint="eastAsia" w:ascii="宋体" w:hAnsi="宋体" w:eastAsia="宋体" w:cs="宋体"/>
          <w:b/>
          <w:color w:val="auto"/>
          <w:kern w:val="0"/>
          <w:szCs w:val="21"/>
          <w:highlight w:val="none"/>
        </w:rPr>
        <w:t>磋商须知前附表</w:t>
      </w:r>
      <w:r>
        <w:rPr>
          <w:rFonts w:hint="eastAsia" w:ascii="宋体" w:hAnsi="宋体" w:eastAsia="宋体" w:cs="宋体"/>
          <w:color w:val="auto"/>
          <w:kern w:val="0"/>
          <w:szCs w:val="21"/>
          <w:highlight w:val="none"/>
        </w:rPr>
        <w:t>所述方式，邀请符合资格条件的供应商参与竞争性磋商采购活动。供应商应持</w:t>
      </w:r>
      <w:r>
        <w:rPr>
          <w:rFonts w:hint="eastAsia" w:ascii="宋体" w:hAnsi="宋体" w:eastAsia="宋体" w:cs="宋体"/>
          <w:b/>
          <w:color w:val="auto"/>
          <w:kern w:val="0"/>
          <w:szCs w:val="21"/>
          <w:highlight w:val="none"/>
        </w:rPr>
        <w:t>磋商须知前附表</w:t>
      </w:r>
      <w:r>
        <w:rPr>
          <w:rFonts w:hint="eastAsia" w:ascii="宋体" w:hAnsi="宋体" w:eastAsia="宋体" w:cs="宋体"/>
          <w:color w:val="auto"/>
          <w:kern w:val="0"/>
          <w:szCs w:val="21"/>
          <w:highlight w:val="none"/>
        </w:rPr>
        <w:t>规定的资料购买磋商文件。</w:t>
      </w:r>
    </w:p>
    <w:p w14:paraId="6D186B96">
      <w:pPr>
        <w:adjustRightInd w:val="0"/>
        <w:snapToGrid w:val="0"/>
        <w:spacing w:line="42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2.4 “磋商小组”是指</w:t>
      </w:r>
      <w:r>
        <w:rPr>
          <w:rFonts w:hint="eastAsia" w:ascii="宋体" w:hAnsi="宋体" w:eastAsia="宋体" w:cs="宋体"/>
          <w:color w:val="auto"/>
          <w:kern w:val="0"/>
          <w:szCs w:val="21"/>
          <w:highlight w:val="none"/>
        </w:rPr>
        <w:t>依据财政部</w:t>
      </w:r>
      <w:r>
        <w:rPr>
          <w:rFonts w:hint="eastAsia" w:ascii="宋体" w:hAnsi="宋体" w:eastAsia="宋体" w:cs="宋体"/>
          <w:bCs/>
          <w:color w:val="auto"/>
          <w:kern w:val="36"/>
          <w:szCs w:val="21"/>
          <w:highlight w:val="none"/>
        </w:rPr>
        <w:t>《政府采购竞争性磋商采购方式管理暂行办法》有关规定组建，依法依规</w:t>
      </w:r>
      <w:r>
        <w:rPr>
          <w:rFonts w:hint="eastAsia" w:ascii="宋体" w:hAnsi="宋体" w:eastAsia="宋体" w:cs="宋体"/>
          <w:color w:val="auto"/>
          <w:kern w:val="0"/>
          <w:szCs w:val="21"/>
          <w:highlight w:val="none"/>
        </w:rPr>
        <w:t>履行其职责和义务的机构。</w:t>
      </w:r>
    </w:p>
    <w:p w14:paraId="0590DD7C">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 “货物”是指各种形态和种类的物品，包括原资料、燃料、设备、产品等，详见《政府采购品目分类目录》（</w:t>
      </w:r>
      <w:r>
        <w:rPr>
          <w:rStyle w:val="53"/>
          <w:rFonts w:hint="eastAsia" w:ascii="宋体" w:hAnsi="宋体" w:eastAsia="宋体" w:cs="宋体"/>
          <w:b w:val="0"/>
          <w:color w:val="auto"/>
          <w:szCs w:val="21"/>
          <w:highlight w:val="none"/>
        </w:rPr>
        <w:t>财库[2013]189号</w:t>
      </w:r>
      <w:r>
        <w:rPr>
          <w:rFonts w:hint="eastAsia" w:ascii="宋体" w:hAnsi="宋体" w:eastAsia="宋体" w:cs="宋体"/>
          <w:color w:val="auto"/>
          <w:szCs w:val="21"/>
          <w:highlight w:val="none"/>
        </w:rPr>
        <w:t>）。</w:t>
      </w:r>
    </w:p>
    <w:p w14:paraId="4048C7C9">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 “工程”是指建设工程，包括建筑物和构筑物的新建、改建、扩建、装修、拆除、修缮等，详见《政府采购品目分类目录》（</w:t>
      </w:r>
      <w:r>
        <w:rPr>
          <w:rStyle w:val="53"/>
          <w:rFonts w:hint="eastAsia" w:ascii="宋体" w:hAnsi="宋体" w:eastAsia="宋体" w:cs="宋体"/>
          <w:b w:val="0"/>
          <w:color w:val="auto"/>
          <w:szCs w:val="21"/>
          <w:highlight w:val="none"/>
        </w:rPr>
        <w:t>财库[2013]189号</w:t>
      </w:r>
      <w:r>
        <w:rPr>
          <w:rFonts w:hint="eastAsia" w:ascii="宋体" w:hAnsi="宋体" w:eastAsia="宋体" w:cs="宋体"/>
          <w:color w:val="auto"/>
          <w:szCs w:val="21"/>
          <w:highlight w:val="none"/>
        </w:rPr>
        <w:t>）。</w:t>
      </w:r>
    </w:p>
    <w:p w14:paraId="50223EF8">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 “服务”是指除货物和工程以外的其他政府采购对象，详见《政府采购品目分类目录》（</w:t>
      </w:r>
      <w:r>
        <w:rPr>
          <w:rStyle w:val="53"/>
          <w:rFonts w:hint="eastAsia" w:ascii="宋体" w:hAnsi="宋体" w:eastAsia="宋体" w:cs="宋体"/>
          <w:b w:val="0"/>
          <w:color w:val="auto"/>
          <w:szCs w:val="21"/>
          <w:highlight w:val="none"/>
        </w:rPr>
        <w:t>财库[2013]189号</w:t>
      </w:r>
      <w:r>
        <w:rPr>
          <w:rFonts w:hint="eastAsia" w:ascii="宋体" w:hAnsi="宋体" w:eastAsia="宋体" w:cs="宋体"/>
          <w:color w:val="auto"/>
          <w:szCs w:val="21"/>
          <w:highlight w:val="none"/>
        </w:rPr>
        <w:t>）。</w:t>
      </w:r>
    </w:p>
    <w:p w14:paraId="61E77885">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2.8</w:t>
      </w:r>
      <w:r>
        <w:rPr>
          <w:rFonts w:hint="eastAsia" w:ascii="宋体" w:hAnsi="宋体" w:eastAsia="宋体" w:cs="宋体"/>
          <w:color w:val="auto"/>
          <w:szCs w:val="21"/>
          <w:highlight w:val="none"/>
        </w:rPr>
        <w:t xml:space="preserve"> “节能产品”或者“环保产品”是指财政部发布的《节能产品政府采购清单》或者《环境标志产品政府采购清单》的产品。</w:t>
      </w:r>
    </w:p>
    <w:p w14:paraId="14372672">
      <w:pPr>
        <w:adjustRightInd w:val="0"/>
        <w:snapToGrid w:val="0"/>
        <w:spacing w:line="42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2.9</w:t>
      </w:r>
      <w:r>
        <w:rPr>
          <w:rFonts w:hint="eastAsia" w:ascii="宋体" w:hAnsi="宋体" w:eastAsia="宋体" w:cs="宋体"/>
          <w:color w:val="auto"/>
          <w:kern w:val="0"/>
          <w:szCs w:val="21"/>
          <w:highlight w:val="none"/>
        </w:rPr>
        <w:t xml:space="preserve"> “进口产品”是指通过中国海关报关验放进入中国境内且产自关境外的产品，详见《关于政府采购进口产品管理有关问题的通知》（财库[2007]119号）。</w:t>
      </w:r>
    </w:p>
    <w:p w14:paraId="3894FE73">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3.供应商的资格要求</w:t>
      </w:r>
    </w:p>
    <w:p w14:paraId="3380CE6E">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供应商应当符合</w:t>
      </w:r>
      <w:r>
        <w:rPr>
          <w:rFonts w:hint="eastAsia" w:ascii="宋体" w:hAnsi="宋体" w:eastAsia="宋体" w:cs="宋体"/>
          <w:b/>
          <w:color w:val="auto"/>
          <w:szCs w:val="21"/>
          <w:highlight w:val="none"/>
        </w:rPr>
        <w:t>磋商须知前附表</w:t>
      </w:r>
      <w:r>
        <w:rPr>
          <w:rFonts w:hint="eastAsia" w:ascii="宋体" w:hAnsi="宋体" w:eastAsia="宋体" w:cs="宋体"/>
          <w:color w:val="auto"/>
          <w:szCs w:val="21"/>
          <w:highlight w:val="none"/>
        </w:rPr>
        <w:t>中规定的资格条件要求。</w:t>
      </w:r>
    </w:p>
    <w:p w14:paraId="0D0F4BB7">
      <w:pPr>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3.2 供应商为联合体形式的，除应满足本章第3.1款资格条件要求及第3.3款规定外，还应遵守以下规定： </w:t>
      </w:r>
    </w:p>
    <w:p w14:paraId="6FEEE801">
      <w:pPr>
        <w:adjustRightInd w:val="0"/>
        <w:snapToGrid w:val="0"/>
        <w:spacing w:line="420" w:lineRule="exact"/>
        <w:ind w:firstLine="420" w:firstLineChars="200"/>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（1）联合体各方应按磋商文件提供的格式签订联合体协议书，明确联合体牵头人和各方权利义务（含承担工作及工作量比例）；</w:t>
      </w:r>
    </w:p>
    <w:p w14:paraId="63F1237C">
      <w:pPr>
        <w:adjustRightInd w:val="0"/>
        <w:snapToGrid w:val="0"/>
        <w:spacing w:line="420" w:lineRule="exact"/>
        <w:ind w:firstLine="420" w:firstLineChars="200"/>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（2）联合体中有同类资质的供应商按照联合体分工承担相同工作的，应当按照资质等级较低的供应商确定资质等级；</w:t>
      </w:r>
    </w:p>
    <w:p w14:paraId="1BA5F176">
      <w:pPr>
        <w:adjustRightInd w:val="0"/>
        <w:snapToGrid w:val="0"/>
        <w:spacing w:line="420" w:lineRule="exact"/>
        <w:ind w:firstLine="420" w:firstLineChars="200"/>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（3）以联合体形式参加政府采购活动的，联合体各方不得再单独参加或者与其他供应商另外组成联合体参加同一合同项下的政府采购活动。</w:t>
      </w:r>
    </w:p>
    <w:p w14:paraId="06B80464">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3.3 供应商不得存在下列情形之一：</w:t>
      </w:r>
    </w:p>
    <w:p w14:paraId="27328192">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（l）与采购人、采购代理机构存在</w:t>
      </w:r>
      <w:r>
        <w:rPr>
          <w:rFonts w:hint="eastAsia" w:ascii="宋体" w:hAnsi="宋体" w:eastAsia="宋体" w:cs="宋体"/>
          <w:bCs/>
          <w:color w:val="auto"/>
          <w:szCs w:val="21"/>
          <w:highlight w:val="none"/>
        </w:rPr>
        <w:t>隶属关系或者其他利害关系</w:t>
      </w:r>
      <w:r>
        <w:rPr>
          <w:rFonts w:hint="eastAsia" w:ascii="宋体" w:hAnsi="宋体" w:eastAsia="宋体" w:cs="宋体"/>
          <w:color w:val="auto"/>
          <w:szCs w:val="21"/>
          <w:highlight w:val="none"/>
        </w:rPr>
        <w:t>。</w:t>
      </w:r>
    </w:p>
    <w:p w14:paraId="0438E524">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（2）与其他供应商的法定代表人（或者负责人）为同一人，或者与其他供应商存在控股、关联关系。</w:t>
      </w:r>
    </w:p>
    <w:p w14:paraId="00EB0001">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Cs/>
          <w:color w:val="auto"/>
          <w:szCs w:val="21"/>
          <w:highlight w:val="none"/>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eastAsia="宋体" w:cs="宋体"/>
          <w:color w:val="auto"/>
          <w:szCs w:val="21"/>
          <w:highlight w:val="none"/>
        </w:rPr>
        <w:t>财政部门认定的其他重大违法记录。</w:t>
      </w:r>
    </w:p>
    <w:p w14:paraId="76487AF6">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4.参与磋商的费用 </w:t>
      </w:r>
    </w:p>
    <w:p w14:paraId="35F33EFE">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 无论磋商的结果如何，供应商应自行承担所有与竞争性磋商采购活动有关的全部费用。</w:t>
      </w:r>
    </w:p>
    <w:p w14:paraId="79C53541">
      <w:pPr>
        <w:pStyle w:val="28"/>
        <w:adjustRightInd w:val="0"/>
        <w:snapToGrid w:val="0"/>
        <w:spacing w:line="420" w:lineRule="exact"/>
        <w:rPr>
          <w:rFonts w:hint="eastAsia" w:ascii="宋体" w:hAnsi="宋体" w:eastAsia="宋体" w:cs="宋体"/>
          <w:b/>
          <w:bCs/>
          <w:color w:val="auto"/>
          <w:highlight w:val="none"/>
        </w:rPr>
      </w:pPr>
      <w:r>
        <w:rPr>
          <w:rFonts w:hint="eastAsia" w:ascii="宋体" w:hAnsi="宋体" w:eastAsia="宋体" w:cs="宋体"/>
          <w:b/>
          <w:color w:val="auto"/>
          <w:highlight w:val="none"/>
        </w:rPr>
        <w:t>5．</w:t>
      </w:r>
      <w:r>
        <w:rPr>
          <w:rFonts w:hint="eastAsia" w:ascii="宋体" w:hAnsi="宋体" w:eastAsia="宋体" w:cs="宋体"/>
          <w:b/>
          <w:bCs/>
          <w:color w:val="auto"/>
          <w:highlight w:val="none"/>
        </w:rPr>
        <w:t>授权委托</w:t>
      </w:r>
    </w:p>
    <w:p w14:paraId="08686D98">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5.1供应商代表为供应商法定代表人的，应持有法定代表人身份证明。供应商代表不是供应商法定代表人的，应持有法定代表人授权书，并附法定代表人身份证明。</w:t>
      </w:r>
    </w:p>
    <w:p w14:paraId="2D95E096">
      <w:pPr>
        <w:pStyle w:val="28"/>
        <w:adjustRightInd w:val="0"/>
        <w:snapToGrid w:val="0"/>
        <w:spacing w:line="420" w:lineRule="exact"/>
        <w:rPr>
          <w:rFonts w:hint="eastAsia" w:ascii="宋体" w:hAnsi="宋体" w:eastAsia="宋体" w:cs="宋体"/>
          <w:b/>
          <w:color w:val="auto"/>
          <w:highlight w:val="none"/>
        </w:rPr>
      </w:pPr>
      <w:r>
        <w:rPr>
          <w:rFonts w:hint="eastAsia" w:ascii="宋体" w:hAnsi="宋体" w:eastAsia="宋体" w:cs="宋体"/>
          <w:b/>
          <w:color w:val="auto"/>
          <w:highlight w:val="none"/>
        </w:rPr>
        <w:t>6．联合体形式</w:t>
      </w:r>
    </w:p>
    <w:p w14:paraId="3FF7A9D2">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6.1除</w:t>
      </w:r>
      <w:r>
        <w:rPr>
          <w:rFonts w:hint="eastAsia" w:ascii="宋体" w:hAnsi="宋体" w:eastAsia="宋体" w:cs="宋体"/>
          <w:b/>
          <w:color w:val="auto"/>
          <w:highlight w:val="none"/>
        </w:rPr>
        <w:t>磋商须知前附表</w:t>
      </w:r>
      <w:r>
        <w:rPr>
          <w:rFonts w:hint="eastAsia" w:ascii="宋体" w:hAnsi="宋体" w:eastAsia="宋体" w:cs="宋体"/>
          <w:color w:val="auto"/>
          <w:highlight w:val="none"/>
        </w:rPr>
        <w:t>中另有规定，本次磋商采购不接受为联合体形式的供应商。</w:t>
      </w:r>
    </w:p>
    <w:p w14:paraId="316F3960">
      <w:pPr>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6.2供应商为联合体形式的，除应符合本章第3条规定外，还应遵守以下规定：</w:t>
      </w:r>
    </w:p>
    <w:p w14:paraId="4703926D">
      <w:pPr>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（l）联合体各方必须签订联合体协议书，明确联合体牵头人和各方的义务、工作、合同工作量比例；</w:t>
      </w:r>
    </w:p>
    <w:p w14:paraId="45ECCDC9">
      <w:pPr>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（2）联合体各方均应当符合本章第3.1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规定的供应商基本资格条件；</w:t>
      </w:r>
    </w:p>
    <w:p w14:paraId="52257A66">
      <w:pPr>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（3）除</w:t>
      </w:r>
      <w:r>
        <w:rPr>
          <w:rFonts w:hint="eastAsia" w:ascii="宋体" w:hAnsi="宋体" w:eastAsia="宋体" w:cs="宋体"/>
          <w:b/>
          <w:color w:val="auto"/>
          <w:szCs w:val="21"/>
          <w:highlight w:val="none"/>
        </w:rPr>
        <w:t>磋商须知前附表</w:t>
      </w:r>
      <w:r>
        <w:rPr>
          <w:rFonts w:hint="eastAsia" w:ascii="宋体" w:hAnsi="宋体" w:eastAsia="宋体" w:cs="宋体"/>
          <w:color w:val="auto"/>
          <w:szCs w:val="21"/>
          <w:highlight w:val="none"/>
        </w:rPr>
        <w:t>中另有规定，联合体各方中至少有一方应当符合本章第3.1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规定的供应商特定资格条件；</w:t>
      </w:r>
    </w:p>
    <w:p w14:paraId="29DA13EE">
      <w:pPr>
        <w:adjustRightInd w:val="0"/>
        <w:snapToGrid w:val="0"/>
        <w:spacing w:line="420" w:lineRule="exact"/>
        <w:ind w:firstLine="420" w:firstLineChars="200"/>
        <w:jc w:val="left"/>
        <w:rPr>
          <w:rFonts w:hint="eastAsia" w:ascii="宋体" w:hAnsi="宋体" w:eastAsia="宋体" w:cs="宋体"/>
          <w:color w:val="auto"/>
          <w:kern w:val="0"/>
          <w:szCs w:val="21"/>
          <w:highlight w:val="none"/>
          <w:lang w:val="zh-CN"/>
        </w:rPr>
      </w:pPr>
      <w:r>
        <w:rPr>
          <w:rFonts w:hint="eastAsia" w:ascii="宋体" w:hAnsi="宋体" w:eastAsia="宋体" w:cs="宋体"/>
          <w:color w:val="auto"/>
          <w:szCs w:val="21"/>
          <w:highlight w:val="none"/>
        </w:rPr>
        <w:t>（4）</w:t>
      </w:r>
      <w:r>
        <w:rPr>
          <w:rFonts w:hint="eastAsia" w:ascii="宋体" w:hAnsi="宋体" w:eastAsia="宋体" w:cs="宋体"/>
          <w:color w:val="auto"/>
          <w:kern w:val="0"/>
          <w:szCs w:val="21"/>
          <w:highlight w:val="none"/>
          <w:lang w:val="zh-CN"/>
        </w:rPr>
        <w:t>联合体各方不得再单独或与其他供应商组成新的联合体参加同一项目的采购活动。</w:t>
      </w:r>
    </w:p>
    <w:p w14:paraId="441E1AD0">
      <w:pPr>
        <w:adjustRightInd w:val="0"/>
        <w:snapToGrid w:val="0"/>
        <w:spacing w:line="42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7.现场勘察</w:t>
      </w:r>
    </w:p>
    <w:p w14:paraId="32CC6E61">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7.1供应商应按</w:t>
      </w:r>
      <w:r>
        <w:rPr>
          <w:rFonts w:hint="eastAsia" w:ascii="宋体" w:hAnsi="宋体" w:eastAsia="宋体" w:cs="宋体"/>
          <w:b/>
          <w:color w:val="auto"/>
          <w:szCs w:val="21"/>
          <w:highlight w:val="none"/>
        </w:rPr>
        <w:t>磋商须知前附表</w:t>
      </w:r>
      <w:r>
        <w:rPr>
          <w:rFonts w:hint="eastAsia" w:ascii="宋体" w:hAnsi="宋体" w:eastAsia="宋体" w:cs="宋体"/>
          <w:color w:val="auto"/>
          <w:szCs w:val="21"/>
          <w:highlight w:val="none"/>
        </w:rPr>
        <w:t>中规定对采购项目现场和周围环境的现场考察。</w:t>
      </w:r>
    </w:p>
    <w:p w14:paraId="36092AA0">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7.2勘察现场的费用由供应商自己承担，勘察期间所发生的人身伤害及财产损失由供应商自己负责。</w:t>
      </w:r>
    </w:p>
    <w:p w14:paraId="6FA9AE8E">
      <w:pPr>
        <w:adjustRightInd w:val="0"/>
        <w:snapToGrid w:val="0"/>
        <w:spacing w:line="420" w:lineRule="exact"/>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7.3采购人不对供应商据此而做出的推论、理解和结论负责。一旦成交，供应商不得以任何借口，提出额外补偿，或延长合同期限的要求。</w:t>
      </w:r>
    </w:p>
    <w:p w14:paraId="15573E2F">
      <w:pPr>
        <w:adjustRightInd w:val="0"/>
        <w:snapToGrid w:val="0"/>
        <w:spacing w:line="42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8.采购进口产品</w:t>
      </w:r>
    </w:p>
    <w:p w14:paraId="173E5F06">
      <w:pPr>
        <w:adjustRightInd w:val="0"/>
        <w:snapToGri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8.1除</w:t>
      </w:r>
      <w:r>
        <w:rPr>
          <w:rFonts w:hint="eastAsia" w:ascii="宋体" w:hAnsi="宋体" w:eastAsia="宋体" w:cs="宋体"/>
          <w:b/>
          <w:color w:val="auto"/>
          <w:szCs w:val="21"/>
          <w:highlight w:val="none"/>
        </w:rPr>
        <w:t>磋商须知前附表</w:t>
      </w:r>
      <w:r>
        <w:rPr>
          <w:rFonts w:hint="eastAsia" w:ascii="宋体" w:hAnsi="宋体" w:eastAsia="宋体" w:cs="宋体"/>
          <w:color w:val="auto"/>
          <w:szCs w:val="21"/>
          <w:highlight w:val="none"/>
        </w:rPr>
        <w:t>另有规定外，本项目</w:t>
      </w:r>
      <w:r>
        <w:rPr>
          <w:rFonts w:hint="eastAsia" w:ascii="宋体" w:hAnsi="宋体" w:eastAsia="宋体" w:cs="宋体"/>
          <w:color w:val="auto"/>
          <w:kern w:val="0"/>
          <w:szCs w:val="21"/>
          <w:highlight w:val="none"/>
        </w:rPr>
        <w:t>拒绝进口产品参加</w:t>
      </w:r>
      <w:r>
        <w:rPr>
          <w:rFonts w:hint="eastAsia" w:ascii="宋体" w:hAnsi="宋体" w:eastAsia="宋体" w:cs="宋体"/>
          <w:color w:val="auto"/>
          <w:szCs w:val="21"/>
          <w:highlight w:val="none"/>
        </w:rPr>
        <w:t>竞争性磋商采购活动</w:t>
      </w:r>
      <w:r>
        <w:rPr>
          <w:rFonts w:hint="eastAsia" w:ascii="宋体" w:hAnsi="宋体" w:eastAsia="宋体" w:cs="宋体"/>
          <w:color w:val="auto"/>
          <w:kern w:val="0"/>
          <w:szCs w:val="21"/>
          <w:highlight w:val="none"/>
        </w:rPr>
        <w:t>。</w:t>
      </w:r>
    </w:p>
    <w:p w14:paraId="7D68624B">
      <w:pPr>
        <w:adjustRightInd w:val="0"/>
        <w:snapToGri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8.2</w:t>
      </w:r>
      <w:r>
        <w:rPr>
          <w:rFonts w:hint="eastAsia" w:ascii="宋体" w:hAnsi="宋体" w:eastAsia="宋体" w:cs="宋体"/>
          <w:color w:val="auto"/>
          <w:szCs w:val="21"/>
          <w:highlight w:val="none"/>
        </w:rPr>
        <w:t>本章第8.1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规定</w:t>
      </w:r>
      <w:r>
        <w:rPr>
          <w:rFonts w:hint="eastAsia" w:ascii="宋体" w:hAnsi="宋体" w:eastAsia="宋体" w:cs="宋体"/>
          <w:color w:val="auto"/>
          <w:kern w:val="0"/>
          <w:szCs w:val="21"/>
          <w:highlight w:val="none"/>
        </w:rPr>
        <w:t>同意购买进口产品的，</w:t>
      </w:r>
      <w:r>
        <w:rPr>
          <w:rFonts w:hint="eastAsia" w:ascii="宋体" w:hAnsi="宋体" w:eastAsia="宋体" w:cs="宋体"/>
          <w:color w:val="auto"/>
          <w:szCs w:val="21"/>
          <w:highlight w:val="none"/>
        </w:rPr>
        <w:t>本项目</w:t>
      </w:r>
      <w:r>
        <w:rPr>
          <w:rFonts w:hint="eastAsia" w:ascii="宋体" w:hAnsi="宋体" w:eastAsia="宋体" w:cs="宋体"/>
          <w:color w:val="auto"/>
          <w:kern w:val="0"/>
          <w:szCs w:val="21"/>
          <w:highlight w:val="none"/>
          <w:lang w:val="zh-CN"/>
        </w:rPr>
        <w:t>采购活动</w:t>
      </w:r>
      <w:r>
        <w:rPr>
          <w:rFonts w:hint="eastAsia" w:ascii="宋体" w:hAnsi="宋体" w:eastAsia="宋体" w:cs="宋体"/>
          <w:color w:val="auto"/>
          <w:kern w:val="0"/>
          <w:szCs w:val="21"/>
          <w:highlight w:val="none"/>
        </w:rPr>
        <w:t>不限制满足</w:t>
      </w:r>
      <w:r>
        <w:rPr>
          <w:rFonts w:hint="eastAsia" w:ascii="宋体" w:hAnsi="宋体" w:eastAsia="宋体" w:cs="宋体"/>
          <w:color w:val="auto"/>
          <w:szCs w:val="21"/>
          <w:highlight w:val="none"/>
        </w:rPr>
        <w:t>磋商文件要求</w:t>
      </w:r>
      <w:r>
        <w:rPr>
          <w:rFonts w:hint="eastAsia" w:ascii="宋体" w:hAnsi="宋体" w:eastAsia="宋体" w:cs="宋体"/>
          <w:color w:val="auto"/>
          <w:kern w:val="0"/>
          <w:szCs w:val="21"/>
          <w:highlight w:val="none"/>
        </w:rPr>
        <w:t>的国内产品参与</w:t>
      </w:r>
      <w:r>
        <w:rPr>
          <w:rFonts w:hint="eastAsia" w:ascii="宋体" w:hAnsi="宋体" w:eastAsia="宋体" w:cs="宋体"/>
          <w:color w:val="auto"/>
          <w:szCs w:val="21"/>
          <w:highlight w:val="none"/>
        </w:rPr>
        <w:t>竞争性磋商</w:t>
      </w:r>
      <w:r>
        <w:rPr>
          <w:rFonts w:hint="eastAsia" w:ascii="宋体" w:hAnsi="宋体" w:eastAsia="宋体" w:cs="宋体"/>
          <w:color w:val="auto"/>
          <w:kern w:val="0"/>
          <w:szCs w:val="21"/>
          <w:highlight w:val="none"/>
        </w:rPr>
        <w:t>。</w:t>
      </w:r>
    </w:p>
    <w:p w14:paraId="57E97E4E">
      <w:pPr>
        <w:adjustRightInd w:val="0"/>
        <w:snapToGrid w:val="0"/>
        <w:spacing w:line="420" w:lineRule="exact"/>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9.</w:t>
      </w:r>
      <w:r>
        <w:rPr>
          <w:rFonts w:hint="eastAsia" w:ascii="宋体" w:hAnsi="宋体" w:eastAsia="宋体" w:cs="宋体"/>
          <w:b/>
          <w:color w:val="auto"/>
          <w:szCs w:val="21"/>
          <w:highlight w:val="none"/>
        </w:rPr>
        <w:t>政府采购政策支持</w:t>
      </w:r>
    </w:p>
    <w:p w14:paraId="709680A1">
      <w:pPr>
        <w:adjustRightInd w:val="0"/>
        <w:snapToGrid w:val="0"/>
        <w:spacing w:line="42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9.1　对列入</w:t>
      </w:r>
      <w:r>
        <w:rPr>
          <w:rFonts w:hint="eastAsia" w:ascii="宋体" w:hAnsi="宋体" w:eastAsia="宋体" w:cs="宋体"/>
          <w:color w:val="auto"/>
          <w:kern w:val="0"/>
          <w:szCs w:val="21"/>
          <w:highlight w:val="none"/>
        </w:rPr>
        <w:t>《节能产品政府采购品目清单》</w:t>
      </w:r>
      <w:r>
        <w:rPr>
          <w:rFonts w:hint="eastAsia" w:ascii="宋体" w:hAnsi="宋体" w:eastAsia="宋体" w:cs="宋体"/>
          <w:color w:val="auto"/>
          <w:highlight w:val="none"/>
        </w:rPr>
        <w:t>，并以“★”标注的产品实行强制采购。本项目的详细要求见</w:t>
      </w:r>
      <w:r>
        <w:rPr>
          <w:rFonts w:hint="eastAsia" w:ascii="宋体" w:hAnsi="宋体" w:eastAsia="宋体" w:cs="宋体"/>
          <w:b/>
          <w:bCs/>
          <w:color w:val="auto"/>
          <w:highlight w:val="none"/>
        </w:rPr>
        <w:t>磋商须知前附表</w:t>
      </w:r>
      <w:r>
        <w:rPr>
          <w:rFonts w:hint="eastAsia" w:ascii="宋体" w:hAnsi="宋体" w:eastAsia="宋体" w:cs="宋体"/>
          <w:color w:val="auto"/>
          <w:highlight w:val="none"/>
        </w:rPr>
        <w:t>。</w:t>
      </w:r>
    </w:p>
    <w:p w14:paraId="19D148D2">
      <w:pPr>
        <w:adjustRightInd w:val="0"/>
        <w:snapToGrid w:val="0"/>
        <w:spacing w:line="42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9.2　对列入</w:t>
      </w:r>
      <w:r>
        <w:rPr>
          <w:rFonts w:hint="eastAsia" w:ascii="宋体" w:hAnsi="宋体" w:eastAsia="宋体" w:cs="宋体"/>
          <w:color w:val="auto"/>
          <w:kern w:val="0"/>
          <w:szCs w:val="21"/>
          <w:highlight w:val="none"/>
        </w:rPr>
        <w:t>《节能产品政府采购品目清单》</w:t>
      </w:r>
      <w:r>
        <w:rPr>
          <w:rFonts w:hint="eastAsia" w:ascii="宋体" w:hAnsi="宋体" w:eastAsia="宋体" w:cs="宋体"/>
          <w:color w:val="auto"/>
          <w:highlight w:val="none"/>
        </w:rPr>
        <w:t>（非强制类）、《环境标志产品政府采购品目清单》，依据国家确定的认证机构出具的、处于有效期之内的节能产品认证证书、环境标志产品认证证书，实施优先采购，分别予以相应的加分或价格扣除；对列入《湖南省两型产品政府采购目录（</w:t>
      </w:r>
      <w:r>
        <w:rPr>
          <w:rFonts w:hint="eastAsia" w:ascii="宋体" w:hAnsi="宋体" w:eastAsia="宋体" w:cs="宋体"/>
          <w:b/>
          <w:bCs/>
          <w:color w:val="auto"/>
          <w:highlight w:val="none"/>
        </w:rPr>
        <w:t>最新一批</w:t>
      </w:r>
      <w:r>
        <w:rPr>
          <w:rFonts w:hint="eastAsia" w:ascii="宋体" w:hAnsi="宋体" w:eastAsia="宋体" w:cs="宋体"/>
          <w:color w:val="auto"/>
          <w:highlight w:val="none"/>
        </w:rPr>
        <w:t>）》的产品，提供文件首页和投标产品所在页（截图），实施优先采购，分别予以相应的加分或价格扣除；投标产品取得两个及以上优先采购产品认证的，评审时只有其中一项产品能享受优先采购优惠（投标人自行选择，并在响应文件中并填报相关信息及数据）。本项目的详细要求见</w:t>
      </w:r>
      <w:r>
        <w:rPr>
          <w:rFonts w:hint="eastAsia" w:ascii="宋体" w:hAnsi="宋体" w:eastAsia="宋体" w:cs="宋体"/>
          <w:b/>
          <w:bCs/>
          <w:color w:val="auto"/>
          <w:highlight w:val="none"/>
        </w:rPr>
        <w:t>磋商须知前附表</w:t>
      </w:r>
      <w:r>
        <w:rPr>
          <w:rFonts w:hint="eastAsia" w:ascii="宋体" w:hAnsi="宋体" w:eastAsia="宋体" w:cs="宋体"/>
          <w:color w:val="auto"/>
          <w:highlight w:val="none"/>
        </w:rPr>
        <w:t>。</w:t>
      </w:r>
    </w:p>
    <w:p w14:paraId="2F687C4F">
      <w:pPr>
        <w:adjustRightInd w:val="0"/>
        <w:snapToGrid w:val="0"/>
        <w:spacing w:line="42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9.3　供应商</w:t>
      </w:r>
      <w:r>
        <w:rPr>
          <w:rFonts w:hint="eastAsia" w:ascii="宋体" w:hAnsi="宋体" w:eastAsia="宋体" w:cs="宋体"/>
          <w:color w:val="auto"/>
          <w:kern w:val="0"/>
          <w:szCs w:val="21"/>
          <w:highlight w:val="none"/>
        </w:rPr>
        <w:t>享受</w:t>
      </w:r>
      <w:r>
        <w:rPr>
          <w:rFonts w:hint="eastAsia" w:ascii="宋体" w:hAnsi="宋体" w:eastAsia="宋体" w:cs="宋体"/>
          <w:color w:val="auto"/>
          <w:highlight w:val="none"/>
        </w:rPr>
        <w:t>支持中小企业发展政策优惠的，可用扣除后的最后报价参与价格比较。本项目价格扣除比例及相关要求见</w:t>
      </w:r>
      <w:r>
        <w:rPr>
          <w:rFonts w:hint="eastAsia" w:ascii="宋体" w:hAnsi="宋体" w:eastAsia="宋体" w:cs="宋体"/>
          <w:b/>
          <w:bCs/>
          <w:color w:val="auto"/>
          <w:highlight w:val="none"/>
        </w:rPr>
        <w:t>磋商须知前附表</w:t>
      </w:r>
      <w:r>
        <w:rPr>
          <w:rFonts w:hint="eastAsia" w:ascii="宋体" w:hAnsi="宋体" w:eastAsia="宋体" w:cs="宋体"/>
          <w:color w:val="auto"/>
          <w:highlight w:val="none"/>
        </w:rPr>
        <w:t>。</w:t>
      </w:r>
    </w:p>
    <w:p w14:paraId="33722A03">
      <w:pPr>
        <w:adjustRightInd w:val="0"/>
        <w:snapToGrid w:val="0"/>
        <w:spacing w:line="42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9.4　监狱</w:t>
      </w:r>
      <w:r>
        <w:rPr>
          <w:rFonts w:hint="eastAsia" w:ascii="宋体" w:hAnsi="宋体" w:eastAsia="宋体" w:cs="宋体"/>
          <w:color w:val="auto"/>
          <w:kern w:val="0"/>
          <w:szCs w:val="21"/>
          <w:highlight w:val="none"/>
        </w:rPr>
        <w:t>企业</w:t>
      </w:r>
      <w:r>
        <w:rPr>
          <w:rFonts w:hint="eastAsia" w:ascii="宋体" w:hAnsi="宋体" w:eastAsia="宋体" w:cs="宋体"/>
          <w:color w:val="auto"/>
          <w:highlight w:val="none"/>
        </w:rPr>
        <w:t>视同小型、微型企业，享受促进中小企业发展政策优惠，可用扣除后的最后报价参与价格比较。本项目价格扣除比例及相关要求见</w:t>
      </w:r>
      <w:r>
        <w:rPr>
          <w:rFonts w:hint="eastAsia" w:ascii="宋体" w:hAnsi="宋体" w:eastAsia="宋体" w:cs="宋体"/>
          <w:b/>
          <w:bCs/>
          <w:color w:val="auto"/>
          <w:highlight w:val="none"/>
        </w:rPr>
        <w:t>磋商须知前附表</w:t>
      </w:r>
      <w:r>
        <w:rPr>
          <w:rFonts w:hint="eastAsia" w:ascii="宋体" w:hAnsi="宋体" w:eastAsia="宋体" w:cs="宋体"/>
          <w:color w:val="auto"/>
          <w:highlight w:val="none"/>
        </w:rPr>
        <w:t>。</w:t>
      </w:r>
    </w:p>
    <w:p w14:paraId="12DF403E">
      <w:pPr>
        <w:adjustRightInd w:val="0"/>
        <w:snapToGrid w:val="0"/>
        <w:spacing w:line="42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9.5　</w:t>
      </w:r>
      <w:r>
        <w:rPr>
          <w:rFonts w:hint="eastAsia" w:ascii="宋体" w:hAnsi="宋体" w:eastAsia="宋体" w:cs="宋体"/>
          <w:color w:val="auto"/>
          <w:kern w:val="0"/>
          <w:szCs w:val="21"/>
          <w:highlight w:val="none"/>
        </w:rPr>
        <w:t>残疾人</w:t>
      </w:r>
      <w:r>
        <w:rPr>
          <w:rFonts w:hint="eastAsia" w:ascii="宋体" w:hAnsi="宋体" w:eastAsia="宋体" w:cs="宋体"/>
          <w:color w:val="auto"/>
          <w:highlight w:val="none"/>
        </w:rPr>
        <w:t>福利性单位视同小型、微型企业，享受促进中小企业发展政策优惠，可用扣除后的最后报价参与价格比较。本项目价格扣除比例及相关要求见</w:t>
      </w:r>
      <w:r>
        <w:rPr>
          <w:rFonts w:hint="eastAsia" w:ascii="宋体" w:hAnsi="宋体" w:eastAsia="宋体" w:cs="宋体"/>
          <w:b/>
          <w:bCs/>
          <w:color w:val="auto"/>
          <w:highlight w:val="none"/>
        </w:rPr>
        <w:t>磋商须知前附表</w:t>
      </w:r>
      <w:r>
        <w:rPr>
          <w:rFonts w:hint="eastAsia" w:ascii="宋体" w:hAnsi="宋体" w:eastAsia="宋体" w:cs="宋体"/>
          <w:color w:val="auto"/>
          <w:highlight w:val="none"/>
        </w:rPr>
        <w:t>。</w:t>
      </w:r>
    </w:p>
    <w:p w14:paraId="08294E93">
      <w:pPr>
        <w:adjustRightInd w:val="0"/>
        <w:snapToGrid w:val="0"/>
        <w:spacing w:line="42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9.6　其他法律法规强制性规定。本项目的详细要求见</w:t>
      </w:r>
      <w:r>
        <w:rPr>
          <w:rFonts w:hint="eastAsia" w:ascii="宋体" w:hAnsi="宋体" w:eastAsia="宋体" w:cs="宋体"/>
          <w:b/>
          <w:bCs/>
          <w:color w:val="auto"/>
          <w:highlight w:val="none"/>
        </w:rPr>
        <w:t>磋商须知前附表</w:t>
      </w:r>
      <w:r>
        <w:rPr>
          <w:rFonts w:hint="eastAsia" w:ascii="宋体" w:hAnsi="宋体" w:eastAsia="宋体" w:cs="宋体"/>
          <w:color w:val="auto"/>
          <w:highlight w:val="none"/>
        </w:rPr>
        <w:t>。</w:t>
      </w:r>
    </w:p>
    <w:p w14:paraId="0EB6C08D">
      <w:pPr>
        <w:adjustRightInd w:val="0"/>
        <w:snapToGrid w:val="0"/>
        <w:spacing w:before="120" w:beforeLines="50" w:line="420" w:lineRule="exact"/>
        <w:outlineLvl w:val="1"/>
        <w:rPr>
          <w:rFonts w:hint="eastAsia" w:ascii="宋体" w:hAnsi="宋体" w:eastAsia="宋体" w:cs="宋体"/>
          <w:b/>
          <w:color w:val="auto"/>
          <w:sz w:val="24"/>
          <w:highlight w:val="none"/>
        </w:rPr>
      </w:pPr>
      <w:bookmarkStart w:id="43" w:name="_Toc27625"/>
      <w:r>
        <w:rPr>
          <w:rFonts w:hint="eastAsia" w:ascii="宋体" w:hAnsi="宋体" w:eastAsia="宋体" w:cs="宋体"/>
          <w:b/>
          <w:color w:val="auto"/>
          <w:sz w:val="24"/>
          <w:highlight w:val="none"/>
        </w:rPr>
        <w:t>二、磋商文件</w:t>
      </w:r>
      <w:bookmarkEnd w:id="43"/>
    </w:p>
    <w:p w14:paraId="53B3639A">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10．磋商文件的组成</w:t>
      </w:r>
    </w:p>
    <w:p w14:paraId="6F3B8FDD">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10.1 磋商文件由下列文件组成：</w:t>
      </w:r>
    </w:p>
    <w:p w14:paraId="7BF3A6C5">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第一章 磋商邀请</w:t>
      </w:r>
    </w:p>
    <w:p w14:paraId="092FB038">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第二章 磋商须知</w:t>
      </w:r>
    </w:p>
    <w:p w14:paraId="3F28C158">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第三章 合同</w:t>
      </w:r>
      <w:r>
        <w:rPr>
          <w:rFonts w:hint="eastAsia" w:ascii="宋体" w:hAnsi="宋体" w:eastAsia="宋体" w:cs="宋体"/>
          <w:color w:val="auto"/>
          <w:highlight w:val="none"/>
          <w:lang w:val="en-US" w:eastAsia="zh-CN"/>
        </w:rPr>
        <w:t>草案</w:t>
      </w:r>
      <w:r>
        <w:rPr>
          <w:rFonts w:hint="eastAsia" w:ascii="宋体" w:hAnsi="宋体" w:eastAsia="宋体" w:cs="宋体"/>
          <w:color w:val="auto"/>
          <w:highlight w:val="none"/>
        </w:rPr>
        <w:t>条款</w:t>
      </w:r>
    </w:p>
    <w:p w14:paraId="6F71120E">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第四章 采购需求</w:t>
      </w:r>
    </w:p>
    <w:p w14:paraId="0F34930B">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第五章 响应文件组成</w:t>
      </w:r>
    </w:p>
    <w:p w14:paraId="09FAC72E">
      <w:pPr>
        <w:pStyle w:val="28"/>
        <w:adjustRightInd w:val="0"/>
        <w:snapToGrid w:val="0"/>
        <w:spacing w:line="42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rPr>
        <w:t>10.2</w:t>
      </w:r>
      <w:r>
        <w:rPr>
          <w:rFonts w:hint="eastAsia" w:ascii="宋体" w:hAnsi="宋体" w:eastAsia="宋体" w:cs="宋体"/>
          <w:color w:val="auto"/>
          <w:kern w:val="0"/>
          <w:highlight w:val="none"/>
        </w:rPr>
        <w:t>磋商小组根据与供应商磋商情况可能实质性变动的内容，包括采购需求中的技术、服务要求以及合同条款，</w:t>
      </w:r>
      <w:r>
        <w:rPr>
          <w:rFonts w:hint="eastAsia" w:ascii="宋体" w:hAnsi="宋体" w:eastAsia="宋体" w:cs="宋体"/>
          <w:color w:val="auto"/>
          <w:highlight w:val="none"/>
        </w:rPr>
        <w:t>在</w:t>
      </w:r>
      <w:r>
        <w:rPr>
          <w:rFonts w:hint="eastAsia" w:ascii="宋体" w:hAnsi="宋体" w:eastAsia="宋体" w:cs="宋体"/>
          <w:b/>
          <w:color w:val="auto"/>
          <w:highlight w:val="none"/>
        </w:rPr>
        <w:t>磋商须知前附表</w:t>
      </w:r>
      <w:r>
        <w:rPr>
          <w:rFonts w:hint="eastAsia" w:ascii="宋体" w:hAnsi="宋体" w:eastAsia="宋体" w:cs="宋体"/>
          <w:color w:val="auto"/>
          <w:highlight w:val="none"/>
        </w:rPr>
        <w:t>中明确。</w:t>
      </w:r>
    </w:p>
    <w:p w14:paraId="231EADE8">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10.3供应商应仔细阅读</w:t>
      </w:r>
      <w:r>
        <w:rPr>
          <w:rFonts w:hint="eastAsia" w:ascii="宋体" w:hAnsi="宋体" w:eastAsia="宋体" w:cs="宋体"/>
          <w:bCs/>
          <w:color w:val="auto"/>
          <w:szCs w:val="21"/>
          <w:highlight w:val="none"/>
        </w:rPr>
        <w:t>磋商</w:t>
      </w:r>
      <w:r>
        <w:rPr>
          <w:rFonts w:hint="eastAsia" w:ascii="宋体" w:hAnsi="宋体" w:eastAsia="宋体" w:cs="宋体"/>
          <w:color w:val="auto"/>
          <w:szCs w:val="21"/>
          <w:highlight w:val="none"/>
        </w:rPr>
        <w:t>文件的全部内容，按照</w:t>
      </w:r>
      <w:r>
        <w:rPr>
          <w:rFonts w:hint="eastAsia" w:ascii="宋体" w:hAnsi="宋体" w:eastAsia="宋体" w:cs="宋体"/>
          <w:bCs/>
          <w:color w:val="auto"/>
          <w:szCs w:val="21"/>
          <w:highlight w:val="none"/>
        </w:rPr>
        <w:t>磋商</w:t>
      </w:r>
      <w:r>
        <w:rPr>
          <w:rFonts w:hint="eastAsia" w:ascii="宋体" w:hAnsi="宋体" w:eastAsia="宋体" w:cs="宋体"/>
          <w:color w:val="auto"/>
          <w:szCs w:val="21"/>
          <w:highlight w:val="none"/>
        </w:rPr>
        <w:t>文件要求编制响应文件。任何对</w:t>
      </w:r>
      <w:r>
        <w:rPr>
          <w:rFonts w:hint="eastAsia" w:ascii="宋体" w:hAnsi="宋体" w:eastAsia="宋体" w:cs="宋体"/>
          <w:bCs/>
          <w:color w:val="auto"/>
          <w:szCs w:val="21"/>
          <w:highlight w:val="none"/>
        </w:rPr>
        <w:t>磋商</w:t>
      </w:r>
      <w:r>
        <w:rPr>
          <w:rFonts w:hint="eastAsia" w:ascii="宋体" w:hAnsi="宋体" w:eastAsia="宋体" w:cs="宋体"/>
          <w:color w:val="auto"/>
          <w:szCs w:val="21"/>
          <w:highlight w:val="none"/>
        </w:rPr>
        <w:t>文件的忽略或误解不能作为响应文件存在缺陷或瑕疵的理由，其风险由供应商承担。</w:t>
      </w:r>
    </w:p>
    <w:p w14:paraId="554AD79C">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11.</w:t>
      </w:r>
      <w:r>
        <w:rPr>
          <w:rFonts w:hint="eastAsia" w:ascii="宋体" w:hAnsi="宋体" w:eastAsia="宋体" w:cs="宋体"/>
          <w:b/>
          <w:color w:val="auto"/>
          <w:kern w:val="0"/>
          <w:szCs w:val="21"/>
          <w:highlight w:val="none"/>
        </w:rPr>
        <w:t>提交首次响应文件</w:t>
      </w:r>
      <w:r>
        <w:rPr>
          <w:rFonts w:hint="eastAsia" w:ascii="宋体" w:hAnsi="宋体" w:eastAsia="宋体" w:cs="宋体"/>
          <w:b/>
          <w:color w:val="auto"/>
          <w:szCs w:val="21"/>
          <w:highlight w:val="none"/>
        </w:rPr>
        <w:t>的</w:t>
      </w:r>
      <w:r>
        <w:rPr>
          <w:rFonts w:hint="eastAsia" w:ascii="宋体" w:hAnsi="宋体" w:eastAsia="宋体" w:cs="宋体"/>
          <w:b/>
          <w:color w:val="auto"/>
          <w:kern w:val="0"/>
          <w:szCs w:val="21"/>
          <w:highlight w:val="none"/>
        </w:rPr>
        <w:t>截止</w:t>
      </w:r>
      <w:r>
        <w:rPr>
          <w:rFonts w:hint="eastAsia" w:ascii="宋体" w:hAnsi="宋体" w:eastAsia="宋体" w:cs="宋体"/>
          <w:b/>
          <w:color w:val="auto"/>
          <w:szCs w:val="21"/>
          <w:highlight w:val="none"/>
        </w:rPr>
        <w:t>时间</w:t>
      </w:r>
    </w:p>
    <w:p w14:paraId="2DCE4D42">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11.1</w:t>
      </w:r>
      <w:r>
        <w:rPr>
          <w:rFonts w:hint="eastAsia" w:ascii="宋体" w:hAnsi="宋体" w:eastAsia="宋体" w:cs="宋体"/>
          <w:color w:val="auto"/>
          <w:kern w:val="0"/>
          <w:highlight w:val="none"/>
        </w:rPr>
        <w:t>供应商提交首次响应文件截止</w:t>
      </w:r>
      <w:r>
        <w:rPr>
          <w:rFonts w:hint="eastAsia" w:ascii="宋体" w:hAnsi="宋体" w:eastAsia="宋体" w:cs="宋体"/>
          <w:color w:val="auto"/>
          <w:highlight w:val="none"/>
        </w:rPr>
        <w:t>时间见</w:t>
      </w:r>
      <w:r>
        <w:rPr>
          <w:rFonts w:hint="eastAsia" w:ascii="宋体" w:hAnsi="宋体" w:eastAsia="宋体" w:cs="宋体"/>
          <w:b/>
          <w:color w:val="auto"/>
          <w:highlight w:val="none"/>
        </w:rPr>
        <w:t>磋商须知前附表</w:t>
      </w:r>
      <w:r>
        <w:rPr>
          <w:rFonts w:hint="eastAsia" w:ascii="宋体" w:hAnsi="宋体" w:eastAsia="宋体" w:cs="宋体"/>
          <w:color w:val="auto"/>
          <w:highlight w:val="none"/>
        </w:rPr>
        <w:t>。</w:t>
      </w:r>
    </w:p>
    <w:p w14:paraId="3F7A4E7F">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12.磋商文件的澄清</w:t>
      </w:r>
      <w:r>
        <w:rPr>
          <w:rFonts w:hint="eastAsia" w:ascii="宋体" w:hAnsi="宋体" w:eastAsia="宋体" w:cs="宋体"/>
          <w:b/>
          <w:color w:val="auto"/>
          <w:kern w:val="0"/>
          <w:szCs w:val="21"/>
          <w:highlight w:val="none"/>
          <w:lang w:val="zh-CN"/>
        </w:rPr>
        <w:t>或者</w:t>
      </w:r>
      <w:r>
        <w:rPr>
          <w:rFonts w:hint="eastAsia" w:ascii="宋体" w:hAnsi="宋体" w:eastAsia="宋体" w:cs="宋体"/>
          <w:b/>
          <w:bCs/>
          <w:color w:val="auto"/>
          <w:szCs w:val="21"/>
          <w:highlight w:val="none"/>
        </w:rPr>
        <w:t>修改</w:t>
      </w:r>
    </w:p>
    <w:p w14:paraId="07EF1C4A">
      <w:pPr>
        <w:adjustRightInd w:val="0"/>
        <w:snapToGrid w:val="0"/>
        <w:spacing w:line="42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12.1在</w:t>
      </w:r>
      <w:r>
        <w:rPr>
          <w:rFonts w:hint="eastAsia" w:ascii="宋体" w:hAnsi="宋体" w:eastAsia="宋体" w:cs="宋体"/>
          <w:color w:val="auto"/>
          <w:kern w:val="0"/>
          <w:szCs w:val="21"/>
          <w:highlight w:val="none"/>
        </w:rPr>
        <w:t xml:space="preserve">提交首次响应文件截止之日前，采购人、采购代理机构可以对已发出的磋商文件进行必要的澄清或者修改。 </w:t>
      </w:r>
    </w:p>
    <w:p w14:paraId="0C073028">
      <w:pPr>
        <w:tabs>
          <w:tab w:val="left" w:pos="7665"/>
        </w:tabs>
        <w:spacing w:line="420" w:lineRule="exact"/>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12.2</w:t>
      </w:r>
      <w:r>
        <w:rPr>
          <w:rFonts w:hint="eastAsia" w:ascii="宋体" w:hAnsi="宋体" w:eastAsia="宋体" w:cs="宋体"/>
          <w:color w:val="auto"/>
          <w:kern w:val="0"/>
          <w:szCs w:val="21"/>
          <w:highlight w:val="none"/>
        </w:rPr>
        <w:t>澄清或者修改的内容可能影响响应文件编制的，采购人、采购代理机构应当在提交首次响应文件截止之日5日前，以书面形式、电子邮件、网站披露等其中至少一种方式将澄清或者修改的内容通知所有报名的供应商（需要纸制书面通知的供应商请自行到代理公司领取），不足5日的，采购人、采购代理机构应当顺延提交首次响应文件截止时间。磋商开始后，除磋商小组要求提供的以外，不接受供应商及与供应商有关的第三方递交的材料。</w:t>
      </w:r>
    </w:p>
    <w:p w14:paraId="2DA9D4A3">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12.</w:t>
      </w:r>
      <w:r>
        <w:rPr>
          <w:rFonts w:hint="eastAsia" w:ascii="宋体" w:hAnsi="宋体" w:eastAsia="宋体" w:cs="宋体"/>
          <w:color w:val="auto"/>
          <w:highlight w:val="none"/>
          <w:lang w:val="en-US" w:eastAsia="zh-CN"/>
        </w:rPr>
        <w:t>3</w:t>
      </w:r>
      <w:r>
        <w:rPr>
          <w:rFonts w:hint="eastAsia" w:ascii="宋体" w:hAnsi="宋体" w:eastAsia="宋体" w:cs="宋体"/>
          <w:color w:val="auto"/>
          <w:kern w:val="0"/>
          <w:highlight w:val="none"/>
        </w:rPr>
        <w:t>提交首次响应文件截止时间前对磋商文件澄清或者修改内容，为磋商文件的组成部分。</w:t>
      </w:r>
    </w:p>
    <w:p w14:paraId="79FB597C">
      <w:pPr>
        <w:adjustRightInd w:val="0"/>
        <w:snapToGrid w:val="0"/>
        <w:spacing w:before="120" w:beforeLines="50" w:line="420" w:lineRule="exact"/>
        <w:outlineLvl w:val="1"/>
        <w:rPr>
          <w:rFonts w:hint="eastAsia" w:ascii="宋体" w:hAnsi="宋体" w:eastAsia="宋体" w:cs="宋体"/>
          <w:b/>
          <w:color w:val="auto"/>
          <w:sz w:val="24"/>
          <w:highlight w:val="none"/>
        </w:rPr>
      </w:pPr>
      <w:bookmarkStart w:id="44" w:name="_Toc32137"/>
      <w:r>
        <w:rPr>
          <w:rFonts w:hint="eastAsia" w:ascii="宋体" w:hAnsi="宋体" w:eastAsia="宋体" w:cs="宋体"/>
          <w:b/>
          <w:color w:val="auto"/>
          <w:sz w:val="24"/>
          <w:highlight w:val="none"/>
        </w:rPr>
        <w:t>三、响应文件</w:t>
      </w:r>
      <w:bookmarkEnd w:id="44"/>
    </w:p>
    <w:p w14:paraId="2E83891C">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13.一般要求</w:t>
      </w:r>
    </w:p>
    <w:p w14:paraId="5A24374A">
      <w:pPr>
        <w:tabs>
          <w:tab w:val="left" w:pos="420"/>
        </w:tabs>
        <w:adjustRightInd w:val="0"/>
        <w:snapToGrid w:val="0"/>
        <w:spacing w:line="42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13.1总体要求</w:t>
      </w:r>
    </w:p>
    <w:p w14:paraId="6B1DCB04">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参加磋商的供应商应仔细阅读磋商文件的所有内容，按照磋商文件的要求提交响应文件，并保证所提供的全部资料的真实性、有效性和合法性，一经发现有虚假行为的，将取消其参加磋商或成交资格，并承担相应的法律责任。</w:t>
      </w:r>
    </w:p>
    <w:p w14:paraId="516A8732">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13.2语言及计量单位</w:t>
      </w:r>
    </w:p>
    <w:p w14:paraId="502CBE6C">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响应文件及供应商和采购人、采购代理机构就磋商交换的文件和来往信件，应以中文书写，辅助材料及证明材料以中文说明为准。</w:t>
      </w:r>
    </w:p>
    <w:p w14:paraId="6935E165">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除在竞争性磋商文件的技术规格中另有规定外，响应文件所使用的计量单位均应使用中华人民共和国法定计量单位。</w:t>
      </w:r>
    </w:p>
    <w:p w14:paraId="76A99AC8">
      <w:pPr>
        <w:pStyle w:val="28"/>
        <w:adjustRightInd w:val="0"/>
        <w:snapToGrid w:val="0"/>
        <w:spacing w:line="420" w:lineRule="exact"/>
        <w:rPr>
          <w:rFonts w:hint="eastAsia" w:ascii="宋体" w:hAnsi="宋体" w:eastAsia="宋体" w:cs="宋体"/>
          <w:b/>
          <w:color w:val="auto"/>
          <w:highlight w:val="none"/>
        </w:rPr>
      </w:pPr>
      <w:r>
        <w:rPr>
          <w:rFonts w:hint="eastAsia" w:ascii="宋体" w:hAnsi="宋体" w:eastAsia="宋体" w:cs="宋体"/>
          <w:b/>
          <w:color w:val="auto"/>
          <w:highlight w:val="none"/>
        </w:rPr>
        <w:t>14.响应文件的组成及印制</w:t>
      </w:r>
    </w:p>
    <w:p w14:paraId="4987ADD2">
      <w:pPr>
        <w:tabs>
          <w:tab w:val="left" w:pos="7665"/>
        </w:tabs>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 本项目所有响应文件封面上均需标注“正本”、“副本”字样，注明政府采购编号、委托代理编号、项目名称和供应商名称。</w:t>
      </w:r>
    </w:p>
    <w:p w14:paraId="7078B332">
      <w:pPr>
        <w:tabs>
          <w:tab w:val="left" w:pos="7665"/>
        </w:tabs>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 响应文件正本需用不褪色、不变质的墨水书写或打印，在规定签署盖章处逐一签署或盖章。响应文件副本可用正本的复印件。如有修改错漏处，必须由供应商的法定代表人或其授权代表签字并加盖供应商公章。</w:t>
      </w:r>
    </w:p>
    <w:p w14:paraId="0FDE347B">
      <w:pPr>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14.3 响应文件需逐页编目编码并装订成册。不得使用活页装订，装订应牢固、不易散落。</w:t>
      </w:r>
    </w:p>
    <w:p w14:paraId="31C9B5B8">
      <w:pPr>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14.4 响应文件统一用A4幅面纸。</w:t>
      </w:r>
    </w:p>
    <w:p w14:paraId="72142F5F">
      <w:pPr>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14.5 供应商应当按竞争性磋商文件中提供的响应文件格式填写，没有格式要求的，自行编制。</w:t>
      </w:r>
    </w:p>
    <w:p w14:paraId="2551F4A1">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14.6在磋商过程中，供应商根据</w:t>
      </w:r>
      <w:r>
        <w:rPr>
          <w:rFonts w:hint="eastAsia" w:ascii="宋体" w:hAnsi="宋体" w:eastAsia="宋体" w:cs="宋体"/>
          <w:color w:val="auto"/>
          <w:kern w:val="0"/>
          <w:szCs w:val="21"/>
          <w:highlight w:val="none"/>
        </w:rPr>
        <w:t>磋商小组</w:t>
      </w:r>
      <w:r>
        <w:rPr>
          <w:rFonts w:hint="eastAsia" w:ascii="宋体" w:hAnsi="宋体" w:eastAsia="宋体" w:cs="宋体"/>
          <w:bCs/>
          <w:color w:val="auto"/>
          <w:szCs w:val="21"/>
          <w:highlight w:val="none"/>
        </w:rPr>
        <w:t>书面形式要求</w:t>
      </w:r>
      <w:r>
        <w:rPr>
          <w:rFonts w:hint="eastAsia" w:ascii="宋体" w:hAnsi="宋体" w:eastAsia="宋体" w:cs="宋体"/>
          <w:color w:val="auto"/>
          <w:kern w:val="0"/>
          <w:szCs w:val="21"/>
          <w:highlight w:val="none"/>
        </w:rPr>
        <w:t>提交的</w:t>
      </w:r>
      <w:r>
        <w:rPr>
          <w:rFonts w:hint="eastAsia" w:ascii="宋体" w:hAnsi="宋体" w:eastAsia="宋体" w:cs="宋体"/>
          <w:color w:val="auto"/>
          <w:szCs w:val="21"/>
          <w:highlight w:val="none"/>
        </w:rPr>
        <w:t>最后报价（或者</w:t>
      </w:r>
      <w:r>
        <w:rPr>
          <w:rFonts w:hint="eastAsia" w:ascii="宋体" w:hAnsi="宋体" w:eastAsia="宋体" w:cs="宋体"/>
          <w:bCs/>
          <w:color w:val="auto"/>
          <w:szCs w:val="21"/>
          <w:highlight w:val="none"/>
        </w:rPr>
        <w:t>重</w:t>
      </w:r>
      <w:r>
        <w:rPr>
          <w:rFonts w:hint="eastAsia" w:ascii="宋体" w:hAnsi="宋体" w:eastAsia="宋体" w:cs="宋体"/>
          <w:color w:val="auto"/>
          <w:kern w:val="0"/>
          <w:szCs w:val="21"/>
          <w:highlight w:val="none"/>
        </w:rPr>
        <w:t>新提交的响应文件和</w:t>
      </w:r>
      <w:r>
        <w:rPr>
          <w:rFonts w:hint="eastAsia" w:ascii="宋体" w:hAnsi="宋体" w:eastAsia="宋体" w:cs="宋体"/>
          <w:color w:val="auto"/>
          <w:szCs w:val="21"/>
          <w:highlight w:val="none"/>
        </w:rPr>
        <w:t>最后报价）是响应文件的有效组成部分。</w:t>
      </w:r>
    </w:p>
    <w:p w14:paraId="5B4089EB">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14.7根据《政府采购法》第四十二条的规定，供应商无论成交与否，其响应文件不予退还。</w:t>
      </w:r>
    </w:p>
    <w:p w14:paraId="0B8C66BA">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15.报价</w:t>
      </w:r>
    </w:p>
    <w:p w14:paraId="22B01140">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15.1供应商应当根据磋商文件要求和范围，以</w:t>
      </w:r>
      <w:r>
        <w:rPr>
          <w:rFonts w:hint="eastAsia" w:ascii="宋体" w:hAnsi="宋体" w:eastAsia="宋体" w:cs="宋体"/>
          <w:bCs/>
          <w:color w:val="auto"/>
          <w:szCs w:val="21"/>
          <w:highlight w:val="none"/>
        </w:rPr>
        <w:t>人民币</w:t>
      </w:r>
      <w:r>
        <w:rPr>
          <w:rFonts w:hint="eastAsia" w:ascii="宋体" w:hAnsi="宋体" w:eastAsia="宋体" w:cs="宋体"/>
          <w:color w:val="auto"/>
          <w:szCs w:val="21"/>
          <w:highlight w:val="none"/>
        </w:rPr>
        <w:t>报价，以元为单位，保留小数点后两位。</w:t>
      </w:r>
    </w:p>
    <w:p w14:paraId="32204FDA">
      <w:pPr>
        <w:pStyle w:val="161"/>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15.2供应商应按第五章“响应文件组成格式”填写。</w:t>
      </w:r>
    </w:p>
    <w:p w14:paraId="4567423E">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15.3响应文件中标明的价格在合同执行过程中是固定不变的，不得以任何理由予以变更。以可变动价格提交的报价将被认为是非实质响应而被拒绝。</w:t>
      </w:r>
    </w:p>
    <w:p w14:paraId="6984B3FF">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15.4</w:t>
      </w:r>
      <w:r>
        <w:rPr>
          <w:rFonts w:hint="eastAsia" w:ascii="宋体" w:hAnsi="宋体" w:eastAsia="宋体" w:cs="宋体"/>
          <w:color w:val="auto"/>
          <w:kern w:val="0"/>
          <w:highlight w:val="none"/>
          <w:lang w:val="zh-CN"/>
        </w:rPr>
        <w:t>供应商</w:t>
      </w:r>
      <w:r>
        <w:rPr>
          <w:rFonts w:hint="eastAsia" w:ascii="宋体" w:hAnsi="宋体" w:eastAsia="宋体" w:cs="宋体"/>
          <w:color w:val="auto"/>
          <w:highlight w:val="none"/>
        </w:rPr>
        <w:t>的报价不得超过采购项目预算，采购项目预算或其计算方法见</w:t>
      </w:r>
      <w:r>
        <w:rPr>
          <w:rFonts w:hint="eastAsia" w:ascii="宋体" w:hAnsi="宋体" w:eastAsia="宋体" w:cs="宋体"/>
          <w:b/>
          <w:color w:val="auto"/>
          <w:highlight w:val="none"/>
        </w:rPr>
        <w:t>磋商须知前附表</w:t>
      </w:r>
      <w:r>
        <w:rPr>
          <w:rFonts w:hint="eastAsia" w:ascii="宋体" w:hAnsi="宋体" w:eastAsia="宋体" w:cs="宋体"/>
          <w:color w:val="auto"/>
          <w:highlight w:val="none"/>
        </w:rPr>
        <w:t>。</w:t>
      </w:r>
    </w:p>
    <w:p w14:paraId="675105CE">
      <w:pPr>
        <w:pStyle w:val="28"/>
        <w:adjustRightInd w:val="0"/>
        <w:snapToGrid w:val="0"/>
        <w:spacing w:line="420" w:lineRule="exact"/>
        <w:rPr>
          <w:rFonts w:hint="eastAsia" w:ascii="宋体" w:hAnsi="宋体" w:eastAsia="宋体" w:cs="宋体"/>
          <w:b/>
          <w:color w:val="auto"/>
          <w:highlight w:val="none"/>
        </w:rPr>
      </w:pPr>
      <w:r>
        <w:rPr>
          <w:rFonts w:hint="eastAsia" w:ascii="宋体" w:hAnsi="宋体" w:eastAsia="宋体" w:cs="宋体"/>
          <w:b/>
          <w:color w:val="auto"/>
          <w:highlight w:val="none"/>
        </w:rPr>
        <w:t>16.供应商符合磋商文件规定的证明文件</w:t>
      </w:r>
    </w:p>
    <w:p w14:paraId="1A3D5B38">
      <w:pPr>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16.1供应商应提交满足本章第3.1款规定的资格条件要求的证明文件，该证明文件作为响应文件的一部分。</w:t>
      </w:r>
    </w:p>
    <w:p w14:paraId="683787A1">
      <w:pPr>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16.2如果供应商为联合体，则应提交联合体各方资格证明文件、联合体协议。否则，在评审时将其视为无效响应。</w:t>
      </w:r>
    </w:p>
    <w:p w14:paraId="00FCD6DF">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17.磋商保证金</w:t>
      </w:r>
    </w:p>
    <w:p w14:paraId="6632E918">
      <w:pPr>
        <w:pStyle w:val="28"/>
        <w:adjustRightInd w:val="0"/>
        <w:snapToGrid w:val="0"/>
        <w:spacing w:line="420" w:lineRule="exact"/>
        <w:ind w:firstLine="420" w:firstLineChars="200"/>
        <w:rPr>
          <w:rFonts w:hint="eastAsia" w:ascii="宋体" w:hAnsi="宋体" w:eastAsia="宋体" w:cs="宋体"/>
          <w:bCs/>
          <w:color w:val="auto"/>
          <w:highlight w:val="none"/>
        </w:rPr>
      </w:pPr>
      <w:r>
        <w:rPr>
          <w:rFonts w:hint="eastAsia" w:ascii="宋体" w:hAnsi="宋体" w:eastAsia="宋体" w:cs="宋体"/>
          <w:color w:val="auto"/>
          <w:highlight w:val="none"/>
        </w:rPr>
        <w:t>17.1</w:t>
      </w:r>
      <w:r>
        <w:rPr>
          <w:rFonts w:hint="eastAsia" w:ascii="宋体" w:hAnsi="宋体" w:eastAsia="宋体" w:cs="宋体"/>
          <w:b/>
          <w:color w:val="auto"/>
          <w:highlight w:val="none"/>
        </w:rPr>
        <w:t>磋商须知前附表</w:t>
      </w:r>
      <w:r>
        <w:rPr>
          <w:rFonts w:hint="eastAsia" w:ascii="宋体" w:hAnsi="宋体" w:eastAsia="宋体" w:cs="宋体"/>
          <w:color w:val="auto"/>
          <w:highlight w:val="none"/>
        </w:rPr>
        <w:t>规定交纳磋商</w:t>
      </w:r>
      <w:r>
        <w:rPr>
          <w:rFonts w:hint="eastAsia" w:ascii="宋体" w:hAnsi="宋体" w:eastAsia="宋体" w:cs="宋体"/>
          <w:bCs/>
          <w:color w:val="auto"/>
          <w:highlight w:val="none"/>
        </w:rPr>
        <w:t>保证金的</w:t>
      </w:r>
      <w:r>
        <w:rPr>
          <w:rFonts w:hint="eastAsia" w:ascii="宋体" w:hAnsi="宋体" w:eastAsia="宋体" w:cs="宋体"/>
          <w:color w:val="auto"/>
          <w:highlight w:val="none"/>
        </w:rPr>
        <w:t>，应按</w:t>
      </w:r>
      <w:r>
        <w:rPr>
          <w:rFonts w:hint="eastAsia" w:ascii="宋体" w:hAnsi="宋体" w:eastAsia="宋体" w:cs="宋体"/>
          <w:b/>
          <w:color w:val="auto"/>
          <w:highlight w:val="none"/>
        </w:rPr>
        <w:t>磋商须知前附表</w:t>
      </w:r>
      <w:r>
        <w:rPr>
          <w:rFonts w:hint="eastAsia" w:ascii="宋体" w:hAnsi="宋体" w:eastAsia="宋体" w:cs="宋体"/>
          <w:color w:val="auto"/>
          <w:highlight w:val="none"/>
        </w:rPr>
        <w:t>规定的磋商</w:t>
      </w:r>
      <w:r>
        <w:rPr>
          <w:rFonts w:hint="eastAsia" w:ascii="宋体" w:hAnsi="宋体" w:eastAsia="宋体" w:cs="宋体"/>
          <w:bCs/>
          <w:color w:val="auto"/>
          <w:highlight w:val="none"/>
        </w:rPr>
        <w:t>保证金形式交纳，不得以现金方式交纳</w:t>
      </w:r>
      <w:r>
        <w:rPr>
          <w:rFonts w:hint="eastAsia" w:ascii="宋体" w:hAnsi="宋体" w:eastAsia="宋体" w:cs="宋体"/>
          <w:color w:val="auto"/>
          <w:highlight w:val="none"/>
        </w:rPr>
        <w:t>，在</w:t>
      </w:r>
      <w:r>
        <w:rPr>
          <w:rFonts w:hint="eastAsia" w:ascii="宋体" w:hAnsi="宋体" w:eastAsia="宋体" w:cs="宋体"/>
          <w:color w:val="auto"/>
          <w:kern w:val="0"/>
          <w:highlight w:val="none"/>
        </w:rPr>
        <w:t>提交首次响应文件截止时间</w:t>
      </w:r>
      <w:r>
        <w:rPr>
          <w:rFonts w:hint="eastAsia" w:ascii="宋体" w:hAnsi="宋体" w:eastAsia="宋体" w:cs="宋体"/>
          <w:color w:val="auto"/>
          <w:highlight w:val="none"/>
        </w:rPr>
        <w:t>前，</w:t>
      </w:r>
      <w:r>
        <w:rPr>
          <w:rFonts w:hint="eastAsia" w:ascii="宋体" w:hAnsi="宋体" w:eastAsia="宋体" w:cs="宋体"/>
          <w:bCs/>
          <w:color w:val="auto"/>
          <w:highlight w:val="none"/>
        </w:rPr>
        <w:t>向采购代理机构交纳磋商保证金</w:t>
      </w:r>
      <w:r>
        <w:rPr>
          <w:rFonts w:hint="eastAsia" w:ascii="宋体" w:hAnsi="宋体" w:eastAsia="宋体" w:cs="宋体"/>
          <w:color w:val="auto"/>
          <w:highlight w:val="none"/>
        </w:rPr>
        <w:t>。磋商</w:t>
      </w:r>
      <w:r>
        <w:rPr>
          <w:rFonts w:hint="eastAsia" w:ascii="宋体" w:hAnsi="宋体" w:eastAsia="宋体" w:cs="宋体"/>
          <w:bCs/>
          <w:color w:val="auto"/>
          <w:highlight w:val="none"/>
        </w:rPr>
        <w:t>保证金有效期应当与</w:t>
      </w:r>
      <w:r>
        <w:rPr>
          <w:rFonts w:hint="eastAsia" w:ascii="宋体" w:hAnsi="宋体" w:eastAsia="宋体" w:cs="宋体"/>
          <w:color w:val="auto"/>
          <w:highlight w:val="none"/>
        </w:rPr>
        <w:t>本章第18.1</w:t>
      </w:r>
      <w:r>
        <w:rPr>
          <w:rFonts w:hint="eastAsia" w:ascii="宋体" w:hAnsi="宋体" w:eastAsia="宋体" w:cs="宋体"/>
          <w:color w:val="auto"/>
          <w:kern w:val="0"/>
          <w:highlight w:val="none"/>
          <w:lang w:val="zh-CN"/>
        </w:rPr>
        <w:t>款</w:t>
      </w:r>
      <w:r>
        <w:rPr>
          <w:rFonts w:hint="eastAsia" w:ascii="宋体" w:hAnsi="宋体" w:eastAsia="宋体" w:cs="宋体"/>
          <w:color w:val="auto"/>
          <w:highlight w:val="none"/>
        </w:rPr>
        <w:t>规定的</w:t>
      </w:r>
      <w:r>
        <w:rPr>
          <w:rFonts w:hint="eastAsia" w:ascii="宋体" w:hAnsi="宋体" w:eastAsia="宋体" w:cs="宋体"/>
          <w:bCs/>
          <w:color w:val="auto"/>
          <w:highlight w:val="none"/>
        </w:rPr>
        <w:t>响应文件有效期一致。</w:t>
      </w:r>
    </w:p>
    <w:p w14:paraId="0797EBDD">
      <w:pPr>
        <w:adjustRightInd w:val="0"/>
        <w:snapToGrid w:val="0"/>
        <w:spacing w:line="420" w:lineRule="exact"/>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17.2</w:t>
      </w:r>
      <w:r>
        <w:rPr>
          <w:rFonts w:hint="eastAsia" w:ascii="宋体" w:hAnsi="宋体" w:eastAsia="宋体" w:cs="宋体"/>
          <w:color w:val="auto"/>
          <w:kern w:val="0"/>
          <w:szCs w:val="21"/>
          <w:highlight w:val="none"/>
          <w:lang w:val="zh-CN"/>
        </w:rPr>
        <w:t>供应商为联合体的，可以由联合体中的一方或者共同交纳磋商保证金，其交纳的磋商保证金，对联合体各方均具有约束力。</w:t>
      </w:r>
    </w:p>
    <w:p w14:paraId="458DC444">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17.3供应商未按照磋商文件要求提交磋商保证金的，响应无效。</w:t>
      </w:r>
    </w:p>
    <w:p w14:paraId="2C259FA5">
      <w:pPr>
        <w:pStyle w:val="28"/>
        <w:tabs>
          <w:tab w:val="left" w:pos="6300"/>
        </w:tabs>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17.4采购代理机构在成交通知书发出后5个工作日内退还未成交供应商的磋商保证金；在采购合同签定后5个工作日内退还成交供应商的磋商保证金，但因供应商自身原因导致无法及时退还的除外。</w:t>
      </w:r>
    </w:p>
    <w:p w14:paraId="36737551">
      <w:pPr>
        <w:pStyle w:val="28"/>
        <w:adjustRightInd w:val="0"/>
        <w:snapToGrid w:val="0"/>
        <w:spacing w:line="42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17.5 </w:t>
      </w:r>
      <w:r>
        <w:rPr>
          <w:rFonts w:hint="eastAsia" w:ascii="宋体" w:hAnsi="宋体" w:eastAsia="宋体" w:cs="宋体"/>
          <w:color w:val="auto"/>
          <w:kern w:val="0"/>
          <w:highlight w:val="none"/>
        </w:rPr>
        <w:t>有下列情形之一的，磋商保证金不予退还，并上缴本级财政国库：</w:t>
      </w:r>
    </w:p>
    <w:p w14:paraId="4B2B7D91">
      <w:pPr>
        <w:widowControl/>
        <w:adjustRightInd w:val="0"/>
        <w:snapToGri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（1）供应商在提交首次响应文件截止时间后撤回响应文件的；</w:t>
      </w:r>
    </w:p>
    <w:p w14:paraId="050CBE9E">
      <w:pPr>
        <w:widowControl/>
        <w:adjustRightInd w:val="0"/>
        <w:snapToGri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（2）供应商在响应文件中提供虚假资料的；</w:t>
      </w:r>
    </w:p>
    <w:p w14:paraId="73C9B152">
      <w:pPr>
        <w:widowControl/>
        <w:adjustRightInd w:val="0"/>
        <w:snapToGri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szCs w:val="21"/>
          <w:highlight w:val="none"/>
        </w:rPr>
        <w:t>确定成交结果后，无正当理由放弃成交资格的；</w:t>
      </w:r>
    </w:p>
    <w:p w14:paraId="6D5B58C6">
      <w:pPr>
        <w:widowControl/>
        <w:adjustRightInd w:val="0"/>
        <w:snapToGri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（4）除因不可抗力或磋商文件认可的情形以外，成交供应商不与采购人签订合同的；</w:t>
      </w:r>
    </w:p>
    <w:p w14:paraId="786EE6AB">
      <w:pPr>
        <w:widowControl/>
        <w:adjustRightInd w:val="0"/>
        <w:snapToGri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（5）供应商与采购人、其他供应商或者采购代理机构恶意串通的；</w:t>
      </w:r>
    </w:p>
    <w:p w14:paraId="30FC6725">
      <w:pPr>
        <w:widowControl/>
        <w:adjustRightInd w:val="0"/>
        <w:snapToGri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（6）磋商文件规定的其他情形。</w:t>
      </w:r>
    </w:p>
    <w:p w14:paraId="5FF4236D">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18.</w:t>
      </w:r>
      <w:r>
        <w:rPr>
          <w:rFonts w:hint="eastAsia" w:ascii="宋体" w:hAnsi="宋体" w:eastAsia="宋体" w:cs="宋体"/>
          <w:b/>
          <w:color w:val="auto"/>
          <w:szCs w:val="21"/>
          <w:highlight w:val="none"/>
        </w:rPr>
        <w:t>响应文件有效期</w:t>
      </w:r>
    </w:p>
    <w:p w14:paraId="5D12FA4E">
      <w:pPr>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18.1响应文件有效期见</w:t>
      </w:r>
      <w:r>
        <w:rPr>
          <w:rFonts w:hint="eastAsia" w:ascii="宋体" w:hAnsi="宋体" w:eastAsia="宋体" w:cs="宋体"/>
          <w:b/>
          <w:color w:val="auto"/>
          <w:szCs w:val="21"/>
          <w:highlight w:val="none"/>
        </w:rPr>
        <w:t>磋商须知前附表</w:t>
      </w:r>
      <w:r>
        <w:rPr>
          <w:rFonts w:hint="eastAsia" w:ascii="宋体" w:hAnsi="宋体" w:eastAsia="宋体" w:cs="宋体"/>
          <w:color w:val="auto"/>
          <w:szCs w:val="21"/>
          <w:highlight w:val="none"/>
        </w:rPr>
        <w:t>，在此期间响应文件对供应商具有法律约束力，从</w:t>
      </w:r>
      <w:r>
        <w:rPr>
          <w:rFonts w:hint="eastAsia" w:ascii="宋体" w:hAnsi="宋体" w:eastAsia="宋体" w:cs="宋体"/>
          <w:color w:val="auto"/>
          <w:kern w:val="0"/>
          <w:szCs w:val="21"/>
          <w:highlight w:val="none"/>
        </w:rPr>
        <w:t>提交首次响应文件截止时间</w:t>
      </w:r>
      <w:r>
        <w:rPr>
          <w:rFonts w:hint="eastAsia" w:ascii="宋体" w:hAnsi="宋体" w:eastAsia="宋体" w:cs="宋体"/>
          <w:color w:val="auto"/>
          <w:szCs w:val="21"/>
          <w:highlight w:val="none"/>
        </w:rPr>
        <w:t>之日起计算。响应文件有效期不足的将被视为无效响应。</w:t>
      </w:r>
    </w:p>
    <w:p w14:paraId="4972E1FF">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19.响应文件的签署及规定</w:t>
      </w:r>
    </w:p>
    <w:p w14:paraId="1A8044EA">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19.1响应文件的正本和副本应装订成册，正本一份，副本份数见</w:t>
      </w:r>
      <w:r>
        <w:rPr>
          <w:rFonts w:hint="eastAsia" w:ascii="宋体" w:hAnsi="宋体" w:eastAsia="宋体" w:cs="宋体"/>
          <w:b/>
          <w:color w:val="auto"/>
          <w:highlight w:val="none"/>
        </w:rPr>
        <w:t>磋商须知前附表</w:t>
      </w:r>
      <w:r>
        <w:rPr>
          <w:rFonts w:hint="eastAsia" w:ascii="宋体" w:hAnsi="宋体" w:eastAsia="宋体" w:cs="宋体"/>
          <w:color w:val="auto"/>
          <w:highlight w:val="none"/>
        </w:rPr>
        <w:t>。正本和副本的封面上应标记“正本”或“副本”的字样，当正本和副本有差异时，以正本为准。</w:t>
      </w:r>
    </w:p>
    <w:p w14:paraId="13376854">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19.2 响应文件正本和副本应按磋商文件要求签章处盖单位章和由法定代表人或其委托代理人签字；任何加行、涂改、增删，应有法定代表人或其委托代理人在旁边签字。否则，将导致响应文件无效。</w:t>
      </w:r>
    </w:p>
    <w:p w14:paraId="51026AD2">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19.3 在磋商过程中，供应商按磋商文件规定和磋商小组要求</w:t>
      </w:r>
      <w:r>
        <w:rPr>
          <w:rFonts w:hint="eastAsia" w:ascii="宋体" w:hAnsi="宋体" w:eastAsia="宋体" w:cs="宋体"/>
          <w:color w:val="auto"/>
          <w:kern w:val="0"/>
          <w:highlight w:val="none"/>
        </w:rPr>
        <w:t>提交的</w:t>
      </w:r>
      <w:r>
        <w:rPr>
          <w:rFonts w:hint="eastAsia" w:ascii="宋体" w:hAnsi="宋体" w:eastAsia="宋体" w:cs="宋体"/>
          <w:color w:val="auto"/>
          <w:highlight w:val="none"/>
        </w:rPr>
        <w:t>最后报价（或者</w:t>
      </w:r>
      <w:r>
        <w:rPr>
          <w:rFonts w:hint="eastAsia" w:ascii="宋体" w:hAnsi="宋体" w:eastAsia="宋体" w:cs="宋体"/>
          <w:bCs/>
          <w:color w:val="auto"/>
          <w:highlight w:val="none"/>
        </w:rPr>
        <w:t>重</w:t>
      </w:r>
      <w:r>
        <w:rPr>
          <w:rFonts w:hint="eastAsia" w:ascii="宋体" w:hAnsi="宋体" w:eastAsia="宋体" w:cs="宋体"/>
          <w:color w:val="auto"/>
          <w:kern w:val="0"/>
          <w:highlight w:val="none"/>
        </w:rPr>
        <w:t>新提交的响应文件和</w:t>
      </w:r>
      <w:r>
        <w:rPr>
          <w:rFonts w:hint="eastAsia" w:ascii="宋体" w:hAnsi="宋体" w:eastAsia="宋体" w:cs="宋体"/>
          <w:color w:val="auto"/>
          <w:highlight w:val="none"/>
        </w:rPr>
        <w:t>最后报价），一式两份，可打印或用不退色墨水书写，但需经法定代表人或其委托代理人签字，</w:t>
      </w:r>
      <w:r>
        <w:rPr>
          <w:rFonts w:hint="eastAsia" w:ascii="宋体" w:hAnsi="宋体" w:eastAsia="宋体" w:cs="宋体"/>
          <w:color w:val="auto"/>
          <w:kern w:val="0"/>
          <w:highlight w:val="none"/>
        </w:rPr>
        <w:t>或者加盖供应商单位章</w:t>
      </w:r>
      <w:r>
        <w:rPr>
          <w:rFonts w:hint="eastAsia" w:ascii="宋体" w:hAnsi="宋体" w:eastAsia="宋体" w:cs="宋体"/>
          <w:color w:val="auto"/>
          <w:highlight w:val="none"/>
        </w:rPr>
        <w:t>。</w:t>
      </w:r>
    </w:p>
    <w:p w14:paraId="39D99FA8">
      <w:pPr>
        <w:adjustRightInd w:val="0"/>
        <w:snapToGrid w:val="0"/>
        <w:spacing w:before="120" w:beforeLines="50" w:line="420" w:lineRule="exact"/>
        <w:outlineLvl w:val="1"/>
        <w:rPr>
          <w:rFonts w:hint="eastAsia" w:ascii="宋体" w:hAnsi="宋体" w:eastAsia="宋体" w:cs="宋体"/>
          <w:b/>
          <w:color w:val="auto"/>
          <w:sz w:val="24"/>
          <w:highlight w:val="none"/>
        </w:rPr>
      </w:pPr>
      <w:bookmarkStart w:id="45" w:name="_Toc31236"/>
      <w:r>
        <w:rPr>
          <w:rFonts w:hint="eastAsia" w:ascii="宋体" w:hAnsi="宋体" w:eastAsia="宋体" w:cs="宋体"/>
          <w:b/>
          <w:color w:val="auto"/>
          <w:sz w:val="24"/>
          <w:highlight w:val="none"/>
        </w:rPr>
        <w:t>四、响应文件的递交</w:t>
      </w:r>
      <w:bookmarkEnd w:id="45"/>
    </w:p>
    <w:p w14:paraId="49D11C6E">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20.</w:t>
      </w:r>
      <w:r>
        <w:rPr>
          <w:rFonts w:hint="eastAsia" w:ascii="宋体" w:hAnsi="宋体" w:eastAsia="宋体" w:cs="宋体"/>
          <w:b/>
          <w:color w:val="auto"/>
          <w:szCs w:val="21"/>
          <w:highlight w:val="none"/>
        </w:rPr>
        <w:t>响应文件</w:t>
      </w:r>
      <w:r>
        <w:rPr>
          <w:rFonts w:hint="eastAsia" w:ascii="宋体" w:hAnsi="宋体" w:eastAsia="宋体" w:cs="宋体"/>
          <w:b/>
          <w:bCs/>
          <w:color w:val="auto"/>
          <w:szCs w:val="21"/>
          <w:highlight w:val="none"/>
        </w:rPr>
        <w:t>的密封和标记</w:t>
      </w:r>
    </w:p>
    <w:p w14:paraId="234CE815">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20.1响应文件应密封包装，加贴封条，并在封套的封口处盖供应商单位章或者由法定代表人或其委托代理人签字。</w:t>
      </w:r>
    </w:p>
    <w:p w14:paraId="14492E16">
      <w:pPr>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20.2响应文件封套上应写明的内容见</w:t>
      </w:r>
      <w:r>
        <w:rPr>
          <w:rFonts w:hint="eastAsia" w:ascii="宋体" w:hAnsi="宋体" w:eastAsia="宋体" w:cs="宋体"/>
          <w:b/>
          <w:color w:val="auto"/>
          <w:szCs w:val="21"/>
          <w:highlight w:val="none"/>
        </w:rPr>
        <w:t>磋商须知前附表。</w:t>
      </w:r>
    </w:p>
    <w:p w14:paraId="07820239">
      <w:pPr>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20.3响应文件如果未按上述规定密封和加写标记，采购人或采购代理机构将拒绝接收。</w:t>
      </w:r>
    </w:p>
    <w:p w14:paraId="58CD2D72">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21.响应文件的</w:t>
      </w:r>
      <w:r>
        <w:rPr>
          <w:rFonts w:hint="eastAsia" w:ascii="宋体" w:hAnsi="宋体" w:eastAsia="宋体" w:cs="宋体"/>
          <w:b/>
          <w:color w:val="auto"/>
          <w:kern w:val="0"/>
          <w:szCs w:val="21"/>
          <w:highlight w:val="none"/>
          <w:lang w:val="zh-CN"/>
        </w:rPr>
        <w:t>补充、修改或者撤回</w:t>
      </w:r>
    </w:p>
    <w:p w14:paraId="0FED4239">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21.1</w:t>
      </w:r>
      <w:r>
        <w:rPr>
          <w:rFonts w:hint="eastAsia" w:ascii="宋体" w:hAnsi="宋体" w:eastAsia="宋体" w:cs="宋体"/>
          <w:color w:val="auto"/>
          <w:kern w:val="0"/>
          <w:highlight w:val="none"/>
        </w:rPr>
        <w:t>供应商在提交首次响应文件截止时间前，可以对所提交的首次响应文件进行补充、修改或者撤回，并书面通知采购人、采购代理机构。</w:t>
      </w:r>
      <w:r>
        <w:rPr>
          <w:rFonts w:hint="eastAsia" w:ascii="宋体" w:hAnsi="宋体" w:eastAsia="宋体" w:cs="宋体"/>
          <w:color w:val="auto"/>
          <w:highlight w:val="none"/>
        </w:rPr>
        <w:t>该通知应有供应商法定代表人或其委托代理人签字。</w:t>
      </w:r>
    </w:p>
    <w:p w14:paraId="450E4ECE">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21.2</w:t>
      </w:r>
      <w:r>
        <w:rPr>
          <w:rFonts w:hint="eastAsia" w:ascii="宋体" w:hAnsi="宋体" w:eastAsia="宋体" w:cs="宋体"/>
          <w:color w:val="auto"/>
          <w:kern w:val="0"/>
          <w:highlight w:val="none"/>
          <w:lang w:val="zh-CN"/>
        </w:rPr>
        <w:t>补充、修改的内容与响应文件不一致时，以补充、修改的内容为准。</w:t>
      </w:r>
    </w:p>
    <w:p w14:paraId="19CBAAD5">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22.响应文件的递交与接收</w:t>
      </w:r>
    </w:p>
    <w:p w14:paraId="6AA9EA4A">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 供应商应在</w:t>
      </w:r>
      <w:r>
        <w:rPr>
          <w:rFonts w:hint="eastAsia" w:ascii="宋体" w:hAnsi="宋体" w:eastAsia="宋体" w:cs="宋体"/>
          <w:color w:val="auto"/>
          <w:kern w:val="0"/>
          <w:szCs w:val="21"/>
          <w:highlight w:val="none"/>
        </w:rPr>
        <w:t>提交首次响应文件截止时间</w:t>
      </w:r>
      <w:r>
        <w:rPr>
          <w:rFonts w:hint="eastAsia" w:ascii="宋体" w:hAnsi="宋体" w:eastAsia="宋体" w:cs="宋体"/>
          <w:color w:val="auto"/>
          <w:szCs w:val="21"/>
          <w:highlight w:val="none"/>
        </w:rPr>
        <w:t>前，将响应文件送达</w:t>
      </w:r>
      <w:r>
        <w:rPr>
          <w:rFonts w:hint="eastAsia" w:ascii="宋体" w:hAnsi="宋体" w:eastAsia="宋体" w:cs="宋体"/>
          <w:b/>
          <w:color w:val="auto"/>
          <w:szCs w:val="21"/>
          <w:highlight w:val="none"/>
        </w:rPr>
        <w:t>磋商须知前附表</w:t>
      </w:r>
      <w:r>
        <w:rPr>
          <w:rFonts w:hint="eastAsia" w:ascii="宋体" w:hAnsi="宋体" w:eastAsia="宋体" w:cs="宋体"/>
          <w:color w:val="auto"/>
          <w:szCs w:val="21"/>
          <w:highlight w:val="none"/>
        </w:rPr>
        <w:t>中指定的地点。</w:t>
      </w:r>
      <w:r>
        <w:rPr>
          <w:rFonts w:hint="eastAsia" w:ascii="宋体" w:hAnsi="宋体" w:eastAsia="宋体" w:cs="宋体"/>
          <w:color w:val="auto"/>
          <w:kern w:val="0"/>
          <w:szCs w:val="21"/>
          <w:highlight w:val="none"/>
        </w:rPr>
        <w:t>在截止时间后送达的响应文件，采购人、采购代理机构或者磋商小组应当拒收。</w:t>
      </w:r>
    </w:p>
    <w:p w14:paraId="506B2DC4">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22.2</w:t>
      </w:r>
      <w:r>
        <w:rPr>
          <w:rFonts w:hint="eastAsia" w:ascii="宋体" w:hAnsi="宋体" w:eastAsia="宋体" w:cs="宋体"/>
          <w:color w:val="auto"/>
          <w:kern w:val="0"/>
          <w:highlight w:val="none"/>
        </w:rPr>
        <w:t>在提交首次响应文件截止时间后，</w:t>
      </w:r>
      <w:r>
        <w:rPr>
          <w:rFonts w:hint="eastAsia" w:ascii="宋体" w:hAnsi="宋体" w:eastAsia="宋体" w:cs="宋体"/>
          <w:color w:val="auto"/>
          <w:highlight w:val="none"/>
        </w:rPr>
        <w:t>由</w:t>
      </w:r>
      <w:r>
        <w:rPr>
          <w:rFonts w:hint="eastAsia" w:ascii="宋体" w:hAnsi="宋体" w:eastAsia="宋体" w:cs="宋体"/>
          <w:bCs/>
          <w:color w:val="auto"/>
          <w:highlight w:val="none"/>
        </w:rPr>
        <w:t>供应商代表</w:t>
      </w:r>
      <w:r>
        <w:rPr>
          <w:rFonts w:hint="eastAsia" w:ascii="宋体" w:hAnsi="宋体" w:eastAsia="宋体" w:cs="宋体"/>
          <w:color w:val="auto"/>
          <w:highlight w:val="none"/>
        </w:rPr>
        <w:t>当场查验</w:t>
      </w:r>
      <w:r>
        <w:rPr>
          <w:rFonts w:hint="eastAsia" w:ascii="宋体" w:hAnsi="宋体" w:eastAsia="宋体" w:cs="宋体"/>
          <w:bCs/>
          <w:color w:val="auto"/>
          <w:highlight w:val="none"/>
        </w:rPr>
        <w:t>响应文件</w:t>
      </w:r>
      <w:r>
        <w:rPr>
          <w:rFonts w:hint="eastAsia" w:ascii="宋体" w:hAnsi="宋体" w:eastAsia="宋体" w:cs="宋体"/>
          <w:color w:val="auto"/>
          <w:highlight w:val="none"/>
        </w:rPr>
        <w:t>的密封状况，采购人或</w:t>
      </w:r>
      <w:r>
        <w:rPr>
          <w:rFonts w:hint="eastAsia" w:ascii="宋体" w:hAnsi="宋体" w:eastAsia="宋体" w:cs="宋体"/>
          <w:bCs/>
          <w:color w:val="auto"/>
          <w:highlight w:val="none"/>
        </w:rPr>
        <w:t>采购代理机构</w:t>
      </w:r>
      <w:r>
        <w:rPr>
          <w:rFonts w:hint="eastAsia" w:ascii="宋体" w:hAnsi="宋体" w:eastAsia="宋体" w:cs="宋体"/>
          <w:color w:val="auto"/>
          <w:highlight w:val="none"/>
        </w:rPr>
        <w:t>不当场拆封</w:t>
      </w:r>
      <w:r>
        <w:rPr>
          <w:rFonts w:hint="eastAsia" w:ascii="宋体" w:hAnsi="宋体" w:eastAsia="宋体" w:cs="宋体"/>
          <w:bCs/>
          <w:color w:val="auto"/>
          <w:highlight w:val="none"/>
        </w:rPr>
        <w:t>响应文件</w:t>
      </w:r>
      <w:r>
        <w:rPr>
          <w:rFonts w:hint="eastAsia" w:ascii="宋体" w:hAnsi="宋体" w:eastAsia="宋体" w:cs="宋体"/>
          <w:color w:val="auto"/>
          <w:highlight w:val="none"/>
        </w:rPr>
        <w:t>。</w:t>
      </w:r>
    </w:p>
    <w:p w14:paraId="14378FA6">
      <w:pPr>
        <w:adjustRightInd w:val="0"/>
        <w:snapToGrid w:val="0"/>
        <w:spacing w:before="120" w:beforeLines="50" w:line="420" w:lineRule="exact"/>
        <w:outlineLvl w:val="1"/>
        <w:rPr>
          <w:rFonts w:hint="eastAsia" w:ascii="宋体" w:hAnsi="宋体" w:eastAsia="宋体" w:cs="宋体"/>
          <w:b/>
          <w:color w:val="auto"/>
          <w:sz w:val="24"/>
          <w:highlight w:val="none"/>
        </w:rPr>
      </w:pPr>
      <w:bookmarkStart w:id="46" w:name="_Toc32047"/>
      <w:r>
        <w:rPr>
          <w:rFonts w:hint="eastAsia" w:ascii="宋体" w:hAnsi="宋体" w:eastAsia="宋体" w:cs="宋体"/>
          <w:b/>
          <w:color w:val="auto"/>
          <w:sz w:val="24"/>
          <w:highlight w:val="none"/>
        </w:rPr>
        <w:t>五、响应文件的磋商与评审</w:t>
      </w:r>
      <w:bookmarkEnd w:id="46"/>
    </w:p>
    <w:p w14:paraId="402D9F27">
      <w:pPr>
        <w:tabs>
          <w:tab w:val="left" w:pos="0"/>
        </w:tabs>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23.磋商程序</w:t>
      </w:r>
    </w:p>
    <w:p w14:paraId="14CF2FD3">
      <w:pPr>
        <w:widowControl/>
        <w:adjustRightInd w:val="0"/>
        <w:snapToGrid w:val="0"/>
        <w:spacing w:line="420" w:lineRule="exact"/>
        <w:ind w:firstLine="420"/>
        <w:jc w:val="left"/>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23.1磋商程序：响应文件审查、磋商（包括澄清）、响应文件评审、</w:t>
      </w:r>
      <w:r>
        <w:rPr>
          <w:rFonts w:hint="eastAsia" w:ascii="宋体" w:hAnsi="宋体" w:eastAsia="宋体" w:cs="宋体"/>
          <w:bCs/>
          <w:color w:val="auto"/>
          <w:szCs w:val="21"/>
          <w:highlight w:val="none"/>
        </w:rPr>
        <w:t>提出成交供应商。其中，</w:t>
      </w:r>
      <w:r>
        <w:rPr>
          <w:rFonts w:hint="eastAsia" w:ascii="宋体" w:hAnsi="宋体" w:eastAsia="宋体" w:cs="宋体"/>
          <w:color w:val="auto"/>
          <w:kern w:val="0"/>
          <w:szCs w:val="21"/>
          <w:highlight w:val="none"/>
        </w:rPr>
        <w:t>磋商按</w:t>
      </w:r>
      <w:r>
        <w:rPr>
          <w:rFonts w:hint="eastAsia" w:ascii="宋体" w:hAnsi="宋体" w:eastAsia="宋体" w:cs="宋体"/>
          <w:color w:val="auto"/>
          <w:szCs w:val="21"/>
          <w:highlight w:val="none"/>
        </w:rPr>
        <w:t>本章第28.1</w:t>
      </w:r>
      <w:r>
        <w:rPr>
          <w:rFonts w:hint="eastAsia" w:ascii="宋体" w:hAnsi="宋体" w:eastAsia="宋体" w:cs="宋体"/>
          <w:color w:val="auto"/>
          <w:kern w:val="0"/>
          <w:szCs w:val="21"/>
          <w:highlight w:val="none"/>
          <w:lang w:val="zh-CN"/>
        </w:rPr>
        <w:t>款或者</w:t>
      </w:r>
      <w:r>
        <w:rPr>
          <w:rFonts w:hint="eastAsia" w:ascii="宋体" w:hAnsi="宋体" w:eastAsia="宋体" w:cs="宋体"/>
          <w:color w:val="auto"/>
          <w:szCs w:val="21"/>
          <w:highlight w:val="none"/>
        </w:rPr>
        <w:t>第28.2</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情形</w:t>
      </w:r>
      <w:r>
        <w:rPr>
          <w:rFonts w:hint="eastAsia" w:ascii="宋体" w:hAnsi="宋体" w:eastAsia="宋体" w:cs="宋体"/>
          <w:bCs/>
          <w:color w:val="auto"/>
          <w:szCs w:val="21"/>
          <w:highlight w:val="none"/>
        </w:rPr>
        <w:t>进行。</w:t>
      </w:r>
    </w:p>
    <w:p w14:paraId="42915F00">
      <w:pPr>
        <w:widowControl/>
        <w:adjustRightInd w:val="0"/>
        <w:snapToGrid w:val="0"/>
        <w:spacing w:line="420" w:lineRule="exact"/>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24.响应文件审查</w:t>
      </w:r>
      <w:r>
        <w:rPr>
          <w:rFonts w:hint="eastAsia" w:ascii="宋体" w:hAnsi="宋体" w:eastAsia="宋体" w:cs="宋体"/>
          <w:b/>
          <w:color w:val="auto"/>
          <w:szCs w:val="21"/>
          <w:highlight w:val="none"/>
        </w:rPr>
        <w:t xml:space="preserve"> </w:t>
      </w:r>
    </w:p>
    <w:p w14:paraId="22548197">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 资格性审查：根据本章第3.1项规定的供应商资格条件要求，采购人、采购代理机构对供应商递交的响应文件中的资格证明文件等进行审查，以确定供应商是否具备磋商资格条件。</w:t>
      </w:r>
    </w:p>
    <w:p w14:paraId="221932B1">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24.2符合性审查：对响应文件（包括首次提交的响应文件、重新提交的响应文件）的有效性、完整性和响应程度进行审查，以确定是否对磋商文件的实质性要求作出响应。</w:t>
      </w:r>
    </w:p>
    <w:p w14:paraId="3DF074FF">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24.3响应文件审查结束后，磋商小组所有成员集中与审查合格的单一供应商分别进行磋商，并给予所有参加磋商的供应商平等的磋商机会。供应商应派其法定代表人或委托代理人参加磋商，且须携带身份证或其他与法定代表人或其代理人身份相符的有效证件原件，以备查验。</w:t>
      </w:r>
    </w:p>
    <w:p w14:paraId="4E454B80">
      <w:pPr>
        <w:pStyle w:val="28"/>
        <w:adjustRightInd w:val="0"/>
        <w:snapToGrid w:val="0"/>
        <w:spacing w:line="420" w:lineRule="exact"/>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25.实质性响应</w:t>
      </w:r>
    </w:p>
    <w:p w14:paraId="63F4FBC8">
      <w:pPr>
        <w:pStyle w:val="28"/>
        <w:adjustRightInd w:val="0"/>
        <w:snapToGrid w:val="0"/>
        <w:spacing w:line="42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25.1实质性响应是指响应文件(包括首次响应文件、重新提交的响应文件)与磋商文件中标注“★号的条款、条件相符，没有偏离。偏离指不满足、或不响应磋商文件的要求。</w:t>
      </w:r>
    </w:p>
    <w:p w14:paraId="379A4BB3">
      <w:pPr>
        <w:pStyle w:val="28"/>
        <w:adjustRightInd w:val="0"/>
        <w:snapToGrid w:val="0"/>
        <w:spacing w:line="42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25.2响应文件是否实质性响应磋商文件要求由磋商小组依据磋商文件规定认定。磋商小组决定响应文件的响应性只根据响应文件本身的真实无误的内容，而不依据外部的证据。</w:t>
      </w:r>
    </w:p>
    <w:p w14:paraId="51E38997">
      <w:pPr>
        <w:pStyle w:val="28"/>
        <w:adjustRightInd w:val="0"/>
        <w:snapToGrid w:val="0"/>
        <w:spacing w:line="420" w:lineRule="exact"/>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26.无效响应</w:t>
      </w:r>
    </w:p>
    <w:p w14:paraId="1F3298A8">
      <w:pPr>
        <w:pStyle w:val="28"/>
        <w:adjustRightInd w:val="0"/>
        <w:snapToGrid w:val="0"/>
        <w:spacing w:line="420" w:lineRule="exact"/>
        <w:ind w:firstLine="411" w:firstLineChars="196"/>
        <w:rPr>
          <w:rFonts w:hint="eastAsia" w:ascii="宋体" w:hAnsi="宋体" w:eastAsia="宋体" w:cs="宋体"/>
          <w:b/>
          <w:color w:val="auto"/>
          <w:kern w:val="0"/>
          <w:highlight w:val="none"/>
        </w:rPr>
      </w:pPr>
      <w:r>
        <w:rPr>
          <w:rFonts w:hint="eastAsia" w:ascii="宋体" w:hAnsi="宋体" w:eastAsia="宋体" w:cs="宋体"/>
          <w:color w:val="auto"/>
          <w:kern w:val="0"/>
          <w:highlight w:val="none"/>
        </w:rPr>
        <w:t>26.1</w:t>
      </w:r>
      <w:r>
        <w:rPr>
          <w:rFonts w:hint="eastAsia" w:ascii="宋体" w:hAnsi="宋体" w:eastAsia="宋体" w:cs="宋体"/>
          <w:color w:val="auto"/>
          <w:highlight w:val="none"/>
        </w:rPr>
        <w:t>在对资格性和符合性进行审查时，有下列情况之一的，属无效响应且</w:t>
      </w:r>
      <w:r>
        <w:rPr>
          <w:rFonts w:hint="eastAsia" w:ascii="宋体" w:hAnsi="宋体" w:eastAsia="宋体" w:cs="宋体"/>
          <w:color w:val="auto"/>
          <w:kern w:val="0"/>
          <w:highlight w:val="none"/>
        </w:rPr>
        <w:t>应当告知有关供应商</w:t>
      </w:r>
      <w:r>
        <w:rPr>
          <w:rFonts w:hint="eastAsia" w:ascii="宋体" w:hAnsi="宋体" w:eastAsia="宋体" w:cs="宋体"/>
          <w:color w:val="auto"/>
          <w:highlight w:val="none"/>
        </w:rPr>
        <w:t>：</w:t>
      </w:r>
    </w:p>
    <w:p w14:paraId="67555D89">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（1）供应商不具备本章第3.1款规定的供应商资格条件要求，或存在本章第3.3款情形的；</w:t>
      </w:r>
    </w:p>
    <w:p w14:paraId="1B58A917">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（2）联合体不符合本章第3.2款规定的；</w:t>
      </w:r>
    </w:p>
    <w:p w14:paraId="46036208">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（3）应交未交磋商保证金或金额不足、磋商保证金缴纳形式不符合磋商文件要求的；</w:t>
      </w:r>
    </w:p>
    <w:p w14:paraId="2D5198A4">
      <w:pPr>
        <w:adjustRightInd w:val="0"/>
        <w:snapToGrid w:val="0"/>
        <w:spacing w:line="420" w:lineRule="exact"/>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（4）响应文件未按照磋商文件要求签署、盖章的；</w:t>
      </w:r>
    </w:p>
    <w:p w14:paraId="5F0C4438">
      <w:pPr>
        <w:adjustRightInd w:val="0"/>
        <w:snapToGrid w:val="0"/>
        <w:spacing w:line="420" w:lineRule="exact"/>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w:t>
      </w:r>
      <w:r>
        <w:rPr>
          <w:rFonts w:hint="eastAsia" w:ascii="宋体" w:hAnsi="宋体" w:cs="宋体"/>
          <w:color w:val="FF0000"/>
          <w:szCs w:val="21"/>
          <w:highlight w:val="none"/>
          <w:lang w:val="en-US" w:eastAsia="zh-CN"/>
        </w:rPr>
        <w:t>5</w:t>
      </w:r>
      <w:r>
        <w:rPr>
          <w:rFonts w:hint="eastAsia" w:ascii="宋体" w:hAnsi="宋体" w:eastAsia="宋体" w:cs="宋体"/>
          <w:color w:val="FF0000"/>
          <w:szCs w:val="21"/>
          <w:highlight w:val="none"/>
        </w:rPr>
        <w:t>）响应文件不满足本章第25.1款规定的实质性要求的；</w:t>
      </w:r>
    </w:p>
    <w:p w14:paraId="28C80A9B">
      <w:pPr>
        <w:adjustRightInd w:val="0"/>
        <w:snapToGrid w:val="0"/>
        <w:spacing w:line="420" w:lineRule="exact"/>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w:t>
      </w:r>
      <w:r>
        <w:rPr>
          <w:rFonts w:hint="eastAsia" w:ascii="宋体" w:hAnsi="宋体" w:cs="宋体"/>
          <w:color w:val="FF0000"/>
          <w:szCs w:val="21"/>
          <w:highlight w:val="none"/>
          <w:lang w:val="en-US" w:eastAsia="zh-CN"/>
        </w:rPr>
        <w:t>6</w:t>
      </w:r>
      <w:r>
        <w:rPr>
          <w:rFonts w:hint="eastAsia" w:ascii="宋体" w:hAnsi="宋体" w:eastAsia="宋体" w:cs="宋体"/>
          <w:color w:val="FF0000"/>
          <w:szCs w:val="21"/>
          <w:highlight w:val="none"/>
        </w:rPr>
        <w:t>）报价超过采购项目预算或最高限价的；</w:t>
      </w:r>
    </w:p>
    <w:p w14:paraId="5E9063A1">
      <w:pPr>
        <w:adjustRightInd w:val="0"/>
        <w:snapToGrid w:val="0"/>
        <w:spacing w:line="420" w:lineRule="exact"/>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w:t>
      </w:r>
      <w:r>
        <w:rPr>
          <w:rFonts w:hint="eastAsia" w:ascii="宋体" w:hAnsi="宋体" w:cs="宋体"/>
          <w:color w:val="FF0000"/>
          <w:szCs w:val="21"/>
          <w:highlight w:val="none"/>
          <w:lang w:val="en-US" w:eastAsia="zh-CN"/>
        </w:rPr>
        <w:t>7</w:t>
      </w:r>
      <w:r>
        <w:rPr>
          <w:rFonts w:hint="eastAsia" w:ascii="宋体" w:hAnsi="宋体" w:eastAsia="宋体" w:cs="宋体"/>
          <w:color w:val="FF0000"/>
          <w:szCs w:val="21"/>
          <w:highlight w:val="none"/>
        </w:rPr>
        <w:t>）响应文件有效期不足的；</w:t>
      </w:r>
    </w:p>
    <w:p w14:paraId="657B3440">
      <w:pPr>
        <w:adjustRightInd w:val="0"/>
        <w:snapToGrid w:val="0"/>
        <w:spacing w:line="420" w:lineRule="exact"/>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w:t>
      </w:r>
      <w:r>
        <w:rPr>
          <w:rFonts w:hint="eastAsia" w:ascii="宋体" w:hAnsi="宋体" w:cs="宋体"/>
          <w:color w:val="FF0000"/>
          <w:szCs w:val="21"/>
          <w:highlight w:val="none"/>
          <w:lang w:val="en-US" w:eastAsia="zh-CN"/>
        </w:rPr>
        <w:t>8</w:t>
      </w:r>
      <w:r>
        <w:rPr>
          <w:rFonts w:hint="eastAsia" w:ascii="宋体" w:hAnsi="宋体" w:eastAsia="宋体" w:cs="宋体"/>
          <w:color w:val="FF0000"/>
          <w:szCs w:val="21"/>
          <w:highlight w:val="none"/>
        </w:rPr>
        <w:t>）响应文件不符合法律、规章、规范性文件和磋商文件规定及要求的。</w:t>
      </w:r>
    </w:p>
    <w:p w14:paraId="3E5F931A">
      <w:pPr>
        <w:widowControl/>
        <w:adjustRightInd w:val="0"/>
        <w:snapToGrid w:val="0"/>
        <w:spacing w:line="420" w:lineRule="exact"/>
        <w:jc w:val="lef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27.澄清</w:t>
      </w:r>
    </w:p>
    <w:p w14:paraId="0E10D514">
      <w:pPr>
        <w:widowControl/>
        <w:adjustRightInd w:val="0"/>
        <w:snapToGrid w:val="0"/>
        <w:spacing w:line="420" w:lineRule="exact"/>
        <w:ind w:firstLine="4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5828403F">
      <w:pPr>
        <w:widowControl/>
        <w:adjustRightInd w:val="0"/>
        <w:snapToGrid w:val="0"/>
        <w:spacing w:line="420" w:lineRule="exact"/>
        <w:ind w:firstLine="4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3365406D">
      <w:pPr>
        <w:widowControl/>
        <w:adjustRightInd w:val="0"/>
        <w:snapToGrid w:val="0"/>
        <w:spacing w:line="420" w:lineRule="exact"/>
        <w:jc w:val="lef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28.磋商</w:t>
      </w:r>
    </w:p>
    <w:p w14:paraId="7D0784CC">
      <w:pPr>
        <w:widowControl/>
        <w:adjustRightInd w:val="0"/>
        <w:snapToGrid w:val="0"/>
        <w:spacing w:line="420" w:lineRule="exact"/>
        <w:ind w:firstLine="420"/>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28.1</w:t>
      </w:r>
      <w:r>
        <w:rPr>
          <w:rFonts w:hint="eastAsia" w:ascii="宋体" w:hAnsi="宋体" w:eastAsia="宋体" w:cs="宋体"/>
          <w:color w:val="auto"/>
          <w:szCs w:val="21"/>
          <w:highlight w:val="none"/>
        </w:rPr>
        <w:t>本章第10.2项</w:t>
      </w:r>
      <w:r>
        <w:rPr>
          <w:rFonts w:hint="eastAsia" w:ascii="宋体" w:hAnsi="宋体" w:eastAsia="宋体" w:cs="宋体"/>
          <w:color w:val="auto"/>
          <w:kern w:val="0"/>
          <w:szCs w:val="21"/>
          <w:highlight w:val="none"/>
        </w:rPr>
        <w:t>未明确磋商文件实质性变动内容的，或者磋商文件明确了可能发生实质性变动内容，但在磋商过程中，</w:t>
      </w:r>
      <w:r>
        <w:rPr>
          <w:rFonts w:hint="eastAsia" w:ascii="宋体" w:hAnsi="宋体" w:eastAsia="宋体" w:cs="宋体"/>
          <w:bCs/>
          <w:color w:val="auto"/>
          <w:szCs w:val="21"/>
          <w:highlight w:val="none"/>
        </w:rPr>
        <w:t>磋商小组</w:t>
      </w:r>
      <w:r>
        <w:rPr>
          <w:rFonts w:hint="eastAsia" w:ascii="宋体" w:hAnsi="宋体" w:eastAsia="宋体" w:cs="宋体"/>
          <w:color w:val="auto"/>
          <w:kern w:val="0"/>
          <w:szCs w:val="21"/>
          <w:highlight w:val="none"/>
        </w:rPr>
        <w:t>根据磋商情况</w:t>
      </w:r>
      <w:r>
        <w:rPr>
          <w:rFonts w:hint="eastAsia" w:ascii="宋体" w:hAnsi="宋体" w:eastAsia="宋体" w:cs="宋体"/>
          <w:bCs/>
          <w:color w:val="auto"/>
          <w:szCs w:val="21"/>
          <w:highlight w:val="none"/>
        </w:rPr>
        <w:t>认为</w:t>
      </w:r>
      <w:r>
        <w:rPr>
          <w:rFonts w:hint="eastAsia" w:ascii="宋体" w:hAnsi="宋体" w:eastAsia="宋体" w:cs="宋体"/>
          <w:color w:val="auto"/>
          <w:kern w:val="0"/>
          <w:szCs w:val="21"/>
          <w:highlight w:val="none"/>
        </w:rPr>
        <w:t>磋商文件无需发生实质性变动的，磋商小组应当直接与响应文件审查合格的供应商就价格组织多轮磋商。</w:t>
      </w:r>
    </w:p>
    <w:p w14:paraId="53C2F891">
      <w:pPr>
        <w:widowControl/>
        <w:tabs>
          <w:tab w:val="left" w:pos="1080"/>
          <w:tab w:val="left" w:pos="1260"/>
        </w:tabs>
        <w:adjustRightInd w:val="0"/>
        <w:snapToGrid w:val="0"/>
        <w:spacing w:line="420" w:lineRule="exact"/>
        <w:ind w:firstLine="4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（1）磋商结束后，磋商小组应当要求所有继续参加磋商的供应商在磋商小组规定时间内提交最后报价。</w:t>
      </w:r>
    </w:p>
    <w:p w14:paraId="17485BAB">
      <w:pPr>
        <w:widowControl/>
        <w:tabs>
          <w:tab w:val="left" w:pos="1080"/>
          <w:tab w:val="left" w:pos="1260"/>
        </w:tabs>
        <w:adjustRightInd w:val="0"/>
        <w:snapToGrid w:val="0"/>
        <w:spacing w:line="420" w:lineRule="exact"/>
        <w:ind w:firstLine="4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（2）磋商文件明确可能发生实质性变动，但在磋商过程中</w:t>
      </w:r>
      <w:r>
        <w:rPr>
          <w:rFonts w:hint="eastAsia" w:ascii="宋体" w:hAnsi="宋体" w:eastAsia="宋体" w:cs="宋体"/>
          <w:bCs/>
          <w:color w:val="auto"/>
          <w:szCs w:val="21"/>
          <w:highlight w:val="none"/>
        </w:rPr>
        <w:t>磋商小组</w:t>
      </w:r>
      <w:r>
        <w:rPr>
          <w:rFonts w:hint="eastAsia" w:ascii="宋体" w:hAnsi="宋体" w:eastAsia="宋体" w:cs="宋体"/>
          <w:color w:val="auto"/>
          <w:kern w:val="0"/>
          <w:szCs w:val="21"/>
          <w:highlight w:val="none"/>
        </w:rPr>
        <w:t>根据磋商情况</w:t>
      </w:r>
      <w:r>
        <w:rPr>
          <w:rFonts w:hint="eastAsia" w:ascii="宋体" w:hAnsi="宋体" w:eastAsia="宋体" w:cs="宋体"/>
          <w:bCs/>
          <w:color w:val="auto"/>
          <w:szCs w:val="21"/>
          <w:highlight w:val="none"/>
        </w:rPr>
        <w:t>认为</w:t>
      </w:r>
      <w:r>
        <w:rPr>
          <w:rFonts w:hint="eastAsia" w:ascii="宋体" w:hAnsi="宋体" w:eastAsia="宋体" w:cs="宋体"/>
          <w:color w:val="auto"/>
          <w:kern w:val="0"/>
          <w:szCs w:val="21"/>
          <w:highlight w:val="none"/>
        </w:rPr>
        <w:t>磋商文件无需发生实质性变动的，磋商小组不另行通知。</w:t>
      </w:r>
    </w:p>
    <w:p w14:paraId="1C9050B3">
      <w:pPr>
        <w:widowControl/>
        <w:adjustRightInd w:val="0"/>
        <w:snapToGrid w:val="0"/>
        <w:spacing w:line="420" w:lineRule="exact"/>
        <w:ind w:firstLine="4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28.2</w:t>
      </w:r>
      <w:r>
        <w:rPr>
          <w:rFonts w:hint="eastAsia" w:ascii="宋体" w:hAnsi="宋体" w:eastAsia="宋体" w:cs="宋体"/>
          <w:color w:val="auto"/>
          <w:szCs w:val="21"/>
          <w:highlight w:val="none"/>
        </w:rPr>
        <w:t>本章第10.2</w:t>
      </w:r>
      <w:r>
        <w:rPr>
          <w:rFonts w:hint="eastAsia" w:ascii="宋体" w:hAnsi="宋体" w:eastAsia="宋体" w:cs="宋体"/>
          <w:color w:val="auto"/>
          <w:kern w:val="0"/>
          <w:szCs w:val="21"/>
          <w:highlight w:val="none"/>
          <w:lang w:val="zh-CN"/>
        </w:rPr>
        <w:t>款</w:t>
      </w:r>
      <w:r>
        <w:rPr>
          <w:rFonts w:hint="eastAsia" w:ascii="宋体" w:hAnsi="宋体" w:eastAsia="宋体" w:cs="宋体"/>
          <w:color w:val="auto"/>
          <w:kern w:val="0"/>
          <w:szCs w:val="21"/>
          <w:highlight w:val="none"/>
        </w:rPr>
        <w:t>明确磋商文件实质性变动内容的，</w:t>
      </w:r>
      <w:r>
        <w:rPr>
          <w:rFonts w:hint="eastAsia" w:ascii="宋体" w:hAnsi="宋体" w:eastAsia="宋体" w:cs="宋体"/>
          <w:bCs/>
          <w:color w:val="auto"/>
          <w:szCs w:val="21"/>
          <w:highlight w:val="none"/>
        </w:rPr>
        <w:t>磋商小组</w:t>
      </w:r>
      <w:r>
        <w:rPr>
          <w:rFonts w:hint="eastAsia" w:ascii="宋体" w:hAnsi="宋体" w:eastAsia="宋体" w:cs="宋体"/>
          <w:color w:val="auto"/>
          <w:kern w:val="0"/>
          <w:szCs w:val="21"/>
          <w:highlight w:val="none"/>
        </w:rPr>
        <w:t>可以组织多轮磋商。</w:t>
      </w:r>
      <w:r>
        <w:rPr>
          <w:rFonts w:hint="eastAsia" w:ascii="宋体" w:hAnsi="宋体" w:eastAsia="宋体" w:cs="宋体"/>
          <w:bCs/>
          <w:color w:val="auto"/>
          <w:szCs w:val="21"/>
          <w:highlight w:val="none"/>
        </w:rPr>
        <w:t>在每一轮磋商中，磋商小组</w:t>
      </w:r>
      <w:r>
        <w:rPr>
          <w:rFonts w:hint="eastAsia" w:ascii="宋体" w:hAnsi="宋体" w:eastAsia="宋体" w:cs="宋体"/>
          <w:color w:val="auto"/>
          <w:kern w:val="0"/>
          <w:szCs w:val="21"/>
          <w:highlight w:val="none"/>
        </w:rPr>
        <w:t>可以根据磋商文件规定和磋商情况，</w:t>
      </w:r>
      <w:r>
        <w:rPr>
          <w:rFonts w:hint="eastAsia" w:ascii="宋体" w:hAnsi="宋体" w:eastAsia="宋体" w:cs="宋体"/>
          <w:bCs/>
          <w:color w:val="auto"/>
          <w:szCs w:val="21"/>
          <w:highlight w:val="none"/>
        </w:rPr>
        <w:t>对磋商文件的</w:t>
      </w:r>
      <w:r>
        <w:rPr>
          <w:rFonts w:hint="eastAsia" w:ascii="宋体" w:hAnsi="宋体" w:eastAsia="宋体" w:cs="宋体"/>
          <w:color w:val="auto"/>
          <w:kern w:val="0"/>
          <w:szCs w:val="21"/>
          <w:highlight w:val="none"/>
        </w:rPr>
        <w:t>采购需求中的技术、服务要求以及合同草案条款</w:t>
      </w:r>
      <w:r>
        <w:rPr>
          <w:rFonts w:hint="eastAsia" w:ascii="宋体" w:hAnsi="宋体" w:eastAsia="宋体" w:cs="宋体"/>
          <w:bCs/>
          <w:color w:val="auto"/>
          <w:szCs w:val="21"/>
          <w:highlight w:val="none"/>
        </w:rPr>
        <w:t>作实质性变动（磋商文件的实质性变动内容为磋商文件的组成部分），并以书面形式要求</w:t>
      </w:r>
      <w:r>
        <w:rPr>
          <w:rFonts w:hint="eastAsia" w:ascii="宋体" w:hAnsi="宋体" w:eastAsia="宋体" w:cs="宋体"/>
          <w:color w:val="auto"/>
          <w:kern w:val="0"/>
          <w:szCs w:val="21"/>
          <w:highlight w:val="none"/>
        </w:rPr>
        <w:t>响应文件审查合格</w:t>
      </w:r>
      <w:r>
        <w:rPr>
          <w:rFonts w:hint="eastAsia" w:ascii="宋体" w:hAnsi="宋体" w:eastAsia="宋体" w:cs="宋体"/>
          <w:bCs/>
          <w:color w:val="auto"/>
          <w:szCs w:val="21"/>
          <w:highlight w:val="none"/>
        </w:rPr>
        <w:t>的供应商，在规定的</w:t>
      </w:r>
      <w:r>
        <w:rPr>
          <w:rFonts w:hint="eastAsia" w:ascii="宋体" w:hAnsi="宋体" w:eastAsia="宋体" w:cs="宋体"/>
          <w:color w:val="auto"/>
          <w:kern w:val="0"/>
          <w:szCs w:val="21"/>
          <w:highlight w:val="none"/>
        </w:rPr>
        <w:t>截止时间前</w:t>
      </w:r>
      <w:r>
        <w:rPr>
          <w:rFonts w:hint="eastAsia" w:ascii="宋体" w:hAnsi="宋体" w:eastAsia="宋体" w:cs="宋体"/>
          <w:bCs/>
          <w:color w:val="auto"/>
          <w:szCs w:val="21"/>
          <w:highlight w:val="none"/>
        </w:rPr>
        <w:t>重</w:t>
      </w:r>
      <w:r>
        <w:rPr>
          <w:rFonts w:hint="eastAsia" w:ascii="宋体" w:hAnsi="宋体" w:eastAsia="宋体" w:cs="宋体"/>
          <w:color w:val="auto"/>
          <w:kern w:val="0"/>
          <w:szCs w:val="21"/>
          <w:highlight w:val="none"/>
        </w:rPr>
        <w:t>新提交响应文件</w:t>
      </w:r>
      <w:r>
        <w:rPr>
          <w:rFonts w:hint="eastAsia" w:ascii="宋体" w:hAnsi="宋体" w:eastAsia="宋体" w:cs="宋体"/>
          <w:bCs/>
          <w:color w:val="auto"/>
          <w:szCs w:val="21"/>
          <w:highlight w:val="none"/>
        </w:rPr>
        <w:t>。</w:t>
      </w:r>
      <w:r>
        <w:rPr>
          <w:rFonts w:hint="eastAsia" w:ascii="宋体" w:hAnsi="宋体" w:eastAsia="宋体" w:cs="宋体"/>
          <w:color w:val="auto"/>
          <w:kern w:val="0"/>
          <w:szCs w:val="21"/>
          <w:highlight w:val="none"/>
        </w:rPr>
        <w:t>磋商小组应当</w:t>
      </w:r>
      <w:r>
        <w:rPr>
          <w:rFonts w:hint="eastAsia" w:ascii="宋体" w:hAnsi="宋体" w:eastAsia="宋体" w:cs="宋体"/>
          <w:color w:val="auto"/>
          <w:szCs w:val="21"/>
          <w:highlight w:val="none"/>
        </w:rPr>
        <w:t>根据本章第25.2</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规定</w:t>
      </w:r>
      <w:r>
        <w:rPr>
          <w:rFonts w:hint="eastAsia" w:ascii="宋体" w:hAnsi="宋体" w:eastAsia="宋体" w:cs="宋体"/>
          <w:color w:val="auto"/>
          <w:kern w:val="0"/>
          <w:szCs w:val="21"/>
          <w:highlight w:val="none"/>
        </w:rPr>
        <w:t>对供应商重新提交的响应文件进行审查。供应商重新提交的响应文件审查不合格的，不得进入下一轮磋商，也不得要求提交最后报价。</w:t>
      </w:r>
    </w:p>
    <w:p w14:paraId="00C34AC3">
      <w:pPr>
        <w:adjustRightInd w:val="0"/>
        <w:snapToGrid w:val="0"/>
        <w:spacing w:line="42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（1）磋商文件能够详细列明采购需求的技术、服务要求的，磋商结束后，磋商小组应当要求所有继续参加磋商的供应商在规定时间内提交最后报价。</w:t>
      </w:r>
    </w:p>
    <w:p w14:paraId="1EEA97C7">
      <w:pPr>
        <w:widowControl/>
        <w:adjustRightInd w:val="0"/>
        <w:snapToGrid w:val="0"/>
        <w:spacing w:line="420" w:lineRule="exact"/>
        <w:ind w:firstLine="4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D526EE8">
      <w:pPr>
        <w:widowControl/>
        <w:adjustRightInd w:val="0"/>
        <w:snapToGrid w:val="0"/>
        <w:spacing w:line="420" w:lineRule="exact"/>
        <w:ind w:firstLine="42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28.3</w:t>
      </w:r>
      <w:r>
        <w:rPr>
          <w:rFonts w:hint="eastAsia" w:ascii="宋体" w:hAnsi="宋体" w:eastAsia="宋体" w:cs="宋体"/>
          <w:color w:val="auto"/>
          <w:szCs w:val="21"/>
          <w:highlight w:val="none"/>
        </w:rPr>
        <w:t xml:space="preserve"> </w:t>
      </w:r>
      <w:r>
        <w:rPr>
          <w:rFonts w:hint="eastAsia" w:ascii="宋体" w:hAnsi="宋体" w:eastAsia="宋体" w:cs="宋体"/>
          <w:bCs/>
          <w:color w:val="auto"/>
          <w:szCs w:val="21"/>
          <w:highlight w:val="none"/>
        </w:rPr>
        <w:t>重</w:t>
      </w:r>
      <w:r>
        <w:rPr>
          <w:rFonts w:hint="eastAsia" w:ascii="宋体" w:hAnsi="宋体" w:eastAsia="宋体" w:cs="宋体"/>
          <w:color w:val="auto"/>
          <w:kern w:val="0"/>
          <w:szCs w:val="21"/>
          <w:highlight w:val="none"/>
        </w:rPr>
        <w:t>新提交的响应文件</w:t>
      </w:r>
      <w:r>
        <w:rPr>
          <w:rFonts w:hint="eastAsia" w:ascii="宋体" w:hAnsi="宋体" w:eastAsia="宋体" w:cs="宋体"/>
          <w:color w:val="auto"/>
          <w:szCs w:val="21"/>
          <w:highlight w:val="none"/>
        </w:rPr>
        <w:t>或者最后报价应按</w:t>
      </w:r>
      <w:r>
        <w:rPr>
          <w:rFonts w:hint="eastAsia" w:ascii="宋体" w:hAnsi="宋体" w:eastAsia="宋体" w:cs="宋体"/>
          <w:color w:val="auto"/>
          <w:kern w:val="0"/>
          <w:szCs w:val="21"/>
          <w:highlight w:val="none"/>
        </w:rPr>
        <w:t>本章第</w:t>
      </w:r>
      <w:r>
        <w:rPr>
          <w:rFonts w:hint="eastAsia" w:ascii="宋体" w:hAnsi="宋体" w:eastAsia="宋体" w:cs="宋体"/>
          <w:color w:val="auto"/>
          <w:szCs w:val="21"/>
          <w:highlight w:val="none"/>
        </w:rPr>
        <w:t>19.3</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规定，</w:t>
      </w:r>
      <w:r>
        <w:rPr>
          <w:rFonts w:hint="eastAsia" w:ascii="宋体" w:hAnsi="宋体" w:eastAsia="宋体" w:cs="宋体"/>
          <w:color w:val="auto"/>
          <w:kern w:val="0"/>
          <w:szCs w:val="21"/>
          <w:highlight w:val="none"/>
        </w:rPr>
        <w:t>由其法定代表人或其委托代理人签字或者加盖供应商单位章，在规定时间内密封递交给磋商小组</w:t>
      </w:r>
      <w:r>
        <w:rPr>
          <w:rFonts w:hint="eastAsia" w:ascii="宋体" w:hAnsi="宋体" w:eastAsia="宋体" w:cs="宋体"/>
          <w:bCs/>
          <w:color w:val="auto"/>
          <w:szCs w:val="21"/>
          <w:highlight w:val="none"/>
        </w:rPr>
        <w:t>。</w:t>
      </w:r>
    </w:p>
    <w:p w14:paraId="00B0C82F">
      <w:pPr>
        <w:widowControl/>
        <w:adjustRightInd w:val="0"/>
        <w:snapToGrid w:val="0"/>
        <w:spacing w:line="420" w:lineRule="exact"/>
        <w:ind w:firstLine="4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28.4</w:t>
      </w:r>
      <w:r>
        <w:rPr>
          <w:rFonts w:hint="eastAsia" w:ascii="宋体" w:hAnsi="宋体" w:eastAsia="宋体" w:cs="宋体"/>
          <w:color w:val="auto"/>
          <w:kern w:val="0"/>
          <w:szCs w:val="21"/>
          <w:highlight w:val="none"/>
          <w:lang w:val="zh-CN"/>
        </w:rPr>
        <w:t>供应商的</w:t>
      </w:r>
      <w:r>
        <w:rPr>
          <w:rFonts w:hint="eastAsia" w:ascii="宋体" w:hAnsi="宋体" w:eastAsia="宋体" w:cs="宋体"/>
          <w:bCs/>
          <w:color w:val="auto"/>
          <w:szCs w:val="21"/>
          <w:highlight w:val="none"/>
        </w:rPr>
        <w:t>最</w:t>
      </w:r>
      <w:r>
        <w:rPr>
          <w:rFonts w:hint="eastAsia" w:ascii="宋体" w:hAnsi="宋体" w:eastAsia="宋体" w:cs="宋体"/>
          <w:color w:val="auto"/>
          <w:kern w:val="0"/>
          <w:szCs w:val="21"/>
          <w:highlight w:val="none"/>
          <w:lang w:val="zh-CN"/>
        </w:rPr>
        <w:t>后</w:t>
      </w:r>
      <w:r>
        <w:rPr>
          <w:rFonts w:hint="eastAsia" w:ascii="宋体" w:hAnsi="宋体" w:eastAsia="宋体" w:cs="宋体"/>
          <w:bCs/>
          <w:color w:val="auto"/>
          <w:szCs w:val="21"/>
          <w:highlight w:val="none"/>
        </w:rPr>
        <w:t>报价及</w:t>
      </w:r>
      <w:r>
        <w:rPr>
          <w:rFonts w:hint="eastAsia" w:ascii="宋体" w:hAnsi="宋体" w:eastAsia="宋体" w:cs="宋体"/>
          <w:color w:val="auto"/>
          <w:kern w:val="0"/>
          <w:szCs w:val="21"/>
          <w:highlight w:val="none"/>
        </w:rPr>
        <w:t>政府采购政策规定的价格扣除情况，磋商小组应召集所有参加最后报价的供应商当场开封</w:t>
      </w:r>
      <w:r>
        <w:rPr>
          <w:rFonts w:hint="eastAsia" w:ascii="宋体" w:hAnsi="宋体" w:eastAsia="宋体" w:cs="宋体"/>
          <w:bCs/>
          <w:color w:val="auto"/>
          <w:szCs w:val="21"/>
          <w:highlight w:val="none"/>
        </w:rPr>
        <w:t>公布，并由供应商代表签字确认。</w:t>
      </w:r>
    </w:p>
    <w:p w14:paraId="10101A3B">
      <w:pPr>
        <w:widowControl/>
        <w:adjustRightInd w:val="0"/>
        <w:snapToGrid w:val="0"/>
        <w:spacing w:line="420" w:lineRule="exact"/>
        <w:ind w:firstLine="4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28.5提交首次响应文件的供应商，在提交最后报价之前，可以根据磋商情况退出磋商，并书面通知采购代理机构或者磋商小组。</w:t>
      </w:r>
      <w:r>
        <w:rPr>
          <w:rFonts w:hint="eastAsia" w:ascii="宋体" w:hAnsi="宋体" w:eastAsia="宋体" w:cs="宋体"/>
          <w:color w:val="auto"/>
          <w:szCs w:val="21"/>
          <w:highlight w:val="none"/>
        </w:rPr>
        <w:t>该通知由供应商法定代表人或其委托代理人签字。</w:t>
      </w:r>
      <w:r>
        <w:rPr>
          <w:rFonts w:hint="eastAsia" w:ascii="宋体" w:hAnsi="宋体" w:eastAsia="宋体" w:cs="宋体"/>
          <w:color w:val="auto"/>
          <w:kern w:val="0"/>
          <w:szCs w:val="21"/>
          <w:highlight w:val="none"/>
        </w:rPr>
        <w:t>采购代理机构按本章第</w:t>
      </w:r>
      <w:r>
        <w:rPr>
          <w:rFonts w:hint="eastAsia" w:ascii="宋体" w:hAnsi="宋体" w:eastAsia="宋体" w:cs="宋体"/>
          <w:color w:val="auto"/>
          <w:szCs w:val="21"/>
          <w:highlight w:val="none"/>
        </w:rPr>
        <w:t>17.4</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规定</w:t>
      </w:r>
      <w:r>
        <w:rPr>
          <w:rFonts w:hint="eastAsia" w:ascii="宋体" w:hAnsi="宋体" w:eastAsia="宋体" w:cs="宋体"/>
          <w:color w:val="auto"/>
          <w:kern w:val="0"/>
          <w:szCs w:val="21"/>
          <w:highlight w:val="none"/>
        </w:rPr>
        <w:t>退还退出磋商的供应商的磋商保证金。</w:t>
      </w:r>
    </w:p>
    <w:p w14:paraId="5BFF35DA">
      <w:pPr>
        <w:adjustRightInd w:val="0"/>
        <w:snapToGrid w:val="0"/>
        <w:spacing w:line="42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28.6</w:t>
      </w:r>
      <w:r>
        <w:rPr>
          <w:rFonts w:hint="eastAsia" w:ascii="宋体" w:hAnsi="宋体" w:eastAsia="宋体" w:cs="宋体"/>
          <w:color w:val="auto"/>
          <w:kern w:val="0"/>
          <w:szCs w:val="21"/>
          <w:highlight w:val="none"/>
        </w:rPr>
        <w:t>提交首次响应文件的供应商，未按磋商文件规定及磋商小组要求提交最后报价（或者</w:t>
      </w:r>
      <w:r>
        <w:rPr>
          <w:rFonts w:hint="eastAsia" w:ascii="宋体" w:hAnsi="宋体" w:eastAsia="宋体" w:cs="宋体"/>
          <w:bCs/>
          <w:color w:val="auto"/>
          <w:szCs w:val="21"/>
          <w:highlight w:val="none"/>
        </w:rPr>
        <w:t>重</w:t>
      </w:r>
      <w:r>
        <w:rPr>
          <w:rFonts w:hint="eastAsia" w:ascii="宋体" w:hAnsi="宋体" w:eastAsia="宋体" w:cs="宋体"/>
          <w:color w:val="auto"/>
          <w:kern w:val="0"/>
          <w:szCs w:val="21"/>
          <w:highlight w:val="none"/>
        </w:rPr>
        <w:t>新提交的响应文件和最后报价），且又未按本章第</w:t>
      </w:r>
      <w:r>
        <w:rPr>
          <w:rFonts w:hint="eastAsia" w:ascii="宋体" w:hAnsi="宋体" w:eastAsia="宋体" w:cs="宋体"/>
          <w:color w:val="auto"/>
          <w:szCs w:val="21"/>
          <w:highlight w:val="none"/>
        </w:rPr>
        <w:t>28.5</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规定</w:t>
      </w:r>
      <w:r>
        <w:rPr>
          <w:rFonts w:hint="eastAsia" w:ascii="宋体" w:hAnsi="宋体" w:eastAsia="宋体" w:cs="宋体"/>
          <w:color w:val="auto"/>
          <w:kern w:val="0"/>
          <w:szCs w:val="21"/>
          <w:highlight w:val="none"/>
        </w:rPr>
        <w:t>退出磋商的，供应商的磋商保证金不予退还。</w:t>
      </w:r>
    </w:p>
    <w:p w14:paraId="1C886D04">
      <w:pPr>
        <w:widowControl/>
        <w:adjustRightInd w:val="0"/>
        <w:snapToGrid w:val="0"/>
        <w:spacing w:line="420" w:lineRule="exact"/>
        <w:jc w:val="left"/>
        <w:rPr>
          <w:rFonts w:hint="eastAsia" w:ascii="宋体" w:hAnsi="宋体" w:eastAsia="宋体" w:cs="宋体"/>
          <w:b/>
          <w:bCs/>
          <w:color w:val="auto"/>
          <w:szCs w:val="21"/>
          <w:highlight w:val="none"/>
        </w:rPr>
      </w:pPr>
      <w:r>
        <w:rPr>
          <w:rFonts w:hint="eastAsia" w:ascii="宋体" w:hAnsi="宋体" w:eastAsia="宋体" w:cs="宋体"/>
          <w:b/>
          <w:color w:val="auto"/>
          <w:kern w:val="0"/>
          <w:szCs w:val="21"/>
          <w:highlight w:val="none"/>
        </w:rPr>
        <w:t>29.响应文件评审</w:t>
      </w:r>
    </w:p>
    <w:p w14:paraId="1CCE463E">
      <w:pPr>
        <w:widowControl/>
        <w:adjustRightInd w:val="0"/>
        <w:snapToGrid w:val="0"/>
        <w:spacing w:line="42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29.1经磋商确定最终采购需求和提交最后报价的供应商后，由磋商小组采用综合评分法对提交最后报价的供应商的响应文件和最后报价进行综合评价。</w:t>
      </w:r>
    </w:p>
    <w:p w14:paraId="2D659175">
      <w:pPr>
        <w:widowControl/>
        <w:adjustRightInd w:val="0"/>
        <w:snapToGrid w:val="0"/>
        <w:spacing w:line="42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29.2综合评分法，是指响应文件满足磋商文件全部实质性要求且按评审因素的量化指标评审得分最高的供应商为成交候选供应商的评审方法。本采购项目的评审因素和标准见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color w:val="auto"/>
          <w:szCs w:val="21"/>
          <w:highlight w:val="none"/>
        </w:rPr>
        <w:t>磋商须知前附表。</w:t>
      </w:r>
    </w:p>
    <w:p w14:paraId="622170ED">
      <w:pPr>
        <w:widowControl/>
        <w:adjustRightInd w:val="0"/>
        <w:snapToGrid w:val="0"/>
        <w:spacing w:line="42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29.3</w:t>
      </w:r>
      <w:r>
        <w:rPr>
          <w:rFonts w:hint="eastAsia" w:ascii="宋体" w:hAnsi="宋体" w:eastAsia="宋体" w:cs="宋体"/>
          <w:color w:val="auto"/>
          <w:szCs w:val="21"/>
          <w:highlight w:val="none"/>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color w:val="auto"/>
          <w:szCs w:val="21"/>
          <w:highlight w:val="none"/>
        </w:rPr>
        <w:t>磋商须知前附表</w:t>
      </w:r>
      <w:r>
        <w:rPr>
          <w:rFonts w:hint="eastAsia" w:ascii="宋体" w:hAnsi="宋体" w:eastAsia="宋体" w:cs="宋体"/>
          <w:color w:val="auto"/>
          <w:szCs w:val="21"/>
          <w:highlight w:val="none"/>
        </w:rPr>
        <w:t>。</w:t>
      </w:r>
    </w:p>
    <w:p w14:paraId="6B3F1536">
      <w:pPr>
        <w:widowControl/>
        <w:adjustRightInd w:val="0"/>
        <w:snapToGri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29.4综合评分法中的价格分采用低价优先法计算，即满足磋商文件要求且经调整后的最后报价最低的供应商的价格为磋商基准价，其价格分为满分。其他供应商的价格分按照下列公式计算：</w:t>
      </w:r>
    </w:p>
    <w:p w14:paraId="286B40D8">
      <w:pPr>
        <w:widowControl/>
        <w:adjustRightInd w:val="0"/>
        <w:snapToGri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磋商报价得分=（磋商基准价/最后报价）×价格权值</w:t>
      </w:r>
    </w:p>
    <w:p w14:paraId="18A8CAAE">
      <w:pPr>
        <w:widowControl/>
        <w:adjustRightInd w:val="0"/>
        <w:snapToGri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项目评审过程中，不得去掉最后报价中的最高报价和最低报价。</w:t>
      </w:r>
    </w:p>
    <w:p w14:paraId="2AD05CA0">
      <w:pPr>
        <w:widowControl/>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29.5</w:t>
      </w:r>
      <w:r>
        <w:rPr>
          <w:rFonts w:hint="eastAsia" w:ascii="宋体" w:hAnsi="宋体" w:eastAsia="宋体" w:cs="宋体"/>
          <w:color w:val="auto"/>
          <w:szCs w:val="21"/>
          <w:highlight w:val="none"/>
        </w:rPr>
        <w:t>评审时，磋商小组各成员应当独立对每个供应商的</w:t>
      </w:r>
      <w:r>
        <w:rPr>
          <w:rFonts w:hint="eastAsia" w:ascii="宋体" w:hAnsi="宋体" w:eastAsia="宋体" w:cs="宋体"/>
          <w:bCs/>
          <w:color w:val="auto"/>
          <w:szCs w:val="21"/>
          <w:highlight w:val="none"/>
        </w:rPr>
        <w:t>响应文件</w:t>
      </w:r>
      <w:r>
        <w:rPr>
          <w:rFonts w:hint="eastAsia" w:ascii="宋体" w:hAnsi="宋体" w:eastAsia="宋体" w:cs="宋体"/>
          <w:color w:val="auto"/>
          <w:szCs w:val="21"/>
          <w:highlight w:val="none"/>
        </w:rPr>
        <w:t>进行评价、评分，并按照政府采购优惠政策对最后报价进行价格扣除和技术、商务、价格加分后，汇总各供应商的总得分。</w:t>
      </w:r>
    </w:p>
    <w:p w14:paraId="68D05B6C">
      <w:pPr>
        <w:widowControl/>
        <w:adjustRightInd w:val="0"/>
        <w:snapToGrid w:val="0"/>
        <w:spacing w:line="4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30</w:t>
      </w:r>
      <w:r>
        <w:rPr>
          <w:rFonts w:hint="eastAsia" w:ascii="宋体" w:hAnsi="宋体" w:eastAsia="宋体" w:cs="宋体"/>
          <w:b/>
          <w:color w:val="auto"/>
          <w:kern w:val="0"/>
          <w:szCs w:val="21"/>
          <w:highlight w:val="none"/>
        </w:rPr>
        <w:t>.</w:t>
      </w:r>
      <w:r>
        <w:rPr>
          <w:rFonts w:hint="eastAsia" w:ascii="宋体" w:hAnsi="宋体" w:eastAsia="宋体" w:cs="宋体"/>
          <w:b/>
          <w:bCs/>
          <w:color w:val="auto"/>
          <w:szCs w:val="21"/>
          <w:highlight w:val="none"/>
        </w:rPr>
        <w:t>提出成交供应商</w:t>
      </w:r>
    </w:p>
    <w:p w14:paraId="1BEE43B8">
      <w:pPr>
        <w:widowControl/>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30.1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46AB8A82">
      <w:pPr>
        <w:tabs>
          <w:tab w:val="left" w:pos="0"/>
        </w:tabs>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31.确定成交供应商</w:t>
      </w:r>
    </w:p>
    <w:p w14:paraId="5D41E475">
      <w:pPr>
        <w:widowControl/>
        <w:adjustRightInd w:val="0"/>
        <w:snapToGri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31.1采购代理机构应当在评审结束后2个工作日内将评审报告送采购人确认。</w:t>
      </w:r>
    </w:p>
    <w:p w14:paraId="38D96815">
      <w:pPr>
        <w:widowControl/>
        <w:adjustRightInd w:val="0"/>
        <w:snapToGrid w:val="0"/>
        <w:spacing w:line="420" w:lineRule="exact"/>
        <w:ind w:firstLine="4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31.2采购人应当在收到评审报告后5个工作日内，从评审报告提出的成交候选供应商中，按照排序由高到低的原则确定成交供应商，也可以书面授权磋商小组直接确定成交供应商。</w:t>
      </w:r>
    </w:p>
    <w:p w14:paraId="4E9C4FB2">
      <w:pPr>
        <w:pStyle w:val="28"/>
        <w:adjustRightInd w:val="0"/>
        <w:snapToGrid w:val="0"/>
        <w:spacing w:line="420" w:lineRule="exact"/>
        <w:ind w:left="632" w:hanging="632" w:hangingChars="300"/>
        <w:rPr>
          <w:rFonts w:hint="eastAsia" w:ascii="宋体" w:hAnsi="宋体" w:eastAsia="宋体" w:cs="宋体"/>
          <w:b/>
          <w:color w:val="auto"/>
          <w:highlight w:val="none"/>
        </w:rPr>
      </w:pPr>
      <w:r>
        <w:rPr>
          <w:rFonts w:hint="eastAsia" w:ascii="宋体" w:hAnsi="宋体" w:eastAsia="宋体" w:cs="宋体"/>
          <w:b/>
          <w:color w:val="auto"/>
          <w:highlight w:val="none"/>
        </w:rPr>
        <w:t>32.磋商终止</w:t>
      </w:r>
    </w:p>
    <w:p w14:paraId="41ABFC80">
      <w:pPr>
        <w:widowControl/>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32.1出现下列情形之一的，采购人或者采购代理机构应当终止竞争性磋商采购活动，在本章第35.1款指定的媒体上发布项目终止公告并说明原因，重新开展采购活动： </w:t>
      </w:r>
    </w:p>
    <w:p w14:paraId="08D19141">
      <w:pPr>
        <w:widowControl/>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（1）因情况变化，不再符合规定的竞争性磋商采购方式适用情形的；</w:t>
      </w:r>
    </w:p>
    <w:p w14:paraId="56E20CF7">
      <w:pPr>
        <w:widowControl/>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6C3E56ED">
      <w:pPr>
        <w:widowControl/>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（3）除《政府采购竞争性磋商采购方式管理暂行办法》（财库〔2014〕214号） 和《财政部关于政府采购竞争性磋商采购方式管理暂行办法有关问题的补充通知》（财库〔2015〕124号）所列“政府购买服务项目（含政府和社会资本合作项目）、市场竞争不充分的科研项目以及需要扶持的科技成果转化项目”情形外，在采购过程中符合要求的供应商或者报价未超过采购预算的供应商不足3家的；</w:t>
      </w:r>
    </w:p>
    <w:p w14:paraId="2892C23D">
      <w:pPr>
        <w:widowControl/>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（4）因重大变故，采购任务取消的。</w:t>
      </w:r>
    </w:p>
    <w:p w14:paraId="46B1BB96">
      <w:pPr>
        <w:widowControl/>
        <w:adjustRightInd w:val="0"/>
        <w:snapToGrid w:val="0"/>
        <w:spacing w:line="420" w:lineRule="exact"/>
        <w:jc w:val="lef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33．重新评审</w:t>
      </w:r>
    </w:p>
    <w:p w14:paraId="5AE9A3A0">
      <w:pPr>
        <w:widowControl/>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42EB0503">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34.保密及串通行为</w:t>
      </w:r>
    </w:p>
    <w:p w14:paraId="2763DFFB">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34.1磋商小组成员以及与评审工作有关的人员不得泄露评审情况以及评审过程中获悉的国家秘密、商业秘密。</w:t>
      </w:r>
    </w:p>
    <w:p w14:paraId="44854854">
      <w:pPr>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r>
        <w:rPr>
          <w:rFonts w:hint="eastAsia" w:ascii="宋体" w:hAnsi="宋体" w:eastAsia="宋体" w:cs="宋体"/>
          <w:color w:val="auto"/>
          <w:kern w:val="0"/>
          <w:szCs w:val="21"/>
          <w:highlight w:val="none"/>
        </w:rPr>
        <w:t>供应商</w:t>
      </w:r>
      <w:r>
        <w:rPr>
          <w:rFonts w:hint="eastAsia" w:ascii="宋体" w:hAnsi="宋体" w:eastAsia="宋体" w:cs="宋体"/>
          <w:color w:val="auto"/>
          <w:szCs w:val="21"/>
          <w:highlight w:val="none"/>
        </w:rPr>
        <w:t>不得与</w:t>
      </w:r>
      <w:r>
        <w:rPr>
          <w:rFonts w:hint="eastAsia" w:ascii="宋体" w:hAnsi="宋体" w:eastAsia="宋体" w:cs="宋体"/>
          <w:color w:val="auto"/>
          <w:kern w:val="0"/>
          <w:szCs w:val="21"/>
          <w:highlight w:val="none"/>
        </w:rPr>
        <w:t>采购人、采购代理机构、其他供应商恶意</w:t>
      </w:r>
      <w:r>
        <w:rPr>
          <w:rFonts w:hint="eastAsia" w:ascii="宋体" w:hAnsi="宋体" w:eastAsia="宋体" w:cs="宋体"/>
          <w:color w:val="auto"/>
          <w:szCs w:val="21"/>
          <w:highlight w:val="none"/>
        </w:rPr>
        <w:t>串通；不得向</w:t>
      </w:r>
      <w:r>
        <w:rPr>
          <w:rFonts w:hint="eastAsia" w:ascii="宋体" w:hAnsi="宋体" w:eastAsia="宋体" w:cs="宋体"/>
          <w:color w:val="auto"/>
          <w:kern w:val="0"/>
          <w:szCs w:val="21"/>
          <w:highlight w:val="none"/>
        </w:rPr>
        <w:t>采购人、采购代理机构</w:t>
      </w:r>
      <w:r>
        <w:rPr>
          <w:rFonts w:hint="eastAsia" w:ascii="宋体" w:hAnsi="宋体" w:eastAsia="宋体" w:cs="宋体"/>
          <w:color w:val="auto"/>
          <w:szCs w:val="21"/>
          <w:highlight w:val="none"/>
        </w:rPr>
        <w:t>或者磋商小组成员行贿或者提供其他不正当利益；不得提供虚假资料谋取成交；不得以任何方式干扰、影响采购工作。</w:t>
      </w:r>
    </w:p>
    <w:p w14:paraId="070580E5">
      <w:pPr>
        <w:pStyle w:val="44"/>
        <w:adjustRightInd w:val="0"/>
        <w:snapToGrid w:val="0"/>
        <w:spacing w:before="0" w:beforeAutospacing="0" w:after="0" w:afterAutospacing="0" w:line="42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34.3</w:t>
      </w:r>
      <w:r>
        <w:rPr>
          <w:rFonts w:hint="eastAsia" w:ascii="宋体" w:hAnsi="宋体" w:eastAsia="宋体" w:cs="宋体"/>
          <w:color w:val="auto"/>
          <w:sz w:val="21"/>
          <w:szCs w:val="21"/>
          <w:highlight w:val="none"/>
          <w:lang w:val="zh-CN"/>
        </w:rPr>
        <w:t>有下列情形之一的，属于恶意串通，对供应商依照政府采购法第七十七条第一款的规定追究法律责任：</w:t>
      </w:r>
    </w:p>
    <w:p w14:paraId="663D3C63">
      <w:pPr>
        <w:pStyle w:val="44"/>
        <w:adjustRightInd w:val="0"/>
        <w:snapToGrid w:val="0"/>
        <w:spacing w:before="0" w:beforeAutospacing="0" w:after="0" w:afterAutospacing="0" w:line="42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（一）供应商直接或者间接从采购人或者采购代理机构处获得其他供应商的相关情况并修改其响应文件或者响应文件；</w:t>
      </w:r>
    </w:p>
    <w:p w14:paraId="149E5DEE">
      <w:pPr>
        <w:pStyle w:val="44"/>
        <w:adjustRightInd w:val="0"/>
        <w:snapToGrid w:val="0"/>
        <w:spacing w:before="0" w:beforeAutospacing="0" w:after="0" w:afterAutospacing="0" w:line="42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（二）供应商按照采购人或者采购代理机构的授意撤换、修改响应文件或者响应文件；</w:t>
      </w:r>
    </w:p>
    <w:p w14:paraId="377F45C6">
      <w:pPr>
        <w:pStyle w:val="44"/>
        <w:adjustRightInd w:val="0"/>
        <w:snapToGrid w:val="0"/>
        <w:spacing w:before="0" w:beforeAutospacing="0" w:after="0" w:afterAutospacing="0" w:line="42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（三）供应商之间协商报价、技术方案等响应文件或者响应文件的实质性内容；</w:t>
      </w:r>
    </w:p>
    <w:p w14:paraId="37617772">
      <w:pPr>
        <w:pStyle w:val="44"/>
        <w:adjustRightInd w:val="0"/>
        <w:snapToGrid w:val="0"/>
        <w:spacing w:before="0" w:beforeAutospacing="0" w:after="0" w:afterAutospacing="0" w:line="42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（四）属于同一集团、协会、商会等组织成员的供应商按照该组织要求协同参加政府采购活动；</w:t>
      </w:r>
    </w:p>
    <w:p w14:paraId="62935DD2">
      <w:pPr>
        <w:pStyle w:val="44"/>
        <w:adjustRightInd w:val="0"/>
        <w:snapToGrid w:val="0"/>
        <w:spacing w:before="0" w:beforeAutospacing="0" w:after="0" w:afterAutospacing="0" w:line="42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（五）供应商之间事先约定由某一特定供应商中标、成交；</w:t>
      </w:r>
    </w:p>
    <w:p w14:paraId="288D80D3">
      <w:pPr>
        <w:pStyle w:val="44"/>
        <w:adjustRightInd w:val="0"/>
        <w:snapToGrid w:val="0"/>
        <w:spacing w:before="0" w:beforeAutospacing="0" w:after="0" w:afterAutospacing="0" w:line="42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（六）供应商之间商定部分供应商放弃参加政府采购活动或者放弃中标、成交；</w:t>
      </w:r>
    </w:p>
    <w:p w14:paraId="1BCC95E7">
      <w:pPr>
        <w:pStyle w:val="44"/>
        <w:adjustRightInd w:val="0"/>
        <w:snapToGrid w:val="0"/>
        <w:spacing w:before="0" w:beforeAutospacing="0" w:after="0" w:afterAutospacing="0" w:line="42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（七）供应商与采购人或者采购代理机构之间、供应商相互之间，为谋求特定供应商中标、成交或者排斥其他供应商的其他串通行为。</w:t>
      </w:r>
    </w:p>
    <w:p w14:paraId="720AD5FA">
      <w:pPr>
        <w:adjustRightInd w:val="0"/>
        <w:snapToGrid w:val="0"/>
        <w:spacing w:before="120" w:beforeLines="50" w:line="420" w:lineRule="exact"/>
        <w:outlineLvl w:val="1"/>
        <w:rPr>
          <w:rFonts w:hint="eastAsia" w:ascii="宋体" w:hAnsi="宋体" w:eastAsia="宋体" w:cs="宋体"/>
          <w:b/>
          <w:color w:val="auto"/>
          <w:sz w:val="24"/>
          <w:highlight w:val="none"/>
        </w:rPr>
      </w:pPr>
      <w:bookmarkStart w:id="47" w:name="_Toc9158"/>
      <w:r>
        <w:rPr>
          <w:rFonts w:hint="eastAsia" w:ascii="宋体" w:hAnsi="宋体" w:eastAsia="宋体" w:cs="宋体"/>
          <w:b/>
          <w:color w:val="auto"/>
          <w:sz w:val="24"/>
          <w:highlight w:val="none"/>
        </w:rPr>
        <w:t>六、成交结果信息公布与授予合同</w:t>
      </w:r>
      <w:bookmarkEnd w:id="47"/>
    </w:p>
    <w:p w14:paraId="7A38C759">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35.成交信息的公布</w:t>
      </w:r>
    </w:p>
    <w:p w14:paraId="22A41437">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35.1成交供应商确定后2个工作日内，成交结果信息将在</w:t>
      </w:r>
      <w:r>
        <w:rPr>
          <w:rFonts w:hint="eastAsia" w:ascii="宋体" w:hAnsi="宋体" w:eastAsia="宋体" w:cs="宋体"/>
          <w:b/>
          <w:color w:val="auto"/>
          <w:highlight w:val="none"/>
        </w:rPr>
        <w:t>磋商须知前附表</w:t>
      </w:r>
      <w:r>
        <w:rPr>
          <w:rFonts w:hint="eastAsia" w:ascii="宋体" w:hAnsi="宋体" w:eastAsia="宋体" w:cs="宋体"/>
          <w:color w:val="auto"/>
          <w:highlight w:val="none"/>
        </w:rPr>
        <w:t>指定的媒体上公布。</w:t>
      </w:r>
    </w:p>
    <w:p w14:paraId="718F28FF">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36.询问及质疑</w:t>
      </w:r>
    </w:p>
    <w:p w14:paraId="268191C3">
      <w:pPr>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36.1供应商对政府采购活动事项有疑问的，可以向采购人或采购代理机构提出询问。</w:t>
      </w:r>
    </w:p>
    <w:p w14:paraId="02FDD866">
      <w:pPr>
        <w:adjustRightInd w:val="0"/>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36.2供应商若认为磋商文件、采购过程和成交结果使自己的权益受到损害，可以按法律、行政法规及</w:t>
      </w:r>
      <w:r>
        <w:rPr>
          <w:rFonts w:hint="eastAsia" w:ascii="宋体" w:hAnsi="宋体" w:eastAsia="宋体" w:cs="宋体"/>
          <w:color w:val="auto"/>
          <w:szCs w:val="21"/>
          <w:highlight w:val="none"/>
          <w:lang w:eastAsia="zh-CN"/>
        </w:rPr>
        <w:t>华容县人民医院</w:t>
      </w:r>
      <w:r>
        <w:rPr>
          <w:rFonts w:hint="eastAsia" w:ascii="宋体" w:hAnsi="宋体" w:eastAsia="宋体" w:cs="宋体"/>
          <w:color w:val="auto"/>
          <w:szCs w:val="21"/>
          <w:highlight w:val="none"/>
        </w:rPr>
        <w:t>规范性文件规定向采购人或采购代理机构提出质疑。</w:t>
      </w:r>
    </w:p>
    <w:p w14:paraId="723E66D2">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37.成交通知</w:t>
      </w:r>
    </w:p>
    <w:p w14:paraId="1E183CC4">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37.1成交供应商确定后，采购人或采购代理机构将以书面形式向成交供应商发出成交通知书。成交通知书对采购人和成交供应商具有同等法律效力。</w:t>
      </w:r>
    </w:p>
    <w:p w14:paraId="4AE9BBE8">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37.2 成交通知书是合同文件的组成部分。</w:t>
      </w:r>
    </w:p>
    <w:p w14:paraId="54088A12">
      <w:pPr>
        <w:tabs>
          <w:tab w:val="left" w:pos="7560"/>
          <w:tab w:val="left" w:pos="7740"/>
          <w:tab w:val="left" w:pos="7920"/>
        </w:tabs>
        <w:autoSpaceDN w:val="0"/>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37.3 </w:t>
      </w:r>
      <w:r>
        <w:rPr>
          <w:rFonts w:hint="eastAsia" w:ascii="宋体" w:hAnsi="宋体" w:eastAsia="宋体" w:cs="宋体"/>
          <w:color w:val="auto"/>
          <w:szCs w:val="21"/>
          <w:highlight w:val="none"/>
        </w:rPr>
        <w:t>成交供应商在收到采购代理机构的成交通知书后10日内，应按照</w:t>
      </w:r>
      <w:r>
        <w:rPr>
          <w:rFonts w:hint="eastAsia" w:ascii="宋体" w:hAnsi="宋体" w:eastAsia="宋体" w:cs="宋体"/>
          <w:b/>
          <w:color w:val="auto"/>
          <w:szCs w:val="21"/>
          <w:highlight w:val="none"/>
        </w:rPr>
        <w:t>磋商须知前附表</w:t>
      </w:r>
      <w:r>
        <w:rPr>
          <w:rFonts w:hint="eastAsia" w:ascii="宋体" w:hAnsi="宋体" w:eastAsia="宋体" w:cs="宋体"/>
          <w:color w:val="auto"/>
          <w:szCs w:val="21"/>
          <w:highlight w:val="none"/>
        </w:rPr>
        <w:t>的规定，向采购人提交履约担保。联合体成交的，履约担保由联合体各方或联合体中牵头人的名义提交。</w:t>
      </w:r>
    </w:p>
    <w:p w14:paraId="3CEAE60D">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37.4 成交供应商</w:t>
      </w:r>
      <w:r>
        <w:rPr>
          <w:rFonts w:hint="eastAsia" w:ascii="宋体" w:hAnsi="宋体" w:eastAsia="宋体" w:cs="宋体"/>
          <w:color w:val="auto"/>
          <w:spacing w:val="4"/>
          <w:highlight w:val="none"/>
        </w:rPr>
        <w:t>没有按照本章第37.3</w:t>
      </w:r>
      <w:r>
        <w:rPr>
          <w:rFonts w:hint="eastAsia" w:ascii="宋体" w:hAnsi="宋体" w:eastAsia="宋体" w:cs="宋体"/>
          <w:color w:val="auto"/>
          <w:kern w:val="0"/>
          <w:highlight w:val="none"/>
          <w:lang w:val="zh-CN"/>
        </w:rPr>
        <w:t>款</w:t>
      </w:r>
      <w:r>
        <w:rPr>
          <w:rFonts w:hint="eastAsia" w:ascii="宋体" w:hAnsi="宋体" w:eastAsia="宋体" w:cs="宋体"/>
          <w:color w:val="auto"/>
          <w:spacing w:val="4"/>
          <w:highlight w:val="none"/>
        </w:rPr>
        <w:t>规定</w:t>
      </w:r>
      <w:r>
        <w:rPr>
          <w:rFonts w:hint="eastAsia" w:ascii="宋体" w:hAnsi="宋体" w:eastAsia="宋体" w:cs="宋体"/>
          <w:color w:val="auto"/>
          <w:highlight w:val="none"/>
        </w:rPr>
        <w:t>提交履约担保的</w:t>
      </w:r>
      <w:r>
        <w:rPr>
          <w:rFonts w:hint="eastAsia" w:ascii="宋体" w:hAnsi="宋体" w:eastAsia="宋体" w:cs="宋体"/>
          <w:color w:val="auto"/>
          <w:spacing w:val="4"/>
          <w:highlight w:val="none"/>
        </w:rPr>
        <w:t>，视为放弃</w:t>
      </w:r>
      <w:r>
        <w:rPr>
          <w:rFonts w:hint="eastAsia" w:ascii="宋体" w:hAnsi="宋体" w:eastAsia="宋体" w:cs="宋体"/>
          <w:color w:val="auto"/>
          <w:highlight w:val="none"/>
        </w:rPr>
        <w:t>成交资格</w:t>
      </w:r>
      <w:r>
        <w:rPr>
          <w:rFonts w:hint="eastAsia" w:ascii="宋体" w:hAnsi="宋体" w:eastAsia="宋体" w:cs="宋体"/>
          <w:color w:val="auto"/>
          <w:spacing w:val="4"/>
          <w:highlight w:val="none"/>
        </w:rPr>
        <w:t>，</w:t>
      </w:r>
      <w:r>
        <w:rPr>
          <w:rFonts w:hint="eastAsia" w:ascii="宋体" w:hAnsi="宋体" w:eastAsia="宋体" w:cs="宋体"/>
          <w:color w:val="auto"/>
          <w:spacing w:val="2"/>
          <w:highlight w:val="none"/>
        </w:rPr>
        <w:t>其保证金不予退还。</w:t>
      </w:r>
    </w:p>
    <w:p w14:paraId="2FB15D15">
      <w:pPr>
        <w:adjustRightInd w:val="0"/>
        <w:snapToGrid w:val="0"/>
        <w:spacing w:line="42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38.签订合同</w:t>
      </w:r>
    </w:p>
    <w:p w14:paraId="6D9CD9BE">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38.1成交供应商应当在成交通知书发出之日起30日内与采购人签订政府采购合同。</w:t>
      </w:r>
    </w:p>
    <w:p w14:paraId="60AB3C7F">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38.2磋商文件、成交供应商的响应文件等均为签订政府采购合同的依据。</w:t>
      </w:r>
    </w:p>
    <w:p w14:paraId="518C030D">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38.3 成交供应商应当按照合同约定履行义务。成交供应商不得向他人转让成交项目，也不得将成交项目分包后分别向他人转让。</w:t>
      </w:r>
    </w:p>
    <w:p w14:paraId="326088C9">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38.4 成交供应商有下列情形之一的，责令限期改正，情节严重的，列入不良行为记录名单，在1至3年内禁止参加政府采购活动，并予以通报：</w:t>
      </w:r>
    </w:p>
    <w:p w14:paraId="1F11EBA9">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（一）成交后无正当理由不与采购人签订合同的；</w:t>
      </w:r>
    </w:p>
    <w:p w14:paraId="6A2458AA">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（二）未按照采购文件确定的事项签订政府采购合同，或者与采购人另行订立背离合同实质性内容的协议的；</w:t>
      </w:r>
    </w:p>
    <w:p w14:paraId="48F8CC3B">
      <w:pPr>
        <w:pStyle w:val="28"/>
        <w:adjustRightInd w:val="0"/>
        <w:snapToGrid w:val="0"/>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（三）拒绝履行合同义务的；</w:t>
      </w:r>
    </w:p>
    <w:p w14:paraId="46BD8DF4">
      <w:pPr>
        <w:pStyle w:val="28"/>
        <w:adjustRightInd w:val="0"/>
        <w:snapToGrid w:val="0"/>
        <w:spacing w:line="42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rPr>
        <w:t>（四）</w:t>
      </w:r>
      <w:r>
        <w:rPr>
          <w:rFonts w:hint="eastAsia" w:ascii="宋体" w:hAnsi="宋体" w:eastAsia="宋体" w:cs="宋体"/>
          <w:color w:val="auto"/>
          <w:kern w:val="0"/>
          <w:highlight w:val="none"/>
        </w:rPr>
        <w:t>违反法律、规章、规范性文件规定的。</w:t>
      </w:r>
    </w:p>
    <w:p w14:paraId="69F2E00E">
      <w:pPr>
        <w:adjustRightInd w:val="0"/>
        <w:snapToGrid w:val="0"/>
        <w:spacing w:before="120" w:beforeLines="50" w:line="420" w:lineRule="exact"/>
        <w:outlineLvl w:val="1"/>
        <w:rPr>
          <w:rFonts w:hint="eastAsia" w:ascii="宋体" w:hAnsi="宋体" w:eastAsia="宋体" w:cs="宋体"/>
          <w:b/>
          <w:color w:val="auto"/>
          <w:sz w:val="24"/>
          <w:highlight w:val="none"/>
        </w:rPr>
      </w:pPr>
      <w:bookmarkStart w:id="48" w:name="_Toc4589"/>
      <w:bookmarkStart w:id="49" w:name="_Toc2853"/>
      <w:r>
        <w:rPr>
          <w:rFonts w:hint="eastAsia" w:ascii="宋体" w:hAnsi="宋体" w:eastAsia="宋体" w:cs="宋体"/>
          <w:b/>
          <w:color w:val="auto"/>
          <w:sz w:val="24"/>
          <w:highlight w:val="none"/>
        </w:rPr>
        <w:t>七、其他规定</w:t>
      </w:r>
      <w:bookmarkEnd w:id="48"/>
    </w:p>
    <w:p w14:paraId="7AAE7CCE">
      <w:pPr>
        <w:adjustRightInd w:val="0"/>
        <w:snapToGrid w:val="0"/>
        <w:spacing w:line="42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39.采购代理服务费</w:t>
      </w:r>
    </w:p>
    <w:p w14:paraId="22582F36">
      <w:pPr>
        <w:tabs>
          <w:tab w:val="left" w:pos="420"/>
          <w:tab w:val="left" w:pos="7560"/>
          <w:tab w:val="left" w:pos="7740"/>
          <w:tab w:val="left" w:pos="7920"/>
        </w:tabs>
        <w:adjustRightInd w:val="0"/>
        <w:snapToGrid w:val="0"/>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39.1采购代理机构应按</w:t>
      </w:r>
      <w:r>
        <w:rPr>
          <w:rFonts w:hint="eastAsia" w:ascii="宋体" w:hAnsi="宋体" w:eastAsia="宋体" w:cs="宋体"/>
          <w:b/>
          <w:color w:val="auto"/>
          <w:szCs w:val="21"/>
          <w:highlight w:val="none"/>
        </w:rPr>
        <w:t>磋商须知前附表</w:t>
      </w:r>
      <w:r>
        <w:rPr>
          <w:rFonts w:hint="eastAsia" w:ascii="宋体" w:hAnsi="宋体" w:eastAsia="宋体" w:cs="宋体"/>
          <w:color w:val="auto"/>
          <w:szCs w:val="21"/>
          <w:highlight w:val="none"/>
        </w:rPr>
        <w:t>规定收取采购代理服务费。</w:t>
      </w:r>
    </w:p>
    <w:p w14:paraId="4DDC328C">
      <w:pPr>
        <w:adjustRightInd w:val="0"/>
        <w:snapToGrid w:val="0"/>
        <w:spacing w:line="420" w:lineRule="exact"/>
        <w:rPr>
          <w:rFonts w:hint="eastAsia" w:ascii="宋体" w:hAnsi="宋体" w:eastAsia="宋体" w:cs="宋体"/>
          <w:b/>
          <w:bCs/>
          <w:color w:val="auto"/>
          <w:szCs w:val="21"/>
          <w:highlight w:val="none"/>
        </w:rPr>
        <w:sectPr>
          <w:footerReference r:id="rId8" w:type="default"/>
          <w:pgSz w:w="11906" w:h="16838"/>
          <w:pgMar w:top="1191" w:right="1191" w:bottom="1304" w:left="1191" w:header="851" w:footer="992" w:gutter="0"/>
          <w:pgNumType w:fmt="decimal"/>
          <w:cols w:space="720" w:num="1"/>
          <w:docGrid w:linePitch="312" w:charSpace="0"/>
        </w:sectPr>
      </w:pPr>
      <w:r>
        <w:rPr>
          <w:rFonts w:hint="eastAsia" w:ascii="宋体" w:hAnsi="宋体" w:eastAsia="宋体" w:cs="宋体"/>
          <w:b/>
          <w:bCs/>
          <w:color w:val="auto"/>
          <w:highlight w:val="none"/>
        </w:rPr>
        <w:t>40.</w:t>
      </w:r>
      <w:r>
        <w:rPr>
          <w:rFonts w:hint="eastAsia" w:ascii="宋体" w:hAnsi="宋体" w:eastAsia="宋体" w:cs="宋体"/>
          <w:b/>
          <w:bCs/>
          <w:color w:val="auto"/>
          <w:szCs w:val="21"/>
          <w:highlight w:val="none"/>
        </w:rPr>
        <w:t>其他</w:t>
      </w:r>
      <w:r>
        <w:rPr>
          <w:rFonts w:hint="eastAsia" w:ascii="宋体" w:hAnsi="宋体" w:eastAsia="宋体" w:cs="宋体"/>
          <w:b/>
          <w:bCs/>
          <w:color w:val="auto"/>
          <w:highlight w:val="none"/>
        </w:rPr>
        <w:t>规定详见</w:t>
      </w:r>
      <w:r>
        <w:rPr>
          <w:rFonts w:hint="eastAsia" w:ascii="宋体" w:hAnsi="宋体" w:eastAsia="宋体" w:cs="宋体"/>
          <w:b/>
          <w:bCs/>
          <w:color w:val="auto"/>
          <w:szCs w:val="21"/>
          <w:highlight w:val="none"/>
        </w:rPr>
        <w:t>磋商须知前附表规定。</w:t>
      </w:r>
    </w:p>
    <w:p w14:paraId="6C6CCA7D">
      <w:pPr>
        <w:pStyle w:val="2"/>
        <w:keepNext/>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第三章  合同草案条款</w:t>
      </w:r>
      <w:bookmarkEnd w:id="49"/>
    </w:p>
    <w:p w14:paraId="7DAB9B4F">
      <w:pPr>
        <w:pStyle w:val="3"/>
        <w:bidi w:val="0"/>
        <w:jc w:val="center"/>
        <w:rPr>
          <w:rFonts w:hint="eastAsia" w:ascii="宋体" w:hAnsi="宋体" w:eastAsia="宋体" w:cs="宋体"/>
          <w:color w:val="auto"/>
          <w:sz w:val="30"/>
          <w:szCs w:val="30"/>
          <w:highlight w:val="none"/>
        </w:rPr>
      </w:pPr>
      <w:bookmarkStart w:id="50" w:name="_Toc55813338"/>
      <w:bookmarkStart w:id="51" w:name="_Toc22564"/>
      <w:r>
        <w:rPr>
          <w:rFonts w:hint="eastAsia" w:ascii="宋体" w:hAnsi="宋体" w:eastAsia="宋体" w:cs="宋体"/>
          <w:color w:val="auto"/>
          <w:sz w:val="30"/>
          <w:szCs w:val="30"/>
          <w:highlight w:val="none"/>
        </w:rPr>
        <w:t>第一节 合同协议书</w:t>
      </w:r>
      <w:bookmarkEnd w:id="50"/>
      <w:bookmarkEnd w:id="51"/>
    </w:p>
    <w:p w14:paraId="41A67061">
      <w:pPr>
        <w:adjustRightInd w:val="0"/>
        <w:snapToGrid w:val="0"/>
        <w:spacing w:before="120" w:beforeLines="50" w:line="360" w:lineRule="auto"/>
        <w:ind w:firstLine="5460" w:firstLineChars="2600"/>
        <w:jc w:val="righ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采购合同编号：</w:t>
      </w:r>
      <w:r>
        <w:rPr>
          <w:rFonts w:hint="eastAsia" w:ascii="宋体" w:hAnsi="宋体" w:eastAsia="宋体" w:cs="宋体"/>
          <w:color w:val="auto"/>
          <w:szCs w:val="21"/>
          <w:highlight w:val="none"/>
          <w:u w:val="single"/>
        </w:rPr>
        <w:t>__________________</w:t>
      </w:r>
    </w:p>
    <w:p w14:paraId="7D739650">
      <w:pPr>
        <w:adjustRightInd w:val="0"/>
        <w:snapToGrid w:val="0"/>
        <w:spacing w:before="120" w:beforeLines="5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采购人（全称）：</w:t>
      </w:r>
      <w:r>
        <w:rPr>
          <w:rFonts w:hint="eastAsia" w:ascii="宋体" w:hAnsi="宋体" w:cs="宋体"/>
          <w:color w:val="auto"/>
          <w:sz w:val="24"/>
          <w:szCs w:val="24"/>
          <w:highlight w:val="none"/>
          <w:lang w:eastAsia="zh-CN"/>
        </w:rPr>
        <w:t>华容县人民医院</w:t>
      </w:r>
      <w:r>
        <w:rPr>
          <w:rFonts w:hint="eastAsia" w:ascii="宋体" w:hAnsi="宋体" w:eastAsia="宋体" w:cs="宋体"/>
          <w:color w:val="auto"/>
          <w:szCs w:val="21"/>
          <w:highlight w:val="none"/>
        </w:rPr>
        <w:t>（甲方）</w:t>
      </w:r>
    </w:p>
    <w:p w14:paraId="16750361">
      <w:pPr>
        <w:adjustRightInd w:val="0"/>
        <w:snapToGrid w:val="0"/>
        <w:spacing w:before="120" w:beforeLines="5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供应商（全称）：＿＿＿＿＿＿＿＿＿＿＿＿＿＿＿＿＿＿＿＿（乙方）</w:t>
      </w:r>
    </w:p>
    <w:p w14:paraId="78704D9F">
      <w:pPr>
        <w:pStyle w:val="24"/>
        <w:adjustRightInd w:val="0"/>
        <w:snapToGrid w:val="0"/>
        <w:spacing w:before="120" w:beforeLines="50" w:after="0" w:line="400" w:lineRule="exact"/>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为了保护甲、乙双方合法权益，根据《中华人民共和国民法典》、《中华人民共和国政府采购法》及其他有关法律、法规、规章，双方签订本合同协议书。</w:t>
      </w:r>
    </w:p>
    <w:p w14:paraId="7485D62C">
      <w:pPr>
        <w:adjustRightInd w:val="0"/>
        <w:snapToGrid w:val="0"/>
        <w:spacing w:before="120" w:beforeLines="50"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1.项目信息</w:t>
      </w:r>
    </w:p>
    <w:p w14:paraId="4A71F521">
      <w:pPr>
        <w:pStyle w:val="24"/>
        <w:adjustRightInd w:val="0"/>
        <w:snapToGrid w:val="0"/>
        <w:spacing w:before="120" w:beforeLines="50" w:after="0" w:line="400" w:lineRule="exact"/>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szCs w:val="21"/>
          <w:highlight w:val="none"/>
        </w:rPr>
        <w:t>（1）采购项目名称：</w:t>
      </w:r>
      <w:r>
        <w:rPr>
          <w:rFonts w:hint="eastAsia" w:ascii="宋体" w:hAnsi="宋体" w:eastAsia="宋体" w:cs="宋体"/>
          <w:color w:val="auto"/>
          <w:kern w:val="2"/>
          <w:sz w:val="21"/>
          <w:szCs w:val="21"/>
          <w:highlight w:val="none"/>
          <w:u w:val="single"/>
          <w:lang w:val="en-US" w:eastAsia="zh-CN" w:bidi="ar-SA"/>
        </w:rPr>
        <w:t>华容县人民医院彩色多普勒超声诊断仪采购项目</w:t>
      </w:r>
    </w:p>
    <w:p w14:paraId="50B38F74">
      <w:pPr>
        <w:pStyle w:val="24"/>
        <w:adjustRightInd w:val="0"/>
        <w:snapToGrid w:val="0"/>
        <w:spacing w:before="120" w:beforeLines="50" w:after="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（2）采购计划编号：＿＿＿＿＿＿＿＿＿＿＿＿＿＿＿＿＿＿＿＿</w:t>
      </w:r>
    </w:p>
    <w:p w14:paraId="29A873C6">
      <w:pPr>
        <w:adjustRightInd w:val="0"/>
        <w:snapToGrid w:val="0"/>
        <w:spacing w:before="120" w:beforeLines="50" w:line="400" w:lineRule="exact"/>
        <w:ind w:firstLine="420" w:firstLineChars="200"/>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szCs w:val="21"/>
          <w:highlight w:val="none"/>
        </w:rPr>
        <w:t>（3）项目内容：</w:t>
      </w:r>
      <w:r>
        <w:rPr>
          <w:rFonts w:hint="eastAsia" w:ascii="宋体" w:hAnsi="宋体" w:eastAsia="宋体" w:cs="宋体"/>
          <w:color w:val="auto"/>
          <w:kern w:val="2"/>
          <w:sz w:val="21"/>
          <w:szCs w:val="21"/>
          <w:highlight w:val="none"/>
          <w:u w:val="single"/>
          <w:lang w:val="en-US" w:eastAsia="zh-CN" w:bidi="ar-SA"/>
        </w:rPr>
        <w:t>采购彩色多普勒超声诊断仪1套</w:t>
      </w:r>
    </w:p>
    <w:p w14:paraId="30C6FDBE">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（4）项目负责人：＿＿＿＿＿＿＿＿＿＿＿＿＿＿＿＿＿＿＿＿。</w:t>
      </w:r>
    </w:p>
    <w:p w14:paraId="118E5FE9">
      <w:pPr>
        <w:adjustRightInd w:val="0"/>
        <w:snapToGrid w:val="0"/>
        <w:spacing w:before="120" w:beforeLines="50" w:line="400" w:lineRule="exact"/>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2.合同金额</w:t>
      </w:r>
    </w:p>
    <w:p w14:paraId="2511CFC6">
      <w:pPr>
        <w:adjustRightInd w:val="0"/>
        <w:snapToGrid w:val="0"/>
        <w:spacing w:before="120" w:beforeLines="50" w:line="40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（1）合同金额小写：＿＿＿＿＿＿＿＿＿＿＿＿。</w:t>
      </w:r>
    </w:p>
    <w:p w14:paraId="3FAFDA42">
      <w:pPr>
        <w:adjustRightInd w:val="0"/>
        <w:snapToGrid w:val="0"/>
        <w:spacing w:before="120" w:beforeLines="50" w:line="400" w:lineRule="exact"/>
        <w:ind w:firstLine="1785" w:firstLineChars="850"/>
        <w:rPr>
          <w:rFonts w:hint="eastAsia" w:ascii="宋体" w:hAnsi="宋体" w:cs="宋体"/>
          <w:color w:val="auto"/>
          <w:sz w:val="24"/>
          <w:szCs w:val="24"/>
          <w:highlight w:val="none"/>
          <w:u w:val="single"/>
          <w:lang w:val="en-US" w:eastAsia="zh-CN"/>
        </w:rPr>
      </w:pPr>
      <w:r>
        <w:rPr>
          <w:rFonts w:hint="eastAsia" w:ascii="宋体" w:hAnsi="宋体" w:eastAsia="宋体" w:cs="宋体"/>
          <w:color w:val="auto"/>
          <w:szCs w:val="21"/>
          <w:highlight w:val="none"/>
        </w:rPr>
        <w:t>大写：＿＿＿＿＿＿＿＿＿＿＿＿。</w:t>
      </w:r>
    </w:p>
    <w:p w14:paraId="00ABD058">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（2）具体标的见附件。＿＿＿＿＿＿＿＿＿＿＿＿＿＿＿＿＿＿＿＿</w:t>
      </w:r>
    </w:p>
    <w:p w14:paraId="529A9C66">
      <w:pPr>
        <w:adjustRightInd w:val="0"/>
        <w:snapToGrid w:val="0"/>
        <w:spacing w:before="120" w:beforeLines="50" w:line="400" w:lineRule="exact"/>
        <w:ind w:firstLine="420" w:firstLineChars="200"/>
        <w:rPr>
          <w:rFonts w:hint="eastAsia" w:ascii="宋体" w:hAnsi="宋体" w:cs="宋体"/>
          <w:color w:val="auto"/>
          <w:sz w:val="24"/>
          <w:szCs w:val="24"/>
          <w:highlight w:val="none"/>
          <w:u w:val="none"/>
          <w:lang w:val="en-US" w:eastAsia="zh-CN"/>
        </w:rPr>
      </w:pPr>
      <w:r>
        <w:rPr>
          <w:rFonts w:hint="eastAsia" w:ascii="宋体" w:hAnsi="宋体" w:eastAsia="宋体" w:cs="宋体"/>
          <w:color w:val="auto"/>
          <w:szCs w:val="21"/>
          <w:highlight w:val="none"/>
        </w:rPr>
        <w:t>（3）合同价格形式：</w:t>
      </w:r>
      <w:r>
        <w:rPr>
          <w:rFonts w:hint="eastAsia" w:ascii="宋体" w:hAnsi="宋体" w:eastAsia="宋体" w:cs="宋体"/>
          <w:color w:val="auto"/>
          <w:szCs w:val="21"/>
          <w:highlight w:val="none"/>
          <w:u w:val="single"/>
          <w:lang w:val="en-US" w:eastAsia="zh-CN"/>
        </w:rPr>
        <w:t>固定总价。</w:t>
      </w:r>
    </w:p>
    <w:p w14:paraId="6C2CB203">
      <w:pPr>
        <w:adjustRightInd w:val="0"/>
        <w:snapToGrid w:val="0"/>
        <w:spacing w:before="120" w:beforeLines="50"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（4）交货时间：</w:t>
      </w:r>
      <w:r>
        <w:rPr>
          <w:rFonts w:hint="eastAsia" w:ascii="宋体" w:hAnsi="宋体" w:eastAsia="宋体" w:cs="宋体"/>
          <w:color w:val="auto"/>
          <w:szCs w:val="21"/>
          <w:highlight w:val="none"/>
          <w:u w:val="single"/>
        </w:rPr>
        <w:t>合同签订后</w:t>
      </w:r>
      <w:r>
        <w:rPr>
          <w:rFonts w:hint="eastAsia" w:ascii="宋体" w:hAnsi="宋体" w:eastAsia="宋体" w:cs="宋体"/>
          <w:color w:val="auto"/>
          <w:szCs w:val="21"/>
          <w:highlight w:val="none"/>
          <w:u w:val="single"/>
          <w:lang w:eastAsia="zh-CN"/>
        </w:rPr>
        <w:t>三</w:t>
      </w:r>
      <w:r>
        <w:rPr>
          <w:rFonts w:hint="eastAsia" w:ascii="宋体" w:hAnsi="宋体" w:eastAsia="宋体" w:cs="宋体"/>
          <w:color w:val="auto"/>
          <w:szCs w:val="21"/>
          <w:highlight w:val="none"/>
          <w:u w:val="single"/>
        </w:rPr>
        <w:t>个月完成供货到院及安装调试并验收合格。</w:t>
      </w:r>
    </w:p>
    <w:p w14:paraId="5D5E396C">
      <w:pPr>
        <w:adjustRightInd w:val="0"/>
        <w:snapToGrid w:val="0"/>
        <w:spacing w:before="120" w:beforeLines="50" w:line="400" w:lineRule="exact"/>
        <w:ind w:firstLine="422" w:firstLineChars="200"/>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3.履行合同的时间、地点及方式</w:t>
      </w:r>
    </w:p>
    <w:p w14:paraId="78605756">
      <w:pPr>
        <w:adjustRightInd w:val="0"/>
        <w:snapToGrid w:val="0"/>
        <w:spacing w:before="120" w:beforeLines="50"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起始日期：＿＿＿年＿＿月＿＿日，完成日期：＿＿＿年＿＿月＿＿日。总日历天数：＿＿天。</w:t>
      </w:r>
    </w:p>
    <w:p w14:paraId="7C262542">
      <w:pPr>
        <w:adjustRightInd w:val="0"/>
        <w:snapToGrid w:val="0"/>
        <w:spacing w:before="120" w:beforeLines="50" w:line="400" w:lineRule="exact"/>
        <w:ind w:firstLine="630" w:firstLineChars="300"/>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szCs w:val="21"/>
          <w:highlight w:val="none"/>
        </w:rPr>
        <w:t>地点</w:t>
      </w:r>
      <w:r>
        <w:rPr>
          <w:rFonts w:hint="eastAsia" w:ascii="宋体" w:hAnsi="宋体" w:eastAsia="宋体" w:cs="宋体"/>
          <w:b/>
          <w:color w:val="auto"/>
          <w:szCs w:val="21"/>
          <w:highlight w:val="none"/>
        </w:rPr>
        <w:t>：</w:t>
      </w:r>
      <w:r>
        <w:rPr>
          <w:rFonts w:hint="eastAsia" w:ascii="宋体" w:hAnsi="宋体" w:eastAsia="宋体" w:cs="宋体"/>
          <w:color w:val="auto"/>
          <w:kern w:val="2"/>
          <w:sz w:val="21"/>
          <w:szCs w:val="21"/>
          <w:highlight w:val="none"/>
          <w:u w:val="single"/>
          <w:lang w:val="en-US" w:eastAsia="zh-CN" w:bidi="ar-SA"/>
        </w:rPr>
        <w:t>采购人指定地点</w:t>
      </w:r>
    </w:p>
    <w:p w14:paraId="08517AEB">
      <w:pPr>
        <w:adjustRightInd w:val="0"/>
        <w:snapToGrid w:val="0"/>
        <w:spacing w:before="120" w:beforeLines="50" w:line="400" w:lineRule="exact"/>
        <w:ind w:firstLine="630" w:firstLineChars="300"/>
        <w:rPr>
          <w:rFonts w:hint="eastAsia" w:ascii="宋体" w:hAnsi="宋体" w:eastAsia="宋体" w:cs="宋体"/>
          <w:color w:val="auto"/>
          <w:kern w:val="2"/>
          <w:sz w:val="21"/>
          <w:szCs w:val="21"/>
          <w:highlight w:val="none"/>
          <w:u w:val="single"/>
          <w:lang w:val="en-US" w:eastAsia="zh-CN" w:bidi="ar-SA"/>
        </w:rPr>
      </w:pPr>
      <w:r>
        <w:rPr>
          <w:rFonts w:hint="eastAsia" w:ascii="宋体" w:hAnsi="宋体" w:cs="宋体"/>
          <w:color w:val="auto"/>
          <w:szCs w:val="21"/>
          <w:highlight w:val="none"/>
          <w:lang w:val="en-US" w:eastAsia="zh-CN"/>
        </w:rPr>
        <w:t>交货</w:t>
      </w:r>
      <w:r>
        <w:rPr>
          <w:rFonts w:hint="eastAsia" w:ascii="宋体" w:hAnsi="宋体" w:eastAsia="宋体" w:cs="宋体"/>
          <w:color w:val="auto"/>
          <w:szCs w:val="21"/>
          <w:highlight w:val="none"/>
        </w:rPr>
        <w:t>方式：</w:t>
      </w:r>
      <w:r>
        <w:rPr>
          <w:rFonts w:hint="eastAsia" w:ascii="宋体" w:hAnsi="宋体" w:eastAsia="宋体" w:cs="宋体"/>
          <w:color w:val="auto"/>
          <w:kern w:val="2"/>
          <w:sz w:val="21"/>
          <w:szCs w:val="21"/>
          <w:highlight w:val="none"/>
          <w:u w:val="single"/>
          <w:lang w:val="en-US" w:eastAsia="zh-CN" w:bidi="ar-SA"/>
        </w:rPr>
        <w:t>供应商负责供货到采购人指定地点的全部运输，包括装卸及现场搬运等；并负责其派出的工作人员的人身意外安全。</w:t>
      </w:r>
    </w:p>
    <w:p w14:paraId="594828C9">
      <w:pPr>
        <w:adjustRightInd w:val="0"/>
        <w:snapToGrid w:val="0"/>
        <w:spacing w:before="120" w:beforeLines="50"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4.付款：</w:t>
      </w:r>
    </w:p>
    <w:p w14:paraId="4827D0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szCs w:val="21"/>
          <w:highlight w:val="none"/>
        </w:rPr>
        <w:t>1、</w:t>
      </w:r>
      <w:r>
        <w:rPr>
          <w:rFonts w:hint="eastAsia" w:ascii="宋体" w:hAnsi="宋体" w:eastAsia="宋体" w:cs="宋体"/>
          <w:color w:val="auto"/>
          <w:kern w:val="2"/>
          <w:sz w:val="21"/>
          <w:szCs w:val="21"/>
          <w:highlight w:val="none"/>
          <w:u w:val="single"/>
          <w:lang w:val="en-US" w:eastAsia="zh-CN" w:bidi="ar-SA"/>
        </w:rPr>
        <w:t>采购人收到本合同设备，厂家工程师到现场对该设备进行安装、调试、培训完毕、并交付临床正常使用一个月,再由设备线组织验收，验收合格后支付合同总金额的90%（需提供合同总金额全额发票），余款10%待设备正常使用满一年后若无质量问题，一次性付清合同全部余款（所有款项不计利息）</w:t>
      </w:r>
      <w:r>
        <w:rPr>
          <w:rFonts w:hint="eastAsia" w:ascii="宋体" w:hAnsi="宋体" w:eastAsia="宋体" w:cs="宋体"/>
          <w:color w:val="auto"/>
          <w:kern w:val="2"/>
          <w:sz w:val="21"/>
          <w:szCs w:val="21"/>
          <w:highlight w:val="none"/>
          <w:u w:val="none"/>
          <w:lang w:val="en-US" w:eastAsia="zh-CN" w:bidi="ar-SA"/>
        </w:rPr>
        <w:t>。</w:t>
      </w:r>
    </w:p>
    <w:p w14:paraId="606290F9">
      <w:pPr>
        <w:adjustRightInd w:val="0"/>
        <w:snapToGrid w:val="0"/>
        <w:spacing w:before="120" w:beforeLines="50"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2、预付款根据采购文件的约定，在合同签订前提交不超过合同金额</w:t>
      </w:r>
      <w:r>
        <w:rPr>
          <w:rFonts w:hint="eastAsia" w:ascii="宋体" w:hAnsi="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rPr>
        <w:t>%</w:t>
      </w:r>
      <w:r>
        <w:rPr>
          <w:rFonts w:hint="eastAsia" w:ascii="宋体" w:hAnsi="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rPr>
        <w:t>的履约担保。</w:t>
      </w:r>
    </w:p>
    <w:p w14:paraId="39D4292F">
      <w:pPr>
        <w:adjustRightInd w:val="0"/>
        <w:snapToGrid w:val="0"/>
        <w:spacing w:before="120" w:beforeLines="50"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5.解决合同纠纷方式</w:t>
      </w:r>
    </w:p>
    <w:p w14:paraId="61C781F3">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首先通过双方协商解决，协商解决不成，则通过以下途径之一解决纠纷：</w:t>
      </w:r>
    </w:p>
    <w:p w14:paraId="310DEDC6">
      <w:pPr>
        <w:adjustRightInd w:val="0"/>
        <w:snapToGrid w:val="0"/>
        <w:spacing w:before="120" w:beforeLines="50" w:line="400" w:lineRule="exact"/>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提请仲裁       </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向人民法院提起诉讼</w:t>
      </w:r>
    </w:p>
    <w:p w14:paraId="281A2343">
      <w:pPr>
        <w:adjustRightInd w:val="0"/>
        <w:snapToGrid w:val="0"/>
        <w:spacing w:before="120" w:beforeLines="50"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6.组成合同的文件</w:t>
      </w:r>
    </w:p>
    <w:p w14:paraId="6F10F5A5">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本协议书与下列文件一起构成合同文件，如下述文件之间有任何抵触、矛盾或歧义，应按以下顺序解释：</w:t>
      </w:r>
    </w:p>
    <w:p w14:paraId="3F77D20F">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（1）在采购或合同履行过程中乙方作出的承诺以及双方协商达成的变更或补充协议</w:t>
      </w:r>
    </w:p>
    <w:p w14:paraId="026557A1">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（2）本合同协议书</w:t>
      </w:r>
    </w:p>
    <w:p w14:paraId="08BEF323">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（3）中标（成交）通知书</w:t>
      </w:r>
    </w:p>
    <w:p w14:paraId="532D0747">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w:t>
      </w:r>
    </w:p>
    <w:p w14:paraId="6C529776">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（5）政府采购合同专用条款</w:t>
      </w:r>
    </w:p>
    <w:p w14:paraId="46DCE0C2">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（6）政府采购合同通用条款</w:t>
      </w:r>
    </w:p>
    <w:p w14:paraId="3DF4222E">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（7）标准、规范及有关技术文件，图纸。</w:t>
      </w:r>
    </w:p>
    <w:p w14:paraId="1BF2727D">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（8）其他合同文件。</w:t>
      </w:r>
    </w:p>
    <w:p w14:paraId="6EA0AF46">
      <w:pPr>
        <w:adjustRightInd w:val="0"/>
        <w:snapToGrid w:val="0"/>
        <w:spacing w:before="120" w:beforeLines="50" w:line="400" w:lineRule="exact"/>
        <w:ind w:firstLine="310" w:firstLineChars="147"/>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7.合同生效</w:t>
      </w:r>
    </w:p>
    <w:p w14:paraId="795E00EC">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本合同自生效。</w:t>
      </w:r>
    </w:p>
    <w:p w14:paraId="4520EBDD">
      <w:pPr>
        <w:adjustRightInd w:val="0"/>
        <w:snapToGrid w:val="0"/>
        <w:spacing w:before="120" w:beforeLines="50" w:line="400" w:lineRule="exact"/>
        <w:ind w:firstLine="310" w:firstLineChars="147"/>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8.合同份数</w:t>
      </w:r>
    </w:p>
    <w:p w14:paraId="329B92EC">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本合同一式＿＿份，采购人执＿＿份，供应商执＿＿份，均具有同等法律效力。</w:t>
      </w:r>
    </w:p>
    <w:p w14:paraId="57C636D0">
      <w:pPr>
        <w:adjustRightInd w:val="0"/>
        <w:snapToGrid w:val="0"/>
        <w:spacing w:before="120"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合同订立时间：＿＿＿＿年＿＿月＿＿日</w:t>
      </w:r>
    </w:p>
    <w:p w14:paraId="71AA38D0">
      <w:pPr>
        <w:adjustRightInd w:val="0"/>
        <w:snapToGrid w:val="0"/>
        <w:spacing w:before="120"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合同订立地点：</w:t>
      </w:r>
    </w:p>
    <w:p w14:paraId="5E85D098">
      <w:pPr>
        <w:adjustRightInd w:val="0"/>
        <w:snapToGrid w:val="0"/>
        <w:spacing w:before="120"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      方：（公章）                     乙      方：（公章）</w:t>
      </w:r>
    </w:p>
    <w:p w14:paraId="35CFAC12">
      <w:pPr>
        <w:adjustRightInd w:val="0"/>
        <w:snapToGrid w:val="0"/>
        <w:spacing w:before="120"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       　　　　　　　　　　 法定代表人：</w:t>
      </w:r>
    </w:p>
    <w:p w14:paraId="32134237">
      <w:pPr>
        <w:adjustRightInd w:val="0"/>
        <w:snapToGrid w:val="0"/>
        <w:spacing w:before="120"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      　　　　　　　　　　  委托代理人：</w:t>
      </w:r>
    </w:p>
    <w:p w14:paraId="6C818B00">
      <w:pPr>
        <w:adjustRightInd w:val="0"/>
        <w:snapToGrid w:val="0"/>
        <w:spacing w:before="120"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        　　　　　　　　　　电      话：</w:t>
      </w:r>
    </w:p>
    <w:p w14:paraId="71E932B7">
      <w:pPr>
        <w:adjustRightInd w:val="0"/>
        <w:snapToGrid w:val="0"/>
        <w:spacing w:before="120"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      真：      　　　　　　　　　　　传      真：</w:t>
      </w:r>
    </w:p>
    <w:p w14:paraId="3FB9C4E6">
      <w:pPr>
        <w:adjustRightInd w:val="0"/>
        <w:snapToGrid w:val="0"/>
        <w:spacing w:before="120" w:beforeLines="5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开 户 银 行：</w:t>
      </w:r>
    </w:p>
    <w:p w14:paraId="34732330">
      <w:pPr>
        <w:adjustRightInd w:val="0"/>
        <w:snapToGrid w:val="0"/>
        <w:spacing w:before="120" w:beforeLines="50" w:line="400" w:lineRule="exact"/>
        <w:jc w:val="center"/>
        <w:rPr>
          <w:rFonts w:hint="eastAsia" w:ascii="宋体" w:hAnsi="宋体" w:eastAsia="宋体" w:cs="宋体"/>
          <w:color w:val="auto"/>
          <w:szCs w:val="21"/>
          <w:highlight w:val="none"/>
        </w:rPr>
        <w:sectPr>
          <w:footerReference r:id="rId9" w:type="default"/>
          <w:pgSz w:w="11906" w:h="16838"/>
          <w:pgMar w:top="1191" w:right="1191" w:bottom="1304" w:left="1191" w:header="851" w:footer="992" w:gutter="0"/>
          <w:pgNumType w:fmt="decimal"/>
          <w:cols w:space="720" w:num="1"/>
          <w:docGrid w:linePitch="312" w:charSpace="0"/>
        </w:sectPr>
      </w:pPr>
      <w:r>
        <w:rPr>
          <w:rFonts w:hint="eastAsia" w:ascii="宋体" w:hAnsi="宋体" w:eastAsia="宋体" w:cs="宋体"/>
          <w:color w:val="auto"/>
          <w:szCs w:val="21"/>
          <w:highlight w:val="none"/>
        </w:rPr>
        <w:t>　　账       号</w:t>
      </w:r>
    </w:p>
    <w:p w14:paraId="1A259E57">
      <w:pPr>
        <w:pStyle w:val="3"/>
        <w:adjustRightInd w:val="0"/>
        <w:snapToGrid w:val="0"/>
        <w:spacing w:before="120" w:beforeLines="50"/>
        <w:jc w:val="center"/>
        <w:rPr>
          <w:rFonts w:hint="eastAsia" w:ascii="宋体" w:hAnsi="宋体" w:eastAsia="宋体" w:cs="宋体"/>
          <w:color w:val="auto"/>
          <w:sz w:val="28"/>
          <w:szCs w:val="28"/>
          <w:highlight w:val="none"/>
        </w:rPr>
      </w:pPr>
      <w:bookmarkStart w:id="52" w:name="_Toc22719"/>
      <w:bookmarkStart w:id="53" w:name="_Toc8566"/>
      <w:bookmarkStart w:id="54" w:name="_Toc31775"/>
      <w:r>
        <w:rPr>
          <w:rFonts w:hint="eastAsia" w:ascii="宋体" w:hAnsi="宋体" w:eastAsia="宋体" w:cs="宋体"/>
          <w:color w:val="auto"/>
          <w:sz w:val="28"/>
          <w:szCs w:val="28"/>
          <w:highlight w:val="none"/>
        </w:rPr>
        <w:t>第二节 政府采购合同通用条款</w:t>
      </w:r>
      <w:bookmarkEnd w:id="52"/>
      <w:bookmarkEnd w:id="53"/>
      <w:bookmarkEnd w:id="54"/>
    </w:p>
    <w:p w14:paraId="7904A273">
      <w:pPr>
        <w:tabs>
          <w:tab w:val="left" w:pos="8820"/>
          <w:tab w:val="left" w:pos="9345"/>
          <w:tab w:val="left" w:pos="9765"/>
        </w:tabs>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bCs/>
          <w:color w:val="auto"/>
          <w:sz w:val="24"/>
          <w:highlight w:val="none"/>
        </w:rPr>
        <w:t>定义</w:t>
      </w:r>
    </w:p>
    <w:p w14:paraId="78A8986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1.1合同当事人</w:t>
      </w:r>
    </w:p>
    <w:p w14:paraId="023C074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eastAsia="宋体" w:cs="宋体"/>
          <w:b/>
          <w:color w:val="auto"/>
          <w:szCs w:val="21"/>
          <w:highlight w:val="none"/>
        </w:rPr>
        <w:t>【政府采购合同专用条款】。</w:t>
      </w:r>
    </w:p>
    <w:p w14:paraId="64913B25">
      <w:pPr>
        <w:autoSpaceDE w:val="0"/>
        <w:autoSpaceDN w:val="0"/>
        <w:adjustRightInd w:val="0"/>
        <w:snapToGrid w:val="0"/>
        <w:spacing w:before="50"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（2）供应商（以下称乙方）是指参加政府采购活动而取得中标结果，并向采购人提供货物、服务的法人、其他组织或者自然人。</w:t>
      </w:r>
    </w:p>
    <w:p w14:paraId="008330EE">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1.2本合同下列术语应解释为：</w:t>
      </w:r>
    </w:p>
    <w:p w14:paraId="4F158A36">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（1）“合同”系指甲乙双方签署的、政府采购合同协议书中载明的甲乙双方所达成的协议，包括所有的附件、附录和上述文件所提到的构成合同的所有文件。</w:t>
      </w:r>
    </w:p>
    <w:p w14:paraId="34133986">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（2）“合同价”系指根据本合同规定乙方在正确地完全履行合同义务后甲方应支付给乙方的价款。</w:t>
      </w:r>
    </w:p>
    <w:p w14:paraId="33330727">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1189C192">
      <w:pPr>
        <w:tabs>
          <w:tab w:val="left" w:pos="570"/>
          <w:tab w:val="left" w:pos="888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23CD0990">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（5）“合同条款”系指本合同条款。</w:t>
      </w:r>
    </w:p>
    <w:p w14:paraId="2CE26C5E">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（6）“项目现场”系指本合同项下货物安装、运行的现场，其名称见</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w:t>
      </w:r>
    </w:p>
    <w:p w14:paraId="2FC7BA0A">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2.合同的适用范围</w:t>
      </w:r>
    </w:p>
    <w:p w14:paraId="4051DFE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本合同条款适用于没有被本合同其他部分的条款所取代的范围。</w:t>
      </w:r>
    </w:p>
    <w:p w14:paraId="250046E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合同内容根据招标文件、投标文件而确定。</w:t>
      </w:r>
    </w:p>
    <w:p w14:paraId="110895FE">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color w:val="auto"/>
          <w:sz w:val="24"/>
          <w:highlight w:val="none"/>
        </w:rPr>
        <w:t>合同标的及金额</w:t>
      </w:r>
    </w:p>
    <w:p w14:paraId="21A6672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合同标的及金额应与中标结果一致。</w:t>
      </w:r>
    </w:p>
    <w:p w14:paraId="2C55A971">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w:t>
      </w:r>
      <w:r>
        <w:rPr>
          <w:rFonts w:hint="eastAsia" w:ascii="宋体" w:hAnsi="宋体" w:eastAsia="宋体" w:cs="宋体"/>
          <w:b/>
          <w:color w:val="auto"/>
          <w:sz w:val="24"/>
          <w:highlight w:val="none"/>
        </w:rPr>
        <w:t>合同价款</w:t>
      </w:r>
    </w:p>
    <w:p w14:paraId="2AEC847F">
      <w:pPr>
        <w:adjustRightInd w:val="0"/>
        <w:snapToGrid w:val="0"/>
        <w:spacing w:before="50" w:line="360" w:lineRule="auto"/>
        <w:ind w:firstLine="420" w:firstLineChars="200"/>
        <w:jc w:val="left"/>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rPr>
        <w:t>4.1具体合同价款见本合同第3.1条。乙方为履行本合同而发生的所有费用均应包含在合同价款中，甲方不再另行支付其它任何费用。</w:t>
      </w:r>
    </w:p>
    <w:p w14:paraId="1C604A04">
      <w:pPr>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5.履行合同的时间、地点和方式</w:t>
      </w:r>
    </w:p>
    <w:p w14:paraId="3F7F1766">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5.1 乙方应当在甲方确定的时间、指定的地点履行合同，具体的交货时间、地点和方式见</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w:t>
      </w:r>
    </w:p>
    <w:p w14:paraId="591D7C6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乙方提供服务的应当在甲方指定的地点完成服务项目。</w:t>
      </w:r>
    </w:p>
    <w:p w14:paraId="261D1B55">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w:t>
      </w:r>
      <w:r>
        <w:rPr>
          <w:rFonts w:hint="eastAsia" w:ascii="宋体" w:hAnsi="宋体" w:eastAsia="宋体" w:cs="宋体"/>
          <w:b/>
          <w:color w:val="auto"/>
          <w:sz w:val="24"/>
          <w:highlight w:val="none"/>
        </w:rPr>
        <w:t>货物的验收</w:t>
      </w:r>
    </w:p>
    <w:p w14:paraId="02CE857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 甲方在收到乙方交付的货物后应当及时组织验收。</w:t>
      </w:r>
    </w:p>
    <w:p w14:paraId="3ACB07C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6.2 货物的表面瑕疵，甲方应在验收时当面提出；对质量问题有异议的应在安装调试后十个工作日内提出。</w:t>
      </w:r>
    </w:p>
    <w:p w14:paraId="469993E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6.3 在验收过程中发现数量不足或有质量、技术等问题，乙方应负责按照甲方的要求采取补足、更换或退货等处理措施，并承担由此发生的一切费用和损失。</w:t>
      </w:r>
    </w:p>
    <w:p w14:paraId="381EBF76">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6.4 甲方在乙方按合同规定交货或安装、调试后，无正当理由而拖延接收、验收或拒绝接收、验收的，应承担因此给乙方造成的直接损失。</w:t>
      </w:r>
    </w:p>
    <w:p w14:paraId="77BEE09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6.5 甲方对货物进行检查验收合格后，应当收取发票并在《交货验收单》上签署验收意见及加盖单位印章。</w:t>
      </w:r>
    </w:p>
    <w:p w14:paraId="5BCE4BD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6.6 大型或者复杂的货物采购项目，甲方可以邀请国家认可的质量检测机构参加验收工作，并由其出具验收报告单。</w:t>
      </w:r>
    </w:p>
    <w:p w14:paraId="28E0DEF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6.7 乙方提供的进口产品，乙方应出示中华人民共和国进出口商品检验部门出具的检验证书（招标文件第五章采购需求另有约定的除外）。</w:t>
      </w:r>
    </w:p>
    <w:p w14:paraId="5E7F8CAD">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7.货物包装要求</w:t>
      </w:r>
    </w:p>
    <w:p w14:paraId="5642ABC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62917BC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每一个包装箱内应附一份详细装箱单、质量证书和保修保养证书。</w:t>
      </w:r>
    </w:p>
    <w:p w14:paraId="33CBDEAF">
      <w:pPr>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8.运输和保险</w:t>
      </w:r>
    </w:p>
    <w:p w14:paraId="7C542235">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8.1乙方负责办理将货物运抵本合同第5.1条规定的交货地点的一切运输事项，相关费用应包括在合同总价中。</w:t>
      </w:r>
    </w:p>
    <w:p w14:paraId="1B3FCFAD">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8.2乙方应向保险公司投保以甲方为受益人的发运合同货物发票金额的110％运输一切险。</w:t>
      </w:r>
    </w:p>
    <w:p w14:paraId="09540D34">
      <w:pPr>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9.质量标准和保证</w:t>
      </w:r>
    </w:p>
    <w:p w14:paraId="575B3E25">
      <w:pPr>
        <w:pStyle w:val="28"/>
        <w:adjustRightInd w:val="0"/>
        <w:snapToGrid w:val="0"/>
        <w:spacing w:before="50"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highlight w:val="none"/>
        </w:rPr>
        <w:t>9.1 质量标准</w:t>
      </w:r>
    </w:p>
    <w:p w14:paraId="51F3D90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（1）本合同下交付的货物应符合招标文件第四章“技术规格、参数与要求”所述的标准。如果没有提及适用标准，则应符合中华人民共和国有关机构发布的最新版本的标准。</w:t>
      </w:r>
    </w:p>
    <w:p w14:paraId="0F3F814C">
      <w:pPr>
        <w:pStyle w:val="28"/>
        <w:adjustRightInd w:val="0"/>
        <w:snapToGrid w:val="0"/>
        <w:spacing w:before="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（2）采用中华人民共和国法定计量单位。</w:t>
      </w:r>
    </w:p>
    <w:p w14:paraId="1FE2CB1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（3）乙方所出售的货物还应符合国家有关安全、环保、卫生之规定。</w:t>
      </w:r>
    </w:p>
    <w:p w14:paraId="4281C91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保证</w:t>
      </w:r>
    </w:p>
    <w:p w14:paraId="66F990C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规定或乙方承诺（两者以较长的为准）的质量保证期内，本保证保持有效。</w:t>
      </w:r>
    </w:p>
    <w:p w14:paraId="0FC97E5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（2）在质量保证期内所发现的缺陷，甲方应尽快以书面形式通知乙方。</w:t>
      </w:r>
    </w:p>
    <w:p w14:paraId="4BD86E6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（3）乙方收到通知后应在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规定的响应时间内以合理的速度免费维修或更换有缺陷的货物或部件。</w:t>
      </w:r>
    </w:p>
    <w:p w14:paraId="2CB6158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4D7ACE6F">
      <w:pPr>
        <w:adjustRightInd w:val="0"/>
        <w:snapToGrid w:val="0"/>
        <w:spacing w:before="50"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（5）乙方在约定的时间内未能弥补缺陷，甲方可采取必要的补救措施，但其风险和费用将由乙方承担，甲方根据合同规定对乙方行使的其他权利不受影响。</w:t>
      </w:r>
    </w:p>
    <w:p w14:paraId="78091FD8">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10.权利瑕疵担保</w:t>
      </w:r>
    </w:p>
    <w:p w14:paraId="1C7E2AC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乙方保证对其出售的货物享有合法的权利。</w:t>
      </w:r>
    </w:p>
    <w:p w14:paraId="3EA8037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 乙方保证在其出售的货物上不存在任何未曾向甲方透露的担保物权，如抵押权、质押权、留置权等。</w:t>
      </w:r>
    </w:p>
    <w:p w14:paraId="2E50141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 如甲方使用该货物构成上述侵权的，则由乙方承担全部责任。</w:t>
      </w:r>
    </w:p>
    <w:p w14:paraId="164E4B60">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11.知识产权保护</w:t>
      </w:r>
    </w:p>
    <w:p w14:paraId="487AE90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 乙方对其所销售的货物应当享有知识产权或经权利人合法授权，保证没有侵犯任何第三人的知识产权和商业秘密等权利。</w:t>
      </w:r>
    </w:p>
    <w:p w14:paraId="44D5230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 甲方使用乙方提供的货物对第三人构成侵权的，应当由乙方承担全部法律责任，给甲方造成损害的，乙方应当承担赔偿责任。</w:t>
      </w:r>
    </w:p>
    <w:p w14:paraId="2D1D23B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 甲方委托乙方开发的产品，甲方享有知识产权，未经甲方许可不得转让任何第三人。</w:t>
      </w:r>
    </w:p>
    <w:p w14:paraId="61AFC416">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12.保密义务</w:t>
      </w:r>
    </w:p>
    <w:p w14:paraId="1CD18377">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 甲、乙双方在采购和履行合同过程中所获悉的对方属于保密的内容，双方均有保密义务。</w:t>
      </w:r>
    </w:p>
    <w:p w14:paraId="7B440534">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13.合同价款支付</w:t>
      </w:r>
    </w:p>
    <w:p w14:paraId="110F24F7">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13.1验收合格后，乙方出具正规发票给甲方，凭甲方开具的《政府采购合同验收报告单》办理合同价</w:t>
      </w:r>
      <w:r>
        <w:rPr>
          <w:rFonts w:hint="eastAsia" w:ascii="宋体" w:hAnsi="宋体" w:eastAsia="宋体" w:cs="宋体"/>
          <w:bCs/>
          <w:color w:val="auto"/>
          <w:szCs w:val="21"/>
          <w:highlight w:val="none"/>
        </w:rPr>
        <w:t>款</w:t>
      </w:r>
      <w:r>
        <w:rPr>
          <w:rFonts w:hint="eastAsia" w:ascii="宋体" w:hAnsi="宋体" w:eastAsia="宋体" w:cs="宋体"/>
          <w:color w:val="auto"/>
          <w:szCs w:val="21"/>
          <w:highlight w:val="none"/>
        </w:rPr>
        <w:t>结算手续。</w:t>
      </w:r>
    </w:p>
    <w:p w14:paraId="323C92D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6B717497">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 合同价款构成中应当由甲方自行支付的部分，甲方应当在货物验收合格后十五个工作内支付。</w:t>
      </w:r>
    </w:p>
    <w:p w14:paraId="21C5671A">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13.4支付合同价</w:t>
      </w:r>
      <w:r>
        <w:rPr>
          <w:rFonts w:hint="eastAsia" w:ascii="宋体" w:hAnsi="宋体" w:eastAsia="宋体" w:cs="宋体"/>
          <w:bCs/>
          <w:color w:val="auto"/>
          <w:szCs w:val="21"/>
          <w:highlight w:val="none"/>
        </w:rPr>
        <w:t>款</w:t>
      </w:r>
      <w:r>
        <w:rPr>
          <w:rFonts w:hint="eastAsia" w:ascii="宋体" w:hAnsi="宋体" w:eastAsia="宋体" w:cs="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198BCA9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合同价款支付方式</w:t>
      </w:r>
      <w:r>
        <w:rPr>
          <w:rFonts w:hint="eastAsia" w:ascii="宋体" w:hAnsi="宋体" w:eastAsia="宋体" w:cs="宋体"/>
          <w:bCs/>
          <w:color w:val="auto"/>
          <w:szCs w:val="21"/>
          <w:highlight w:val="none"/>
        </w:rPr>
        <w:t>和条件在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中另有规定。</w:t>
      </w:r>
    </w:p>
    <w:p w14:paraId="023048FE">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14.</w:t>
      </w:r>
      <w:r>
        <w:rPr>
          <w:rFonts w:hint="eastAsia" w:ascii="宋体" w:hAnsi="宋体" w:eastAsia="宋体" w:cs="宋体"/>
          <w:b/>
          <w:color w:val="auto"/>
          <w:sz w:val="24"/>
          <w:highlight w:val="none"/>
        </w:rPr>
        <w:t>乙方应提供的服务</w:t>
      </w:r>
    </w:p>
    <w:p w14:paraId="243F3F0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68428F7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 乙方还应提供下列服务：</w:t>
      </w:r>
    </w:p>
    <w:p w14:paraId="2F603CB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（1）货物的现场移动、安装、调试、启动监督及技术支持；</w:t>
      </w:r>
    </w:p>
    <w:p w14:paraId="665CDE9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（2）提供货物组装和维修所需的专用工具和辅助材料；</w:t>
      </w:r>
    </w:p>
    <w:p w14:paraId="0EC9355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（3）在合同各方商定的一定期限内对所有的货物实施运行监督、维修，但前提条件是该服务并不能免除乙方在质量保证期内所承担的义务；</w:t>
      </w:r>
    </w:p>
    <w:p w14:paraId="7C97837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（4）在制造商或项目现场就货物的安装、启动、运营、维护对甲方操作人员进行培训；</w:t>
      </w:r>
    </w:p>
    <w:p w14:paraId="2C53106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规定由乙方提供的其他服务。</w:t>
      </w:r>
    </w:p>
    <w:p w14:paraId="1688C9C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14.3 乙方提供的服务的费用应包含在合同价款中，甲方不再另行支付。</w:t>
      </w:r>
    </w:p>
    <w:p w14:paraId="0093CE0F">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15.违约责任</w:t>
      </w:r>
    </w:p>
    <w:p w14:paraId="6EEA8714">
      <w:pPr>
        <w:adjustRightInd w:val="0"/>
        <w:snapToGrid w:val="0"/>
        <w:spacing w:before="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15.1质量瑕疵的补救措施和索赔</w:t>
      </w:r>
    </w:p>
    <w:p w14:paraId="5958D1F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46DA45F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①乙方同意退货并将货款退还给甲方，由此发生的一切费用和损失由乙方承担。</w:t>
      </w:r>
    </w:p>
    <w:p w14:paraId="623327A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②根据货物的质量状况以及甲方所遭受的损失，经过甲乙双方商定降低货物的价格。</w:t>
      </w:r>
    </w:p>
    <w:p w14:paraId="3D668B86">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5CEC2D17">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7126003F">
      <w:pPr>
        <w:autoSpaceDE w:val="0"/>
        <w:autoSpaceDN w:val="0"/>
        <w:adjustRightInd w:val="0"/>
        <w:snapToGrid w:val="0"/>
        <w:spacing w:before="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15.2 迟延交货的违约责任</w:t>
      </w:r>
    </w:p>
    <w:p w14:paraId="5CA532B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95895C0">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（2）除本合同</w:t>
      </w:r>
      <w:r>
        <w:rPr>
          <w:rFonts w:hint="eastAsia" w:ascii="宋体" w:hAnsi="宋体" w:eastAsia="宋体" w:cs="宋体"/>
          <w:bCs/>
          <w:color w:val="auto"/>
          <w:szCs w:val="21"/>
          <w:highlight w:val="none"/>
        </w:rPr>
        <w:t>第20条</w:t>
      </w:r>
      <w:r>
        <w:rPr>
          <w:rFonts w:hint="eastAsia" w:ascii="宋体" w:hAnsi="宋体" w:eastAsia="宋体" w:cs="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74C9499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79173F92">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16.合同的变更</w:t>
      </w:r>
    </w:p>
    <w:p w14:paraId="3F65B11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 在合同履行过程中，甲、乙双方可就合同履行的时间、地点和方式等协商进行变更。协商一致后，双方应签订书面的补充协议。</w:t>
      </w:r>
    </w:p>
    <w:p w14:paraId="556CDDA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1CEB184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 除双方签署书面协议，并成为合同不可分割的一部分外，本合同条件不得有任何变更。</w:t>
      </w:r>
    </w:p>
    <w:p w14:paraId="7A1DCD5D">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17.合同中止与终止</w:t>
      </w:r>
    </w:p>
    <w:p w14:paraId="096F9A4F">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17.1合同的中止</w:t>
      </w:r>
    </w:p>
    <w:p w14:paraId="0B031DB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（1）合同在履行过程中，因采购计划调整，甲方可以要求中止履行，待计划确定后继续履行；</w:t>
      </w:r>
    </w:p>
    <w:p w14:paraId="44DD200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（2）合同履行过程中因供应商就采购过程或结果提起投诉的，甲方认为有必要或财政部门责令中止的，应当中止合同的履行。</w:t>
      </w:r>
    </w:p>
    <w:p w14:paraId="0994E8BC">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17.2合同的终止</w:t>
      </w:r>
    </w:p>
    <w:p w14:paraId="287F174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（1）合同因有效期限届满而终止；</w:t>
      </w:r>
    </w:p>
    <w:p w14:paraId="675419B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（2）乙方未能依照本合同约定条件履行合同，已构成根本性违约的，甲方有权终止本合同，并追究乙方的违约责任。</w:t>
      </w:r>
    </w:p>
    <w:p w14:paraId="607CD63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（3）如果乙方丧失履约能力或被宣告破产，甲方可在任何时候以书面形式通知乙方终止合同而不给乙方补偿。</w:t>
      </w:r>
    </w:p>
    <w:p w14:paraId="646230F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（4）如果乙方在履行合同过程中有不正当竞争行为，甲方有权解除合同，并按《中华人民共和国反不正当竞争法》规定由有关部门追究其法律责任。</w:t>
      </w:r>
    </w:p>
    <w:p w14:paraId="17C667F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（5）如果合同的履行将损害国家利益或社会公共利益，甲方有权终止合同的履行，给乙方造成损失的予以相应补偿。</w:t>
      </w:r>
    </w:p>
    <w:p w14:paraId="07D1933E">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18.合同转让和分包</w:t>
      </w:r>
    </w:p>
    <w:p w14:paraId="79568D2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乙方不得以任何形式将合同转包。</w:t>
      </w:r>
    </w:p>
    <w:p w14:paraId="785E22A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 乙方未在投标文件中说明，不得将</w:t>
      </w:r>
      <w:r>
        <w:rPr>
          <w:rFonts w:hint="eastAsia" w:ascii="宋体" w:hAnsi="宋体" w:eastAsia="宋体" w:cs="宋体"/>
          <w:bCs/>
          <w:color w:val="auto"/>
          <w:szCs w:val="21"/>
          <w:highlight w:val="none"/>
        </w:rPr>
        <w:t>合同</w:t>
      </w:r>
      <w:r>
        <w:rPr>
          <w:rFonts w:hint="eastAsia" w:ascii="宋体" w:hAnsi="宋体" w:eastAsia="宋体" w:cs="宋体"/>
          <w:color w:val="auto"/>
          <w:szCs w:val="21"/>
          <w:highlight w:val="none"/>
        </w:rPr>
        <w:t>的非主体、非关键性工作分包给他人。</w:t>
      </w:r>
    </w:p>
    <w:p w14:paraId="31091B80">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19.不可抗力</w:t>
      </w:r>
    </w:p>
    <w:p w14:paraId="4CF6CD77">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 不可抗力是指合同双方不可预见、不可避免、不可克服的自然灾害和社会事件。</w:t>
      </w:r>
    </w:p>
    <w:p w14:paraId="5FC4E24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19.2 任何一方对由于不可抗力造成的部分或全部不能履行合同不承担违约责任。但迟延履行后发生不可抗力的，不能免除责任。</w:t>
      </w:r>
    </w:p>
    <w:p w14:paraId="3E3BE3B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6F6A0DB6">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20.解决争议的方法</w:t>
      </w:r>
    </w:p>
    <w:p w14:paraId="2360A62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 合同各方应通过友好协商，解决在执行合同过程中所发生的或与合同有关的一切争端。如从协商开始后十日内仍不能解决，可以向财政部门提请调解。</w:t>
      </w:r>
    </w:p>
    <w:p w14:paraId="5A8C606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调解不成可以按</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中约定中规定下列方式之一提起仲裁或诉讼：</w:t>
      </w:r>
    </w:p>
    <w:p w14:paraId="4A7DD90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（1）向甲方所在地仲裁机构提起仲裁；</w:t>
      </w:r>
    </w:p>
    <w:p w14:paraId="74C5BD6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（2）向甲方所在地人民法院提起诉讼。</w:t>
      </w:r>
    </w:p>
    <w:p w14:paraId="5615BBB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如仲裁或诉讼事项不影响合同其它部分的履行，则在仲裁或诉讼期间，除正在进行仲裁或诉讼的部分外，合同的其它部分应继续执行。</w:t>
      </w:r>
    </w:p>
    <w:p w14:paraId="268EE52F">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21.法律适用</w:t>
      </w:r>
    </w:p>
    <w:p w14:paraId="4C91369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本合同适用中华人民共和国现行法律、行政法规和规章，如合同条款与法律、行政法规和规章不一致的，按照法律、行政法规和规章修改本合同。</w:t>
      </w:r>
    </w:p>
    <w:p w14:paraId="376FDBFD">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22.</w:t>
      </w:r>
      <w:r>
        <w:rPr>
          <w:rFonts w:hint="eastAsia" w:ascii="宋体" w:hAnsi="宋体" w:eastAsia="宋体" w:cs="宋体"/>
          <w:b/>
          <w:color w:val="auto"/>
          <w:sz w:val="24"/>
          <w:highlight w:val="none"/>
        </w:rPr>
        <w:t>通知</w:t>
      </w:r>
    </w:p>
    <w:p w14:paraId="1F7F4F92">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22.1本合同一方给另一方的通知均应采用书面形式，传真或快递送到本合同中规定的对方的地址和办理签收手续，</w:t>
      </w:r>
    </w:p>
    <w:p w14:paraId="13E4DD57">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22.2通知以送到之日或通知书中规定的生效之日起生效，两者中以较迟之日为准。</w:t>
      </w:r>
    </w:p>
    <w:p w14:paraId="69452400">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合同未尽事项</w:t>
      </w:r>
    </w:p>
    <w:p w14:paraId="5F3687BC">
      <w:pPr>
        <w:adjustRightInd w:val="0"/>
        <w:snapToGrid w:val="0"/>
        <w:spacing w:before="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23.1合同未尽事项见</w:t>
      </w:r>
      <w:r>
        <w:rPr>
          <w:rFonts w:hint="eastAsia" w:ascii="宋体" w:hAnsi="宋体" w:eastAsia="宋体" w:cs="宋体"/>
          <w:b/>
          <w:color w:val="auto"/>
          <w:szCs w:val="21"/>
          <w:highlight w:val="none"/>
        </w:rPr>
        <w:t>【政府采购合同专用条款】。</w:t>
      </w:r>
    </w:p>
    <w:p w14:paraId="059DBCAA">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24.合同生效</w:t>
      </w:r>
    </w:p>
    <w:p w14:paraId="04EE8B8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 本合同在合同双方签字盖章后生效。</w:t>
      </w:r>
    </w:p>
    <w:p w14:paraId="3A98DA94">
      <w:pPr>
        <w:pStyle w:val="22"/>
        <w:rPr>
          <w:rFonts w:hint="eastAsia" w:ascii="宋体" w:hAnsi="宋体" w:eastAsia="宋体" w:cs="宋体"/>
          <w:color w:val="auto"/>
          <w:szCs w:val="21"/>
          <w:highlight w:val="none"/>
        </w:rPr>
      </w:pPr>
    </w:p>
    <w:p w14:paraId="12A5641C">
      <w:pPr>
        <w:pStyle w:val="39"/>
        <w:rPr>
          <w:rFonts w:hint="eastAsia" w:ascii="宋体" w:hAnsi="宋体" w:eastAsia="宋体" w:cs="宋体"/>
          <w:color w:val="auto"/>
          <w:szCs w:val="21"/>
          <w:highlight w:val="none"/>
        </w:rPr>
      </w:pPr>
    </w:p>
    <w:p w14:paraId="0C1B8157">
      <w:pPr>
        <w:rPr>
          <w:rFonts w:hint="eastAsia" w:ascii="宋体" w:hAnsi="宋体" w:eastAsia="宋体" w:cs="宋体"/>
          <w:color w:val="auto"/>
          <w:szCs w:val="21"/>
          <w:highlight w:val="none"/>
        </w:rPr>
      </w:pPr>
    </w:p>
    <w:p w14:paraId="5AD64101">
      <w:pPr>
        <w:rPr>
          <w:rFonts w:hint="eastAsia" w:ascii="宋体" w:hAnsi="宋体" w:eastAsia="宋体" w:cs="宋体"/>
          <w:color w:val="auto"/>
          <w:highlight w:val="none"/>
        </w:rPr>
      </w:pPr>
    </w:p>
    <w:p w14:paraId="7E631A87">
      <w:pPr>
        <w:autoSpaceDE w:val="0"/>
        <w:autoSpaceDN w:val="0"/>
        <w:adjustRightInd w:val="0"/>
        <w:snapToGrid w:val="0"/>
        <w:spacing w:line="360" w:lineRule="auto"/>
        <w:ind w:firstLine="562" w:firstLineChars="200"/>
        <w:jc w:val="center"/>
        <w:rPr>
          <w:rFonts w:hint="eastAsia" w:ascii="宋体" w:hAnsi="宋体" w:eastAsia="宋体" w:cs="宋体"/>
          <w:b/>
          <w:color w:val="auto"/>
          <w:sz w:val="28"/>
          <w:szCs w:val="28"/>
          <w:highlight w:val="none"/>
        </w:rPr>
        <w:sectPr>
          <w:pgSz w:w="11906" w:h="16838"/>
          <w:pgMar w:top="1440" w:right="1800" w:bottom="1440" w:left="1800" w:header="851" w:footer="992" w:gutter="0"/>
          <w:pgNumType w:fmt="decimal"/>
          <w:cols w:space="720" w:num="1"/>
          <w:docGrid w:type="lines" w:linePitch="312" w:charSpace="0"/>
        </w:sectPr>
      </w:pPr>
    </w:p>
    <w:p w14:paraId="758B3466">
      <w:pPr>
        <w:pStyle w:val="3"/>
        <w:adjustRightInd w:val="0"/>
        <w:snapToGrid w:val="0"/>
        <w:spacing w:before="120" w:beforeLines="50"/>
        <w:jc w:val="center"/>
        <w:rPr>
          <w:rFonts w:hint="eastAsia" w:ascii="宋体" w:hAnsi="宋体" w:eastAsia="宋体" w:cs="宋体"/>
          <w:color w:val="auto"/>
          <w:sz w:val="28"/>
          <w:szCs w:val="28"/>
          <w:highlight w:val="none"/>
        </w:rPr>
      </w:pPr>
      <w:bookmarkStart w:id="55" w:name="_Toc4217"/>
      <w:r>
        <w:rPr>
          <w:rFonts w:hint="eastAsia" w:ascii="宋体" w:hAnsi="宋体" w:eastAsia="宋体" w:cs="宋体"/>
          <w:color w:val="auto"/>
          <w:sz w:val="28"/>
          <w:szCs w:val="28"/>
          <w:highlight w:val="none"/>
          <w:lang w:eastAsia="zh-CN"/>
        </w:rPr>
        <w:t>第</w:t>
      </w:r>
      <w:r>
        <w:rPr>
          <w:rFonts w:hint="eastAsia" w:ascii="宋体" w:hAnsi="宋体" w:eastAsia="宋体" w:cs="宋体"/>
          <w:color w:val="auto"/>
          <w:sz w:val="28"/>
          <w:szCs w:val="28"/>
          <w:highlight w:val="none"/>
        </w:rPr>
        <w:t>三</w:t>
      </w:r>
      <w:r>
        <w:rPr>
          <w:rFonts w:hint="eastAsia" w:ascii="宋体" w:hAnsi="宋体" w:eastAsia="宋体" w:cs="宋体"/>
          <w:color w:val="auto"/>
          <w:sz w:val="28"/>
          <w:szCs w:val="28"/>
          <w:highlight w:val="none"/>
          <w:lang w:eastAsia="zh-CN"/>
        </w:rPr>
        <w:t>节</w:t>
      </w:r>
      <w:r>
        <w:rPr>
          <w:rFonts w:hint="eastAsia" w:ascii="宋体" w:hAnsi="宋体" w:eastAsia="宋体" w:cs="宋体"/>
          <w:color w:val="auto"/>
          <w:sz w:val="28"/>
          <w:szCs w:val="28"/>
          <w:highlight w:val="none"/>
        </w:rPr>
        <w:t>、政府采购合同专用条款</w:t>
      </w:r>
      <w:bookmarkEnd w:id="55"/>
    </w:p>
    <w:p w14:paraId="7E9A4B0B">
      <w:pPr>
        <w:pStyle w:val="22"/>
        <w:snapToGrid w:val="0"/>
        <w:ind w:left="106" w:leftChars="50"/>
        <w:jc w:val="center"/>
        <w:rPr>
          <w:rFonts w:hint="eastAsia" w:ascii="宋体" w:hAnsi="宋体" w:eastAsia="宋体" w:cs="宋体"/>
          <w:b/>
          <w:bCs/>
          <w:color w:val="auto"/>
          <w:sz w:val="36"/>
          <w:szCs w:val="36"/>
          <w:highlight w:val="none"/>
        </w:rPr>
      </w:pPr>
    </w:p>
    <w:p w14:paraId="4D57AFEB">
      <w:pPr>
        <w:pStyle w:val="22"/>
        <w:bidi w:val="0"/>
        <w:jc w:val="center"/>
        <w:rPr>
          <w:rFonts w:hint="eastAsia" w:ascii="宋体" w:hAnsi="宋体" w:eastAsia="宋体" w:cs="宋体"/>
          <w:b/>
          <w:bCs/>
          <w:color w:val="auto"/>
          <w:sz w:val="28"/>
          <w:szCs w:val="28"/>
          <w:highlight w:val="none"/>
        </w:rPr>
      </w:pPr>
      <w:bookmarkStart w:id="56" w:name="_Toc3117"/>
      <w:bookmarkStart w:id="57" w:name="_Toc18917"/>
      <w:r>
        <w:rPr>
          <w:rFonts w:hint="eastAsia" w:ascii="宋体" w:hAnsi="宋体" w:eastAsia="宋体" w:cs="宋体"/>
          <w:b/>
          <w:bCs/>
          <w:color w:val="auto"/>
          <w:sz w:val="28"/>
          <w:szCs w:val="28"/>
          <w:highlight w:val="none"/>
        </w:rPr>
        <w:t>政府采购合同专用条款（</w:t>
      </w:r>
      <w:r>
        <w:rPr>
          <w:rFonts w:hint="eastAsia" w:ascii="宋体" w:hAnsi="宋体" w:eastAsia="宋体" w:cs="宋体"/>
          <w:b/>
          <w:bCs/>
          <w:color w:val="auto"/>
          <w:sz w:val="28"/>
          <w:szCs w:val="28"/>
          <w:highlight w:val="none"/>
          <w:lang w:eastAsia="zh-CN"/>
        </w:rPr>
        <w:t>货物</w:t>
      </w:r>
      <w:r>
        <w:rPr>
          <w:rFonts w:hint="eastAsia" w:ascii="宋体" w:hAnsi="宋体" w:eastAsia="宋体" w:cs="宋体"/>
          <w:b/>
          <w:bCs/>
          <w:color w:val="auto"/>
          <w:sz w:val="28"/>
          <w:szCs w:val="28"/>
          <w:highlight w:val="none"/>
        </w:rPr>
        <w:t>类）</w:t>
      </w:r>
      <w:bookmarkEnd w:id="56"/>
      <w:bookmarkEnd w:id="57"/>
    </w:p>
    <w:p w14:paraId="38BC2EB5">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Cs/>
          <w:color w:val="auto"/>
          <w:szCs w:val="21"/>
          <w:highlight w:val="none"/>
          <w:lang w:eastAsia="zh-CN"/>
        </w:rPr>
        <w:t>货物</w:t>
      </w:r>
      <w:r>
        <w:rPr>
          <w:rFonts w:hint="eastAsia" w:ascii="宋体" w:hAnsi="宋体" w:eastAsia="宋体" w:cs="宋体"/>
          <w:bCs/>
          <w:color w:val="auto"/>
          <w:szCs w:val="21"/>
          <w:highlight w:val="none"/>
        </w:rPr>
        <w:t>类政府采购合同专用条款参照（货物类）专用条款的格式和相关内容，根据项目的实际情况，按照</w:t>
      </w:r>
      <w:r>
        <w:rPr>
          <w:rFonts w:hint="eastAsia" w:ascii="宋体" w:hAnsi="宋体" w:eastAsia="宋体" w:cs="宋体"/>
          <w:bCs/>
          <w:color w:val="auto"/>
          <w:szCs w:val="21"/>
          <w:highlight w:val="none"/>
          <w:lang w:eastAsia="zh-CN"/>
        </w:rPr>
        <w:t>货物</w:t>
      </w:r>
      <w:r>
        <w:rPr>
          <w:rFonts w:hint="eastAsia" w:ascii="宋体" w:hAnsi="宋体" w:eastAsia="宋体" w:cs="宋体"/>
          <w:bCs/>
          <w:color w:val="auto"/>
          <w:szCs w:val="21"/>
          <w:highlight w:val="none"/>
        </w:rPr>
        <w:t>内容、</w:t>
      </w:r>
      <w:r>
        <w:rPr>
          <w:rFonts w:hint="eastAsia" w:ascii="宋体" w:hAnsi="宋体" w:eastAsia="宋体" w:cs="宋体"/>
          <w:bCs/>
          <w:color w:val="auto"/>
          <w:szCs w:val="21"/>
          <w:highlight w:val="none"/>
          <w:lang w:eastAsia="zh-CN"/>
        </w:rPr>
        <w:t>技术</w:t>
      </w:r>
      <w:r>
        <w:rPr>
          <w:rFonts w:hint="eastAsia" w:ascii="宋体" w:hAnsi="宋体" w:eastAsia="宋体" w:cs="宋体"/>
          <w:bCs/>
          <w:color w:val="auto"/>
          <w:szCs w:val="21"/>
          <w:highlight w:val="none"/>
        </w:rPr>
        <w:t>要求、</w:t>
      </w:r>
      <w:r>
        <w:rPr>
          <w:rFonts w:hint="eastAsia" w:ascii="宋体" w:hAnsi="宋体" w:eastAsia="宋体" w:cs="宋体"/>
          <w:bCs/>
          <w:color w:val="auto"/>
          <w:szCs w:val="21"/>
          <w:highlight w:val="none"/>
          <w:lang w:eastAsia="zh-CN"/>
        </w:rPr>
        <w:t>交货期限</w:t>
      </w:r>
      <w:r>
        <w:rPr>
          <w:rFonts w:hint="eastAsia" w:ascii="宋体" w:hAnsi="宋体" w:eastAsia="宋体" w:cs="宋体"/>
          <w:bCs/>
          <w:color w:val="auto"/>
          <w:szCs w:val="21"/>
          <w:highlight w:val="none"/>
        </w:rPr>
        <w:t>等内容进行编制。</w:t>
      </w:r>
    </w:p>
    <w:p w14:paraId="754B1CF7">
      <w:pPr>
        <w:rPr>
          <w:rFonts w:hint="eastAsia" w:ascii="宋体" w:hAnsi="宋体" w:eastAsia="宋体" w:cs="宋体"/>
          <w:color w:val="auto"/>
          <w:highlight w:val="none"/>
        </w:rPr>
        <w:sectPr>
          <w:footerReference r:id="rId10" w:type="default"/>
          <w:pgSz w:w="11906" w:h="16838"/>
          <w:pgMar w:top="1304" w:right="1304" w:bottom="1304" w:left="1417" w:header="851" w:footer="992" w:gutter="0"/>
          <w:pgNumType w:fmt="decimal"/>
          <w:cols w:space="0" w:num="1"/>
          <w:rtlGutter w:val="0"/>
          <w:docGrid w:type="linesAndChars" w:linePitch="316" w:charSpace="738"/>
        </w:sectPr>
      </w:pPr>
    </w:p>
    <w:p w14:paraId="3C077FC1">
      <w:pPr>
        <w:pStyle w:val="67"/>
        <w:rPr>
          <w:rFonts w:hint="eastAsia" w:ascii="宋体" w:hAnsi="宋体" w:eastAsia="宋体" w:cs="宋体"/>
          <w:color w:val="auto"/>
          <w:highlight w:val="none"/>
        </w:rPr>
      </w:pPr>
    </w:p>
    <w:p w14:paraId="159ACFB6">
      <w:pPr>
        <w:pStyle w:val="2"/>
        <w:numPr>
          <w:ilvl w:val="0"/>
          <w:numId w:val="25"/>
        </w:numPr>
        <w:bidi w:val="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 xml:space="preserve"> </w:t>
      </w:r>
      <w:bookmarkStart w:id="58" w:name="_Toc12023"/>
      <w:r>
        <w:rPr>
          <w:rFonts w:hint="eastAsia" w:ascii="宋体" w:hAnsi="宋体" w:eastAsia="宋体" w:cs="宋体"/>
          <w:color w:val="auto"/>
          <w:sz w:val="32"/>
          <w:szCs w:val="32"/>
          <w:highlight w:val="none"/>
        </w:rPr>
        <w:t>采购需求</w:t>
      </w:r>
      <w:bookmarkEnd w:id="58"/>
    </w:p>
    <w:p w14:paraId="330BDE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一、项目名称及合同条款</w:t>
      </w:r>
      <w:r>
        <w:rPr>
          <w:rFonts w:hint="eastAsia" w:ascii="宋体" w:hAnsi="宋体" w:eastAsia="宋体" w:cs="宋体"/>
          <w:b/>
          <w:color w:val="auto"/>
          <w:sz w:val="24"/>
          <w:szCs w:val="24"/>
          <w:highlight w:val="none"/>
          <w:lang w:val="en-US" w:eastAsia="zh-CN"/>
        </w:rPr>
        <w:t>:</w:t>
      </w:r>
    </w:p>
    <w:p w14:paraId="2CF733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1、项目名称：</w:t>
      </w:r>
      <w:r>
        <w:rPr>
          <w:rFonts w:hint="eastAsia" w:ascii="宋体" w:hAnsi="宋体" w:cs="宋体"/>
          <w:color w:val="auto"/>
          <w:sz w:val="24"/>
          <w:szCs w:val="24"/>
          <w:highlight w:val="none"/>
          <w:lang w:eastAsia="zh-CN"/>
        </w:rPr>
        <w:t>华容县人民医院</w:t>
      </w:r>
      <w:r>
        <w:rPr>
          <w:rFonts w:hint="eastAsia" w:ascii="宋体" w:hAnsi="宋体" w:eastAsia="宋体" w:cs="宋体"/>
          <w:b w:val="0"/>
          <w:bCs w:val="0"/>
          <w:color w:val="auto"/>
          <w:sz w:val="24"/>
          <w:szCs w:val="24"/>
          <w:highlight w:val="none"/>
        </w:rPr>
        <w:t>彩色多普勒超声诊断仪采</w:t>
      </w:r>
      <w:r>
        <w:rPr>
          <w:rFonts w:hint="eastAsia" w:ascii="宋体" w:hAnsi="宋体" w:eastAsia="宋体" w:cs="宋体"/>
          <w:color w:val="auto"/>
          <w:sz w:val="24"/>
          <w:szCs w:val="24"/>
          <w:highlight w:val="none"/>
        </w:rPr>
        <w:t>购项目。</w:t>
      </w:r>
    </w:p>
    <w:p w14:paraId="17EFE5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2、采购预算：</w:t>
      </w:r>
      <w:r>
        <w:rPr>
          <w:rFonts w:hint="eastAsia" w:ascii="宋体" w:hAnsi="宋体" w:cs="宋体"/>
          <w:color w:val="auto"/>
          <w:sz w:val="24"/>
          <w:szCs w:val="24"/>
          <w:highlight w:val="none"/>
          <w:u w:val="none"/>
          <w:lang w:val="en-US" w:eastAsia="zh-CN"/>
        </w:rPr>
        <w:t>1900000</w:t>
      </w:r>
      <w:r>
        <w:rPr>
          <w:rFonts w:hint="eastAsia" w:ascii="宋体" w:hAnsi="宋体" w:eastAsia="宋体" w:cs="宋体"/>
          <w:color w:val="auto"/>
          <w:sz w:val="24"/>
          <w:szCs w:val="24"/>
          <w:highlight w:val="none"/>
        </w:rPr>
        <w:t>元。</w:t>
      </w:r>
    </w:p>
    <w:p w14:paraId="65400510">
      <w:pPr>
        <w:keepNext w:val="0"/>
        <w:keepLines w:val="0"/>
        <w:pageBreakBefore w:val="0"/>
        <w:widowControl w:val="0"/>
        <w:kinsoku/>
        <w:wordWrap/>
        <w:overflowPunct/>
        <w:topLinePunct w:val="0"/>
        <w:autoSpaceDE/>
        <w:autoSpaceDN/>
        <w:bidi w:val="0"/>
        <w:adjustRightInd/>
        <w:snapToGrid/>
        <w:spacing w:line="360" w:lineRule="auto"/>
        <w:ind w:left="6" w:leftChars="3"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3、交货时间：合同签订后</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个月完成供货到院及安装调试并验收合格。</w:t>
      </w:r>
    </w:p>
    <w:p w14:paraId="64DE86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4、项目现场：采购人指定地点。</w:t>
      </w:r>
    </w:p>
    <w:p w14:paraId="57BF5B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5、交货方式：供应商负责供货到采购人指定地点的全部运输，包括装卸及现场搬运等；并负责其派出的工作人员的人身意外安全。</w:t>
      </w:r>
    </w:p>
    <w:p w14:paraId="1D738A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6、付款方式：采购人收到本合同设备，厂家工程师到现场对该设备进行安装、调试</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培训</w:t>
      </w:r>
      <w:r>
        <w:rPr>
          <w:rFonts w:hint="eastAsia" w:ascii="宋体" w:hAnsi="宋体" w:eastAsia="宋体" w:cs="宋体"/>
          <w:color w:val="auto"/>
          <w:sz w:val="24"/>
          <w:szCs w:val="24"/>
          <w:highlight w:val="none"/>
        </w:rPr>
        <w:t>完毕、并交付临床正常使用一个月,再由设备线组织验收，验收合格后支付合同总金额的90%（需提供合同总金额全额发票），余款10%待设备正常使用满一年后若无质量问题，一次性付清合同全部余款（所有款项不计利息）。</w:t>
      </w:r>
    </w:p>
    <w:p w14:paraId="4B410F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7、供应商应根据采购人要求，按时交货，并保证货物到达指定地完好无损；如因运输差错出现有缺漏、损坏，概由供应商负责补齐或赔偿。</w:t>
      </w:r>
    </w:p>
    <w:p w14:paraId="43ED01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8、其他未尽事宜由采购人和成交供应商双方在采购合同中详细约定。</w:t>
      </w:r>
    </w:p>
    <w:p w14:paraId="4948B5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二、</w:t>
      </w:r>
      <w:r>
        <w:rPr>
          <w:rFonts w:hint="eastAsia" w:ascii="宋体" w:hAnsi="宋体" w:eastAsia="宋体" w:cs="宋体"/>
          <w:b/>
          <w:bCs/>
          <w:color w:val="auto"/>
          <w:sz w:val="24"/>
          <w:szCs w:val="24"/>
          <w:highlight w:val="none"/>
        </w:rPr>
        <w:t>主要技术规格及系统概述：</w:t>
      </w:r>
    </w:p>
    <w:p w14:paraId="3693071C">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用途：主要用于腹部、妇产、胎儿心脏、成人心脏、经食道心脏、泌尿、新生儿、小儿、血管（外周、颅脑、腹部）、小器官、骨骼肌肉、神经、术中，造影、介入等方面的临床诊断和科研教学工作，具有世界先进水平，具备持续升级能力，能满足开展新的临床应用需求。    </w:t>
      </w:r>
    </w:p>
    <w:p w14:paraId="1DAB97E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主机成像系统</w:t>
      </w:r>
    </w:p>
    <w:p w14:paraId="1237866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i w:val="0"/>
          <w:iCs w:val="0"/>
          <w:caps w:val="0"/>
          <w:color w:val="auto"/>
          <w:spacing w:val="0"/>
          <w:sz w:val="24"/>
          <w:szCs w:val="24"/>
          <w:highlight w:val="none"/>
          <w:shd w:val="clear" w:fill="FFFFFF"/>
        </w:rPr>
        <w:t>▲</w:t>
      </w:r>
      <w:r>
        <w:rPr>
          <w:rFonts w:hint="eastAsia" w:ascii="宋体" w:hAnsi="宋体" w:eastAsia="宋体" w:cs="宋体"/>
          <w:b w:val="0"/>
          <w:bCs w:val="0"/>
          <w:i w:val="0"/>
          <w:iCs w:val="0"/>
          <w:caps w:val="0"/>
          <w:color w:val="auto"/>
          <w:spacing w:val="0"/>
          <w:sz w:val="24"/>
          <w:szCs w:val="24"/>
          <w:highlight w:val="none"/>
          <w:shd w:val="clear" w:fill="FFFFFF"/>
          <w:lang w:val="en-US" w:eastAsia="zh-CN"/>
        </w:rPr>
        <w:t>1</w:t>
      </w:r>
      <w:r>
        <w:rPr>
          <w:rFonts w:hint="eastAsia" w:ascii="宋体" w:hAnsi="宋体" w:eastAsia="宋体" w:cs="宋体"/>
          <w:b w:val="0"/>
          <w:bCs w:val="0"/>
          <w:i w:val="0"/>
          <w:iCs w:val="0"/>
          <w:caps w:val="0"/>
          <w:color w:val="auto"/>
          <w:spacing w:val="0"/>
          <w:sz w:val="24"/>
          <w:szCs w:val="24"/>
          <w:highlight w:val="none"/>
          <w:shd w:val="clear" w:fill="FFFFFF"/>
        </w:rPr>
        <w:t>.1.1 高分辨率液晶显示器≥23英寸，分辨率1920×1080，无闪烁，不间断逐行扫描，可上下左右任意旋转，可前后折叠，具备全屏高清放大功能，显示比例≥16:9。</w:t>
      </w:r>
    </w:p>
    <w:p w14:paraId="7CE3CB27">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.1.2操作面板具备液晶触摸屏≥12英寸,可通过手指滑动触摸屏进行翻页，直接点击触摸屏即可选择需要调节的参数，操作面板可上下左右进行高度调整及旋转</w:t>
      </w:r>
    </w:p>
    <w:p w14:paraId="5AAB05A8">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.1.3全新集束精准发射技术,全程动态聚焦发射声束</w:t>
      </w:r>
    </w:p>
    <w:p w14:paraId="1595BD59">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.1.4脉冲优化处理技术</w:t>
      </w:r>
    </w:p>
    <w:p w14:paraId="5EB86829">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.1.5海量并行处理技术</w:t>
      </w:r>
    </w:p>
    <w:p w14:paraId="6C95BFD4">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.1.6自适应增益补偿技术</w:t>
      </w:r>
    </w:p>
    <w:p w14:paraId="6B7F8826">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.1.7数字化二维灰阶成像及M型显像单元</w:t>
      </w:r>
    </w:p>
    <w:p w14:paraId="1B68379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.1.8解剖M型技术,可360度任意旋转M型取样线角度方便准确的进行测量，同时支持曲线解剖M型技术，取样线走行可任意方向、任意形状取样</w:t>
      </w:r>
    </w:p>
    <w:p w14:paraId="68D64DF9">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.1.9脉冲反向谐波成像单元</w:t>
      </w:r>
    </w:p>
    <w:p w14:paraId="5BA6F439">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.1.10彩色多普勒成像技术</w:t>
      </w:r>
    </w:p>
    <w:p w14:paraId="66B869C7">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.1.11彩色多普勒能量图技术</w:t>
      </w:r>
    </w:p>
    <w:p w14:paraId="080AB52C">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.1.12方向性能量图技术</w:t>
      </w:r>
    </w:p>
    <w:p w14:paraId="1D617A35">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.1.13数字化频谱多普勒显示和分析单元 (包括 PW 、CW和 HPRF)</w:t>
      </w:r>
    </w:p>
    <w:p w14:paraId="154AD37B">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.1.14动态范围≥320dB</w:t>
      </w:r>
    </w:p>
    <w:p w14:paraId="2B62A44B">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.1.15</w:t>
      </w:r>
      <w:r>
        <w:rPr>
          <w:rFonts w:hint="eastAsia" w:ascii="宋体" w:hAnsi="宋体" w:eastAsia="宋体" w:cs="宋体"/>
          <w:b w:val="0"/>
          <w:bCs w:val="0"/>
          <w:i w:val="0"/>
          <w:iCs w:val="0"/>
          <w:caps w:val="0"/>
          <w:color w:val="auto"/>
          <w:spacing w:val="0"/>
          <w:sz w:val="24"/>
          <w:szCs w:val="24"/>
          <w:highlight w:val="none"/>
          <w:shd w:val="clear" w:fill="FFFFFF"/>
        </w:rPr>
        <w:t>采用高密度数字化通道架构</w:t>
      </w:r>
    </w:p>
    <w:p w14:paraId="70111E4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.1.16智能全程聚焦技术</w:t>
      </w:r>
    </w:p>
    <w:p w14:paraId="3AF01A5E">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.1.17智能化一键图像优化技术；可自适应调整图像的增益等参数获取最佳图像</w:t>
      </w:r>
    </w:p>
    <w:p w14:paraId="4EB68004">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.1.18</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空间复合成像技术，同时作用于发射和接收，可达&gt;9线偏转</w:t>
      </w:r>
      <w:r>
        <w:rPr>
          <w:rFonts w:hint="eastAsia" w:ascii="宋体" w:hAnsi="宋体" w:eastAsia="宋体" w:cs="宋体"/>
          <w:color w:val="FF0000"/>
          <w:sz w:val="24"/>
          <w:szCs w:val="24"/>
          <w:highlight w:val="none"/>
        </w:rPr>
        <w:t>(可通过曲别针试验验证)</w:t>
      </w:r>
      <w:r>
        <w:rPr>
          <w:rFonts w:hint="eastAsia" w:ascii="宋体" w:hAnsi="宋体" w:eastAsia="宋体" w:cs="宋体"/>
          <w:color w:val="auto"/>
          <w:sz w:val="24"/>
          <w:szCs w:val="24"/>
          <w:highlight w:val="none"/>
        </w:rPr>
        <w:t>，支持所有凸阵、微凸阵、容积和线阵成像探头</w:t>
      </w:r>
    </w:p>
    <w:p w14:paraId="47155AA3">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.1.19</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自适应核磁像素优化技术，改善边界显示，提高分辨率，减少伪像，支持所有成像探头，可分级调节≥5级</w:t>
      </w:r>
    </w:p>
    <w:p w14:paraId="551EEB8B">
      <w:pPr>
        <w:keepNext w:val="0"/>
        <w:keepLines w:val="0"/>
        <w:pageBreakBefore w:val="0"/>
        <w:widowControl/>
        <w:kinsoku/>
        <w:wordWrap/>
        <w:overflowPunct/>
        <w:topLinePunct w:val="0"/>
        <w:autoSpaceDE/>
        <w:autoSpaceDN/>
        <w:bidi w:val="0"/>
        <w:adjustRightInd/>
        <w:snapToGrid/>
        <w:spacing w:after="0"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.1.20支持经食管单晶体探头技术，可用于经食管成人心脏</w:t>
      </w:r>
      <w:r>
        <w:rPr>
          <w:rFonts w:ascii="宋体" w:hAnsi="宋体" w:eastAsia="宋体" w:cs="宋体"/>
          <w:color w:val="auto"/>
          <w:sz w:val="24"/>
          <w:szCs w:val="24"/>
          <w:highlight w:val="none"/>
        </w:rPr>
        <w:t>检查</w:t>
      </w:r>
    </w:p>
    <w:p w14:paraId="2CF2CD08">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.1.21支持多种机械容积探头，可分别用于产科、妇科、浅表三维和四维成像  </w:t>
      </w:r>
    </w:p>
    <w:p w14:paraId="6C1BB9C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.1.22内有一体化超声工作站</w:t>
      </w:r>
    </w:p>
    <w:p w14:paraId="7F42DC92">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先进成像技术</w:t>
      </w:r>
    </w:p>
    <w:p w14:paraId="397248AE">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.2.1超声声速自动校正技术</w:t>
      </w:r>
    </w:p>
    <w:p w14:paraId="645A0AE4">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1)针对肥胖及困难病人</w:t>
      </w:r>
    </w:p>
    <w:p w14:paraId="71AD7AF7">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2)可用于乳腺检查，并可调整级别</w:t>
      </w:r>
    </w:p>
    <w:p w14:paraId="77ABD5BB">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3)专门的预置条件</w:t>
      </w:r>
    </w:p>
    <w:p w14:paraId="5EFB8220">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.2.2 扩展成像技术：凸阵、微凸阵、线阵探头均具有此功能。  </w:t>
      </w:r>
    </w:p>
    <w:p w14:paraId="34965CF4">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组织多普勒技术(TDI/或DTI)，具有彩色，谐波，PW，M型多种模式，并有在机应变及应变率定量分析工具</w:t>
      </w:r>
    </w:p>
    <w:p w14:paraId="783B5285">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.2.4超宽视野成像扫描技术</w:t>
      </w:r>
    </w:p>
    <w:p w14:paraId="36A0E567">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1)测量功能，电影回放功能</w:t>
      </w:r>
    </w:p>
    <w:p w14:paraId="22DD4DB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2)线阵、凸阵探头具备</w:t>
      </w:r>
    </w:p>
    <w:p w14:paraId="3075935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3)结合先进的成像技术如复合成像技术结合使用</w:t>
      </w:r>
    </w:p>
    <w:p w14:paraId="10CB57AA">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.2.5血管中内膜自动测量与分析</w:t>
      </w:r>
    </w:p>
    <w:p w14:paraId="5D16BF9C">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1)要求对感兴趣区域内自动测量，无需手动描计</w:t>
      </w:r>
    </w:p>
    <w:p w14:paraId="42746673">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2)计算结果为一段距离内的平均值，提高测量的可靠性和可重复性，并可根据血管内中膜厚度不同进行优化设置</w:t>
      </w:r>
    </w:p>
    <w:p w14:paraId="70CE996C">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支持负荷超声成像(内置一体化)：具备二维负荷超声。</w:t>
      </w:r>
    </w:p>
    <w:p w14:paraId="0ECF9AC4">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 xml:space="preserve">心肌应变定量 </w:t>
      </w:r>
    </w:p>
    <w:p w14:paraId="3F22B483">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1)实时组织多普勒定量技术,可整体或分节段曲线显示</w:t>
      </w:r>
    </w:p>
    <w:p w14:paraId="70245745">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)同时可显示≥32条节段曲线</w:t>
      </w:r>
    </w:p>
    <w:p w14:paraId="7007C099">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)可显示组织速度、位移、应变、应变率等多种参数曲线，并支持曲线测量对比分析</w:t>
      </w:r>
    </w:p>
    <w:p w14:paraId="38554D73">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自动化二维心功能定量技术</w:t>
      </w:r>
    </w:p>
    <w:p w14:paraId="63A214D5">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1)自动二维左心房功能定量</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 依据选择的心脏切面自动描记感兴趣区，自动计算EF，ESV，EDV，最大体积，最小体积以及LVEF、PER、PRFR、AFF</w:t>
      </w:r>
    </w:p>
    <w:p w14:paraId="7E6B0A8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▲2)自动组织瓣环位移功能可自动对二尖瓣和三尖瓣瓣环运动进行可视化定量分析，快速评估心脏整体功能</w:t>
      </w:r>
    </w:p>
    <w:p w14:paraId="44938695">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3)自动左心房功能定量分析：在机提供2D图像上LA的自动和半自动边界检测。生成LA的容积曲线，并根据LA最大和最小体积提供测量值。 </w:t>
      </w:r>
    </w:p>
    <w:p w14:paraId="338CC0BB">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 xml:space="preserve">心脏自动应变定量 </w:t>
      </w:r>
    </w:p>
    <w:p w14:paraId="783BCBC1">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b w:val="0"/>
          <w:bCs w:val="0"/>
          <w:i w:val="0"/>
          <w:iCs w:val="0"/>
          <w:caps w:val="0"/>
          <w:color w:val="auto"/>
          <w:spacing w:val="0"/>
          <w:sz w:val="24"/>
          <w:szCs w:val="24"/>
          <w:highlight w:val="none"/>
          <w:shd w:val="clear" w:fill="FFFFFF"/>
        </w:rPr>
        <w:t>具备心脏自动应变定量分析功能，可全自动识别左心室、左心房、右心室切面并获取应变值</w:t>
      </w:r>
    </w:p>
    <w:p w14:paraId="74E16BDE">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2)连接和未连接心电信号的超声图像均可在机分析</w:t>
      </w:r>
    </w:p>
    <w:p w14:paraId="079542D8">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3)支持心脏常规二维、心脏造影成像等多种模式下使用</w:t>
      </w:r>
    </w:p>
    <w:p w14:paraId="5BAD205E">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4)全自动识别左心室切面并追踪，快速获得左心室整体应变值、左心室长径值、左心室18节段应变牛眼图和达峰时间牛眼图</w:t>
      </w:r>
    </w:p>
    <w:p w14:paraId="451C8393">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▲5)全自动识别追踪左心房切面，快速获取左心房储备功能、管道功能、收缩功能应变值及曲线，并同时提供ED、PreA两种参考时间点左心房应变值</w:t>
      </w:r>
    </w:p>
    <w:p w14:paraId="021E096A">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▲6)全自动识别追踪右心室切面，快速获取右心室四腔和游离壁整体应变值，同时得到右心室游离壁三个节段应变曲线</w:t>
      </w:r>
    </w:p>
    <w:p w14:paraId="2C866821">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负荷心肌运动定量</w:t>
      </w:r>
    </w:p>
    <w:p w14:paraId="22663BC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支持负荷试验状态下左心室整体和节段进行应变定量分析</w:t>
      </w:r>
    </w:p>
    <w:p w14:paraId="7148EEB5">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造影成像技术</w:t>
      </w:r>
    </w:p>
    <w:p w14:paraId="68275209">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Style w:val="765"/>
          <w:rFonts w:hint="eastAsia" w:ascii="宋体" w:hAnsi="宋体" w:eastAsia="宋体" w:cs="宋体"/>
          <w:color w:val="auto"/>
          <w:sz w:val="24"/>
          <w:szCs w:val="24"/>
          <w:highlight w:val="none"/>
        </w:rPr>
        <w:t>具备造影时间显示功能</w:t>
      </w:r>
    </w:p>
    <w:p w14:paraId="2C164642">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2)造影剂二次谐波成像单元,采用脉冲反相谐波技术、能量调制技术</w:t>
      </w:r>
    </w:p>
    <w:p w14:paraId="64D6408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3)可与复合成像技术、核磁像素优化技术结合使用</w:t>
      </w:r>
    </w:p>
    <w:p w14:paraId="0866F2C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4)具有实时双幅造影对比成像模式，并可进行双幅实时同步测量</w:t>
      </w:r>
    </w:p>
    <w:p w14:paraId="76FDDF26">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5)造影技术支持凸阵，线阵，腔内探头，相控阵，微凸探头，可满足临床对腹部、妇产、浅表、乳腺、血管、心室腔、腔内的前列腺、经阴道妇科等需求</w:t>
      </w:r>
    </w:p>
    <w:p w14:paraId="5582FA7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6)具有造影计时器以及闪烁造影成像技术  </w:t>
      </w:r>
    </w:p>
    <w:p w14:paraId="550F9C71">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7)实时微血管造影成像技术可清晰显示组织内微小血管的灌注及走行，可早期评价病变的恶变倾向及放化疗效果</w:t>
      </w:r>
    </w:p>
    <w:p w14:paraId="7CBD2665">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8)组织抑制技术功能，可以抑制非灌注区域的显像，增强微泡的对比显示</w:t>
      </w:r>
    </w:p>
    <w:p w14:paraId="4980E790">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9)在机造影时间强度曲线定量分析</w:t>
      </w:r>
    </w:p>
    <w:p w14:paraId="75F0B7F2">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10)具备造影定量分析组织运动追踪技术，实时追踪被定量组织，消除因患者呼吸、运动等产生的组织位移，使超声造影定量分析更加准确</w:t>
      </w:r>
    </w:p>
    <w:p w14:paraId="7FD7B737">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11)双微造影：结合造影及微视血流成像两项技术，在造影延迟相显示组织及肿瘤的血供，帮助准确、高效的分辨肿瘤的良恶性</w:t>
      </w:r>
    </w:p>
    <w:p w14:paraId="228FC0EF">
      <w:pPr>
        <w:keepNext w:val="0"/>
        <w:keepLines w:val="0"/>
        <w:pageBreakBefore w:val="0"/>
        <w:widowControl/>
        <w:kinsoku/>
        <w:wordWrap/>
        <w:overflowPunct/>
        <w:topLinePunct w:val="0"/>
        <w:autoSpaceDE/>
        <w:autoSpaceDN/>
        <w:bidi w:val="0"/>
        <w:adjustRightInd/>
        <w:snapToGrid/>
        <w:spacing w:after="0" w:line="360" w:lineRule="auto"/>
        <w:textAlignment w:val="auto"/>
        <w:rPr>
          <w:rStyle w:val="766"/>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2</w:t>
      </w:r>
      <w:r>
        <w:rPr>
          <w:rFonts w:hint="eastAsia" w:ascii="宋体" w:hAnsi="宋体" w:eastAsia="宋体" w:cs="宋体"/>
          <w:b w:val="0"/>
          <w:bCs w:val="0"/>
          <w:i w:val="0"/>
          <w:iCs w:val="0"/>
          <w:caps w:val="0"/>
          <w:color w:val="auto"/>
          <w:spacing w:val="0"/>
          <w:sz w:val="24"/>
          <w:szCs w:val="24"/>
          <w:highlight w:val="none"/>
          <w:shd w:val="clear" w:fill="FFFFFF"/>
        </w:rPr>
        <w:t>具备实时剪切波弹性成像功能</w:t>
      </w:r>
      <w:r>
        <w:rPr>
          <w:rStyle w:val="766"/>
          <w:rFonts w:hint="eastAsia" w:ascii="宋体" w:hAnsi="宋体" w:eastAsia="宋体" w:cs="宋体"/>
          <w:color w:val="auto"/>
          <w:sz w:val="24"/>
          <w:szCs w:val="24"/>
          <w:highlight w:val="none"/>
        </w:rPr>
        <w:t xml:space="preserve"> </w:t>
      </w:r>
    </w:p>
    <w:p w14:paraId="617B4278">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1)实时软组织弹性成像技术，无需人工加压，具有多种显像方式</w:t>
      </w:r>
    </w:p>
    <w:p w14:paraId="76986FC2">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2)支持腹部、浅表及腔内弹性成像</w:t>
      </w:r>
    </w:p>
    <w:p w14:paraId="60136CD3">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3)主机内置一体化实时弹性定量分析技术，可对弹性图像进行直径面积对比分析、动态弹性应变分析、动态弹性参数成像</w:t>
      </w:r>
    </w:p>
    <w:p w14:paraId="5DAEB1E9">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4）可在腹部凸阵探头同时实现剪切波弹性成像与应变式弹性成像</w:t>
      </w:r>
    </w:p>
    <w:p w14:paraId="55FD8CF2">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3</w:t>
      </w:r>
      <w:r>
        <w:rPr>
          <w:rFonts w:hint="eastAsia" w:ascii="宋体" w:hAnsi="宋体" w:eastAsia="宋体" w:cs="宋体"/>
          <w:b w:val="0"/>
          <w:bCs w:val="0"/>
          <w:i w:val="0"/>
          <w:iCs w:val="0"/>
          <w:caps w:val="0"/>
          <w:color w:val="auto"/>
          <w:spacing w:val="0"/>
          <w:sz w:val="24"/>
          <w:szCs w:val="24"/>
          <w:highlight w:val="none"/>
          <w:shd w:val="clear" w:fill="FFFFFF"/>
        </w:rPr>
        <w:t>具备超微细血流及超低速血流成像技术</w:t>
      </w:r>
      <w:r>
        <w:rPr>
          <w:rFonts w:hint="eastAsia" w:ascii="宋体" w:hAnsi="宋体" w:eastAsia="宋体" w:cs="宋体"/>
          <w:b w:val="0"/>
          <w:bCs w:val="0"/>
          <w:color w:val="auto"/>
          <w:sz w:val="24"/>
          <w:szCs w:val="24"/>
          <w:highlight w:val="none"/>
        </w:rPr>
        <w:t>，可</w:t>
      </w:r>
      <w:r>
        <w:rPr>
          <w:rFonts w:hint="eastAsia" w:ascii="宋体" w:hAnsi="宋体" w:eastAsia="宋体" w:cs="宋体"/>
          <w:color w:val="auto"/>
          <w:sz w:val="24"/>
          <w:szCs w:val="24"/>
          <w:highlight w:val="none"/>
        </w:rPr>
        <w:t>捕捉超微细血流及超低速血流信号，支持凸阵、线阵探头，可用于腹部、浅表、肌骨、儿科、血管等多种应用，具有单独模式、增强模式及2D对比模式，具有≥8种map图可选，并可进行血流速度测量，已存储的图像亦可使用增强模式进行观察</w:t>
      </w:r>
    </w:p>
    <w:p w14:paraId="10F959A3">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具备智能多普勒血管检查技术</w:t>
      </w:r>
    </w:p>
    <w:p w14:paraId="19D065B3">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1)单键优化二维、多普勒图像质量</w:t>
      </w:r>
    </w:p>
    <w:p w14:paraId="16945DC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2)单键自动调整取样框角度、位置、取样门位置、角度等</w:t>
      </w:r>
    </w:p>
    <w:p w14:paraId="3123D9FC">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3)具备血流自动追踪技术，可跟随探头的移动实时追踪血管位置，自动调整彩色图像（包括取样框角度、位置等），自动优化频谱测量以保证测量值的准确性</w:t>
      </w:r>
    </w:p>
    <w:p w14:paraId="733930C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.2.1</w:t>
      </w:r>
      <w:r>
        <w:rPr>
          <w:rFonts w:hint="eastAsia" w:ascii="宋体" w:hAnsi="宋体" w:eastAsia="宋体" w:cs="宋体"/>
          <w:bCs/>
          <w:color w:val="auto"/>
          <w:sz w:val="24"/>
          <w:szCs w:val="24"/>
          <w:highlight w:val="none"/>
          <w:lang w:val="en-US" w:eastAsia="zh-CN"/>
        </w:rPr>
        <w:t>5</w:t>
      </w:r>
      <w:r>
        <w:rPr>
          <w:rFonts w:hint="eastAsia" w:ascii="宋体" w:hAnsi="宋体" w:eastAsia="宋体" w:cs="宋体"/>
          <w:i w:val="0"/>
          <w:iCs w:val="0"/>
          <w:caps w:val="0"/>
          <w:color w:val="auto"/>
          <w:spacing w:val="0"/>
          <w:sz w:val="24"/>
          <w:szCs w:val="24"/>
          <w:highlight w:val="none"/>
          <w:shd w:val="clear" w:fill="FFFFFF"/>
        </w:rPr>
        <w:t>主屏幕与触摸屏可实时同步显示超声图像，便于操作者与助手同时观察。</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测量和分析：( B 型、M 型、D 型、彩色模式)</w:t>
      </w:r>
    </w:p>
    <w:p w14:paraId="41766A54">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.3.1 一般测量：距离、面积、周长等</w:t>
      </w:r>
    </w:p>
    <w:p w14:paraId="05417D2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.3.2 产科测量：包括全面的产科径线测量、NT测量、单/双胎儿孕龄及生长曲线、羊水指数、新生儿髋关节角度等</w:t>
      </w:r>
    </w:p>
    <w:p w14:paraId="4F852911">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.3.3外周血管测量和计算功能</w:t>
      </w:r>
    </w:p>
    <w:p w14:paraId="4A07A077">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.3.4多普勒血流测量与分析 (含自动多普勒频谱包络计算)</w:t>
      </w:r>
    </w:p>
    <w:p w14:paraId="71A4F395">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.3.5心脏功能测量</w:t>
      </w:r>
    </w:p>
    <w:p w14:paraId="020FD57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图像存储 (电影) 回放重显及病案管理单元</w:t>
      </w:r>
    </w:p>
    <w:p w14:paraId="68176DE2">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.4.1 数字化捕捉、回放、存储静、动态图像，实时图像传输，实时 JPEG 解压缩</w:t>
      </w:r>
    </w:p>
    <w:p w14:paraId="1C79637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.4.2 病案管理单元包括病人资料、报告、图像等的存储、修改、检索和打印等</w:t>
      </w:r>
    </w:p>
    <w:p w14:paraId="47D480B8">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.4.3可根据检查要求对工作站参数（存储、压缩、回放）进行编程调节</w:t>
      </w:r>
    </w:p>
    <w:p w14:paraId="51E30F0E">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输入/输出信号</w:t>
      </w:r>
    </w:p>
    <w:p w14:paraId="60AB36A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.5.1 输入：DICOM DATA</w:t>
      </w:r>
    </w:p>
    <w:p w14:paraId="34C17E9B">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.5.2 输出：S-视频、HDMI高清数字化输出</w:t>
      </w:r>
    </w:p>
    <w:p w14:paraId="0DA01769">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连通性：医学数字图像和通信 DICOM 3.0 版接口部件</w:t>
      </w:r>
    </w:p>
    <w:p w14:paraId="49D9ACD1">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系统通用功能</w:t>
      </w:r>
    </w:p>
    <w:p w14:paraId="21F92B44">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探头接口选择：≥ 4个，微型非针式，并激活可互换通用</w:t>
      </w:r>
    </w:p>
    <w:p w14:paraId="0B081EE0">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预设条件: 针对不同的检查脏器,预置最佳化图像的检查条件,减少操作时的调节,及常用所需的外部调节及组合调节</w:t>
      </w:r>
    </w:p>
    <w:p w14:paraId="1B530C6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探头规格</w:t>
      </w:r>
    </w:p>
    <w:p w14:paraId="13026866">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.2.1 频率：超宽频带探头，最高频率≥2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MHz, 从1 MHz 到2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MHz以上</w:t>
      </w:r>
    </w:p>
    <w:p w14:paraId="362596AE">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.2.2 二维、彩色多普勒均可独立变频</w:t>
      </w:r>
    </w:p>
    <w:p w14:paraId="753C3909">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.2.3 类型：电子相控阵、线阵、凸阵 </w:t>
      </w:r>
    </w:p>
    <w:p w14:paraId="2022CA66">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.2.4</w:t>
      </w:r>
      <w:r>
        <w:rPr>
          <w:rFonts w:hint="eastAsia" w:ascii="宋体" w:hAnsi="宋体" w:eastAsia="宋体" w:cs="宋体"/>
          <w:b w:val="0"/>
          <w:bCs w:val="0"/>
          <w:i w:val="0"/>
          <w:iCs w:val="0"/>
          <w:caps w:val="0"/>
          <w:color w:val="auto"/>
          <w:spacing w:val="0"/>
          <w:sz w:val="24"/>
          <w:szCs w:val="24"/>
          <w:highlight w:val="none"/>
          <w:shd w:val="clear" w:fill="FFFFFF"/>
        </w:rPr>
        <w:t>主机支持探头≥7把，其中单晶体探头≥4把（或同等高灵敏度探头技术）</w:t>
      </w:r>
    </w:p>
    <w:p w14:paraId="7F735A8C">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.2.5探头配置要求：</w:t>
      </w:r>
    </w:p>
    <w:p w14:paraId="52039334">
      <w:pPr>
        <w:keepNext w:val="0"/>
        <w:keepLines w:val="0"/>
        <w:pageBreakBefore w:val="0"/>
        <w:widowControl/>
        <w:kinsoku/>
        <w:wordWrap/>
        <w:overflowPunct/>
        <w:topLinePunct w:val="0"/>
        <w:autoSpaceDE/>
        <w:autoSpaceDN/>
        <w:bidi w:val="0"/>
        <w:adjustRightInd/>
        <w:snapToGrid/>
        <w:spacing w:after="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腹部凸阵探头（1.0-5.0MHz）1把，要求为单晶体探头</w:t>
      </w:r>
      <w:r>
        <w:rPr>
          <w:rFonts w:hint="eastAsia" w:ascii="宋体" w:hAnsi="宋体" w:eastAsia="宋体" w:cs="宋体"/>
          <w:b w:val="0"/>
          <w:bCs w:val="0"/>
          <w:i w:val="0"/>
          <w:iCs w:val="0"/>
          <w:caps w:val="0"/>
          <w:color w:val="auto"/>
          <w:spacing w:val="0"/>
          <w:sz w:val="24"/>
          <w:szCs w:val="24"/>
          <w:highlight w:val="none"/>
          <w:shd w:val="clear" w:fill="FFFFFF"/>
        </w:rPr>
        <w:t>（或同等高灵敏度探头技术）</w:t>
      </w:r>
      <w:r>
        <w:rPr>
          <w:rFonts w:hint="eastAsia" w:ascii="宋体" w:hAnsi="宋体" w:eastAsia="宋体" w:cs="宋体"/>
          <w:color w:val="auto"/>
          <w:sz w:val="24"/>
          <w:szCs w:val="24"/>
          <w:highlight w:val="none"/>
        </w:rPr>
        <w:t>；</w:t>
      </w:r>
    </w:p>
    <w:p w14:paraId="19C1BE5E">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 xml:space="preserve">   血管线阵探头（3.0-12.0MHz）1把；</w:t>
      </w:r>
    </w:p>
    <w:p w14:paraId="1EAEE7BD">
      <w:pPr>
        <w:keepNext w:val="0"/>
        <w:keepLines w:val="0"/>
        <w:pageBreakBefore w:val="0"/>
        <w:widowControl/>
        <w:kinsoku/>
        <w:wordWrap/>
        <w:overflowPunct/>
        <w:topLinePunct w:val="0"/>
        <w:autoSpaceDE/>
        <w:autoSpaceDN/>
        <w:bidi w:val="0"/>
        <w:adjustRightInd/>
        <w:snapToGrid/>
        <w:spacing w:after="0" w:line="360" w:lineRule="auto"/>
        <w:ind w:firstLine="763" w:firstLineChars="318"/>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心脏相控阵探头（1.0-5.0MHz）1把，要求为单晶体探头</w:t>
      </w:r>
      <w:r>
        <w:rPr>
          <w:rFonts w:hint="eastAsia" w:ascii="宋体" w:hAnsi="宋体" w:eastAsia="宋体" w:cs="宋体"/>
          <w:b w:val="0"/>
          <w:bCs w:val="0"/>
          <w:i w:val="0"/>
          <w:iCs w:val="0"/>
          <w:caps w:val="0"/>
          <w:color w:val="auto"/>
          <w:spacing w:val="0"/>
          <w:sz w:val="24"/>
          <w:szCs w:val="24"/>
          <w:highlight w:val="none"/>
          <w:shd w:val="clear" w:fill="FFFFFF"/>
        </w:rPr>
        <w:t>（或同等高灵敏度探头技术）</w:t>
      </w:r>
      <w:r>
        <w:rPr>
          <w:rFonts w:hint="eastAsia" w:ascii="宋体" w:hAnsi="宋体" w:eastAsia="宋体" w:cs="宋体"/>
          <w:color w:val="auto"/>
          <w:sz w:val="24"/>
          <w:szCs w:val="24"/>
          <w:highlight w:val="none"/>
        </w:rPr>
        <w:t>；</w:t>
      </w:r>
    </w:p>
    <w:p w14:paraId="4FB579F1">
      <w:pPr>
        <w:keepNext w:val="0"/>
        <w:keepLines w:val="0"/>
        <w:pageBreakBefore w:val="0"/>
        <w:widowControl/>
        <w:kinsoku/>
        <w:wordWrap/>
        <w:overflowPunct/>
        <w:topLinePunct w:val="0"/>
        <w:autoSpaceDE/>
        <w:autoSpaceDN/>
        <w:bidi w:val="0"/>
        <w:adjustRightInd/>
        <w:snapToGrid/>
        <w:spacing w:after="0" w:line="360" w:lineRule="auto"/>
        <w:ind w:firstLine="763" w:firstLineChars="318"/>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超高频线阵探头（8.0-2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.0MHz）1把；</w:t>
      </w:r>
    </w:p>
    <w:p w14:paraId="4ADCE757">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注：要求主机系统支持后期可加配经食道探头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要求为单晶体探头</w:t>
      </w:r>
      <w:r>
        <w:rPr>
          <w:rFonts w:hint="eastAsia" w:ascii="宋体" w:hAnsi="宋体" w:eastAsia="宋体" w:cs="宋体"/>
          <w:b w:val="0"/>
          <w:bCs w:val="0"/>
          <w:i w:val="0"/>
          <w:iCs w:val="0"/>
          <w:caps w:val="0"/>
          <w:color w:val="auto"/>
          <w:spacing w:val="0"/>
          <w:sz w:val="24"/>
          <w:szCs w:val="24"/>
          <w:highlight w:val="none"/>
          <w:shd w:val="clear" w:fill="FFFFFF"/>
        </w:rPr>
        <w:t>（或同等高灵敏度探头技术）</w:t>
      </w:r>
    </w:p>
    <w:p w14:paraId="7D10016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val="0"/>
          <w:bCs w:val="0"/>
          <w:i w:val="0"/>
          <w:iCs w:val="0"/>
          <w:caps w:val="0"/>
          <w:color w:val="auto"/>
          <w:spacing w:val="0"/>
          <w:sz w:val="24"/>
          <w:szCs w:val="24"/>
          <w:highlight w:val="none"/>
          <w:shd w:val="clear" w:fill="FFFFFF"/>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 xml:space="preserve">B/D </w:t>
      </w:r>
      <w:r>
        <w:rPr>
          <w:rFonts w:hint="eastAsia" w:ascii="宋体" w:hAnsi="宋体" w:eastAsia="宋体" w:cs="宋体"/>
          <w:b w:val="0"/>
          <w:bCs w:val="0"/>
          <w:i w:val="0"/>
          <w:iCs w:val="0"/>
          <w:caps w:val="0"/>
          <w:color w:val="auto"/>
          <w:spacing w:val="0"/>
          <w:sz w:val="24"/>
          <w:szCs w:val="24"/>
          <w:highlight w:val="none"/>
          <w:shd w:val="clear" w:fill="FFFFFF"/>
        </w:rPr>
        <w:t>兼用模式</w:t>
      </w:r>
    </w:p>
    <w:p w14:paraId="13139A2F">
      <w:pPr>
        <w:keepNext w:val="0"/>
        <w:keepLines w:val="0"/>
        <w:pageBreakBefore w:val="0"/>
        <w:widowControl/>
        <w:kinsoku/>
        <w:wordWrap/>
        <w:overflowPunct/>
        <w:topLinePunct w:val="0"/>
        <w:autoSpaceDE/>
        <w:autoSpaceDN/>
        <w:bidi w:val="0"/>
        <w:adjustRightInd/>
        <w:snapToGrid/>
        <w:spacing w:after="0" w:line="360" w:lineRule="auto"/>
        <w:ind w:firstLine="720" w:firstLineChars="300"/>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主机应支持以下探头类型的B/D兼用模式：</w:t>
      </w:r>
    </w:p>
    <w:tbl>
      <w:tblPr>
        <w:tblStyle w:val="50"/>
        <w:tblW w:w="5079" w:type="dxa"/>
        <w:tblInd w:w="7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512"/>
        <w:gridCol w:w="2567"/>
      </w:tblGrid>
      <w:tr w14:paraId="70A68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2512"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2B5E5F48">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探头类型</w:t>
            </w:r>
          </w:p>
        </w:tc>
        <w:tc>
          <w:tcPr>
            <w:tcW w:w="2567"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637B172B">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支持的多普勒模式</w:t>
            </w:r>
          </w:p>
        </w:tc>
      </w:tr>
      <w:tr w14:paraId="7D960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512"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09ABCCE6">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电子线阵</w:t>
            </w:r>
          </w:p>
        </w:tc>
        <w:tc>
          <w:tcPr>
            <w:tcW w:w="2567"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0C50B51E">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B/PWD</w:t>
            </w:r>
          </w:p>
        </w:tc>
      </w:tr>
      <w:tr w14:paraId="15579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512"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153C6A69">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电子凸阵</w:t>
            </w:r>
          </w:p>
        </w:tc>
        <w:tc>
          <w:tcPr>
            <w:tcW w:w="2567"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1E3A59AB">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B/PWD</w:t>
            </w:r>
          </w:p>
        </w:tc>
      </w:tr>
      <w:tr w14:paraId="4EF05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512"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6490F2FE">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电子微凸阵</w:t>
            </w:r>
          </w:p>
        </w:tc>
        <w:tc>
          <w:tcPr>
            <w:tcW w:w="2567"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0F6A17F9">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B/PWD</w:t>
            </w:r>
          </w:p>
        </w:tc>
      </w:tr>
      <w:tr w14:paraId="4CD7F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512"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188F88A5">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电子矩阵</w:t>
            </w:r>
          </w:p>
        </w:tc>
        <w:tc>
          <w:tcPr>
            <w:tcW w:w="2567"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0BE759A1">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B/PWD</w:t>
            </w:r>
          </w:p>
        </w:tc>
      </w:tr>
      <w:tr w14:paraId="27228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512"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2F9DA5B9">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电子相控阵</w:t>
            </w:r>
          </w:p>
        </w:tc>
        <w:tc>
          <w:tcPr>
            <w:tcW w:w="2567"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48C6DF05">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B/PWD、B/CWD</w:t>
            </w:r>
          </w:p>
        </w:tc>
      </w:tr>
    </w:tbl>
    <w:p w14:paraId="29EA0EA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 xml:space="preserve"> 穿刺导向：探头可配穿刺导向装置，并具有声束偏转功能</w:t>
      </w:r>
    </w:p>
    <w:p w14:paraId="486FDE17">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二维显像主要参数</w:t>
      </w:r>
    </w:p>
    <w:p w14:paraId="4D358887">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.3.1成像速度：相控阵探头，85°角,18CM深度时,帧速度≥50帧/秒</w:t>
      </w:r>
    </w:p>
    <w:p w14:paraId="7231E2AE">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 xml:space="preserve">凸阵探头, 85°角,18CM深度时,帧速度≥45帧/秒                     </w:t>
      </w:r>
    </w:p>
    <w:p w14:paraId="64CB1480">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.3.2增益调节：TGC增益补偿≥8 段，B/M 可独立调节</w:t>
      </w:r>
    </w:p>
    <w:p w14:paraId="011915BA">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.3.3高分辨率放大：放大时增加信息量，提高分辨率及帧率</w:t>
      </w:r>
    </w:p>
    <w:p w14:paraId="410B1A0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.3.4声束聚焦：发射及接收全程连续聚焦</w:t>
      </w:r>
    </w:p>
    <w:p w14:paraId="2017AA7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.3.5接收方式：独立接收和发射通道数, 多倍信号并行处理</w:t>
      </w:r>
    </w:p>
    <w:p w14:paraId="54879E32">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频谱多普勒</w:t>
      </w:r>
    </w:p>
    <w:p w14:paraId="00B2A713">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.4.1显示模式：脉冲多普勒 (PWD)、高脉冲重复频率 (HPRF)、连续波多普勒（CW）</w:t>
      </w:r>
    </w:p>
    <w:p w14:paraId="06F61034">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.4.2 发射频率: 电子相控阵: PWD,CWD1.6-1.8MHz</w:t>
      </w:r>
    </w:p>
    <w:p w14:paraId="03DAF448">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 xml:space="preserve">   电子凸阵:PWD:2.0-2.2MHz</w:t>
      </w:r>
    </w:p>
    <w:p w14:paraId="487B21D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 xml:space="preserve">   电子线阵:PWD:5.75-7.0MHz</w:t>
      </w:r>
    </w:p>
    <w:p w14:paraId="7EC5D235">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.4.3显示方式：B/D、M/D、D、B/CDV、B/CPA、B/CDV/PW；B/CPA/PW；B/CDV/CW；</w:t>
      </w:r>
    </w:p>
    <w:p w14:paraId="7ADC655F">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.4.4 最大测量速度：PWD正或反向血流速度：≥ 10.0 m/s（0度夹角）；CWD:血流速度≥20.0m/s</w:t>
      </w:r>
    </w:p>
    <w:p w14:paraId="6CCA0BE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.4.5最低测量速度：≤ 0.25mm/s (非噪音信号)</w:t>
      </w:r>
    </w:p>
    <w:p w14:paraId="0C005F8B">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.4.6 Doppler及M型电影回放：≥48 秒</w:t>
      </w:r>
    </w:p>
    <w:p w14:paraId="62555BE2">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.4.7取样宽度及位置范围：宽度 0.5mm至20mm多级可调</w:t>
      </w:r>
    </w:p>
    <w:p w14:paraId="1D3ECCF4">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.4.8零位移动：≥8 级</w:t>
      </w:r>
    </w:p>
    <w:p w14:paraId="555224C0">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.4.9 显示控制：反转显示 (上/下)、零移位、B-刷新、D 扩展、B/D 扩展，局放及移位</w:t>
      </w:r>
    </w:p>
    <w:p w14:paraId="11BF3C98">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.4.10</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实时自动包络频谱并完成频谱测量计算</w:t>
      </w:r>
    </w:p>
    <w:p w14:paraId="4380DF8E">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彩色多普勒</w:t>
      </w:r>
    </w:p>
    <w:p w14:paraId="191BDB8A">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.5.1显示方式：速度图 (CDV)、能量图 (CPA)、方向性能量图（DCPA）</w:t>
      </w:r>
    </w:p>
    <w:p w14:paraId="26923EA6">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.5.2彩色增强功能:彩色多普勒能量图(CDE/CPI);组织多普勒(TDI)</w:t>
      </w:r>
    </w:p>
    <w:p w14:paraId="7D5F9D98">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.5.3具有双同步 / 三同步显示(B/D/CDV)</w:t>
      </w:r>
    </w:p>
    <w:p w14:paraId="2828C904">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.5.4彩色显示速度：最低平均血流显示速度≤5mm/s（非噪声信号）</w:t>
      </w:r>
    </w:p>
    <w:p w14:paraId="0E04017D">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.5.5显示控制：零位移动、黑白与彩色比较、彩色对比</w:t>
      </w:r>
    </w:p>
    <w:p w14:paraId="76E84CB6">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.5.6显示位置调整：线阵扫描感兴趣的图像范围：-20°～ +20°</w:t>
      </w:r>
    </w:p>
    <w:p w14:paraId="57DF2924">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超声功率输出调节</w:t>
      </w:r>
    </w:p>
    <w:p w14:paraId="53A3F0B7">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.6.1B/M、PWD、COLOR DOPPLER</w:t>
      </w:r>
    </w:p>
    <w:p w14:paraId="223CB717">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.6.2输出功率选择分级可调</w:t>
      </w:r>
    </w:p>
    <w:p w14:paraId="0816B4C6">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.7</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记录装置</w:t>
      </w:r>
    </w:p>
    <w:p w14:paraId="6CF565DB">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.7.1内置一体化超声工作站：数字化储存静态及动态图像，动态图像及静态图像以AVI、BMP或JPEG等PC通用格式直接储存</w:t>
      </w:r>
    </w:p>
    <w:p w14:paraId="0F1CA185">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.7.2主机硬盘容量≥1TB</w:t>
      </w:r>
    </w:p>
    <w:p w14:paraId="64C651B6">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.7.3DVD-RW 或USB图像存储</w:t>
      </w:r>
    </w:p>
    <w:p w14:paraId="183A65A3">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.7.4USB接口≥4个，用于图像传输</w:t>
      </w:r>
    </w:p>
    <w:p w14:paraId="7B218F28">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技术手册</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中文操作手册</w:t>
      </w:r>
    </w:p>
    <w:p w14:paraId="46BBD078">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3.1</w:t>
      </w:r>
      <w:r>
        <w:rPr>
          <w:rFonts w:hint="eastAsia" w:ascii="宋体" w:hAnsi="宋体" w:eastAsia="宋体" w:cs="宋体"/>
          <w:b/>
          <w:bCs/>
          <w:color w:val="auto"/>
          <w:sz w:val="24"/>
          <w:szCs w:val="24"/>
          <w:highlight w:val="none"/>
        </w:rPr>
        <w:t>配备和科室网络匹配的超声工作站1套(包括所需电脑、打印机等)。</w:t>
      </w:r>
    </w:p>
    <w:p w14:paraId="1E1A7B5B">
      <w:pP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三、质量保证及售后服务要求</w:t>
      </w:r>
    </w:p>
    <w:p w14:paraId="021239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技术服务及质量保证</w:t>
      </w:r>
    </w:p>
    <w:p w14:paraId="20F65A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要求</w:t>
      </w:r>
      <w:r>
        <w:rPr>
          <w:rFonts w:hint="eastAsia" w:ascii="宋体" w:hAnsi="宋体" w:eastAsia="宋体" w:cs="宋体"/>
          <w:bCs/>
          <w:color w:val="auto"/>
          <w:kern w:val="0"/>
          <w:sz w:val="24"/>
          <w:szCs w:val="24"/>
          <w:highlight w:val="none"/>
          <w:lang w:eastAsia="zh-CN"/>
        </w:rPr>
        <w:t>设备</w:t>
      </w:r>
      <w:r>
        <w:rPr>
          <w:rFonts w:hint="eastAsia" w:ascii="宋体" w:hAnsi="宋体" w:eastAsia="宋体" w:cs="宋体"/>
          <w:color w:val="auto"/>
          <w:sz w:val="24"/>
          <w:szCs w:val="24"/>
          <w:highlight w:val="none"/>
        </w:rPr>
        <w:t>免费保修期:</w:t>
      </w:r>
      <w:r>
        <w:rPr>
          <w:rFonts w:hint="eastAsia" w:ascii="宋体" w:hAnsi="宋体" w:eastAsia="宋体" w:cs="宋体"/>
          <w:color w:val="auto"/>
          <w:kern w:val="0"/>
          <w:sz w:val="24"/>
          <w:szCs w:val="24"/>
          <w:highlight w:val="none"/>
        </w:rPr>
        <w:t xml:space="preserve"> </w:t>
      </w:r>
      <w:r>
        <w:rPr>
          <w:rFonts w:hint="eastAsia" w:ascii="宋体" w:hAnsi="宋体" w:eastAsia="宋体" w:cs="宋体"/>
          <w:b w:val="0"/>
          <w:bCs w:val="0"/>
          <w:iCs/>
          <w:color w:val="auto"/>
          <w:kern w:val="0"/>
          <w:sz w:val="24"/>
          <w:szCs w:val="24"/>
          <w:highlight w:val="none"/>
          <w:lang w:val="en-US" w:eastAsia="zh-CN"/>
        </w:rPr>
        <w:t>投标人应对所提供的货物提供叁年整机（含探头）的免费维修服务。</w:t>
      </w:r>
    </w:p>
    <w:p w14:paraId="5D343A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1.2</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故障维修响应时间小于24小时</w:t>
      </w:r>
      <w:r>
        <w:rPr>
          <w:rFonts w:hint="eastAsia" w:ascii="宋体" w:hAnsi="宋体" w:eastAsia="宋体" w:cs="宋体"/>
          <w:color w:val="auto"/>
          <w:sz w:val="24"/>
          <w:szCs w:val="24"/>
          <w:highlight w:val="none"/>
          <w:lang w:eastAsia="zh-CN"/>
        </w:rPr>
        <w:t>。</w:t>
      </w:r>
    </w:p>
    <w:p w14:paraId="0ACE1A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优惠折扣声明：投标人应在投标文件中一次性列出所有优惠条件，并作为合同的组成部分之一，提供中标设备的基本配置清单。</w:t>
      </w:r>
    </w:p>
    <w:p w14:paraId="4AAB6F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投标人投标文件中各种参数必须真实可靠。</w:t>
      </w:r>
    </w:p>
    <w:p w14:paraId="0F895F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投标人（制造商或销售商）需在中国大陆地区设有专业的售后服务机构和设施，并配备受过专业培训的售后服务人员，应对所提供的设备提供相应的售后服务承诺（需提供生产厂家相关证明及售后服务承诺书）。</w:t>
      </w:r>
    </w:p>
    <w:p w14:paraId="183D69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为保证设备正常运行，设备生产厂家应在中国境内方便的地方设置备件库，存入所有必须的备件，并保证</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年以上的供应期。</w:t>
      </w:r>
    </w:p>
    <w:p w14:paraId="0F1D16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终身免费提供软件升级服务。</w:t>
      </w:r>
    </w:p>
    <w:p w14:paraId="6CD12A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标注“▲”的条款为评标时重要评分指标，不作为符合性审查条款。</w:t>
      </w:r>
    </w:p>
    <w:p w14:paraId="70E317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保修期内因故障引起一周以上的停机，在故障处理完后保修期向后推移，必要时赔偿损失。</w:t>
      </w:r>
    </w:p>
    <w:p w14:paraId="6CDD85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b w:val="0"/>
          <w:bCs w:val="0"/>
          <w:iCs/>
          <w:color w:val="auto"/>
          <w:kern w:val="0"/>
          <w:sz w:val="24"/>
          <w:szCs w:val="24"/>
          <w:highlight w:val="none"/>
          <w:lang w:val="en-US" w:eastAsia="zh-CN"/>
        </w:rPr>
        <w:t>负责与院内信息系统的对接。</w:t>
      </w:r>
    </w:p>
    <w:p w14:paraId="2C7823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11F3F66E">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FE3F45C">
      <w:pPr>
        <w:bidi w:val="0"/>
        <w:rPr>
          <w:rFonts w:hint="eastAsia" w:ascii="宋体" w:hAnsi="宋体" w:eastAsia="宋体" w:cs="宋体"/>
          <w:color w:val="auto"/>
          <w:highlight w:val="none"/>
        </w:rPr>
      </w:pPr>
    </w:p>
    <w:p w14:paraId="37B40E10">
      <w:pPr>
        <w:pStyle w:val="65"/>
        <w:rPr>
          <w:rFonts w:hint="eastAsia" w:ascii="宋体" w:hAnsi="宋体" w:eastAsia="宋体" w:cs="宋体"/>
          <w:color w:val="auto"/>
          <w:highlight w:val="none"/>
        </w:rPr>
      </w:pPr>
    </w:p>
    <w:p w14:paraId="6E361E70">
      <w:pPr>
        <w:pStyle w:val="2"/>
        <w:numPr>
          <w:ilvl w:val="0"/>
          <w:numId w:val="25"/>
        </w:numPr>
        <w:bidi w:val="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 xml:space="preserve"> </w:t>
      </w:r>
      <w:bookmarkStart w:id="59" w:name="_Toc27532"/>
      <w:r>
        <w:rPr>
          <w:rFonts w:hint="eastAsia" w:ascii="宋体" w:hAnsi="宋体" w:eastAsia="宋体" w:cs="宋体"/>
          <w:color w:val="auto"/>
          <w:sz w:val="32"/>
          <w:szCs w:val="32"/>
          <w:highlight w:val="none"/>
        </w:rPr>
        <w:t>响应文件组成</w:t>
      </w:r>
      <w:bookmarkEnd w:id="59"/>
    </w:p>
    <w:p w14:paraId="255A2F63">
      <w:pPr>
        <w:rPr>
          <w:rFonts w:hint="eastAsia" w:ascii="宋体" w:hAnsi="宋体" w:eastAsia="宋体" w:cs="宋体"/>
          <w:color w:val="auto"/>
          <w:sz w:val="28"/>
          <w:szCs w:val="28"/>
          <w:highlight w:val="none"/>
        </w:rPr>
      </w:pPr>
    </w:p>
    <w:p w14:paraId="1400DCC0">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供应商的响应文件应包含以下部分：</w:t>
      </w:r>
    </w:p>
    <w:p w14:paraId="75EB5E8B">
      <w:pPr>
        <w:bidi w:val="0"/>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一、磋商响应声明</w:t>
      </w:r>
    </w:p>
    <w:p w14:paraId="5C3C13A5">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附件1-1 法定代表人身份证明</w:t>
      </w:r>
    </w:p>
    <w:p w14:paraId="57242C2B">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附件1-2 法定代表人授权委托书</w:t>
      </w:r>
    </w:p>
    <w:p w14:paraId="4BADC861">
      <w:pPr>
        <w:bidi w:val="0"/>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二、</w:t>
      </w:r>
      <w:r>
        <w:rPr>
          <w:rFonts w:hint="eastAsia" w:ascii="宋体" w:hAnsi="宋体" w:eastAsia="宋体" w:cs="宋体"/>
          <w:b/>
          <w:bCs/>
          <w:color w:val="auto"/>
          <w:highlight w:val="none"/>
        </w:rPr>
        <w:t>磋商保证金缴纳证明材料</w:t>
      </w:r>
    </w:p>
    <w:p w14:paraId="153C8F20">
      <w:pPr>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三、供应商的资格证明资料</w:t>
      </w:r>
    </w:p>
    <w:p w14:paraId="2DCF8DEE">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附件3-1 法人或者其他组织的营业执照等主体资格证明文件，自然人的身份证明</w:t>
      </w:r>
    </w:p>
    <w:p w14:paraId="0CEE3C7F">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附件3-2 湖南省政府采购供应商资格承诺函（格式）</w:t>
      </w:r>
    </w:p>
    <w:p w14:paraId="1E3E989E">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附件3-3 符合特定资格条件证明材料复印件或者情况说明</w:t>
      </w:r>
    </w:p>
    <w:p w14:paraId="206503E1">
      <w:pPr>
        <w:pStyle w:val="66"/>
        <w:ind w:left="0" w:leftChars="0" w:firstLine="0" w:firstLineChars="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附件3-4 承诺书</w:t>
      </w:r>
    </w:p>
    <w:p w14:paraId="2F008144">
      <w:pPr>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四、技术/商务响应与偏离表</w:t>
      </w:r>
    </w:p>
    <w:p w14:paraId="6923C9FE">
      <w:pPr>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五、提供政府采购政策产品等证明材料</w:t>
      </w:r>
    </w:p>
    <w:p w14:paraId="6F4D16D8">
      <w:pPr>
        <w:bidi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附件</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-1：中小企业声明函</w:t>
      </w:r>
    </w:p>
    <w:p w14:paraId="1ECED843">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附页</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-2: 残疾人福利性单位声明函</w:t>
      </w:r>
    </w:p>
    <w:p w14:paraId="3551FEDD">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附页</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-3: 监狱企业证明资料</w:t>
      </w:r>
    </w:p>
    <w:p w14:paraId="6095A0DD">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：“节能产品”、“环境标志产品”、“两型产品”证明材料</w:t>
      </w:r>
    </w:p>
    <w:p w14:paraId="473F0A45">
      <w:pPr>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六、货物说明一览表</w:t>
      </w:r>
    </w:p>
    <w:p w14:paraId="1370A3F4">
      <w:pPr>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七、报价一览表及分项</w:t>
      </w:r>
      <w:r>
        <w:rPr>
          <w:rFonts w:hint="eastAsia" w:ascii="宋体" w:hAnsi="宋体" w:eastAsia="宋体" w:cs="宋体"/>
          <w:b/>
          <w:bCs/>
          <w:color w:val="auto"/>
          <w:highlight w:val="none"/>
          <w:lang w:eastAsia="zh-CN"/>
        </w:rPr>
        <w:t>报价明细表</w:t>
      </w:r>
    </w:p>
    <w:p w14:paraId="16E3475C">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附件7-1 报价一览表</w:t>
      </w:r>
    </w:p>
    <w:p w14:paraId="0E7626DF">
      <w:pPr>
        <w:bidi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附件7-2 分项</w:t>
      </w:r>
      <w:r>
        <w:rPr>
          <w:rFonts w:hint="eastAsia" w:ascii="宋体" w:hAnsi="宋体" w:eastAsia="宋体" w:cs="宋体"/>
          <w:color w:val="auto"/>
          <w:highlight w:val="none"/>
          <w:lang w:eastAsia="zh-CN"/>
        </w:rPr>
        <w:t>报价明细表</w:t>
      </w:r>
    </w:p>
    <w:p w14:paraId="27C4F0FF">
      <w:pPr>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八、供应商认为需提供的资料及说明</w:t>
      </w:r>
    </w:p>
    <w:p w14:paraId="3A835418">
      <w:pPr>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九、最后报价</w:t>
      </w:r>
    </w:p>
    <w:p w14:paraId="02B9098F">
      <w:pPr>
        <w:widowControl/>
        <w:jc w:val="center"/>
        <w:rPr>
          <w:rFonts w:hint="eastAsia" w:ascii="宋体" w:hAnsi="宋体" w:eastAsia="宋体" w:cs="宋体"/>
          <w:color w:val="auto"/>
          <w:sz w:val="24"/>
          <w:highlight w:val="none"/>
        </w:rPr>
      </w:pPr>
    </w:p>
    <w:p w14:paraId="793661B5">
      <w:pP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br w:type="page"/>
      </w:r>
    </w:p>
    <w:p w14:paraId="11230322">
      <w:pPr>
        <w:pStyle w:val="28"/>
        <w:adjustRightInd w:val="0"/>
        <w:snapToGrid w:val="0"/>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政府采购</w:t>
      </w:r>
    </w:p>
    <w:p w14:paraId="770F9246">
      <w:pPr>
        <w:adjustRightInd w:val="0"/>
        <w:snapToGrid w:val="0"/>
        <w:spacing w:line="360" w:lineRule="auto"/>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响 应 文 件</w:t>
      </w:r>
    </w:p>
    <w:p w14:paraId="335BA22F">
      <w:pPr>
        <w:adjustRightInd w:val="0"/>
        <w:snapToGrid w:val="0"/>
        <w:spacing w:line="360" w:lineRule="auto"/>
        <w:rPr>
          <w:rFonts w:hint="eastAsia" w:ascii="宋体" w:hAnsi="宋体" w:eastAsia="宋体" w:cs="宋体"/>
          <w:b/>
          <w:color w:val="auto"/>
          <w:sz w:val="32"/>
          <w:szCs w:val="32"/>
          <w:highlight w:val="none"/>
        </w:rPr>
      </w:pPr>
    </w:p>
    <w:p w14:paraId="1E0CBCED">
      <w:pPr>
        <w:adjustRightInd w:val="0"/>
        <w:snapToGrid w:val="0"/>
        <w:spacing w:line="360" w:lineRule="auto"/>
        <w:rPr>
          <w:rFonts w:hint="eastAsia" w:ascii="宋体" w:hAnsi="宋体" w:eastAsia="宋体" w:cs="宋体"/>
          <w:b/>
          <w:color w:val="auto"/>
          <w:sz w:val="30"/>
          <w:szCs w:val="30"/>
          <w:highlight w:val="none"/>
        </w:rPr>
      </w:pPr>
      <w:r>
        <w:rPr>
          <w:rFonts w:hint="eastAsia" w:ascii="宋体" w:hAnsi="宋体" w:eastAsia="宋体" w:cs="宋体"/>
          <w:b/>
          <w:color w:val="auto"/>
          <w:sz w:val="32"/>
          <w:szCs w:val="32"/>
          <w:highlight w:val="none"/>
        </w:rPr>
        <w:t xml:space="preserve">                     </w:t>
      </w:r>
    </w:p>
    <w:p w14:paraId="2134B4F3">
      <w:pPr>
        <w:pStyle w:val="28"/>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rPr>
        <w:t>采购项目名称:</w:t>
      </w:r>
      <w:r>
        <w:rPr>
          <w:rFonts w:hint="eastAsia" w:ascii="宋体" w:hAnsi="宋体" w:eastAsia="宋体" w:cs="宋体"/>
          <w:b/>
          <w:bCs/>
          <w:color w:val="auto"/>
          <w:sz w:val="30"/>
          <w:szCs w:val="30"/>
          <w:highlight w:val="none"/>
          <w:u w:val="single"/>
        </w:rPr>
        <w:t xml:space="preserve">                       </w:t>
      </w:r>
    </w:p>
    <w:p w14:paraId="1DFF2267">
      <w:pPr>
        <w:pStyle w:val="28"/>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rPr>
        <w:t>采   购   人：</w:t>
      </w:r>
      <w:r>
        <w:rPr>
          <w:rFonts w:hint="eastAsia" w:ascii="宋体" w:hAnsi="宋体" w:eastAsia="宋体" w:cs="宋体"/>
          <w:b/>
          <w:bCs/>
          <w:color w:val="auto"/>
          <w:sz w:val="30"/>
          <w:szCs w:val="30"/>
          <w:highlight w:val="none"/>
          <w:u w:val="single"/>
        </w:rPr>
        <w:t xml:space="preserve">                      </w:t>
      </w:r>
    </w:p>
    <w:p w14:paraId="651530D1">
      <w:pPr>
        <w:pStyle w:val="28"/>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rPr>
        <w:t>采购代理编号:</w:t>
      </w:r>
      <w:r>
        <w:rPr>
          <w:rFonts w:hint="eastAsia" w:ascii="宋体" w:hAnsi="宋体" w:eastAsia="宋体" w:cs="宋体"/>
          <w:b/>
          <w:bCs/>
          <w:color w:val="auto"/>
          <w:sz w:val="30"/>
          <w:szCs w:val="30"/>
          <w:highlight w:val="none"/>
          <w:u w:val="single"/>
        </w:rPr>
        <w:t xml:space="preserve">                       </w:t>
      </w:r>
    </w:p>
    <w:p w14:paraId="2E3170C0">
      <w:pPr>
        <w:pStyle w:val="28"/>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rPr>
        <w:t>采购代理机构：</w:t>
      </w:r>
      <w:r>
        <w:rPr>
          <w:rFonts w:hint="eastAsia" w:ascii="宋体" w:hAnsi="宋体" w:eastAsia="宋体" w:cs="宋体"/>
          <w:b/>
          <w:bCs/>
          <w:color w:val="auto"/>
          <w:sz w:val="30"/>
          <w:szCs w:val="30"/>
          <w:highlight w:val="none"/>
          <w:u w:val="single"/>
        </w:rPr>
        <w:t xml:space="preserve">                      </w:t>
      </w:r>
    </w:p>
    <w:p w14:paraId="2006D29F">
      <w:pPr>
        <w:adjustRightInd w:val="0"/>
        <w:snapToGrid w:val="0"/>
        <w:spacing w:line="360" w:lineRule="auto"/>
        <w:rPr>
          <w:rFonts w:hint="eastAsia" w:ascii="宋体" w:hAnsi="宋体" w:eastAsia="宋体" w:cs="宋体"/>
          <w:color w:val="auto"/>
          <w:sz w:val="30"/>
          <w:szCs w:val="30"/>
          <w:highlight w:val="none"/>
        </w:rPr>
      </w:pPr>
    </w:p>
    <w:p w14:paraId="77508C30">
      <w:pPr>
        <w:adjustRightInd w:val="0"/>
        <w:snapToGrid w:val="0"/>
        <w:rPr>
          <w:rFonts w:hint="eastAsia" w:ascii="宋体" w:hAnsi="宋体" w:eastAsia="宋体" w:cs="宋体"/>
          <w:color w:val="auto"/>
          <w:sz w:val="30"/>
          <w:szCs w:val="30"/>
          <w:highlight w:val="none"/>
        </w:rPr>
      </w:pPr>
    </w:p>
    <w:p w14:paraId="74C8D7D3">
      <w:pPr>
        <w:adjustRightInd w:val="0"/>
        <w:snapToGrid w:val="0"/>
        <w:spacing w:line="360" w:lineRule="auto"/>
        <w:rPr>
          <w:rFonts w:hint="eastAsia" w:ascii="宋体" w:hAnsi="宋体" w:eastAsia="宋体" w:cs="宋体"/>
          <w:color w:val="auto"/>
          <w:sz w:val="30"/>
          <w:szCs w:val="30"/>
          <w:highlight w:val="none"/>
        </w:rPr>
      </w:pPr>
    </w:p>
    <w:p w14:paraId="0DB0673F">
      <w:pPr>
        <w:adjustRightInd w:val="0"/>
        <w:snapToGrid w:val="0"/>
        <w:spacing w:line="360" w:lineRule="auto"/>
        <w:rPr>
          <w:rFonts w:hint="eastAsia" w:ascii="宋体" w:hAnsi="宋体" w:eastAsia="宋体" w:cs="宋体"/>
          <w:color w:val="auto"/>
          <w:sz w:val="30"/>
          <w:szCs w:val="30"/>
          <w:highlight w:val="none"/>
        </w:rPr>
      </w:pPr>
    </w:p>
    <w:p w14:paraId="68E0BD13">
      <w:pPr>
        <w:adjustRightInd w:val="0"/>
        <w:snapToGrid w:val="0"/>
        <w:spacing w:line="360" w:lineRule="auto"/>
        <w:ind w:firstLine="1920" w:firstLineChars="6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供应商</w:t>
      </w:r>
      <w:r>
        <w:rPr>
          <w:rFonts w:hint="eastAsia" w:ascii="宋体" w:hAnsi="宋体" w:eastAsia="宋体" w:cs="宋体"/>
          <w:color w:val="auto"/>
          <w:sz w:val="32"/>
          <w:szCs w:val="32"/>
          <w:highlight w:val="none"/>
          <w:lang w:eastAsia="zh-CN"/>
        </w:rPr>
        <w:t>（加盖公章）：</w:t>
      </w:r>
      <w:r>
        <w:rPr>
          <w:rFonts w:hint="eastAsia" w:ascii="宋体" w:hAnsi="宋体" w:eastAsia="宋体" w:cs="宋体"/>
          <w:color w:val="auto"/>
          <w:sz w:val="32"/>
          <w:szCs w:val="32"/>
          <w:highlight w:val="none"/>
          <w:u w:val="single"/>
        </w:rPr>
        <w:t xml:space="preserve">                </w:t>
      </w:r>
    </w:p>
    <w:p w14:paraId="6D037941">
      <w:pPr>
        <w:ind w:firstLine="3200" w:firstLineChars="1000"/>
        <w:jc w:val="both"/>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4257F5C">
      <w:pPr>
        <w:jc w:val="center"/>
        <w:rPr>
          <w:rFonts w:hint="eastAsia" w:ascii="宋体" w:hAnsi="宋体" w:eastAsia="宋体" w:cs="宋体"/>
          <w:color w:val="auto"/>
          <w:sz w:val="21"/>
          <w:szCs w:val="21"/>
          <w:highlight w:val="none"/>
        </w:rPr>
      </w:pPr>
      <w:r>
        <w:rPr>
          <w:rFonts w:hint="eastAsia" w:ascii="宋体" w:hAnsi="宋体" w:eastAsia="宋体" w:cs="宋体"/>
          <w:b/>
          <w:color w:val="auto"/>
          <w:sz w:val="28"/>
          <w:szCs w:val="28"/>
          <w:highlight w:val="none"/>
        </w:rPr>
        <w:br w:type="page"/>
      </w:r>
    </w:p>
    <w:p w14:paraId="0257892E">
      <w:pPr>
        <w:adjustRightIn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评分</w:t>
      </w:r>
      <w:r>
        <w:rPr>
          <w:rFonts w:hint="eastAsia" w:ascii="宋体" w:hAnsi="宋体" w:eastAsia="宋体" w:cs="宋体"/>
          <w:b/>
          <w:color w:val="auto"/>
          <w:sz w:val="28"/>
          <w:szCs w:val="28"/>
          <w:highlight w:val="none"/>
        </w:rPr>
        <w:t>索引表</w:t>
      </w:r>
    </w:p>
    <w:tbl>
      <w:tblPr>
        <w:tblStyle w:val="50"/>
        <w:tblW w:w="89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4156"/>
        <w:gridCol w:w="3956"/>
      </w:tblGrid>
      <w:tr w14:paraId="770B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noWrap w:val="0"/>
            <w:vAlign w:val="center"/>
          </w:tcPr>
          <w:p w14:paraId="48DBC586">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4156" w:type="dxa"/>
            <w:noWrap w:val="0"/>
            <w:vAlign w:val="center"/>
          </w:tcPr>
          <w:p w14:paraId="0D4FF2D1">
            <w:pPr>
              <w:adjustRightInd w:val="0"/>
              <w:snapToGrid w:val="0"/>
              <w:spacing w:before="156" w:beforeLines="50" w:line="360" w:lineRule="auto"/>
              <w:jc w:val="center"/>
              <w:rPr>
                <w:rFonts w:hint="eastAsia" w:ascii="宋体" w:hAnsi="宋体" w:eastAsia="宋体" w:cs="宋体"/>
                <w:b/>
                <w:color w:val="auto"/>
                <w:kern w:val="0"/>
                <w:sz w:val="20"/>
                <w:szCs w:val="21"/>
                <w:highlight w:val="none"/>
                <w:lang w:val="en-US" w:eastAsia="zh-CN"/>
              </w:rPr>
            </w:pPr>
            <w:r>
              <w:rPr>
                <w:rFonts w:hint="eastAsia" w:ascii="宋体" w:hAnsi="宋体" w:eastAsia="宋体" w:cs="宋体"/>
                <w:b/>
                <w:bCs/>
                <w:color w:val="auto"/>
                <w:sz w:val="24"/>
                <w:szCs w:val="24"/>
                <w:highlight w:val="none"/>
                <w:vertAlign w:val="baseline"/>
                <w:lang w:val="en-US" w:eastAsia="zh-CN"/>
              </w:rPr>
              <w:t>评分因素</w:t>
            </w:r>
          </w:p>
        </w:tc>
        <w:tc>
          <w:tcPr>
            <w:tcW w:w="3956" w:type="dxa"/>
            <w:noWrap w:val="0"/>
            <w:vAlign w:val="center"/>
          </w:tcPr>
          <w:p w14:paraId="4A7B3789">
            <w:pPr>
              <w:adjustRightInd w:val="0"/>
              <w:snapToGrid w:val="0"/>
              <w:spacing w:before="156" w:beforeLines="50" w:line="360" w:lineRule="auto"/>
              <w:jc w:val="center"/>
              <w:rPr>
                <w:rFonts w:hint="eastAsia" w:ascii="宋体" w:hAnsi="宋体" w:eastAsia="宋体" w:cs="宋体"/>
                <w:b/>
                <w:color w:val="auto"/>
                <w:kern w:val="0"/>
                <w:sz w:val="20"/>
                <w:szCs w:val="21"/>
                <w:highlight w:val="none"/>
              </w:rPr>
            </w:pPr>
            <w:r>
              <w:rPr>
                <w:rFonts w:hint="eastAsia" w:ascii="宋体" w:hAnsi="宋体" w:eastAsia="宋体" w:cs="宋体"/>
                <w:b/>
                <w:bCs/>
                <w:color w:val="auto"/>
                <w:sz w:val="24"/>
                <w:szCs w:val="24"/>
                <w:highlight w:val="none"/>
                <w:vertAlign w:val="baseline"/>
                <w:lang w:val="en-US" w:eastAsia="zh-CN"/>
              </w:rPr>
              <w:t>所在页码</w:t>
            </w:r>
          </w:p>
        </w:tc>
      </w:tr>
      <w:tr w14:paraId="6284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noWrap w:val="0"/>
            <w:vAlign w:val="top"/>
          </w:tcPr>
          <w:p w14:paraId="5238F1DF">
            <w:pPr>
              <w:adjustRightInd w:val="0"/>
              <w:snapToGrid w:val="0"/>
              <w:spacing w:before="156" w:beforeLines="50" w:line="360" w:lineRule="auto"/>
              <w:jc w:val="center"/>
              <w:rPr>
                <w:rFonts w:hint="eastAsia" w:ascii="宋体" w:hAnsi="宋体" w:eastAsia="宋体" w:cs="宋体"/>
                <w:color w:val="auto"/>
                <w:kern w:val="0"/>
                <w:szCs w:val="21"/>
                <w:highlight w:val="none"/>
              </w:rPr>
            </w:pPr>
          </w:p>
        </w:tc>
        <w:tc>
          <w:tcPr>
            <w:tcW w:w="4156" w:type="dxa"/>
            <w:noWrap w:val="0"/>
            <w:vAlign w:val="top"/>
          </w:tcPr>
          <w:p w14:paraId="600E28B1">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43A1A511">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3415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noWrap w:val="0"/>
            <w:vAlign w:val="top"/>
          </w:tcPr>
          <w:p w14:paraId="528506A9">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0BE31E90">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5DE8C5CD">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3109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noWrap w:val="0"/>
            <w:vAlign w:val="top"/>
          </w:tcPr>
          <w:p w14:paraId="587D59A3">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145ABE7A">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7D2F9688">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1957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89" w:type="dxa"/>
            <w:noWrap w:val="0"/>
            <w:vAlign w:val="top"/>
          </w:tcPr>
          <w:p w14:paraId="1E56DA87">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085C3E50">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660BEB61">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4116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noWrap w:val="0"/>
            <w:vAlign w:val="top"/>
          </w:tcPr>
          <w:p w14:paraId="7253312B">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52599A98">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627AEE66">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64B1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noWrap w:val="0"/>
            <w:vAlign w:val="top"/>
          </w:tcPr>
          <w:p w14:paraId="298EB0F3">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4CE8B01E">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00FEDE81">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6B53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noWrap w:val="0"/>
            <w:vAlign w:val="top"/>
          </w:tcPr>
          <w:p w14:paraId="5DE655C7">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7505B42C">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4A136716">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390D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noWrap w:val="0"/>
            <w:vAlign w:val="top"/>
          </w:tcPr>
          <w:p w14:paraId="590BAEDE">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143AE8A4">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32E90EE2">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25FF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noWrap w:val="0"/>
            <w:vAlign w:val="top"/>
          </w:tcPr>
          <w:p w14:paraId="37239398">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4AD4FDAB">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6A272CE7">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4DCB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noWrap w:val="0"/>
            <w:vAlign w:val="top"/>
          </w:tcPr>
          <w:p w14:paraId="4158F7FC">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479B6603">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2E25DB13">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52AD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89" w:type="dxa"/>
            <w:noWrap w:val="0"/>
            <w:vAlign w:val="top"/>
          </w:tcPr>
          <w:p w14:paraId="45A3365D">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5E294EF3">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7841419F">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0DF5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89" w:type="dxa"/>
            <w:noWrap w:val="0"/>
            <w:vAlign w:val="top"/>
          </w:tcPr>
          <w:p w14:paraId="310C2611">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29C08CDE">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50C77C3D">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5FDB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89" w:type="dxa"/>
            <w:noWrap w:val="0"/>
            <w:vAlign w:val="top"/>
          </w:tcPr>
          <w:p w14:paraId="26803302">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70425930">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3E57EF7A">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6837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89" w:type="dxa"/>
            <w:noWrap w:val="0"/>
            <w:vAlign w:val="top"/>
          </w:tcPr>
          <w:p w14:paraId="278C0211">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0FA2C3E8">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72755B2F">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r w14:paraId="16F4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89" w:type="dxa"/>
            <w:noWrap w:val="0"/>
            <w:vAlign w:val="top"/>
          </w:tcPr>
          <w:p w14:paraId="1FACB2B4">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4156" w:type="dxa"/>
            <w:noWrap w:val="0"/>
            <w:vAlign w:val="top"/>
          </w:tcPr>
          <w:p w14:paraId="1C531B86">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c>
          <w:tcPr>
            <w:tcW w:w="3956" w:type="dxa"/>
            <w:noWrap w:val="0"/>
            <w:vAlign w:val="top"/>
          </w:tcPr>
          <w:p w14:paraId="702C41A6">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bl>
    <w:p w14:paraId="5301260A">
      <w:pPr>
        <w:rPr>
          <w:rFonts w:hint="eastAsia" w:ascii="宋体" w:hAnsi="宋体" w:eastAsia="宋体" w:cs="宋体"/>
          <w:color w:val="auto"/>
          <w:highlight w:val="none"/>
        </w:rPr>
      </w:pPr>
    </w:p>
    <w:p w14:paraId="47C00332">
      <w:pPr>
        <w:widowControl/>
        <w:tabs>
          <w:tab w:val="left" w:pos="753"/>
        </w:tabs>
        <w:adjustRightInd w:val="0"/>
        <w:snapToGrid w:val="0"/>
        <w:spacing w:before="156" w:beforeLines="50" w:line="360" w:lineRule="auto"/>
        <w:jc w:val="both"/>
        <w:rPr>
          <w:rFonts w:hint="eastAsia" w:ascii="宋体" w:hAnsi="宋体" w:eastAsia="宋体" w:cs="宋体"/>
          <w:color w:val="auto"/>
          <w:highlight w:val="none"/>
          <w:lang w:val="en-US" w:eastAsia="zh-CN"/>
        </w:rPr>
      </w:pPr>
    </w:p>
    <w:p w14:paraId="0BEE1F52">
      <w:pPr>
        <w:rPr>
          <w:rFonts w:hint="eastAsia" w:ascii="宋体" w:hAnsi="宋体" w:eastAsia="宋体" w:cs="宋体"/>
          <w:color w:val="auto"/>
          <w:highlight w:val="none"/>
          <w:lang w:eastAsia="zh-CN"/>
        </w:rPr>
      </w:pPr>
    </w:p>
    <w:p w14:paraId="3DBE44D9">
      <w:pPr>
        <w:adjustRightInd w:val="0"/>
        <w:spacing w:before="156" w:beforeLines="50" w:line="360" w:lineRule="auto"/>
        <w:jc w:val="center"/>
        <w:rPr>
          <w:rFonts w:hint="eastAsia" w:ascii="宋体" w:hAnsi="宋体" w:eastAsia="宋体" w:cs="宋体"/>
          <w:color w:val="auto"/>
          <w:sz w:val="28"/>
          <w:szCs w:val="28"/>
          <w:highlight w:val="none"/>
          <w:lang w:val="en-US" w:eastAsia="zh-CN"/>
        </w:rPr>
        <w:sectPr>
          <w:headerReference r:id="rId11" w:type="default"/>
          <w:footerReference r:id="rId12" w:type="default"/>
          <w:pgSz w:w="11906" w:h="16838"/>
          <w:pgMar w:top="1474" w:right="1474" w:bottom="1474" w:left="1588" w:header="851" w:footer="992" w:gutter="0"/>
          <w:pgNumType w:fmt="decimal"/>
          <w:cols w:space="720" w:num="1"/>
          <w:docGrid w:type="lines" w:linePitch="312" w:charSpace="0"/>
        </w:sectPr>
      </w:pPr>
      <w:r>
        <w:rPr>
          <w:rFonts w:hint="eastAsia" w:ascii="宋体" w:hAnsi="宋体" w:eastAsia="宋体" w:cs="宋体"/>
          <w:color w:val="auto"/>
          <w:sz w:val="28"/>
          <w:szCs w:val="28"/>
          <w:highlight w:val="none"/>
          <w:lang w:val="en-US" w:eastAsia="zh-CN"/>
        </w:rPr>
        <w:br w:type="page"/>
      </w:r>
      <w:r>
        <w:rPr>
          <w:rFonts w:hint="eastAsia" w:ascii="宋体" w:hAnsi="宋体" w:eastAsia="宋体" w:cs="宋体"/>
          <w:b/>
          <w:bCs/>
          <w:color w:val="auto"/>
          <w:sz w:val="32"/>
          <w:szCs w:val="32"/>
          <w:highlight w:val="none"/>
          <w:lang w:val="en-US" w:eastAsia="zh-CN"/>
        </w:rPr>
        <w:t>目录</w:t>
      </w:r>
      <w:r>
        <w:rPr>
          <w:rFonts w:hint="eastAsia" w:ascii="宋体" w:hAnsi="宋体" w:eastAsia="宋体" w:cs="宋体"/>
          <w:color w:val="auto"/>
          <w:sz w:val="28"/>
          <w:szCs w:val="28"/>
          <w:highlight w:val="none"/>
          <w:lang w:val="en-US" w:eastAsia="zh-CN"/>
        </w:rPr>
        <w:t>（响应文件目录需编制页码，格式自拟）</w:t>
      </w:r>
    </w:p>
    <w:p w14:paraId="6DAB229F">
      <w:pPr>
        <w:pStyle w:val="49"/>
        <w:ind w:left="427" w:firstLine="407"/>
        <w:jc w:val="center"/>
        <w:rPr>
          <w:rFonts w:hint="eastAsia" w:ascii="宋体" w:hAnsi="宋体" w:eastAsia="宋体" w:cs="宋体"/>
          <w:color w:val="auto"/>
          <w:highlight w:val="none"/>
        </w:rPr>
      </w:pPr>
    </w:p>
    <w:p w14:paraId="1F613097">
      <w:pPr>
        <w:rPr>
          <w:rFonts w:hint="eastAsia" w:ascii="宋体" w:hAnsi="宋体" w:eastAsia="宋体" w:cs="宋体"/>
          <w:color w:val="auto"/>
          <w:highlight w:val="none"/>
        </w:rPr>
      </w:pPr>
    </w:p>
    <w:p w14:paraId="2C32E5FD">
      <w:pPr>
        <w:pStyle w:val="3"/>
        <w:bidi w:val="0"/>
        <w:jc w:val="center"/>
        <w:rPr>
          <w:rFonts w:hint="eastAsia" w:ascii="宋体" w:hAnsi="宋体" w:eastAsia="宋体" w:cs="宋体"/>
          <w:color w:val="auto"/>
          <w:sz w:val="32"/>
          <w:szCs w:val="32"/>
          <w:highlight w:val="none"/>
        </w:rPr>
      </w:pPr>
      <w:bookmarkStart w:id="60" w:name="_Toc11662"/>
      <w:r>
        <w:rPr>
          <w:rFonts w:hint="eastAsia" w:ascii="宋体" w:hAnsi="宋体" w:eastAsia="宋体" w:cs="宋体"/>
          <w:color w:val="auto"/>
          <w:sz w:val="32"/>
          <w:szCs w:val="32"/>
          <w:highlight w:val="none"/>
        </w:rPr>
        <w:t>一、磋商响应声明</w:t>
      </w:r>
      <w:bookmarkEnd w:id="60"/>
    </w:p>
    <w:p w14:paraId="7E7F7BB0">
      <w:pPr>
        <w:adjustRightInd w:val="0"/>
        <w:snapToGrid w:val="0"/>
        <w:spacing w:before="158"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（采购人、采购代理机构）：</w:t>
      </w:r>
    </w:p>
    <w:p w14:paraId="41588946">
      <w:pPr>
        <w:adjustRightInd w:val="0"/>
        <w:snapToGrid w:val="0"/>
        <w:spacing w:before="158" w:beforeLines="50" w:line="360" w:lineRule="auto"/>
        <w:ind w:firstLine="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根据贵方为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（项目名称）的磋商邀请（</w:t>
      </w:r>
      <w:r>
        <w:rPr>
          <w:rFonts w:hint="eastAsia" w:ascii="宋体" w:hAnsi="宋体" w:eastAsia="宋体" w:cs="宋体"/>
          <w:color w:val="auto"/>
          <w:highlight w:val="none"/>
        </w:rPr>
        <w:t>政府</w:t>
      </w:r>
      <w:r>
        <w:rPr>
          <w:rFonts w:hint="eastAsia" w:ascii="宋体" w:hAnsi="宋体" w:eastAsia="宋体" w:cs="宋体"/>
          <w:iCs/>
          <w:color w:val="auto"/>
          <w:highlight w:val="none"/>
        </w:rPr>
        <w:t>采购编号：</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 xml:space="preserve"> ，</w:t>
      </w:r>
      <w:r>
        <w:rPr>
          <w:rFonts w:hint="eastAsia" w:ascii="宋体" w:hAnsi="宋体" w:eastAsia="宋体" w:cs="宋体"/>
          <w:color w:val="auto"/>
          <w:szCs w:val="21"/>
          <w:highlight w:val="none"/>
        </w:rPr>
        <w:t>采购代理编号：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），签字代表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（姓名、职务）经正式授权并代表供应商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（供应商名称）提交响应文件正本一份,副本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份；响应文件电子文档：</w:t>
      </w:r>
      <w:r>
        <w:rPr>
          <w:rFonts w:hint="eastAsia" w:ascii="宋体" w:hAnsi="宋体" w:eastAsia="宋体" w:cs="宋体"/>
          <w:color w:val="auto"/>
          <w:szCs w:val="21"/>
          <w:highlight w:val="none"/>
          <w:lang w:eastAsia="zh-CN"/>
        </w:rPr>
        <w:t>一</w:t>
      </w:r>
      <w:r>
        <w:rPr>
          <w:rFonts w:hint="eastAsia" w:ascii="宋体" w:hAnsi="宋体" w:eastAsia="宋体" w:cs="宋体"/>
          <w:color w:val="auto"/>
          <w:szCs w:val="21"/>
          <w:highlight w:val="none"/>
        </w:rPr>
        <w:t>份，参加采购项目第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包磋商，并在此声明，所递交的响应文件内容完整、真实。</w:t>
      </w:r>
    </w:p>
    <w:p w14:paraId="7F82FE5B">
      <w:pPr>
        <w:pStyle w:val="28"/>
        <w:adjustRightInd w:val="0"/>
        <w:snapToGrid w:val="0"/>
        <w:spacing w:before="158" w:beforeLines="50" w:line="360" w:lineRule="auto"/>
        <w:ind w:firstLine="426" w:firstLineChars="200"/>
        <w:rPr>
          <w:rFonts w:hint="eastAsia" w:ascii="宋体" w:hAnsi="宋体" w:eastAsia="宋体" w:cs="宋体"/>
          <w:color w:val="auto"/>
          <w:highlight w:val="none"/>
        </w:rPr>
      </w:pPr>
      <w:r>
        <w:rPr>
          <w:rFonts w:hint="eastAsia" w:ascii="宋体" w:hAnsi="宋体" w:eastAsia="宋体" w:cs="宋体"/>
          <w:color w:val="auto"/>
          <w:highlight w:val="none"/>
        </w:rPr>
        <w:t>一、我方已详细审查磋商文件。我们完全理解并同意放弃对这方面有不明及误解的权力。</w:t>
      </w:r>
    </w:p>
    <w:p w14:paraId="32B49F05">
      <w:pPr>
        <w:pStyle w:val="28"/>
        <w:adjustRightInd w:val="0"/>
        <w:snapToGrid w:val="0"/>
        <w:spacing w:before="158" w:beforeLines="50" w:line="360" w:lineRule="auto"/>
        <w:ind w:firstLine="426" w:firstLineChars="200"/>
        <w:rPr>
          <w:rFonts w:hint="eastAsia" w:ascii="宋体" w:hAnsi="宋体" w:eastAsia="宋体" w:cs="宋体"/>
          <w:bCs/>
          <w:color w:val="auto"/>
          <w:highlight w:val="none"/>
        </w:rPr>
      </w:pPr>
      <w:r>
        <w:rPr>
          <w:rFonts w:hint="eastAsia" w:ascii="宋体" w:hAnsi="宋体" w:eastAsia="宋体" w:cs="宋体"/>
          <w:color w:val="auto"/>
          <w:highlight w:val="none"/>
        </w:rPr>
        <w:t>二、我方愿意向贵方提供任何与本项采购有关的数据、情况和技术资料。若贵方需要，我方愿意提供我方作出的一切承诺的证明材料。</w:t>
      </w:r>
    </w:p>
    <w:p w14:paraId="0DA43646">
      <w:pPr>
        <w:pStyle w:val="28"/>
        <w:adjustRightInd w:val="0"/>
        <w:snapToGrid w:val="0"/>
        <w:spacing w:before="158" w:beforeLines="50" w:line="360" w:lineRule="auto"/>
        <w:ind w:firstLine="426" w:firstLineChars="200"/>
        <w:rPr>
          <w:rFonts w:hint="eastAsia" w:ascii="宋体" w:hAnsi="宋体" w:eastAsia="宋体" w:cs="宋体"/>
          <w:color w:val="auto"/>
          <w:highlight w:val="none"/>
        </w:rPr>
      </w:pPr>
      <w:r>
        <w:rPr>
          <w:rFonts w:hint="eastAsia" w:ascii="宋体" w:hAnsi="宋体" w:eastAsia="宋体" w:cs="宋体"/>
          <w:color w:val="auto"/>
          <w:highlight w:val="none"/>
        </w:rPr>
        <w:t>三、我方愿意按磋商文件规定和磋商小组要求重新提交响应文件和最后报价。</w:t>
      </w:r>
    </w:p>
    <w:p w14:paraId="5F445842">
      <w:pPr>
        <w:pStyle w:val="28"/>
        <w:adjustRightInd w:val="0"/>
        <w:snapToGrid w:val="0"/>
        <w:spacing w:before="158" w:beforeLines="50" w:line="360" w:lineRule="auto"/>
        <w:ind w:firstLine="426" w:firstLineChars="200"/>
        <w:rPr>
          <w:rFonts w:hint="eastAsia" w:ascii="宋体" w:hAnsi="宋体" w:eastAsia="宋体" w:cs="宋体"/>
          <w:color w:val="auto"/>
          <w:highlight w:val="none"/>
        </w:rPr>
      </w:pPr>
      <w:r>
        <w:rPr>
          <w:rFonts w:hint="eastAsia" w:ascii="宋体" w:hAnsi="宋体" w:eastAsia="宋体" w:cs="宋体"/>
          <w:color w:val="auto"/>
          <w:highlight w:val="none"/>
        </w:rPr>
        <w:t>四、我方同意在磋商文件中规定的提交首次响应文件截止时间起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日内（响应文件有效期）遵守本响应文件中的承诺且在此期限期满之前均具有法律约束力。</w:t>
      </w:r>
    </w:p>
    <w:p w14:paraId="1D01D16B">
      <w:pPr>
        <w:pStyle w:val="28"/>
        <w:adjustRightInd w:val="0"/>
        <w:snapToGrid w:val="0"/>
        <w:spacing w:before="158" w:beforeLines="50" w:line="360" w:lineRule="auto"/>
        <w:ind w:firstLine="426" w:firstLineChars="200"/>
        <w:rPr>
          <w:rFonts w:hint="eastAsia" w:ascii="宋体" w:hAnsi="宋体" w:eastAsia="宋体" w:cs="宋体"/>
          <w:color w:val="auto"/>
          <w:highlight w:val="none"/>
        </w:rPr>
      </w:pPr>
      <w:r>
        <w:rPr>
          <w:rFonts w:hint="eastAsia" w:ascii="宋体" w:hAnsi="宋体" w:eastAsia="宋体" w:cs="宋体"/>
          <w:color w:val="auto"/>
          <w:highlight w:val="none"/>
        </w:rPr>
        <w:t>五、我方承诺遵守《政府采购法》及实施条例、《政府采购非招标方式管理办法》（财政部第74号令）的有关规定，保证在获得成交资格后，按照磋商文件确定的事项签订政府采购合同，履行双方所签订的合同，并承担合同规定的责任和义务。</w:t>
      </w:r>
    </w:p>
    <w:p w14:paraId="65791EBF">
      <w:pPr>
        <w:pStyle w:val="28"/>
        <w:adjustRightInd w:val="0"/>
        <w:snapToGrid w:val="0"/>
        <w:spacing w:before="158" w:beforeLines="50" w:line="360" w:lineRule="auto"/>
        <w:ind w:firstLine="426" w:firstLineChars="200"/>
        <w:rPr>
          <w:rFonts w:hint="eastAsia" w:ascii="宋体" w:hAnsi="宋体" w:eastAsia="宋体" w:cs="宋体"/>
          <w:color w:val="auto"/>
          <w:highlight w:val="none"/>
        </w:rPr>
      </w:pPr>
      <w:r>
        <w:rPr>
          <w:rFonts w:hint="eastAsia" w:ascii="宋体" w:hAnsi="宋体" w:eastAsia="宋体" w:cs="宋体"/>
          <w:color w:val="auto"/>
          <w:highlight w:val="none"/>
        </w:rPr>
        <w:t>六、我方承诺在参与竞争性磋商过程中，若出现《政府采购法》第七十七条、《政府采购法实施条例》第七十二条和《政府采购非招标方式管理办法》第五十四条规定之情形，我方同意接受条款规定作出的处罚。</w:t>
      </w:r>
    </w:p>
    <w:p w14:paraId="088BBA04">
      <w:pPr>
        <w:adjustRightInd w:val="0"/>
        <w:snapToGrid w:val="0"/>
        <w:spacing w:before="158" w:beforeLines="50" w:line="360" w:lineRule="auto"/>
        <w:ind w:firstLine="426"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七、我方的联系方式：</w:t>
      </w:r>
    </w:p>
    <w:p w14:paraId="4BEB9380">
      <w:pPr>
        <w:adjustRightInd w:val="0"/>
        <w:snapToGrid w:val="0"/>
        <w:spacing w:before="158" w:beforeLines="50" w:line="360" w:lineRule="auto"/>
        <w:ind w:firstLine="426"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；电子邮箱：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C7AE4B2">
      <w:pPr>
        <w:pStyle w:val="28"/>
        <w:adjustRightInd w:val="0"/>
        <w:snapToGrid w:val="0"/>
        <w:spacing w:before="158" w:beforeLines="50" w:line="360" w:lineRule="auto"/>
        <w:rPr>
          <w:rFonts w:hint="eastAsia" w:ascii="宋体" w:hAnsi="宋体" w:eastAsia="宋体" w:cs="宋体"/>
          <w:color w:val="auto"/>
          <w:highlight w:val="none"/>
        </w:rPr>
      </w:pPr>
    </w:p>
    <w:p w14:paraId="70A7A9DE">
      <w:pPr>
        <w:pStyle w:val="28"/>
        <w:adjustRightInd w:val="0"/>
        <w:snapToGrid w:val="0"/>
        <w:spacing w:before="158" w:beforeLines="50" w:line="360" w:lineRule="auto"/>
        <w:rPr>
          <w:rFonts w:hint="eastAsia" w:ascii="宋体" w:hAnsi="宋体" w:eastAsia="宋体" w:cs="宋体"/>
          <w:color w:val="auto"/>
          <w:highlight w:val="none"/>
        </w:rPr>
      </w:pPr>
      <w:r>
        <w:rPr>
          <w:rFonts w:hint="eastAsia" w:ascii="宋体" w:hAnsi="宋体" w:eastAsia="宋体" w:cs="宋体"/>
          <w:color w:val="auto"/>
          <w:highlight w:val="none"/>
        </w:rPr>
        <w:t>供应商名称（盖单位公章）：</w:t>
      </w:r>
    </w:p>
    <w:p w14:paraId="4B2E88DE">
      <w:pPr>
        <w:adjustRightInd w:val="0"/>
        <w:snapToGrid w:val="0"/>
        <w:spacing w:before="158" w:beforeLines="50" w:line="360" w:lineRule="auto"/>
        <w:rPr>
          <w:rFonts w:hint="eastAsia" w:ascii="宋体" w:hAnsi="宋体" w:eastAsia="宋体" w:cs="宋体"/>
          <w:color w:val="auto"/>
          <w:szCs w:val="21"/>
          <w:highlight w:val="none"/>
          <w:u w:val="single"/>
        </w:rPr>
      </w:pPr>
      <w:r>
        <w:rPr>
          <w:rFonts w:hint="eastAsia" w:ascii="宋体" w:hAnsi="宋体" w:eastAsia="宋体" w:cs="宋体"/>
          <w:color w:val="auto"/>
          <w:spacing w:val="-2"/>
          <w:kern w:val="0"/>
          <w:szCs w:val="21"/>
          <w:highlight w:val="none"/>
        </w:rPr>
        <w:t>法</w:t>
      </w:r>
      <w:r>
        <w:rPr>
          <w:rFonts w:hint="eastAsia" w:ascii="宋体" w:hAnsi="宋体" w:eastAsia="宋体" w:cs="宋体"/>
          <w:color w:val="auto"/>
          <w:kern w:val="0"/>
          <w:szCs w:val="21"/>
          <w:highlight w:val="none"/>
        </w:rPr>
        <w:t>定</w:t>
      </w:r>
      <w:r>
        <w:rPr>
          <w:rFonts w:hint="eastAsia" w:ascii="宋体" w:hAnsi="宋体" w:eastAsia="宋体" w:cs="宋体"/>
          <w:color w:val="auto"/>
          <w:spacing w:val="-2"/>
          <w:kern w:val="0"/>
          <w:szCs w:val="21"/>
          <w:highlight w:val="none"/>
        </w:rPr>
        <w:t>代</w:t>
      </w:r>
      <w:r>
        <w:rPr>
          <w:rFonts w:hint="eastAsia" w:ascii="宋体" w:hAnsi="宋体" w:eastAsia="宋体" w:cs="宋体"/>
          <w:color w:val="auto"/>
          <w:kern w:val="0"/>
          <w:szCs w:val="21"/>
          <w:highlight w:val="none"/>
        </w:rPr>
        <w:t>表</w:t>
      </w:r>
      <w:r>
        <w:rPr>
          <w:rFonts w:hint="eastAsia" w:ascii="宋体" w:hAnsi="宋体" w:eastAsia="宋体" w:cs="宋体"/>
          <w:color w:val="auto"/>
          <w:spacing w:val="-2"/>
          <w:kern w:val="0"/>
          <w:szCs w:val="21"/>
          <w:highlight w:val="none"/>
        </w:rPr>
        <w:t>人</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单</w:t>
      </w:r>
      <w:r>
        <w:rPr>
          <w:rFonts w:hint="eastAsia" w:ascii="宋体" w:hAnsi="宋体" w:eastAsia="宋体" w:cs="宋体"/>
          <w:color w:val="auto"/>
          <w:kern w:val="0"/>
          <w:szCs w:val="21"/>
          <w:highlight w:val="none"/>
        </w:rPr>
        <w:t>位</w:t>
      </w:r>
      <w:r>
        <w:rPr>
          <w:rFonts w:hint="eastAsia" w:ascii="宋体" w:hAnsi="宋体" w:eastAsia="宋体" w:cs="宋体"/>
          <w:color w:val="auto"/>
          <w:spacing w:val="-2"/>
          <w:kern w:val="0"/>
          <w:szCs w:val="21"/>
          <w:highlight w:val="none"/>
        </w:rPr>
        <w:t>负</w:t>
      </w:r>
      <w:r>
        <w:rPr>
          <w:rFonts w:hint="eastAsia" w:ascii="宋体" w:hAnsi="宋体" w:eastAsia="宋体" w:cs="宋体"/>
          <w:color w:val="auto"/>
          <w:kern w:val="0"/>
          <w:szCs w:val="21"/>
          <w:highlight w:val="none"/>
        </w:rPr>
        <w:t>责人</w:t>
      </w:r>
      <w:r>
        <w:rPr>
          <w:rFonts w:hint="eastAsia" w:ascii="宋体" w:hAnsi="宋体" w:eastAsia="宋体" w:cs="宋体"/>
          <w:color w:val="auto"/>
          <w:spacing w:val="-2"/>
          <w:kern w:val="0"/>
          <w:szCs w:val="21"/>
          <w:highlight w:val="none"/>
        </w:rPr>
        <w:t>）</w:t>
      </w:r>
      <w:r>
        <w:rPr>
          <w:rFonts w:hint="eastAsia" w:ascii="宋体" w:hAnsi="宋体" w:eastAsia="宋体" w:cs="宋体"/>
          <w:color w:val="auto"/>
          <w:szCs w:val="21"/>
          <w:highlight w:val="none"/>
        </w:rPr>
        <w:t>或其授权的代理人（签字或印章）：</w:t>
      </w:r>
      <w:r>
        <w:rPr>
          <w:rFonts w:hint="eastAsia" w:ascii="宋体" w:hAnsi="宋体" w:eastAsia="宋体" w:cs="宋体"/>
          <w:color w:val="auto"/>
          <w:szCs w:val="21"/>
          <w:highlight w:val="none"/>
          <w:u w:val="single"/>
        </w:rPr>
        <w:t xml:space="preserve">               </w:t>
      </w:r>
    </w:p>
    <w:p w14:paraId="7ECEB784">
      <w:pPr>
        <w:adjustRightInd w:val="0"/>
        <w:snapToGrid w:val="0"/>
        <w:spacing w:before="158"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68D36DA">
      <w:pPr>
        <w:adjustRightInd w:val="0"/>
        <w:snapToGrid w:val="0"/>
        <w:ind w:right="24"/>
        <w:rPr>
          <w:rFonts w:hint="eastAsia" w:ascii="宋体" w:hAnsi="宋体" w:eastAsia="宋体" w:cs="宋体"/>
          <w:b/>
          <w:bCs/>
          <w:color w:val="auto"/>
          <w:sz w:val="24"/>
          <w:highlight w:val="none"/>
        </w:rPr>
        <w:sectPr>
          <w:footerReference r:id="rId13" w:type="default"/>
          <w:pgSz w:w="11906" w:h="16838"/>
          <w:pgMar w:top="1304" w:right="1304" w:bottom="1304" w:left="1417" w:header="851" w:footer="992" w:gutter="0"/>
          <w:cols w:space="0" w:num="1"/>
          <w:docGrid w:type="linesAndChars" w:linePitch="316" w:charSpace="738"/>
        </w:sectPr>
      </w:pPr>
    </w:p>
    <w:p w14:paraId="7F56E6D1">
      <w:pPr>
        <w:pStyle w:val="4"/>
        <w:bidi w:val="0"/>
        <w:outlineLvl w:val="1"/>
        <w:rPr>
          <w:rFonts w:hint="eastAsia" w:ascii="宋体" w:hAnsi="宋体" w:eastAsia="宋体" w:cs="宋体"/>
          <w:color w:val="auto"/>
          <w:sz w:val="28"/>
          <w:szCs w:val="28"/>
          <w:highlight w:val="none"/>
          <w:lang w:val="en-US" w:eastAsia="zh-CN"/>
        </w:rPr>
      </w:pPr>
      <w:bookmarkStart w:id="61" w:name="_Toc15827"/>
      <w:bookmarkStart w:id="62" w:name="_Toc114"/>
      <w:r>
        <w:rPr>
          <w:rFonts w:hint="eastAsia" w:ascii="宋体" w:hAnsi="宋体" w:eastAsia="宋体" w:cs="宋体"/>
          <w:color w:val="auto"/>
          <w:sz w:val="28"/>
          <w:szCs w:val="28"/>
          <w:highlight w:val="none"/>
        </w:rPr>
        <w:t>附件1-1</w:t>
      </w:r>
      <w:r>
        <w:rPr>
          <w:rFonts w:hint="eastAsia" w:ascii="宋体" w:hAnsi="宋体" w:eastAsia="宋体" w:cs="宋体"/>
          <w:color w:val="auto"/>
          <w:sz w:val="28"/>
          <w:szCs w:val="28"/>
          <w:highlight w:val="none"/>
          <w:lang w:val="en-US" w:eastAsia="zh-CN"/>
        </w:rPr>
        <w:t xml:space="preserve"> </w:t>
      </w:r>
      <w:bookmarkEnd w:id="61"/>
      <w:bookmarkEnd w:id="62"/>
    </w:p>
    <w:p w14:paraId="6DB84A57">
      <w:pPr>
        <w:pStyle w:val="4"/>
        <w:jc w:val="center"/>
        <w:rPr>
          <w:rFonts w:hint="eastAsia" w:ascii="宋体" w:hAnsi="宋体" w:eastAsia="宋体" w:cs="宋体"/>
          <w:color w:val="auto"/>
          <w:sz w:val="28"/>
          <w:szCs w:val="28"/>
          <w:highlight w:val="none"/>
        </w:rPr>
      </w:pPr>
      <w:bookmarkStart w:id="63" w:name="_Toc23991"/>
      <w:bookmarkStart w:id="64" w:name="_Toc7801"/>
      <w:bookmarkStart w:id="65" w:name="_Toc28182"/>
      <w:bookmarkStart w:id="66" w:name="_Toc31866"/>
      <w:r>
        <w:rPr>
          <w:rFonts w:hint="eastAsia" w:ascii="宋体" w:hAnsi="宋体" w:eastAsia="宋体" w:cs="宋体"/>
          <w:color w:val="auto"/>
          <w:sz w:val="28"/>
          <w:szCs w:val="28"/>
          <w:highlight w:val="none"/>
        </w:rPr>
        <w:t>法定代表人身份证明(法定代表人参加磋商)</w:t>
      </w:r>
      <w:bookmarkEnd w:id="63"/>
      <w:bookmarkEnd w:id="64"/>
    </w:p>
    <w:p w14:paraId="07757892">
      <w:pPr>
        <w:snapToGrid w:val="0"/>
        <w:spacing w:line="480" w:lineRule="auto"/>
        <w:jc w:val="center"/>
        <w:rPr>
          <w:rFonts w:hint="eastAsia" w:ascii="宋体" w:hAnsi="宋体" w:eastAsia="宋体" w:cs="宋体"/>
          <w:b/>
          <w:bCs/>
          <w:color w:val="auto"/>
          <w:sz w:val="24"/>
          <w:szCs w:val="24"/>
          <w:highlight w:val="none"/>
        </w:rPr>
      </w:pPr>
    </w:p>
    <w:p w14:paraId="4BE29559">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05ACC686">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注册号：</w:t>
      </w:r>
      <w:r>
        <w:rPr>
          <w:rFonts w:hint="eastAsia" w:ascii="宋体" w:hAnsi="宋体" w:eastAsia="宋体" w:cs="宋体"/>
          <w:color w:val="auto"/>
          <w:kern w:val="0"/>
          <w:szCs w:val="21"/>
          <w:highlight w:val="none"/>
          <w:u w:val="single"/>
        </w:rPr>
        <w:t xml:space="preserve">                  </w:t>
      </w:r>
    </w:p>
    <w:p w14:paraId="2887BDF2">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注册地址：</w:t>
      </w:r>
      <w:r>
        <w:rPr>
          <w:rFonts w:hint="eastAsia" w:ascii="宋体" w:hAnsi="宋体" w:eastAsia="宋体" w:cs="宋体"/>
          <w:color w:val="auto"/>
          <w:kern w:val="0"/>
          <w:szCs w:val="21"/>
          <w:highlight w:val="none"/>
          <w:u w:val="single"/>
        </w:rPr>
        <w:t xml:space="preserve">                                    </w:t>
      </w:r>
    </w:p>
    <w:p w14:paraId="2975EF4A">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成立时间：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年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日</w:t>
      </w:r>
    </w:p>
    <w:p w14:paraId="653FAB8F">
      <w:pPr>
        <w:autoSpaceDE w:val="0"/>
        <w:autoSpaceDN w:val="0"/>
        <w:adjustRightInd w:val="0"/>
        <w:snapToGrid w:val="0"/>
        <w:spacing w:line="360" w:lineRule="auto"/>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经营期限：</w:t>
      </w:r>
      <w:r>
        <w:rPr>
          <w:rFonts w:hint="eastAsia" w:ascii="宋体" w:hAnsi="宋体" w:eastAsia="宋体" w:cs="宋体"/>
          <w:color w:val="auto"/>
          <w:kern w:val="0"/>
          <w:szCs w:val="21"/>
          <w:highlight w:val="none"/>
          <w:u w:val="single"/>
        </w:rPr>
        <w:t xml:space="preserve">                  </w:t>
      </w:r>
    </w:p>
    <w:p w14:paraId="4F1C24D6">
      <w:pPr>
        <w:autoSpaceDE w:val="0"/>
        <w:autoSpaceDN w:val="0"/>
        <w:adjustRightInd w:val="0"/>
        <w:snapToGrid w:val="0"/>
        <w:spacing w:line="360" w:lineRule="auto"/>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经营范围：主营：</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；兼营：</w:t>
      </w:r>
      <w:r>
        <w:rPr>
          <w:rFonts w:hint="eastAsia" w:ascii="宋体" w:hAnsi="宋体" w:eastAsia="宋体" w:cs="宋体"/>
          <w:color w:val="auto"/>
          <w:kern w:val="0"/>
          <w:szCs w:val="21"/>
          <w:highlight w:val="none"/>
          <w:u w:val="single"/>
        </w:rPr>
        <w:t xml:space="preserve">              </w:t>
      </w:r>
    </w:p>
    <w:p w14:paraId="0224698B">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姓名：</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性别：</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年龄：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名称）的法定代表人。</w:t>
      </w:r>
    </w:p>
    <w:p w14:paraId="21C7E3BE">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特此证明。</w:t>
      </w:r>
    </w:p>
    <w:p w14:paraId="59904316">
      <w:pPr>
        <w:autoSpaceDE w:val="0"/>
        <w:autoSpaceDN w:val="0"/>
        <w:adjustRightInd w:val="0"/>
        <w:snapToGrid w:val="0"/>
        <w:spacing w:line="360" w:lineRule="auto"/>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szCs w:val="21"/>
          <w:highlight w:val="none"/>
        </w:rPr>
        <w:t>附：法定代表人身份证复印件</w:t>
      </w:r>
      <w:r>
        <w:rPr>
          <w:rFonts w:hint="eastAsia" w:ascii="宋体" w:hAnsi="宋体" w:eastAsia="宋体" w:cs="宋体"/>
          <w:color w:val="auto"/>
          <w:szCs w:val="21"/>
          <w:highlight w:val="none"/>
          <w:lang w:eastAsia="zh-CN"/>
        </w:rPr>
        <w:t>（正反面）</w:t>
      </w:r>
    </w:p>
    <w:p w14:paraId="43530D0C">
      <w:pPr>
        <w:snapToGrid w:val="0"/>
        <w:spacing w:line="480" w:lineRule="auto"/>
        <w:rPr>
          <w:rFonts w:hint="eastAsia" w:ascii="宋体" w:hAnsi="宋体" w:eastAsia="宋体" w:cs="宋体"/>
          <w:color w:val="auto"/>
          <w:szCs w:val="21"/>
          <w:highlight w:val="none"/>
        </w:rPr>
      </w:pPr>
    </w:p>
    <w:p w14:paraId="5D8563C6">
      <w:pPr>
        <w:snapToGrid w:val="0"/>
        <w:rPr>
          <w:rFonts w:hint="eastAsia" w:ascii="宋体" w:hAnsi="宋体" w:eastAsia="宋体" w:cs="宋体"/>
          <w:color w:val="auto"/>
          <w:szCs w:val="21"/>
          <w:highlight w:val="none"/>
        </w:rPr>
      </w:pPr>
    </w:p>
    <w:tbl>
      <w:tblPr>
        <w:tblStyle w:val="5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3262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5EB1A444">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身份证（正面）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c>
          <w:tcPr>
            <w:tcW w:w="3899" w:type="dxa"/>
            <w:noWrap w:val="0"/>
            <w:vAlign w:val="center"/>
          </w:tcPr>
          <w:p w14:paraId="76E75D60">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身份证（反面）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r>
    </w:tbl>
    <w:p w14:paraId="3C6BF763">
      <w:pPr>
        <w:snapToGrid w:val="0"/>
        <w:rPr>
          <w:rFonts w:hint="eastAsia" w:ascii="宋体" w:hAnsi="宋体" w:eastAsia="宋体" w:cs="宋体"/>
          <w:color w:val="auto"/>
          <w:szCs w:val="21"/>
          <w:highlight w:val="none"/>
        </w:rPr>
      </w:pPr>
    </w:p>
    <w:p w14:paraId="4BB532CA">
      <w:pPr>
        <w:snapToGrid w:val="0"/>
        <w:rPr>
          <w:rFonts w:hint="eastAsia" w:ascii="宋体" w:hAnsi="宋体" w:eastAsia="宋体" w:cs="宋体"/>
          <w:color w:val="auto"/>
          <w:szCs w:val="21"/>
          <w:highlight w:val="none"/>
        </w:rPr>
      </w:pPr>
    </w:p>
    <w:p w14:paraId="16CFA7EA">
      <w:pPr>
        <w:snapToGrid w:val="0"/>
        <w:rPr>
          <w:rFonts w:hint="eastAsia" w:ascii="宋体" w:hAnsi="宋体" w:eastAsia="宋体" w:cs="宋体"/>
          <w:color w:val="auto"/>
          <w:szCs w:val="21"/>
          <w:highlight w:val="none"/>
        </w:rPr>
      </w:pPr>
    </w:p>
    <w:p w14:paraId="5D1CBB3E">
      <w:pPr>
        <w:adjustRightInd w:val="0"/>
        <w:snapToGrid w:val="0"/>
        <w:spacing w:line="360" w:lineRule="auto"/>
        <w:rPr>
          <w:rFonts w:hint="eastAsia" w:ascii="宋体" w:hAnsi="宋体" w:eastAsia="宋体" w:cs="宋体"/>
          <w:color w:val="auto"/>
          <w:szCs w:val="21"/>
          <w:highlight w:val="none"/>
        </w:rPr>
      </w:pPr>
    </w:p>
    <w:p w14:paraId="09CC449A">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供应商名称（盖单位章）：</w:t>
      </w:r>
    </w:p>
    <w:p w14:paraId="15348956">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      </w:t>
      </w:r>
    </w:p>
    <w:p w14:paraId="200F3639">
      <w:pPr>
        <w:adjustRightInd w:val="0"/>
        <w:snapToGrid w:val="0"/>
        <w:spacing w:before="160" w:beforeLines="50" w:line="360" w:lineRule="auto"/>
        <w:rPr>
          <w:rFonts w:hint="eastAsia" w:ascii="宋体" w:hAnsi="宋体" w:eastAsia="宋体" w:cs="宋体"/>
          <w:color w:val="auto"/>
          <w:szCs w:val="21"/>
          <w:highlight w:val="none"/>
        </w:rPr>
      </w:pPr>
    </w:p>
    <w:p w14:paraId="42B3580B">
      <w:pPr>
        <w:adjustRightInd w:val="0"/>
        <w:snapToGrid w:val="0"/>
        <w:ind w:right="420"/>
        <w:jc w:val="both"/>
        <w:rPr>
          <w:rFonts w:hint="eastAsia" w:ascii="宋体" w:hAnsi="宋体" w:eastAsia="宋体" w:cs="宋体"/>
          <w:b/>
          <w:bCs/>
          <w:color w:val="auto"/>
          <w:sz w:val="24"/>
          <w:szCs w:val="24"/>
          <w:highlight w:val="none"/>
          <w:lang w:val="en-US" w:eastAsia="zh-CN"/>
        </w:rPr>
        <w:sectPr>
          <w:pgSz w:w="11906" w:h="16838"/>
          <w:pgMar w:top="1418" w:right="1134" w:bottom="1134" w:left="1418" w:header="851" w:footer="85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b/>
          <w:bCs/>
          <w:color w:val="auto"/>
          <w:sz w:val="24"/>
          <w:szCs w:val="24"/>
          <w:highlight w:val="none"/>
        </w:rPr>
        <w:t>注：开标时需另准备一份用于身份验</w:t>
      </w:r>
      <w:r>
        <w:rPr>
          <w:rFonts w:hint="eastAsia" w:ascii="宋体" w:hAnsi="宋体" w:eastAsia="宋体" w:cs="宋体"/>
          <w:b/>
          <w:bCs/>
          <w:color w:val="auto"/>
          <w:sz w:val="24"/>
          <w:szCs w:val="24"/>
          <w:highlight w:val="none"/>
          <w:lang w:val="en-US" w:eastAsia="zh-CN"/>
        </w:rPr>
        <w:t>证。</w:t>
      </w:r>
    </w:p>
    <w:p w14:paraId="1E37CEAF">
      <w:pPr>
        <w:pStyle w:val="4"/>
        <w:bidi w:val="0"/>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附件1-2 </w:t>
      </w:r>
      <w:bookmarkEnd w:id="65"/>
      <w:bookmarkEnd w:id="66"/>
    </w:p>
    <w:p w14:paraId="64E33C9E">
      <w:pPr>
        <w:pStyle w:val="4"/>
        <w:jc w:val="center"/>
        <w:rPr>
          <w:rFonts w:hint="eastAsia" w:ascii="宋体" w:hAnsi="宋体" w:eastAsia="宋体" w:cs="宋体"/>
          <w:color w:val="auto"/>
          <w:sz w:val="28"/>
          <w:szCs w:val="28"/>
          <w:highlight w:val="none"/>
        </w:rPr>
      </w:pPr>
      <w:bookmarkStart w:id="67" w:name="_Toc19614"/>
      <w:bookmarkStart w:id="68" w:name="_Toc19437"/>
      <w:r>
        <w:rPr>
          <w:rFonts w:hint="eastAsia" w:ascii="宋体" w:hAnsi="宋体" w:eastAsia="宋体" w:cs="宋体"/>
          <w:color w:val="auto"/>
          <w:sz w:val="28"/>
          <w:szCs w:val="28"/>
          <w:highlight w:val="none"/>
        </w:rPr>
        <w:t>法定代表人授权书(委托代理人参加磋商)</w:t>
      </w:r>
      <w:bookmarkEnd w:id="67"/>
      <w:bookmarkEnd w:id="68"/>
    </w:p>
    <w:p w14:paraId="244EBF5E">
      <w:pPr>
        <w:keepNext w:val="0"/>
        <w:keepLines w:val="0"/>
        <w:pageBreakBefore w:val="0"/>
        <w:widowControl w:val="0"/>
        <w:kinsoku/>
        <w:wordWrap/>
        <w:overflowPunct/>
        <w:topLinePunct w:val="0"/>
        <w:autoSpaceDE w:val="0"/>
        <w:autoSpaceDN w:val="0"/>
        <w:bidi w:val="0"/>
        <w:adjustRightInd w:val="0"/>
        <w:snapToGrid w:val="0"/>
        <w:spacing w:before="156" w:beforeLines="50"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（姓名、职务）系</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rPr>
        <w:t>供应商</w:t>
      </w:r>
      <w:r>
        <w:rPr>
          <w:rFonts w:hint="eastAsia" w:ascii="宋体" w:hAnsi="宋体" w:eastAsia="宋体" w:cs="宋体"/>
          <w:color w:val="auto"/>
          <w:kern w:val="0"/>
          <w:sz w:val="21"/>
          <w:szCs w:val="21"/>
          <w:highlight w:val="none"/>
        </w:rPr>
        <w:t>名称）的法定代表人，现授权</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（姓名、职务）为我方代理人。代理人根据授权，以我方名义：(1)签署、澄清、补正、修改、撤回、提交</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（项目名称、政府采购</w:t>
      </w:r>
      <w:r>
        <w:rPr>
          <w:rFonts w:hint="eastAsia" w:ascii="宋体" w:hAnsi="宋体" w:eastAsia="宋体" w:cs="宋体"/>
          <w:color w:val="auto"/>
          <w:kern w:val="0"/>
          <w:sz w:val="21"/>
          <w:szCs w:val="21"/>
          <w:highlight w:val="none"/>
          <w:lang w:val="en-US" w:eastAsia="zh-CN"/>
        </w:rPr>
        <w:t>计划</w:t>
      </w:r>
      <w:r>
        <w:rPr>
          <w:rFonts w:hint="eastAsia" w:ascii="宋体" w:hAnsi="宋体" w:eastAsia="宋体" w:cs="宋体"/>
          <w:color w:val="auto"/>
          <w:kern w:val="0"/>
          <w:sz w:val="21"/>
          <w:szCs w:val="21"/>
          <w:highlight w:val="none"/>
        </w:rPr>
        <w:t>编号、</w:t>
      </w:r>
      <w:r>
        <w:rPr>
          <w:rFonts w:hint="eastAsia" w:ascii="宋体" w:hAnsi="宋体" w:eastAsia="宋体" w:cs="宋体"/>
          <w:color w:val="auto"/>
          <w:kern w:val="0"/>
          <w:sz w:val="21"/>
          <w:szCs w:val="21"/>
          <w:highlight w:val="none"/>
          <w:lang w:val="en-US" w:eastAsia="zh-CN"/>
        </w:rPr>
        <w:t>委托代理编号</w:t>
      </w:r>
      <w:r>
        <w:rPr>
          <w:rFonts w:hint="eastAsia" w:ascii="宋体" w:hAnsi="宋体" w:eastAsia="宋体" w:cs="宋体"/>
          <w:color w:val="auto"/>
          <w:kern w:val="0"/>
          <w:sz w:val="21"/>
          <w:szCs w:val="21"/>
          <w:highlight w:val="none"/>
        </w:rPr>
        <w:t>）响应文件；(2)签署并重新提交响应文件及最后报价；(3)签订合同和处理有关事宜，其法律后果由我方承担。</w:t>
      </w:r>
    </w:p>
    <w:p w14:paraId="3EFF2633">
      <w:pPr>
        <w:keepNext w:val="0"/>
        <w:keepLines w:val="0"/>
        <w:pageBreakBefore w:val="0"/>
        <w:widowControl w:val="0"/>
        <w:kinsoku/>
        <w:wordWrap/>
        <w:overflowPunct/>
        <w:topLinePunct w:val="0"/>
        <w:autoSpaceDE w:val="0"/>
        <w:autoSpaceDN w:val="0"/>
        <w:bidi w:val="0"/>
        <w:adjustRightInd w:val="0"/>
        <w:snapToGrid w:val="0"/>
        <w:spacing w:before="156" w:beforeLines="50"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委托期限：</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 xml:space="preserve"> 。</w:t>
      </w:r>
    </w:p>
    <w:p w14:paraId="4DA16349">
      <w:pPr>
        <w:keepNext w:val="0"/>
        <w:keepLines w:val="0"/>
        <w:pageBreakBefore w:val="0"/>
        <w:widowControl w:val="0"/>
        <w:kinsoku/>
        <w:wordWrap/>
        <w:overflowPunct/>
        <w:topLinePunct w:val="0"/>
        <w:bidi w:val="0"/>
        <w:spacing w:line="360" w:lineRule="auto"/>
        <w:ind w:firstLine="435"/>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代理人无转委托权。</w:t>
      </w:r>
    </w:p>
    <w:p w14:paraId="61B5C96D">
      <w:pPr>
        <w:keepNext w:val="0"/>
        <w:keepLines w:val="0"/>
        <w:pageBreakBefore w:val="0"/>
        <w:widowControl w:val="0"/>
        <w:kinsoku/>
        <w:wordWrap/>
        <w:overflowPunct/>
        <w:topLinePunct w:val="0"/>
        <w:bidi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本授权书于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日签字生效，特此声明。</w:t>
      </w:r>
    </w:p>
    <w:tbl>
      <w:tblPr>
        <w:tblStyle w:val="5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E03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trPr>
        <w:tc>
          <w:tcPr>
            <w:tcW w:w="3898" w:type="dxa"/>
            <w:tcBorders>
              <w:top w:val="double" w:color="auto" w:sz="4" w:space="0"/>
              <w:left w:val="double" w:color="auto" w:sz="4" w:space="0"/>
              <w:bottom w:val="single" w:color="auto" w:sz="4" w:space="0"/>
            </w:tcBorders>
            <w:noWrap w:val="0"/>
            <w:vAlign w:val="center"/>
          </w:tcPr>
          <w:p w14:paraId="5ADC0F2C">
            <w:pPr>
              <w:keepNext w:val="0"/>
              <w:keepLines w:val="0"/>
              <w:pageBreakBefore w:val="0"/>
              <w:widowControl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身份证正面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2"/>
                <w:kern w:val="0"/>
                <w:sz w:val="21"/>
                <w:szCs w:val="21"/>
                <w:highlight w:val="none"/>
              </w:rPr>
              <w:t>复</w:t>
            </w:r>
            <w:r>
              <w:rPr>
                <w:rFonts w:hint="eastAsia" w:ascii="宋体" w:hAnsi="宋体" w:eastAsia="宋体" w:cs="宋体"/>
                <w:color w:val="auto"/>
                <w:kern w:val="0"/>
                <w:sz w:val="21"/>
                <w:szCs w:val="21"/>
                <w:highlight w:val="none"/>
              </w:rPr>
              <w:t>印</w:t>
            </w:r>
            <w:r>
              <w:rPr>
                <w:rFonts w:hint="eastAsia" w:ascii="宋体" w:hAnsi="宋体" w:eastAsia="宋体" w:cs="宋体"/>
                <w:color w:val="auto"/>
                <w:spacing w:val="-2"/>
                <w:kern w:val="0"/>
                <w:sz w:val="21"/>
                <w:szCs w:val="21"/>
                <w:highlight w:val="none"/>
              </w:rPr>
              <w:t>件</w:t>
            </w:r>
            <w:r>
              <w:rPr>
                <w:rFonts w:hint="eastAsia" w:ascii="宋体" w:hAnsi="宋体" w:eastAsia="宋体" w:cs="宋体"/>
                <w:color w:val="auto"/>
                <w:sz w:val="21"/>
                <w:szCs w:val="21"/>
                <w:highlight w:val="none"/>
                <w:lang w:val="en-US" w:eastAsia="zh-CN"/>
              </w:rPr>
              <w:t>或扫描件</w:t>
            </w:r>
            <w:r>
              <w:rPr>
                <w:rFonts w:hint="eastAsia" w:ascii="宋体" w:hAnsi="宋体" w:eastAsia="宋体" w:cs="宋体"/>
                <w:color w:val="auto"/>
                <w:sz w:val="21"/>
                <w:szCs w:val="21"/>
                <w:highlight w:val="none"/>
                <w:lang w:eastAsia="zh-CN"/>
              </w:rPr>
              <w:t>）</w:t>
            </w:r>
          </w:p>
        </w:tc>
        <w:tc>
          <w:tcPr>
            <w:tcW w:w="3899" w:type="dxa"/>
            <w:tcBorders>
              <w:top w:val="double" w:color="auto" w:sz="4" w:space="0"/>
              <w:bottom w:val="single" w:color="auto" w:sz="4" w:space="0"/>
              <w:right w:val="double" w:color="auto" w:sz="4" w:space="0"/>
            </w:tcBorders>
            <w:noWrap w:val="0"/>
            <w:vAlign w:val="center"/>
          </w:tcPr>
          <w:p w14:paraId="2F6A7E50">
            <w:pPr>
              <w:keepNext w:val="0"/>
              <w:keepLines w:val="0"/>
              <w:pageBreakBefore w:val="0"/>
              <w:widowControl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身份证正面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2"/>
                <w:kern w:val="0"/>
                <w:sz w:val="21"/>
                <w:szCs w:val="21"/>
                <w:highlight w:val="none"/>
              </w:rPr>
              <w:t>复</w:t>
            </w:r>
            <w:r>
              <w:rPr>
                <w:rFonts w:hint="eastAsia" w:ascii="宋体" w:hAnsi="宋体" w:eastAsia="宋体" w:cs="宋体"/>
                <w:color w:val="auto"/>
                <w:kern w:val="0"/>
                <w:sz w:val="21"/>
                <w:szCs w:val="21"/>
                <w:highlight w:val="none"/>
              </w:rPr>
              <w:t>印</w:t>
            </w:r>
            <w:r>
              <w:rPr>
                <w:rFonts w:hint="eastAsia" w:ascii="宋体" w:hAnsi="宋体" w:eastAsia="宋体" w:cs="宋体"/>
                <w:color w:val="auto"/>
                <w:spacing w:val="-2"/>
                <w:kern w:val="0"/>
                <w:sz w:val="21"/>
                <w:szCs w:val="21"/>
                <w:highlight w:val="none"/>
              </w:rPr>
              <w:t>件</w:t>
            </w:r>
            <w:r>
              <w:rPr>
                <w:rFonts w:hint="eastAsia" w:ascii="宋体" w:hAnsi="宋体" w:eastAsia="宋体" w:cs="宋体"/>
                <w:color w:val="auto"/>
                <w:sz w:val="21"/>
                <w:szCs w:val="21"/>
                <w:highlight w:val="none"/>
                <w:lang w:val="en-US" w:eastAsia="zh-CN"/>
              </w:rPr>
              <w:t>或扫描件</w:t>
            </w:r>
            <w:r>
              <w:rPr>
                <w:rFonts w:hint="eastAsia" w:ascii="宋体" w:hAnsi="宋体" w:eastAsia="宋体" w:cs="宋体"/>
                <w:color w:val="auto"/>
                <w:sz w:val="21"/>
                <w:szCs w:val="21"/>
                <w:highlight w:val="none"/>
                <w:lang w:eastAsia="zh-CN"/>
              </w:rPr>
              <w:t>）</w:t>
            </w:r>
          </w:p>
        </w:tc>
      </w:tr>
      <w:tr w14:paraId="38AF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trPr>
        <w:tc>
          <w:tcPr>
            <w:tcW w:w="3898" w:type="dxa"/>
            <w:tcBorders>
              <w:top w:val="single" w:color="auto" w:sz="4" w:space="0"/>
              <w:left w:val="double" w:color="auto" w:sz="4" w:space="0"/>
              <w:bottom w:val="double" w:color="auto" w:sz="4" w:space="0"/>
            </w:tcBorders>
            <w:noWrap w:val="0"/>
            <w:vAlign w:val="center"/>
          </w:tcPr>
          <w:p w14:paraId="261F3973">
            <w:pPr>
              <w:keepNext w:val="0"/>
              <w:keepLines w:val="0"/>
              <w:pageBreakBefore w:val="0"/>
              <w:widowControl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身份证反面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2"/>
                <w:kern w:val="0"/>
                <w:sz w:val="21"/>
                <w:szCs w:val="21"/>
                <w:highlight w:val="none"/>
              </w:rPr>
              <w:t>复</w:t>
            </w:r>
            <w:r>
              <w:rPr>
                <w:rFonts w:hint="eastAsia" w:ascii="宋体" w:hAnsi="宋体" w:eastAsia="宋体" w:cs="宋体"/>
                <w:color w:val="auto"/>
                <w:kern w:val="0"/>
                <w:sz w:val="21"/>
                <w:szCs w:val="21"/>
                <w:highlight w:val="none"/>
              </w:rPr>
              <w:t>印</w:t>
            </w:r>
            <w:r>
              <w:rPr>
                <w:rFonts w:hint="eastAsia" w:ascii="宋体" w:hAnsi="宋体" w:eastAsia="宋体" w:cs="宋体"/>
                <w:color w:val="auto"/>
                <w:spacing w:val="-2"/>
                <w:kern w:val="0"/>
                <w:sz w:val="21"/>
                <w:szCs w:val="21"/>
                <w:highlight w:val="none"/>
              </w:rPr>
              <w:t>件</w:t>
            </w:r>
            <w:r>
              <w:rPr>
                <w:rFonts w:hint="eastAsia" w:ascii="宋体" w:hAnsi="宋体" w:eastAsia="宋体" w:cs="宋体"/>
                <w:color w:val="auto"/>
                <w:sz w:val="21"/>
                <w:szCs w:val="21"/>
                <w:highlight w:val="none"/>
                <w:lang w:val="en-US" w:eastAsia="zh-CN"/>
              </w:rPr>
              <w:t>或扫描件</w:t>
            </w:r>
            <w:r>
              <w:rPr>
                <w:rFonts w:hint="eastAsia" w:ascii="宋体" w:hAnsi="宋体" w:eastAsia="宋体" w:cs="宋体"/>
                <w:color w:val="auto"/>
                <w:sz w:val="21"/>
                <w:szCs w:val="21"/>
                <w:highlight w:val="none"/>
                <w:lang w:eastAsia="zh-CN"/>
              </w:rPr>
              <w:t>）</w:t>
            </w:r>
          </w:p>
        </w:tc>
        <w:tc>
          <w:tcPr>
            <w:tcW w:w="3899" w:type="dxa"/>
            <w:tcBorders>
              <w:top w:val="single" w:color="auto" w:sz="4" w:space="0"/>
              <w:bottom w:val="double" w:color="auto" w:sz="4" w:space="0"/>
              <w:right w:val="double" w:color="auto" w:sz="4" w:space="0"/>
            </w:tcBorders>
            <w:noWrap w:val="0"/>
            <w:vAlign w:val="center"/>
          </w:tcPr>
          <w:p w14:paraId="612609CB">
            <w:pPr>
              <w:keepNext w:val="0"/>
              <w:keepLines w:val="0"/>
              <w:pageBreakBefore w:val="0"/>
              <w:widowControl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身份证反面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2"/>
                <w:kern w:val="0"/>
                <w:sz w:val="21"/>
                <w:szCs w:val="21"/>
                <w:highlight w:val="none"/>
              </w:rPr>
              <w:t>复</w:t>
            </w:r>
            <w:r>
              <w:rPr>
                <w:rFonts w:hint="eastAsia" w:ascii="宋体" w:hAnsi="宋体" w:eastAsia="宋体" w:cs="宋体"/>
                <w:color w:val="auto"/>
                <w:kern w:val="0"/>
                <w:sz w:val="21"/>
                <w:szCs w:val="21"/>
                <w:highlight w:val="none"/>
              </w:rPr>
              <w:t>印</w:t>
            </w:r>
            <w:r>
              <w:rPr>
                <w:rFonts w:hint="eastAsia" w:ascii="宋体" w:hAnsi="宋体" w:eastAsia="宋体" w:cs="宋体"/>
                <w:color w:val="auto"/>
                <w:spacing w:val="-2"/>
                <w:kern w:val="0"/>
                <w:sz w:val="21"/>
                <w:szCs w:val="21"/>
                <w:highlight w:val="none"/>
              </w:rPr>
              <w:t>件</w:t>
            </w:r>
            <w:r>
              <w:rPr>
                <w:rFonts w:hint="eastAsia" w:ascii="宋体" w:hAnsi="宋体" w:eastAsia="宋体" w:cs="宋体"/>
                <w:color w:val="auto"/>
                <w:sz w:val="21"/>
                <w:szCs w:val="21"/>
                <w:highlight w:val="none"/>
                <w:lang w:val="en-US" w:eastAsia="zh-CN"/>
              </w:rPr>
              <w:t>或扫描件</w:t>
            </w:r>
            <w:r>
              <w:rPr>
                <w:rFonts w:hint="eastAsia" w:ascii="宋体" w:hAnsi="宋体" w:eastAsia="宋体" w:cs="宋体"/>
                <w:color w:val="auto"/>
                <w:sz w:val="21"/>
                <w:szCs w:val="21"/>
                <w:highlight w:val="none"/>
                <w:lang w:eastAsia="zh-CN"/>
              </w:rPr>
              <w:t>）</w:t>
            </w:r>
          </w:p>
        </w:tc>
      </w:tr>
    </w:tbl>
    <w:p w14:paraId="10BD6C7F">
      <w:pPr>
        <w:keepNext w:val="0"/>
        <w:keepLines w:val="0"/>
        <w:pageBreakBefore w:val="0"/>
        <w:widowControl w:val="0"/>
        <w:kinsoku/>
        <w:wordWrap/>
        <w:overflowPunct/>
        <w:topLinePunct w:val="0"/>
        <w:bidi w:val="0"/>
        <w:adjustRightInd w:val="0"/>
        <w:snapToGrid w:val="0"/>
        <w:spacing w:before="156" w:beforeLines="50" w:line="360" w:lineRule="auto"/>
        <w:textAlignment w:val="auto"/>
        <w:rPr>
          <w:rFonts w:hint="eastAsia" w:ascii="宋体" w:hAnsi="宋体" w:eastAsia="宋体" w:cs="宋体"/>
          <w:b/>
          <w:bCs/>
          <w:color w:val="auto"/>
          <w:sz w:val="21"/>
          <w:szCs w:val="21"/>
          <w:highlight w:val="none"/>
        </w:rPr>
      </w:pPr>
    </w:p>
    <w:p w14:paraId="44BA4172">
      <w:pPr>
        <w:keepNext w:val="0"/>
        <w:keepLines w:val="0"/>
        <w:pageBreakBefore w:val="0"/>
        <w:widowControl w:val="0"/>
        <w:kinsoku/>
        <w:wordWrap/>
        <w:overflowPunct/>
        <w:topLinePunct w:val="0"/>
        <w:bidi w:val="0"/>
        <w:adjustRightInd w:val="0"/>
        <w:snapToGrid w:val="0"/>
        <w:spacing w:before="160" w:beforeLines="50" w:line="360" w:lineRule="auto"/>
        <w:ind w:firstLine="420" w:firstLineChars="20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color w:val="auto"/>
          <w:sz w:val="21"/>
          <w:szCs w:val="21"/>
          <w:highlight w:val="none"/>
        </w:rPr>
        <w:t>附：委托代理人身份证复印件及法定代表人身份证明(附件1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原件)</w:t>
      </w:r>
    </w:p>
    <w:p w14:paraId="4B5DE3A5">
      <w:pPr>
        <w:keepNext w:val="0"/>
        <w:keepLines w:val="0"/>
        <w:pageBreakBefore w:val="0"/>
        <w:widowControl w:val="0"/>
        <w:kinsoku/>
        <w:wordWrap/>
        <w:overflowPunct/>
        <w:topLinePunct w:val="0"/>
        <w:bidi w:val="0"/>
        <w:adjustRightInd w:val="0"/>
        <w:snapToGrid w:val="0"/>
        <w:spacing w:line="360" w:lineRule="auto"/>
        <w:ind w:right="420"/>
        <w:jc w:val="left"/>
        <w:textAlignment w:val="auto"/>
        <w:rPr>
          <w:rFonts w:hint="eastAsia" w:ascii="宋体" w:hAnsi="宋体" w:eastAsia="宋体" w:cs="宋体"/>
          <w:color w:val="auto"/>
          <w:sz w:val="21"/>
          <w:szCs w:val="21"/>
          <w:highlight w:val="none"/>
        </w:rPr>
      </w:pPr>
    </w:p>
    <w:p w14:paraId="02260D0B">
      <w:pPr>
        <w:keepNext w:val="0"/>
        <w:keepLines w:val="0"/>
        <w:pageBreakBefore w:val="0"/>
        <w:widowControl w:val="0"/>
        <w:kinsoku/>
        <w:wordWrap/>
        <w:overflowPunct/>
        <w:topLinePunct w:val="0"/>
        <w:bidi w:val="0"/>
        <w:adjustRightInd w:val="0"/>
        <w:snapToGrid w:val="0"/>
        <w:spacing w:line="360" w:lineRule="auto"/>
        <w:ind w:right="420" w:firstLine="5355" w:firstLineChars="2550"/>
        <w:jc w:val="left"/>
        <w:textAlignment w:val="auto"/>
        <w:rPr>
          <w:rFonts w:hint="eastAsia" w:ascii="宋体" w:hAnsi="宋体" w:eastAsia="宋体" w:cs="宋体"/>
          <w:color w:val="auto"/>
          <w:sz w:val="21"/>
          <w:szCs w:val="21"/>
          <w:highlight w:val="none"/>
        </w:rPr>
      </w:pPr>
    </w:p>
    <w:p w14:paraId="617E6A4C">
      <w:pPr>
        <w:keepNext w:val="0"/>
        <w:keepLines w:val="0"/>
        <w:pageBreakBefore w:val="0"/>
        <w:widowControl w:val="0"/>
        <w:kinsoku/>
        <w:wordWrap/>
        <w:overflowPunct/>
        <w:topLinePunct w:val="0"/>
        <w:bidi w:val="0"/>
        <w:adjustRightInd w:val="0"/>
        <w:snapToGrid w:val="0"/>
        <w:spacing w:line="360" w:lineRule="auto"/>
        <w:ind w:right="420"/>
        <w:jc w:val="left"/>
        <w:textAlignment w:val="auto"/>
        <w:rPr>
          <w:rFonts w:hint="eastAsia" w:ascii="宋体" w:hAnsi="宋体" w:eastAsia="宋体" w:cs="宋体"/>
          <w:color w:val="auto"/>
          <w:sz w:val="21"/>
          <w:szCs w:val="21"/>
          <w:highlight w:val="none"/>
        </w:rPr>
      </w:pPr>
    </w:p>
    <w:p w14:paraId="03DA4EFC">
      <w:pPr>
        <w:keepNext w:val="0"/>
        <w:keepLines w:val="0"/>
        <w:pageBreakBefore w:val="0"/>
        <w:widowControl w:val="0"/>
        <w:kinsoku/>
        <w:wordWrap/>
        <w:overflowPunct/>
        <w:topLinePunct w:val="0"/>
        <w:bidi w:val="0"/>
        <w:adjustRightInd w:val="0"/>
        <w:snapToGrid w:val="0"/>
        <w:spacing w:line="360" w:lineRule="auto"/>
        <w:ind w:right="420" w:firstLine="3780" w:firstLineChars="18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供应商名称（盖单位章）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7A3CBE5F">
      <w:pPr>
        <w:adjustRightInd w:val="0"/>
        <w:snapToGrid w:val="0"/>
        <w:spacing w:line="360" w:lineRule="auto"/>
        <w:ind w:right="420" w:firstLine="3780" w:firstLineChars="18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法定代表人（签字）：</w:t>
      </w:r>
      <w:r>
        <w:rPr>
          <w:rFonts w:hint="eastAsia" w:ascii="宋体" w:hAnsi="宋体" w:eastAsia="宋体" w:cs="宋体"/>
          <w:color w:val="auto"/>
          <w:szCs w:val="21"/>
          <w:highlight w:val="none"/>
          <w:u w:val="single"/>
        </w:rPr>
        <w:t xml:space="preserve">                  </w:t>
      </w:r>
    </w:p>
    <w:p w14:paraId="0E9B5E3C">
      <w:pPr>
        <w:keepNext w:val="0"/>
        <w:keepLines w:val="0"/>
        <w:pageBreakBefore w:val="0"/>
        <w:widowControl w:val="0"/>
        <w:kinsoku/>
        <w:wordWrap/>
        <w:overflowPunct/>
        <w:topLinePunct w:val="0"/>
        <w:bidi w:val="0"/>
        <w:adjustRightInd w:val="0"/>
        <w:snapToGrid w:val="0"/>
        <w:spacing w:line="360" w:lineRule="auto"/>
        <w:ind w:firstLine="3780" w:firstLineChars="18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委托代理人（签字）：</w:t>
      </w:r>
      <w:r>
        <w:rPr>
          <w:rFonts w:hint="eastAsia" w:ascii="宋体" w:hAnsi="宋体" w:eastAsia="宋体" w:cs="宋体"/>
          <w:color w:val="auto"/>
          <w:szCs w:val="21"/>
          <w:highlight w:val="none"/>
          <w:u w:val="single"/>
        </w:rPr>
        <w:t xml:space="preserve">                  </w:t>
      </w:r>
    </w:p>
    <w:p w14:paraId="2A5DCA0E">
      <w:pPr>
        <w:keepNext w:val="0"/>
        <w:keepLines w:val="0"/>
        <w:pageBreakBefore w:val="0"/>
        <w:widowControl w:val="0"/>
        <w:kinsoku/>
        <w:wordWrap/>
        <w:overflowPunct/>
        <w:topLinePunct w:val="0"/>
        <w:bidi w:val="0"/>
        <w:adjustRightInd w:val="0"/>
        <w:snapToGrid w:val="0"/>
        <w:spacing w:line="360" w:lineRule="auto"/>
        <w:ind w:firstLine="3780" w:firstLineChars="1800"/>
        <w:textAlignment w:val="auto"/>
        <w:rPr>
          <w:rFonts w:hint="eastAsia" w:ascii="宋体" w:hAnsi="宋体" w:eastAsia="宋体" w:cs="宋体"/>
          <w:b/>
          <w:bCs/>
          <w:color w:val="auto"/>
          <w:spacing w:val="0"/>
          <w:w w:val="100"/>
          <w:position w:val="0"/>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00405136">
      <w:pPr>
        <w:keepNext w:val="0"/>
        <w:keepLines w:val="0"/>
        <w:pageBreakBefore w:val="0"/>
        <w:widowControl w:val="0"/>
        <w:kinsoku/>
        <w:wordWrap/>
        <w:overflowPunct/>
        <w:topLinePunct w:val="0"/>
        <w:bidi w:val="0"/>
        <w:adjustRightInd w:val="0"/>
        <w:snapToGrid w:val="0"/>
        <w:spacing w:line="360" w:lineRule="auto"/>
        <w:ind w:right="420" w:firstLine="5376" w:firstLineChars="2550"/>
        <w:jc w:val="both"/>
        <w:textAlignment w:val="auto"/>
        <w:rPr>
          <w:rFonts w:hint="eastAsia" w:ascii="宋体" w:hAnsi="宋体" w:eastAsia="宋体" w:cs="宋体"/>
          <w:b/>
          <w:bCs/>
          <w:color w:val="auto"/>
          <w:sz w:val="21"/>
          <w:szCs w:val="21"/>
          <w:highlight w:val="none"/>
        </w:rPr>
      </w:pPr>
    </w:p>
    <w:p w14:paraId="59ABB4F0">
      <w:pPr>
        <w:keepNext w:val="0"/>
        <w:keepLines w:val="0"/>
        <w:pageBreakBefore w:val="0"/>
        <w:widowControl w:val="0"/>
        <w:kinsoku/>
        <w:wordWrap/>
        <w:overflowPunct/>
        <w:topLinePunct w:val="0"/>
        <w:bidi w:val="0"/>
        <w:adjustRightInd w:val="0"/>
        <w:snapToGrid w:val="0"/>
        <w:spacing w:line="360" w:lineRule="auto"/>
        <w:ind w:right="420"/>
        <w:jc w:val="both"/>
        <w:textAlignment w:val="auto"/>
        <w:rPr>
          <w:rFonts w:hint="eastAsia" w:ascii="宋体" w:hAnsi="宋体" w:eastAsia="宋体" w:cs="宋体"/>
          <w:b/>
          <w:bCs/>
          <w:color w:val="auto"/>
          <w:sz w:val="21"/>
          <w:szCs w:val="21"/>
          <w:highlight w:val="none"/>
          <w:lang w:val="en-US" w:eastAsia="zh-CN"/>
        </w:rPr>
        <w:sectPr>
          <w:pgSz w:w="11906" w:h="16838"/>
          <w:pgMar w:top="1418" w:right="1134" w:bottom="1134" w:left="1418" w:header="851" w:footer="85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b/>
          <w:bCs/>
          <w:color w:val="auto"/>
          <w:sz w:val="21"/>
          <w:szCs w:val="21"/>
          <w:highlight w:val="none"/>
        </w:rPr>
        <w:t>注：开标时需另准备一份用于身份验</w:t>
      </w:r>
      <w:r>
        <w:rPr>
          <w:rFonts w:hint="eastAsia" w:ascii="宋体" w:hAnsi="宋体" w:eastAsia="宋体" w:cs="宋体"/>
          <w:b/>
          <w:bCs/>
          <w:color w:val="auto"/>
          <w:sz w:val="21"/>
          <w:szCs w:val="21"/>
          <w:highlight w:val="none"/>
          <w:lang w:val="en-US" w:eastAsia="zh-CN"/>
        </w:rPr>
        <w:t>证。</w:t>
      </w:r>
    </w:p>
    <w:p w14:paraId="6ED81252">
      <w:pPr>
        <w:spacing w:line="360" w:lineRule="exact"/>
        <w:rPr>
          <w:rFonts w:hint="eastAsia" w:ascii="宋体" w:hAnsi="宋体" w:eastAsia="宋体" w:cs="宋体"/>
          <w:b/>
          <w:color w:val="auto"/>
          <w:sz w:val="24"/>
          <w:highlight w:val="none"/>
        </w:rPr>
      </w:pPr>
    </w:p>
    <w:p w14:paraId="4D22406B">
      <w:pPr>
        <w:pStyle w:val="3"/>
        <w:bidi w:val="0"/>
        <w:jc w:val="center"/>
        <w:rPr>
          <w:rFonts w:hint="eastAsia" w:ascii="宋体" w:hAnsi="宋体" w:eastAsia="宋体" w:cs="宋体"/>
          <w:color w:val="auto"/>
          <w:highlight w:val="none"/>
        </w:rPr>
      </w:pPr>
      <w:bookmarkStart w:id="69" w:name="_Toc11254"/>
      <w:r>
        <w:rPr>
          <w:rFonts w:hint="eastAsia" w:ascii="宋体" w:hAnsi="宋体" w:eastAsia="宋体" w:cs="宋体"/>
          <w:color w:val="auto"/>
          <w:highlight w:val="none"/>
        </w:rPr>
        <w:t>二、磋商保证金缴纳证明材料</w:t>
      </w:r>
      <w:bookmarkEnd w:id="69"/>
    </w:p>
    <w:p w14:paraId="4A4FF92A">
      <w:pPr>
        <w:pStyle w:val="28"/>
        <w:adjustRightInd w:val="0"/>
        <w:snapToGrid w:val="0"/>
        <w:spacing w:before="158" w:beforeLines="50"/>
        <w:rPr>
          <w:rFonts w:hint="eastAsia" w:ascii="宋体" w:hAnsi="宋体" w:eastAsia="宋体" w:cs="宋体"/>
          <w:color w:val="auto"/>
          <w:sz w:val="24"/>
          <w:szCs w:val="24"/>
          <w:highlight w:val="none"/>
        </w:rPr>
      </w:pPr>
    </w:p>
    <w:p w14:paraId="0B2FE765">
      <w:pPr>
        <w:spacing w:line="360" w:lineRule="auto"/>
        <w:jc w:val="center"/>
        <w:rPr>
          <w:rFonts w:hint="eastAsia" w:ascii="宋体" w:hAnsi="宋体" w:eastAsia="宋体" w:cs="宋体"/>
          <w:b w:val="0"/>
          <w:bCs/>
          <w:color w:val="auto"/>
          <w:sz w:val="32"/>
          <w:szCs w:val="32"/>
          <w:highlight w:val="none"/>
          <w:lang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本项目无需缴纳</w:t>
      </w:r>
      <w:r>
        <w:rPr>
          <w:rFonts w:hint="eastAsia" w:ascii="宋体" w:hAnsi="宋体" w:eastAsia="宋体" w:cs="宋体"/>
          <w:b w:val="0"/>
          <w:bCs/>
          <w:color w:val="auto"/>
          <w:sz w:val="24"/>
          <w:szCs w:val="24"/>
          <w:highlight w:val="none"/>
          <w:lang w:eastAsia="zh-CN"/>
        </w:rPr>
        <w:t>）</w:t>
      </w:r>
    </w:p>
    <w:p w14:paraId="0178A2F0">
      <w:pPr>
        <w:adjustRightInd w:val="0"/>
        <w:snapToGrid w:val="0"/>
        <w:spacing w:line="420" w:lineRule="exact"/>
        <w:jc w:val="center"/>
        <w:rPr>
          <w:rFonts w:hint="eastAsia" w:ascii="宋体" w:hAnsi="宋体" w:eastAsia="宋体" w:cs="宋体"/>
          <w:color w:val="auto"/>
          <w:sz w:val="24"/>
          <w:highlight w:val="none"/>
        </w:rPr>
      </w:pPr>
    </w:p>
    <w:p w14:paraId="2ABF8670">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782069FB">
      <w:pPr>
        <w:pStyle w:val="66"/>
        <w:rPr>
          <w:rFonts w:hint="eastAsia" w:ascii="宋体" w:hAnsi="宋体" w:eastAsia="宋体" w:cs="宋体"/>
          <w:color w:val="auto"/>
          <w:highlight w:val="none"/>
        </w:rPr>
      </w:pPr>
    </w:p>
    <w:p w14:paraId="2198D4DB">
      <w:pPr>
        <w:pStyle w:val="3"/>
        <w:numPr>
          <w:ilvl w:val="0"/>
          <w:numId w:val="0"/>
        </w:numPr>
        <w:bidi w:val="0"/>
        <w:ind w:left="420" w:leftChars="0"/>
        <w:jc w:val="center"/>
        <w:rPr>
          <w:rFonts w:hint="eastAsia" w:ascii="宋体" w:hAnsi="宋体" w:eastAsia="宋体" w:cs="宋体"/>
          <w:color w:val="auto"/>
          <w:sz w:val="30"/>
          <w:szCs w:val="30"/>
          <w:highlight w:val="none"/>
          <w:lang w:val="en-US" w:eastAsia="zh-CN"/>
        </w:rPr>
      </w:pPr>
      <w:bookmarkStart w:id="70" w:name="_Toc28092"/>
      <w:r>
        <w:rPr>
          <w:rFonts w:hint="eastAsia" w:ascii="宋体" w:hAnsi="宋体" w:eastAsia="宋体" w:cs="宋体"/>
          <w:color w:val="auto"/>
          <w:sz w:val="30"/>
          <w:szCs w:val="30"/>
          <w:highlight w:val="none"/>
          <w:lang w:val="en-US" w:eastAsia="zh-CN"/>
        </w:rPr>
        <w:t>三、供应商的资格证明资料</w:t>
      </w:r>
      <w:bookmarkEnd w:id="70"/>
    </w:p>
    <w:p w14:paraId="102D819D">
      <w:pPr>
        <w:spacing w:line="480" w:lineRule="exact"/>
        <w:jc w:val="center"/>
        <w:rPr>
          <w:rFonts w:hint="eastAsia" w:ascii="宋体" w:hAnsi="宋体" w:eastAsia="宋体" w:cs="宋体"/>
          <w:b/>
          <w:color w:val="auto"/>
          <w:sz w:val="30"/>
          <w:szCs w:val="30"/>
          <w:highlight w:val="none"/>
        </w:rPr>
      </w:pPr>
    </w:p>
    <w:p w14:paraId="6431FA97">
      <w:pPr>
        <w:pStyle w:val="4"/>
        <w:bidi w:val="0"/>
        <w:jc w:val="center"/>
        <w:rPr>
          <w:rFonts w:hint="eastAsia"/>
          <w:color w:val="auto"/>
          <w:sz w:val="30"/>
          <w:szCs w:val="30"/>
          <w:highlight w:val="none"/>
        </w:rPr>
      </w:pPr>
      <w:r>
        <w:rPr>
          <w:rFonts w:hint="eastAsia"/>
          <w:color w:val="auto"/>
          <w:sz w:val="30"/>
          <w:szCs w:val="30"/>
          <w:highlight w:val="none"/>
        </w:rPr>
        <w:t>附件3-</w:t>
      </w:r>
      <w:bookmarkStart w:id="71" w:name="_Toc29574"/>
      <w:r>
        <w:rPr>
          <w:rFonts w:hint="eastAsia"/>
          <w:color w:val="auto"/>
          <w:sz w:val="30"/>
          <w:szCs w:val="30"/>
          <w:highlight w:val="none"/>
          <w:lang w:val="en-US" w:eastAsia="zh-CN"/>
        </w:rPr>
        <w:t>1</w:t>
      </w:r>
      <w:r>
        <w:rPr>
          <w:rFonts w:hint="eastAsia"/>
          <w:color w:val="auto"/>
          <w:sz w:val="30"/>
          <w:szCs w:val="30"/>
          <w:highlight w:val="none"/>
        </w:rPr>
        <w:t>供应商基本情况表</w:t>
      </w:r>
      <w:bookmarkEnd w:id="71"/>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2"/>
        <w:gridCol w:w="526"/>
        <w:gridCol w:w="614"/>
        <w:gridCol w:w="855"/>
        <w:gridCol w:w="830"/>
        <w:gridCol w:w="575"/>
        <w:gridCol w:w="288"/>
        <w:gridCol w:w="1057"/>
        <w:gridCol w:w="1515"/>
        <w:gridCol w:w="1756"/>
      </w:tblGrid>
      <w:tr w14:paraId="432A9B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42" w:type="dxa"/>
            <w:gridSpan w:val="3"/>
            <w:tcBorders>
              <w:top w:val="double" w:color="auto" w:sz="4" w:space="0"/>
              <w:left w:val="double" w:color="auto" w:sz="4" w:space="0"/>
              <w:bottom w:val="single" w:color="auto" w:sz="6" w:space="0"/>
              <w:right w:val="single" w:color="auto" w:sz="6" w:space="0"/>
            </w:tcBorders>
            <w:noWrap w:val="0"/>
            <w:vAlign w:val="center"/>
          </w:tcPr>
          <w:p w14:paraId="3B8BC11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p>
        </w:tc>
        <w:tc>
          <w:tcPr>
            <w:tcW w:w="3605" w:type="dxa"/>
            <w:gridSpan w:val="5"/>
            <w:tcBorders>
              <w:top w:val="double" w:color="auto" w:sz="4" w:space="0"/>
              <w:left w:val="single" w:color="auto" w:sz="6" w:space="0"/>
              <w:bottom w:val="single" w:color="auto" w:sz="6" w:space="0"/>
              <w:right w:val="single" w:color="auto" w:sz="6" w:space="0"/>
            </w:tcBorders>
            <w:noWrap w:val="0"/>
            <w:vAlign w:val="center"/>
          </w:tcPr>
          <w:p w14:paraId="1D66215F">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515" w:type="dxa"/>
            <w:tcBorders>
              <w:top w:val="double" w:color="auto" w:sz="4" w:space="0"/>
              <w:left w:val="single" w:color="auto" w:sz="6" w:space="0"/>
              <w:bottom w:val="single" w:color="auto" w:sz="6" w:space="0"/>
              <w:right w:val="single" w:color="auto" w:sz="6" w:space="0"/>
            </w:tcBorders>
            <w:noWrap w:val="0"/>
            <w:vAlign w:val="center"/>
          </w:tcPr>
          <w:p w14:paraId="2AF5C89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756" w:type="dxa"/>
            <w:tcBorders>
              <w:top w:val="double" w:color="auto" w:sz="4" w:space="0"/>
              <w:left w:val="single" w:color="auto" w:sz="6" w:space="0"/>
              <w:bottom w:val="single" w:color="auto" w:sz="6" w:space="0"/>
              <w:right w:val="double" w:color="auto" w:sz="4" w:space="0"/>
            </w:tcBorders>
            <w:noWrap w:val="0"/>
            <w:vAlign w:val="center"/>
          </w:tcPr>
          <w:p w14:paraId="0DCE91EF">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r>
      <w:tr w14:paraId="28F28F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42" w:type="dxa"/>
            <w:gridSpan w:val="3"/>
            <w:tcBorders>
              <w:top w:val="single" w:color="auto" w:sz="6" w:space="0"/>
              <w:left w:val="double" w:color="auto" w:sz="4" w:space="0"/>
              <w:bottom w:val="single" w:color="auto" w:sz="6" w:space="0"/>
              <w:right w:val="single" w:color="auto" w:sz="6" w:space="0"/>
            </w:tcBorders>
            <w:noWrap w:val="0"/>
            <w:vAlign w:val="center"/>
          </w:tcPr>
          <w:p w14:paraId="20505AC2">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组织机构代码</w:t>
            </w:r>
          </w:p>
        </w:tc>
        <w:tc>
          <w:tcPr>
            <w:tcW w:w="3605" w:type="dxa"/>
            <w:gridSpan w:val="5"/>
            <w:tcBorders>
              <w:top w:val="single" w:color="auto" w:sz="6" w:space="0"/>
              <w:left w:val="single" w:color="auto" w:sz="6" w:space="0"/>
              <w:bottom w:val="single" w:color="auto" w:sz="6" w:space="0"/>
              <w:right w:val="single" w:color="auto" w:sz="6" w:space="0"/>
            </w:tcBorders>
            <w:noWrap w:val="0"/>
            <w:vAlign w:val="center"/>
          </w:tcPr>
          <w:p w14:paraId="0D036C38">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515" w:type="dxa"/>
            <w:tcBorders>
              <w:top w:val="single" w:color="auto" w:sz="6" w:space="0"/>
              <w:left w:val="single" w:color="auto" w:sz="6" w:space="0"/>
              <w:bottom w:val="single" w:color="auto" w:sz="6" w:space="0"/>
              <w:right w:val="single" w:color="auto" w:sz="6" w:space="0"/>
            </w:tcBorders>
            <w:noWrap w:val="0"/>
            <w:vAlign w:val="center"/>
          </w:tcPr>
          <w:p w14:paraId="7575C71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756" w:type="dxa"/>
            <w:tcBorders>
              <w:top w:val="single" w:color="auto" w:sz="6" w:space="0"/>
              <w:left w:val="single" w:color="auto" w:sz="6" w:space="0"/>
              <w:bottom w:val="single" w:color="auto" w:sz="6" w:space="0"/>
              <w:right w:val="double" w:color="auto" w:sz="4" w:space="0"/>
            </w:tcBorders>
            <w:noWrap w:val="0"/>
            <w:vAlign w:val="center"/>
          </w:tcPr>
          <w:p w14:paraId="51EB214E">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r>
      <w:tr w14:paraId="54074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42" w:type="dxa"/>
            <w:gridSpan w:val="3"/>
            <w:tcBorders>
              <w:top w:val="single" w:color="auto" w:sz="6" w:space="0"/>
              <w:left w:val="double" w:color="auto" w:sz="4" w:space="0"/>
              <w:bottom w:val="single" w:color="auto" w:sz="6" w:space="0"/>
              <w:right w:val="single" w:color="auto" w:sz="6" w:space="0"/>
            </w:tcBorders>
            <w:noWrap w:val="0"/>
            <w:vAlign w:val="center"/>
          </w:tcPr>
          <w:p w14:paraId="54957B22">
            <w:pPr>
              <w:pageBreakBefore w:val="0"/>
              <w:kinsoku/>
              <w:wordWrap/>
              <w:overflowPunct/>
              <w:topLinePunct/>
              <w:bidi w:val="0"/>
              <w:spacing w:beforeAutospacing="0" w:afterAutospacing="0" w:line="56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lang w:val="en-US" w:eastAsia="zh-CN"/>
              </w:rPr>
              <w:t>及电话</w:t>
            </w:r>
          </w:p>
        </w:tc>
        <w:tc>
          <w:tcPr>
            <w:tcW w:w="3605" w:type="dxa"/>
            <w:gridSpan w:val="5"/>
            <w:tcBorders>
              <w:top w:val="single" w:color="auto" w:sz="6" w:space="0"/>
              <w:left w:val="single" w:color="auto" w:sz="6" w:space="0"/>
              <w:bottom w:val="single" w:color="auto" w:sz="6" w:space="0"/>
              <w:right w:val="single" w:color="auto" w:sz="6" w:space="0"/>
            </w:tcBorders>
            <w:noWrap w:val="0"/>
            <w:vAlign w:val="center"/>
          </w:tcPr>
          <w:p w14:paraId="57FCAC19">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515" w:type="dxa"/>
            <w:tcBorders>
              <w:top w:val="single" w:color="auto" w:sz="6" w:space="0"/>
              <w:left w:val="single" w:color="auto" w:sz="6" w:space="0"/>
              <w:bottom w:val="single" w:color="auto" w:sz="6" w:space="0"/>
              <w:right w:val="single" w:color="auto" w:sz="6" w:space="0"/>
            </w:tcBorders>
            <w:noWrap w:val="0"/>
            <w:vAlign w:val="center"/>
          </w:tcPr>
          <w:p w14:paraId="2FFAEE99">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756" w:type="dxa"/>
            <w:tcBorders>
              <w:top w:val="single" w:color="auto" w:sz="6" w:space="0"/>
              <w:left w:val="single" w:color="auto" w:sz="6" w:space="0"/>
              <w:bottom w:val="single" w:color="auto" w:sz="6" w:space="0"/>
              <w:right w:val="double" w:color="auto" w:sz="4" w:space="0"/>
            </w:tcBorders>
            <w:noWrap w:val="0"/>
            <w:vAlign w:val="center"/>
          </w:tcPr>
          <w:p w14:paraId="3271291B">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r>
      <w:tr w14:paraId="2DFAE4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42" w:type="dxa"/>
            <w:gridSpan w:val="3"/>
            <w:tcBorders>
              <w:top w:val="single" w:color="auto" w:sz="6" w:space="0"/>
              <w:left w:val="double" w:color="auto" w:sz="4" w:space="0"/>
              <w:bottom w:val="single" w:color="auto" w:sz="6" w:space="0"/>
              <w:right w:val="single" w:color="auto" w:sz="6" w:space="0"/>
            </w:tcBorders>
            <w:noWrap w:val="0"/>
            <w:vAlign w:val="center"/>
          </w:tcPr>
          <w:p w14:paraId="7E0DE2D4">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605" w:type="dxa"/>
            <w:gridSpan w:val="5"/>
            <w:tcBorders>
              <w:top w:val="single" w:color="auto" w:sz="6" w:space="0"/>
              <w:left w:val="single" w:color="auto" w:sz="6" w:space="0"/>
              <w:bottom w:val="single" w:color="auto" w:sz="6" w:space="0"/>
              <w:right w:val="single" w:color="auto" w:sz="6" w:space="0"/>
            </w:tcBorders>
            <w:noWrap w:val="0"/>
            <w:vAlign w:val="center"/>
          </w:tcPr>
          <w:p w14:paraId="61C152F9">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515" w:type="dxa"/>
            <w:tcBorders>
              <w:top w:val="single" w:color="auto" w:sz="6" w:space="0"/>
              <w:left w:val="single" w:color="auto" w:sz="6" w:space="0"/>
              <w:bottom w:val="single" w:color="auto" w:sz="6" w:space="0"/>
              <w:right w:val="single" w:color="auto" w:sz="6" w:space="0"/>
            </w:tcBorders>
            <w:noWrap w:val="0"/>
            <w:vAlign w:val="center"/>
          </w:tcPr>
          <w:p w14:paraId="7B2F3224">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756" w:type="dxa"/>
            <w:tcBorders>
              <w:top w:val="single" w:color="auto" w:sz="6" w:space="0"/>
              <w:left w:val="single" w:color="auto" w:sz="6" w:space="0"/>
              <w:bottom w:val="single" w:color="auto" w:sz="6" w:space="0"/>
              <w:right w:val="double" w:color="auto" w:sz="4" w:space="0"/>
            </w:tcBorders>
            <w:noWrap w:val="0"/>
            <w:vAlign w:val="center"/>
          </w:tcPr>
          <w:p w14:paraId="70E9BEAD">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r>
      <w:tr w14:paraId="4F1953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2" w:type="dxa"/>
            <w:vMerge w:val="restart"/>
            <w:tcBorders>
              <w:top w:val="single" w:color="auto" w:sz="6" w:space="0"/>
              <w:left w:val="double" w:color="auto" w:sz="4" w:space="0"/>
              <w:bottom w:val="single" w:color="auto" w:sz="6" w:space="0"/>
              <w:right w:val="single" w:color="auto" w:sz="6" w:space="0"/>
            </w:tcBorders>
            <w:noWrap w:val="0"/>
            <w:vAlign w:val="center"/>
          </w:tcPr>
          <w:p w14:paraId="2C6D4182">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1995" w:type="dxa"/>
            <w:gridSpan w:val="3"/>
            <w:tcBorders>
              <w:top w:val="single" w:color="auto" w:sz="6" w:space="0"/>
              <w:left w:val="single" w:color="auto" w:sz="6" w:space="0"/>
              <w:bottom w:val="single" w:color="auto" w:sz="6" w:space="0"/>
              <w:right w:val="single" w:color="auto" w:sz="6" w:space="0"/>
            </w:tcBorders>
            <w:noWrap w:val="0"/>
            <w:vAlign w:val="center"/>
          </w:tcPr>
          <w:p w14:paraId="3C86998E">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注册号码</w:t>
            </w:r>
          </w:p>
        </w:tc>
        <w:tc>
          <w:tcPr>
            <w:tcW w:w="1405" w:type="dxa"/>
            <w:gridSpan w:val="2"/>
            <w:tcBorders>
              <w:top w:val="single" w:color="auto" w:sz="6" w:space="0"/>
              <w:left w:val="single" w:color="auto" w:sz="6" w:space="0"/>
              <w:bottom w:val="single" w:color="auto" w:sz="6" w:space="0"/>
              <w:right w:val="single" w:color="auto" w:sz="6" w:space="0"/>
            </w:tcBorders>
            <w:noWrap w:val="0"/>
            <w:vAlign w:val="center"/>
          </w:tcPr>
          <w:p w14:paraId="72083731">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345" w:type="dxa"/>
            <w:gridSpan w:val="2"/>
            <w:tcBorders>
              <w:top w:val="single" w:color="auto" w:sz="6" w:space="0"/>
              <w:left w:val="single" w:color="auto" w:sz="6" w:space="0"/>
              <w:bottom w:val="single" w:color="auto" w:sz="6" w:space="0"/>
              <w:right w:val="single" w:color="auto" w:sz="6" w:space="0"/>
            </w:tcBorders>
            <w:noWrap w:val="0"/>
            <w:vAlign w:val="center"/>
          </w:tcPr>
          <w:p w14:paraId="33A3E703">
            <w:pPr>
              <w:pageBreakBefore w:val="0"/>
              <w:kinsoku/>
              <w:wordWrap/>
              <w:overflowPunct/>
              <w:topLinePunct/>
              <w:bidi w:val="0"/>
              <w:spacing w:beforeAutospacing="0" w:afterAutospacing="0" w:line="560" w:lineRule="exact"/>
              <w:ind w:firstLine="121"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271" w:type="dxa"/>
            <w:gridSpan w:val="2"/>
            <w:tcBorders>
              <w:top w:val="single" w:color="auto" w:sz="6" w:space="0"/>
              <w:left w:val="single" w:color="auto" w:sz="6" w:space="0"/>
              <w:bottom w:val="single" w:color="auto" w:sz="6" w:space="0"/>
              <w:right w:val="double" w:color="auto" w:sz="4" w:space="0"/>
            </w:tcBorders>
            <w:noWrap w:val="0"/>
            <w:vAlign w:val="center"/>
          </w:tcPr>
          <w:p w14:paraId="711F79BF">
            <w:pPr>
              <w:pageBreakBefore w:val="0"/>
              <w:kinsoku/>
              <w:wordWrap/>
              <w:overflowPunct/>
              <w:topLinePunct/>
              <w:bidi w:val="0"/>
              <w:spacing w:beforeAutospacing="0" w:afterAutospacing="0" w:line="560" w:lineRule="exact"/>
              <w:ind w:firstLine="121" w:firstLineChars="50"/>
              <w:jc w:val="center"/>
              <w:rPr>
                <w:rFonts w:hint="eastAsia" w:ascii="宋体" w:hAnsi="宋体" w:eastAsia="宋体" w:cs="宋体"/>
                <w:color w:val="auto"/>
                <w:sz w:val="24"/>
                <w:szCs w:val="24"/>
                <w:highlight w:val="none"/>
              </w:rPr>
            </w:pPr>
          </w:p>
        </w:tc>
      </w:tr>
      <w:tr w14:paraId="617EF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2" w:type="dxa"/>
            <w:vMerge w:val="continue"/>
            <w:tcBorders>
              <w:top w:val="single" w:color="auto" w:sz="6" w:space="0"/>
              <w:left w:val="double" w:color="auto" w:sz="4" w:space="0"/>
              <w:bottom w:val="single" w:color="auto" w:sz="6" w:space="0"/>
              <w:right w:val="single" w:color="auto" w:sz="6" w:space="0"/>
            </w:tcBorders>
            <w:noWrap w:val="0"/>
            <w:vAlign w:val="center"/>
          </w:tcPr>
          <w:p w14:paraId="2B5F8B72">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995" w:type="dxa"/>
            <w:gridSpan w:val="3"/>
            <w:tcBorders>
              <w:top w:val="single" w:color="auto" w:sz="6" w:space="0"/>
              <w:left w:val="single" w:color="auto" w:sz="6" w:space="0"/>
              <w:bottom w:val="single" w:color="auto" w:sz="6" w:space="0"/>
              <w:right w:val="single" w:color="auto" w:sz="6" w:space="0"/>
            </w:tcBorders>
            <w:noWrap w:val="0"/>
            <w:vAlign w:val="center"/>
          </w:tcPr>
          <w:p w14:paraId="11DA4CFA">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05" w:type="dxa"/>
            <w:gridSpan w:val="2"/>
            <w:tcBorders>
              <w:top w:val="single" w:color="auto" w:sz="6" w:space="0"/>
              <w:left w:val="single" w:color="auto" w:sz="6" w:space="0"/>
              <w:bottom w:val="single" w:color="auto" w:sz="6" w:space="0"/>
              <w:right w:val="single" w:color="auto" w:sz="6" w:space="0"/>
            </w:tcBorders>
            <w:noWrap w:val="0"/>
            <w:vAlign w:val="center"/>
          </w:tcPr>
          <w:p w14:paraId="61445CD9">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345" w:type="dxa"/>
            <w:gridSpan w:val="2"/>
            <w:tcBorders>
              <w:top w:val="single" w:color="auto" w:sz="6" w:space="0"/>
              <w:left w:val="single" w:color="auto" w:sz="6" w:space="0"/>
              <w:bottom w:val="single" w:color="auto" w:sz="6" w:space="0"/>
              <w:right w:val="single" w:color="auto" w:sz="6" w:space="0"/>
            </w:tcBorders>
            <w:noWrap w:val="0"/>
            <w:vAlign w:val="center"/>
          </w:tcPr>
          <w:p w14:paraId="685F84B5">
            <w:pPr>
              <w:pageBreakBefore w:val="0"/>
              <w:kinsoku/>
              <w:wordWrap/>
              <w:overflowPunct/>
              <w:topLinePunct/>
              <w:bidi w:val="0"/>
              <w:spacing w:beforeAutospacing="0" w:afterAutospacing="0" w:line="560" w:lineRule="exact"/>
              <w:ind w:firstLine="121"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271" w:type="dxa"/>
            <w:gridSpan w:val="2"/>
            <w:tcBorders>
              <w:top w:val="single" w:color="auto" w:sz="6" w:space="0"/>
              <w:left w:val="single" w:color="auto" w:sz="6" w:space="0"/>
              <w:bottom w:val="single" w:color="auto" w:sz="6" w:space="0"/>
              <w:right w:val="double" w:color="auto" w:sz="4" w:space="0"/>
            </w:tcBorders>
            <w:noWrap w:val="0"/>
            <w:vAlign w:val="center"/>
          </w:tcPr>
          <w:p w14:paraId="7E016361">
            <w:pPr>
              <w:pageBreakBefore w:val="0"/>
              <w:kinsoku/>
              <w:wordWrap/>
              <w:overflowPunct/>
              <w:topLinePunct/>
              <w:bidi w:val="0"/>
              <w:spacing w:beforeAutospacing="0" w:afterAutospacing="0" w:line="560" w:lineRule="exact"/>
              <w:ind w:firstLine="121" w:firstLineChars="50"/>
              <w:jc w:val="center"/>
              <w:rPr>
                <w:rFonts w:hint="eastAsia" w:ascii="宋体" w:hAnsi="宋体" w:eastAsia="宋体" w:cs="宋体"/>
                <w:color w:val="auto"/>
                <w:sz w:val="24"/>
                <w:szCs w:val="24"/>
                <w:highlight w:val="none"/>
              </w:rPr>
            </w:pPr>
          </w:p>
        </w:tc>
      </w:tr>
      <w:tr w14:paraId="335B56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2" w:type="dxa"/>
            <w:vMerge w:val="continue"/>
            <w:tcBorders>
              <w:top w:val="single" w:color="auto" w:sz="6" w:space="0"/>
              <w:left w:val="double" w:color="auto" w:sz="4" w:space="0"/>
              <w:bottom w:val="single" w:color="auto" w:sz="6" w:space="0"/>
              <w:right w:val="single" w:color="auto" w:sz="6" w:space="0"/>
            </w:tcBorders>
            <w:noWrap w:val="0"/>
            <w:vAlign w:val="center"/>
          </w:tcPr>
          <w:p w14:paraId="3A61537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995" w:type="dxa"/>
            <w:gridSpan w:val="3"/>
            <w:tcBorders>
              <w:top w:val="single" w:color="auto" w:sz="6" w:space="0"/>
              <w:left w:val="single" w:color="auto" w:sz="6" w:space="0"/>
              <w:bottom w:val="single" w:color="auto" w:sz="6" w:space="0"/>
              <w:right w:val="single" w:color="auto" w:sz="6" w:space="0"/>
            </w:tcBorders>
            <w:noWrap w:val="0"/>
            <w:vAlign w:val="center"/>
          </w:tcPr>
          <w:p w14:paraId="4C75112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021" w:type="dxa"/>
            <w:gridSpan w:val="6"/>
            <w:tcBorders>
              <w:top w:val="single" w:color="auto" w:sz="6" w:space="0"/>
              <w:left w:val="single" w:color="auto" w:sz="6" w:space="0"/>
              <w:bottom w:val="single" w:color="auto" w:sz="6" w:space="0"/>
              <w:right w:val="double" w:color="auto" w:sz="4" w:space="0"/>
            </w:tcBorders>
            <w:noWrap w:val="0"/>
            <w:vAlign w:val="center"/>
          </w:tcPr>
          <w:p w14:paraId="76587046">
            <w:pPr>
              <w:pageBreakBefore w:val="0"/>
              <w:kinsoku/>
              <w:wordWrap/>
              <w:overflowPunct/>
              <w:topLinePunct/>
              <w:bidi w:val="0"/>
              <w:spacing w:beforeAutospacing="0" w:afterAutospacing="0" w:line="560" w:lineRule="exact"/>
              <w:ind w:firstLine="121" w:firstLineChars="50"/>
              <w:jc w:val="center"/>
              <w:rPr>
                <w:rFonts w:hint="eastAsia" w:ascii="宋体" w:hAnsi="宋体" w:eastAsia="宋体" w:cs="宋体"/>
                <w:color w:val="auto"/>
                <w:sz w:val="24"/>
                <w:szCs w:val="24"/>
                <w:highlight w:val="none"/>
              </w:rPr>
            </w:pPr>
          </w:p>
        </w:tc>
      </w:tr>
      <w:tr w14:paraId="0712E9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2" w:type="dxa"/>
            <w:vMerge w:val="continue"/>
            <w:tcBorders>
              <w:top w:val="single" w:color="auto" w:sz="6" w:space="0"/>
              <w:left w:val="double" w:color="auto" w:sz="4" w:space="0"/>
              <w:bottom w:val="single" w:color="auto" w:sz="6" w:space="0"/>
              <w:right w:val="single" w:color="auto" w:sz="6" w:space="0"/>
            </w:tcBorders>
            <w:noWrap w:val="0"/>
            <w:vAlign w:val="center"/>
          </w:tcPr>
          <w:p w14:paraId="1DF70A9F">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995" w:type="dxa"/>
            <w:gridSpan w:val="3"/>
            <w:tcBorders>
              <w:top w:val="single" w:color="auto" w:sz="6" w:space="0"/>
              <w:left w:val="single" w:color="auto" w:sz="6" w:space="0"/>
              <w:bottom w:val="single" w:color="auto" w:sz="6" w:space="0"/>
              <w:right w:val="single" w:color="auto" w:sz="6" w:space="0"/>
            </w:tcBorders>
            <w:noWrap w:val="0"/>
            <w:vAlign w:val="center"/>
          </w:tcPr>
          <w:p w14:paraId="5F48AFD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021" w:type="dxa"/>
            <w:gridSpan w:val="6"/>
            <w:tcBorders>
              <w:top w:val="single" w:color="auto" w:sz="6" w:space="0"/>
              <w:left w:val="single" w:color="auto" w:sz="6" w:space="0"/>
              <w:bottom w:val="single" w:color="auto" w:sz="6" w:space="0"/>
              <w:right w:val="double" w:color="auto" w:sz="4" w:space="0"/>
            </w:tcBorders>
            <w:noWrap w:val="0"/>
            <w:vAlign w:val="center"/>
          </w:tcPr>
          <w:p w14:paraId="35B35924">
            <w:pPr>
              <w:pageBreakBefore w:val="0"/>
              <w:kinsoku/>
              <w:wordWrap/>
              <w:overflowPunct/>
              <w:topLinePunct/>
              <w:bidi w:val="0"/>
              <w:spacing w:beforeAutospacing="0" w:afterAutospacing="0" w:line="560" w:lineRule="exact"/>
              <w:ind w:firstLine="121" w:firstLineChars="50"/>
              <w:jc w:val="center"/>
              <w:rPr>
                <w:rFonts w:hint="eastAsia" w:ascii="宋体" w:hAnsi="宋体" w:eastAsia="宋体" w:cs="宋体"/>
                <w:color w:val="auto"/>
                <w:sz w:val="24"/>
                <w:szCs w:val="24"/>
                <w:highlight w:val="none"/>
              </w:rPr>
            </w:pPr>
          </w:p>
        </w:tc>
      </w:tr>
      <w:tr w14:paraId="0AE16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2697" w:type="dxa"/>
            <w:gridSpan w:val="4"/>
            <w:tcBorders>
              <w:top w:val="single" w:color="auto" w:sz="6" w:space="0"/>
              <w:left w:val="double" w:color="auto" w:sz="4" w:space="0"/>
              <w:bottom w:val="single" w:color="auto" w:sz="6" w:space="0"/>
              <w:right w:val="single" w:color="auto" w:sz="6" w:space="0"/>
            </w:tcBorders>
            <w:noWrap w:val="0"/>
            <w:vAlign w:val="center"/>
          </w:tcPr>
          <w:p w14:paraId="6B4E12FD">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基本账户开户行及帐号</w:t>
            </w:r>
          </w:p>
        </w:tc>
        <w:tc>
          <w:tcPr>
            <w:tcW w:w="6021" w:type="dxa"/>
            <w:gridSpan w:val="6"/>
            <w:tcBorders>
              <w:top w:val="single" w:color="auto" w:sz="6" w:space="0"/>
              <w:left w:val="single" w:color="auto" w:sz="6" w:space="0"/>
              <w:bottom w:val="single" w:color="auto" w:sz="6" w:space="0"/>
              <w:right w:val="double" w:color="auto" w:sz="4" w:space="0"/>
            </w:tcBorders>
            <w:noWrap w:val="0"/>
            <w:vAlign w:val="center"/>
          </w:tcPr>
          <w:p w14:paraId="1C0EE37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r>
      <w:tr w14:paraId="55D48C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2697" w:type="dxa"/>
            <w:gridSpan w:val="4"/>
            <w:tcBorders>
              <w:top w:val="single" w:color="auto" w:sz="6" w:space="0"/>
              <w:left w:val="double" w:color="auto" w:sz="4" w:space="0"/>
              <w:bottom w:val="single" w:color="auto" w:sz="6" w:space="0"/>
              <w:right w:val="single" w:color="auto" w:sz="6" w:space="0"/>
            </w:tcBorders>
            <w:noWrap w:val="0"/>
            <w:vAlign w:val="center"/>
          </w:tcPr>
          <w:p w14:paraId="71E4802D">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021" w:type="dxa"/>
            <w:gridSpan w:val="6"/>
            <w:tcBorders>
              <w:top w:val="single" w:color="auto" w:sz="6" w:space="0"/>
              <w:left w:val="single" w:color="auto" w:sz="6" w:space="0"/>
              <w:bottom w:val="single" w:color="auto" w:sz="6" w:space="0"/>
              <w:right w:val="double" w:color="auto" w:sz="4" w:space="0"/>
            </w:tcBorders>
            <w:noWrap w:val="0"/>
            <w:vAlign w:val="center"/>
          </w:tcPr>
          <w:p w14:paraId="0C826264">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r>
      <w:tr w14:paraId="1536D8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3527" w:type="dxa"/>
            <w:gridSpan w:val="5"/>
            <w:tcBorders>
              <w:top w:val="single" w:color="auto" w:sz="6" w:space="0"/>
              <w:left w:val="double" w:color="auto" w:sz="4" w:space="0"/>
              <w:bottom w:val="single" w:color="auto" w:sz="6" w:space="0"/>
              <w:right w:val="single" w:color="auto" w:sz="6" w:space="0"/>
            </w:tcBorders>
            <w:noWrap w:val="0"/>
            <w:vAlign w:val="center"/>
          </w:tcPr>
          <w:p w14:paraId="5981BA87">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63" w:type="dxa"/>
            <w:gridSpan w:val="2"/>
            <w:tcBorders>
              <w:top w:val="single" w:color="auto" w:sz="6" w:space="0"/>
              <w:left w:val="single" w:color="auto" w:sz="6" w:space="0"/>
              <w:bottom w:val="single" w:color="auto" w:sz="6" w:space="0"/>
              <w:right w:val="single" w:color="auto" w:sz="6" w:space="0"/>
            </w:tcBorders>
            <w:noWrap w:val="0"/>
            <w:vAlign w:val="center"/>
          </w:tcPr>
          <w:p w14:paraId="0460E51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57" w:type="dxa"/>
            <w:tcBorders>
              <w:top w:val="single" w:color="auto" w:sz="6" w:space="0"/>
              <w:left w:val="single" w:color="auto" w:sz="6" w:space="0"/>
              <w:bottom w:val="single" w:color="auto" w:sz="6" w:space="0"/>
              <w:right w:val="single" w:color="auto" w:sz="6" w:space="0"/>
            </w:tcBorders>
            <w:noWrap w:val="0"/>
            <w:vAlign w:val="center"/>
          </w:tcPr>
          <w:p w14:paraId="3FE38751">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271" w:type="dxa"/>
            <w:gridSpan w:val="2"/>
            <w:tcBorders>
              <w:top w:val="single" w:color="auto" w:sz="6" w:space="0"/>
              <w:left w:val="single" w:color="auto" w:sz="6" w:space="0"/>
              <w:bottom w:val="single" w:color="auto" w:sz="6" w:space="0"/>
              <w:right w:val="double" w:color="auto" w:sz="4" w:space="0"/>
            </w:tcBorders>
            <w:noWrap w:val="0"/>
            <w:vAlign w:val="center"/>
          </w:tcPr>
          <w:p w14:paraId="01D7CAB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14:paraId="3D0591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3527" w:type="dxa"/>
            <w:gridSpan w:val="5"/>
            <w:tcBorders>
              <w:top w:val="single" w:color="auto" w:sz="6" w:space="0"/>
              <w:left w:val="double" w:color="auto" w:sz="4" w:space="0"/>
              <w:bottom w:val="single" w:color="auto" w:sz="6" w:space="0"/>
              <w:right w:val="single" w:color="auto" w:sz="6" w:space="0"/>
            </w:tcBorders>
            <w:noWrap w:val="0"/>
            <w:vAlign w:val="center"/>
          </w:tcPr>
          <w:p w14:paraId="3DED795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863" w:type="dxa"/>
            <w:gridSpan w:val="2"/>
            <w:tcBorders>
              <w:top w:val="single" w:color="auto" w:sz="6" w:space="0"/>
              <w:left w:val="single" w:color="auto" w:sz="6" w:space="0"/>
              <w:bottom w:val="single" w:color="auto" w:sz="6" w:space="0"/>
              <w:right w:val="single" w:color="auto" w:sz="6" w:space="0"/>
            </w:tcBorders>
            <w:noWrap w:val="0"/>
            <w:vAlign w:val="center"/>
          </w:tcPr>
          <w:p w14:paraId="468A0F0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057" w:type="dxa"/>
            <w:tcBorders>
              <w:top w:val="single" w:color="auto" w:sz="6" w:space="0"/>
              <w:left w:val="single" w:color="auto" w:sz="6" w:space="0"/>
              <w:bottom w:val="single" w:color="auto" w:sz="6" w:space="0"/>
              <w:right w:val="single" w:color="auto" w:sz="6" w:space="0"/>
            </w:tcBorders>
            <w:noWrap w:val="0"/>
            <w:vAlign w:val="center"/>
          </w:tcPr>
          <w:p w14:paraId="009E8680">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3271" w:type="dxa"/>
            <w:gridSpan w:val="2"/>
            <w:tcBorders>
              <w:top w:val="single" w:color="auto" w:sz="6" w:space="0"/>
              <w:left w:val="single" w:color="auto" w:sz="6" w:space="0"/>
              <w:bottom w:val="single" w:color="auto" w:sz="6" w:space="0"/>
              <w:right w:val="double" w:color="auto" w:sz="4" w:space="0"/>
            </w:tcBorders>
            <w:noWrap w:val="0"/>
            <w:vAlign w:val="center"/>
          </w:tcPr>
          <w:p w14:paraId="6B202C99">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r>
      <w:tr w14:paraId="77B540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3527" w:type="dxa"/>
            <w:gridSpan w:val="5"/>
            <w:tcBorders>
              <w:top w:val="single" w:color="auto" w:sz="6" w:space="0"/>
              <w:left w:val="double" w:color="auto" w:sz="4" w:space="0"/>
              <w:bottom w:val="single" w:color="auto" w:sz="6" w:space="0"/>
              <w:right w:val="single" w:color="auto" w:sz="6" w:space="0"/>
            </w:tcBorders>
            <w:noWrap w:val="0"/>
            <w:vAlign w:val="center"/>
          </w:tcPr>
          <w:p w14:paraId="4DA301F2">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863" w:type="dxa"/>
            <w:gridSpan w:val="2"/>
            <w:tcBorders>
              <w:top w:val="single" w:color="auto" w:sz="6" w:space="0"/>
              <w:left w:val="single" w:color="auto" w:sz="6" w:space="0"/>
              <w:bottom w:val="single" w:color="auto" w:sz="6" w:space="0"/>
              <w:right w:val="single" w:color="auto" w:sz="6" w:space="0"/>
            </w:tcBorders>
            <w:noWrap w:val="0"/>
            <w:vAlign w:val="center"/>
          </w:tcPr>
          <w:p w14:paraId="262D5D9C">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057" w:type="dxa"/>
            <w:tcBorders>
              <w:top w:val="single" w:color="auto" w:sz="6" w:space="0"/>
              <w:left w:val="single" w:color="auto" w:sz="6" w:space="0"/>
              <w:bottom w:val="single" w:color="auto" w:sz="6" w:space="0"/>
              <w:right w:val="single" w:color="auto" w:sz="6" w:space="0"/>
            </w:tcBorders>
            <w:noWrap w:val="0"/>
            <w:vAlign w:val="center"/>
          </w:tcPr>
          <w:p w14:paraId="08B4481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3271" w:type="dxa"/>
            <w:gridSpan w:val="2"/>
            <w:tcBorders>
              <w:top w:val="single" w:color="auto" w:sz="6" w:space="0"/>
              <w:left w:val="single" w:color="auto" w:sz="6" w:space="0"/>
              <w:bottom w:val="single" w:color="auto" w:sz="6" w:space="0"/>
              <w:right w:val="double" w:color="auto" w:sz="4" w:space="0"/>
            </w:tcBorders>
            <w:noWrap w:val="0"/>
            <w:vAlign w:val="center"/>
          </w:tcPr>
          <w:p w14:paraId="037C9F3D">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r>
      <w:tr w14:paraId="5C9DC1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3527" w:type="dxa"/>
            <w:gridSpan w:val="5"/>
            <w:tcBorders>
              <w:top w:val="single" w:color="auto" w:sz="6" w:space="0"/>
              <w:left w:val="double" w:color="auto" w:sz="4" w:space="0"/>
              <w:bottom w:val="single" w:color="auto" w:sz="6" w:space="0"/>
              <w:right w:val="single" w:color="auto" w:sz="6" w:space="0"/>
            </w:tcBorders>
            <w:noWrap w:val="0"/>
            <w:vAlign w:val="center"/>
          </w:tcPr>
          <w:p w14:paraId="4926256D">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863" w:type="dxa"/>
            <w:gridSpan w:val="2"/>
            <w:tcBorders>
              <w:top w:val="single" w:color="auto" w:sz="6" w:space="0"/>
              <w:left w:val="single" w:color="auto" w:sz="6" w:space="0"/>
              <w:bottom w:val="single" w:color="auto" w:sz="6" w:space="0"/>
              <w:right w:val="single" w:color="auto" w:sz="6" w:space="0"/>
            </w:tcBorders>
            <w:noWrap w:val="0"/>
            <w:vAlign w:val="center"/>
          </w:tcPr>
          <w:p w14:paraId="58881D48">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057" w:type="dxa"/>
            <w:tcBorders>
              <w:top w:val="single" w:color="auto" w:sz="6" w:space="0"/>
              <w:left w:val="single" w:color="auto" w:sz="6" w:space="0"/>
              <w:bottom w:val="single" w:color="auto" w:sz="6" w:space="0"/>
              <w:right w:val="single" w:color="auto" w:sz="6" w:space="0"/>
            </w:tcBorders>
            <w:noWrap w:val="0"/>
            <w:vAlign w:val="center"/>
          </w:tcPr>
          <w:p w14:paraId="73B3B9C3">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3271" w:type="dxa"/>
            <w:gridSpan w:val="2"/>
            <w:tcBorders>
              <w:top w:val="single" w:color="auto" w:sz="6" w:space="0"/>
              <w:left w:val="single" w:color="auto" w:sz="6" w:space="0"/>
              <w:bottom w:val="single" w:color="auto" w:sz="6" w:space="0"/>
              <w:right w:val="double" w:color="auto" w:sz="4" w:space="0"/>
            </w:tcBorders>
            <w:noWrap w:val="0"/>
            <w:vAlign w:val="center"/>
          </w:tcPr>
          <w:p w14:paraId="1E1AD0C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r>
      <w:tr w14:paraId="5A6698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3527" w:type="dxa"/>
            <w:gridSpan w:val="5"/>
            <w:tcBorders>
              <w:top w:val="single" w:color="auto" w:sz="6" w:space="0"/>
              <w:left w:val="double" w:color="auto" w:sz="4" w:space="0"/>
              <w:bottom w:val="single" w:color="auto" w:sz="6" w:space="0"/>
              <w:right w:val="single" w:color="auto" w:sz="6" w:space="0"/>
            </w:tcBorders>
            <w:noWrap w:val="0"/>
            <w:vAlign w:val="center"/>
          </w:tcPr>
          <w:p w14:paraId="25481E8D">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863" w:type="dxa"/>
            <w:gridSpan w:val="2"/>
            <w:tcBorders>
              <w:top w:val="single" w:color="auto" w:sz="6" w:space="0"/>
              <w:left w:val="single" w:color="auto" w:sz="6" w:space="0"/>
              <w:bottom w:val="single" w:color="auto" w:sz="6" w:space="0"/>
              <w:right w:val="single" w:color="auto" w:sz="6" w:space="0"/>
            </w:tcBorders>
            <w:noWrap w:val="0"/>
            <w:vAlign w:val="center"/>
          </w:tcPr>
          <w:p w14:paraId="3B588266">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1057" w:type="dxa"/>
            <w:tcBorders>
              <w:top w:val="single" w:color="auto" w:sz="6" w:space="0"/>
              <w:left w:val="single" w:color="auto" w:sz="6" w:space="0"/>
              <w:bottom w:val="single" w:color="auto" w:sz="6" w:space="0"/>
              <w:right w:val="single" w:color="auto" w:sz="6" w:space="0"/>
            </w:tcBorders>
            <w:noWrap w:val="0"/>
            <w:vAlign w:val="center"/>
          </w:tcPr>
          <w:p w14:paraId="04ACD5E7">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c>
          <w:tcPr>
            <w:tcW w:w="3271" w:type="dxa"/>
            <w:gridSpan w:val="2"/>
            <w:tcBorders>
              <w:top w:val="single" w:color="auto" w:sz="6" w:space="0"/>
              <w:left w:val="single" w:color="auto" w:sz="6" w:space="0"/>
              <w:bottom w:val="single" w:color="auto" w:sz="6" w:space="0"/>
              <w:right w:val="double" w:color="auto" w:sz="4" w:space="0"/>
            </w:tcBorders>
            <w:noWrap w:val="0"/>
            <w:vAlign w:val="center"/>
          </w:tcPr>
          <w:p w14:paraId="24FD53FE">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p>
        </w:tc>
      </w:tr>
      <w:tr w14:paraId="627BB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28" w:type="dxa"/>
            <w:gridSpan w:val="2"/>
            <w:tcBorders>
              <w:top w:val="single" w:color="auto" w:sz="6" w:space="0"/>
              <w:left w:val="double" w:color="auto" w:sz="4" w:space="0"/>
              <w:bottom w:val="double" w:color="auto" w:sz="4" w:space="0"/>
              <w:right w:val="single" w:color="auto" w:sz="6" w:space="0"/>
            </w:tcBorders>
            <w:noWrap w:val="0"/>
            <w:vAlign w:val="center"/>
          </w:tcPr>
          <w:p w14:paraId="49D5F6EF">
            <w:pPr>
              <w:pageBreakBefore w:val="0"/>
              <w:kinsoku/>
              <w:wordWrap/>
              <w:overflowPunct/>
              <w:topLinePunct/>
              <w:bidi w:val="0"/>
              <w:spacing w:beforeAutospacing="0" w:afterAutospacing="0"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c>
          <w:tcPr>
            <w:tcW w:w="7490" w:type="dxa"/>
            <w:gridSpan w:val="8"/>
            <w:tcBorders>
              <w:top w:val="single" w:color="auto" w:sz="6" w:space="0"/>
              <w:left w:val="single" w:color="auto" w:sz="6" w:space="0"/>
              <w:bottom w:val="double" w:color="auto" w:sz="4" w:space="0"/>
              <w:right w:val="double" w:color="auto" w:sz="4" w:space="0"/>
            </w:tcBorders>
            <w:noWrap w:val="0"/>
            <w:vAlign w:val="center"/>
          </w:tcPr>
          <w:p w14:paraId="6BCC14E0">
            <w:pPr>
              <w:pageBreakBefore w:val="0"/>
              <w:kinsoku/>
              <w:wordWrap/>
              <w:overflowPunct/>
              <w:topLinePunct/>
              <w:bidi w:val="0"/>
              <w:spacing w:beforeAutospacing="0" w:afterAutospacing="0" w:line="560" w:lineRule="exact"/>
              <w:rPr>
                <w:rFonts w:hint="eastAsia" w:ascii="宋体" w:hAnsi="宋体" w:eastAsia="宋体" w:cs="宋体"/>
                <w:color w:val="auto"/>
                <w:sz w:val="24"/>
                <w:szCs w:val="24"/>
                <w:highlight w:val="none"/>
              </w:rPr>
            </w:pPr>
            <w:r>
              <w:rPr>
                <w:rFonts w:hint="eastAsia" w:ascii="宋体" w:hAnsi="宋体" w:eastAsia="宋体" w:cs="宋体"/>
                <w:color w:val="auto"/>
                <w:szCs w:val="21"/>
                <w:highlight w:val="none"/>
              </w:rPr>
              <w:t>附《登记证书》或《营业执照》（副本）复印件</w:t>
            </w:r>
          </w:p>
        </w:tc>
      </w:tr>
    </w:tbl>
    <w:p w14:paraId="5A6B496B">
      <w:pPr>
        <w:adjustRightInd w:val="0"/>
        <w:snapToGrid w:val="0"/>
        <w:spacing w:line="360" w:lineRule="auto"/>
        <w:rPr>
          <w:rFonts w:hint="eastAsia" w:ascii="宋体" w:hAnsi="宋体" w:eastAsia="宋体" w:cs="宋体"/>
          <w:b/>
          <w:color w:val="auto"/>
          <w:sz w:val="24"/>
          <w:highlight w:val="none"/>
        </w:rPr>
      </w:pPr>
      <w:r>
        <w:rPr>
          <w:rFonts w:hint="eastAsia" w:ascii="宋体" w:hAnsi="宋体" w:eastAsia="宋体" w:cs="宋体"/>
          <w:color w:val="auto"/>
          <w:sz w:val="24"/>
          <w:szCs w:val="24"/>
          <w:highlight w:val="none"/>
        </w:rPr>
        <w:br w:type="page"/>
      </w:r>
    </w:p>
    <w:p w14:paraId="5BB1A974">
      <w:pPr>
        <w:adjustRightInd w:val="0"/>
        <w:snapToGrid w:val="0"/>
        <w:spacing w:line="360" w:lineRule="auto"/>
        <w:rPr>
          <w:rFonts w:hint="eastAsia" w:ascii="宋体" w:hAnsi="宋体" w:eastAsia="宋体" w:cs="宋体"/>
          <w:b/>
          <w:color w:val="auto"/>
          <w:sz w:val="24"/>
          <w:highlight w:val="none"/>
        </w:rPr>
        <w:sectPr>
          <w:pgSz w:w="11906" w:h="16838"/>
          <w:pgMar w:top="1304" w:right="1304" w:bottom="1304" w:left="1417" w:header="851" w:footer="992" w:gutter="0"/>
          <w:pgNumType w:fmt="decimal"/>
          <w:cols w:space="0" w:num="1"/>
          <w:docGrid w:type="linesAndChars" w:linePitch="316" w:charSpace="738"/>
        </w:sectPr>
      </w:pPr>
    </w:p>
    <w:p w14:paraId="062FB3D4">
      <w:pPr>
        <w:widowControl/>
        <w:jc w:val="center"/>
        <w:rPr>
          <w:rFonts w:hint="eastAsia" w:ascii="宋体" w:hAnsi="宋体" w:eastAsia="宋体" w:cs="宋体"/>
          <w:b/>
          <w:color w:val="auto"/>
          <w:sz w:val="24"/>
          <w:highlight w:val="none"/>
        </w:rPr>
      </w:pPr>
    </w:p>
    <w:p w14:paraId="2533165C">
      <w:pPr>
        <w:pStyle w:val="4"/>
        <w:bidi w:val="0"/>
        <w:rPr>
          <w:rFonts w:hint="eastAsia" w:ascii="宋体" w:hAnsi="宋体" w:eastAsia="宋体" w:cs="宋体"/>
          <w:b/>
          <w:color w:val="auto"/>
          <w:sz w:val="30"/>
          <w:szCs w:val="30"/>
          <w:highlight w:val="none"/>
        </w:rPr>
      </w:pPr>
      <w:bookmarkStart w:id="72" w:name="_Toc55813350"/>
      <w:r>
        <w:rPr>
          <w:rFonts w:hint="eastAsia" w:ascii="宋体" w:hAnsi="宋体" w:eastAsia="宋体" w:cs="宋体"/>
          <w:color w:val="auto"/>
          <w:sz w:val="30"/>
          <w:szCs w:val="30"/>
          <w:highlight w:val="none"/>
        </w:rPr>
        <w:t>附件3-</w:t>
      </w:r>
      <w:r>
        <w:rPr>
          <w:rFonts w:hint="eastAsia" w:ascii="宋体" w:hAnsi="宋体" w:eastAsia="宋体" w:cs="宋体"/>
          <w:color w:val="auto"/>
          <w:sz w:val="30"/>
          <w:szCs w:val="30"/>
          <w:highlight w:val="none"/>
          <w:lang w:val="en-US" w:eastAsia="zh-CN"/>
        </w:rPr>
        <w:t>2</w:t>
      </w:r>
      <w:r>
        <w:rPr>
          <w:rFonts w:hint="eastAsia" w:ascii="宋体" w:hAnsi="宋体" w:eastAsia="宋体" w:cs="宋体"/>
          <w:color w:val="auto"/>
          <w:sz w:val="30"/>
          <w:szCs w:val="30"/>
          <w:highlight w:val="none"/>
        </w:rPr>
        <w:t xml:space="preserve"> 法人或者其他组织的营业执照等主体资格证明文件，自然人的身份证明</w:t>
      </w:r>
      <w:bookmarkEnd w:id="72"/>
    </w:p>
    <w:p w14:paraId="3FED36E4">
      <w:pPr>
        <w:numPr>
          <w:ilvl w:val="0"/>
          <w:numId w:val="0"/>
        </w:numPr>
        <w:adjustRightInd w:val="0"/>
        <w:snapToGrid w:val="0"/>
        <w:spacing w:before="156" w:beforeLines="50" w:line="360" w:lineRule="auto"/>
        <w:ind w:firstLine="48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法人或者其他组织的营业执照等主体资格证明文件，自然人的身份证明：</w:t>
      </w:r>
    </w:p>
    <w:p w14:paraId="5775FAA1">
      <w:pPr>
        <w:spacing w:line="360" w:lineRule="auto"/>
        <w:ind w:firstLine="486"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为法人的，应提交营业执照或法人登记证书的复印件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或扫描件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为非法人组织的，应提交依法登记证书复印件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或扫描件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为个体工商户的，应提交个体工商户营业执照复印件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或扫描件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为自然人的，应提交自然人的身份证明复印件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或扫描件</w:t>
      </w:r>
      <w:r>
        <w:rPr>
          <w:rFonts w:hint="eastAsia" w:ascii="宋体" w:hAnsi="宋体" w:eastAsia="宋体" w:cs="宋体"/>
          <w:color w:val="auto"/>
          <w:sz w:val="24"/>
          <w:szCs w:val="24"/>
          <w:highlight w:val="none"/>
          <w:lang w:eastAsia="zh-CN"/>
        </w:rPr>
        <w:t>）。</w:t>
      </w:r>
    </w:p>
    <w:p w14:paraId="2EB63AB3">
      <w:pPr>
        <w:spacing w:line="360" w:lineRule="auto"/>
        <w:ind w:firstLine="486"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注：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w:t>
      </w:r>
      <w:r>
        <w:rPr>
          <w:rFonts w:hint="eastAsia" w:ascii="宋体" w:hAnsi="宋体" w:eastAsia="宋体" w:cs="宋体"/>
          <w:b/>
          <w:bCs/>
          <w:color w:val="auto"/>
          <w:sz w:val="24"/>
          <w:szCs w:val="24"/>
          <w:highlight w:val="none"/>
        </w:rPr>
        <w:t>供应商如是“三证合一或五证合一”请自行说明。</w:t>
      </w:r>
    </w:p>
    <w:p w14:paraId="1E8372AE">
      <w:pPr>
        <w:spacing w:line="480" w:lineRule="exact"/>
        <w:rPr>
          <w:rFonts w:hint="eastAsia" w:ascii="宋体" w:hAnsi="宋体" w:eastAsia="宋体" w:cs="宋体"/>
          <w:color w:val="auto"/>
          <w:sz w:val="24"/>
          <w:highlight w:val="none"/>
        </w:rPr>
      </w:pPr>
      <w:r>
        <w:rPr>
          <w:rFonts w:hint="eastAsia" w:ascii="宋体" w:hAnsi="宋体"/>
          <w:b/>
          <w:color w:val="auto"/>
          <w:sz w:val="28"/>
          <w:szCs w:val="28"/>
          <w:highlight w:val="none"/>
        </w:rPr>
        <w:br w:type="page"/>
      </w:r>
    </w:p>
    <w:p w14:paraId="095585EB">
      <w:pPr>
        <w:pStyle w:val="4"/>
        <w:bidi w:val="0"/>
        <w:rPr>
          <w:rFonts w:hint="eastAsia" w:ascii="宋体" w:hAnsi="宋体" w:eastAsia="宋体" w:cs="宋体"/>
          <w:color w:val="auto"/>
          <w:sz w:val="30"/>
          <w:szCs w:val="30"/>
          <w:highlight w:val="none"/>
        </w:rPr>
      </w:pPr>
      <w:bookmarkStart w:id="73" w:name="_Toc55813351"/>
      <w:r>
        <w:rPr>
          <w:rFonts w:hint="eastAsia" w:ascii="宋体" w:hAnsi="宋体" w:eastAsia="宋体" w:cs="宋体"/>
          <w:color w:val="auto"/>
          <w:sz w:val="30"/>
          <w:szCs w:val="30"/>
          <w:highlight w:val="none"/>
        </w:rPr>
        <w:t>附件3-</w:t>
      </w:r>
      <w:r>
        <w:rPr>
          <w:rFonts w:hint="eastAsia" w:ascii="宋体" w:hAnsi="宋体" w:eastAsia="宋体" w:cs="宋体"/>
          <w:color w:val="auto"/>
          <w:sz w:val="30"/>
          <w:szCs w:val="30"/>
          <w:highlight w:val="none"/>
          <w:lang w:val="en-US" w:eastAsia="zh-CN"/>
        </w:rPr>
        <w:t>3</w:t>
      </w:r>
      <w:r>
        <w:rPr>
          <w:rFonts w:hint="eastAsia" w:ascii="宋体" w:hAnsi="宋体" w:eastAsia="宋体" w:cs="宋体"/>
          <w:color w:val="auto"/>
          <w:sz w:val="30"/>
          <w:szCs w:val="30"/>
          <w:highlight w:val="none"/>
        </w:rPr>
        <w:t>湖南省政府采购供应商资格承诺函（格式）</w:t>
      </w:r>
      <w:bookmarkEnd w:id="73"/>
    </w:p>
    <w:p w14:paraId="4E4FEF2F">
      <w:pPr>
        <w:pStyle w:val="49"/>
        <w:pageBreakBefore w:val="0"/>
        <w:kinsoku/>
        <w:wordWrap/>
        <w:overflowPunct/>
        <w:topLinePunct w:val="0"/>
        <w:bidi w:val="0"/>
        <w:spacing w:before="158" w:beforeLines="50" w:line="520" w:lineRule="exact"/>
        <w:ind w:left="0" w:leftChars="0" w:firstLine="0" w:firstLineChars="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湖南省政府采购供应商资格承诺函</w:t>
      </w:r>
    </w:p>
    <w:p w14:paraId="56058DCD">
      <w:pPr>
        <w:pageBreakBefore w:val="0"/>
        <w:widowControl/>
        <w:kinsoku/>
        <w:wordWrap/>
        <w:overflowPunct/>
        <w:topLinePunct w:val="0"/>
        <w:bidi w:val="0"/>
        <w:spacing w:line="520" w:lineRule="exact"/>
        <w:ind w:firstLine="486"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A6A91C9">
      <w:pPr>
        <w:pageBreakBefore w:val="0"/>
        <w:widowControl/>
        <w:kinsoku/>
        <w:wordWrap/>
        <w:overflowPunct/>
        <w:topLinePunct w:val="0"/>
        <w:bidi w:val="0"/>
        <w:spacing w:line="520" w:lineRule="exact"/>
        <w:ind w:firstLine="486"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按照《政府采购促进中小企业发展管理办法》（财库〔2020〕46号），本公司企业规模为：大型□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中型</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小型□</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 微型□</w:t>
      </w:r>
    </w:p>
    <w:p w14:paraId="38D3EC1F">
      <w:pPr>
        <w:pageBreakBefore w:val="0"/>
        <w:widowControl/>
        <w:kinsoku/>
        <w:wordWrap/>
        <w:overflowPunct/>
        <w:topLinePunct w:val="0"/>
        <w:bidi w:val="0"/>
        <w:spacing w:line="520" w:lineRule="exact"/>
        <w:ind w:firstLine="486"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□本公司自愿入驻湖南省政府采购电子卖场，遵守《湖南省政府采购电子卖场管理办法》（湘财购〔2019〕27号），如违反承诺，同意金融机构将增信保证划缴国库（非电子卖场采购活动项目不需勾选）。</w:t>
      </w:r>
    </w:p>
    <w:p w14:paraId="735F5724">
      <w:pPr>
        <w:pageBreakBefore w:val="0"/>
        <w:widowControl/>
        <w:kinsoku/>
        <w:wordWrap/>
        <w:overflowPunct/>
        <w:topLinePunct w:val="0"/>
        <w:bidi w:val="0"/>
        <w:spacing w:line="520" w:lineRule="exact"/>
        <w:jc w:val="righ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公司（单位）名称（盖章） </w:t>
      </w:r>
    </w:p>
    <w:p w14:paraId="6A19D31C">
      <w:pPr>
        <w:pageBreakBefore w:val="0"/>
        <w:widowControl/>
        <w:kinsoku/>
        <w:wordWrap/>
        <w:overflowPunct/>
        <w:topLinePunct w:val="0"/>
        <w:bidi w:val="0"/>
        <w:spacing w:line="520" w:lineRule="exact"/>
        <w:ind w:right="630"/>
        <w:jc w:val="righ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年    月    日</w:t>
      </w:r>
    </w:p>
    <w:p w14:paraId="5F024EE0">
      <w:pPr>
        <w:pageBreakBefore w:val="0"/>
        <w:widowControl/>
        <w:kinsoku/>
        <w:wordWrap/>
        <w:overflowPunct/>
        <w:topLinePunct w:val="0"/>
        <w:bidi w:val="0"/>
        <w:spacing w:line="520" w:lineRule="exact"/>
        <w:jc w:val="left"/>
        <w:rPr>
          <w:rFonts w:hint="eastAsia" w:ascii="宋体" w:hAnsi="宋体" w:eastAsia="宋体" w:cs="宋体"/>
          <w:color w:val="auto"/>
          <w:kern w:val="0"/>
          <w:sz w:val="24"/>
          <w:szCs w:val="24"/>
          <w:highlight w:val="none"/>
        </w:rPr>
      </w:pPr>
    </w:p>
    <w:p w14:paraId="56BB45F1">
      <w:pPr>
        <w:pageBreakBefore w:val="0"/>
        <w:widowControl/>
        <w:kinsoku/>
        <w:wordWrap/>
        <w:overflowPunct/>
        <w:topLinePunct w:val="0"/>
        <w:bidi w:val="0"/>
        <w:spacing w:line="520" w:lineRule="exact"/>
        <w:jc w:val="left"/>
        <w:rPr>
          <w:rFonts w:hint="eastAsia" w:ascii="宋体" w:hAnsi="宋体" w:eastAsia="宋体" w:cs="宋体"/>
          <w:color w:val="auto"/>
          <w:kern w:val="0"/>
          <w:sz w:val="24"/>
          <w:szCs w:val="24"/>
          <w:highlight w:val="none"/>
        </w:rPr>
      </w:pPr>
    </w:p>
    <w:p w14:paraId="09C3274E">
      <w:pPr>
        <w:pageBreakBefore w:val="0"/>
        <w:widowControl/>
        <w:kinsoku/>
        <w:wordWrap/>
        <w:overflowPunct/>
        <w:topLinePunct w:val="0"/>
        <w:bidi w:val="0"/>
        <w:spacing w:line="52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机构代码</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、注册登记机构</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、日期</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、注册资本</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、地址</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、经济行业</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5CA76982">
      <w:pPr>
        <w:pageBreakBefore w:val="0"/>
        <w:widowControl/>
        <w:kinsoku/>
        <w:wordWrap/>
        <w:overflowPunct/>
        <w:topLinePunct w:val="0"/>
        <w:bidi w:val="0"/>
        <w:spacing w:line="520" w:lineRule="exact"/>
        <w:jc w:val="left"/>
        <w:rPr>
          <w:rFonts w:hint="eastAsia" w:ascii="宋体" w:hAnsi="宋体" w:eastAsia="宋体" w:cs="宋体"/>
          <w:color w:val="auto"/>
          <w:kern w:val="0"/>
          <w:sz w:val="24"/>
          <w:szCs w:val="24"/>
          <w:highlight w:val="none"/>
          <w:u w:val="none"/>
          <w:lang w:val="en-US" w:eastAsia="zh-CN"/>
        </w:rPr>
      </w:pPr>
      <w:r>
        <w:rPr>
          <w:rFonts w:hint="eastAsia" w:ascii="宋体" w:hAnsi="宋体" w:eastAsia="宋体" w:cs="宋体"/>
          <w:color w:val="auto"/>
          <w:kern w:val="0"/>
          <w:sz w:val="24"/>
          <w:szCs w:val="24"/>
          <w:highlight w:val="none"/>
        </w:rPr>
        <w:t>经济性质：</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 xml:space="preserve">、      </w:t>
      </w:r>
    </w:p>
    <w:p w14:paraId="41A42185">
      <w:pPr>
        <w:pageBreakBefore w:val="0"/>
        <w:widowControl/>
        <w:kinsoku/>
        <w:wordWrap/>
        <w:overflowPunct/>
        <w:topLinePunct w:val="0"/>
        <w:bidi w:val="0"/>
        <w:spacing w:line="52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法定代表人（负责人）姓名（签字）</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、身份证号</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 xml:space="preserve">、手机号：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3E6B9C07">
      <w:pPr>
        <w:pageBreakBefore w:val="0"/>
        <w:kinsoku/>
        <w:wordWrap/>
        <w:overflowPunct/>
        <w:topLinePunct w:val="0"/>
        <w:bidi w:val="0"/>
        <w:spacing w:line="520" w:lineRule="exac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授权代表人姓名（签字）</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、身份证号</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、手机号：</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231FC716">
      <w:pPr>
        <w:pageBreakBefore w:val="0"/>
        <w:kinsoku/>
        <w:wordWrap/>
        <w:overflowPunct/>
        <w:topLinePunct w:val="0"/>
        <w:bidi w:val="0"/>
        <w:spacing w:line="520" w:lineRule="exact"/>
        <w:ind w:firstLine="486" w:firstLineChars="200"/>
        <w:rPr>
          <w:rFonts w:hint="eastAsia" w:ascii="宋体" w:hAnsi="宋体" w:eastAsia="宋体" w:cs="宋体"/>
          <w:color w:val="auto"/>
          <w:sz w:val="24"/>
          <w:szCs w:val="24"/>
          <w:highlight w:val="none"/>
        </w:rPr>
      </w:pPr>
    </w:p>
    <w:p w14:paraId="103373F7">
      <w:pPr>
        <w:pageBreakBefore w:val="0"/>
        <w:kinsoku/>
        <w:wordWrap/>
        <w:overflowPunct/>
        <w:topLinePunct w:val="0"/>
        <w:bidi w:val="0"/>
        <w:spacing w:line="520" w:lineRule="exact"/>
        <w:rPr>
          <w:rFonts w:hint="eastAsia" w:ascii="宋体" w:hAnsi="宋体" w:eastAsia="宋体" w:cs="宋体"/>
          <w:b/>
          <w:bCs/>
          <w:color w:val="auto"/>
          <w:sz w:val="24"/>
          <w:szCs w:val="24"/>
          <w:highlight w:val="none"/>
        </w:rPr>
      </w:pPr>
    </w:p>
    <w:p w14:paraId="09B3FD64">
      <w:pPr>
        <w:adjustRightInd w:val="0"/>
        <w:snapToGrid w:val="0"/>
        <w:spacing w:line="360" w:lineRule="auto"/>
        <w:ind w:firstLine="426"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br w:type="page"/>
      </w:r>
    </w:p>
    <w:p w14:paraId="16069D0F">
      <w:pPr>
        <w:spacing w:line="480" w:lineRule="exact"/>
        <w:rPr>
          <w:rFonts w:hint="eastAsia" w:ascii="宋体" w:hAnsi="宋体" w:eastAsia="宋体" w:cs="宋体"/>
          <w:color w:val="auto"/>
          <w:sz w:val="24"/>
          <w:highlight w:val="none"/>
        </w:rPr>
      </w:pPr>
    </w:p>
    <w:p w14:paraId="2EA92AD3">
      <w:pPr>
        <w:pStyle w:val="4"/>
        <w:bidi w:val="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附件3-</w:t>
      </w:r>
      <w:r>
        <w:rPr>
          <w:rFonts w:hint="eastAsia" w:ascii="宋体" w:hAnsi="宋体" w:eastAsia="宋体" w:cs="宋体"/>
          <w:color w:val="auto"/>
          <w:sz w:val="30"/>
          <w:szCs w:val="30"/>
          <w:highlight w:val="none"/>
          <w:lang w:val="en-US" w:eastAsia="zh-CN"/>
        </w:rPr>
        <w:t>4</w:t>
      </w:r>
      <w:r>
        <w:rPr>
          <w:rFonts w:hint="eastAsia" w:ascii="宋体" w:hAnsi="宋体" w:eastAsia="宋体" w:cs="宋体"/>
          <w:color w:val="auto"/>
          <w:sz w:val="30"/>
          <w:szCs w:val="30"/>
          <w:highlight w:val="none"/>
        </w:rPr>
        <w:t>符合特定资格条件证明材料复印件或者情况说明</w:t>
      </w:r>
    </w:p>
    <w:p w14:paraId="5BC8CE1F">
      <w:pPr>
        <w:widowControl/>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注：按第二章第3.1项要求提供。</w:t>
      </w:r>
    </w:p>
    <w:p w14:paraId="5015FEE0">
      <w:pPr>
        <w:widowControl/>
        <w:adjustRightInd w:val="0"/>
        <w:snapToGrid w:val="0"/>
        <w:spacing w:line="360" w:lineRule="auto"/>
        <w:jc w:val="left"/>
        <w:rPr>
          <w:rFonts w:hint="eastAsia" w:ascii="宋体" w:hAnsi="宋体" w:eastAsia="宋体" w:cs="宋体"/>
          <w:color w:val="auto"/>
          <w:sz w:val="24"/>
          <w:szCs w:val="24"/>
          <w:highlight w:val="none"/>
        </w:rPr>
      </w:pPr>
    </w:p>
    <w:p w14:paraId="416D2F4D">
      <w:pPr>
        <w:widowControl/>
        <w:adjustRightInd w:val="0"/>
        <w:snapToGrid w:val="0"/>
        <w:spacing w:line="360" w:lineRule="auto"/>
        <w:jc w:val="left"/>
        <w:rPr>
          <w:rFonts w:hint="eastAsia" w:ascii="宋体" w:hAnsi="宋体" w:eastAsia="宋体" w:cs="宋体"/>
          <w:color w:val="auto"/>
          <w:sz w:val="24"/>
          <w:szCs w:val="24"/>
          <w:highlight w:val="none"/>
        </w:rPr>
      </w:pPr>
    </w:p>
    <w:p w14:paraId="50BAEC26">
      <w:pPr>
        <w:widowControl/>
        <w:adjustRightInd w:val="0"/>
        <w:snapToGrid w:val="0"/>
        <w:spacing w:line="360" w:lineRule="auto"/>
        <w:jc w:val="left"/>
        <w:rPr>
          <w:rFonts w:hint="eastAsia" w:ascii="宋体" w:hAnsi="宋体" w:eastAsia="宋体" w:cs="宋体"/>
          <w:color w:val="auto"/>
          <w:sz w:val="24"/>
          <w:szCs w:val="24"/>
          <w:highlight w:val="none"/>
          <w:lang w:val="en-US" w:eastAsia="zh-CN"/>
        </w:rPr>
      </w:pPr>
    </w:p>
    <w:p w14:paraId="75F66B98">
      <w:pPr>
        <w:spacing w:line="360" w:lineRule="auto"/>
        <w:rPr>
          <w:rFonts w:hint="eastAsia" w:ascii="宋体" w:hAnsi="宋体" w:eastAsia="宋体" w:cs="宋体"/>
          <w:b/>
          <w:bCs/>
          <w:color w:val="auto"/>
          <w:sz w:val="24"/>
          <w:szCs w:val="24"/>
          <w:highlight w:val="none"/>
        </w:rPr>
      </w:pPr>
      <w:bookmarkStart w:id="74" w:name="_Toc55813353"/>
    </w:p>
    <w:p w14:paraId="33BBAC8E">
      <w:pPr>
        <w:pStyle w:val="4"/>
        <w:bidi w:val="0"/>
        <w:rPr>
          <w:rFonts w:hint="eastAsia"/>
          <w:b/>
          <w:bCs w:val="0"/>
          <w:color w:val="auto"/>
          <w:sz w:val="30"/>
          <w:szCs w:val="30"/>
          <w:highlight w:val="none"/>
          <w:lang w:val="en-US"/>
        </w:rPr>
      </w:pPr>
      <w:r>
        <w:rPr>
          <w:rFonts w:hint="eastAsia" w:ascii="宋体" w:hAnsi="宋体" w:eastAsia="宋体" w:cs="宋体"/>
          <w:color w:val="auto"/>
          <w:sz w:val="30"/>
          <w:szCs w:val="30"/>
          <w:highlight w:val="none"/>
        </w:rPr>
        <w:t>附件3-</w:t>
      </w:r>
      <w:r>
        <w:rPr>
          <w:rFonts w:hint="eastAsia" w:ascii="宋体" w:hAnsi="宋体" w:eastAsia="宋体" w:cs="宋体"/>
          <w:color w:val="auto"/>
          <w:sz w:val="30"/>
          <w:szCs w:val="30"/>
          <w:highlight w:val="none"/>
          <w:lang w:val="en-US" w:eastAsia="zh-CN"/>
        </w:rPr>
        <w:t>5</w:t>
      </w:r>
      <w:r>
        <w:rPr>
          <w:rFonts w:hint="eastAsia"/>
          <w:b/>
          <w:bCs w:val="0"/>
          <w:color w:val="auto"/>
          <w:sz w:val="30"/>
          <w:szCs w:val="30"/>
          <w:highlight w:val="none"/>
        </w:rPr>
        <w:t>网站查询记录的网上截图</w:t>
      </w:r>
    </w:p>
    <w:p w14:paraId="55EF7787">
      <w:pPr>
        <w:bidi w:val="0"/>
        <w:rPr>
          <w:rFonts w:hint="eastAsia"/>
          <w:color w:val="auto"/>
          <w:highlight w:val="none"/>
        </w:rPr>
      </w:pPr>
      <w:r>
        <w:rPr>
          <w:rFonts w:hint="eastAsia" w:ascii="宋体" w:hAnsi="宋体" w:eastAsia="宋体" w:cs="宋体"/>
          <w:color w:val="auto"/>
          <w:kern w:val="0"/>
          <w:sz w:val="24"/>
          <w:szCs w:val="24"/>
          <w:highlight w:val="none"/>
        </w:rPr>
        <w:t>投标人在“信用中国”网站（www.creditchina.gov.cn ）、“湖南信用网”（https://credit.fgw.hunan.gov.cn/ )未列入失信被执行人和重大税收违法案件当事人名单和“中国政府采购网”（www.ccgp.gov.cn ） 网站未列入政府采购严重违法失信行为记录名单等被禁止投标记录（提供投标截止日前一个月内网站查询记录的网上截图）。</w:t>
      </w:r>
    </w:p>
    <w:p w14:paraId="09113BCD">
      <w:pPr>
        <w:rPr>
          <w:rFonts w:hint="eastAsia"/>
          <w:color w:val="auto"/>
          <w:sz w:val="24"/>
          <w:szCs w:val="24"/>
          <w:highlight w:val="none"/>
        </w:rPr>
      </w:pPr>
      <w:r>
        <w:rPr>
          <w:rFonts w:hint="eastAsia"/>
          <w:color w:val="auto"/>
          <w:sz w:val="24"/>
          <w:szCs w:val="24"/>
          <w:highlight w:val="none"/>
        </w:rPr>
        <w:br w:type="page"/>
      </w:r>
    </w:p>
    <w:p w14:paraId="5BA2A91F">
      <w:pPr>
        <w:pStyle w:val="4"/>
        <w:bidi w:val="0"/>
        <w:rPr>
          <w:rFonts w:hint="eastAsia"/>
          <w:color w:val="auto"/>
          <w:sz w:val="24"/>
          <w:szCs w:val="24"/>
          <w:highlight w:val="none"/>
        </w:rPr>
      </w:pPr>
      <w:r>
        <w:rPr>
          <w:rFonts w:hint="eastAsia"/>
          <w:color w:val="auto"/>
          <w:sz w:val="24"/>
          <w:szCs w:val="24"/>
          <w:highlight w:val="none"/>
        </w:rPr>
        <w:t>附件</w:t>
      </w:r>
      <w:r>
        <w:rPr>
          <w:rFonts w:hint="eastAsia"/>
          <w:color w:val="auto"/>
          <w:sz w:val="24"/>
          <w:szCs w:val="24"/>
          <w:highlight w:val="none"/>
          <w:lang w:val="en-US" w:eastAsia="zh-CN"/>
        </w:rPr>
        <w:t>3-</w:t>
      </w:r>
      <w:bookmarkStart w:id="75" w:name="_Toc23255922"/>
      <w:bookmarkStart w:id="76" w:name="_Toc62472934"/>
      <w:r>
        <w:rPr>
          <w:rFonts w:hint="eastAsia"/>
          <w:color w:val="auto"/>
          <w:sz w:val="24"/>
          <w:szCs w:val="24"/>
          <w:highlight w:val="none"/>
          <w:lang w:val="en-US" w:eastAsia="zh-CN"/>
        </w:rPr>
        <w:t>6</w:t>
      </w:r>
      <w:r>
        <w:rPr>
          <w:rFonts w:hint="eastAsia"/>
          <w:color w:val="auto"/>
          <w:sz w:val="24"/>
          <w:szCs w:val="24"/>
          <w:highlight w:val="none"/>
        </w:rPr>
        <w:t>参加政府采购活动前三年内在经营活动中没有重大违法记录的书面声明</w:t>
      </w:r>
    </w:p>
    <w:p w14:paraId="254CBAB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bCs/>
          <w:color w:val="auto"/>
          <w:sz w:val="24"/>
          <w:szCs w:val="24"/>
          <w:highlight w:val="none"/>
        </w:rPr>
      </w:pPr>
      <w:bookmarkStart w:id="77" w:name="_Toc19216"/>
      <w:bookmarkStart w:id="78" w:name="_Toc96615850"/>
      <w:bookmarkStart w:id="79" w:name="_Toc96616024"/>
    </w:p>
    <w:p w14:paraId="6E4E6B0A">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4"/>
          <w:szCs w:val="24"/>
          <w:highlight w:val="none"/>
        </w:rPr>
      </w:pPr>
      <w:bookmarkStart w:id="80" w:name="_Toc119401578"/>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(采购代理机构)：</w:t>
      </w:r>
      <w:bookmarkEnd w:id="77"/>
      <w:bookmarkEnd w:id="78"/>
      <w:bookmarkEnd w:id="79"/>
      <w:bookmarkEnd w:id="80"/>
    </w:p>
    <w:p w14:paraId="2835E0A0">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我单位在参加采购活动前三年内在经营活动中没有政府采购法第二十二条第一款第（五）项所称重大违法记录，包括：</w:t>
      </w:r>
    </w:p>
    <w:p w14:paraId="425F7B13">
      <w:pPr>
        <w:keepNext w:val="0"/>
        <w:keepLines w:val="0"/>
        <w:pageBreakBefore w:val="0"/>
        <w:widowControl w:val="0"/>
        <w:kinsoku/>
        <w:wordWrap/>
        <w:overflowPunct/>
        <w:topLinePunct w:val="0"/>
        <w:autoSpaceDE/>
        <w:autoSpaceDN/>
        <w:bidi w:val="0"/>
        <w:adjustRightInd/>
        <w:snapToGrid/>
        <w:spacing w:line="480" w:lineRule="auto"/>
        <w:ind w:firstLine="486"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（一）我单位或者其法定代表人、董事、监事、高级管理人员因经营活动中的违法行为受到行政处罚，但警告和罚款额在三万元以下的行政处罚除外；</w:t>
      </w:r>
    </w:p>
    <w:p w14:paraId="121D2D53">
      <w:pPr>
        <w:keepNext w:val="0"/>
        <w:keepLines w:val="0"/>
        <w:pageBreakBefore w:val="0"/>
        <w:widowControl w:val="0"/>
        <w:kinsoku/>
        <w:wordWrap/>
        <w:overflowPunct/>
        <w:topLinePunct w:val="0"/>
        <w:autoSpaceDE/>
        <w:autoSpaceDN/>
        <w:bidi w:val="0"/>
        <w:adjustRightInd/>
        <w:snapToGrid/>
        <w:spacing w:line="480" w:lineRule="auto"/>
        <w:ind w:firstLine="486"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（二）我单位或者其法定代表人、董事、监事、高级管理人员因经营活动中的违法行为受到刑事处罚。</w:t>
      </w:r>
    </w:p>
    <w:p w14:paraId="3670F3AA">
      <w:pPr>
        <w:keepNext w:val="0"/>
        <w:keepLines w:val="0"/>
        <w:pageBreakBefore w:val="0"/>
        <w:widowControl w:val="0"/>
        <w:kinsoku/>
        <w:wordWrap/>
        <w:overflowPunct/>
        <w:topLinePunct w:val="0"/>
        <w:autoSpaceDE/>
        <w:autoSpaceDN/>
        <w:bidi w:val="0"/>
        <w:adjustRightInd/>
        <w:snapToGrid/>
        <w:spacing w:line="480" w:lineRule="auto"/>
        <w:ind w:firstLine="486"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特此声明！</w:t>
      </w:r>
    </w:p>
    <w:p w14:paraId="06266D26">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投标人名称（盖单位章）：</w:t>
      </w:r>
    </w:p>
    <w:p w14:paraId="25F6446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法定代表人（单位负责人）或委托代理人：（签字或印章）</w:t>
      </w:r>
    </w:p>
    <w:p w14:paraId="2930153A">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p>
    <w:p w14:paraId="2FAAF575">
      <w:pPr>
        <w:bidi w:val="0"/>
        <w:rPr>
          <w:rFonts w:hint="eastAsia"/>
          <w:color w:val="auto"/>
          <w:highlight w:val="none"/>
        </w:rPr>
      </w:pPr>
      <w:r>
        <w:rPr>
          <w:rFonts w:hint="eastAsia" w:ascii="宋体" w:hAnsi="宋体" w:eastAsia="宋体" w:cs="宋体"/>
          <w:color w:val="auto"/>
          <w:sz w:val="24"/>
          <w:szCs w:val="24"/>
          <w:highlight w:val="none"/>
        </w:rPr>
        <w:br w:type="page"/>
      </w:r>
      <w:bookmarkEnd w:id="75"/>
      <w:bookmarkEnd w:id="76"/>
    </w:p>
    <w:p w14:paraId="51481771">
      <w:pPr>
        <w:pStyle w:val="4"/>
        <w:bidi w:val="0"/>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rPr>
        <w:t>附件3-</w:t>
      </w:r>
      <w:r>
        <w:rPr>
          <w:rFonts w:hint="eastAsia" w:ascii="宋体" w:hAnsi="宋体" w:eastAsia="宋体" w:cs="宋体"/>
          <w:color w:val="auto"/>
          <w:sz w:val="30"/>
          <w:szCs w:val="30"/>
          <w:highlight w:val="none"/>
          <w:lang w:val="en-US" w:eastAsia="zh-CN"/>
        </w:rPr>
        <w:t>7供应商认为需提供的其他资料及说明</w:t>
      </w:r>
    </w:p>
    <w:p w14:paraId="0484505B">
      <w:pPr>
        <w:spacing w:line="360" w:lineRule="auto"/>
        <w:rPr>
          <w:rFonts w:hint="eastAsia" w:ascii="宋体" w:hAnsi="宋体" w:eastAsia="宋体" w:cs="宋体"/>
          <w:b/>
          <w:bCs/>
          <w:color w:val="auto"/>
          <w:sz w:val="24"/>
          <w:szCs w:val="24"/>
          <w:highlight w:val="none"/>
          <w:lang w:val="en-US" w:eastAsia="zh-CN"/>
        </w:rPr>
      </w:pPr>
    </w:p>
    <w:p w14:paraId="7CDC3755">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szCs w:val="24"/>
          <w:highlight w:val="none"/>
        </w:rPr>
        <w:t>注：提供第二章磋商须知第3.1款供应商资格条件</w:t>
      </w:r>
      <w:r>
        <w:rPr>
          <w:rFonts w:hint="eastAsia" w:ascii="宋体" w:hAnsi="宋体" w:eastAsia="宋体" w:cs="宋体"/>
          <w:b/>
          <w:bCs/>
          <w:color w:val="auto"/>
          <w:sz w:val="24"/>
          <w:szCs w:val="24"/>
          <w:highlight w:val="none"/>
          <w:lang w:val="en-US" w:eastAsia="zh-CN"/>
        </w:rPr>
        <w:t>中供应商基本资格条件</w:t>
      </w:r>
      <w:r>
        <w:rPr>
          <w:rFonts w:hint="eastAsia" w:ascii="宋体" w:hAnsi="宋体" w:eastAsia="宋体" w:cs="宋体"/>
          <w:b/>
          <w:bCs/>
          <w:color w:val="auto"/>
          <w:sz w:val="24"/>
          <w:szCs w:val="24"/>
          <w:highlight w:val="none"/>
        </w:rPr>
        <w:t>证明资料的复印件</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或扫描件</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w:t>
      </w:r>
    </w:p>
    <w:p w14:paraId="4E668337">
      <w:pPr>
        <w:tabs>
          <w:tab w:val="left" w:pos="4725"/>
        </w:tabs>
        <w:adjustRightInd w:val="0"/>
        <w:snapToGrid w:val="0"/>
        <w:spacing w:before="158" w:beforeLines="50" w:line="360" w:lineRule="auto"/>
        <w:ind w:firstLine="745" w:firstLineChars="350"/>
        <w:rPr>
          <w:rFonts w:hint="eastAsia" w:ascii="宋体" w:hAnsi="宋体" w:eastAsia="宋体" w:cs="宋体"/>
          <w:color w:val="auto"/>
          <w:szCs w:val="21"/>
          <w:highlight w:val="none"/>
        </w:rPr>
      </w:pPr>
    </w:p>
    <w:p w14:paraId="00AB6FA0">
      <w:pPr>
        <w:adjustRightInd w:val="0"/>
        <w:snapToGrid w:val="0"/>
        <w:spacing w:line="360" w:lineRule="auto"/>
        <w:rPr>
          <w:rFonts w:hint="eastAsia" w:ascii="宋体" w:hAnsi="宋体" w:eastAsia="宋体" w:cs="宋体"/>
          <w:b/>
          <w:color w:val="auto"/>
          <w:sz w:val="24"/>
          <w:highlight w:val="none"/>
        </w:rPr>
      </w:pPr>
    </w:p>
    <w:p w14:paraId="10F3AF0F">
      <w:pPr>
        <w:rPr>
          <w:rFonts w:hint="eastAsia" w:ascii="宋体" w:hAnsi="宋体" w:eastAsia="宋体" w:cs="宋体"/>
          <w:color w:val="auto"/>
          <w:highlight w:val="none"/>
        </w:rPr>
      </w:pPr>
    </w:p>
    <w:bookmarkEnd w:id="74"/>
    <w:p w14:paraId="368B3716">
      <w:pPr>
        <w:rPr>
          <w:rFonts w:hint="eastAsia" w:ascii="宋体" w:hAnsi="宋体" w:eastAsia="宋体" w:cs="宋体"/>
          <w:color w:val="auto"/>
          <w:sz w:val="30"/>
          <w:szCs w:val="30"/>
          <w:highlight w:val="none"/>
          <w:lang w:val="en-US" w:eastAsia="zh-CN"/>
        </w:rPr>
      </w:pPr>
      <w:bookmarkStart w:id="81" w:name="_Toc18154"/>
      <w:bookmarkStart w:id="82" w:name="_Hlk66264910"/>
      <w:r>
        <w:rPr>
          <w:rFonts w:hint="eastAsia" w:ascii="宋体" w:hAnsi="宋体" w:eastAsia="宋体" w:cs="宋体"/>
          <w:color w:val="auto"/>
          <w:sz w:val="30"/>
          <w:szCs w:val="30"/>
          <w:highlight w:val="none"/>
          <w:lang w:val="en-US" w:eastAsia="zh-CN"/>
        </w:rPr>
        <w:br w:type="page"/>
      </w:r>
    </w:p>
    <w:p w14:paraId="32A3CDB5">
      <w:pPr>
        <w:pStyle w:val="3"/>
        <w:numPr>
          <w:ilvl w:val="0"/>
          <w:numId w:val="0"/>
        </w:numPr>
        <w:bidi w:val="0"/>
        <w:ind w:left="420" w:leftChars="0"/>
        <w:jc w:val="center"/>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四、技术/商务响应与偏离表</w:t>
      </w:r>
      <w:bookmarkEnd w:id="81"/>
      <w:bookmarkEnd w:id="82"/>
    </w:p>
    <w:p w14:paraId="0A8369AA">
      <w:pPr>
        <w:adjustRightInd w:val="0"/>
        <w:snapToGrid w:val="0"/>
        <w:ind w:left="-89" w:leftChars="-42" w:firstLine="364" w:firstLineChars="150"/>
        <w:rPr>
          <w:rFonts w:hint="eastAsia" w:ascii="宋体" w:hAnsi="宋体" w:eastAsia="宋体" w:cs="宋体"/>
          <w:color w:val="auto"/>
          <w:sz w:val="24"/>
          <w:highlight w:val="none"/>
          <w:u w:val="single"/>
        </w:rPr>
      </w:pPr>
    </w:p>
    <w:tbl>
      <w:tblPr>
        <w:tblStyle w:val="50"/>
        <w:tblW w:w="925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88"/>
        <w:gridCol w:w="1759"/>
        <w:gridCol w:w="2034"/>
        <w:gridCol w:w="2716"/>
        <w:gridCol w:w="1267"/>
        <w:gridCol w:w="689"/>
      </w:tblGrid>
      <w:tr w14:paraId="13651B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jc w:val="center"/>
        </w:trPr>
        <w:tc>
          <w:tcPr>
            <w:tcW w:w="788" w:type="dxa"/>
            <w:vAlign w:val="center"/>
          </w:tcPr>
          <w:p w14:paraId="0BF8508B">
            <w:pPr>
              <w:adjustRightInd w:val="0"/>
              <w:snapToGrid w:val="0"/>
              <w:ind w:left="-89" w:leftChars="-42"/>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序号</w:t>
            </w:r>
          </w:p>
        </w:tc>
        <w:tc>
          <w:tcPr>
            <w:tcW w:w="1759" w:type="dxa"/>
            <w:vAlign w:val="center"/>
          </w:tcPr>
          <w:p w14:paraId="244E8642">
            <w:pPr>
              <w:adjustRightInd w:val="0"/>
              <w:snapToGrid w:val="0"/>
              <w:ind w:left="-89"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磋商文件条目号</w:t>
            </w:r>
          </w:p>
        </w:tc>
        <w:tc>
          <w:tcPr>
            <w:tcW w:w="2034" w:type="dxa"/>
            <w:vAlign w:val="center"/>
          </w:tcPr>
          <w:p w14:paraId="68BDB9BD">
            <w:pPr>
              <w:adjustRightInd w:val="0"/>
              <w:snapToGrid w:val="0"/>
              <w:ind w:left="-89"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采购规格/商务条款</w:t>
            </w:r>
          </w:p>
        </w:tc>
        <w:tc>
          <w:tcPr>
            <w:tcW w:w="2716" w:type="dxa"/>
            <w:vAlign w:val="center"/>
          </w:tcPr>
          <w:p w14:paraId="6A48F0A1">
            <w:pPr>
              <w:adjustRightInd w:val="0"/>
              <w:snapToGrid w:val="0"/>
              <w:ind w:left="-89"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响应文件的规格/商务条款</w:t>
            </w:r>
          </w:p>
        </w:tc>
        <w:tc>
          <w:tcPr>
            <w:tcW w:w="1267" w:type="dxa"/>
            <w:vAlign w:val="center"/>
          </w:tcPr>
          <w:p w14:paraId="220EA865">
            <w:pPr>
              <w:adjustRightInd w:val="0"/>
              <w:snapToGrid w:val="0"/>
              <w:ind w:left="-89"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响应与偏离</w:t>
            </w:r>
          </w:p>
        </w:tc>
        <w:tc>
          <w:tcPr>
            <w:tcW w:w="689" w:type="dxa"/>
            <w:vAlign w:val="center"/>
          </w:tcPr>
          <w:p w14:paraId="70A86417">
            <w:pPr>
              <w:adjustRightInd w:val="0"/>
              <w:snapToGrid w:val="0"/>
              <w:ind w:left="-89"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r>
      <w:tr w14:paraId="384145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1" w:hRule="atLeast"/>
          <w:jc w:val="center"/>
        </w:trPr>
        <w:tc>
          <w:tcPr>
            <w:tcW w:w="788" w:type="dxa"/>
          </w:tcPr>
          <w:p w14:paraId="47A13515">
            <w:pPr>
              <w:adjustRightInd w:val="0"/>
              <w:snapToGrid w:val="0"/>
              <w:ind w:left="-89" w:leftChars="-42"/>
              <w:jc w:val="center"/>
              <w:rPr>
                <w:rFonts w:hint="eastAsia" w:ascii="宋体" w:hAnsi="宋体" w:eastAsia="宋体" w:cs="宋体"/>
                <w:color w:val="auto"/>
                <w:sz w:val="24"/>
                <w:highlight w:val="none"/>
              </w:rPr>
            </w:pPr>
          </w:p>
        </w:tc>
        <w:tc>
          <w:tcPr>
            <w:tcW w:w="1759" w:type="dxa"/>
            <w:vAlign w:val="center"/>
          </w:tcPr>
          <w:p w14:paraId="4A85F9A0">
            <w:pPr>
              <w:adjustRightInd w:val="0"/>
              <w:snapToGrid w:val="0"/>
              <w:ind w:left="-89" w:leftChars="-42"/>
              <w:jc w:val="center"/>
              <w:rPr>
                <w:rFonts w:hint="eastAsia" w:ascii="宋体" w:hAnsi="宋体" w:eastAsia="宋体" w:cs="宋体"/>
                <w:color w:val="auto"/>
                <w:sz w:val="24"/>
                <w:highlight w:val="none"/>
              </w:rPr>
            </w:pPr>
          </w:p>
        </w:tc>
        <w:tc>
          <w:tcPr>
            <w:tcW w:w="2034" w:type="dxa"/>
            <w:vAlign w:val="center"/>
          </w:tcPr>
          <w:p w14:paraId="7B82D650">
            <w:pPr>
              <w:adjustRightInd w:val="0"/>
              <w:snapToGrid w:val="0"/>
              <w:ind w:left="-89" w:leftChars="-42"/>
              <w:jc w:val="center"/>
              <w:rPr>
                <w:rFonts w:hint="eastAsia" w:ascii="宋体" w:hAnsi="宋体" w:eastAsia="宋体" w:cs="宋体"/>
                <w:color w:val="auto"/>
                <w:sz w:val="24"/>
                <w:highlight w:val="none"/>
              </w:rPr>
            </w:pPr>
          </w:p>
        </w:tc>
        <w:tc>
          <w:tcPr>
            <w:tcW w:w="2716" w:type="dxa"/>
            <w:vAlign w:val="center"/>
          </w:tcPr>
          <w:p w14:paraId="69A7C05B">
            <w:pPr>
              <w:adjustRightInd w:val="0"/>
              <w:snapToGrid w:val="0"/>
              <w:ind w:left="-89" w:leftChars="-42"/>
              <w:jc w:val="center"/>
              <w:rPr>
                <w:rFonts w:hint="eastAsia" w:ascii="宋体" w:hAnsi="宋体" w:eastAsia="宋体" w:cs="宋体"/>
                <w:color w:val="auto"/>
                <w:sz w:val="24"/>
                <w:highlight w:val="none"/>
              </w:rPr>
            </w:pPr>
          </w:p>
        </w:tc>
        <w:tc>
          <w:tcPr>
            <w:tcW w:w="1267" w:type="dxa"/>
            <w:vAlign w:val="center"/>
          </w:tcPr>
          <w:p w14:paraId="30174EB3">
            <w:pPr>
              <w:adjustRightInd w:val="0"/>
              <w:snapToGrid w:val="0"/>
              <w:ind w:left="-89" w:leftChars="-42"/>
              <w:jc w:val="center"/>
              <w:rPr>
                <w:rFonts w:hint="eastAsia" w:ascii="宋体" w:hAnsi="宋体" w:eastAsia="宋体" w:cs="宋体"/>
                <w:color w:val="auto"/>
                <w:sz w:val="24"/>
                <w:highlight w:val="none"/>
              </w:rPr>
            </w:pPr>
          </w:p>
        </w:tc>
        <w:tc>
          <w:tcPr>
            <w:tcW w:w="689" w:type="dxa"/>
            <w:vAlign w:val="center"/>
          </w:tcPr>
          <w:p w14:paraId="08169323">
            <w:pPr>
              <w:adjustRightInd w:val="0"/>
              <w:snapToGrid w:val="0"/>
              <w:ind w:left="-89" w:leftChars="-42"/>
              <w:jc w:val="center"/>
              <w:rPr>
                <w:rFonts w:hint="eastAsia" w:ascii="宋体" w:hAnsi="宋体" w:eastAsia="宋体" w:cs="宋体"/>
                <w:color w:val="auto"/>
                <w:sz w:val="24"/>
                <w:highlight w:val="none"/>
              </w:rPr>
            </w:pPr>
          </w:p>
        </w:tc>
      </w:tr>
      <w:tr w14:paraId="0B876A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1" w:hRule="atLeast"/>
          <w:jc w:val="center"/>
        </w:trPr>
        <w:tc>
          <w:tcPr>
            <w:tcW w:w="788" w:type="dxa"/>
          </w:tcPr>
          <w:p w14:paraId="165678CD">
            <w:pPr>
              <w:adjustRightInd w:val="0"/>
              <w:snapToGrid w:val="0"/>
              <w:ind w:left="-89" w:leftChars="-42"/>
              <w:jc w:val="center"/>
              <w:rPr>
                <w:rFonts w:hint="eastAsia" w:ascii="宋体" w:hAnsi="宋体" w:eastAsia="宋体" w:cs="宋体"/>
                <w:color w:val="auto"/>
                <w:sz w:val="24"/>
                <w:highlight w:val="none"/>
              </w:rPr>
            </w:pPr>
          </w:p>
        </w:tc>
        <w:tc>
          <w:tcPr>
            <w:tcW w:w="1759" w:type="dxa"/>
            <w:vAlign w:val="center"/>
          </w:tcPr>
          <w:p w14:paraId="0FA64097">
            <w:pPr>
              <w:adjustRightInd w:val="0"/>
              <w:snapToGrid w:val="0"/>
              <w:ind w:left="-89" w:leftChars="-42"/>
              <w:jc w:val="center"/>
              <w:rPr>
                <w:rFonts w:hint="eastAsia" w:ascii="宋体" w:hAnsi="宋体" w:eastAsia="宋体" w:cs="宋体"/>
                <w:color w:val="auto"/>
                <w:sz w:val="24"/>
                <w:highlight w:val="none"/>
              </w:rPr>
            </w:pPr>
          </w:p>
        </w:tc>
        <w:tc>
          <w:tcPr>
            <w:tcW w:w="2034" w:type="dxa"/>
            <w:vAlign w:val="center"/>
          </w:tcPr>
          <w:p w14:paraId="290CD938">
            <w:pPr>
              <w:adjustRightInd w:val="0"/>
              <w:snapToGrid w:val="0"/>
              <w:ind w:left="-89" w:leftChars="-42"/>
              <w:jc w:val="center"/>
              <w:rPr>
                <w:rFonts w:hint="eastAsia" w:ascii="宋体" w:hAnsi="宋体" w:eastAsia="宋体" w:cs="宋体"/>
                <w:color w:val="auto"/>
                <w:sz w:val="24"/>
                <w:highlight w:val="none"/>
              </w:rPr>
            </w:pPr>
          </w:p>
        </w:tc>
        <w:tc>
          <w:tcPr>
            <w:tcW w:w="2716" w:type="dxa"/>
            <w:vAlign w:val="center"/>
          </w:tcPr>
          <w:p w14:paraId="523E6879">
            <w:pPr>
              <w:adjustRightInd w:val="0"/>
              <w:snapToGrid w:val="0"/>
              <w:ind w:left="-89" w:leftChars="-42"/>
              <w:jc w:val="center"/>
              <w:rPr>
                <w:rFonts w:hint="eastAsia" w:ascii="宋体" w:hAnsi="宋体" w:eastAsia="宋体" w:cs="宋体"/>
                <w:color w:val="auto"/>
                <w:sz w:val="24"/>
                <w:highlight w:val="none"/>
              </w:rPr>
            </w:pPr>
          </w:p>
        </w:tc>
        <w:tc>
          <w:tcPr>
            <w:tcW w:w="1267" w:type="dxa"/>
            <w:vAlign w:val="center"/>
          </w:tcPr>
          <w:p w14:paraId="5CBB63AA">
            <w:pPr>
              <w:adjustRightInd w:val="0"/>
              <w:snapToGrid w:val="0"/>
              <w:ind w:left="-89" w:leftChars="-42"/>
              <w:jc w:val="center"/>
              <w:rPr>
                <w:rFonts w:hint="eastAsia" w:ascii="宋体" w:hAnsi="宋体" w:eastAsia="宋体" w:cs="宋体"/>
                <w:color w:val="auto"/>
                <w:sz w:val="24"/>
                <w:highlight w:val="none"/>
              </w:rPr>
            </w:pPr>
          </w:p>
        </w:tc>
        <w:tc>
          <w:tcPr>
            <w:tcW w:w="689" w:type="dxa"/>
            <w:vAlign w:val="center"/>
          </w:tcPr>
          <w:p w14:paraId="54E699E9">
            <w:pPr>
              <w:adjustRightInd w:val="0"/>
              <w:snapToGrid w:val="0"/>
              <w:ind w:left="-89" w:leftChars="-42"/>
              <w:jc w:val="center"/>
              <w:rPr>
                <w:rFonts w:hint="eastAsia" w:ascii="宋体" w:hAnsi="宋体" w:eastAsia="宋体" w:cs="宋体"/>
                <w:color w:val="auto"/>
                <w:sz w:val="24"/>
                <w:highlight w:val="none"/>
              </w:rPr>
            </w:pPr>
          </w:p>
        </w:tc>
      </w:tr>
      <w:tr w14:paraId="50099F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1" w:hRule="atLeast"/>
          <w:jc w:val="center"/>
        </w:trPr>
        <w:tc>
          <w:tcPr>
            <w:tcW w:w="788" w:type="dxa"/>
          </w:tcPr>
          <w:p w14:paraId="24CAE7E3">
            <w:pPr>
              <w:adjustRightInd w:val="0"/>
              <w:snapToGrid w:val="0"/>
              <w:ind w:left="-89" w:leftChars="-42"/>
              <w:jc w:val="center"/>
              <w:rPr>
                <w:rFonts w:hint="eastAsia" w:ascii="宋体" w:hAnsi="宋体" w:eastAsia="宋体" w:cs="宋体"/>
                <w:color w:val="auto"/>
                <w:sz w:val="24"/>
                <w:highlight w:val="none"/>
              </w:rPr>
            </w:pPr>
          </w:p>
        </w:tc>
        <w:tc>
          <w:tcPr>
            <w:tcW w:w="1759" w:type="dxa"/>
            <w:vAlign w:val="center"/>
          </w:tcPr>
          <w:p w14:paraId="1F7F8294">
            <w:pPr>
              <w:adjustRightInd w:val="0"/>
              <w:snapToGrid w:val="0"/>
              <w:ind w:left="-89" w:leftChars="-42"/>
              <w:jc w:val="center"/>
              <w:rPr>
                <w:rFonts w:hint="eastAsia" w:ascii="宋体" w:hAnsi="宋体" w:eastAsia="宋体" w:cs="宋体"/>
                <w:color w:val="auto"/>
                <w:sz w:val="24"/>
                <w:highlight w:val="none"/>
              </w:rPr>
            </w:pPr>
          </w:p>
        </w:tc>
        <w:tc>
          <w:tcPr>
            <w:tcW w:w="2034" w:type="dxa"/>
            <w:vAlign w:val="center"/>
          </w:tcPr>
          <w:p w14:paraId="50291A7E">
            <w:pPr>
              <w:adjustRightInd w:val="0"/>
              <w:snapToGrid w:val="0"/>
              <w:ind w:left="-89" w:leftChars="-42"/>
              <w:jc w:val="center"/>
              <w:rPr>
                <w:rFonts w:hint="eastAsia" w:ascii="宋体" w:hAnsi="宋体" w:eastAsia="宋体" w:cs="宋体"/>
                <w:color w:val="auto"/>
                <w:sz w:val="24"/>
                <w:highlight w:val="none"/>
              </w:rPr>
            </w:pPr>
          </w:p>
        </w:tc>
        <w:tc>
          <w:tcPr>
            <w:tcW w:w="2716" w:type="dxa"/>
            <w:vAlign w:val="center"/>
          </w:tcPr>
          <w:p w14:paraId="37BF6FFD">
            <w:pPr>
              <w:adjustRightInd w:val="0"/>
              <w:snapToGrid w:val="0"/>
              <w:ind w:left="-89" w:leftChars="-42"/>
              <w:jc w:val="center"/>
              <w:rPr>
                <w:rFonts w:hint="eastAsia" w:ascii="宋体" w:hAnsi="宋体" w:eastAsia="宋体" w:cs="宋体"/>
                <w:color w:val="auto"/>
                <w:sz w:val="24"/>
                <w:highlight w:val="none"/>
              </w:rPr>
            </w:pPr>
          </w:p>
        </w:tc>
        <w:tc>
          <w:tcPr>
            <w:tcW w:w="1267" w:type="dxa"/>
            <w:vAlign w:val="center"/>
          </w:tcPr>
          <w:p w14:paraId="2FFCF8B8">
            <w:pPr>
              <w:adjustRightInd w:val="0"/>
              <w:snapToGrid w:val="0"/>
              <w:ind w:left="-89" w:leftChars="-42"/>
              <w:jc w:val="center"/>
              <w:rPr>
                <w:rFonts w:hint="eastAsia" w:ascii="宋体" w:hAnsi="宋体" w:eastAsia="宋体" w:cs="宋体"/>
                <w:color w:val="auto"/>
                <w:sz w:val="24"/>
                <w:highlight w:val="none"/>
              </w:rPr>
            </w:pPr>
          </w:p>
        </w:tc>
        <w:tc>
          <w:tcPr>
            <w:tcW w:w="689" w:type="dxa"/>
            <w:vAlign w:val="center"/>
          </w:tcPr>
          <w:p w14:paraId="0B3B0E86">
            <w:pPr>
              <w:adjustRightInd w:val="0"/>
              <w:snapToGrid w:val="0"/>
              <w:ind w:left="-89" w:leftChars="-42"/>
              <w:jc w:val="center"/>
              <w:rPr>
                <w:rFonts w:hint="eastAsia" w:ascii="宋体" w:hAnsi="宋体" w:eastAsia="宋体" w:cs="宋体"/>
                <w:color w:val="auto"/>
                <w:sz w:val="24"/>
                <w:highlight w:val="none"/>
              </w:rPr>
            </w:pPr>
          </w:p>
        </w:tc>
      </w:tr>
      <w:tr w14:paraId="393E59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1" w:hRule="atLeast"/>
          <w:jc w:val="center"/>
        </w:trPr>
        <w:tc>
          <w:tcPr>
            <w:tcW w:w="788" w:type="dxa"/>
          </w:tcPr>
          <w:p w14:paraId="59DD245A">
            <w:pPr>
              <w:adjustRightInd w:val="0"/>
              <w:snapToGrid w:val="0"/>
              <w:ind w:left="-89" w:leftChars="-42"/>
              <w:jc w:val="center"/>
              <w:rPr>
                <w:rFonts w:hint="eastAsia" w:ascii="宋体" w:hAnsi="宋体" w:eastAsia="宋体" w:cs="宋体"/>
                <w:color w:val="auto"/>
                <w:sz w:val="24"/>
                <w:highlight w:val="none"/>
              </w:rPr>
            </w:pPr>
          </w:p>
        </w:tc>
        <w:tc>
          <w:tcPr>
            <w:tcW w:w="1759" w:type="dxa"/>
            <w:vAlign w:val="center"/>
          </w:tcPr>
          <w:p w14:paraId="7B0CE48B">
            <w:pPr>
              <w:adjustRightInd w:val="0"/>
              <w:snapToGrid w:val="0"/>
              <w:ind w:left="-89" w:leftChars="-42"/>
              <w:jc w:val="center"/>
              <w:rPr>
                <w:rFonts w:hint="eastAsia" w:ascii="宋体" w:hAnsi="宋体" w:eastAsia="宋体" w:cs="宋体"/>
                <w:color w:val="auto"/>
                <w:sz w:val="24"/>
                <w:highlight w:val="none"/>
              </w:rPr>
            </w:pPr>
          </w:p>
        </w:tc>
        <w:tc>
          <w:tcPr>
            <w:tcW w:w="2034" w:type="dxa"/>
            <w:vAlign w:val="center"/>
          </w:tcPr>
          <w:p w14:paraId="4B235170">
            <w:pPr>
              <w:adjustRightInd w:val="0"/>
              <w:snapToGrid w:val="0"/>
              <w:ind w:left="-89" w:leftChars="-42"/>
              <w:jc w:val="center"/>
              <w:rPr>
                <w:rFonts w:hint="eastAsia" w:ascii="宋体" w:hAnsi="宋体" w:eastAsia="宋体" w:cs="宋体"/>
                <w:color w:val="auto"/>
                <w:sz w:val="24"/>
                <w:highlight w:val="none"/>
              </w:rPr>
            </w:pPr>
          </w:p>
        </w:tc>
        <w:tc>
          <w:tcPr>
            <w:tcW w:w="2716" w:type="dxa"/>
            <w:vAlign w:val="center"/>
          </w:tcPr>
          <w:p w14:paraId="3E666FFB">
            <w:pPr>
              <w:adjustRightInd w:val="0"/>
              <w:snapToGrid w:val="0"/>
              <w:ind w:left="-89" w:leftChars="-42"/>
              <w:jc w:val="center"/>
              <w:rPr>
                <w:rFonts w:hint="eastAsia" w:ascii="宋体" w:hAnsi="宋体" w:eastAsia="宋体" w:cs="宋体"/>
                <w:color w:val="auto"/>
                <w:sz w:val="24"/>
                <w:highlight w:val="none"/>
              </w:rPr>
            </w:pPr>
          </w:p>
        </w:tc>
        <w:tc>
          <w:tcPr>
            <w:tcW w:w="1267" w:type="dxa"/>
            <w:vAlign w:val="center"/>
          </w:tcPr>
          <w:p w14:paraId="206B8510">
            <w:pPr>
              <w:adjustRightInd w:val="0"/>
              <w:snapToGrid w:val="0"/>
              <w:ind w:left="-89" w:leftChars="-42"/>
              <w:jc w:val="center"/>
              <w:rPr>
                <w:rFonts w:hint="eastAsia" w:ascii="宋体" w:hAnsi="宋体" w:eastAsia="宋体" w:cs="宋体"/>
                <w:color w:val="auto"/>
                <w:sz w:val="24"/>
                <w:highlight w:val="none"/>
              </w:rPr>
            </w:pPr>
          </w:p>
        </w:tc>
        <w:tc>
          <w:tcPr>
            <w:tcW w:w="689" w:type="dxa"/>
            <w:vAlign w:val="center"/>
          </w:tcPr>
          <w:p w14:paraId="04D15558">
            <w:pPr>
              <w:adjustRightInd w:val="0"/>
              <w:snapToGrid w:val="0"/>
              <w:ind w:left="-89" w:leftChars="-42"/>
              <w:jc w:val="center"/>
              <w:rPr>
                <w:rFonts w:hint="eastAsia" w:ascii="宋体" w:hAnsi="宋体" w:eastAsia="宋体" w:cs="宋体"/>
                <w:color w:val="auto"/>
                <w:sz w:val="24"/>
                <w:highlight w:val="none"/>
              </w:rPr>
            </w:pPr>
          </w:p>
        </w:tc>
      </w:tr>
      <w:tr w14:paraId="611239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1" w:hRule="atLeast"/>
          <w:jc w:val="center"/>
        </w:trPr>
        <w:tc>
          <w:tcPr>
            <w:tcW w:w="788" w:type="dxa"/>
          </w:tcPr>
          <w:p w14:paraId="51F6D25D">
            <w:pPr>
              <w:adjustRightInd w:val="0"/>
              <w:snapToGrid w:val="0"/>
              <w:ind w:left="-89" w:leftChars="-42"/>
              <w:jc w:val="center"/>
              <w:rPr>
                <w:rFonts w:hint="eastAsia" w:ascii="宋体" w:hAnsi="宋体" w:eastAsia="宋体" w:cs="宋体"/>
                <w:color w:val="auto"/>
                <w:sz w:val="24"/>
                <w:highlight w:val="none"/>
              </w:rPr>
            </w:pPr>
          </w:p>
        </w:tc>
        <w:tc>
          <w:tcPr>
            <w:tcW w:w="1759" w:type="dxa"/>
            <w:vAlign w:val="center"/>
          </w:tcPr>
          <w:p w14:paraId="3147AF4D">
            <w:pPr>
              <w:adjustRightInd w:val="0"/>
              <w:snapToGrid w:val="0"/>
              <w:ind w:left="-89" w:leftChars="-42"/>
              <w:jc w:val="center"/>
              <w:rPr>
                <w:rFonts w:hint="eastAsia" w:ascii="宋体" w:hAnsi="宋体" w:eastAsia="宋体" w:cs="宋体"/>
                <w:color w:val="auto"/>
                <w:sz w:val="24"/>
                <w:highlight w:val="none"/>
              </w:rPr>
            </w:pPr>
          </w:p>
        </w:tc>
        <w:tc>
          <w:tcPr>
            <w:tcW w:w="2034" w:type="dxa"/>
            <w:vAlign w:val="center"/>
          </w:tcPr>
          <w:p w14:paraId="1E083F05">
            <w:pPr>
              <w:adjustRightInd w:val="0"/>
              <w:snapToGrid w:val="0"/>
              <w:ind w:left="-89" w:leftChars="-42"/>
              <w:jc w:val="center"/>
              <w:rPr>
                <w:rFonts w:hint="eastAsia" w:ascii="宋体" w:hAnsi="宋体" w:eastAsia="宋体" w:cs="宋体"/>
                <w:color w:val="auto"/>
                <w:sz w:val="24"/>
                <w:highlight w:val="none"/>
              </w:rPr>
            </w:pPr>
          </w:p>
        </w:tc>
        <w:tc>
          <w:tcPr>
            <w:tcW w:w="2716" w:type="dxa"/>
            <w:vAlign w:val="center"/>
          </w:tcPr>
          <w:p w14:paraId="059B9546">
            <w:pPr>
              <w:adjustRightInd w:val="0"/>
              <w:snapToGrid w:val="0"/>
              <w:ind w:left="-89" w:leftChars="-42"/>
              <w:jc w:val="center"/>
              <w:rPr>
                <w:rFonts w:hint="eastAsia" w:ascii="宋体" w:hAnsi="宋体" w:eastAsia="宋体" w:cs="宋体"/>
                <w:color w:val="auto"/>
                <w:sz w:val="24"/>
                <w:highlight w:val="none"/>
              </w:rPr>
            </w:pPr>
          </w:p>
        </w:tc>
        <w:tc>
          <w:tcPr>
            <w:tcW w:w="1267" w:type="dxa"/>
            <w:vAlign w:val="center"/>
          </w:tcPr>
          <w:p w14:paraId="4429E51C">
            <w:pPr>
              <w:adjustRightInd w:val="0"/>
              <w:snapToGrid w:val="0"/>
              <w:ind w:left="-89" w:leftChars="-42"/>
              <w:jc w:val="center"/>
              <w:rPr>
                <w:rFonts w:hint="eastAsia" w:ascii="宋体" w:hAnsi="宋体" w:eastAsia="宋体" w:cs="宋体"/>
                <w:color w:val="auto"/>
                <w:sz w:val="24"/>
                <w:highlight w:val="none"/>
              </w:rPr>
            </w:pPr>
          </w:p>
        </w:tc>
        <w:tc>
          <w:tcPr>
            <w:tcW w:w="689" w:type="dxa"/>
            <w:vAlign w:val="center"/>
          </w:tcPr>
          <w:p w14:paraId="76156DE0">
            <w:pPr>
              <w:adjustRightInd w:val="0"/>
              <w:snapToGrid w:val="0"/>
              <w:ind w:left="-89" w:leftChars="-42"/>
              <w:jc w:val="center"/>
              <w:rPr>
                <w:rFonts w:hint="eastAsia" w:ascii="宋体" w:hAnsi="宋体" w:eastAsia="宋体" w:cs="宋体"/>
                <w:color w:val="auto"/>
                <w:sz w:val="24"/>
                <w:highlight w:val="none"/>
              </w:rPr>
            </w:pPr>
          </w:p>
        </w:tc>
      </w:tr>
    </w:tbl>
    <w:p w14:paraId="60A67592">
      <w:pPr>
        <w:adjustRightInd w:val="0"/>
        <w:snapToGrid w:val="0"/>
        <w:spacing w:line="380" w:lineRule="exact"/>
        <w:rPr>
          <w:rFonts w:hint="eastAsia" w:ascii="宋体" w:hAnsi="宋体" w:eastAsia="宋体" w:cs="宋体"/>
          <w:b/>
          <w:color w:val="auto"/>
          <w:szCs w:val="21"/>
          <w:highlight w:val="none"/>
        </w:rPr>
      </w:pPr>
    </w:p>
    <w:p w14:paraId="6572B844">
      <w:pPr>
        <w:adjustRightInd w:val="0"/>
        <w:snapToGrid w:val="0"/>
        <w:spacing w:line="38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说明：投标人对照磋商文件【</w:t>
      </w:r>
      <w:r>
        <w:rPr>
          <w:rFonts w:hint="eastAsia" w:ascii="宋体" w:hAnsi="宋体" w:cs="宋体"/>
          <w:b/>
          <w:color w:val="auto"/>
          <w:sz w:val="24"/>
          <w:szCs w:val="24"/>
          <w:highlight w:val="none"/>
          <w:lang w:val="en-US" w:eastAsia="zh-CN"/>
        </w:rPr>
        <w:t>第四章</w:t>
      </w:r>
      <w:r>
        <w:rPr>
          <w:rFonts w:hint="eastAsia" w:ascii="宋体" w:hAnsi="宋体" w:eastAsia="宋体" w:cs="宋体"/>
          <w:b/>
          <w:color w:val="auto"/>
          <w:sz w:val="24"/>
          <w:szCs w:val="24"/>
          <w:highlight w:val="none"/>
        </w:rPr>
        <w:t>采购需求】逐条填写本表</w:t>
      </w:r>
      <w:r>
        <w:rPr>
          <w:rFonts w:hint="eastAsia" w:ascii="宋体" w:hAnsi="宋体" w:cs="宋体"/>
          <w:b/>
          <w:color w:val="auto"/>
          <w:sz w:val="24"/>
          <w:szCs w:val="24"/>
          <w:highlight w:val="none"/>
          <w:lang w:eastAsia="zh-CN"/>
        </w:rPr>
        <w:t>。</w:t>
      </w:r>
    </w:p>
    <w:p w14:paraId="4894DD28">
      <w:pPr>
        <w:adjustRightInd w:val="0"/>
        <w:snapToGrid w:val="0"/>
        <w:spacing w:line="380" w:lineRule="exact"/>
        <w:ind w:firstLine="426"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1、“响应与偏离”应注明“响应”或“偏离”。</w:t>
      </w:r>
    </w:p>
    <w:p w14:paraId="04024726">
      <w:pPr>
        <w:adjustRightInd w:val="0"/>
        <w:snapToGrid w:val="0"/>
        <w:spacing w:line="380" w:lineRule="exact"/>
        <w:ind w:firstLine="426"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2、属磋商文件规定可能变动的内容在“说明”栏中注明。</w:t>
      </w:r>
    </w:p>
    <w:p w14:paraId="1D36A127">
      <w:pPr>
        <w:pStyle w:val="31"/>
        <w:bidi w:val="0"/>
        <w:rPr>
          <w:rFonts w:hint="eastAsia" w:ascii="宋体" w:hAnsi="宋体" w:eastAsia="宋体" w:cs="宋体"/>
          <w:color w:val="auto"/>
          <w:highlight w:val="none"/>
        </w:rPr>
      </w:pPr>
    </w:p>
    <w:p w14:paraId="7310A391">
      <w:pPr>
        <w:rPr>
          <w:rFonts w:hint="eastAsia" w:ascii="宋体" w:hAnsi="宋体" w:eastAsia="宋体" w:cs="宋体"/>
          <w:color w:val="auto"/>
          <w:sz w:val="24"/>
          <w:highlight w:val="none"/>
        </w:rPr>
      </w:pPr>
    </w:p>
    <w:p w14:paraId="6CF132B0">
      <w:pPr>
        <w:rPr>
          <w:rFonts w:hint="eastAsia" w:ascii="宋体" w:hAnsi="宋体" w:eastAsia="宋体" w:cs="宋体"/>
          <w:color w:val="auto"/>
          <w:sz w:val="24"/>
          <w:highlight w:val="none"/>
        </w:rPr>
      </w:pPr>
    </w:p>
    <w:p w14:paraId="4B1BBD52">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供应商名称（盖单位章）：                   </w:t>
      </w:r>
    </w:p>
    <w:p w14:paraId="625F21DB">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法定代表人或其委托代理人（签字）：                   </w:t>
      </w:r>
    </w:p>
    <w:p w14:paraId="1D942B6F">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日期：       年    月    日</w:t>
      </w:r>
    </w:p>
    <w:p w14:paraId="733725CA">
      <w:pPr>
        <w:adjustRightInd w:val="0"/>
        <w:snapToGrid w:val="0"/>
        <w:rPr>
          <w:rFonts w:hint="eastAsia" w:ascii="宋体" w:hAnsi="宋体" w:eastAsia="宋体" w:cs="宋体"/>
          <w:color w:val="auto"/>
          <w:sz w:val="24"/>
          <w:highlight w:val="none"/>
        </w:rPr>
      </w:pPr>
    </w:p>
    <w:p w14:paraId="09BD50EF">
      <w:pPr>
        <w:tabs>
          <w:tab w:val="left" w:pos="3600"/>
        </w:tabs>
        <w:adjustRightInd w:val="0"/>
        <w:snapToGrid w:val="0"/>
        <w:jc w:val="center"/>
        <w:rPr>
          <w:rFonts w:hint="eastAsia" w:ascii="宋体" w:hAnsi="宋体" w:eastAsia="宋体" w:cs="宋体"/>
          <w:b/>
          <w:color w:val="auto"/>
          <w:sz w:val="24"/>
          <w:highlight w:val="none"/>
        </w:rPr>
      </w:pPr>
    </w:p>
    <w:p w14:paraId="276FD763">
      <w:pPr>
        <w:tabs>
          <w:tab w:val="left" w:pos="3600"/>
        </w:tabs>
        <w:adjustRightInd w:val="0"/>
        <w:snapToGrid w:val="0"/>
        <w:jc w:val="center"/>
        <w:rPr>
          <w:rFonts w:hint="eastAsia" w:ascii="宋体" w:hAnsi="宋体" w:eastAsia="宋体" w:cs="宋体"/>
          <w:b/>
          <w:color w:val="auto"/>
          <w:sz w:val="24"/>
          <w:highlight w:val="none"/>
        </w:rPr>
      </w:pPr>
    </w:p>
    <w:p w14:paraId="12C37740">
      <w:pPr>
        <w:tabs>
          <w:tab w:val="left" w:pos="3600"/>
        </w:tabs>
        <w:adjustRightInd w:val="0"/>
        <w:snapToGrid w:val="0"/>
        <w:jc w:val="center"/>
        <w:rPr>
          <w:rFonts w:hint="eastAsia" w:ascii="宋体" w:hAnsi="宋体" w:eastAsia="宋体" w:cs="宋体"/>
          <w:b/>
          <w:color w:val="auto"/>
          <w:sz w:val="24"/>
          <w:highlight w:val="none"/>
        </w:rPr>
      </w:pPr>
    </w:p>
    <w:p w14:paraId="08C6FBC8">
      <w:pPr>
        <w:widowControl/>
        <w:jc w:val="center"/>
        <w:rPr>
          <w:rFonts w:hint="eastAsia" w:ascii="宋体" w:hAnsi="宋体" w:eastAsia="宋体" w:cs="宋体"/>
          <w:b/>
          <w:color w:val="auto"/>
          <w:sz w:val="28"/>
          <w:szCs w:val="28"/>
          <w:highlight w:val="none"/>
        </w:rPr>
        <w:sectPr>
          <w:pgSz w:w="11906" w:h="16838"/>
          <w:pgMar w:top="1304" w:right="1304" w:bottom="1304" w:left="1417" w:header="851" w:footer="992" w:gutter="0"/>
          <w:pgNumType w:fmt="decimal"/>
          <w:cols w:space="0" w:num="1"/>
          <w:docGrid w:type="linesAndChars" w:linePitch="316" w:charSpace="738"/>
        </w:sectPr>
      </w:pPr>
    </w:p>
    <w:p w14:paraId="010D69AA">
      <w:pPr>
        <w:pStyle w:val="3"/>
        <w:bidi w:val="0"/>
        <w:jc w:val="center"/>
        <w:rPr>
          <w:rFonts w:hint="eastAsia" w:ascii="宋体" w:hAnsi="宋体" w:eastAsia="宋体" w:cs="宋体"/>
          <w:color w:val="auto"/>
          <w:sz w:val="30"/>
          <w:szCs w:val="30"/>
          <w:highlight w:val="none"/>
        </w:rPr>
      </w:pPr>
      <w:bookmarkStart w:id="83" w:name="_Toc29259"/>
      <w:r>
        <w:rPr>
          <w:rFonts w:hint="eastAsia" w:ascii="宋体" w:hAnsi="宋体" w:eastAsia="宋体" w:cs="宋体"/>
          <w:color w:val="auto"/>
          <w:sz w:val="30"/>
          <w:szCs w:val="30"/>
          <w:highlight w:val="none"/>
        </w:rPr>
        <w:t>五、提供政府采购政策产品等证明材料</w:t>
      </w:r>
      <w:bookmarkEnd w:id="83"/>
    </w:p>
    <w:p w14:paraId="5E2E569B">
      <w:pPr>
        <w:pStyle w:val="22"/>
        <w:rPr>
          <w:rFonts w:hint="eastAsia" w:ascii="宋体" w:hAnsi="宋体" w:eastAsia="宋体" w:cs="宋体"/>
          <w:color w:val="auto"/>
          <w:highlight w:val="none"/>
        </w:rPr>
      </w:pPr>
    </w:p>
    <w:p w14:paraId="2788568B">
      <w:pPr>
        <w:pStyle w:val="4"/>
        <w:bidi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附件5-1 中小企业声明函</w:t>
      </w:r>
    </w:p>
    <w:p w14:paraId="28E531E1">
      <w:pPr>
        <w:adjustRightInd w:val="0"/>
        <w:snapToGrid w:val="0"/>
        <w:jc w:val="center"/>
        <w:rPr>
          <w:rFonts w:hint="eastAsia" w:ascii="宋体" w:hAnsi="宋体" w:eastAsia="宋体" w:cs="宋体"/>
          <w:bCs/>
          <w:color w:val="auto"/>
          <w:spacing w:val="6"/>
          <w:kern w:val="0"/>
          <w:sz w:val="24"/>
          <w:highlight w:val="none"/>
        </w:rPr>
      </w:pPr>
    </w:p>
    <w:p w14:paraId="3ED197D0">
      <w:pPr>
        <w:bidi w:val="0"/>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中小企业声明函（货物）</w:t>
      </w:r>
    </w:p>
    <w:p w14:paraId="5C9F16A1">
      <w:pPr>
        <w:bidi w:val="0"/>
        <w:rPr>
          <w:rFonts w:hint="eastAsia" w:ascii="宋体" w:hAnsi="宋体" w:eastAsia="宋体" w:cs="宋体"/>
          <w:color w:val="auto"/>
          <w:highlight w:val="none"/>
          <w:lang w:val="en-US" w:eastAsia="zh-CN"/>
        </w:rPr>
      </w:pPr>
    </w:p>
    <w:p w14:paraId="41C3AE9D">
      <w:pPr>
        <w:pageBreakBefore w:val="0"/>
        <w:widowControl/>
        <w:kinsoku/>
        <w:wordWrap/>
        <w:overflowPunct/>
        <w:topLinePunct w:val="0"/>
        <w:autoSpaceDE/>
        <w:autoSpaceDN/>
        <w:bidi w:val="0"/>
        <w:adjustRightInd w:val="0"/>
        <w:snapToGrid w:val="0"/>
        <w:spacing w:line="500" w:lineRule="exact"/>
        <w:ind w:firstLine="444" w:firstLineChars="200"/>
        <w:jc w:val="left"/>
        <w:textAlignment w:val="auto"/>
        <w:rPr>
          <w:rFonts w:hint="eastAsia" w:ascii="宋体" w:hAnsi="宋体" w:eastAsia="宋体" w:cs="宋体"/>
          <w:color w:val="auto"/>
          <w:spacing w:val="6"/>
          <w:kern w:val="0"/>
          <w:sz w:val="21"/>
          <w:szCs w:val="21"/>
          <w:highlight w:val="none"/>
        </w:rPr>
      </w:pPr>
      <w:r>
        <w:rPr>
          <w:rFonts w:hint="eastAsia" w:ascii="宋体" w:hAnsi="宋体" w:eastAsia="宋体" w:cs="宋体"/>
          <w:color w:val="auto"/>
          <w:spacing w:val="6"/>
          <w:kern w:val="0"/>
          <w:sz w:val="21"/>
          <w:szCs w:val="21"/>
          <w:highlight w:val="none"/>
          <w:lang w:val="en-US" w:eastAsia="zh-CN"/>
        </w:rPr>
        <w:t>本公司（联合体）郑重声明，根据《政府采购促进中小企业发展管理办法》（财库﹝2020﹞46 号）的规定，本公司（联合体）参加</w:t>
      </w:r>
      <w:r>
        <w:rPr>
          <w:rFonts w:hint="eastAsia" w:ascii="宋体" w:hAnsi="宋体" w:eastAsia="宋体" w:cs="宋体"/>
          <w:color w:val="auto"/>
          <w:spacing w:val="6"/>
          <w:kern w:val="0"/>
          <w:sz w:val="21"/>
          <w:szCs w:val="21"/>
          <w:highlight w:val="none"/>
          <w:u w:val="single"/>
          <w:lang w:val="en-US" w:eastAsia="zh-CN"/>
        </w:rPr>
        <w:t>（单位名称）</w:t>
      </w:r>
      <w:r>
        <w:rPr>
          <w:rFonts w:hint="eastAsia" w:ascii="宋体" w:hAnsi="宋体" w:eastAsia="宋体" w:cs="宋体"/>
          <w:color w:val="auto"/>
          <w:spacing w:val="6"/>
          <w:kern w:val="0"/>
          <w:sz w:val="21"/>
          <w:szCs w:val="21"/>
          <w:highlight w:val="none"/>
          <w:lang w:val="en-US" w:eastAsia="zh-CN"/>
        </w:rPr>
        <w:t>的</w:t>
      </w:r>
      <w:r>
        <w:rPr>
          <w:rFonts w:hint="eastAsia" w:ascii="宋体" w:hAnsi="宋体" w:eastAsia="宋体" w:cs="宋体"/>
          <w:color w:val="auto"/>
          <w:spacing w:val="6"/>
          <w:kern w:val="0"/>
          <w:sz w:val="21"/>
          <w:szCs w:val="21"/>
          <w:highlight w:val="none"/>
          <w:u w:val="single"/>
          <w:lang w:val="en-US" w:eastAsia="zh-CN"/>
        </w:rPr>
        <w:t>（项目名称）</w:t>
      </w:r>
      <w:r>
        <w:rPr>
          <w:rFonts w:hint="eastAsia" w:ascii="宋体" w:hAnsi="宋体" w:eastAsia="宋体" w:cs="宋体"/>
          <w:color w:val="auto"/>
          <w:spacing w:val="6"/>
          <w:kern w:val="0"/>
          <w:sz w:val="21"/>
          <w:szCs w:val="21"/>
          <w:highlight w:val="none"/>
          <w:lang w:val="en-US" w:eastAsia="zh-CN"/>
        </w:rPr>
        <w:t xml:space="preserve">采购活动，提供的货物全部由符合政策要求的中小企业制造。相关企业（含联合体中的中小企业、签订分包意向协议的中小企业）的具体情况如下： </w:t>
      </w:r>
    </w:p>
    <w:p w14:paraId="5FE40C31">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 xml:space="preserve">1. </w:t>
      </w:r>
      <w:r>
        <w:rPr>
          <w:rFonts w:hint="eastAsia" w:ascii="宋体" w:hAnsi="宋体" w:eastAsia="宋体" w:cs="宋体"/>
          <w:i w:val="0"/>
          <w:iCs w:val="0"/>
          <w:color w:val="auto"/>
          <w:kern w:val="0"/>
          <w:sz w:val="21"/>
          <w:szCs w:val="21"/>
          <w:highlight w:val="none"/>
          <w:u w:val="single"/>
          <w:lang w:val="en-US" w:eastAsia="zh-CN" w:bidi="ar"/>
        </w:rPr>
        <w:t>彩色多普勒超声诊断仪（标的名称）</w:t>
      </w:r>
      <w:r>
        <w:rPr>
          <w:rFonts w:hint="eastAsia" w:ascii="宋体" w:hAnsi="宋体" w:eastAsia="宋体" w:cs="宋体"/>
          <w:i w:val="0"/>
          <w:iCs w:val="0"/>
          <w:color w:val="auto"/>
          <w:kern w:val="0"/>
          <w:sz w:val="21"/>
          <w:szCs w:val="21"/>
          <w:highlight w:val="none"/>
          <w:lang w:val="en-US" w:eastAsia="zh-CN" w:bidi="ar"/>
        </w:rPr>
        <w:t xml:space="preserve"> ，属于</w:t>
      </w:r>
      <w:r>
        <w:rPr>
          <w:rFonts w:hint="eastAsia" w:ascii="宋体" w:hAnsi="宋体" w:eastAsia="宋体" w:cs="宋体"/>
          <w:i w:val="0"/>
          <w:iCs w:val="0"/>
          <w:color w:val="auto"/>
          <w:kern w:val="0"/>
          <w:sz w:val="21"/>
          <w:szCs w:val="21"/>
          <w:highlight w:val="none"/>
          <w:u w:val="single"/>
          <w:lang w:val="en-US" w:eastAsia="zh-CN" w:bidi="ar"/>
        </w:rPr>
        <w:t xml:space="preserve"> 工业 </w:t>
      </w:r>
      <w:r>
        <w:rPr>
          <w:rFonts w:hint="eastAsia" w:ascii="宋体" w:hAnsi="宋体" w:eastAsia="宋体" w:cs="宋体"/>
          <w:i w:val="0"/>
          <w:iCs w:val="0"/>
          <w:color w:val="auto"/>
          <w:kern w:val="0"/>
          <w:sz w:val="21"/>
          <w:szCs w:val="21"/>
          <w:highlight w:val="none"/>
          <w:lang w:val="en-US" w:eastAsia="zh-CN" w:bidi="ar"/>
        </w:rPr>
        <w:t xml:space="preserve"> 行业；制造商为</w:t>
      </w:r>
      <w:r>
        <w:rPr>
          <w:rFonts w:hint="eastAsia" w:ascii="宋体" w:hAnsi="宋体" w:eastAsia="宋体" w:cs="宋体"/>
          <w:i w:val="0"/>
          <w:iCs w:val="0"/>
          <w:color w:val="auto"/>
          <w:kern w:val="0"/>
          <w:sz w:val="21"/>
          <w:szCs w:val="21"/>
          <w:highlight w:val="none"/>
          <w:u w:val="single"/>
          <w:lang w:val="en-US" w:eastAsia="zh-CN" w:bidi="ar"/>
        </w:rPr>
        <w:t>（企业名称）</w:t>
      </w:r>
      <w:r>
        <w:rPr>
          <w:rFonts w:hint="eastAsia" w:ascii="宋体" w:hAnsi="宋体" w:eastAsia="宋体" w:cs="宋体"/>
          <w:i w:val="0"/>
          <w:iCs w:val="0"/>
          <w:color w:val="auto"/>
          <w:kern w:val="0"/>
          <w:sz w:val="21"/>
          <w:szCs w:val="21"/>
          <w:highlight w:val="none"/>
          <w:lang w:val="en-US" w:eastAsia="zh-CN" w:bidi="ar"/>
        </w:rPr>
        <w:t>，从业人员</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 xml:space="preserve"> 人，营业收入为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万元，资产总额为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万元，属于（</w:t>
      </w:r>
      <w:r>
        <w:rPr>
          <w:rFonts w:hint="eastAsia" w:ascii="宋体" w:hAnsi="宋体" w:eastAsia="宋体" w:cs="宋体"/>
          <w:i w:val="0"/>
          <w:iCs w:val="0"/>
          <w:color w:val="auto"/>
          <w:kern w:val="0"/>
          <w:sz w:val="21"/>
          <w:szCs w:val="21"/>
          <w:highlight w:val="none"/>
          <w:u w:val="single"/>
          <w:lang w:val="en-US" w:eastAsia="zh-CN" w:bidi="ar"/>
        </w:rPr>
        <w:t>中型企业、小型企业、微型企业</w:t>
      </w:r>
      <w:r>
        <w:rPr>
          <w:rFonts w:hint="eastAsia" w:ascii="宋体" w:hAnsi="宋体" w:eastAsia="宋体" w:cs="宋体"/>
          <w:i w:val="0"/>
          <w:iCs w:val="0"/>
          <w:color w:val="auto"/>
          <w:kern w:val="0"/>
          <w:sz w:val="21"/>
          <w:szCs w:val="21"/>
          <w:highlight w:val="none"/>
          <w:lang w:val="en-US" w:eastAsia="zh-CN" w:bidi="ar"/>
        </w:rPr>
        <w:t xml:space="preserve">）； </w:t>
      </w:r>
    </w:p>
    <w:p w14:paraId="70BA7D76">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 xml:space="preserve">2. </w:t>
      </w:r>
      <w:r>
        <w:rPr>
          <w:rFonts w:hint="eastAsia" w:ascii="宋体" w:hAnsi="宋体" w:eastAsia="宋体" w:cs="宋体"/>
          <w:i w:val="0"/>
          <w:iCs w:val="0"/>
          <w:color w:val="auto"/>
          <w:kern w:val="0"/>
          <w:sz w:val="21"/>
          <w:szCs w:val="21"/>
          <w:highlight w:val="none"/>
          <w:u w:val="single"/>
          <w:lang w:val="en-US" w:eastAsia="zh-CN" w:bidi="ar"/>
        </w:rPr>
        <w:t>（标的名称）</w:t>
      </w:r>
      <w:r>
        <w:rPr>
          <w:rFonts w:hint="eastAsia" w:ascii="宋体" w:hAnsi="宋体" w:eastAsia="宋体" w:cs="宋体"/>
          <w:i w:val="0"/>
          <w:iCs w:val="0"/>
          <w:color w:val="auto"/>
          <w:kern w:val="0"/>
          <w:sz w:val="21"/>
          <w:szCs w:val="21"/>
          <w:highlight w:val="none"/>
          <w:lang w:val="en-US" w:eastAsia="zh-CN" w:bidi="ar"/>
        </w:rPr>
        <w:t xml:space="preserve"> ，属于</w:t>
      </w:r>
      <w:r>
        <w:rPr>
          <w:rFonts w:hint="eastAsia" w:ascii="宋体" w:hAnsi="宋体" w:eastAsia="宋体" w:cs="宋体"/>
          <w:i w:val="0"/>
          <w:iCs w:val="0"/>
          <w:color w:val="auto"/>
          <w:kern w:val="0"/>
          <w:sz w:val="21"/>
          <w:szCs w:val="21"/>
          <w:highlight w:val="none"/>
          <w:u w:val="single"/>
          <w:lang w:val="en-US" w:eastAsia="zh-CN" w:bidi="ar"/>
        </w:rPr>
        <w:t>工业</w:t>
      </w:r>
      <w:r>
        <w:rPr>
          <w:rFonts w:hint="eastAsia" w:ascii="宋体" w:hAnsi="宋体" w:eastAsia="宋体" w:cs="宋体"/>
          <w:i w:val="0"/>
          <w:iCs w:val="0"/>
          <w:color w:val="auto"/>
          <w:kern w:val="0"/>
          <w:sz w:val="21"/>
          <w:szCs w:val="21"/>
          <w:highlight w:val="none"/>
          <w:lang w:val="en-US" w:eastAsia="zh-CN" w:bidi="ar"/>
        </w:rPr>
        <w:t>行业；制造商为</w:t>
      </w:r>
      <w:r>
        <w:rPr>
          <w:rFonts w:hint="eastAsia" w:ascii="宋体" w:hAnsi="宋体" w:eastAsia="宋体" w:cs="宋体"/>
          <w:i w:val="0"/>
          <w:iCs w:val="0"/>
          <w:color w:val="auto"/>
          <w:kern w:val="0"/>
          <w:sz w:val="21"/>
          <w:szCs w:val="21"/>
          <w:highlight w:val="none"/>
          <w:u w:val="single"/>
          <w:lang w:val="en-US" w:eastAsia="zh-CN" w:bidi="ar"/>
        </w:rPr>
        <w:t>（企业名称）</w:t>
      </w:r>
      <w:r>
        <w:rPr>
          <w:rFonts w:hint="eastAsia" w:ascii="宋体" w:hAnsi="宋体" w:eastAsia="宋体" w:cs="宋体"/>
          <w:i w:val="0"/>
          <w:iCs w:val="0"/>
          <w:color w:val="auto"/>
          <w:kern w:val="0"/>
          <w:sz w:val="21"/>
          <w:szCs w:val="21"/>
          <w:highlight w:val="none"/>
          <w:lang w:val="en-US" w:eastAsia="zh-CN" w:bidi="ar"/>
        </w:rPr>
        <w:t>，从业人员</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人，营业收入为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万元，资产总额为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万元，属于</w:t>
      </w:r>
      <w:r>
        <w:rPr>
          <w:rFonts w:hint="eastAsia" w:ascii="宋体" w:hAnsi="宋体" w:eastAsia="宋体" w:cs="宋体"/>
          <w:i w:val="0"/>
          <w:iCs w:val="0"/>
          <w:color w:val="auto"/>
          <w:kern w:val="0"/>
          <w:sz w:val="21"/>
          <w:szCs w:val="21"/>
          <w:highlight w:val="none"/>
          <w:u w:val="single"/>
          <w:lang w:val="en-US" w:eastAsia="zh-CN" w:bidi="ar"/>
        </w:rPr>
        <w:t>（中型企业、小型企业、微型企业</w:t>
      </w:r>
      <w:r>
        <w:rPr>
          <w:rFonts w:hint="eastAsia" w:ascii="宋体" w:hAnsi="宋体" w:eastAsia="宋体" w:cs="宋体"/>
          <w:i w:val="0"/>
          <w:iCs w:val="0"/>
          <w:color w:val="auto"/>
          <w:kern w:val="0"/>
          <w:sz w:val="21"/>
          <w:szCs w:val="21"/>
          <w:highlight w:val="none"/>
          <w:lang w:val="en-US" w:eastAsia="zh-CN" w:bidi="ar"/>
        </w:rPr>
        <w:t xml:space="preserve">）； </w:t>
      </w:r>
    </w:p>
    <w:p w14:paraId="64D32D10">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w:t>
      </w:r>
    </w:p>
    <w:p w14:paraId="7D141FB2">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以上企业，不属于大企业的分支机构，不存在控股股东为大企业的情形，也不存在与大企业的负责人为同一人的情形。</w:t>
      </w:r>
    </w:p>
    <w:p w14:paraId="66499540">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宋体" w:hAnsi="宋体" w:eastAsia="宋体" w:cs="宋体"/>
          <w:i w:val="0"/>
          <w:iCs w:val="0"/>
          <w:color w:val="auto"/>
          <w:highlight w:val="none"/>
        </w:rPr>
      </w:pPr>
      <w:r>
        <w:rPr>
          <w:rFonts w:hint="eastAsia" w:ascii="宋体" w:hAnsi="宋体" w:eastAsia="宋体" w:cs="宋体"/>
          <w:i w:val="0"/>
          <w:iCs w:val="0"/>
          <w:color w:val="auto"/>
          <w:kern w:val="0"/>
          <w:sz w:val="21"/>
          <w:szCs w:val="21"/>
          <w:highlight w:val="none"/>
          <w:lang w:val="en-US" w:eastAsia="zh-CN" w:bidi="ar"/>
        </w:rPr>
        <w:t xml:space="preserve">本企业对上述声明内容的真实性负责。如有虚假，将依法承担相应责任。 </w:t>
      </w:r>
    </w:p>
    <w:p w14:paraId="120592FA">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企业名称（盖章）： </w:t>
      </w:r>
    </w:p>
    <w:p w14:paraId="434EC650">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日 期： </w:t>
      </w:r>
    </w:p>
    <w:p w14:paraId="7FC04B33">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1.从业人员、营业收入、资产总额填报上一年度数据，无上一年度数据的新成立企业可不填报。</w:t>
      </w:r>
    </w:p>
    <w:p w14:paraId="7A74348C">
      <w:pPr>
        <w:widowControl/>
        <w:adjustRightInd w:val="0"/>
        <w:snapToGrid w:val="0"/>
        <w:spacing w:line="360" w:lineRule="auto"/>
        <w:ind w:firstLine="442" w:firstLineChars="200"/>
        <w:jc w:val="left"/>
        <w:rPr>
          <w:rFonts w:hint="eastAsia" w:ascii="宋体" w:hAnsi="宋体" w:eastAsia="宋体" w:cs="宋体"/>
          <w:color w:val="auto"/>
          <w:szCs w:val="21"/>
          <w:highlight w:val="none"/>
        </w:rPr>
      </w:pPr>
      <w:r>
        <w:rPr>
          <w:rFonts w:hint="eastAsia" w:ascii="宋体" w:hAnsi="宋体" w:eastAsia="宋体" w:cs="宋体"/>
          <w:b/>
          <w:bCs/>
          <w:color w:val="auto"/>
          <w:sz w:val="22"/>
          <w:szCs w:val="22"/>
          <w:highlight w:val="none"/>
          <w:lang w:val="en-US" w:eastAsia="zh-CN"/>
        </w:rPr>
        <w:t>2.本项目所属行业为工业。中小企业划型标准: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b/>
          <w:bCs/>
          <w:color w:val="auto"/>
          <w:sz w:val="22"/>
          <w:szCs w:val="22"/>
          <w:highlight w:val="none"/>
          <w:lang w:val="en-US" w:eastAsia="zh-CN"/>
        </w:rPr>
        <w:br w:type="page"/>
      </w:r>
    </w:p>
    <w:p w14:paraId="3136B1A1">
      <w:pPr>
        <w:adjustRightInd w:val="0"/>
        <w:snapToGrid w:val="0"/>
        <w:spacing w:line="360" w:lineRule="auto"/>
        <w:rPr>
          <w:rFonts w:hint="eastAsia" w:ascii="宋体" w:hAnsi="宋体" w:eastAsia="宋体" w:cs="宋体"/>
          <w:color w:val="auto"/>
          <w:szCs w:val="21"/>
          <w:highlight w:val="none"/>
        </w:rPr>
        <w:sectPr>
          <w:pgSz w:w="11906" w:h="16838"/>
          <w:pgMar w:top="1474" w:right="1474" w:bottom="232" w:left="1588" w:header="851" w:footer="992" w:gutter="0"/>
          <w:pgNumType w:fmt="decimal"/>
          <w:cols w:space="720" w:num="1"/>
          <w:docGrid w:type="lines" w:linePitch="312" w:charSpace="0"/>
        </w:sectPr>
      </w:pPr>
    </w:p>
    <w:p w14:paraId="0EBFFB4C">
      <w:pPr>
        <w:pStyle w:val="4"/>
        <w:bidi w:val="0"/>
        <w:rPr>
          <w:rFonts w:hint="eastAsia" w:ascii="宋体" w:hAnsi="宋体" w:eastAsia="宋体" w:cs="宋体"/>
          <w:color w:val="auto"/>
          <w:sz w:val="28"/>
          <w:szCs w:val="28"/>
          <w:highlight w:val="none"/>
        </w:rPr>
      </w:pPr>
      <w:bookmarkStart w:id="84" w:name="_Toc24933784"/>
      <w:r>
        <w:rPr>
          <w:rFonts w:hint="eastAsia" w:ascii="宋体" w:hAnsi="宋体" w:eastAsia="宋体" w:cs="宋体"/>
          <w:color w:val="auto"/>
          <w:sz w:val="28"/>
          <w:szCs w:val="28"/>
          <w:highlight w:val="none"/>
        </w:rPr>
        <w:t>附件5-2</w:t>
      </w:r>
      <w:bookmarkEnd w:id="84"/>
      <w:bookmarkStart w:id="85" w:name="_Toc24933785"/>
      <w:r>
        <w:rPr>
          <w:rFonts w:hint="eastAsia" w:ascii="宋体" w:hAnsi="宋体" w:eastAsia="宋体" w:cs="宋体"/>
          <w:color w:val="auto"/>
          <w:sz w:val="28"/>
          <w:szCs w:val="28"/>
          <w:highlight w:val="none"/>
        </w:rPr>
        <w:t xml:space="preserve"> 残疾人福利性单位声明函</w:t>
      </w:r>
    </w:p>
    <w:p w14:paraId="496AB741">
      <w:pPr>
        <w:adjustRightInd w:val="0"/>
        <w:snapToGrid w:val="0"/>
        <w:spacing w:line="360" w:lineRule="auto"/>
        <w:jc w:val="center"/>
        <w:rPr>
          <w:rFonts w:hint="eastAsia" w:ascii="宋体" w:hAnsi="宋体" w:eastAsia="宋体" w:cs="宋体"/>
          <w:b/>
          <w:color w:val="auto"/>
          <w:spacing w:val="6"/>
          <w:sz w:val="30"/>
          <w:szCs w:val="30"/>
          <w:highlight w:val="none"/>
        </w:rPr>
      </w:pPr>
      <w:r>
        <w:rPr>
          <w:rFonts w:hint="eastAsia" w:ascii="宋体" w:hAnsi="宋体" w:eastAsia="宋体" w:cs="宋体"/>
          <w:b/>
          <w:color w:val="auto"/>
          <w:spacing w:val="6"/>
          <w:sz w:val="30"/>
          <w:szCs w:val="30"/>
          <w:highlight w:val="none"/>
        </w:rPr>
        <w:t>残疾人福利性单位声明函</w:t>
      </w:r>
    </w:p>
    <w:p w14:paraId="16E3FEE0">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(不属于残疾人福利性单位的无需填写)</w:t>
      </w:r>
    </w:p>
    <w:p w14:paraId="78CA4D6B">
      <w:pPr>
        <w:adjustRightInd w:val="0"/>
        <w:snapToGrid w:val="0"/>
        <w:spacing w:line="360" w:lineRule="auto"/>
        <w:ind w:firstLine="450" w:firstLineChars="200"/>
        <w:rPr>
          <w:rFonts w:hint="eastAsia" w:ascii="宋体" w:hAnsi="宋体" w:eastAsia="宋体" w:cs="宋体"/>
          <w:color w:val="auto"/>
          <w:spacing w:val="6"/>
          <w:szCs w:val="21"/>
          <w:highlight w:val="none"/>
        </w:rPr>
      </w:pPr>
    </w:p>
    <w:p w14:paraId="7C8338AB">
      <w:pPr>
        <w:adjustRightInd w:val="0"/>
        <w:snapToGrid w:val="0"/>
        <w:spacing w:line="360" w:lineRule="auto"/>
        <w:ind w:firstLine="450"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eastAsia="宋体" w:cs="宋体"/>
          <w:color w:val="auto"/>
          <w:szCs w:val="21"/>
          <w:highlight w:val="none"/>
        </w:rPr>
        <w:t>〔2017〕141</w:t>
      </w:r>
      <w:r>
        <w:rPr>
          <w:rFonts w:hint="eastAsia" w:ascii="宋体" w:hAnsi="宋体" w:eastAsia="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0349ACE">
      <w:pPr>
        <w:adjustRightInd w:val="0"/>
        <w:snapToGrid w:val="0"/>
        <w:spacing w:line="360" w:lineRule="auto"/>
        <w:ind w:firstLine="450"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本单位对上述声明的真实性负责。如有虚假，将依法承担相应责任。</w:t>
      </w:r>
    </w:p>
    <w:p w14:paraId="3B72F651">
      <w:pPr>
        <w:adjustRightInd w:val="0"/>
        <w:snapToGrid w:val="0"/>
        <w:spacing w:line="360" w:lineRule="auto"/>
        <w:ind w:firstLine="450" w:firstLineChars="200"/>
        <w:rPr>
          <w:rFonts w:hint="eastAsia" w:ascii="宋体" w:hAnsi="宋体" w:eastAsia="宋体" w:cs="宋体"/>
          <w:color w:val="auto"/>
          <w:spacing w:val="6"/>
          <w:szCs w:val="21"/>
          <w:highlight w:val="none"/>
        </w:rPr>
      </w:pPr>
    </w:p>
    <w:p w14:paraId="3DCDD875">
      <w:pPr>
        <w:adjustRightInd w:val="0"/>
        <w:snapToGrid w:val="0"/>
        <w:spacing w:line="360" w:lineRule="auto"/>
        <w:ind w:firstLine="450" w:firstLineChars="200"/>
        <w:rPr>
          <w:rFonts w:hint="eastAsia" w:ascii="宋体" w:hAnsi="宋体" w:eastAsia="宋体" w:cs="宋体"/>
          <w:color w:val="auto"/>
          <w:spacing w:val="6"/>
          <w:szCs w:val="21"/>
          <w:highlight w:val="none"/>
        </w:rPr>
      </w:pPr>
    </w:p>
    <w:p w14:paraId="6EBAA5B9">
      <w:pPr>
        <w:tabs>
          <w:tab w:val="left" w:pos="4860"/>
        </w:tabs>
        <w:adjustRightInd w:val="0"/>
        <w:snapToGrid w:val="0"/>
        <w:spacing w:line="360" w:lineRule="auto"/>
        <w:ind w:right="1560" w:firstLine="450"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单位名称（盖章）：</w:t>
      </w:r>
    </w:p>
    <w:p w14:paraId="21139245">
      <w:pPr>
        <w:tabs>
          <w:tab w:val="left" w:pos="4860"/>
        </w:tabs>
        <w:adjustRightInd w:val="0"/>
        <w:snapToGrid w:val="0"/>
        <w:spacing w:line="360" w:lineRule="auto"/>
        <w:ind w:right="1560" w:firstLine="450"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日  期：</w:t>
      </w:r>
    </w:p>
    <w:p w14:paraId="130DB416">
      <w:pPr>
        <w:widowControl/>
        <w:adjustRightInd w:val="0"/>
        <w:snapToGrid w:val="0"/>
        <w:spacing w:line="360" w:lineRule="auto"/>
        <w:jc w:val="left"/>
        <w:rPr>
          <w:rFonts w:hint="eastAsia" w:ascii="宋体" w:hAnsi="宋体" w:eastAsia="宋体" w:cs="宋体"/>
          <w:color w:val="auto"/>
          <w:kern w:val="0"/>
          <w:szCs w:val="21"/>
          <w:highlight w:val="none"/>
        </w:rPr>
      </w:pPr>
    </w:p>
    <w:p w14:paraId="5418C22E">
      <w:pPr>
        <w:pStyle w:val="4"/>
        <w:bidi w:val="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pacing w:val="6"/>
          <w:kern w:val="0"/>
          <w:highlight w:val="none"/>
        </w:rPr>
        <w:br w:type="page"/>
      </w:r>
      <w:r>
        <w:rPr>
          <w:rFonts w:hint="eastAsia" w:ascii="宋体" w:hAnsi="宋体" w:eastAsia="宋体" w:cs="宋体"/>
          <w:color w:val="auto"/>
          <w:sz w:val="28"/>
          <w:szCs w:val="28"/>
          <w:highlight w:val="none"/>
          <w:lang w:val="en-US" w:eastAsia="zh-CN"/>
        </w:rPr>
        <w:t>附件5-3 监狱企业证明资料</w:t>
      </w:r>
      <w:bookmarkEnd w:id="85"/>
    </w:p>
    <w:p w14:paraId="03F44A32">
      <w:pPr>
        <w:bidi w:val="0"/>
        <w:rPr>
          <w:rFonts w:hint="eastAsia" w:ascii="宋体" w:hAnsi="宋体" w:eastAsia="宋体" w:cs="宋体"/>
          <w:color w:val="auto"/>
          <w:highlight w:val="none"/>
        </w:rPr>
      </w:pPr>
    </w:p>
    <w:p w14:paraId="6440293A">
      <w:pPr>
        <w:rPr>
          <w:rFonts w:hint="eastAsia" w:ascii="宋体" w:hAnsi="宋体" w:eastAsia="宋体" w:cs="宋体"/>
          <w:color w:val="auto"/>
          <w:highlight w:val="none"/>
        </w:rPr>
      </w:pPr>
    </w:p>
    <w:p w14:paraId="79D0B6F2">
      <w:pPr>
        <w:adjustRightInd w:val="0"/>
        <w:snapToGrid w:val="0"/>
        <w:spacing w:before="316" w:beforeLines="10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监狱企业证明资料</w:t>
      </w:r>
    </w:p>
    <w:p w14:paraId="05D5B775">
      <w:pPr>
        <w:adjustRightInd w:val="0"/>
        <w:snapToGrid w:val="0"/>
        <w:jc w:val="center"/>
        <w:rPr>
          <w:rFonts w:hint="eastAsia" w:ascii="宋体" w:hAnsi="宋体" w:eastAsia="宋体" w:cs="宋体"/>
          <w:b w:val="0"/>
          <w:bCs/>
          <w:color w:val="auto"/>
          <w:spacing w:val="6"/>
          <w:sz w:val="24"/>
          <w:szCs w:val="24"/>
          <w:highlight w:val="none"/>
        </w:rPr>
      </w:pPr>
      <w:r>
        <w:rPr>
          <w:rFonts w:hint="eastAsia" w:ascii="宋体" w:hAnsi="宋体" w:eastAsia="宋体" w:cs="宋体"/>
          <w:b w:val="0"/>
          <w:bCs/>
          <w:color w:val="auto"/>
          <w:spacing w:val="6"/>
          <w:sz w:val="24"/>
          <w:szCs w:val="24"/>
          <w:highlight w:val="none"/>
        </w:rPr>
        <w:t>(不属于监狱企业的无需提供)</w:t>
      </w:r>
    </w:p>
    <w:p w14:paraId="20595D90">
      <w:pPr>
        <w:adjustRightInd w:val="0"/>
        <w:snapToGrid w:val="0"/>
        <w:spacing w:line="360" w:lineRule="auto"/>
        <w:rPr>
          <w:rFonts w:hint="eastAsia" w:ascii="宋体" w:hAnsi="宋体" w:eastAsia="宋体" w:cs="宋体"/>
          <w:color w:val="auto"/>
          <w:szCs w:val="21"/>
          <w:highlight w:val="none"/>
        </w:rPr>
      </w:pPr>
    </w:p>
    <w:p w14:paraId="45E5F0EC">
      <w:pPr>
        <w:adjustRightInd w:val="0"/>
        <w:snapToGrid w:val="0"/>
        <w:spacing w:line="360" w:lineRule="auto"/>
        <w:ind w:firstLine="450" w:firstLineChars="200"/>
        <w:rPr>
          <w:rFonts w:hint="eastAsia" w:ascii="宋体" w:hAnsi="宋体" w:eastAsia="宋体" w:cs="宋体"/>
          <w:color w:val="auto"/>
          <w:szCs w:val="21"/>
          <w:highlight w:val="none"/>
        </w:rPr>
      </w:pPr>
      <w:r>
        <w:rPr>
          <w:rFonts w:hint="eastAsia" w:ascii="宋体" w:hAnsi="宋体" w:eastAsia="宋体" w:cs="宋体"/>
          <w:bCs/>
          <w:color w:val="auto"/>
          <w:spacing w:val="6"/>
          <w:kern w:val="0"/>
          <w:szCs w:val="21"/>
          <w:highlight w:val="none"/>
        </w:rPr>
        <w:t>备注：</w:t>
      </w:r>
      <w:r>
        <w:rPr>
          <w:rFonts w:hint="eastAsia" w:ascii="宋体" w:hAnsi="宋体" w:eastAsia="宋体" w:cs="宋体"/>
          <w:color w:val="auto"/>
          <w:szCs w:val="21"/>
          <w:highlight w:val="none"/>
        </w:rPr>
        <w:t>按</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财政部 司法部关于政府采购支持监狱企业发展有关问题的通知</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（财库〔2014〕68号）文件规定提供证明文件（复印件</w:t>
      </w:r>
      <w:r>
        <w:rPr>
          <w:rFonts w:hint="eastAsia" w:ascii="宋体" w:hAnsi="宋体" w:eastAsia="宋体" w:cs="宋体"/>
          <w:color w:val="auto"/>
          <w:szCs w:val="21"/>
          <w:highlight w:val="none"/>
          <w:lang w:val="en-US" w:eastAsia="zh-CN"/>
        </w:rPr>
        <w:t>或扫描件</w:t>
      </w:r>
      <w:r>
        <w:rPr>
          <w:rFonts w:hint="eastAsia" w:ascii="宋体" w:hAnsi="宋体" w:eastAsia="宋体" w:cs="宋体"/>
          <w:color w:val="auto"/>
          <w:szCs w:val="21"/>
          <w:highlight w:val="none"/>
        </w:rPr>
        <w:t>）。</w:t>
      </w:r>
    </w:p>
    <w:p w14:paraId="3FC80396">
      <w:pPr>
        <w:pStyle w:val="66"/>
        <w:rPr>
          <w:rFonts w:hint="eastAsia" w:ascii="宋体" w:hAnsi="宋体" w:eastAsia="宋体" w:cs="宋体"/>
          <w:color w:val="auto"/>
          <w:szCs w:val="21"/>
          <w:highlight w:val="none"/>
        </w:rPr>
      </w:pPr>
    </w:p>
    <w:p w14:paraId="0046BEA5">
      <w:pPr>
        <w:rPr>
          <w:rFonts w:hint="eastAsia" w:ascii="宋体" w:hAnsi="宋体" w:eastAsia="宋体" w:cs="宋体"/>
          <w:b/>
          <w:bCs/>
          <w:color w:val="auto"/>
          <w:spacing w:val="6"/>
          <w:kern w:val="0"/>
          <w:sz w:val="24"/>
          <w:highlight w:val="none"/>
        </w:rPr>
      </w:pPr>
      <w:r>
        <w:rPr>
          <w:rFonts w:hint="eastAsia" w:ascii="宋体" w:hAnsi="宋体" w:eastAsia="宋体" w:cs="宋体"/>
          <w:b/>
          <w:bCs/>
          <w:color w:val="auto"/>
          <w:spacing w:val="6"/>
          <w:kern w:val="0"/>
          <w:sz w:val="24"/>
          <w:highlight w:val="none"/>
        </w:rPr>
        <w:br w:type="page"/>
      </w:r>
    </w:p>
    <w:p w14:paraId="5DD944A7">
      <w:pPr>
        <w:pStyle w:val="4"/>
        <w:bidi w:val="0"/>
        <w:jc w:val="center"/>
        <w:rPr>
          <w:rFonts w:hint="eastAsia" w:ascii="宋体" w:hAnsi="宋体" w:eastAsia="宋体" w:cs="宋体"/>
          <w:color w:val="auto"/>
          <w:sz w:val="28"/>
          <w:szCs w:val="28"/>
          <w:highlight w:val="none"/>
        </w:rPr>
      </w:pPr>
      <w:bookmarkStart w:id="86" w:name="_Toc11291"/>
      <w:bookmarkStart w:id="87" w:name="_Toc31897"/>
      <w:r>
        <w:rPr>
          <w:rFonts w:hint="eastAsia" w:ascii="宋体" w:hAnsi="宋体" w:eastAsia="宋体" w:cs="宋体"/>
          <w:color w:val="auto"/>
          <w:sz w:val="28"/>
          <w:szCs w:val="28"/>
          <w:highlight w:val="none"/>
          <w:lang w:val="en-US" w:eastAsia="zh-CN"/>
        </w:rPr>
        <w:t>附件5-4节能产品、环</w:t>
      </w:r>
      <w:r>
        <w:rPr>
          <w:rFonts w:hint="eastAsia" w:ascii="宋体" w:hAnsi="宋体" w:eastAsia="宋体" w:cs="宋体"/>
          <w:color w:val="auto"/>
          <w:sz w:val="28"/>
          <w:szCs w:val="28"/>
          <w:highlight w:val="none"/>
        </w:rPr>
        <w:t>境标志产品、两型产品的证明材料</w:t>
      </w:r>
      <w:bookmarkEnd w:id="86"/>
      <w:bookmarkEnd w:id="87"/>
    </w:p>
    <w:p w14:paraId="290BC7A7">
      <w:pPr>
        <w:spacing w:line="480" w:lineRule="exact"/>
        <w:rPr>
          <w:rFonts w:hint="eastAsia" w:ascii="宋体" w:hAnsi="宋体" w:eastAsia="宋体" w:cs="宋体"/>
          <w:color w:val="auto"/>
          <w:sz w:val="24"/>
          <w:highlight w:val="none"/>
        </w:rPr>
      </w:pPr>
    </w:p>
    <w:p w14:paraId="3FE037F4">
      <w:pPr>
        <w:rPr>
          <w:rFonts w:hint="eastAsia" w:ascii="宋体" w:hAnsi="宋体" w:eastAsia="宋体" w:cs="宋体"/>
          <w:b/>
          <w:bCs/>
          <w:color w:val="auto"/>
          <w:sz w:val="24"/>
          <w:szCs w:val="24"/>
          <w:highlight w:val="none"/>
        </w:rPr>
      </w:pPr>
    </w:p>
    <w:p w14:paraId="24969570">
      <w:pPr>
        <w:rPr>
          <w:rFonts w:hint="eastAsia" w:ascii="宋体" w:hAnsi="宋体" w:eastAsia="宋体" w:cs="宋体"/>
          <w:b/>
          <w:bCs/>
          <w:color w:val="auto"/>
          <w:sz w:val="24"/>
          <w:szCs w:val="24"/>
          <w:highlight w:val="none"/>
        </w:rPr>
      </w:pPr>
    </w:p>
    <w:p w14:paraId="177038DE">
      <w:pPr>
        <w:rPr>
          <w:rFonts w:hint="eastAsia" w:ascii="宋体" w:hAnsi="宋体" w:eastAsia="宋体" w:cs="宋体"/>
          <w:b/>
          <w:bCs/>
          <w:color w:val="auto"/>
          <w:sz w:val="24"/>
          <w:szCs w:val="24"/>
          <w:highlight w:val="none"/>
        </w:rPr>
      </w:pPr>
    </w:p>
    <w:p w14:paraId="5221FFEC">
      <w:pPr>
        <w:rPr>
          <w:rFonts w:hint="eastAsia" w:ascii="宋体" w:hAnsi="宋体" w:eastAsia="宋体" w:cs="宋体"/>
          <w:b/>
          <w:bCs/>
          <w:color w:val="auto"/>
          <w:sz w:val="24"/>
          <w:szCs w:val="24"/>
          <w:highlight w:val="none"/>
        </w:rPr>
      </w:pPr>
    </w:p>
    <w:p w14:paraId="7F37EBC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说明：</w:t>
      </w:r>
    </w:p>
    <w:p w14:paraId="41E13474">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供应商提供的产品属于强制采购或者优先采购的，应按第二章第9.1款或者第9.2款规定提供产品列入《节能产品政府采购清单》、《环境标志产品政府采购清单》或《湖南省两型产品政府采购目录》所在页或证书复印件（该页包含制造商或企业名称或申请单位名称、规格型号、有效截止日期等内容），并加盖供应商单位章。在本章附</w:t>
      </w:r>
      <w:r>
        <w:rPr>
          <w:rFonts w:hint="eastAsia" w:ascii="宋体" w:hAnsi="宋体" w:eastAsia="宋体" w:cs="宋体"/>
          <w:b/>
          <w:bCs/>
          <w:color w:val="auto"/>
          <w:sz w:val="28"/>
          <w:szCs w:val="28"/>
          <w:highlight w:val="none"/>
          <w:lang w:val="en-US" w:eastAsia="zh-CN"/>
        </w:rPr>
        <w:t>5-4</w:t>
      </w:r>
      <w:r>
        <w:rPr>
          <w:rFonts w:hint="eastAsia" w:ascii="宋体" w:hAnsi="宋体" w:eastAsia="宋体" w:cs="宋体"/>
          <w:b/>
          <w:bCs/>
          <w:color w:val="auto"/>
          <w:sz w:val="28"/>
          <w:szCs w:val="28"/>
          <w:highlight w:val="none"/>
        </w:rPr>
        <w:t>《提供节能产品、环境标志产品、两型产品清单》中提供相应数据。</w:t>
      </w:r>
    </w:p>
    <w:p w14:paraId="5CBDD9F9">
      <w:pPr>
        <w:rPr>
          <w:rFonts w:hint="eastAsia" w:ascii="宋体" w:hAnsi="宋体" w:eastAsia="宋体" w:cs="宋体"/>
          <w:b/>
          <w:bCs/>
          <w:color w:val="auto"/>
          <w:sz w:val="28"/>
          <w:szCs w:val="28"/>
          <w:highlight w:val="none"/>
        </w:rPr>
      </w:pPr>
      <w:bookmarkStart w:id="88" w:name="_Toc2360"/>
      <w:bookmarkStart w:id="89" w:name="_Toc29989"/>
      <w:r>
        <w:rPr>
          <w:rFonts w:hint="eastAsia" w:ascii="宋体" w:hAnsi="宋体" w:eastAsia="宋体" w:cs="宋体"/>
          <w:b/>
          <w:bCs/>
          <w:color w:val="auto"/>
          <w:sz w:val="28"/>
          <w:szCs w:val="28"/>
          <w:highlight w:val="none"/>
        </w:rPr>
        <w:t>2、未按上述要求提供的，评审时不予以考虑。</w:t>
      </w:r>
      <w:bookmarkEnd w:id="88"/>
      <w:bookmarkEnd w:id="89"/>
    </w:p>
    <w:p w14:paraId="1F799204">
      <w:pPr>
        <w:rPr>
          <w:rFonts w:hint="eastAsia" w:ascii="宋体" w:hAnsi="宋体" w:eastAsia="宋体" w:cs="宋体"/>
          <w:b/>
          <w:bCs/>
          <w:color w:val="auto"/>
          <w:sz w:val="28"/>
          <w:szCs w:val="28"/>
          <w:highlight w:val="none"/>
        </w:rPr>
      </w:pPr>
    </w:p>
    <w:p w14:paraId="39B16E5D">
      <w:pPr>
        <w:rPr>
          <w:rFonts w:hint="eastAsia" w:ascii="宋体" w:hAnsi="宋体" w:eastAsia="宋体" w:cs="宋体"/>
          <w:b/>
          <w:bCs/>
          <w:color w:val="auto"/>
          <w:sz w:val="24"/>
          <w:szCs w:val="24"/>
          <w:highlight w:val="none"/>
        </w:rPr>
      </w:pPr>
    </w:p>
    <w:p w14:paraId="38FD698D">
      <w:pPr>
        <w:rPr>
          <w:rFonts w:hint="eastAsia" w:ascii="宋体" w:hAnsi="宋体" w:eastAsia="宋体" w:cs="宋体"/>
          <w:b/>
          <w:bCs/>
          <w:color w:val="auto"/>
          <w:sz w:val="24"/>
          <w:szCs w:val="24"/>
          <w:highlight w:val="none"/>
        </w:rPr>
      </w:pPr>
    </w:p>
    <w:p w14:paraId="0A35E46F">
      <w:pPr>
        <w:rPr>
          <w:rFonts w:hint="eastAsia" w:ascii="宋体" w:hAnsi="宋体" w:eastAsia="宋体" w:cs="宋体"/>
          <w:b/>
          <w:bCs/>
          <w:color w:val="auto"/>
          <w:sz w:val="24"/>
          <w:szCs w:val="24"/>
          <w:highlight w:val="none"/>
        </w:rPr>
      </w:pPr>
    </w:p>
    <w:p w14:paraId="7306FD2B">
      <w:pPr>
        <w:rPr>
          <w:rFonts w:hint="eastAsia" w:ascii="宋体" w:hAnsi="宋体" w:eastAsia="宋体" w:cs="宋体"/>
          <w:b/>
          <w:bCs/>
          <w:color w:val="auto"/>
          <w:sz w:val="24"/>
          <w:szCs w:val="24"/>
          <w:highlight w:val="none"/>
        </w:rPr>
      </w:pPr>
    </w:p>
    <w:p w14:paraId="6DF2EFC9">
      <w:pPr>
        <w:bidi w:val="0"/>
        <w:rPr>
          <w:rFonts w:hint="eastAsia" w:ascii="宋体" w:hAnsi="宋体" w:eastAsia="宋体" w:cs="宋体"/>
          <w:color w:val="auto"/>
          <w:highlight w:val="none"/>
          <w:lang w:val="en-US"/>
        </w:rPr>
      </w:pPr>
      <w:r>
        <w:rPr>
          <w:rFonts w:hint="eastAsia" w:ascii="宋体" w:hAnsi="宋体" w:eastAsia="宋体" w:cs="宋体"/>
          <w:color w:val="auto"/>
          <w:highlight w:val="none"/>
        </w:rPr>
        <w:br w:type="page"/>
      </w:r>
    </w:p>
    <w:p w14:paraId="382BDF64">
      <w:pPr>
        <w:bidi w:val="0"/>
        <w:jc w:val="center"/>
        <w:rPr>
          <w:rFonts w:hint="eastAsia"/>
          <w:b/>
          <w:bCs/>
          <w:color w:val="auto"/>
          <w:sz w:val="30"/>
          <w:szCs w:val="30"/>
          <w:highlight w:val="none"/>
        </w:rPr>
      </w:pPr>
      <w:bookmarkStart w:id="90" w:name="_Toc22315"/>
      <w:bookmarkStart w:id="91" w:name="_Toc248"/>
      <w:r>
        <w:rPr>
          <w:rFonts w:hint="eastAsia"/>
          <w:b/>
          <w:bCs/>
          <w:color w:val="auto"/>
          <w:sz w:val="30"/>
          <w:szCs w:val="30"/>
          <w:highlight w:val="none"/>
        </w:rPr>
        <w:t>提供节能产品、环境标志产品、两型产品清单</w:t>
      </w:r>
      <w:bookmarkEnd w:id="90"/>
      <w:bookmarkEnd w:id="91"/>
    </w:p>
    <w:p w14:paraId="4885E48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 xml:space="preserve">                                       包号：</w:t>
      </w:r>
    </w:p>
    <w:p w14:paraId="21861AA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w:t>
      </w:r>
      <w:r>
        <w:rPr>
          <w:rFonts w:hint="eastAsia" w:ascii="宋体" w:hAnsi="宋体" w:eastAsia="宋体" w:cs="宋体"/>
          <w:color w:val="auto"/>
          <w:sz w:val="24"/>
          <w:szCs w:val="24"/>
          <w:highlight w:val="none"/>
          <w:lang w:val="en-US" w:eastAsia="zh-CN"/>
        </w:rPr>
        <w:t>计划</w:t>
      </w:r>
      <w:r>
        <w:rPr>
          <w:rFonts w:hint="eastAsia" w:ascii="宋体" w:hAnsi="宋体" w:eastAsia="宋体" w:cs="宋体"/>
          <w:color w:val="auto"/>
          <w:sz w:val="24"/>
          <w:szCs w:val="24"/>
          <w:highlight w:val="none"/>
        </w:rPr>
        <w:t>编号：</w:t>
      </w:r>
      <w:r>
        <w:rPr>
          <w:rFonts w:hint="eastAsia" w:ascii="宋体" w:hAnsi="宋体" w:eastAsia="宋体" w:cs="宋体"/>
          <w:color w:val="auto"/>
          <w:sz w:val="24"/>
          <w:szCs w:val="24"/>
          <w:highlight w:val="none"/>
          <w:lang w:val="en-US" w:eastAsia="zh-CN"/>
        </w:rPr>
        <w:t xml:space="preserve">                               委托代理编号</w:t>
      </w:r>
      <w:r>
        <w:rPr>
          <w:rFonts w:hint="eastAsia" w:ascii="宋体" w:hAnsi="宋体" w:eastAsia="宋体" w:cs="宋体"/>
          <w:color w:val="auto"/>
          <w:sz w:val="24"/>
          <w:szCs w:val="24"/>
          <w:highlight w:val="none"/>
        </w:rPr>
        <w:t>：</w:t>
      </w:r>
    </w:p>
    <w:tbl>
      <w:tblPr>
        <w:tblStyle w:val="50"/>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98"/>
        <w:gridCol w:w="1612"/>
        <w:gridCol w:w="709"/>
        <w:gridCol w:w="850"/>
        <w:gridCol w:w="993"/>
        <w:gridCol w:w="1984"/>
        <w:gridCol w:w="1843"/>
      </w:tblGrid>
      <w:tr w14:paraId="2D162D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8789" w:type="dxa"/>
            <w:gridSpan w:val="7"/>
            <w:noWrap w:val="0"/>
            <w:vAlign w:val="center"/>
          </w:tcPr>
          <w:p w14:paraId="63398059">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本公司对本表的真实性负责。如有虚假，将依法承担相应责任。</w:t>
            </w:r>
          </w:p>
        </w:tc>
      </w:tr>
      <w:tr w14:paraId="7FE608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798" w:type="dxa"/>
            <w:noWrap w:val="0"/>
            <w:vAlign w:val="center"/>
          </w:tcPr>
          <w:p w14:paraId="5134283B">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p>
        </w:tc>
        <w:tc>
          <w:tcPr>
            <w:tcW w:w="1612" w:type="dxa"/>
            <w:noWrap w:val="0"/>
            <w:vAlign w:val="center"/>
          </w:tcPr>
          <w:p w14:paraId="2085A17D">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w:t>
            </w:r>
          </w:p>
        </w:tc>
        <w:tc>
          <w:tcPr>
            <w:tcW w:w="709" w:type="dxa"/>
            <w:noWrap w:val="0"/>
            <w:vAlign w:val="center"/>
          </w:tcPr>
          <w:p w14:paraId="78DA9A90">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3</w:t>
            </w:r>
          </w:p>
        </w:tc>
        <w:tc>
          <w:tcPr>
            <w:tcW w:w="850" w:type="dxa"/>
            <w:noWrap w:val="0"/>
            <w:vAlign w:val="center"/>
          </w:tcPr>
          <w:p w14:paraId="057E754C">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4</w:t>
            </w:r>
          </w:p>
        </w:tc>
        <w:tc>
          <w:tcPr>
            <w:tcW w:w="993" w:type="dxa"/>
            <w:noWrap w:val="0"/>
            <w:vAlign w:val="center"/>
          </w:tcPr>
          <w:p w14:paraId="24889FCA">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5</w:t>
            </w:r>
          </w:p>
        </w:tc>
        <w:tc>
          <w:tcPr>
            <w:tcW w:w="1984" w:type="dxa"/>
            <w:noWrap w:val="0"/>
            <w:vAlign w:val="center"/>
          </w:tcPr>
          <w:p w14:paraId="5F17D75D">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6</w:t>
            </w:r>
          </w:p>
        </w:tc>
        <w:tc>
          <w:tcPr>
            <w:tcW w:w="1843" w:type="dxa"/>
            <w:noWrap w:val="0"/>
            <w:vAlign w:val="center"/>
          </w:tcPr>
          <w:p w14:paraId="33922C5B">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7</w:t>
            </w:r>
          </w:p>
        </w:tc>
      </w:tr>
      <w:tr w14:paraId="26BBAB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798" w:type="dxa"/>
            <w:noWrap w:val="0"/>
            <w:vAlign w:val="center"/>
          </w:tcPr>
          <w:p w14:paraId="24592F5B">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1612" w:type="dxa"/>
            <w:noWrap w:val="0"/>
            <w:vAlign w:val="center"/>
          </w:tcPr>
          <w:p w14:paraId="419B5179">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货物名称</w:t>
            </w:r>
          </w:p>
        </w:tc>
        <w:tc>
          <w:tcPr>
            <w:tcW w:w="709" w:type="dxa"/>
            <w:noWrap w:val="0"/>
            <w:vAlign w:val="center"/>
          </w:tcPr>
          <w:p w14:paraId="734E5703">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数量</w:t>
            </w:r>
          </w:p>
        </w:tc>
        <w:tc>
          <w:tcPr>
            <w:tcW w:w="850" w:type="dxa"/>
            <w:noWrap w:val="0"/>
            <w:vAlign w:val="center"/>
          </w:tcPr>
          <w:p w14:paraId="259AC9EC">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单价</w:t>
            </w:r>
          </w:p>
        </w:tc>
        <w:tc>
          <w:tcPr>
            <w:tcW w:w="993" w:type="dxa"/>
            <w:noWrap w:val="0"/>
            <w:vAlign w:val="center"/>
          </w:tcPr>
          <w:p w14:paraId="02C7E139">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总额</w:t>
            </w:r>
          </w:p>
        </w:tc>
        <w:tc>
          <w:tcPr>
            <w:tcW w:w="1984" w:type="dxa"/>
            <w:noWrap w:val="0"/>
            <w:vAlign w:val="center"/>
          </w:tcPr>
          <w:p w14:paraId="670D5EC2">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货物制造商名称</w:t>
            </w:r>
          </w:p>
        </w:tc>
        <w:tc>
          <w:tcPr>
            <w:tcW w:w="1843" w:type="dxa"/>
            <w:noWrap w:val="0"/>
            <w:vAlign w:val="center"/>
          </w:tcPr>
          <w:p w14:paraId="058456CB">
            <w:pPr>
              <w:widowControl/>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政策功能编码</w:t>
            </w:r>
          </w:p>
        </w:tc>
      </w:tr>
      <w:tr w14:paraId="363225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noWrap w:val="0"/>
            <w:vAlign w:val="center"/>
          </w:tcPr>
          <w:p w14:paraId="2FBD4731">
            <w:pPr>
              <w:spacing w:line="24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节能产品</w:t>
            </w:r>
          </w:p>
        </w:tc>
      </w:tr>
      <w:tr w14:paraId="27FC3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98" w:type="dxa"/>
            <w:noWrap w:val="0"/>
            <w:vAlign w:val="center"/>
          </w:tcPr>
          <w:p w14:paraId="4A5377A0">
            <w:pPr>
              <w:spacing w:line="240" w:lineRule="auto"/>
              <w:jc w:val="center"/>
              <w:rPr>
                <w:rFonts w:hint="eastAsia" w:ascii="宋体" w:hAnsi="宋体" w:eastAsia="宋体" w:cs="宋体"/>
                <w:b/>
                <w:color w:val="auto"/>
                <w:sz w:val="24"/>
                <w:szCs w:val="24"/>
                <w:highlight w:val="none"/>
              </w:rPr>
            </w:pPr>
          </w:p>
        </w:tc>
        <w:tc>
          <w:tcPr>
            <w:tcW w:w="1612" w:type="dxa"/>
            <w:noWrap w:val="0"/>
            <w:vAlign w:val="center"/>
          </w:tcPr>
          <w:p w14:paraId="04AF670B">
            <w:pPr>
              <w:spacing w:line="240" w:lineRule="auto"/>
              <w:jc w:val="center"/>
              <w:rPr>
                <w:rFonts w:hint="eastAsia" w:ascii="宋体" w:hAnsi="宋体" w:eastAsia="宋体" w:cs="宋体"/>
                <w:b/>
                <w:color w:val="auto"/>
                <w:sz w:val="24"/>
                <w:szCs w:val="24"/>
                <w:highlight w:val="none"/>
              </w:rPr>
            </w:pPr>
          </w:p>
        </w:tc>
        <w:tc>
          <w:tcPr>
            <w:tcW w:w="709" w:type="dxa"/>
            <w:noWrap w:val="0"/>
            <w:vAlign w:val="center"/>
          </w:tcPr>
          <w:p w14:paraId="7ACD821F">
            <w:pPr>
              <w:spacing w:line="240" w:lineRule="auto"/>
              <w:jc w:val="center"/>
              <w:rPr>
                <w:rFonts w:hint="eastAsia" w:ascii="宋体" w:hAnsi="宋体" w:eastAsia="宋体" w:cs="宋体"/>
                <w:b/>
                <w:color w:val="auto"/>
                <w:sz w:val="24"/>
                <w:szCs w:val="24"/>
                <w:highlight w:val="none"/>
              </w:rPr>
            </w:pPr>
          </w:p>
        </w:tc>
        <w:tc>
          <w:tcPr>
            <w:tcW w:w="850" w:type="dxa"/>
            <w:noWrap w:val="0"/>
            <w:vAlign w:val="center"/>
          </w:tcPr>
          <w:p w14:paraId="11E5C60F">
            <w:pPr>
              <w:spacing w:line="240" w:lineRule="auto"/>
              <w:jc w:val="center"/>
              <w:rPr>
                <w:rFonts w:hint="eastAsia" w:ascii="宋体" w:hAnsi="宋体" w:eastAsia="宋体" w:cs="宋体"/>
                <w:b/>
                <w:color w:val="auto"/>
                <w:sz w:val="24"/>
                <w:szCs w:val="24"/>
                <w:highlight w:val="none"/>
              </w:rPr>
            </w:pPr>
          </w:p>
        </w:tc>
        <w:tc>
          <w:tcPr>
            <w:tcW w:w="993" w:type="dxa"/>
            <w:noWrap w:val="0"/>
            <w:vAlign w:val="center"/>
          </w:tcPr>
          <w:p w14:paraId="5D4B2043">
            <w:pPr>
              <w:spacing w:line="240" w:lineRule="auto"/>
              <w:jc w:val="left"/>
              <w:rPr>
                <w:rFonts w:hint="eastAsia" w:ascii="宋体" w:hAnsi="宋体" w:eastAsia="宋体" w:cs="宋体"/>
                <w:b/>
                <w:color w:val="auto"/>
                <w:sz w:val="24"/>
                <w:szCs w:val="24"/>
                <w:highlight w:val="none"/>
              </w:rPr>
            </w:pPr>
          </w:p>
        </w:tc>
        <w:tc>
          <w:tcPr>
            <w:tcW w:w="1984" w:type="dxa"/>
            <w:noWrap w:val="0"/>
            <w:vAlign w:val="center"/>
          </w:tcPr>
          <w:p w14:paraId="085E2083">
            <w:pPr>
              <w:spacing w:line="240" w:lineRule="auto"/>
              <w:jc w:val="center"/>
              <w:rPr>
                <w:rFonts w:hint="eastAsia" w:ascii="宋体" w:hAnsi="宋体" w:eastAsia="宋体" w:cs="宋体"/>
                <w:b/>
                <w:color w:val="auto"/>
                <w:sz w:val="24"/>
                <w:szCs w:val="24"/>
                <w:highlight w:val="none"/>
              </w:rPr>
            </w:pPr>
          </w:p>
        </w:tc>
        <w:tc>
          <w:tcPr>
            <w:tcW w:w="1843" w:type="dxa"/>
            <w:noWrap w:val="0"/>
            <w:vAlign w:val="top"/>
          </w:tcPr>
          <w:p w14:paraId="45A7C0B2">
            <w:pPr>
              <w:spacing w:line="240" w:lineRule="auto"/>
              <w:jc w:val="center"/>
              <w:rPr>
                <w:rFonts w:hint="eastAsia" w:ascii="宋体" w:hAnsi="宋体" w:eastAsia="宋体" w:cs="宋体"/>
                <w:b/>
                <w:color w:val="auto"/>
                <w:sz w:val="24"/>
                <w:szCs w:val="24"/>
                <w:highlight w:val="none"/>
              </w:rPr>
            </w:pPr>
          </w:p>
        </w:tc>
      </w:tr>
      <w:tr w14:paraId="3ACF4C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98" w:type="dxa"/>
            <w:noWrap w:val="0"/>
            <w:vAlign w:val="center"/>
          </w:tcPr>
          <w:p w14:paraId="2F576C84">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小计</w:t>
            </w:r>
          </w:p>
        </w:tc>
        <w:tc>
          <w:tcPr>
            <w:tcW w:w="1612" w:type="dxa"/>
            <w:noWrap w:val="0"/>
            <w:vAlign w:val="center"/>
          </w:tcPr>
          <w:p w14:paraId="7BFB22F4">
            <w:pPr>
              <w:spacing w:line="240" w:lineRule="auto"/>
              <w:jc w:val="center"/>
              <w:rPr>
                <w:rFonts w:hint="eastAsia" w:ascii="宋体" w:hAnsi="宋体" w:eastAsia="宋体" w:cs="宋体"/>
                <w:b/>
                <w:color w:val="auto"/>
                <w:sz w:val="24"/>
                <w:szCs w:val="24"/>
                <w:highlight w:val="none"/>
              </w:rPr>
            </w:pPr>
          </w:p>
        </w:tc>
        <w:tc>
          <w:tcPr>
            <w:tcW w:w="709" w:type="dxa"/>
            <w:noWrap w:val="0"/>
            <w:vAlign w:val="center"/>
          </w:tcPr>
          <w:p w14:paraId="4D74B096">
            <w:pPr>
              <w:spacing w:line="240" w:lineRule="auto"/>
              <w:jc w:val="center"/>
              <w:rPr>
                <w:rFonts w:hint="eastAsia" w:ascii="宋体" w:hAnsi="宋体" w:eastAsia="宋体" w:cs="宋体"/>
                <w:b/>
                <w:color w:val="auto"/>
                <w:sz w:val="24"/>
                <w:szCs w:val="24"/>
                <w:highlight w:val="none"/>
              </w:rPr>
            </w:pPr>
          </w:p>
        </w:tc>
        <w:tc>
          <w:tcPr>
            <w:tcW w:w="850" w:type="dxa"/>
            <w:noWrap w:val="0"/>
            <w:vAlign w:val="center"/>
          </w:tcPr>
          <w:p w14:paraId="7CF36C3A">
            <w:pPr>
              <w:spacing w:line="240" w:lineRule="auto"/>
              <w:jc w:val="center"/>
              <w:rPr>
                <w:rFonts w:hint="eastAsia" w:ascii="宋体" w:hAnsi="宋体" w:eastAsia="宋体" w:cs="宋体"/>
                <w:b/>
                <w:color w:val="auto"/>
                <w:sz w:val="24"/>
                <w:szCs w:val="24"/>
                <w:highlight w:val="none"/>
              </w:rPr>
            </w:pPr>
          </w:p>
        </w:tc>
        <w:tc>
          <w:tcPr>
            <w:tcW w:w="993" w:type="dxa"/>
            <w:noWrap w:val="0"/>
            <w:vAlign w:val="center"/>
          </w:tcPr>
          <w:p w14:paraId="056D8B66">
            <w:pPr>
              <w:spacing w:line="240" w:lineRule="auto"/>
              <w:jc w:val="left"/>
              <w:rPr>
                <w:rFonts w:hint="eastAsia" w:ascii="宋体" w:hAnsi="宋体" w:eastAsia="宋体" w:cs="宋体"/>
                <w:b/>
                <w:color w:val="auto"/>
                <w:sz w:val="24"/>
                <w:szCs w:val="24"/>
                <w:highlight w:val="none"/>
              </w:rPr>
            </w:pPr>
          </w:p>
        </w:tc>
        <w:tc>
          <w:tcPr>
            <w:tcW w:w="1984" w:type="dxa"/>
            <w:noWrap w:val="0"/>
            <w:vAlign w:val="center"/>
          </w:tcPr>
          <w:p w14:paraId="51E5A530">
            <w:pPr>
              <w:spacing w:line="240" w:lineRule="auto"/>
              <w:jc w:val="center"/>
              <w:rPr>
                <w:rFonts w:hint="eastAsia" w:ascii="宋体" w:hAnsi="宋体" w:eastAsia="宋体" w:cs="宋体"/>
                <w:b/>
                <w:color w:val="auto"/>
                <w:sz w:val="24"/>
                <w:szCs w:val="24"/>
                <w:highlight w:val="none"/>
              </w:rPr>
            </w:pPr>
          </w:p>
        </w:tc>
        <w:tc>
          <w:tcPr>
            <w:tcW w:w="1843" w:type="dxa"/>
            <w:noWrap w:val="0"/>
            <w:vAlign w:val="top"/>
          </w:tcPr>
          <w:p w14:paraId="3679D695">
            <w:pPr>
              <w:spacing w:line="240" w:lineRule="auto"/>
              <w:jc w:val="center"/>
              <w:rPr>
                <w:rFonts w:hint="eastAsia" w:ascii="宋体" w:hAnsi="宋体" w:eastAsia="宋体" w:cs="宋体"/>
                <w:b/>
                <w:color w:val="auto"/>
                <w:sz w:val="24"/>
                <w:szCs w:val="24"/>
                <w:highlight w:val="none"/>
              </w:rPr>
            </w:pPr>
          </w:p>
        </w:tc>
      </w:tr>
      <w:tr w14:paraId="36E628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noWrap w:val="0"/>
            <w:vAlign w:val="center"/>
          </w:tcPr>
          <w:p w14:paraId="58A7A2F0">
            <w:pPr>
              <w:spacing w:line="24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环境标志产品</w:t>
            </w:r>
          </w:p>
        </w:tc>
      </w:tr>
      <w:tr w14:paraId="7F692C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98" w:type="dxa"/>
            <w:noWrap w:val="0"/>
            <w:vAlign w:val="center"/>
          </w:tcPr>
          <w:p w14:paraId="40720821">
            <w:pPr>
              <w:spacing w:line="240" w:lineRule="auto"/>
              <w:jc w:val="center"/>
              <w:rPr>
                <w:rFonts w:hint="eastAsia" w:ascii="宋体" w:hAnsi="宋体" w:eastAsia="宋体" w:cs="宋体"/>
                <w:b/>
                <w:color w:val="auto"/>
                <w:sz w:val="24"/>
                <w:szCs w:val="24"/>
                <w:highlight w:val="none"/>
              </w:rPr>
            </w:pPr>
          </w:p>
        </w:tc>
        <w:tc>
          <w:tcPr>
            <w:tcW w:w="1612" w:type="dxa"/>
            <w:noWrap w:val="0"/>
            <w:vAlign w:val="center"/>
          </w:tcPr>
          <w:p w14:paraId="0B768B5E">
            <w:pPr>
              <w:spacing w:line="240" w:lineRule="auto"/>
              <w:jc w:val="center"/>
              <w:rPr>
                <w:rFonts w:hint="eastAsia" w:ascii="宋体" w:hAnsi="宋体" w:eastAsia="宋体" w:cs="宋体"/>
                <w:b/>
                <w:color w:val="auto"/>
                <w:sz w:val="24"/>
                <w:szCs w:val="24"/>
                <w:highlight w:val="none"/>
              </w:rPr>
            </w:pPr>
          </w:p>
        </w:tc>
        <w:tc>
          <w:tcPr>
            <w:tcW w:w="709" w:type="dxa"/>
            <w:noWrap w:val="0"/>
            <w:vAlign w:val="center"/>
          </w:tcPr>
          <w:p w14:paraId="07E9F25A">
            <w:pPr>
              <w:spacing w:line="240" w:lineRule="auto"/>
              <w:jc w:val="center"/>
              <w:rPr>
                <w:rFonts w:hint="eastAsia" w:ascii="宋体" w:hAnsi="宋体" w:eastAsia="宋体" w:cs="宋体"/>
                <w:b/>
                <w:color w:val="auto"/>
                <w:sz w:val="24"/>
                <w:szCs w:val="24"/>
                <w:highlight w:val="none"/>
              </w:rPr>
            </w:pPr>
          </w:p>
        </w:tc>
        <w:tc>
          <w:tcPr>
            <w:tcW w:w="850" w:type="dxa"/>
            <w:noWrap w:val="0"/>
            <w:vAlign w:val="center"/>
          </w:tcPr>
          <w:p w14:paraId="47129F93">
            <w:pPr>
              <w:spacing w:line="240" w:lineRule="auto"/>
              <w:jc w:val="center"/>
              <w:rPr>
                <w:rFonts w:hint="eastAsia" w:ascii="宋体" w:hAnsi="宋体" w:eastAsia="宋体" w:cs="宋体"/>
                <w:b/>
                <w:color w:val="auto"/>
                <w:sz w:val="24"/>
                <w:szCs w:val="24"/>
                <w:highlight w:val="none"/>
              </w:rPr>
            </w:pPr>
          </w:p>
        </w:tc>
        <w:tc>
          <w:tcPr>
            <w:tcW w:w="993" w:type="dxa"/>
            <w:noWrap w:val="0"/>
            <w:vAlign w:val="center"/>
          </w:tcPr>
          <w:p w14:paraId="35ECFE92">
            <w:pPr>
              <w:spacing w:line="240" w:lineRule="auto"/>
              <w:jc w:val="left"/>
              <w:rPr>
                <w:rFonts w:hint="eastAsia" w:ascii="宋体" w:hAnsi="宋体" w:eastAsia="宋体" w:cs="宋体"/>
                <w:b/>
                <w:color w:val="auto"/>
                <w:sz w:val="24"/>
                <w:szCs w:val="24"/>
                <w:highlight w:val="none"/>
              </w:rPr>
            </w:pPr>
          </w:p>
        </w:tc>
        <w:tc>
          <w:tcPr>
            <w:tcW w:w="1984" w:type="dxa"/>
            <w:noWrap w:val="0"/>
            <w:vAlign w:val="center"/>
          </w:tcPr>
          <w:p w14:paraId="6B6CBB7F">
            <w:pPr>
              <w:spacing w:line="240" w:lineRule="auto"/>
              <w:jc w:val="center"/>
              <w:rPr>
                <w:rFonts w:hint="eastAsia" w:ascii="宋体" w:hAnsi="宋体" w:eastAsia="宋体" w:cs="宋体"/>
                <w:b/>
                <w:color w:val="auto"/>
                <w:sz w:val="24"/>
                <w:szCs w:val="24"/>
                <w:highlight w:val="none"/>
              </w:rPr>
            </w:pPr>
          </w:p>
        </w:tc>
        <w:tc>
          <w:tcPr>
            <w:tcW w:w="1843" w:type="dxa"/>
            <w:noWrap w:val="0"/>
            <w:vAlign w:val="top"/>
          </w:tcPr>
          <w:p w14:paraId="3329B810">
            <w:pPr>
              <w:spacing w:line="240" w:lineRule="auto"/>
              <w:jc w:val="center"/>
              <w:rPr>
                <w:rFonts w:hint="eastAsia" w:ascii="宋体" w:hAnsi="宋体" w:eastAsia="宋体" w:cs="宋体"/>
                <w:b/>
                <w:color w:val="auto"/>
                <w:sz w:val="24"/>
                <w:szCs w:val="24"/>
                <w:highlight w:val="none"/>
              </w:rPr>
            </w:pPr>
          </w:p>
        </w:tc>
      </w:tr>
      <w:tr w14:paraId="1BDA9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98" w:type="dxa"/>
            <w:noWrap w:val="0"/>
            <w:vAlign w:val="center"/>
          </w:tcPr>
          <w:p w14:paraId="5F0FD434">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小计</w:t>
            </w:r>
          </w:p>
        </w:tc>
        <w:tc>
          <w:tcPr>
            <w:tcW w:w="1612" w:type="dxa"/>
            <w:noWrap w:val="0"/>
            <w:vAlign w:val="center"/>
          </w:tcPr>
          <w:p w14:paraId="1CC26B19">
            <w:pPr>
              <w:spacing w:line="240" w:lineRule="auto"/>
              <w:jc w:val="center"/>
              <w:rPr>
                <w:rFonts w:hint="eastAsia" w:ascii="宋体" w:hAnsi="宋体" w:eastAsia="宋体" w:cs="宋体"/>
                <w:b/>
                <w:color w:val="auto"/>
                <w:sz w:val="24"/>
                <w:szCs w:val="24"/>
                <w:highlight w:val="none"/>
              </w:rPr>
            </w:pPr>
          </w:p>
        </w:tc>
        <w:tc>
          <w:tcPr>
            <w:tcW w:w="709" w:type="dxa"/>
            <w:noWrap w:val="0"/>
            <w:vAlign w:val="center"/>
          </w:tcPr>
          <w:p w14:paraId="67FD8495">
            <w:pPr>
              <w:spacing w:line="240" w:lineRule="auto"/>
              <w:jc w:val="center"/>
              <w:rPr>
                <w:rFonts w:hint="eastAsia" w:ascii="宋体" w:hAnsi="宋体" w:eastAsia="宋体" w:cs="宋体"/>
                <w:b/>
                <w:color w:val="auto"/>
                <w:sz w:val="24"/>
                <w:szCs w:val="24"/>
                <w:highlight w:val="none"/>
              </w:rPr>
            </w:pPr>
          </w:p>
        </w:tc>
        <w:tc>
          <w:tcPr>
            <w:tcW w:w="850" w:type="dxa"/>
            <w:noWrap w:val="0"/>
            <w:vAlign w:val="center"/>
          </w:tcPr>
          <w:p w14:paraId="716A8DD4">
            <w:pPr>
              <w:spacing w:line="240" w:lineRule="auto"/>
              <w:jc w:val="center"/>
              <w:rPr>
                <w:rFonts w:hint="eastAsia" w:ascii="宋体" w:hAnsi="宋体" w:eastAsia="宋体" w:cs="宋体"/>
                <w:b/>
                <w:color w:val="auto"/>
                <w:sz w:val="24"/>
                <w:szCs w:val="24"/>
                <w:highlight w:val="none"/>
              </w:rPr>
            </w:pPr>
          </w:p>
        </w:tc>
        <w:tc>
          <w:tcPr>
            <w:tcW w:w="993" w:type="dxa"/>
            <w:noWrap w:val="0"/>
            <w:vAlign w:val="center"/>
          </w:tcPr>
          <w:p w14:paraId="3D62251B">
            <w:pPr>
              <w:spacing w:line="240" w:lineRule="auto"/>
              <w:jc w:val="left"/>
              <w:rPr>
                <w:rFonts w:hint="eastAsia" w:ascii="宋体" w:hAnsi="宋体" w:eastAsia="宋体" w:cs="宋体"/>
                <w:b/>
                <w:color w:val="auto"/>
                <w:sz w:val="24"/>
                <w:szCs w:val="24"/>
                <w:highlight w:val="none"/>
              </w:rPr>
            </w:pPr>
          </w:p>
        </w:tc>
        <w:tc>
          <w:tcPr>
            <w:tcW w:w="1984" w:type="dxa"/>
            <w:noWrap w:val="0"/>
            <w:vAlign w:val="center"/>
          </w:tcPr>
          <w:p w14:paraId="72855C59">
            <w:pPr>
              <w:spacing w:line="240" w:lineRule="auto"/>
              <w:jc w:val="center"/>
              <w:rPr>
                <w:rFonts w:hint="eastAsia" w:ascii="宋体" w:hAnsi="宋体" w:eastAsia="宋体" w:cs="宋体"/>
                <w:b/>
                <w:color w:val="auto"/>
                <w:sz w:val="24"/>
                <w:szCs w:val="24"/>
                <w:highlight w:val="none"/>
              </w:rPr>
            </w:pPr>
          </w:p>
        </w:tc>
        <w:tc>
          <w:tcPr>
            <w:tcW w:w="1843" w:type="dxa"/>
            <w:noWrap w:val="0"/>
            <w:vAlign w:val="top"/>
          </w:tcPr>
          <w:p w14:paraId="5B415F3D">
            <w:pPr>
              <w:spacing w:line="240" w:lineRule="auto"/>
              <w:jc w:val="center"/>
              <w:rPr>
                <w:rFonts w:hint="eastAsia" w:ascii="宋体" w:hAnsi="宋体" w:eastAsia="宋体" w:cs="宋体"/>
                <w:b/>
                <w:color w:val="auto"/>
                <w:sz w:val="24"/>
                <w:szCs w:val="24"/>
                <w:highlight w:val="none"/>
              </w:rPr>
            </w:pPr>
          </w:p>
        </w:tc>
      </w:tr>
      <w:tr w14:paraId="6A1F32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noWrap w:val="0"/>
            <w:vAlign w:val="center"/>
          </w:tcPr>
          <w:p w14:paraId="22AEAB8F">
            <w:pPr>
              <w:spacing w:line="24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两型产品</w:t>
            </w:r>
          </w:p>
        </w:tc>
      </w:tr>
      <w:tr w14:paraId="1D04B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98" w:type="dxa"/>
            <w:noWrap w:val="0"/>
            <w:vAlign w:val="center"/>
          </w:tcPr>
          <w:p w14:paraId="777F856D">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1612" w:type="dxa"/>
            <w:noWrap w:val="0"/>
            <w:vAlign w:val="center"/>
          </w:tcPr>
          <w:p w14:paraId="739636D5">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709" w:type="dxa"/>
            <w:noWrap w:val="0"/>
            <w:vAlign w:val="center"/>
          </w:tcPr>
          <w:p w14:paraId="43BC2991">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850" w:type="dxa"/>
            <w:noWrap w:val="0"/>
            <w:vAlign w:val="center"/>
          </w:tcPr>
          <w:p w14:paraId="7185299A">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993" w:type="dxa"/>
            <w:noWrap w:val="0"/>
            <w:vAlign w:val="center"/>
          </w:tcPr>
          <w:p w14:paraId="65A07C60">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1984" w:type="dxa"/>
            <w:noWrap w:val="0"/>
            <w:vAlign w:val="center"/>
          </w:tcPr>
          <w:p w14:paraId="087344FB">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1843" w:type="dxa"/>
            <w:noWrap w:val="0"/>
            <w:vAlign w:val="top"/>
          </w:tcPr>
          <w:p w14:paraId="2D309178">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772E78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98" w:type="dxa"/>
            <w:noWrap w:val="0"/>
            <w:vAlign w:val="center"/>
          </w:tcPr>
          <w:p w14:paraId="7703A3C4">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小计</w:t>
            </w:r>
          </w:p>
        </w:tc>
        <w:tc>
          <w:tcPr>
            <w:tcW w:w="1612" w:type="dxa"/>
            <w:noWrap w:val="0"/>
            <w:vAlign w:val="center"/>
          </w:tcPr>
          <w:p w14:paraId="59C1AD89">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709" w:type="dxa"/>
            <w:noWrap w:val="0"/>
            <w:vAlign w:val="center"/>
          </w:tcPr>
          <w:p w14:paraId="3370C2C7">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850" w:type="dxa"/>
            <w:noWrap w:val="0"/>
            <w:vAlign w:val="center"/>
          </w:tcPr>
          <w:p w14:paraId="69EDE1C2">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993" w:type="dxa"/>
            <w:noWrap w:val="0"/>
            <w:vAlign w:val="center"/>
          </w:tcPr>
          <w:p w14:paraId="4D17BF78">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1984" w:type="dxa"/>
            <w:noWrap w:val="0"/>
            <w:vAlign w:val="center"/>
          </w:tcPr>
          <w:p w14:paraId="2FC85302">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1843" w:type="dxa"/>
            <w:noWrap w:val="0"/>
            <w:vAlign w:val="top"/>
          </w:tcPr>
          <w:p w14:paraId="465D4D04">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bl>
    <w:p w14:paraId="27CFDBF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w:t>
      </w:r>
    </w:p>
    <w:p w14:paraId="7639377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1、本表用于计算节能产品、环境标志产品、两型产品的政策功能加分或价格扣除。</w:t>
      </w:r>
    </w:p>
    <w:p w14:paraId="17491A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2、栏目7“政策功能编码”是指货物的中国环境标志认证证书编号、节能标志认证证书号、两型产品编号(货物同时属于节能产品、环境标志产品、两型产品的，只填写一种)。</w:t>
      </w:r>
    </w:p>
    <w:p w14:paraId="189D4C4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3、栏目4“单价”为综合单价，包含货物所有隐含的内容，如运输费、保险费、管理费和利润等。</w:t>
      </w:r>
    </w:p>
    <w:p w14:paraId="133A41A8">
      <w:pPr>
        <w:bidi w:val="0"/>
        <w:rPr>
          <w:rFonts w:hint="eastAsia"/>
          <w:color w:val="auto"/>
          <w:highlight w:val="none"/>
        </w:rPr>
      </w:pPr>
      <w:bookmarkStart w:id="92" w:name="_Toc16530"/>
      <w:bookmarkStart w:id="93" w:name="_Toc5149"/>
      <w:r>
        <w:rPr>
          <w:rFonts w:hint="eastAsia"/>
          <w:color w:val="auto"/>
          <w:highlight w:val="none"/>
        </w:rPr>
        <w:t>4、未按上述要求提供、填写的，评审时本表所有优惠不予以考虑。</w:t>
      </w:r>
      <w:bookmarkEnd w:id="92"/>
      <w:bookmarkEnd w:id="93"/>
    </w:p>
    <w:p w14:paraId="776E7A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eastAsia="zh-CN"/>
        </w:rPr>
        <w:t>据《湘财购〔2023〕32号》文件规定，采购两型产品加分予以废止，不再享受折扣。</w:t>
      </w:r>
    </w:p>
    <w:p w14:paraId="43836B45">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6"/>
          <w:kern w:val="0"/>
          <w:sz w:val="24"/>
          <w:szCs w:val="24"/>
          <w:highlight w:val="none"/>
        </w:rPr>
        <w:t>供应商</w:t>
      </w:r>
      <w:r>
        <w:rPr>
          <w:rFonts w:hint="eastAsia" w:ascii="宋体" w:hAnsi="宋体" w:eastAsia="宋体" w:cs="宋体"/>
          <w:color w:val="auto"/>
          <w:sz w:val="24"/>
          <w:szCs w:val="24"/>
          <w:highlight w:val="none"/>
        </w:rPr>
        <w:t>名称（盖单位章）：</w:t>
      </w:r>
      <w:r>
        <w:rPr>
          <w:rFonts w:hint="eastAsia" w:ascii="宋体" w:hAnsi="宋体" w:eastAsia="宋体" w:cs="宋体"/>
          <w:color w:val="auto"/>
          <w:sz w:val="24"/>
          <w:szCs w:val="24"/>
          <w:highlight w:val="none"/>
          <w:u w:val="single"/>
          <w:lang w:val="en-US" w:eastAsia="zh-CN"/>
        </w:rPr>
        <w:t xml:space="preserve">               </w:t>
      </w:r>
    </w:p>
    <w:p w14:paraId="6C6640AC">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b w:val="0"/>
          <w:bCs w:val="0"/>
          <w:color w:val="auto"/>
          <w:kern w:val="2"/>
          <w:sz w:val="24"/>
          <w:szCs w:val="24"/>
          <w:highlight w:val="none"/>
          <w:lang w:val="en-US" w:eastAsia="zh-CN" w:bidi="ar-SA"/>
        </w:rPr>
        <w:t>（签字或印章）：</w:t>
      </w:r>
      <w:r>
        <w:rPr>
          <w:rFonts w:hint="eastAsia" w:ascii="宋体" w:hAnsi="宋体" w:eastAsia="宋体" w:cs="宋体"/>
          <w:color w:val="auto"/>
          <w:sz w:val="24"/>
          <w:szCs w:val="24"/>
          <w:highlight w:val="none"/>
          <w:u w:val="single"/>
          <w:lang w:val="en-US" w:eastAsia="zh-CN"/>
        </w:rPr>
        <w:t xml:space="preserve">               </w:t>
      </w:r>
    </w:p>
    <w:p w14:paraId="393340E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67A4642">
      <w:pPr>
        <w:widowControl/>
        <w:jc w:val="left"/>
        <w:rPr>
          <w:rFonts w:hint="eastAsia" w:ascii="宋体" w:hAnsi="宋体" w:eastAsia="宋体" w:cs="宋体"/>
          <w:color w:val="auto"/>
          <w:highlight w:val="none"/>
        </w:rPr>
      </w:pPr>
    </w:p>
    <w:p w14:paraId="2ED8291E">
      <w:pPr>
        <w:widowControl/>
        <w:jc w:val="left"/>
        <w:rPr>
          <w:rFonts w:hint="eastAsia" w:ascii="宋体" w:hAnsi="宋体" w:eastAsia="宋体" w:cs="宋体"/>
          <w:b/>
          <w:bCs/>
          <w:color w:val="auto"/>
          <w:sz w:val="28"/>
          <w:szCs w:val="36"/>
          <w:highlight w:val="none"/>
        </w:rPr>
      </w:pPr>
      <w:r>
        <w:rPr>
          <w:rFonts w:hint="eastAsia" w:ascii="宋体" w:hAnsi="宋体" w:eastAsia="宋体" w:cs="宋体"/>
          <w:b/>
          <w:bCs/>
          <w:color w:val="auto"/>
          <w:sz w:val="28"/>
          <w:szCs w:val="36"/>
          <w:highlight w:val="none"/>
        </w:rPr>
        <w:t>附：产品目录有效所在页复印件</w:t>
      </w:r>
    </w:p>
    <w:p w14:paraId="749E3990">
      <w:pP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br w:type="page"/>
      </w:r>
    </w:p>
    <w:p w14:paraId="2FC63FBF">
      <w:pPr>
        <w:rPr>
          <w:rFonts w:hint="eastAsia" w:ascii="宋体" w:hAnsi="宋体" w:eastAsia="宋体" w:cs="宋体"/>
          <w:color w:val="auto"/>
          <w:highlight w:val="none"/>
        </w:rPr>
      </w:pPr>
    </w:p>
    <w:p w14:paraId="443B39C5">
      <w:pPr>
        <w:pStyle w:val="3"/>
        <w:numPr>
          <w:ilvl w:val="0"/>
          <w:numId w:val="26"/>
        </w:numPr>
        <w:bidi w:val="0"/>
        <w:jc w:val="center"/>
        <w:rPr>
          <w:rFonts w:hint="eastAsia" w:ascii="宋体" w:hAnsi="宋体" w:eastAsia="宋体" w:cs="宋体"/>
          <w:color w:val="auto"/>
          <w:sz w:val="30"/>
          <w:szCs w:val="30"/>
          <w:highlight w:val="none"/>
        </w:rPr>
      </w:pPr>
      <w:bookmarkStart w:id="94" w:name="_Toc21530"/>
      <w:r>
        <w:rPr>
          <w:rFonts w:hint="eastAsia" w:ascii="宋体" w:hAnsi="宋体" w:eastAsia="宋体" w:cs="宋体"/>
          <w:color w:val="auto"/>
          <w:sz w:val="30"/>
          <w:szCs w:val="30"/>
          <w:highlight w:val="none"/>
        </w:rPr>
        <w:t>货物说明一览表</w:t>
      </w:r>
      <w:bookmarkEnd w:id="94"/>
    </w:p>
    <w:p w14:paraId="7916E501">
      <w:pPr>
        <w:numPr>
          <w:ilvl w:val="0"/>
          <w:numId w:val="0"/>
        </w:numPr>
        <w:rPr>
          <w:rFonts w:hint="eastAsia" w:ascii="宋体" w:hAnsi="宋体" w:eastAsia="宋体" w:cs="宋体"/>
          <w:color w:val="auto"/>
          <w:highlight w:val="none"/>
        </w:rPr>
      </w:pPr>
    </w:p>
    <w:p w14:paraId="1536FE7C">
      <w:pPr>
        <w:pStyle w:val="28"/>
        <w:bidi w:val="0"/>
        <w:rPr>
          <w:rFonts w:hint="eastAsia" w:ascii="宋体" w:hAnsi="宋体" w:eastAsia="宋体" w:cs="宋体"/>
          <w:color w:val="auto"/>
          <w:highlight w:val="none"/>
        </w:rPr>
      </w:pPr>
    </w:p>
    <w:p w14:paraId="373D24EC">
      <w:pPr>
        <w:pStyle w:val="763"/>
        <w:ind w:firstLine="133"/>
        <w:rPr>
          <w:rStyle w:val="52"/>
          <w:rFonts w:hint="eastAsia" w:ascii="宋体" w:hAnsi="宋体" w:eastAsia="宋体" w:cs="宋体"/>
          <w:color w:val="auto"/>
          <w:szCs w:val="21"/>
          <w:highlight w:val="none"/>
          <w:u w:val="single"/>
        </w:rPr>
      </w:pPr>
      <w:r>
        <w:rPr>
          <w:rStyle w:val="52"/>
          <w:rFonts w:hint="eastAsia" w:ascii="宋体" w:hAnsi="宋体" w:eastAsia="宋体" w:cs="宋体"/>
          <w:color w:val="auto"/>
          <w:spacing w:val="28"/>
          <w:szCs w:val="21"/>
          <w:highlight w:val="none"/>
        </w:rPr>
        <w:t>政府采购</w:t>
      </w:r>
      <w:r>
        <w:rPr>
          <w:rStyle w:val="52"/>
          <w:rFonts w:hint="eastAsia" w:ascii="宋体" w:hAnsi="宋体" w:cs="宋体"/>
          <w:color w:val="auto"/>
          <w:spacing w:val="28"/>
          <w:szCs w:val="21"/>
          <w:highlight w:val="none"/>
          <w:lang w:val="en-US" w:eastAsia="zh-CN"/>
        </w:rPr>
        <w:t>计划</w:t>
      </w:r>
      <w:r>
        <w:rPr>
          <w:rStyle w:val="52"/>
          <w:rFonts w:hint="eastAsia" w:ascii="宋体" w:hAnsi="宋体" w:eastAsia="宋体" w:cs="宋体"/>
          <w:color w:val="auto"/>
          <w:spacing w:val="28"/>
          <w:szCs w:val="21"/>
          <w:highlight w:val="none"/>
        </w:rPr>
        <w:t>编号</w:t>
      </w:r>
      <w:r>
        <w:rPr>
          <w:rStyle w:val="52"/>
          <w:rFonts w:hint="eastAsia" w:ascii="宋体" w:hAnsi="宋体" w:eastAsia="宋体" w:cs="宋体"/>
          <w:color w:val="auto"/>
          <w:szCs w:val="21"/>
          <w:highlight w:val="none"/>
        </w:rPr>
        <w:t xml:space="preserve">: </w:t>
      </w:r>
      <w:r>
        <w:rPr>
          <w:rStyle w:val="52"/>
          <w:rFonts w:hint="eastAsia" w:ascii="宋体" w:hAnsi="宋体" w:eastAsia="宋体" w:cs="宋体"/>
          <w:color w:val="auto"/>
          <w:szCs w:val="21"/>
          <w:highlight w:val="none"/>
          <w:u w:val="single"/>
        </w:rPr>
        <w:t>            </w:t>
      </w:r>
      <w:r>
        <w:rPr>
          <w:rStyle w:val="52"/>
          <w:rFonts w:hint="eastAsia" w:ascii="宋体" w:hAnsi="宋体" w:eastAsia="宋体" w:cs="宋体"/>
          <w:color w:val="auto"/>
          <w:szCs w:val="21"/>
          <w:highlight w:val="none"/>
          <w:u w:val="none"/>
          <w:lang w:val="en-US" w:eastAsia="zh-CN"/>
        </w:rPr>
        <w:t xml:space="preserve">    </w:t>
      </w:r>
      <w:r>
        <w:rPr>
          <w:rStyle w:val="52"/>
          <w:rFonts w:hint="eastAsia" w:ascii="宋体" w:hAnsi="宋体" w:eastAsia="宋体" w:cs="宋体"/>
          <w:color w:val="auto"/>
          <w:szCs w:val="21"/>
          <w:highlight w:val="none"/>
          <w:u w:val="none"/>
        </w:rPr>
        <w:t>委托代理编号：</w:t>
      </w:r>
      <w:r>
        <w:rPr>
          <w:rStyle w:val="52"/>
          <w:rFonts w:hint="eastAsia" w:ascii="宋体" w:hAnsi="宋体" w:eastAsia="宋体" w:cs="宋体"/>
          <w:color w:val="auto"/>
          <w:szCs w:val="21"/>
          <w:highlight w:val="none"/>
          <w:u w:val="single"/>
        </w:rPr>
        <w:t xml:space="preserve">                 </w:t>
      </w:r>
    </w:p>
    <w:p w14:paraId="7E1F2385">
      <w:pPr>
        <w:pStyle w:val="763"/>
        <w:ind w:firstLine="133"/>
        <w:rPr>
          <w:rStyle w:val="52"/>
          <w:rFonts w:hint="eastAsia" w:ascii="宋体" w:hAnsi="宋体" w:eastAsia="宋体" w:cs="宋体"/>
          <w:color w:val="auto"/>
          <w:szCs w:val="21"/>
          <w:highlight w:val="none"/>
          <w:u w:val="single"/>
        </w:rPr>
      </w:pPr>
    </w:p>
    <w:tbl>
      <w:tblPr>
        <w:tblStyle w:val="50"/>
        <w:tblW w:w="51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91"/>
        <w:gridCol w:w="1224"/>
        <w:gridCol w:w="1398"/>
        <w:gridCol w:w="1243"/>
        <w:gridCol w:w="4215"/>
        <w:gridCol w:w="999"/>
      </w:tblGrid>
      <w:tr w14:paraId="7074F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3" w:hRule="atLeast"/>
        </w:trPr>
        <w:tc>
          <w:tcPr>
            <w:tcW w:w="354"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78C90A2">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序号 </w:t>
            </w:r>
          </w:p>
        </w:tc>
        <w:tc>
          <w:tcPr>
            <w:tcW w:w="626"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614692C">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货物名称 </w:t>
            </w:r>
          </w:p>
        </w:tc>
        <w:tc>
          <w:tcPr>
            <w:tcW w:w="715"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4542F086">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制造商名称 </w:t>
            </w:r>
          </w:p>
        </w:tc>
        <w:tc>
          <w:tcPr>
            <w:tcW w:w="636"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25CE060">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型号规格 </w:t>
            </w:r>
          </w:p>
        </w:tc>
        <w:tc>
          <w:tcPr>
            <w:tcW w:w="2156"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A2D8918">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主要技术参数和技术指标 </w:t>
            </w:r>
          </w:p>
        </w:tc>
        <w:tc>
          <w:tcPr>
            <w:tcW w:w="51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61C8C77A">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备  注 </w:t>
            </w:r>
          </w:p>
        </w:tc>
      </w:tr>
      <w:tr w14:paraId="31B72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54"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29B5B7DD">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2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148DD93">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71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7165A38">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3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E9CAC6">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215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31011A6">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51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320BC56">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r>
      <w:tr w14:paraId="5C4CE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54"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D0A8CAC">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2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E1FA1F5">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71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A11AAE1">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3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1AE08DF">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215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CCA8BDD">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51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B524EA0">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r>
      <w:tr w14:paraId="286C2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54"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49C7A5FE">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2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C9E0A30">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71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65CE4AC">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3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EC32286">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215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EE97227">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51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DD64296">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r>
      <w:tr w14:paraId="71E57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54"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AF11533">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2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E1F6E91">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71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A312EAD">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3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4D3BE11">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215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7AA4F2F">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51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4996750">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r>
      <w:tr w14:paraId="78818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54"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03E400D">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2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5CE1621">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71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4F2D8CB">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3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1CBE4A7">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215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E378450">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51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5AB99B">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r>
      <w:tr w14:paraId="790D6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54"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4A4BDEE">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2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BBD7D09">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71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0EDF5A3">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3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835842B">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215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950BE68">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51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3FCFBE9">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r>
      <w:tr w14:paraId="62A68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54"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421C8A9">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2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EA5D9C0">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71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FB4FB0">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63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33565BA">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2156"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50C3E07">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c>
          <w:tcPr>
            <w:tcW w:w="51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1675461">
            <w:pPr>
              <w:pStyle w:val="763"/>
              <w:widowControl w:val="0"/>
              <w:spacing w:line="400" w:lineRule="atLeast"/>
              <w:jc w:val="center"/>
              <w:rPr>
                <w:rStyle w:val="52"/>
                <w:rFonts w:hint="eastAsia" w:ascii="宋体" w:hAnsi="宋体" w:eastAsia="宋体" w:cs="宋体"/>
                <w:color w:val="auto"/>
                <w:kern w:val="2"/>
                <w:sz w:val="21"/>
                <w:szCs w:val="22"/>
                <w:highlight w:val="none"/>
                <w:lang w:val="en-US" w:eastAsia="zh-CN" w:bidi="ar-SA"/>
              </w:rPr>
            </w:pPr>
            <w:r>
              <w:rPr>
                <w:rStyle w:val="52"/>
                <w:rFonts w:hint="eastAsia" w:ascii="宋体" w:hAnsi="宋体" w:eastAsia="宋体" w:cs="宋体"/>
                <w:color w:val="auto"/>
                <w:kern w:val="2"/>
                <w:sz w:val="21"/>
                <w:szCs w:val="21"/>
                <w:highlight w:val="none"/>
                <w:lang w:val="en-US" w:eastAsia="zh-CN" w:bidi="ar-SA"/>
              </w:rPr>
              <w:t xml:space="preserve">  </w:t>
            </w:r>
          </w:p>
        </w:tc>
      </w:tr>
    </w:tbl>
    <w:p w14:paraId="091DE33E">
      <w:pPr>
        <w:pStyle w:val="763"/>
        <w:rPr>
          <w:rStyle w:val="52"/>
          <w:rFonts w:hint="eastAsia" w:ascii="宋体" w:hAnsi="宋体" w:eastAsia="宋体" w:cs="宋体"/>
          <w:color w:val="auto"/>
          <w:highlight w:val="none"/>
        </w:rPr>
      </w:pPr>
      <w:r>
        <w:rPr>
          <w:rStyle w:val="52"/>
          <w:rFonts w:hint="eastAsia" w:ascii="宋体" w:hAnsi="宋体" w:eastAsia="宋体" w:cs="宋体"/>
          <w:color w:val="auto"/>
          <w:highlight w:val="none"/>
        </w:rPr>
        <w:t xml:space="preserve">  </w:t>
      </w:r>
    </w:p>
    <w:p w14:paraId="46C6AD43">
      <w:pPr>
        <w:rPr>
          <w:rFonts w:hint="eastAsia" w:ascii="宋体" w:hAnsi="宋体" w:eastAsia="宋体" w:cs="宋体"/>
          <w:color w:val="auto"/>
          <w:szCs w:val="21"/>
          <w:highlight w:val="none"/>
        </w:rPr>
      </w:pPr>
    </w:p>
    <w:p w14:paraId="3B6647BB">
      <w:pPr>
        <w:rPr>
          <w:rFonts w:hint="eastAsia" w:ascii="宋体" w:hAnsi="宋体" w:eastAsia="宋体" w:cs="宋体"/>
          <w:color w:val="auto"/>
          <w:szCs w:val="21"/>
          <w:highlight w:val="none"/>
        </w:rPr>
      </w:pPr>
    </w:p>
    <w:p w14:paraId="6E7D7A25">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供应商名称（盖单位章）：                   </w:t>
      </w:r>
    </w:p>
    <w:p w14:paraId="7D0A6D92">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法定代表人或其委托代理人（签字）：                   </w:t>
      </w:r>
    </w:p>
    <w:p w14:paraId="5F8A4CE2">
      <w:pPr>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日期：       年    月    日</w:t>
      </w:r>
    </w:p>
    <w:p w14:paraId="5319DDFD">
      <w:pPr>
        <w:adjustRightInd w:val="0"/>
        <w:snapToGrid w:val="0"/>
        <w:spacing w:line="360" w:lineRule="auto"/>
        <w:rPr>
          <w:rFonts w:hint="eastAsia" w:ascii="宋体" w:hAnsi="宋体" w:eastAsia="宋体" w:cs="宋体"/>
          <w:color w:val="auto"/>
          <w:szCs w:val="21"/>
          <w:highlight w:val="none"/>
        </w:rPr>
      </w:pPr>
    </w:p>
    <w:p w14:paraId="069138E0">
      <w:pPr>
        <w:adjustRightInd w:val="0"/>
        <w:snapToGrid w:val="0"/>
        <w:spacing w:line="360" w:lineRule="auto"/>
        <w:rPr>
          <w:rFonts w:hint="eastAsia" w:ascii="宋体" w:hAnsi="宋体" w:eastAsia="宋体" w:cs="宋体"/>
          <w:color w:val="auto"/>
          <w:szCs w:val="21"/>
          <w:highlight w:val="none"/>
        </w:rPr>
      </w:pPr>
    </w:p>
    <w:p w14:paraId="357CCE7B">
      <w:pPr>
        <w:pStyle w:val="31"/>
        <w:bidi w:val="0"/>
        <w:rPr>
          <w:rFonts w:hint="eastAsia" w:ascii="宋体" w:hAnsi="宋体" w:eastAsia="宋体" w:cs="宋体"/>
          <w:color w:val="auto"/>
          <w:highlight w:val="none"/>
        </w:rPr>
      </w:pPr>
      <w:r>
        <w:rPr>
          <w:rFonts w:hint="eastAsia" w:ascii="宋体" w:hAnsi="宋体" w:eastAsia="宋体" w:cs="宋体"/>
          <w:color w:val="auto"/>
          <w:highlight w:val="none"/>
        </w:rPr>
        <w:t>说明：货物的主要技术参数和技术指标可另页描述。</w:t>
      </w:r>
    </w:p>
    <w:p w14:paraId="7DFD5877">
      <w:pPr>
        <w:adjustRightInd w:val="0"/>
        <w:snapToGrid w:val="0"/>
        <w:spacing w:line="500" w:lineRule="exact"/>
        <w:jc w:val="center"/>
        <w:outlineLvl w:val="9"/>
        <w:rPr>
          <w:rFonts w:hint="eastAsia" w:ascii="宋体" w:hAnsi="宋体" w:eastAsia="宋体" w:cs="宋体"/>
          <w:color w:val="auto"/>
          <w:kern w:val="0"/>
          <w:highlight w:val="none"/>
        </w:rPr>
      </w:pPr>
    </w:p>
    <w:p w14:paraId="20B91AB7">
      <w:pPr>
        <w:pStyle w:val="763"/>
        <w:rPr>
          <w:rStyle w:val="52"/>
          <w:rFonts w:hint="eastAsia" w:ascii="宋体" w:hAnsi="宋体" w:eastAsia="宋体" w:cs="宋体"/>
          <w:color w:val="auto"/>
          <w:highlight w:val="none"/>
        </w:rPr>
      </w:pPr>
    </w:p>
    <w:p w14:paraId="3FD72C1B">
      <w:pPr>
        <w:adjustRightInd w:val="0"/>
        <w:snapToGrid w:val="0"/>
        <w:spacing w:line="500" w:lineRule="exact"/>
        <w:jc w:val="center"/>
        <w:outlineLvl w:val="9"/>
        <w:rPr>
          <w:rFonts w:hint="eastAsia" w:ascii="宋体" w:hAnsi="宋体" w:eastAsia="宋体" w:cs="宋体"/>
          <w:color w:val="auto"/>
          <w:kern w:val="0"/>
          <w:highlight w:val="none"/>
        </w:rPr>
        <w:sectPr>
          <w:footerReference r:id="rId14" w:type="default"/>
          <w:pgSz w:w="11906" w:h="16838"/>
          <w:pgMar w:top="1304" w:right="1304" w:bottom="1304" w:left="1417" w:header="851" w:footer="992" w:gutter="0"/>
          <w:pgNumType w:fmt="decimal"/>
          <w:cols w:space="0" w:num="1"/>
          <w:docGrid w:type="linesAndChars" w:linePitch="316" w:charSpace="738"/>
        </w:sectPr>
      </w:pPr>
      <w:r>
        <w:rPr>
          <w:rStyle w:val="52"/>
          <w:rFonts w:hint="eastAsia" w:ascii="宋体" w:hAnsi="宋体" w:eastAsia="宋体" w:cs="宋体"/>
          <w:color w:val="auto"/>
          <w:highlight w:val="none"/>
        </w:rPr>
        <w:br w:type="page"/>
      </w:r>
    </w:p>
    <w:p w14:paraId="71D722B3">
      <w:pPr>
        <w:pStyle w:val="3"/>
        <w:bidi w:val="0"/>
        <w:jc w:val="center"/>
        <w:rPr>
          <w:rFonts w:hint="eastAsia" w:ascii="宋体" w:hAnsi="宋体" w:eastAsia="宋体" w:cs="宋体"/>
          <w:color w:val="auto"/>
          <w:sz w:val="30"/>
          <w:szCs w:val="30"/>
          <w:highlight w:val="none"/>
          <w:lang w:val="en-US" w:eastAsia="zh-CN"/>
        </w:rPr>
      </w:pPr>
      <w:bookmarkStart w:id="95" w:name="_Toc10442"/>
      <w:r>
        <w:rPr>
          <w:rFonts w:hint="eastAsia" w:ascii="宋体" w:hAnsi="宋体" w:eastAsia="宋体" w:cs="宋体"/>
          <w:color w:val="auto"/>
          <w:sz w:val="30"/>
          <w:szCs w:val="30"/>
          <w:highlight w:val="none"/>
          <w:lang w:val="en-US" w:eastAsia="zh-CN"/>
        </w:rPr>
        <w:t>七、报价一览表及分项报价明细表</w:t>
      </w:r>
      <w:bookmarkEnd w:id="95"/>
    </w:p>
    <w:p w14:paraId="56A5F3C9">
      <w:pPr>
        <w:bidi w:val="0"/>
        <w:rPr>
          <w:rFonts w:hint="eastAsia" w:ascii="宋体" w:hAnsi="宋体" w:eastAsia="宋体" w:cs="宋体"/>
          <w:color w:val="auto"/>
          <w:highlight w:val="none"/>
        </w:rPr>
      </w:pPr>
    </w:p>
    <w:p w14:paraId="0C88E2BF">
      <w:pPr>
        <w:bidi w:val="0"/>
        <w:rPr>
          <w:rFonts w:hint="eastAsia" w:ascii="宋体" w:hAnsi="宋体" w:eastAsia="宋体" w:cs="宋体"/>
          <w:color w:val="auto"/>
          <w:highlight w:val="none"/>
        </w:rPr>
      </w:pPr>
    </w:p>
    <w:p w14:paraId="15EFC97A">
      <w:pPr>
        <w:keepNext w:val="0"/>
        <w:keepLines w:val="0"/>
        <w:pageBreakBefore w:val="0"/>
        <w:widowControl w:val="0"/>
        <w:kinsoku/>
        <w:wordWrap/>
        <w:overflowPunct/>
        <w:topLinePunct w:val="0"/>
        <w:autoSpaceDE/>
        <w:autoSpaceDN/>
        <w:bidi w:val="0"/>
        <w:adjustRightInd/>
        <w:snapToGrid/>
        <w:spacing w:after="317" w:afterLines="100"/>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附件7-1 报价一览表</w:t>
      </w:r>
      <w:r>
        <w:rPr>
          <w:rFonts w:hint="eastAsia" w:ascii="宋体" w:hAnsi="宋体" w:eastAsia="宋体" w:cs="宋体"/>
          <w:b/>
          <w:bCs/>
          <w:color w:val="auto"/>
          <w:sz w:val="30"/>
          <w:szCs w:val="30"/>
          <w:highlight w:val="none"/>
        </w:rPr>
        <w:t>（格式）</w:t>
      </w:r>
    </w:p>
    <w:p w14:paraId="0065148E">
      <w:pPr>
        <w:keepNext w:val="0"/>
        <w:keepLines w:val="0"/>
        <w:pageBreakBefore w:val="0"/>
        <w:widowControl w:val="0"/>
        <w:kinsoku/>
        <w:wordWrap/>
        <w:overflowPunct/>
        <w:topLinePunct w:val="0"/>
        <w:autoSpaceDE/>
        <w:autoSpaceDN/>
        <w:bidi w:val="0"/>
        <w:adjustRightInd/>
        <w:snapToGrid/>
        <w:spacing w:after="317" w:afterLines="100"/>
        <w:jc w:val="center"/>
        <w:textAlignment w:val="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报价一览表</w:t>
      </w:r>
    </w:p>
    <w:tbl>
      <w:tblPr>
        <w:tblStyle w:val="50"/>
        <w:tblW w:w="9731"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3141"/>
        <w:gridCol w:w="2077"/>
        <w:gridCol w:w="2608"/>
      </w:tblGrid>
      <w:tr w14:paraId="09CD1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905" w:type="dxa"/>
            <w:vMerge w:val="restart"/>
            <w:tcBorders>
              <w:top w:val="double" w:color="auto" w:sz="4" w:space="0"/>
              <w:left w:val="double" w:color="auto" w:sz="4" w:space="0"/>
              <w:bottom w:val="single" w:color="auto" w:sz="6" w:space="0"/>
              <w:right w:val="single" w:color="auto" w:sz="6" w:space="0"/>
            </w:tcBorders>
            <w:vAlign w:val="center"/>
          </w:tcPr>
          <w:p w14:paraId="5C5A94F3">
            <w:pPr>
              <w:tabs>
                <w:tab w:val="left" w:pos="403"/>
                <w:tab w:val="center" w:pos="3781"/>
              </w:tabs>
              <w:spacing w:line="420" w:lineRule="exact"/>
              <w:ind w:right="-5280" w:rightChars="-2479" w:firstLine="243"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项目名称</w:t>
            </w:r>
          </w:p>
        </w:tc>
        <w:tc>
          <w:tcPr>
            <w:tcW w:w="3141" w:type="dxa"/>
            <w:vMerge w:val="restart"/>
            <w:tcBorders>
              <w:top w:val="double" w:color="auto" w:sz="4" w:space="0"/>
              <w:left w:val="single" w:color="auto" w:sz="6" w:space="0"/>
              <w:bottom w:val="single" w:color="auto" w:sz="6" w:space="0"/>
              <w:right w:val="single" w:color="auto" w:sz="6" w:space="0"/>
            </w:tcBorders>
            <w:vAlign w:val="center"/>
          </w:tcPr>
          <w:p w14:paraId="60020089">
            <w:pPr>
              <w:spacing w:line="340" w:lineRule="exact"/>
              <w:jc w:val="center"/>
              <w:rPr>
                <w:rFonts w:hint="eastAsia" w:ascii="宋体" w:hAnsi="宋体" w:eastAsia="宋体" w:cs="宋体"/>
                <w:color w:val="auto"/>
                <w:sz w:val="24"/>
                <w:szCs w:val="24"/>
                <w:highlight w:val="none"/>
                <w:lang w:eastAsia="zh-CN"/>
              </w:rPr>
            </w:pPr>
          </w:p>
        </w:tc>
        <w:tc>
          <w:tcPr>
            <w:tcW w:w="2077" w:type="dxa"/>
            <w:tcBorders>
              <w:top w:val="double" w:color="auto" w:sz="4" w:space="0"/>
              <w:left w:val="single" w:color="auto" w:sz="6" w:space="0"/>
              <w:bottom w:val="single" w:color="auto" w:sz="6" w:space="0"/>
              <w:right w:val="single" w:color="auto" w:sz="6" w:space="0"/>
            </w:tcBorders>
            <w:vAlign w:val="center"/>
          </w:tcPr>
          <w:p w14:paraId="69D0B18E">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w:t>
            </w:r>
            <w:r>
              <w:rPr>
                <w:rFonts w:hint="eastAsia" w:ascii="宋体" w:hAnsi="宋体" w:cs="宋体"/>
                <w:color w:val="auto"/>
                <w:sz w:val="24"/>
                <w:szCs w:val="24"/>
                <w:highlight w:val="none"/>
                <w:lang w:val="en-US" w:eastAsia="zh-CN"/>
              </w:rPr>
              <w:t>计划</w:t>
            </w:r>
            <w:r>
              <w:rPr>
                <w:rFonts w:hint="eastAsia" w:ascii="宋体" w:hAnsi="宋体" w:eastAsia="宋体" w:cs="宋体"/>
                <w:color w:val="auto"/>
                <w:sz w:val="24"/>
                <w:szCs w:val="24"/>
                <w:highlight w:val="none"/>
              </w:rPr>
              <w:t>编号</w:t>
            </w:r>
          </w:p>
        </w:tc>
        <w:tc>
          <w:tcPr>
            <w:tcW w:w="2608" w:type="dxa"/>
            <w:tcBorders>
              <w:top w:val="double" w:color="auto" w:sz="4" w:space="0"/>
              <w:left w:val="single" w:color="auto" w:sz="6" w:space="0"/>
              <w:bottom w:val="single" w:color="auto" w:sz="6" w:space="0"/>
              <w:right w:val="double" w:color="auto" w:sz="4" w:space="0"/>
            </w:tcBorders>
            <w:vAlign w:val="center"/>
          </w:tcPr>
          <w:p w14:paraId="4B6D256C">
            <w:pPr>
              <w:spacing w:line="420" w:lineRule="exact"/>
              <w:ind w:left="972" w:hanging="972" w:hangingChars="400"/>
              <w:jc w:val="both"/>
              <w:rPr>
                <w:rFonts w:hint="eastAsia" w:ascii="宋体" w:hAnsi="宋体" w:eastAsia="宋体" w:cs="宋体"/>
                <w:color w:val="auto"/>
                <w:sz w:val="24"/>
                <w:szCs w:val="24"/>
                <w:highlight w:val="none"/>
              </w:rPr>
            </w:pPr>
          </w:p>
        </w:tc>
      </w:tr>
      <w:tr w14:paraId="3174B6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905" w:type="dxa"/>
            <w:vMerge w:val="continue"/>
            <w:tcBorders>
              <w:top w:val="single" w:color="auto" w:sz="6" w:space="0"/>
              <w:left w:val="double" w:color="auto" w:sz="4" w:space="0"/>
              <w:bottom w:val="single" w:color="auto" w:sz="6" w:space="0"/>
              <w:right w:val="single" w:color="auto" w:sz="6" w:space="0"/>
            </w:tcBorders>
            <w:vAlign w:val="center"/>
          </w:tcPr>
          <w:p w14:paraId="74077E91">
            <w:pPr>
              <w:tabs>
                <w:tab w:val="left" w:pos="403"/>
                <w:tab w:val="center" w:pos="3781"/>
              </w:tabs>
              <w:spacing w:line="420" w:lineRule="exact"/>
              <w:ind w:right="-5280" w:rightChars="-2479"/>
              <w:rPr>
                <w:rFonts w:hint="eastAsia" w:ascii="宋体" w:hAnsi="宋体" w:eastAsia="宋体" w:cs="宋体"/>
                <w:color w:val="auto"/>
                <w:sz w:val="24"/>
                <w:szCs w:val="24"/>
                <w:highlight w:val="none"/>
              </w:rPr>
            </w:pPr>
          </w:p>
        </w:tc>
        <w:tc>
          <w:tcPr>
            <w:tcW w:w="3141" w:type="dxa"/>
            <w:vMerge w:val="continue"/>
            <w:tcBorders>
              <w:top w:val="single" w:color="auto" w:sz="6" w:space="0"/>
              <w:left w:val="single" w:color="auto" w:sz="6" w:space="0"/>
              <w:bottom w:val="single" w:color="auto" w:sz="6" w:space="0"/>
              <w:right w:val="single" w:color="auto" w:sz="6" w:space="0"/>
            </w:tcBorders>
            <w:vAlign w:val="center"/>
          </w:tcPr>
          <w:p w14:paraId="7D1C976A">
            <w:pPr>
              <w:spacing w:line="420" w:lineRule="exact"/>
              <w:jc w:val="center"/>
              <w:rPr>
                <w:rFonts w:hint="eastAsia" w:ascii="宋体" w:hAnsi="宋体" w:eastAsia="宋体" w:cs="宋体"/>
                <w:color w:val="auto"/>
                <w:sz w:val="24"/>
                <w:szCs w:val="24"/>
                <w:highlight w:val="none"/>
              </w:rPr>
            </w:pPr>
          </w:p>
        </w:tc>
        <w:tc>
          <w:tcPr>
            <w:tcW w:w="2077" w:type="dxa"/>
            <w:tcBorders>
              <w:top w:val="single" w:color="auto" w:sz="6" w:space="0"/>
              <w:left w:val="single" w:color="auto" w:sz="6" w:space="0"/>
              <w:bottom w:val="single" w:color="auto" w:sz="6" w:space="0"/>
              <w:right w:val="single" w:color="auto" w:sz="6" w:space="0"/>
            </w:tcBorders>
            <w:vAlign w:val="center"/>
          </w:tcPr>
          <w:p w14:paraId="3AF389EA">
            <w:pPr>
              <w:spacing w:line="420" w:lineRule="exact"/>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委托</w:t>
            </w:r>
            <w:r>
              <w:rPr>
                <w:rFonts w:hint="eastAsia" w:ascii="宋体" w:hAnsi="宋体" w:eastAsia="宋体" w:cs="宋体"/>
                <w:color w:val="auto"/>
                <w:sz w:val="24"/>
                <w:szCs w:val="24"/>
                <w:highlight w:val="none"/>
              </w:rPr>
              <w:t>代理编号</w:t>
            </w:r>
          </w:p>
        </w:tc>
        <w:tc>
          <w:tcPr>
            <w:tcW w:w="2608" w:type="dxa"/>
            <w:tcBorders>
              <w:top w:val="single" w:color="auto" w:sz="6" w:space="0"/>
              <w:left w:val="single" w:color="auto" w:sz="6" w:space="0"/>
              <w:bottom w:val="single" w:color="auto" w:sz="6" w:space="0"/>
              <w:right w:val="double" w:color="auto" w:sz="4" w:space="0"/>
            </w:tcBorders>
            <w:vAlign w:val="center"/>
          </w:tcPr>
          <w:p w14:paraId="5C70DD40">
            <w:pPr>
              <w:spacing w:line="420" w:lineRule="exact"/>
              <w:jc w:val="center"/>
              <w:rPr>
                <w:rFonts w:hint="eastAsia" w:ascii="宋体" w:hAnsi="宋体" w:eastAsia="宋体" w:cs="宋体"/>
                <w:color w:val="auto"/>
                <w:sz w:val="24"/>
                <w:szCs w:val="24"/>
                <w:highlight w:val="none"/>
                <w:lang w:val="en-US" w:eastAsia="zh-CN"/>
              </w:rPr>
            </w:pPr>
          </w:p>
        </w:tc>
      </w:tr>
      <w:tr w14:paraId="6D6F6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1905" w:type="dxa"/>
            <w:tcBorders>
              <w:top w:val="single" w:color="auto" w:sz="6" w:space="0"/>
              <w:left w:val="double" w:color="auto" w:sz="4" w:space="0"/>
              <w:right w:val="single" w:color="auto" w:sz="6" w:space="0"/>
            </w:tcBorders>
            <w:vAlign w:val="center"/>
          </w:tcPr>
          <w:p w14:paraId="5589C9D5">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报价（人民币）</w:t>
            </w:r>
          </w:p>
        </w:tc>
        <w:tc>
          <w:tcPr>
            <w:tcW w:w="7826" w:type="dxa"/>
            <w:gridSpan w:val="3"/>
            <w:tcBorders>
              <w:top w:val="single" w:color="auto" w:sz="6" w:space="0"/>
              <w:left w:val="single" w:color="auto" w:sz="6" w:space="0"/>
              <w:bottom w:val="single" w:color="auto" w:sz="6" w:space="0"/>
              <w:right w:val="double" w:color="auto" w:sz="4" w:space="0"/>
            </w:tcBorders>
            <w:vAlign w:val="center"/>
          </w:tcPr>
          <w:p w14:paraId="4A07162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元整</w:t>
            </w:r>
          </w:p>
          <w:p w14:paraId="4BFC9BDD">
            <w:pPr>
              <w:spacing w:before="158" w:beforeLines="50" w:line="420" w:lineRule="exact"/>
              <w:rPr>
                <w:rFonts w:hint="eastAsia" w:ascii="宋体" w:hAnsi="宋体" w:eastAsia="宋体" w:cs="宋体"/>
                <w:color w:val="auto"/>
                <w:sz w:val="24"/>
                <w:szCs w:val="24"/>
                <w:highlight w:val="none"/>
              </w:rPr>
            </w:pP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tc>
      </w:tr>
      <w:tr w14:paraId="35687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05" w:type="dxa"/>
            <w:tcBorders>
              <w:top w:val="single" w:color="auto" w:sz="6" w:space="0"/>
              <w:left w:val="double" w:color="auto" w:sz="4" w:space="0"/>
              <w:bottom w:val="single" w:color="auto" w:sz="6" w:space="0"/>
              <w:right w:val="single" w:color="auto" w:sz="6" w:space="0"/>
            </w:tcBorders>
            <w:vAlign w:val="center"/>
          </w:tcPr>
          <w:p w14:paraId="246F6278">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交货时间</w:t>
            </w:r>
          </w:p>
        </w:tc>
        <w:tc>
          <w:tcPr>
            <w:tcW w:w="7826" w:type="dxa"/>
            <w:gridSpan w:val="3"/>
            <w:tcBorders>
              <w:top w:val="single" w:color="auto" w:sz="6" w:space="0"/>
              <w:left w:val="single" w:color="auto" w:sz="6" w:space="0"/>
              <w:bottom w:val="single" w:color="auto" w:sz="6" w:space="0"/>
              <w:right w:val="double" w:color="auto" w:sz="4" w:space="0"/>
            </w:tcBorders>
            <w:vAlign w:val="center"/>
          </w:tcPr>
          <w:p w14:paraId="18F678C8">
            <w:pPr>
              <w:keepNext w:val="0"/>
              <w:keepLines w:val="0"/>
              <w:pageBreakBefore w:val="0"/>
              <w:widowControl w:val="0"/>
              <w:kinsoku/>
              <w:wordWrap/>
              <w:overflowPunct/>
              <w:topLinePunct w:val="0"/>
              <w:autoSpaceDE/>
              <w:autoSpaceDN/>
              <w:bidi w:val="0"/>
              <w:adjustRightInd/>
              <w:snapToGrid/>
              <w:spacing w:line="400" w:lineRule="exact"/>
              <w:ind w:left="6" w:leftChars="3" w:firstLine="486" w:firstLineChars="200"/>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rPr>
              <w:t>合同签订后</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个月完成供货到院及安装调试并验收合格。</w:t>
            </w:r>
          </w:p>
        </w:tc>
      </w:tr>
      <w:tr w14:paraId="5ADB2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05" w:type="dxa"/>
            <w:tcBorders>
              <w:top w:val="single" w:color="auto" w:sz="6" w:space="0"/>
              <w:left w:val="double" w:color="auto" w:sz="4" w:space="0"/>
              <w:bottom w:val="single" w:color="auto" w:sz="6" w:space="0"/>
              <w:right w:val="single" w:color="auto" w:sz="6" w:space="0"/>
            </w:tcBorders>
            <w:vAlign w:val="center"/>
          </w:tcPr>
          <w:p w14:paraId="403F668A">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w:t>
            </w:r>
          </w:p>
        </w:tc>
        <w:tc>
          <w:tcPr>
            <w:tcW w:w="7826" w:type="dxa"/>
            <w:gridSpan w:val="3"/>
            <w:tcBorders>
              <w:top w:val="single" w:color="auto" w:sz="6" w:space="0"/>
              <w:left w:val="single" w:color="auto" w:sz="6" w:space="0"/>
              <w:bottom w:val="single" w:color="auto" w:sz="6" w:space="0"/>
              <w:right w:val="double" w:color="auto" w:sz="4" w:space="0"/>
            </w:tcBorders>
            <w:vAlign w:val="center"/>
          </w:tcPr>
          <w:p w14:paraId="354B15A3">
            <w:pPr>
              <w:spacing w:line="420" w:lineRule="exact"/>
              <w:rPr>
                <w:rFonts w:hint="eastAsia" w:ascii="宋体" w:hAnsi="宋体" w:eastAsia="宋体" w:cs="宋体"/>
                <w:iCs/>
                <w:color w:val="auto"/>
                <w:sz w:val="24"/>
                <w:szCs w:val="24"/>
                <w:highlight w:val="none"/>
              </w:rPr>
            </w:pPr>
          </w:p>
        </w:tc>
      </w:tr>
      <w:tr w14:paraId="08B8A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905" w:type="dxa"/>
            <w:tcBorders>
              <w:top w:val="single" w:color="auto" w:sz="6" w:space="0"/>
              <w:left w:val="double" w:color="auto" w:sz="4" w:space="0"/>
              <w:bottom w:val="double" w:color="auto" w:sz="4" w:space="0"/>
              <w:right w:val="single" w:color="auto" w:sz="6" w:space="0"/>
            </w:tcBorders>
            <w:vAlign w:val="center"/>
          </w:tcPr>
          <w:p w14:paraId="3B4ADB6B">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c>
          <w:tcPr>
            <w:tcW w:w="7826" w:type="dxa"/>
            <w:gridSpan w:val="3"/>
            <w:tcBorders>
              <w:top w:val="single" w:color="auto" w:sz="6" w:space="0"/>
              <w:left w:val="single" w:color="auto" w:sz="6" w:space="0"/>
              <w:bottom w:val="double" w:color="auto" w:sz="4" w:space="0"/>
              <w:right w:val="double" w:color="auto" w:sz="4" w:space="0"/>
            </w:tcBorders>
            <w:vAlign w:val="center"/>
          </w:tcPr>
          <w:p w14:paraId="3F23ADD1">
            <w:pPr>
              <w:spacing w:line="420" w:lineRule="exact"/>
              <w:rPr>
                <w:rFonts w:hint="eastAsia" w:ascii="宋体" w:hAnsi="宋体" w:eastAsia="宋体" w:cs="宋体"/>
                <w:color w:val="auto"/>
                <w:sz w:val="24"/>
                <w:szCs w:val="24"/>
                <w:highlight w:val="none"/>
              </w:rPr>
            </w:pPr>
          </w:p>
        </w:tc>
      </w:tr>
    </w:tbl>
    <w:p w14:paraId="2E48634D">
      <w:pPr>
        <w:adjustRightInd w:val="0"/>
        <w:snapToGrid w:val="0"/>
        <w:spacing w:line="360" w:lineRule="auto"/>
        <w:rPr>
          <w:rFonts w:hint="eastAsia" w:ascii="宋体" w:hAnsi="宋体" w:eastAsia="宋体" w:cs="宋体"/>
          <w:b w:val="0"/>
          <w:bCs w:val="0"/>
          <w:color w:val="auto"/>
          <w:sz w:val="24"/>
          <w:szCs w:val="24"/>
          <w:highlight w:val="none"/>
          <w:lang w:val="en-US" w:eastAsia="zh-CN"/>
        </w:rPr>
      </w:pPr>
    </w:p>
    <w:p w14:paraId="505349CD">
      <w:pPr>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rPr>
        <w:t>备注：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Style w:val="52"/>
          <w:rFonts w:hint="eastAsia" w:ascii="宋体" w:hAnsi="宋体" w:eastAsia="宋体" w:cs="宋体"/>
          <w:color w:val="auto"/>
          <w:sz w:val="21"/>
          <w:szCs w:val="21"/>
          <w:highlight w:val="none"/>
          <w:lang w:val="en-US" w:eastAsia="zh-CN"/>
        </w:rPr>
        <w:t>投标报价为</w:t>
      </w:r>
      <w:r>
        <w:rPr>
          <w:rFonts w:hint="eastAsia" w:ascii="宋体" w:hAnsi="宋体" w:eastAsia="宋体" w:cs="宋体"/>
          <w:b w:val="0"/>
          <w:bCs w:val="0"/>
          <w:color w:val="auto"/>
          <w:kern w:val="2"/>
          <w:sz w:val="21"/>
          <w:szCs w:val="21"/>
          <w:highlight w:val="none"/>
          <w:lang w:val="en-US" w:eastAsia="zh-CN" w:bidi="ar-SA"/>
        </w:rPr>
        <w:t>报总价</w:t>
      </w:r>
      <w:r>
        <w:rPr>
          <w:rStyle w:val="52"/>
          <w:rFonts w:hint="eastAsia" w:ascii="宋体" w:hAnsi="宋体" w:eastAsia="宋体" w:cs="宋体"/>
          <w:color w:val="auto"/>
          <w:sz w:val="21"/>
          <w:szCs w:val="21"/>
          <w:highlight w:val="none"/>
          <w:lang w:val="en-US" w:eastAsia="zh-CN"/>
        </w:rPr>
        <w:t>，</w:t>
      </w:r>
      <w:r>
        <w:rPr>
          <w:rStyle w:val="52"/>
          <w:rFonts w:hint="eastAsia" w:ascii="宋体" w:hAnsi="宋体" w:eastAsia="宋体" w:cs="宋体"/>
          <w:bCs/>
          <w:color w:val="auto"/>
          <w:sz w:val="21"/>
          <w:szCs w:val="21"/>
          <w:highlight w:val="none"/>
          <w:lang w:val="en-US" w:eastAsia="zh-CN"/>
        </w:rPr>
        <w:t>投标报价保留至小数点后2位，第3位四舍五入。</w:t>
      </w:r>
    </w:p>
    <w:p w14:paraId="217702DE">
      <w:pPr>
        <w:adjustRightInd w:val="0"/>
        <w:snapToGrid w:val="0"/>
        <w:spacing w:before="156" w:beforeLines="50" w:line="360" w:lineRule="auto"/>
        <w:ind w:firstLine="639" w:firstLineChars="300"/>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1"/>
          <w:szCs w:val="21"/>
          <w:highlight w:val="none"/>
          <w:lang w:val="en-US" w:eastAsia="zh-CN" w:bidi="ar-SA"/>
        </w:rPr>
        <w:t>（2）本项目采用费用包干方式，投标人应根据项目要求和现场情况，详细列明项目所需的人工、管理、保险、财务等所有费用，如一旦中标，在项目实施中出现任何遗漏，均由中标人免费提供，采购人不再支付任何费用。</w:t>
      </w:r>
    </w:p>
    <w:p w14:paraId="6D518166">
      <w:pPr>
        <w:pStyle w:val="31"/>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供应商（盖单位章）：</w:t>
      </w:r>
    </w:p>
    <w:p w14:paraId="114B6661">
      <w:pPr>
        <w:pStyle w:val="31"/>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法定代表人或其委托代理人签字：       </w:t>
      </w:r>
    </w:p>
    <w:p w14:paraId="75ACF560">
      <w:pPr>
        <w:pStyle w:val="31"/>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2B7A7D4C">
      <w:pPr>
        <w:rPr>
          <w:rFonts w:hint="eastAsia" w:ascii="宋体" w:hAnsi="宋体" w:eastAsia="宋体" w:cs="宋体"/>
          <w:color w:val="auto"/>
          <w:highlight w:val="none"/>
        </w:rPr>
      </w:pPr>
    </w:p>
    <w:p w14:paraId="3288C46E">
      <w:pPr>
        <w:pStyle w:val="31"/>
        <w:bidi w:val="0"/>
        <w:rPr>
          <w:rFonts w:hint="eastAsia" w:ascii="宋体" w:hAnsi="宋体" w:eastAsia="宋体" w:cs="宋体"/>
          <w:color w:val="auto"/>
          <w:highlight w:val="none"/>
        </w:rPr>
      </w:pPr>
    </w:p>
    <w:p w14:paraId="0ACE77B2">
      <w:pPr>
        <w:bidi w:val="0"/>
        <w:rPr>
          <w:rFonts w:hint="eastAsia" w:ascii="宋体" w:hAnsi="宋体" w:eastAsia="宋体" w:cs="宋体"/>
          <w:color w:val="auto"/>
          <w:highlight w:val="none"/>
        </w:rPr>
        <w:sectPr>
          <w:pgSz w:w="11906" w:h="16838"/>
          <w:pgMar w:top="1304" w:right="1304" w:bottom="1304" w:left="1417" w:header="851" w:footer="992" w:gutter="0"/>
          <w:pgNumType w:fmt="decimal"/>
          <w:cols w:space="0" w:num="1"/>
          <w:docGrid w:type="linesAndChars" w:linePitch="316" w:charSpace="738"/>
        </w:sectPr>
      </w:pPr>
    </w:p>
    <w:p w14:paraId="4E8FDD49">
      <w:pPr>
        <w:pStyle w:val="4"/>
        <w:bidi w:val="0"/>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t>附件7-2 分项</w:t>
      </w:r>
      <w:r>
        <w:rPr>
          <w:rFonts w:hint="eastAsia" w:ascii="宋体" w:hAnsi="宋体" w:eastAsia="宋体" w:cs="宋体"/>
          <w:color w:val="auto"/>
          <w:sz w:val="32"/>
          <w:szCs w:val="32"/>
          <w:highlight w:val="none"/>
          <w:lang w:eastAsia="zh-CN"/>
        </w:rPr>
        <w:t>报价明细表</w:t>
      </w:r>
    </w:p>
    <w:p w14:paraId="5EF8620D">
      <w:pPr>
        <w:autoSpaceDE w:val="0"/>
        <w:autoSpaceDN w:val="0"/>
        <w:adjustRightInd w:val="0"/>
        <w:snapToGrid w:val="0"/>
        <w:spacing w:line="360" w:lineRule="auto"/>
        <w:ind w:right="-20"/>
        <w:jc w:val="center"/>
        <w:outlineLvl w:val="2"/>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1、</w:t>
      </w:r>
      <w:r>
        <w:rPr>
          <w:rFonts w:hint="eastAsia" w:ascii="宋体" w:hAnsi="宋体" w:eastAsia="宋体" w:cs="宋体"/>
          <w:b/>
          <w:color w:val="auto"/>
          <w:spacing w:val="-2"/>
          <w:kern w:val="0"/>
          <w:sz w:val="28"/>
          <w:szCs w:val="28"/>
          <w:highlight w:val="none"/>
        </w:rPr>
        <w:t>分</w:t>
      </w:r>
      <w:r>
        <w:rPr>
          <w:rFonts w:hint="eastAsia" w:ascii="宋体" w:hAnsi="宋体" w:eastAsia="宋体" w:cs="宋体"/>
          <w:b/>
          <w:color w:val="auto"/>
          <w:kern w:val="0"/>
          <w:sz w:val="28"/>
          <w:szCs w:val="28"/>
          <w:highlight w:val="none"/>
        </w:rPr>
        <w:t>项</w:t>
      </w:r>
      <w:r>
        <w:rPr>
          <w:rFonts w:hint="eastAsia" w:ascii="宋体" w:hAnsi="宋体" w:eastAsia="宋体" w:cs="宋体"/>
          <w:b/>
          <w:color w:val="auto"/>
          <w:spacing w:val="-2"/>
          <w:kern w:val="0"/>
          <w:sz w:val="28"/>
          <w:szCs w:val="28"/>
          <w:highlight w:val="none"/>
        </w:rPr>
        <w:t>报</w:t>
      </w:r>
      <w:r>
        <w:rPr>
          <w:rFonts w:hint="eastAsia" w:ascii="宋体" w:hAnsi="宋体" w:eastAsia="宋体" w:cs="宋体"/>
          <w:b/>
          <w:color w:val="auto"/>
          <w:kern w:val="0"/>
          <w:sz w:val="28"/>
          <w:szCs w:val="28"/>
          <w:highlight w:val="none"/>
        </w:rPr>
        <w:t>价</w:t>
      </w:r>
      <w:r>
        <w:rPr>
          <w:rFonts w:hint="eastAsia" w:ascii="宋体" w:hAnsi="宋体" w:eastAsia="宋体" w:cs="宋体"/>
          <w:b/>
          <w:color w:val="auto"/>
          <w:spacing w:val="-2"/>
          <w:kern w:val="0"/>
          <w:sz w:val="28"/>
          <w:szCs w:val="28"/>
          <w:highlight w:val="none"/>
        </w:rPr>
        <w:t>表</w:t>
      </w:r>
      <w:r>
        <w:rPr>
          <w:rFonts w:hint="eastAsia" w:ascii="宋体" w:hAnsi="宋体" w:eastAsia="宋体" w:cs="宋体"/>
          <w:b/>
          <w:color w:val="auto"/>
          <w:kern w:val="0"/>
          <w:sz w:val="28"/>
          <w:szCs w:val="28"/>
          <w:highlight w:val="none"/>
        </w:rPr>
        <w:t>说明</w:t>
      </w:r>
    </w:p>
    <w:p w14:paraId="69C0FBB5">
      <w:pPr>
        <w:adjustRightInd w:val="0"/>
        <w:snapToGrid w:val="0"/>
        <w:spacing w:line="360" w:lineRule="auto"/>
        <w:ind w:firstLine="482" w:firstLineChars="200"/>
        <w:rPr>
          <w:rFonts w:hint="eastAsia" w:ascii="宋体" w:hAnsi="宋体" w:eastAsia="宋体" w:cs="宋体"/>
          <w:color w:val="auto"/>
          <w:sz w:val="21"/>
          <w:szCs w:val="24"/>
          <w:highlight w:val="none"/>
          <w:lang w:val="en-US" w:eastAsia="zh-CN"/>
        </w:rPr>
      </w:pPr>
      <w:r>
        <w:rPr>
          <w:rFonts w:hint="eastAsia" w:ascii="宋体" w:hAnsi="宋体" w:eastAsia="宋体" w:cs="宋体"/>
          <w:b/>
          <w:bCs/>
          <w:color w:val="auto"/>
          <w:sz w:val="24"/>
          <w:szCs w:val="24"/>
          <w:highlight w:val="none"/>
        </w:rPr>
        <w:t>备注：</w:t>
      </w:r>
      <w:r>
        <w:rPr>
          <w:rFonts w:hint="eastAsia" w:ascii="宋体" w:hAnsi="宋体" w:eastAsia="宋体" w:cs="宋体"/>
          <w:b/>
          <w:bCs/>
          <w:color w:val="auto"/>
          <w:sz w:val="24"/>
          <w:szCs w:val="24"/>
          <w:highlight w:val="none"/>
          <w:lang w:val="en-US" w:eastAsia="zh-CN"/>
        </w:rPr>
        <w:t>按照采购需求中的清单进行报价。</w:t>
      </w:r>
    </w:p>
    <w:p w14:paraId="63BC2E4C">
      <w:pPr>
        <w:bidi w:val="0"/>
        <w:rPr>
          <w:rFonts w:hint="eastAsia"/>
          <w:color w:val="auto"/>
          <w:highlight w:val="none"/>
        </w:rPr>
      </w:pPr>
    </w:p>
    <w:p w14:paraId="05AE4542">
      <w:pPr>
        <w:bidi w:val="0"/>
        <w:rPr>
          <w:rFonts w:hint="eastAsia"/>
          <w:color w:val="auto"/>
          <w:highlight w:val="none"/>
        </w:rPr>
      </w:pPr>
    </w:p>
    <w:p w14:paraId="1C7D92A5">
      <w:pPr>
        <w:autoSpaceDE w:val="0"/>
        <w:autoSpaceDN w:val="0"/>
        <w:adjustRightInd w:val="0"/>
        <w:snapToGrid w:val="0"/>
        <w:spacing w:line="360" w:lineRule="auto"/>
        <w:ind w:right="-20"/>
        <w:jc w:val="center"/>
        <w:outlineLvl w:val="2"/>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2、分项报价表</w:t>
      </w:r>
    </w:p>
    <w:p w14:paraId="5D828625">
      <w:pPr>
        <w:rPr>
          <w:rFonts w:hint="eastAsia" w:ascii="宋体" w:hAnsi="宋体" w:eastAsia="宋体" w:cs="宋体"/>
          <w:color w:val="auto"/>
          <w:highlight w:val="none"/>
          <w:lang w:eastAsia="zh-CN"/>
        </w:rPr>
      </w:pPr>
    </w:p>
    <w:p w14:paraId="11430772">
      <w:pPr>
        <w:keepNext w:val="0"/>
        <w:keepLines w:val="0"/>
        <w:pageBreakBefore w:val="0"/>
        <w:widowControl w:val="0"/>
        <w:kinsoku/>
        <w:wordWrap w:val="0"/>
        <w:overflowPunct/>
        <w:topLinePunct w:val="0"/>
        <w:bidi w:val="0"/>
        <w:adjustRightInd w:val="0"/>
        <w:snapToGrid w:val="0"/>
        <w:spacing w:before="0" w:beforeLines="0" w:line="360" w:lineRule="auto"/>
        <w:ind w:left="-88" w:leftChars="-42"/>
        <w:jc w:val="both"/>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kern w:val="2"/>
          <w:sz w:val="24"/>
          <w:szCs w:val="24"/>
          <w:highlight w:val="none"/>
          <w:lang w:val="en-US" w:eastAsia="zh-CN" w:bidi="ar-SA"/>
        </w:rPr>
        <w:t>政府采购计划编号：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p>
    <w:tbl>
      <w:tblPr>
        <w:tblStyle w:val="50"/>
        <w:tblW w:w="5085" w:type="pct"/>
        <w:jc w:val="center"/>
        <w:tblLayout w:type="autofit"/>
        <w:tblCellMar>
          <w:top w:w="0" w:type="dxa"/>
          <w:left w:w="0" w:type="dxa"/>
          <w:bottom w:w="0" w:type="dxa"/>
          <w:right w:w="0" w:type="dxa"/>
        </w:tblCellMar>
      </w:tblPr>
      <w:tblGrid>
        <w:gridCol w:w="731"/>
        <w:gridCol w:w="2251"/>
        <w:gridCol w:w="588"/>
        <w:gridCol w:w="1239"/>
        <w:gridCol w:w="1012"/>
        <w:gridCol w:w="630"/>
        <w:gridCol w:w="962"/>
        <w:gridCol w:w="1060"/>
        <w:gridCol w:w="1071"/>
      </w:tblGrid>
      <w:tr w14:paraId="15769809">
        <w:tblPrEx>
          <w:tblCellMar>
            <w:top w:w="0" w:type="dxa"/>
            <w:left w:w="0" w:type="dxa"/>
            <w:bottom w:w="0" w:type="dxa"/>
            <w:right w:w="0" w:type="dxa"/>
          </w:tblCellMar>
        </w:tblPrEx>
        <w:trPr>
          <w:trHeight w:val="850" w:hRule="atLeast"/>
          <w:jc w:val="center"/>
        </w:trPr>
        <w:tc>
          <w:tcPr>
            <w:tcW w:w="383" w:type="pct"/>
            <w:tcBorders>
              <w:top w:val="double" w:color="auto" w:sz="4" w:space="0"/>
              <w:left w:val="double" w:color="auto" w:sz="4" w:space="0"/>
              <w:bottom w:val="single" w:color="auto" w:sz="6" w:space="0"/>
              <w:right w:val="single" w:color="auto" w:sz="6" w:space="0"/>
            </w:tcBorders>
            <w:noWrap w:val="0"/>
            <w:vAlign w:val="center"/>
          </w:tcPr>
          <w:p w14:paraId="24794628">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position w:val="-1"/>
                <w:sz w:val="24"/>
                <w:szCs w:val="24"/>
                <w:highlight w:val="none"/>
              </w:rPr>
              <w:t>序号</w:t>
            </w:r>
          </w:p>
        </w:tc>
        <w:tc>
          <w:tcPr>
            <w:tcW w:w="1179" w:type="pct"/>
            <w:tcBorders>
              <w:top w:val="double" w:color="auto" w:sz="4" w:space="0"/>
              <w:left w:val="single" w:color="auto" w:sz="6" w:space="0"/>
              <w:bottom w:val="single" w:color="auto" w:sz="6" w:space="0"/>
              <w:right w:val="single" w:color="auto" w:sz="6" w:space="0"/>
            </w:tcBorders>
            <w:noWrap w:val="0"/>
            <w:vAlign w:val="center"/>
          </w:tcPr>
          <w:p w14:paraId="4862C148">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position w:val="-1"/>
                <w:sz w:val="24"/>
                <w:szCs w:val="24"/>
                <w:highlight w:val="none"/>
              </w:rPr>
              <w:t>分项名称</w:t>
            </w:r>
          </w:p>
        </w:tc>
        <w:tc>
          <w:tcPr>
            <w:tcW w:w="308" w:type="pct"/>
            <w:tcBorders>
              <w:top w:val="double" w:color="auto" w:sz="4" w:space="0"/>
              <w:left w:val="single" w:color="auto" w:sz="6" w:space="0"/>
              <w:bottom w:val="single" w:color="auto" w:sz="6" w:space="0"/>
              <w:right w:val="single" w:color="auto" w:sz="6" w:space="0"/>
            </w:tcBorders>
            <w:noWrap w:val="0"/>
            <w:vAlign w:val="center"/>
          </w:tcPr>
          <w:p w14:paraId="5DE4445B">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position w:val="-1"/>
                <w:sz w:val="24"/>
                <w:szCs w:val="24"/>
                <w:highlight w:val="none"/>
              </w:rPr>
            </w:pPr>
            <w:r>
              <w:rPr>
                <w:rFonts w:hint="eastAsia" w:ascii="宋体" w:hAnsi="宋体" w:eastAsia="宋体" w:cs="宋体"/>
                <w:b/>
                <w:bCs/>
                <w:color w:val="auto"/>
                <w:kern w:val="0"/>
                <w:position w:val="-1"/>
                <w:sz w:val="24"/>
                <w:szCs w:val="24"/>
                <w:highlight w:val="none"/>
              </w:rPr>
              <w:t>单位</w:t>
            </w:r>
          </w:p>
        </w:tc>
        <w:tc>
          <w:tcPr>
            <w:tcW w:w="649" w:type="pct"/>
            <w:tcBorders>
              <w:top w:val="double" w:color="auto" w:sz="4" w:space="0"/>
              <w:left w:val="single" w:color="auto" w:sz="6" w:space="0"/>
              <w:bottom w:val="single" w:color="auto" w:sz="6" w:space="0"/>
              <w:right w:val="single" w:color="auto" w:sz="6" w:space="0"/>
            </w:tcBorders>
            <w:noWrap w:val="0"/>
            <w:vAlign w:val="center"/>
          </w:tcPr>
          <w:p w14:paraId="6F0E256F">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position w:val="-1"/>
                <w:sz w:val="24"/>
                <w:szCs w:val="24"/>
                <w:highlight w:val="none"/>
              </w:rPr>
            </w:pPr>
            <w:r>
              <w:rPr>
                <w:rFonts w:hint="eastAsia" w:ascii="宋体" w:hAnsi="宋体" w:eastAsia="宋体" w:cs="宋体"/>
                <w:b/>
                <w:bCs/>
                <w:color w:val="auto"/>
                <w:kern w:val="0"/>
                <w:position w:val="-1"/>
                <w:sz w:val="24"/>
                <w:szCs w:val="24"/>
                <w:highlight w:val="none"/>
              </w:rPr>
              <w:t>规格型号</w:t>
            </w:r>
          </w:p>
        </w:tc>
        <w:tc>
          <w:tcPr>
            <w:tcW w:w="530" w:type="pct"/>
            <w:tcBorders>
              <w:top w:val="double" w:color="auto" w:sz="4" w:space="0"/>
              <w:left w:val="single" w:color="auto" w:sz="6" w:space="0"/>
              <w:bottom w:val="single" w:color="auto" w:sz="6" w:space="0"/>
              <w:right w:val="single" w:color="auto" w:sz="6" w:space="0"/>
            </w:tcBorders>
            <w:noWrap w:val="0"/>
            <w:vAlign w:val="center"/>
          </w:tcPr>
          <w:p w14:paraId="2965345A">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position w:val="-1"/>
                <w:sz w:val="24"/>
                <w:szCs w:val="24"/>
                <w:highlight w:val="none"/>
              </w:rPr>
            </w:pPr>
            <w:r>
              <w:rPr>
                <w:rFonts w:hint="eastAsia" w:ascii="宋体" w:hAnsi="宋体" w:eastAsia="宋体" w:cs="宋体"/>
                <w:b/>
                <w:bCs/>
                <w:color w:val="auto"/>
                <w:kern w:val="0"/>
                <w:position w:val="-1"/>
                <w:sz w:val="24"/>
                <w:szCs w:val="24"/>
                <w:highlight w:val="none"/>
              </w:rPr>
              <w:t>品牌</w:t>
            </w:r>
          </w:p>
        </w:tc>
        <w:tc>
          <w:tcPr>
            <w:tcW w:w="330" w:type="pct"/>
            <w:tcBorders>
              <w:top w:val="double" w:color="auto" w:sz="4" w:space="0"/>
              <w:left w:val="single" w:color="auto" w:sz="6" w:space="0"/>
              <w:bottom w:val="single" w:color="auto" w:sz="6" w:space="0"/>
              <w:right w:val="single" w:color="auto" w:sz="6" w:space="0"/>
            </w:tcBorders>
            <w:noWrap w:val="0"/>
            <w:vAlign w:val="center"/>
          </w:tcPr>
          <w:p w14:paraId="72775A04">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position w:val="-1"/>
                <w:sz w:val="24"/>
                <w:szCs w:val="24"/>
                <w:highlight w:val="none"/>
              </w:rPr>
              <w:t>数量</w:t>
            </w:r>
          </w:p>
        </w:tc>
        <w:tc>
          <w:tcPr>
            <w:tcW w:w="504" w:type="pct"/>
            <w:tcBorders>
              <w:top w:val="double" w:color="auto" w:sz="4" w:space="0"/>
              <w:left w:val="single" w:color="auto" w:sz="6" w:space="0"/>
              <w:bottom w:val="single" w:color="auto" w:sz="6" w:space="0"/>
              <w:right w:val="single" w:color="auto" w:sz="6" w:space="0"/>
            </w:tcBorders>
            <w:noWrap w:val="0"/>
            <w:vAlign w:val="center"/>
          </w:tcPr>
          <w:p w14:paraId="49BC0E09">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position w:val="-1"/>
                <w:sz w:val="24"/>
                <w:szCs w:val="24"/>
                <w:highlight w:val="none"/>
              </w:rPr>
              <w:t>单价（元）</w:t>
            </w:r>
          </w:p>
        </w:tc>
        <w:tc>
          <w:tcPr>
            <w:tcW w:w="553" w:type="pct"/>
            <w:tcBorders>
              <w:top w:val="double" w:color="auto" w:sz="4" w:space="0"/>
              <w:left w:val="single" w:color="auto" w:sz="6" w:space="0"/>
              <w:bottom w:val="single" w:color="auto" w:sz="6" w:space="0"/>
              <w:right w:val="single" w:color="auto" w:sz="6" w:space="0"/>
            </w:tcBorders>
            <w:noWrap w:val="0"/>
            <w:vAlign w:val="center"/>
          </w:tcPr>
          <w:p w14:paraId="1705999D">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position w:val="-1"/>
                <w:sz w:val="24"/>
                <w:szCs w:val="24"/>
                <w:highlight w:val="none"/>
              </w:rPr>
              <w:t>总价（元）</w:t>
            </w:r>
          </w:p>
        </w:tc>
        <w:tc>
          <w:tcPr>
            <w:tcW w:w="561" w:type="pct"/>
            <w:tcBorders>
              <w:top w:val="double" w:color="auto" w:sz="4" w:space="0"/>
              <w:left w:val="single" w:color="auto" w:sz="6" w:space="0"/>
              <w:bottom w:val="single" w:color="auto" w:sz="6" w:space="0"/>
              <w:right w:val="double" w:color="auto" w:sz="4" w:space="0"/>
            </w:tcBorders>
            <w:noWrap w:val="0"/>
            <w:vAlign w:val="center"/>
          </w:tcPr>
          <w:p w14:paraId="357C521C">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position w:val="-1"/>
                <w:sz w:val="24"/>
                <w:szCs w:val="24"/>
                <w:highlight w:val="none"/>
              </w:rPr>
              <w:t>备注</w:t>
            </w:r>
          </w:p>
        </w:tc>
      </w:tr>
      <w:tr w14:paraId="2D111710">
        <w:tblPrEx>
          <w:tblCellMar>
            <w:top w:w="0" w:type="dxa"/>
            <w:left w:w="0" w:type="dxa"/>
            <w:bottom w:w="0" w:type="dxa"/>
            <w:right w:w="0" w:type="dxa"/>
          </w:tblCellMar>
        </w:tblPrEx>
        <w:trPr>
          <w:trHeight w:val="850" w:hRule="atLeast"/>
          <w:jc w:val="center"/>
        </w:trPr>
        <w:tc>
          <w:tcPr>
            <w:tcW w:w="383" w:type="pct"/>
            <w:tcBorders>
              <w:top w:val="single" w:color="auto" w:sz="6" w:space="0"/>
              <w:left w:val="double" w:color="auto" w:sz="4" w:space="0"/>
              <w:bottom w:val="single" w:color="auto" w:sz="6" w:space="0"/>
              <w:right w:val="single" w:color="auto" w:sz="6" w:space="0"/>
            </w:tcBorders>
            <w:noWrap w:val="0"/>
            <w:vAlign w:val="center"/>
          </w:tcPr>
          <w:p w14:paraId="03DB658B">
            <w:pPr>
              <w:keepNext w:val="0"/>
              <w:keepLines w:val="0"/>
              <w:pageBreakBefore w:val="0"/>
              <w:widowControl w:val="0"/>
              <w:kinsoku/>
              <w:wordWrap w:val="0"/>
              <w:overflowPunct/>
              <w:topLinePunct w:val="0"/>
              <w:autoSpaceDE w:val="0"/>
              <w:autoSpaceDN w:val="0"/>
              <w:bidi w:val="0"/>
              <w:adjustRightInd w:val="0"/>
              <w:snapToGrid w:val="0"/>
              <w:spacing w:line="240" w:lineRule="auto"/>
              <w:ind w:left="258" w:right="241"/>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179" w:type="pct"/>
            <w:tcBorders>
              <w:top w:val="single" w:color="auto" w:sz="6" w:space="0"/>
              <w:left w:val="single" w:color="auto" w:sz="6" w:space="0"/>
              <w:bottom w:val="single" w:color="auto" w:sz="6" w:space="0"/>
              <w:right w:val="single" w:color="auto" w:sz="6" w:space="0"/>
            </w:tcBorders>
            <w:noWrap w:val="0"/>
            <w:vAlign w:val="center"/>
          </w:tcPr>
          <w:p w14:paraId="57113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308" w:type="pct"/>
            <w:tcBorders>
              <w:top w:val="single" w:color="auto" w:sz="6" w:space="0"/>
              <w:left w:val="single" w:color="auto" w:sz="6" w:space="0"/>
              <w:bottom w:val="single" w:color="auto" w:sz="6" w:space="0"/>
              <w:right w:val="single" w:color="auto" w:sz="6" w:space="0"/>
            </w:tcBorders>
            <w:noWrap w:val="0"/>
            <w:vAlign w:val="center"/>
          </w:tcPr>
          <w:p w14:paraId="5091F9AB">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649" w:type="pct"/>
            <w:tcBorders>
              <w:top w:val="single" w:color="auto" w:sz="6" w:space="0"/>
              <w:left w:val="single" w:color="auto" w:sz="6" w:space="0"/>
              <w:bottom w:val="single" w:color="auto" w:sz="6" w:space="0"/>
              <w:right w:val="single" w:color="auto" w:sz="6" w:space="0"/>
            </w:tcBorders>
            <w:noWrap w:val="0"/>
            <w:vAlign w:val="center"/>
          </w:tcPr>
          <w:p w14:paraId="4278F507">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30" w:type="pct"/>
            <w:tcBorders>
              <w:top w:val="single" w:color="auto" w:sz="6" w:space="0"/>
              <w:left w:val="single" w:color="auto" w:sz="6" w:space="0"/>
              <w:bottom w:val="single" w:color="auto" w:sz="6" w:space="0"/>
              <w:right w:val="single" w:color="auto" w:sz="6" w:space="0"/>
            </w:tcBorders>
            <w:noWrap w:val="0"/>
            <w:vAlign w:val="center"/>
          </w:tcPr>
          <w:p w14:paraId="0FE52041">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330" w:type="pct"/>
            <w:tcBorders>
              <w:top w:val="single" w:color="auto" w:sz="6" w:space="0"/>
              <w:left w:val="single" w:color="auto" w:sz="6" w:space="0"/>
              <w:bottom w:val="single" w:color="auto" w:sz="6" w:space="0"/>
              <w:right w:val="single" w:color="auto" w:sz="6" w:space="0"/>
            </w:tcBorders>
            <w:noWrap w:val="0"/>
            <w:vAlign w:val="center"/>
          </w:tcPr>
          <w:p w14:paraId="501645E2">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4AEBB2C4">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53" w:type="pct"/>
            <w:tcBorders>
              <w:top w:val="single" w:color="auto" w:sz="6" w:space="0"/>
              <w:left w:val="single" w:color="auto" w:sz="6" w:space="0"/>
              <w:bottom w:val="single" w:color="auto" w:sz="6" w:space="0"/>
              <w:right w:val="single" w:color="auto" w:sz="6" w:space="0"/>
            </w:tcBorders>
            <w:noWrap w:val="0"/>
            <w:vAlign w:val="center"/>
          </w:tcPr>
          <w:p w14:paraId="12E2FACB">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61" w:type="pct"/>
            <w:tcBorders>
              <w:top w:val="single" w:color="auto" w:sz="6" w:space="0"/>
              <w:left w:val="single" w:color="auto" w:sz="6" w:space="0"/>
              <w:bottom w:val="single" w:color="auto" w:sz="6" w:space="0"/>
              <w:right w:val="double" w:color="auto" w:sz="4" w:space="0"/>
            </w:tcBorders>
            <w:noWrap w:val="0"/>
            <w:vAlign w:val="center"/>
          </w:tcPr>
          <w:p w14:paraId="7650BE06">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r>
      <w:tr w14:paraId="4DE456BA">
        <w:tblPrEx>
          <w:tblCellMar>
            <w:top w:w="0" w:type="dxa"/>
            <w:left w:w="0" w:type="dxa"/>
            <w:bottom w:w="0" w:type="dxa"/>
            <w:right w:w="0" w:type="dxa"/>
          </w:tblCellMar>
        </w:tblPrEx>
        <w:trPr>
          <w:trHeight w:val="850" w:hRule="atLeast"/>
          <w:jc w:val="center"/>
        </w:trPr>
        <w:tc>
          <w:tcPr>
            <w:tcW w:w="383" w:type="pct"/>
            <w:tcBorders>
              <w:top w:val="single" w:color="auto" w:sz="6" w:space="0"/>
              <w:left w:val="double" w:color="auto" w:sz="4" w:space="0"/>
              <w:bottom w:val="single" w:color="auto" w:sz="6" w:space="0"/>
              <w:right w:val="single" w:color="auto" w:sz="6" w:space="0"/>
            </w:tcBorders>
            <w:noWrap w:val="0"/>
            <w:vAlign w:val="center"/>
          </w:tcPr>
          <w:p w14:paraId="13D2EC52">
            <w:pPr>
              <w:keepNext w:val="0"/>
              <w:keepLines w:val="0"/>
              <w:pageBreakBefore w:val="0"/>
              <w:widowControl w:val="0"/>
              <w:kinsoku/>
              <w:wordWrap w:val="0"/>
              <w:overflowPunct/>
              <w:topLinePunct w:val="0"/>
              <w:autoSpaceDE w:val="0"/>
              <w:autoSpaceDN w:val="0"/>
              <w:bidi w:val="0"/>
              <w:adjustRightInd w:val="0"/>
              <w:snapToGrid w:val="0"/>
              <w:spacing w:line="240" w:lineRule="auto"/>
              <w:ind w:left="258" w:right="241"/>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179" w:type="pct"/>
            <w:tcBorders>
              <w:top w:val="single" w:color="auto" w:sz="6" w:space="0"/>
              <w:left w:val="single" w:color="auto" w:sz="6" w:space="0"/>
              <w:bottom w:val="single" w:color="auto" w:sz="6" w:space="0"/>
              <w:right w:val="single" w:color="auto" w:sz="6" w:space="0"/>
            </w:tcBorders>
            <w:noWrap w:val="0"/>
            <w:vAlign w:val="center"/>
          </w:tcPr>
          <w:p w14:paraId="7D93B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308" w:type="pct"/>
            <w:tcBorders>
              <w:top w:val="single" w:color="auto" w:sz="6" w:space="0"/>
              <w:left w:val="single" w:color="auto" w:sz="6" w:space="0"/>
              <w:bottom w:val="single" w:color="auto" w:sz="6" w:space="0"/>
              <w:right w:val="single" w:color="auto" w:sz="6" w:space="0"/>
            </w:tcBorders>
            <w:noWrap w:val="0"/>
            <w:vAlign w:val="center"/>
          </w:tcPr>
          <w:p w14:paraId="6B051C8B">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649" w:type="pct"/>
            <w:tcBorders>
              <w:top w:val="single" w:color="auto" w:sz="6" w:space="0"/>
              <w:left w:val="single" w:color="auto" w:sz="6" w:space="0"/>
              <w:bottom w:val="single" w:color="auto" w:sz="6" w:space="0"/>
              <w:right w:val="single" w:color="auto" w:sz="6" w:space="0"/>
            </w:tcBorders>
            <w:noWrap w:val="0"/>
            <w:vAlign w:val="center"/>
          </w:tcPr>
          <w:p w14:paraId="22919B88">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30" w:type="pct"/>
            <w:tcBorders>
              <w:top w:val="single" w:color="auto" w:sz="6" w:space="0"/>
              <w:left w:val="single" w:color="auto" w:sz="6" w:space="0"/>
              <w:bottom w:val="single" w:color="auto" w:sz="6" w:space="0"/>
              <w:right w:val="single" w:color="auto" w:sz="6" w:space="0"/>
            </w:tcBorders>
            <w:noWrap w:val="0"/>
            <w:vAlign w:val="center"/>
          </w:tcPr>
          <w:p w14:paraId="210110D8">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330" w:type="pct"/>
            <w:tcBorders>
              <w:top w:val="single" w:color="auto" w:sz="6" w:space="0"/>
              <w:left w:val="single" w:color="auto" w:sz="6" w:space="0"/>
              <w:bottom w:val="single" w:color="auto" w:sz="6" w:space="0"/>
              <w:right w:val="single" w:color="auto" w:sz="6" w:space="0"/>
            </w:tcBorders>
            <w:noWrap w:val="0"/>
            <w:vAlign w:val="center"/>
          </w:tcPr>
          <w:p w14:paraId="460254E4">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3EED1034">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53" w:type="pct"/>
            <w:tcBorders>
              <w:top w:val="single" w:color="auto" w:sz="6" w:space="0"/>
              <w:left w:val="single" w:color="auto" w:sz="6" w:space="0"/>
              <w:bottom w:val="single" w:color="auto" w:sz="6" w:space="0"/>
              <w:right w:val="single" w:color="auto" w:sz="6" w:space="0"/>
            </w:tcBorders>
            <w:noWrap w:val="0"/>
            <w:vAlign w:val="center"/>
          </w:tcPr>
          <w:p w14:paraId="25B46374">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61" w:type="pct"/>
            <w:tcBorders>
              <w:top w:val="single" w:color="auto" w:sz="6" w:space="0"/>
              <w:left w:val="single" w:color="auto" w:sz="6" w:space="0"/>
              <w:bottom w:val="single" w:color="auto" w:sz="6" w:space="0"/>
              <w:right w:val="double" w:color="auto" w:sz="4" w:space="0"/>
            </w:tcBorders>
            <w:noWrap w:val="0"/>
            <w:vAlign w:val="center"/>
          </w:tcPr>
          <w:p w14:paraId="62F70276">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r>
      <w:tr w14:paraId="4FAE363F">
        <w:tblPrEx>
          <w:tblCellMar>
            <w:top w:w="0" w:type="dxa"/>
            <w:left w:w="0" w:type="dxa"/>
            <w:bottom w:w="0" w:type="dxa"/>
            <w:right w:w="0" w:type="dxa"/>
          </w:tblCellMar>
        </w:tblPrEx>
        <w:trPr>
          <w:trHeight w:val="850" w:hRule="atLeast"/>
          <w:jc w:val="center"/>
        </w:trPr>
        <w:tc>
          <w:tcPr>
            <w:tcW w:w="383" w:type="pct"/>
            <w:tcBorders>
              <w:top w:val="single" w:color="auto" w:sz="6" w:space="0"/>
              <w:left w:val="double" w:color="auto" w:sz="4" w:space="0"/>
              <w:bottom w:val="single" w:color="auto" w:sz="6" w:space="0"/>
              <w:right w:val="single" w:color="auto" w:sz="6" w:space="0"/>
            </w:tcBorders>
            <w:noWrap w:val="0"/>
            <w:vAlign w:val="center"/>
          </w:tcPr>
          <w:p w14:paraId="0BD2AF4F">
            <w:pPr>
              <w:keepNext w:val="0"/>
              <w:keepLines w:val="0"/>
              <w:pageBreakBefore w:val="0"/>
              <w:widowControl w:val="0"/>
              <w:kinsoku/>
              <w:wordWrap w:val="0"/>
              <w:overflowPunct/>
              <w:topLinePunct w:val="0"/>
              <w:autoSpaceDE w:val="0"/>
              <w:autoSpaceDN w:val="0"/>
              <w:bidi w:val="0"/>
              <w:adjustRightInd w:val="0"/>
              <w:snapToGrid w:val="0"/>
              <w:spacing w:line="240" w:lineRule="auto"/>
              <w:ind w:left="258" w:right="241"/>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1179" w:type="pct"/>
            <w:tcBorders>
              <w:top w:val="single" w:color="auto" w:sz="6" w:space="0"/>
              <w:left w:val="single" w:color="auto" w:sz="6" w:space="0"/>
              <w:bottom w:val="single" w:color="auto" w:sz="6" w:space="0"/>
              <w:right w:val="single" w:color="auto" w:sz="6" w:space="0"/>
            </w:tcBorders>
            <w:noWrap w:val="0"/>
            <w:vAlign w:val="center"/>
          </w:tcPr>
          <w:p w14:paraId="24558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308" w:type="pct"/>
            <w:tcBorders>
              <w:top w:val="single" w:color="auto" w:sz="6" w:space="0"/>
              <w:left w:val="single" w:color="auto" w:sz="6" w:space="0"/>
              <w:bottom w:val="single" w:color="auto" w:sz="6" w:space="0"/>
              <w:right w:val="single" w:color="auto" w:sz="6" w:space="0"/>
            </w:tcBorders>
            <w:noWrap w:val="0"/>
            <w:vAlign w:val="center"/>
          </w:tcPr>
          <w:p w14:paraId="4D32AA5C">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649" w:type="pct"/>
            <w:tcBorders>
              <w:top w:val="single" w:color="auto" w:sz="6" w:space="0"/>
              <w:left w:val="single" w:color="auto" w:sz="6" w:space="0"/>
              <w:bottom w:val="single" w:color="auto" w:sz="6" w:space="0"/>
              <w:right w:val="single" w:color="auto" w:sz="6" w:space="0"/>
            </w:tcBorders>
            <w:noWrap w:val="0"/>
            <w:vAlign w:val="center"/>
          </w:tcPr>
          <w:p w14:paraId="46C183E2">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30" w:type="pct"/>
            <w:tcBorders>
              <w:top w:val="single" w:color="auto" w:sz="6" w:space="0"/>
              <w:left w:val="single" w:color="auto" w:sz="6" w:space="0"/>
              <w:bottom w:val="single" w:color="auto" w:sz="6" w:space="0"/>
              <w:right w:val="single" w:color="auto" w:sz="6" w:space="0"/>
            </w:tcBorders>
            <w:noWrap w:val="0"/>
            <w:vAlign w:val="center"/>
          </w:tcPr>
          <w:p w14:paraId="16709490">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330" w:type="pct"/>
            <w:tcBorders>
              <w:top w:val="single" w:color="auto" w:sz="6" w:space="0"/>
              <w:left w:val="single" w:color="auto" w:sz="6" w:space="0"/>
              <w:bottom w:val="single" w:color="auto" w:sz="6" w:space="0"/>
              <w:right w:val="single" w:color="auto" w:sz="6" w:space="0"/>
            </w:tcBorders>
            <w:noWrap w:val="0"/>
            <w:vAlign w:val="center"/>
          </w:tcPr>
          <w:p w14:paraId="09A9F2CC">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lang w:val="en-US" w:eastAsia="zh-CN"/>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1D994FE4">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53" w:type="pct"/>
            <w:tcBorders>
              <w:top w:val="single" w:color="auto" w:sz="6" w:space="0"/>
              <w:left w:val="single" w:color="auto" w:sz="6" w:space="0"/>
              <w:bottom w:val="single" w:color="auto" w:sz="6" w:space="0"/>
              <w:right w:val="single" w:color="auto" w:sz="6" w:space="0"/>
            </w:tcBorders>
            <w:noWrap w:val="0"/>
            <w:vAlign w:val="center"/>
          </w:tcPr>
          <w:p w14:paraId="55072AA8">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61" w:type="pct"/>
            <w:tcBorders>
              <w:top w:val="single" w:color="auto" w:sz="6" w:space="0"/>
              <w:left w:val="single" w:color="auto" w:sz="6" w:space="0"/>
              <w:bottom w:val="single" w:color="auto" w:sz="6" w:space="0"/>
              <w:right w:val="double" w:color="auto" w:sz="4" w:space="0"/>
            </w:tcBorders>
            <w:noWrap w:val="0"/>
            <w:vAlign w:val="center"/>
          </w:tcPr>
          <w:p w14:paraId="35CE99EB">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r>
      <w:tr w14:paraId="66340F92">
        <w:tblPrEx>
          <w:tblCellMar>
            <w:top w:w="0" w:type="dxa"/>
            <w:left w:w="0" w:type="dxa"/>
            <w:bottom w:w="0" w:type="dxa"/>
            <w:right w:w="0" w:type="dxa"/>
          </w:tblCellMar>
        </w:tblPrEx>
        <w:trPr>
          <w:trHeight w:val="850" w:hRule="atLeast"/>
          <w:jc w:val="center"/>
        </w:trPr>
        <w:tc>
          <w:tcPr>
            <w:tcW w:w="383" w:type="pct"/>
            <w:tcBorders>
              <w:top w:val="single" w:color="auto" w:sz="6" w:space="0"/>
              <w:left w:val="double" w:color="auto" w:sz="4" w:space="0"/>
              <w:bottom w:val="single" w:color="auto" w:sz="6" w:space="0"/>
              <w:right w:val="single" w:color="auto" w:sz="6" w:space="0"/>
            </w:tcBorders>
            <w:noWrap w:val="0"/>
            <w:vAlign w:val="center"/>
          </w:tcPr>
          <w:p w14:paraId="412EDDA8">
            <w:pPr>
              <w:keepNext w:val="0"/>
              <w:keepLines w:val="0"/>
              <w:pageBreakBefore w:val="0"/>
              <w:widowControl w:val="0"/>
              <w:kinsoku/>
              <w:wordWrap w:val="0"/>
              <w:overflowPunct/>
              <w:topLinePunct w:val="0"/>
              <w:autoSpaceDE w:val="0"/>
              <w:autoSpaceDN w:val="0"/>
              <w:bidi w:val="0"/>
              <w:adjustRightInd w:val="0"/>
              <w:snapToGrid w:val="0"/>
              <w:spacing w:line="240" w:lineRule="auto"/>
              <w:ind w:left="258" w:right="241"/>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w:t>
            </w:r>
          </w:p>
        </w:tc>
        <w:tc>
          <w:tcPr>
            <w:tcW w:w="1179" w:type="pct"/>
            <w:tcBorders>
              <w:top w:val="single" w:color="auto" w:sz="6" w:space="0"/>
              <w:left w:val="single" w:color="auto" w:sz="6" w:space="0"/>
              <w:bottom w:val="single" w:color="auto" w:sz="6" w:space="0"/>
              <w:right w:val="single" w:color="auto" w:sz="6" w:space="0"/>
            </w:tcBorders>
            <w:noWrap w:val="0"/>
            <w:vAlign w:val="center"/>
          </w:tcPr>
          <w:p w14:paraId="38556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308" w:type="pct"/>
            <w:tcBorders>
              <w:top w:val="single" w:color="auto" w:sz="6" w:space="0"/>
              <w:left w:val="single" w:color="auto" w:sz="6" w:space="0"/>
              <w:bottom w:val="single" w:color="auto" w:sz="6" w:space="0"/>
              <w:right w:val="single" w:color="auto" w:sz="6" w:space="0"/>
            </w:tcBorders>
            <w:noWrap w:val="0"/>
            <w:vAlign w:val="center"/>
          </w:tcPr>
          <w:p w14:paraId="3FAA8CED">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649" w:type="pct"/>
            <w:tcBorders>
              <w:top w:val="single" w:color="auto" w:sz="6" w:space="0"/>
              <w:left w:val="single" w:color="auto" w:sz="6" w:space="0"/>
              <w:bottom w:val="single" w:color="auto" w:sz="6" w:space="0"/>
              <w:right w:val="single" w:color="auto" w:sz="6" w:space="0"/>
            </w:tcBorders>
            <w:noWrap w:val="0"/>
            <w:vAlign w:val="center"/>
          </w:tcPr>
          <w:p w14:paraId="7A46924E">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30" w:type="pct"/>
            <w:tcBorders>
              <w:top w:val="single" w:color="auto" w:sz="6" w:space="0"/>
              <w:left w:val="single" w:color="auto" w:sz="6" w:space="0"/>
              <w:bottom w:val="single" w:color="auto" w:sz="6" w:space="0"/>
              <w:right w:val="single" w:color="auto" w:sz="6" w:space="0"/>
            </w:tcBorders>
            <w:noWrap w:val="0"/>
            <w:vAlign w:val="center"/>
          </w:tcPr>
          <w:p w14:paraId="1C04F07F">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330" w:type="pct"/>
            <w:tcBorders>
              <w:top w:val="single" w:color="auto" w:sz="6" w:space="0"/>
              <w:left w:val="single" w:color="auto" w:sz="6" w:space="0"/>
              <w:bottom w:val="single" w:color="auto" w:sz="6" w:space="0"/>
              <w:right w:val="single" w:color="auto" w:sz="6" w:space="0"/>
            </w:tcBorders>
            <w:noWrap w:val="0"/>
            <w:vAlign w:val="center"/>
          </w:tcPr>
          <w:p w14:paraId="5FE49003">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lang w:val="en-US" w:eastAsia="zh-CN"/>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594A0511">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53" w:type="pct"/>
            <w:tcBorders>
              <w:top w:val="single" w:color="auto" w:sz="6" w:space="0"/>
              <w:left w:val="single" w:color="auto" w:sz="6" w:space="0"/>
              <w:bottom w:val="single" w:color="auto" w:sz="6" w:space="0"/>
              <w:right w:val="single" w:color="auto" w:sz="6" w:space="0"/>
            </w:tcBorders>
            <w:noWrap w:val="0"/>
            <w:vAlign w:val="center"/>
          </w:tcPr>
          <w:p w14:paraId="2F2BCF5A">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61" w:type="pct"/>
            <w:tcBorders>
              <w:top w:val="single" w:color="auto" w:sz="6" w:space="0"/>
              <w:left w:val="single" w:color="auto" w:sz="6" w:space="0"/>
              <w:bottom w:val="single" w:color="auto" w:sz="6" w:space="0"/>
              <w:right w:val="double" w:color="auto" w:sz="4" w:space="0"/>
            </w:tcBorders>
            <w:noWrap w:val="0"/>
            <w:vAlign w:val="center"/>
          </w:tcPr>
          <w:p w14:paraId="0E4EA69A">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r>
      <w:tr w14:paraId="66357E4B">
        <w:tblPrEx>
          <w:tblCellMar>
            <w:top w:w="0" w:type="dxa"/>
            <w:left w:w="0" w:type="dxa"/>
            <w:bottom w:w="0" w:type="dxa"/>
            <w:right w:w="0" w:type="dxa"/>
          </w:tblCellMar>
        </w:tblPrEx>
        <w:trPr>
          <w:trHeight w:val="850" w:hRule="atLeast"/>
          <w:jc w:val="center"/>
        </w:trPr>
        <w:tc>
          <w:tcPr>
            <w:tcW w:w="4438" w:type="pct"/>
            <w:gridSpan w:val="8"/>
            <w:tcBorders>
              <w:top w:val="single" w:color="auto" w:sz="6" w:space="0"/>
              <w:left w:val="double" w:color="auto" w:sz="4" w:space="0"/>
              <w:bottom w:val="double" w:color="auto" w:sz="4" w:space="0"/>
              <w:right w:val="single" w:color="auto" w:sz="6" w:space="0"/>
            </w:tcBorders>
            <w:noWrap w:val="0"/>
            <w:vAlign w:val="center"/>
          </w:tcPr>
          <w:p w14:paraId="7D20BE27">
            <w:pPr>
              <w:keepNext w:val="0"/>
              <w:keepLines w:val="0"/>
              <w:pageBreakBefore w:val="0"/>
              <w:widowControl w:val="0"/>
              <w:kinsoku/>
              <w:wordWrap w:val="0"/>
              <w:overflowPunct/>
              <w:topLinePunct w:val="0"/>
              <w:autoSpaceDE w:val="0"/>
              <w:autoSpaceDN w:val="0"/>
              <w:bidi w:val="0"/>
              <w:adjustRightInd w:val="0"/>
              <w:snapToGrid w:val="0"/>
              <w:spacing w:line="240" w:lineRule="auto"/>
              <w:jc w:val="left"/>
              <w:textAlignment w:val="auto"/>
              <w:rPr>
                <w:rFonts w:hint="eastAsia" w:ascii="宋体" w:hAnsi="宋体" w:eastAsia="宋体" w:cs="宋体"/>
                <w:color w:val="auto"/>
                <w:kern w:val="0"/>
                <w:position w:val="-1"/>
                <w:sz w:val="24"/>
                <w:szCs w:val="24"/>
                <w:highlight w:val="none"/>
              </w:rPr>
            </w:pPr>
          </w:p>
          <w:p w14:paraId="08FEC592">
            <w:pPr>
              <w:keepNext w:val="0"/>
              <w:keepLines w:val="0"/>
              <w:pageBreakBefore w:val="0"/>
              <w:widowControl w:val="0"/>
              <w:kinsoku/>
              <w:wordWrap w:val="0"/>
              <w:overflowPunct/>
              <w:topLinePunct w:val="0"/>
              <w:autoSpaceDE w:val="0"/>
              <w:autoSpaceDN w:val="0"/>
              <w:bidi w:val="0"/>
              <w:adjustRightInd w:val="0"/>
              <w:snapToGrid w:val="0"/>
              <w:spacing w:line="240" w:lineRule="auto"/>
              <w:jc w:val="left"/>
              <w:textAlignment w:val="auto"/>
              <w:rPr>
                <w:rFonts w:hint="eastAsia" w:ascii="宋体" w:hAnsi="宋体" w:eastAsia="宋体" w:cs="宋体"/>
                <w:b/>
                <w:bCs/>
                <w:color w:val="auto"/>
                <w:kern w:val="0"/>
                <w:position w:val="-1"/>
                <w:sz w:val="24"/>
                <w:szCs w:val="24"/>
                <w:highlight w:val="none"/>
                <w:u w:val="none"/>
                <w:lang w:val="en-US" w:eastAsia="zh-CN"/>
              </w:rPr>
            </w:pPr>
            <w:r>
              <w:rPr>
                <w:rFonts w:hint="eastAsia" w:ascii="宋体" w:hAnsi="宋体" w:eastAsia="宋体" w:cs="宋体"/>
                <w:color w:val="auto"/>
                <w:kern w:val="0"/>
                <w:position w:val="-1"/>
                <w:sz w:val="24"/>
                <w:szCs w:val="24"/>
                <w:highlight w:val="none"/>
              </w:rPr>
              <w:t>合计报价</w:t>
            </w:r>
            <w:r>
              <w:rPr>
                <w:rFonts w:hint="eastAsia" w:ascii="宋体" w:hAnsi="宋体" w:eastAsia="宋体" w:cs="宋体"/>
                <w:b/>
                <w:bCs/>
                <w:color w:val="auto"/>
                <w:kern w:val="0"/>
                <w:position w:val="-1"/>
                <w:sz w:val="24"/>
                <w:szCs w:val="24"/>
                <w:highlight w:val="none"/>
                <w:lang w:val="en-US" w:eastAsia="zh-CN"/>
              </w:rPr>
              <w:t>大写：</w:t>
            </w:r>
            <w:r>
              <w:rPr>
                <w:rFonts w:hint="eastAsia" w:ascii="宋体" w:hAnsi="宋体" w:eastAsia="宋体" w:cs="宋体"/>
                <w:b/>
                <w:bCs/>
                <w:color w:val="auto"/>
                <w:kern w:val="0"/>
                <w:position w:val="-1"/>
                <w:sz w:val="24"/>
                <w:szCs w:val="24"/>
                <w:highlight w:val="none"/>
                <w:u w:val="single"/>
                <w:lang w:val="en-US" w:eastAsia="zh-CN"/>
              </w:rPr>
              <w:t xml:space="preserve">                    </w:t>
            </w:r>
            <w:r>
              <w:rPr>
                <w:rFonts w:hint="eastAsia" w:ascii="宋体" w:hAnsi="宋体" w:eastAsia="宋体" w:cs="宋体"/>
                <w:b/>
                <w:bCs/>
                <w:color w:val="auto"/>
                <w:kern w:val="0"/>
                <w:position w:val="-1"/>
                <w:sz w:val="24"/>
                <w:szCs w:val="24"/>
                <w:highlight w:val="none"/>
                <w:u w:val="none"/>
                <w:lang w:val="en-US" w:eastAsia="zh-CN"/>
              </w:rPr>
              <w:t xml:space="preserve"> 元，</w:t>
            </w:r>
          </w:p>
          <w:p w14:paraId="471A09B9">
            <w:pPr>
              <w:keepNext w:val="0"/>
              <w:keepLines w:val="0"/>
              <w:pageBreakBefore w:val="0"/>
              <w:widowControl w:val="0"/>
              <w:kinsoku/>
              <w:wordWrap w:val="0"/>
              <w:overflowPunct/>
              <w:topLinePunct w:val="0"/>
              <w:autoSpaceDE w:val="0"/>
              <w:autoSpaceDN w:val="0"/>
              <w:bidi w:val="0"/>
              <w:adjustRightInd w:val="0"/>
              <w:snapToGrid w:val="0"/>
              <w:spacing w:line="240" w:lineRule="auto"/>
              <w:jc w:val="left"/>
              <w:textAlignment w:val="auto"/>
              <w:rPr>
                <w:rFonts w:hint="eastAsia" w:ascii="宋体" w:hAnsi="宋体" w:eastAsia="宋体" w:cs="宋体"/>
                <w:b/>
                <w:bCs/>
                <w:color w:val="auto"/>
                <w:kern w:val="0"/>
                <w:position w:val="-1"/>
                <w:sz w:val="24"/>
                <w:szCs w:val="24"/>
                <w:highlight w:val="none"/>
                <w:u w:val="none"/>
                <w:lang w:val="en-US" w:eastAsia="zh-CN"/>
              </w:rPr>
            </w:pPr>
          </w:p>
          <w:p w14:paraId="35A670A7">
            <w:pPr>
              <w:keepNext w:val="0"/>
              <w:keepLines w:val="0"/>
              <w:pageBreakBefore w:val="0"/>
              <w:widowControl w:val="0"/>
              <w:kinsoku/>
              <w:wordWrap w:val="0"/>
              <w:overflowPunct/>
              <w:topLinePunct w:val="0"/>
              <w:autoSpaceDE w:val="0"/>
              <w:autoSpaceDN w:val="0"/>
              <w:bidi w:val="0"/>
              <w:adjustRightInd w:val="0"/>
              <w:snapToGrid w:val="0"/>
              <w:spacing w:line="240" w:lineRule="auto"/>
              <w:jc w:val="left"/>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b/>
                <w:bCs/>
                <w:color w:val="auto"/>
                <w:kern w:val="0"/>
                <w:position w:val="-1"/>
                <w:sz w:val="24"/>
                <w:szCs w:val="24"/>
                <w:highlight w:val="none"/>
                <w:u w:val="none"/>
                <w:lang w:val="en-US" w:eastAsia="zh-CN"/>
              </w:rPr>
              <w:t>小写：</w:t>
            </w:r>
            <w:r>
              <w:rPr>
                <w:rFonts w:hint="eastAsia" w:ascii="宋体" w:hAnsi="宋体" w:eastAsia="宋体" w:cs="宋体"/>
                <w:b/>
                <w:bCs/>
                <w:color w:val="auto"/>
                <w:kern w:val="0"/>
                <w:position w:val="-1"/>
                <w:sz w:val="24"/>
                <w:szCs w:val="24"/>
                <w:highlight w:val="none"/>
                <w:u w:val="single"/>
                <w:lang w:val="en-US" w:eastAsia="zh-CN"/>
              </w:rPr>
              <w:t xml:space="preserve">                      </w:t>
            </w:r>
            <w:r>
              <w:rPr>
                <w:rFonts w:hint="eastAsia" w:ascii="宋体" w:hAnsi="宋体" w:eastAsia="宋体" w:cs="宋体"/>
                <w:b/>
                <w:bCs/>
                <w:color w:val="auto"/>
                <w:kern w:val="0"/>
                <w:position w:val="-1"/>
                <w:sz w:val="24"/>
                <w:szCs w:val="24"/>
                <w:highlight w:val="none"/>
                <w:u w:val="none"/>
                <w:lang w:val="en-US" w:eastAsia="zh-CN"/>
              </w:rPr>
              <w:t>元</w:t>
            </w:r>
          </w:p>
        </w:tc>
        <w:tc>
          <w:tcPr>
            <w:tcW w:w="561" w:type="pct"/>
            <w:tcBorders>
              <w:top w:val="single" w:color="auto" w:sz="6" w:space="0"/>
              <w:left w:val="single" w:color="auto" w:sz="6" w:space="0"/>
              <w:bottom w:val="double" w:color="auto" w:sz="4" w:space="0"/>
              <w:right w:val="double" w:color="auto" w:sz="4" w:space="0"/>
            </w:tcBorders>
            <w:noWrap w:val="0"/>
            <w:vAlign w:val="top"/>
          </w:tcPr>
          <w:p w14:paraId="20DF2819">
            <w:pPr>
              <w:keepNext w:val="0"/>
              <w:keepLines w:val="0"/>
              <w:pageBreakBefore w:val="0"/>
              <w:widowControl w:val="0"/>
              <w:kinsoku/>
              <w:wordWrap w:val="0"/>
              <w:overflowPunct/>
              <w:topLinePunct w:val="0"/>
              <w:autoSpaceDE w:val="0"/>
              <w:autoSpaceDN w:val="0"/>
              <w:bidi w:val="0"/>
              <w:adjustRightInd w:val="0"/>
              <w:snapToGrid w:val="0"/>
              <w:spacing w:line="240" w:lineRule="auto"/>
              <w:jc w:val="left"/>
              <w:textAlignment w:val="auto"/>
              <w:rPr>
                <w:rFonts w:hint="eastAsia" w:ascii="宋体" w:hAnsi="宋体" w:eastAsia="宋体" w:cs="宋体"/>
                <w:color w:val="auto"/>
                <w:kern w:val="0"/>
                <w:sz w:val="24"/>
                <w:szCs w:val="24"/>
                <w:highlight w:val="none"/>
              </w:rPr>
            </w:pPr>
          </w:p>
        </w:tc>
      </w:tr>
    </w:tbl>
    <w:p w14:paraId="1ECBC2F7">
      <w:pPr>
        <w:adjustRightInd w:val="0"/>
        <w:snapToGrid w:val="0"/>
        <w:spacing w:line="360" w:lineRule="auto"/>
        <w:rPr>
          <w:rFonts w:hint="eastAsia" w:ascii="宋体" w:hAnsi="宋体" w:eastAsia="宋体" w:cs="宋体"/>
          <w:color w:val="auto"/>
          <w:szCs w:val="21"/>
          <w:highlight w:val="none"/>
        </w:rPr>
      </w:pPr>
    </w:p>
    <w:p w14:paraId="39E3F5B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r>
        <w:rPr>
          <w:rFonts w:hint="eastAsia" w:ascii="宋体" w:hAnsi="宋体" w:eastAsia="宋体" w:cs="宋体"/>
          <w:color w:val="auto"/>
          <w:szCs w:val="21"/>
          <w:highlight w:val="none"/>
          <w:lang w:val="en-US" w:eastAsia="zh-CN"/>
        </w:rPr>
        <w:t>1.</w:t>
      </w:r>
      <w:r>
        <w:rPr>
          <w:rFonts w:hint="eastAsia" w:ascii="宋体" w:hAnsi="宋体" w:eastAsia="宋体" w:cs="宋体"/>
          <w:b/>
          <w:color w:val="auto"/>
          <w:szCs w:val="21"/>
          <w:highlight w:val="none"/>
        </w:rPr>
        <w:t>本表应对应</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报价表</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，按包填写</w:t>
      </w:r>
      <w:r>
        <w:rPr>
          <w:rFonts w:hint="eastAsia" w:ascii="宋体" w:hAnsi="宋体" w:eastAsia="宋体" w:cs="宋体"/>
          <w:color w:val="auto"/>
          <w:szCs w:val="21"/>
          <w:highlight w:val="none"/>
        </w:rPr>
        <w:t>。供应商如果不提供分项报价明细表，其</w:t>
      </w:r>
      <w:r>
        <w:rPr>
          <w:rFonts w:hint="eastAsia" w:ascii="宋体" w:hAnsi="宋体" w:eastAsia="宋体" w:cs="宋体"/>
          <w:b/>
          <w:color w:val="auto"/>
          <w:szCs w:val="21"/>
          <w:highlight w:val="none"/>
        </w:rPr>
        <w:t>响应无效</w:t>
      </w:r>
      <w:r>
        <w:rPr>
          <w:rFonts w:hint="eastAsia" w:ascii="宋体" w:hAnsi="宋体" w:eastAsia="宋体" w:cs="宋体"/>
          <w:color w:val="auto"/>
          <w:szCs w:val="21"/>
          <w:highlight w:val="none"/>
        </w:rPr>
        <w:t>。</w:t>
      </w:r>
    </w:p>
    <w:p w14:paraId="01F1B8D7">
      <w:pPr>
        <w:adjustRightInd w:val="0"/>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不得填写“免费”或“赠与”，也不得进行“零”报价，否则</w:t>
      </w:r>
      <w:r>
        <w:rPr>
          <w:rFonts w:hint="eastAsia" w:ascii="宋体" w:hAnsi="宋体" w:eastAsia="宋体" w:cs="宋体"/>
          <w:b/>
          <w:color w:val="auto"/>
          <w:szCs w:val="21"/>
          <w:highlight w:val="none"/>
        </w:rPr>
        <w:t>响应无效</w:t>
      </w:r>
      <w:r>
        <w:rPr>
          <w:rFonts w:hint="eastAsia" w:ascii="宋体" w:hAnsi="宋体" w:eastAsia="宋体" w:cs="宋体"/>
          <w:color w:val="auto"/>
          <w:szCs w:val="21"/>
          <w:highlight w:val="none"/>
        </w:rPr>
        <w:t>。</w:t>
      </w:r>
    </w:p>
    <w:p w14:paraId="12E9EE95">
      <w:pPr>
        <w:adjustRightInd w:val="0"/>
        <w:snapToGrid w:val="0"/>
        <w:spacing w:line="360" w:lineRule="auto"/>
        <w:rPr>
          <w:rFonts w:hint="eastAsia" w:ascii="宋体" w:hAnsi="宋体" w:eastAsia="宋体" w:cs="宋体"/>
          <w:color w:val="auto"/>
          <w:sz w:val="24"/>
          <w:szCs w:val="24"/>
          <w:highlight w:val="none"/>
          <w:lang w:val="en-US" w:eastAsia="zh-CN"/>
        </w:rPr>
      </w:pPr>
    </w:p>
    <w:p w14:paraId="3E9AACE3">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val="en-US" w:eastAsia="zh-CN"/>
        </w:rPr>
        <w:t>盖</w:t>
      </w:r>
      <w:r>
        <w:rPr>
          <w:rFonts w:hint="eastAsia" w:ascii="宋体" w:hAnsi="宋体" w:eastAsia="宋体" w:cs="宋体"/>
          <w:color w:val="auto"/>
          <w:sz w:val="24"/>
          <w:szCs w:val="24"/>
          <w:highlight w:val="none"/>
        </w:rPr>
        <w:t>单位章）：</w:t>
      </w:r>
      <w:r>
        <w:rPr>
          <w:rFonts w:hint="eastAsia" w:ascii="宋体" w:hAnsi="宋体" w:eastAsia="宋体" w:cs="宋体"/>
          <w:color w:val="auto"/>
          <w:sz w:val="24"/>
          <w:szCs w:val="24"/>
          <w:highlight w:val="none"/>
          <w:u w:val="single"/>
          <w:lang w:val="en-US" w:eastAsia="zh-CN"/>
        </w:rPr>
        <w:t xml:space="preserve">               </w:t>
      </w:r>
    </w:p>
    <w:p w14:paraId="4FFECAFB">
      <w:pPr>
        <w:adjustRightInd w:val="0"/>
        <w:snapToGrid w:val="0"/>
        <w:spacing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b w:val="0"/>
          <w:bCs w:val="0"/>
          <w:color w:val="auto"/>
          <w:kern w:val="2"/>
          <w:sz w:val="24"/>
          <w:szCs w:val="24"/>
          <w:highlight w:val="none"/>
          <w:lang w:val="en-US" w:eastAsia="zh-CN" w:bidi="ar-SA"/>
        </w:rPr>
        <w:t>签字或印章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p>
    <w:p w14:paraId="629CD959">
      <w:pPr>
        <w:adjustRightInd w:val="0"/>
        <w:snapToGrid w:val="0"/>
        <w:spacing w:line="360" w:lineRule="auto"/>
        <w:rPr>
          <w:rFonts w:hint="eastAsia" w:ascii="宋体" w:hAnsi="宋体" w:eastAsia="宋体" w:cs="宋体"/>
          <w:color w:val="auto"/>
          <w:sz w:val="24"/>
          <w:szCs w:val="24"/>
          <w:highlight w:val="none"/>
          <w:lang w:val="en-US" w:eastAsia="zh-CN"/>
        </w:rPr>
        <w:sectPr>
          <w:pgSz w:w="11906" w:h="16838"/>
          <w:pgMar w:top="1418" w:right="1134" w:bottom="1134" w:left="1418" w:header="851" w:footer="85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color w:val="auto"/>
          <w:sz w:val="24"/>
          <w:szCs w:val="24"/>
          <w:highlight w:val="none"/>
          <w:lang w:val="en-US" w:eastAsia="zh-CN"/>
        </w:rPr>
        <w:t>日期：</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w:t>
      </w:r>
    </w:p>
    <w:p w14:paraId="39429343">
      <w:pPr>
        <w:adjustRightInd w:val="0"/>
        <w:snapToGrid w:val="0"/>
        <w:spacing w:line="360" w:lineRule="auto"/>
        <w:rPr>
          <w:rFonts w:hint="eastAsia" w:ascii="宋体" w:hAnsi="宋体" w:eastAsia="宋体" w:cs="宋体"/>
          <w:color w:val="auto"/>
          <w:szCs w:val="21"/>
          <w:highlight w:val="none"/>
        </w:rPr>
      </w:pPr>
    </w:p>
    <w:p w14:paraId="3A2B0685">
      <w:pPr>
        <w:pStyle w:val="3"/>
        <w:bidi w:val="0"/>
        <w:jc w:val="center"/>
        <w:rPr>
          <w:rFonts w:hint="eastAsia" w:ascii="宋体" w:hAnsi="宋体" w:eastAsia="宋体" w:cs="宋体"/>
          <w:b/>
          <w:color w:val="auto"/>
          <w:sz w:val="28"/>
          <w:szCs w:val="28"/>
          <w:highlight w:val="none"/>
        </w:rPr>
      </w:pPr>
      <w:bookmarkStart w:id="96" w:name="_Toc2706"/>
      <w:r>
        <w:rPr>
          <w:rFonts w:hint="eastAsia" w:ascii="宋体" w:hAnsi="宋体" w:eastAsia="宋体" w:cs="宋体"/>
          <w:color w:val="auto"/>
          <w:sz w:val="30"/>
          <w:szCs w:val="30"/>
          <w:highlight w:val="none"/>
          <w:lang w:val="en-US" w:eastAsia="zh-CN"/>
        </w:rPr>
        <w:t>八、供应商认为需提供的资料及说明</w:t>
      </w:r>
      <w:bookmarkEnd w:id="96"/>
    </w:p>
    <w:p w14:paraId="199087CE">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说明：提供磋商文件或评分标准需要提供的其他相关资料。</w:t>
      </w:r>
    </w:p>
    <w:p w14:paraId="3DA1A173">
      <w:pPr>
        <w:pStyle w:val="66"/>
        <w:rPr>
          <w:rFonts w:hint="eastAsia" w:ascii="宋体" w:hAnsi="宋体" w:eastAsia="宋体" w:cs="宋体"/>
          <w:color w:val="auto"/>
          <w:highlight w:val="none"/>
        </w:rPr>
      </w:pPr>
    </w:p>
    <w:p w14:paraId="1A0128F5">
      <w:pPr>
        <w:bidi w:val="0"/>
        <w:rPr>
          <w:rFonts w:hint="eastAsia" w:ascii="宋体" w:hAnsi="宋体" w:eastAsia="宋体" w:cs="宋体"/>
          <w:b/>
          <w:bCs/>
          <w:color w:val="auto"/>
          <w:sz w:val="30"/>
          <w:szCs w:val="30"/>
          <w:highlight w:val="none"/>
        </w:rPr>
      </w:pPr>
    </w:p>
    <w:p w14:paraId="29F60891">
      <w:pPr>
        <w:keepNext w:val="0"/>
        <w:keepLines w:val="0"/>
        <w:pageBreakBefore w:val="0"/>
        <w:widowControl w:val="0"/>
        <w:numPr>
          <w:ilvl w:val="0"/>
          <w:numId w:val="27"/>
        </w:numPr>
        <w:kinsoku/>
        <w:wordWrap/>
        <w:overflowPunct/>
        <w:topLinePunct w:val="0"/>
        <w:autoSpaceDE/>
        <w:autoSpaceDN/>
        <w:bidi w:val="0"/>
        <w:adjustRightInd/>
        <w:snapToGrid/>
        <w:spacing w:line="600" w:lineRule="exact"/>
        <w:jc w:val="left"/>
        <w:textAlignment w:val="auto"/>
        <w:rPr>
          <w:rFonts w:hint="eastAsia" w:ascii="宋体" w:hAnsi="宋体" w:eastAsia="宋体" w:cs="宋体"/>
          <w:b/>
          <w:bCs/>
          <w:color w:val="auto"/>
          <w:sz w:val="30"/>
          <w:szCs w:val="30"/>
          <w:highlight w:val="none"/>
        </w:rPr>
      </w:pPr>
      <w:bookmarkStart w:id="97" w:name="_Toc6949"/>
      <w:r>
        <w:rPr>
          <w:rFonts w:hint="eastAsia" w:ascii="宋体" w:hAnsi="宋体" w:eastAsia="宋体" w:cs="宋体"/>
          <w:b/>
          <w:bCs/>
          <w:color w:val="auto"/>
          <w:sz w:val="30"/>
          <w:szCs w:val="30"/>
          <w:highlight w:val="none"/>
        </w:rPr>
        <w:t>实施方案</w:t>
      </w:r>
    </w:p>
    <w:p w14:paraId="743E45C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宋体" w:hAnsi="宋体" w:eastAsia="宋体" w:cs="宋体"/>
          <w:b/>
          <w:bCs/>
          <w:color w:val="auto"/>
          <w:sz w:val="30"/>
          <w:szCs w:val="30"/>
          <w:highlight w:val="none"/>
        </w:rPr>
      </w:pPr>
    </w:p>
    <w:p w14:paraId="678F68FC">
      <w:pPr>
        <w:keepNext w:val="0"/>
        <w:keepLines w:val="0"/>
        <w:pageBreakBefore w:val="0"/>
        <w:widowControl w:val="0"/>
        <w:numPr>
          <w:ilvl w:val="0"/>
          <w:numId w:val="27"/>
        </w:numPr>
        <w:kinsoku/>
        <w:wordWrap/>
        <w:overflowPunct/>
        <w:topLinePunct w:val="0"/>
        <w:autoSpaceDE/>
        <w:autoSpaceDN/>
        <w:bidi w:val="0"/>
        <w:adjustRightInd/>
        <w:snapToGrid/>
        <w:spacing w:line="600" w:lineRule="exact"/>
        <w:ind w:left="0" w:leftChars="0" w:firstLine="0" w:firstLineChars="0"/>
        <w:jc w:val="left"/>
        <w:textAlignment w:val="auto"/>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lang w:eastAsia="zh-CN"/>
        </w:rPr>
        <w:t>培训服务</w:t>
      </w:r>
    </w:p>
    <w:p w14:paraId="29D1C1F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left"/>
        <w:textAlignment w:val="auto"/>
        <w:rPr>
          <w:rFonts w:hint="eastAsia" w:ascii="宋体" w:hAnsi="宋体" w:eastAsia="宋体" w:cs="宋体"/>
          <w:b/>
          <w:bCs/>
          <w:color w:val="auto"/>
          <w:sz w:val="30"/>
          <w:szCs w:val="30"/>
          <w:highlight w:val="none"/>
          <w:lang w:eastAsia="zh-CN"/>
        </w:rPr>
      </w:pPr>
    </w:p>
    <w:p w14:paraId="174165B6">
      <w:pPr>
        <w:keepNext w:val="0"/>
        <w:keepLines w:val="0"/>
        <w:pageBreakBefore w:val="0"/>
        <w:widowControl w:val="0"/>
        <w:numPr>
          <w:ilvl w:val="0"/>
          <w:numId w:val="27"/>
        </w:numPr>
        <w:kinsoku/>
        <w:wordWrap/>
        <w:overflowPunct/>
        <w:topLinePunct w:val="0"/>
        <w:autoSpaceDE/>
        <w:autoSpaceDN/>
        <w:bidi w:val="0"/>
        <w:adjustRightInd/>
        <w:snapToGrid/>
        <w:spacing w:line="600" w:lineRule="exact"/>
        <w:ind w:left="0" w:leftChars="0" w:firstLine="0" w:firstLineChars="0"/>
        <w:jc w:val="left"/>
        <w:textAlignment w:val="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售后服务</w:t>
      </w:r>
    </w:p>
    <w:p w14:paraId="462F208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left"/>
        <w:textAlignment w:val="auto"/>
        <w:rPr>
          <w:rFonts w:hint="eastAsia" w:ascii="宋体" w:hAnsi="宋体" w:eastAsia="宋体" w:cs="宋体"/>
          <w:b/>
          <w:bCs/>
          <w:color w:val="auto"/>
          <w:sz w:val="30"/>
          <w:szCs w:val="30"/>
          <w:highlight w:val="none"/>
        </w:rPr>
      </w:pPr>
    </w:p>
    <w:p w14:paraId="7D5EAECD">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宋体" w:hAnsi="宋体" w:eastAsia="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四、</w:t>
      </w:r>
      <w:r>
        <w:rPr>
          <w:rFonts w:hint="eastAsia" w:ascii="宋体" w:hAnsi="宋体" w:eastAsia="宋体" w:cs="宋体"/>
          <w:b/>
          <w:bCs/>
          <w:color w:val="auto"/>
          <w:kern w:val="2"/>
          <w:sz w:val="30"/>
          <w:szCs w:val="30"/>
          <w:highlight w:val="none"/>
          <w:lang w:val="en-US" w:eastAsia="zh-CN" w:bidi="ar-SA"/>
        </w:rPr>
        <w:t>类似业绩</w:t>
      </w:r>
    </w:p>
    <w:p w14:paraId="32DF7C14">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宋体" w:hAnsi="宋体" w:eastAsia="宋体" w:cs="宋体"/>
          <w:color w:val="auto"/>
          <w:sz w:val="21"/>
          <w:szCs w:val="21"/>
          <w:highlight w:val="none"/>
          <w:lang w:val="en-US" w:eastAsia="zh-CN"/>
        </w:rPr>
      </w:pPr>
    </w:p>
    <w:p w14:paraId="2E3EE7F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02E9275D">
      <w:pPr>
        <w:bidi w:val="0"/>
        <w:rPr>
          <w:rFonts w:hint="default" w:ascii="宋体" w:hAnsi="宋体" w:eastAsia="宋体" w:cs="宋体"/>
          <w:color w:val="auto"/>
          <w:sz w:val="21"/>
          <w:szCs w:val="21"/>
          <w:highlight w:val="none"/>
          <w:lang w:val="en-US" w:eastAsia="zh-CN"/>
        </w:rPr>
      </w:pPr>
    </w:p>
    <w:p w14:paraId="2A4A8D46">
      <w:pPr>
        <w:pStyle w:val="3"/>
        <w:bidi w:val="0"/>
        <w:jc w:val="center"/>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九、最后报价</w:t>
      </w:r>
      <w:bookmarkEnd w:id="97"/>
    </w:p>
    <w:p w14:paraId="49FEF8BE">
      <w:pPr>
        <w:adjustRightInd w:val="0"/>
        <w:snapToGrid w:val="0"/>
        <w:rPr>
          <w:rFonts w:hint="eastAsia" w:ascii="宋体" w:hAnsi="宋体" w:eastAsia="宋体" w:cs="宋体"/>
          <w:color w:val="auto"/>
          <w:sz w:val="24"/>
          <w:highlight w:val="none"/>
        </w:rPr>
      </w:pPr>
    </w:p>
    <w:p w14:paraId="4C2B77C2">
      <w:pPr>
        <w:keepNext w:val="0"/>
        <w:keepLines w:val="0"/>
        <w:pageBreakBefore w:val="0"/>
        <w:widowControl w:val="0"/>
        <w:kinsoku/>
        <w:wordWrap/>
        <w:overflowPunct/>
        <w:topLinePunct w:val="0"/>
        <w:autoSpaceDE/>
        <w:autoSpaceDN/>
        <w:bidi w:val="0"/>
        <w:adjustRightInd/>
        <w:snapToGrid/>
        <w:spacing w:after="317" w:afterLines="100"/>
        <w:jc w:val="center"/>
        <w:textAlignment w:val="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报价一览表（格式）</w:t>
      </w:r>
    </w:p>
    <w:tbl>
      <w:tblPr>
        <w:tblStyle w:val="50"/>
        <w:tblW w:w="9731"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3141"/>
        <w:gridCol w:w="2077"/>
        <w:gridCol w:w="2608"/>
      </w:tblGrid>
      <w:tr w14:paraId="7428C7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905" w:type="dxa"/>
            <w:vMerge w:val="restart"/>
            <w:tcBorders>
              <w:top w:val="double" w:color="auto" w:sz="4" w:space="0"/>
              <w:left w:val="double" w:color="auto" w:sz="4" w:space="0"/>
              <w:bottom w:val="single" w:color="auto" w:sz="6" w:space="0"/>
              <w:right w:val="single" w:color="auto" w:sz="6" w:space="0"/>
            </w:tcBorders>
            <w:vAlign w:val="center"/>
          </w:tcPr>
          <w:p w14:paraId="6E5C3C61">
            <w:pPr>
              <w:tabs>
                <w:tab w:val="left" w:pos="403"/>
                <w:tab w:val="center" w:pos="3781"/>
              </w:tabs>
              <w:spacing w:line="420" w:lineRule="exact"/>
              <w:ind w:right="-5280" w:rightChars="-2479" w:firstLine="243"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项目名称</w:t>
            </w:r>
          </w:p>
        </w:tc>
        <w:tc>
          <w:tcPr>
            <w:tcW w:w="3141" w:type="dxa"/>
            <w:vMerge w:val="restart"/>
            <w:tcBorders>
              <w:top w:val="double" w:color="auto" w:sz="4" w:space="0"/>
              <w:left w:val="single" w:color="auto" w:sz="6" w:space="0"/>
              <w:bottom w:val="single" w:color="auto" w:sz="6" w:space="0"/>
              <w:right w:val="single" w:color="auto" w:sz="6" w:space="0"/>
            </w:tcBorders>
            <w:vAlign w:val="center"/>
          </w:tcPr>
          <w:p w14:paraId="3F7EA5AD">
            <w:pPr>
              <w:spacing w:line="340" w:lineRule="exact"/>
              <w:jc w:val="center"/>
              <w:rPr>
                <w:rFonts w:hint="eastAsia" w:ascii="宋体" w:hAnsi="宋体" w:eastAsia="宋体" w:cs="宋体"/>
                <w:color w:val="auto"/>
                <w:sz w:val="24"/>
                <w:szCs w:val="24"/>
                <w:highlight w:val="none"/>
                <w:lang w:eastAsia="zh-CN"/>
              </w:rPr>
            </w:pPr>
          </w:p>
        </w:tc>
        <w:tc>
          <w:tcPr>
            <w:tcW w:w="2077" w:type="dxa"/>
            <w:tcBorders>
              <w:top w:val="double" w:color="auto" w:sz="4" w:space="0"/>
              <w:left w:val="single" w:color="auto" w:sz="6" w:space="0"/>
              <w:bottom w:val="single" w:color="auto" w:sz="6" w:space="0"/>
              <w:right w:val="single" w:color="auto" w:sz="6" w:space="0"/>
            </w:tcBorders>
            <w:vAlign w:val="center"/>
          </w:tcPr>
          <w:p w14:paraId="0B0A5E32">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w:t>
            </w:r>
            <w:r>
              <w:rPr>
                <w:rFonts w:hint="eastAsia" w:ascii="宋体" w:hAnsi="宋体" w:cs="宋体"/>
                <w:color w:val="auto"/>
                <w:sz w:val="24"/>
                <w:szCs w:val="24"/>
                <w:highlight w:val="none"/>
                <w:lang w:val="en-US" w:eastAsia="zh-CN"/>
              </w:rPr>
              <w:t>计划</w:t>
            </w:r>
            <w:r>
              <w:rPr>
                <w:rFonts w:hint="eastAsia" w:ascii="宋体" w:hAnsi="宋体" w:eastAsia="宋体" w:cs="宋体"/>
                <w:color w:val="auto"/>
                <w:sz w:val="24"/>
                <w:szCs w:val="24"/>
                <w:highlight w:val="none"/>
              </w:rPr>
              <w:t>编号</w:t>
            </w:r>
          </w:p>
        </w:tc>
        <w:tc>
          <w:tcPr>
            <w:tcW w:w="2608" w:type="dxa"/>
            <w:tcBorders>
              <w:top w:val="double" w:color="auto" w:sz="4" w:space="0"/>
              <w:left w:val="single" w:color="auto" w:sz="6" w:space="0"/>
              <w:bottom w:val="single" w:color="auto" w:sz="6" w:space="0"/>
              <w:right w:val="double" w:color="auto" w:sz="4" w:space="0"/>
            </w:tcBorders>
            <w:vAlign w:val="center"/>
          </w:tcPr>
          <w:p w14:paraId="2752B601">
            <w:pPr>
              <w:spacing w:line="420" w:lineRule="exact"/>
              <w:ind w:left="972" w:hanging="972" w:hangingChars="400"/>
              <w:jc w:val="both"/>
              <w:rPr>
                <w:rFonts w:hint="eastAsia" w:ascii="宋体" w:hAnsi="宋体" w:eastAsia="宋体" w:cs="宋体"/>
                <w:color w:val="auto"/>
                <w:sz w:val="24"/>
                <w:szCs w:val="24"/>
                <w:highlight w:val="none"/>
              </w:rPr>
            </w:pPr>
          </w:p>
        </w:tc>
      </w:tr>
      <w:tr w14:paraId="0B8DC2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905" w:type="dxa"/>
            <w:vMerge w:val="continue"/>
            <w:tcBorders>
              <w:top w:val="single" w:color="auto" w:sz="6" w:space="0"/>
              <w:left w:val="double" w:color="auto" w:sz="4" w:space="0"/>
              <w:bottom w:val="single" w:color="auto" w:sz="6" w:space="0"/>
              <w:right w:val="single" w:color="auto" w:sz="6" w:space="0"/>
            </w:tcBorders>
            <w:vAlign w:val="center"/>
          </w:tcPr>
          <w:p w14:paraId="3408A2B9">
            <w:pPr>
              <w:tabs>
                <w:tab w:val="left" w:pos="403"/>
                <w:tab w:val="center" w:pos="3781"/>
              </w:tabs>
              <w:spacing w:line="420" w:lineRule="exact"/>
              <w:ind w:right="-5280" w:rightChars="-2479"/>
              <w:rPr>
                <w:rFonts w:hint="eastAsia" w:ascii="宋体" w:hAnsi="宋体" w:eastAsia="宋体" w:cs="宋体"/>
                <w:color w:val="auto"/>
                <w:sz w:val="24"/>
                <w:szCs w:val="24"/>
                <w:highlight w:val="none"/>
              </w:rPr>
            </w:pPr>
          </w:p>
        </w:tc>
        <w:tc>
          <w:tcPr>
            <w:tcW w:w="3141" w:type="dxa"/>
            <w:vMerge w:val="continue"/>
            <w:tcBorders>
              <w:top w:val="single" w:color="auto" w:sz="6" w:space="0"/>
              <w:left w:val="single" w:color="auto" w:sz="6" w:space="0"/>
              <w:bottom w:val="single" w:color="auto" w:sz="6" w:space="0"/>
              <w:right w:val="single" w:color="auto" w:sz="6" w:space="0"/>
            </w:tcBorders>
            <w:vAlign w:val="center"/>
          </w:tcPr>
          <w:p w14:paraId="0DDBB4B3">
            <w:pPr>
              <w:spacing w:line="420" w:lineRule="exact"/>
              <w:jc w:val="center"/>
              <w:rPr>
                <w:rFonts w:hint="eastAsia" w:ascii="宋体" w:hAnsi="宋体" w:eastAsia="宋体" w:cs="宋体"/>
                <w:color w:val="auto"/>
                <w:sz w:val="24"/>
                <w:szCs w:val="24"/>
                <w:highlight w:val="none"/>
              </w:rPr>
            </w:pPr>
          </w:p>
        </w:tc>
        <w:tc>
          <w:tcPr>
            <w:tcW w:w="2077" w:type="dxa"/>
            <w:tcBorders>
              <w:top w:val="single" w:color="auto" w:sz="6" w:space="0"/>
              <w:left w:val="single" w:color="auto" w:sz="6" w:space="0"/>
              <w:bottom w:val="single" w:color="auto" w:sz="6" w:space="0"/>
              <w:right w:val="single" w:color="auto" w:sz="6" w:space="0"/>
            </w:tcBorders>
            <w:vAlign w:val="center"/>
          </w:tcPr>
          <w:p w14:paraId="5985913B">
            <w:pPr>
              <w:spacing w:line="420" w:lineRule="exact"/>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委托</w:t>
            </w:r>
            <w:r>
              <w:rPr>
                <w:rFonts w:hint="eastAsia" w:ascii="宋体" w:hAnsi="宋体" w:eastAsia="宋体" w:cs="宋体"/>
                <w:color w:val="auto"/>
                <w:sz w:val="24"/>
                <w:szCs w:val="24"/>
                <w:highlight w:val="none"/>
              </w:rPr>
              <w:t>代理编号</w:t>
            </w:r>
          </w:p>
        </w:tc>
        <w:tc>
          <w:tcPr>
            <w:tcW w:w="2608" w:type="dxa"/>
            <w:tcBorders>
              <w:top w:val="single" w:color="auto" w:sz="6" w:space="0"/>
              <w:left w:val="single" w:color="auto" w:sz="6" w:space="0"/>
              <w:bottom w:val="single" w:color="auto" w:sz="6" w:space="0"/>
              <w:right w:val="double" w:color="auto" w:sz="4" w:space="0"/>
            </w:tcBorders>
            <w:vAlign w:val="center"/>
          </w:tcPr>
          <w:p w14:paraId="68ABE641">
            <w:pPr>
              <w:spacing w:line="420" w:lineRule="exact"/>
              <w:jc w:val="center"/>
              <w:rPr>
                <w:rFonts w:hint="eastAsia" w:ascii="宋体" w:hAnsi="宋体" w:eastAsia="宋体" w:cs="宋体"/>
                <w:color w:val="auto"/>
                <w:sz w:val="24"/>
                <w:szCs w:val="24"/>
                <w:highlight w:val="none"/>
                <w:lang w:val="en-US" w:eastAsia="zh-CN"/>
              </w:rPr>
            </w:pPr>
          </w:p>
        </w:tc>
      </w:tr>
      <w:tr w14:paraId="400878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1905" w:type="dxa"/>
            <w:tcBorders>
              <w:top w:val="single" w:color="auto" w:sz="6" w:space="0"/>
              <w:left w:val="double" w:color="auto" w:sz="4" w:space="0"/>
              <w:right w:val="single" w:color="auto" w:sz="6" w:space="0"/>
            </w:tcBorders>
            <w:vAlign w:val="center"/>
          </w:tcPr>
          <w:p w14:paraId="7B20EAB5">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报价（人民币）</w:t>
            </w:r>
          </w:p>
        </w:tc>
        <w:tc>
          <w:tcPr>
            <w:tcW w:w="7826" w:type="dxa"/>
            <w:gridSpan w:val="3"/>
            <w:tcBorders>
              <w:top w:val="single" w:color="auto" w:sz="6" w:space="0"/>
              <w:left w:val="single" w:color="auto" w:sz="6" w:space="0"/>
              <w:bottom w:val="single" w:color="auto" w:sz="6" w:space="0"/>
              <w:right w:val="double" w:color="auto" w:sz="4" w:space="0"/>
            </w:tcBorders>
            <w:vAlign w:val="center"/>
          </w:tcPr>
          <w:p w14:paraId="759B30E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元整</w:t>
            </w:r>
          </w:p>
          <w:p w14:paraId="6C2869D6">
            <w:pPr>
              <w:spacing w:before="158" w:beforeLines="50" w:line="420" w:lineRule="exact"/>
              <w:rPr>
                <w:rFonts w:hint="eastAsia" w:ascii="宋体" w:hAnsi="宋体" w:eastAsia="宋体" w:cs="宋体"/>
                <w:color w:val="auto"/>
                <w:sz w:val="24"/>
                <w:szCs w:val="24"/>
                <w:highlight w:val="none"/>
              </w:rPr>
            </w:pP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tc>
      </w:tr>
      <w:tr w14:paraId="6B2CA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05" w:type="dxa"/>
            <w:tcBorders>
              <w:top w:val="single" w:color="auto" w:sz="6" w:space="0"/>
              <w:left w:val="double" w:color="auto" w:sz="4" w:space="0"/>
              <w:bottom w:val="single" w:color="auto" w:sz="6" w:space="0"/>
              <w:right w:val="single" w:color="auto" w:sz="6" w:space="0"/>
            </w:tcBorders>
            <w:vAlign w:val="center"/>
          </w:tcPr>
          <w:p w14:paraId="504AD6ED">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交货时间</w:t>
            </w:r>
          </w:p>
        </w:tc>
        <w:tc>
          <w:tcPr>
            <w:tcW w:w="7826" w:type="dxa"/>
            <w:gridSpan w:val="3"/>
            <w:tcBorders>
              <w:top w:val="single" w:color="auto" w:sz="6" w:space="0"/>
              <w:left w:val="single" w:color="auto" w:sz="6" w:space="0"/>
              <w:bottom w:val="single" w:color="auto" w:sz="6" w:space="0"/>
              <w:right w:val="double" w:color="auto" w:sz="4" w:space="0"/>
            </w:tcBorders>
            <w:vAlign w:val="center"/>
          </w:tcPr>
          <w:p w14:paraId="0B8A2448">
            <w:pPr>
              <w:keepNext w:val="0"/>
              <w:keepLines w:val="0"/>
              <w:pageBreakBefore w:val="0"/>
              <w:widowControl w:val="0"/>
              <w:kinsoku/>
              <w:wordWrap/>
              <w:overflowPunct/>
              <w:topLinePunct w:val="0"/>
              <w:autoSpaceDE/>
              <w:autoSpaceDN/>
              <w:bidi w:val="0"/>
              <w:adjustRightInd/>
              <w:snapToGrid/>
              <w:spacing w:line="400" w:lineRule="exact"/>
              <w:ind w:left="6" w:leftChars="3" w:firstLine="486" w:firstLineChars="200"/>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rPr>
              <w:t>合同签订后</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个月完成供货到院及安装调试并验收合格。</w:t>
            </w:r>
          </w:p>
        </w:tc>
      </w:tr>
      <w:tr w14:paraId="22566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05" w:type="dxa"/>
            <w:tcBorders>
              <w:top w:val="single" w:color="auto" w:sz="6" w:space="0"/>
              <w:left w:val="double" w:color="auto" w:sz="4" w:space="0"/>
              <w:bottom w:val="single" w:color="auto" w:sz="6" w:space="0"/>
              <w:right w:val="single" w:color="auto" w:sz="6" w:space="0"/>
            </w:tcBorders>
            <w:vAlign w:val="center"/>
          </w:tcPr>
          <w:p w14:paraId="03770431">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w:t>
            </w:r>
          </w:p>
        </w:tc>
        <w:tc>
          <w:tcPr>
            <w:tcW w:w="7826" w:type="dxa"/>
            <w:gridSpan w:val="3"/>
            <w:tcBorders>
              <w:top w:val="single" w:color="auto" w:sz="6" w:space="0"/>
              <w:left w:val="single" w:color="auto" w:sz="6" w:space="0"/>
              <w:bottom w:val="single" w:color="auto" w:sz="6" w:space="0"/>
              <w:right w:val="double" w:color="auto" w:sz="4" w:space="0"/>
            </w:tcBorders>
            <w:vAlign w:val="center"/>
          </w:tcPr>
          <w:p w14:paraId="1ADE7EEB">
            <w:pPr>
              <w:spacing w:line="420" w:lineRule="exact"/>
              <w:rPr>
                <w:rFonts w:hint="eastAsia" w:ascii="宋体" w:hAnsi="宋体" w:eastAsia="宋体" w:cs="宋体"/>
                <w:iCs/>
                <w:color w:val="auto"/>
                <w:sz w:val="24"/>
                <w:szCs w:val="24"/>
                <w:highlight w:val="none"/>
              </w:rPr>
            </w:pPr>
          </w:p>
        </w:tc>
      </w:tr>
      <w:tr w14:paraId="7DB0DB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905" w:type="dxa"/>
            <w:tcBorders>
              <w:top w:val="single" w:color="auto" w:sz="6" w:space="0"/>
              <w:left w:val="double" w:color="auto" w:sz="4" w:space="0"/>
              <w:bottom w:val="double" w:color="auto" w:sz="4" w:space="0"/>
              <w:right w:val="single" w:color="auto" w:sz="6" w:space="0"/>
            </w:tcBorders>
            <w:vAlign w:val="center"/>
          </w:tcPr>
          <w:p w14:paraId="28DBB034">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c>
          <w:tcPr>
            <w:tcW w:w="7826" w:type="dxa"/>
            <w:gridSpan w:val="3"/>
            <w:tcBorders>
              <w:top w:val="single" w:color="auto" w:sz="6" w:space="0"/>
              <w:left w:val="single" w:color="auto" w:sz="6" w:space="0"/>
              <w:bottom w:val="double" w:color="auto" w:sz="4" w:space="0"/>
              <w:right w:val="double" w:color="auto" w:sz="4" w:space="0"/>
            </w:tcBorders>
            <w:vAlign w:val="center"/>
          </w:tcPr>
          <w:p w14:paraId="777C423E">
            <w:pPr>
              <w:spacing w:line="420" w:lineRule="exact"/>
              <w:rPr>
                <w:rFonts w:hint="eastAsia" w:ascii="宋体" w:hAnsi="宋体" w:eastAsia="宋体" w:cs="宋体"/>
                <w:color w:val="auto"/>
                <w:sz w:val="24"/>
                <w:szCs w:val="24"/>
                <w:highlight w:val="none"/>
              </w:rPr>
            </w:pPr>
          </w:p>
        </w:tc>
      </w:tr>
    </w:tbl>
    <w:p w14:paraId="5B7C7533">
      <w:pPr>
        <w:adjustRightInd w:val="0"/>
        <w:snapToGrid w:val="0"/>
        <w:spacing w:before="156" w:beforeLines="50" w:line="360" w:lineRule="auto"/>
        <w:ind w:firstLine="426"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Style w:val="52"/>
          <w:rFonts w:hint="eastAsia" w:ascii="宋体" w:hAnsi="宋体" w:eastAsia="宋体" w:cs="宋体"/>
          <w:color w:val="auto"/>
          <w:sz w:val="21"/>
          <w:szCs w:val="21"/>
          <w:highlight w:val="none"/>
          <w:lang w:val="en-US" w:eastAsia="zh-CN"/>
        </w:rPr>
        <w:t>投标报价为</w:t>
      </w:r>
      <w:r>
        <w:rPr>
          <w:rFonts w:hint="eastAsia" w:ascii="宋体" w:hAnsi="宋体" w:eastAsia="宋体" w:cs="宋体"/>
          <w:b w:val="0"/>
          <w:bCs w:val="0"/>
          <w:color w:val="auto"/>
          <w:kern w:val="2"/>
          <w:sz w:val="21"/>
          <w:szCs w:val="21"/>
          <w:highlight w:val="none"/>
          <w:lang w:val="en-US" w:eastAsia="zh-CN" w:bidi="ar-SA"/>
        </w:rPr>
        <w:t>报总价</w:t>
      </w:r>
      <w:r>
        <w:rPr>
          <w:rStyle w:val="52"/>
          <w:rFonts w:hint="eastAsia" w:ascii="宋体" w:hAnsi="宋体" w:eastAsia="宋体" w:cs="宋体"/>
          <w:color w:val="auto"/>
          <w:sz w:val="21"/>
          <w:szCs w:val="21"/>
          <w:highlight w:val="none"/>
          <w:lang w:val="en-US" w:eastAsia="zh-CN"/>
        </w:rPr>
        <w:t>，</w:t>
      </w:r>
      <w:r>
        <w:rPr>
          <w:rStyle w:val="52"/>
          <w:rFonts w:hint="eastAsia" w:ascii="宋体" w:hAnsi="宋体" w:eastAsia="宋体" w:cs="宋体"/>
          <w:bCs/>
          <w:color w:val="auto"/>
          <w:sz w:val="21"/>
          <w:szCs w:val="21"/>
          <w:highlight w:val="none"/>
          <w:lang w:val="en-US" w:eastAsia="zh-CN"/>
        </w:rPr>
        <w:t>投标报价保留至小数点后2位，第3位四舍五入。</w:t>
      </w:r>
    </w:p>
    <w:p w14:paraId="398E1EC2">
      <w:pPr>
        <w:numPr>
          <w:ilvl w:val="0"/>
          <w:numId w:val="28"/>
        </w:numPr>
        <w:adjustRightInd w:val="0"/>
        <w:snapToGrid w:val="0"/>
        <w:spacing w:before="156" w:beforeLines="50" w:line="360" w:lineRule="auto"/>
        <w:ind w:firstLine="426"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本项目采用费用包干方式，投标人应根据项目要求和现场情况，详细列明项目所需的人工、管理、保险、财务等所有费用，如一旦中标，在项目实施中出现任何遗漏，均由中标人免费提供，采购人不再支付任何费用。</w:t>
      </w:r>
    </w:p>
    <w:p w14:paraId="735DAC47">
      <w:pPr>
        <w:bidi w:val="0"/>
        <w:ind w:firstLine="426"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highlight w:val="none"/>
        </w:rPr>
        <w:t>最终报价（现场填写总价，</w:t>
      </w:r>
      <w:r>
        <w:rPr>
          <w:rFonts w:hint="eastAsia" w:ascii="宋体" w:hAnsi="宋体" w:eastAsia="宋体" w:cs="宋体"/>
          <w:b/>
          <w:bCs/>
          <w:color w:val="auto"/>
          <w:sz w:val="22"/>
          <w:szCs w:val="28"/>
          <w:highlight w:val="none"/>
        </w:rPr>
        <w:t>最后报价表不密封在响应文件中</w:t>
      </w:r>
      <w:r>
        <w:rPr>
          <w:rFonts w:hint="eastAsia" w:ascii="宋体" w:hAnsi="宋体" w:eastAsia="宋体" w:cs="宋体"/>
          <w:color w:val="auto"/>
          <w:highlight w:val="none"/>
        </w:rPr>
        <w:t>，</w:t>
      </w:r>
      <w:r>
        <w:rPr>
          <w:rFonts w:hint="eastAsia" w:ascii="宋体" w:hAnsi="宋体" w:eastAsia="宋体" w:cs="宋体"/>
          <w:b/>
          <w:color w:val="auto"/>
          <w:szCs w:val="21"/>
          <w:highlight w:val="none"/>
        </w:rPr>
        <w:t>本表格可单独打印并加盖公章，经磋商后，</w:t>
      </w:r>
      <w:r>
        <w:rPr>
          <w:rFonts w:hint="eastAsia" w:ascii="宋体" w:hAnsi="宋体" w:eastAsia="宋体" w:cs="宋体"/>
          <w:color w:val="auto"/>
          <w:highlight w:val="none"/>
        </w:rPr>
        <w:t>在开标后的报价环节</w:t>
      </w:r>
      <w:r>
        <w:rPr>
          <w:rFonts w:hint="eastAsia" w:ascii="宋体" w:hAnsi="宋体" w:eastAsia="宋体" w:cs="宋体"/>
          <w:b/>
          <w:color w:val="auto"/>
          <w:szCs w:val="21"/>
          <w:highlight w:val="none"/>
        </w:rPr>
        <w:t>现场</w:t>
      </w:r>
      <w:r>
        <w:rPr>
          <w:rFonts w:hint="eastAsia" w:ascii="宋体" w:hAnsi="宋体" w:eastAsia="宋体" w:cs="宋体"/>
          <w:color w:val="auto"/>
          <w:highlight w:val="none"/>
        </w:rPr>
        <w:t>另行提交；最后报价表也可由采购代理机构于磋商现场提供）。二次报价〈最终报价〉前请供应商授权代表牢记本单位第一次报价，二次报价〈最终报价〉高于第一次报价视为无效报价。）</w:t>
      </w:r>
    </w:p>
    <w:p w14:paraId="45D7AF56">
      <w:pPr>
        <w:pStyle w:val="49"/>
        <w:numPr>
          <w:ilvl w:val="0"/>
          <w:numId w:val="0"/>
        </w:numPr>
        <w:rPr>
          <w:rFonts w:hint="eastAsia"/>
          <w:color w:val="auto"/>
          <w:highlight w:val="none"/>
        </w:rPr>
      </w:pPr>
    </w:p>
    <w:p w14:paraId="0D837A87">
      <w:pPr>
        <w:pStyle w:val="31"/>
        <w:bidi w:val="0"/>
        <w:spacing w:line="360" w:lineRule="auto"/>
        <w:ind w:left="0" w:leftChars="0" w:firstLine="486"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供应商（盖单位章）：</w:t>
      </w:r>
    </w:p>
    <w:p w14:paraId="5C50C057">
      <w:pPr>
        <w:pStyle w:val="31"/>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法定代表人或其委托代理人签字：       </w:t>
      </w:r>
    </w:p>
    <w:p w14:paraId="6D442557">
      <w:pPr>
        <w:pStyle w:val="31"/>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1D15F693">
      <w:pPr>
        <w:jc w:val="center"/>
        <w:rPr>
          <w:b/>
          <w:bCs/>
          <w:color w:val="auto"/>
          <w:sz w:val="28"/>
          <w:szCs w:val="36"/>
          <w:highlight w:val="none"/>
          <w:u w:val="single"/>
        </w:rPr>
      </w:pPr>
      <w:r>
        <w:rPr>
          <w:rFonts w:hint="eastAsia" w:ascii="宋体" w:hAnsi="宋体" w:eastAsia="宋体" w:cs="Times New Roman"/>
          <w:b/>
          <w:bCs/>
          <w:color w:val="auto"/>
          <w:sz w:val="28"/>
          <w:szCs w:val="28"/>
          <w:highlight w:val="none"/>
          <w:u w:val="single"/>
          <w:lang w:val="en-US" w:eastAsia="zh-CN"/>
        </w:rPr>
        <w:t>不密封在响应文件中，开标现场提供</w:t>
      </w:r>
      <w:r>
        <w:rPr>
          <w:rFonts w:hint="eastAsia" w:ascii="宋体" w:hAnsi="宋体"/>
          <w:b/>
          <w:bCs/>
          <w:color w:val="auto"/>
          <w:sz w:val="28"/>
          <w:szCs w:val="28"/>
          <w:highlight w:val="none"/>
          <w:u w:val="single"/>
          <w:lang w:val="en-US" w:eastAsia="zh-CN"/>
        </w:rPr>
        <w:t>。</w:t>
      </w:r>
    </w:p>
    <w:p w14:paraId="73DE7350">
      <w:pPr>
        <w:rPr>
          <w:rFonts w:hint="eastAsia" w:ascii="宋体" w:hAnsi="宋体" w:eastAsia="宋体" w:cs="宋体"/>
          <w:color w:val="auto"/>
          <w:highlight w:val="none"/>
        </w:rPr>
      </w:pPr>
    </w:p>
    <w:p w14:paraId="1220EBDA">
      <w:pPr>
        <w:pStyle w:val="4"/>
        <w:bidi w:val="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分项</w:t>
      </w:r>
      <w:r>
        <w:rPr>
          <w:rFonts w:hint="eastAsia" w:ascii="宋体" w:hAnsi="宋体" w:eastAsia="宋体" w:cs="宋体"/>
          <w:color w:val="auto"/>
          <w:sz w:val="28"/>
          <w:szCs w:val="28"/>
          <w:highlight w:val="none"/>
          <w:lang w:eastAsia="zh-CN"/>
        </w:rPr>
        <w:t>报价明细表</w:t>
      </w:r>
    </w:p>
    <w:p w14:paraId="6060FA52">
      <w:pPr>
        <w:autoSpaceDE w:val="0"/>
        <w:autoSpaceDN w:val="0"/>
        <w:adjustRightInd w:val="0"/>
        <w:snapToGrid w:val="0"/>
        <w:spacing w:line="360" w:lineRule="auto"/>
        <w:ind w:right="-20"/>
        <w:jc w:val="center"/>
        <w:outlineLvl w:val="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eastAsia="宋体" w:cs="宋体"/>
          <w:b/>
          <w:color w:val="auto"/>
          <w:spacing w:val="-2"/>
          <w:kern w:val="0"/>
          <w:sz w:val="24"/>
          <w:szCs w:val="24"/>
          <w:highlight w:val="none"/>
        </w:rPr>
        <w:t>分</w:t>
      </w:r>
      <w:r>
        <w:rPr>
          <w:rFonts w:hint="eastAsia" w:ascii="宋体" w:hAnsi="宋体" w:eastAsia="宋体" w:cs="宋体"/>
          <w:b/>
          <w:color w:val="auto"/>
          <w:kern w:val="0"/>
          <w:sz w:val="24"/>
          <w:szCs w:val="24"/>
          <w:highlight w:val="none"/>
        </w:rPr>
        <w:t>项</w:t>
      </w:r>
      <w:r>
        <w:rPr>
          <w:rFonts w:hint="eastAsia" w:ascii="宋体" w:hAnsi="宋体" w:eastAsia="宋体" w:cs="宋体"/>
          <w:b/>
          <w:color w:val="auto"/>
          <w:spacing w:val="-2"/>
          <w:kern w:val="0"/>
          <w:sz w:val="24"/>
          <w:szCs w:val="24"/>
          <w:highlight w:val="none"/>
        </w:rPr>
        <w:t>报</w:t>
      </w:r>
      <w:r>
        <w:rPr>
          <w:rFonts w:hint="eastAsia" w:ascii="宋体" w:hAnsi="宋体" w:eastAsia="宋体" w:cs="宋体"/>
          <w:b/>
          <w:color w:val="auto"/>
          <w:kern w:val="0"/>
          <w:sz w:val="24"/>
          <w:szCs w:val="24"/>
          <w:highlight w:val="none"/>
        </w:rPr>
        <w:t>价</w:t>
      </w:r>
      <w:r>
        <w:rPr>
          <w:rFonts w:hint="eastAsia" w:ascii="宋体" w:hAnsi="宋体" w:eastAsia="宋体" w:cs="宋体"/>
          <w:b/>
          <w:color w:val="auto"/>
          <w:spacing w:val="-2"/>
          <w:kern w:val="0"/>
          <w:sz w:val="24"/>
          <w:szCs w:val="24"/>
          <w:highlight w:val="none"/>
        </w:rPr>
        <w:t>表</w:t>
      </w:r>
      <w:r>
        <w:rPr>
          <w:rFonts w:hint="eastAsia" w:ascii="宋体" w:hAnsi="宋体" w:eastAsia="宋体" w:cs="宋体"/>
          <w:b/>
          <w:color w:val="auto"/>
          <w:kern w:val="0"/>
          <w:sz w:val="24"/>
          <w:szCs w:val="24"/>
          <w:highlight w:val="none"/>
        </w:rPr>
        <w:t>说明</w:t>
      </w:r>
    </w:p>
    <w:p w14:paraId="6444AD2A">
      <w:pPr>
        <w:adjustRightInd w:val="0"/>
        <w:snapToGrid w:val="0"/>
        <w:spacing w:line="360" w:lineRule="auto"/>
        <w:ind w:firstLine="486" w:firstLineChars="200"/>
        <w:rPr>
          <w:rFonts w:hint="eastAsia" w:ascii="宋体" w:hAnsi="宋体" w:eastAsia="宋体" w:cs="宋体"/>
          <w:color w:val="auto"/>
          <w:highlight w:val="none"/>
          <w:lang w:val="en-US" w:eastAsia="zh-CN"/>
        </w:rPr>
      </w:pPr>
      <w:r>
        <w:rPr>
          <w:rFonts w:hint="eastAsia" w:ascii="宋体" w:hAnsi="宋体" w:eastAsia="宋体" w:cs="宋体"/>
          <w:b/>
          <w:bCs/>
          <w:color w:val="auto"/>
          <w:sz w:val="24"/>
          <w:szCs w:val="24"/>
          <w:highlight w:val="none"/>
        </w:rPr>
        <w:t>备注：</w:t>
      </w:r>
      <w:r>
        <w:rPr>
          <w:rFonts w:hint="eastAsia" w:ascii="宋体" w:hAnsi="宋体" w:eastAsia="宋体" w:cs="宋体"/>
          <w:b/>
          <w:bCs/>
          <w:color w:val="auto"/>
          <w:sz w:val="24"/>
          <w:szCs w:val="24"/>
          <w:highlight w:val="none"/>
          <w:lang w:val="en-US" w:eastAsia="zh-CN"/>
        </w:rPr>
        <w:t>按照采购需求中的清单进行报价。</w:t>
      </w:r>
    </w:p>
    <w:p w14:paraId="123F044E">
      <w:pPr>
        <w:autoSpaceDE w:val="0"/>
        <w:autoSpaceDN w:val="0"/>
        <w:adjustRightInd w:val="0"/>
        <w:snapToGrid w:val="0"/>
        <w:spacing w:line="360" w:lineRule="auto"/>
        <w:ind w:right="-20"/>
        <w:jc w:val="center"/>
        <w:outlineLvl w:val="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position w:val="-3"/>
          <w:sz w:val="24"/>
          <w:szCs w:val="24"/>
          <w:highlight w:val="none"/>
        </w:rPr>
        <w:t>2、</w:t>
      </w:r>
      <w:r>
        <w:rPr>
          <w:rFonts w:hint="eastAsia" w:ascii="宋体" w:hAnsi="宋体" w:eastAsia="宋体" w:cs="宋体"/>
          <w:b/>
          <w:color w:val="auto"/>
          <w:spacing w:val="-2"/>
          <w:kern w:val="0"/>
          <w:position w:val="-3"/>
          <w:sz w:val="24"/>
          <w:szCs w:val="24"/>
          <w:highlight w:val="none"/>
        </w:rPr>
        <w:t>分</w:t>
      </w:r>
      <w:r>
        <w:rPr>
          <w:rFonts w:hint="eastAsia" w:ascii="宋体" w:hAnsi="宋体" w:eastAsia="宋体" w:cs="宋体"/>
          <w:b/>
          <w:color w:val="auto"/>
          <w:kern w:val="0"/>
          <w:position w:val="-3"/>
          <w:sz w:val="24"/>
          <w:szCs w:val="24"/>
          <w:highlight w:val="none"/>
        </w:rPr>
        <w:t>项</w:t>
      </w:r>
      <w:r>
        <w:rPr>
          <w:rFonts w:hint="eastAsia" w:ascii="宋体" w:hAnsi="宋体" w:eastAsia="宋体" w:cs="宋体"/>
          <w:b/>
          <w:color w:val="auto"/>
          <w:spacing w:val="-2"/>
          <w:kern w:val="0"/>
          <w:position w:val="-3"/>
          <w:sz w:val="24"/>
          <w:szCs w:val="24"/>
          <w:highlight w:val="none"/>
        </w:rPr>
        <w:t>报</w:t>
      </w:r>
      <w:r>
        <w:rPr>
          <w:rFonts w:hint="eastAsia" w:ascii="宋体" w:hAnsi="宋体" w:eastAsia="宋体" w:cs="宋体"/>
          <w:b/>
          <w:color w:val="auto"/>
          <w:kern w:val="0"/>
          <w:position w:val="-3"/>
          <w:sz w:val="24"/>
          <w:szCs w:val="24"/>
          <w:highlight w:val="none"/>
        </w:rPr>
        <w:t>价表</w:t>
      </w:r>
    </w:p>
    <w:p w14:paraId="13D7C44F">
      <w:pPr>
        <w:rPr>
          <w:rFonts w:hint="eastAsia" w:ascii="宋体" w:hAnsi="宋体" w:eastAsia="宋体" w:cs="宋体"/>
          <w:color w:val="auto"/>
          <w:highlight w:val="none"/>
          <w:lang w:eastAsia="zh-CN"/>
        </w:rPr>
      </w:pPr>
    </w:p>
    <w:p w14:paraId="7F2BFA3C">
      <w:pPr>
        <w:keepNext w:val="0"/>
        <w:keepLines w:val="0"/>
        <w:pageBreakBefore w:val="0"/>
        <w:widowControl w:val="0"/>
        <w:kinsoku/>
        <w:wordWrap w:val="0"/>
        <w:overflowPunct/>
        <w:topLinePunct w:val="0"/>
        <w:bidi w:val="0"/>
        <w:adjustRightInd w:val="0"/>
        <w:snapToGrid w:val="0"/>
        <w:spacing w:before="0" w:beforeLines="0" w:line="360" w:lineRule="auto"/>
        <w:ind w:left="-89" w:leftChars="-42"/>
        <w:jc w:val="both"/>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kern w:val="2"/>
          <w:sz w:val="24"/>
          <w:szCs w:val="24"/>
          <w:highlight w:val="none"/>
          <w:lang w:val="en-US" w:eastAsia="zh-CN" w:bidi="ar-SA"/>
        </w:rPr>
        <w:t>政府采购计划编号：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p>
    <w:tbl>
      <w:tblPr>
        <w:tblStyle w:val="50"/>
        <w:tblW w:w="5085" w:type="pct"/>
        <w:jc w:val="center"/>
        <w:tblLayout w:type="autofit"/>
        <w:tblCellMar>
          <w:top w:w="0" w:type="dxa"/>
          <w:left w:w="0" w:type="dxa"/>
          <w:bottom w:w="0" w:type="dxa"/>
          <w:right w:w="0" w:type="dxa"/>
        </w:tblCellMar>
      </w:tblPr>
      <w:tblGrid>
        <w:gridCol w:w="717"/>
        <w:gridCol w:w="2210"/>
        <w:gridCol w:w="577"/>
        <w:gridCol w:w="1217"/>
        <w:gridCol w:w="994"/>
        <w:gridCol w:w="619"/>
        <w:gridCol w:w="945"/>
        <w:gridCol w:w="1041"/>
        <w:gridCol w:w="1052"/>
      </w:tblGrid>
      <w:tr w14:paraId="4784E569">
        <w:tblPrEx>
          <w:tblCellMar>
            <w:top w:w="0" w:type="dxa"/>
            <w:left w:w="0" w:type="dxa"/>
            <w:bottom w:w="0" w:type="dxa"/>
            <w:right w:w="0" w:type="dxa"/>
          </w:tblCellMar>
        </w:tblPrEx>
        <w:trPr>
          <w:trHeight w:val="850" w:hRule="atLeast"/>
          <w:jc w:val="center"/>
        </w:trPr>
        <w:tc>
          <w:tcPr>
            <w:tcW w:w="383" w:type="pct"/>
            <w:tcBorders>
              <w:top w:val="double" w:color="auto" w:sz="4" w:space="0"/>
              <w:left w:val="double" w:color="auto" w:sz="4" w:space="0"/>
              <w:bottom w:val="single" w:color="auto" w:sz="6" w:space="0"/>
              <w:right w:val="single" w:color="auto" w:sz="6" w:space="0"/>
            </w:tcBorders>
            <w:noWrap w:val="0"/>
            <w:vAlign w:val="center"/>
          </w:tcPr>
          <w:p w14:paraId="684EA252">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position w:val="-1"/>
                <w:sz w:val="24"/>
                <w:szCs w:val="24"/>
                <w:highlight w:val="none"/>
              </w:rPr>
              <w:t>序号</w:t>
            </w:r>
          </w:p>
        </w:tc>
        <w:tc>
          <w:tcPr>
            <w:tcW w:w="1179" w:type="pct"/>
            <w:tcBorders>
              <w:top w:val="double" w:color="auto" w:sz="4" w:space="0"/>
              <w:left w:val="single" w:color="auto" w:sz="6" w:space="0"/>
              <w:bottom w:val="single" w:color="auto" w:sz="6" w:space="0"/>
              <w:right w:val="single" w:color="auto" w:sz="6" w:space="0"/>
            </w:tcBorders>
            <w:noWrap w:val="0"/>
            <w:vAlign w:val="center"/>
          </w:tcPr>
          <w:p w14:paraId="5EC035A8">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position w:val="-1"/>
                <w:sz w:val="24"/>
                <w:szCs w:val="24"/>
                <w:highlight w:val="none"/>
              </w:rPr>
              <w:t>分项名称</w:t>
            </w:r>
          </w:p>
        </w:tc>
        <w:tc>
          <w:tcPr>
            <w:tcW w:w="308" w:type="pct"/>
            <w:tcBorders>
              <w:top w:val="double" w:color="auto" w:sz="4" w:space="0"/>
              <w:left w:val="single" w:color="auto" w:sz="6" w:space="0"/>
              <w:bottom w:val="single" w:color="auto" w:sz="6" w:space="0"/>
              <w:right w:val="single" w:color="auto" w:sz="6" w:space="0"/>
            </w:tcBorders>
            <w:noWrap w:val="0"/>
            <w:vAlign w:val="center"/>
          </w:tcPr>
          <w:p w14:paraId="6BE083E9">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position w:val="-1"/>
                <w:sz w:val="24"/>
                <w:szCs w:val="24"/>
                <w:highlight w:val="none"/>
              </w:rPr>
            </w:pPr>
            <w:r>
              <w:rPr>
                <w:rFonts w:hint="eastAsia" w:ascii="宋体" w:hAnsi="宋体" w:eastAsia="宋体" w:cs="宋体"/>
                <w:b/>
                <w:bCs/>
                <w:color w:val="auto"/>
                <w:kern w:val="0"/>
                <w:position w:val="-1"/>
                <w:sz w:val="24"/>
                <w:szCs w:val="24"/>
                <w:highlight w:val="none"/>
              </w:rPr>
              <w:t>单位</w:t>
            </w:r>
          </w:p>
        </w:tc>
        <w:tc>
          <w:tcPr>
            <w:tcW w:w="649" w:type="pct"/>
            <w:tcBorders>
              <w:top w:val="double" w:color="auto" w:sz="4" w:space="0"/>
              <w:left w:val="single" w:color="auto" w:sz="6" w:space="0"/>
              <w:bottom w:val="single" w:color="auto" w:sz="6" w:space="0"/>
              <w:right w:val="single" w:color="auto" w:sz="6" w:space="0"/>
            </w:tcBorders>
            <w:noWrap w:val="0"/>
            <w:vAlign w:val="center"/>
          </w:tcPr>
          <w:p w14:paraId="1B9703ED">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position w:val="-1"/>
                <w:sz w:val="24"/>
                <w:szCs w:val="24"/>
                <w:highlight w:val="none"/>
              </w:rPr>
            </w:pPr>
            <w:r>
              <w:rPr>
                <w:rFonts w:hint="eastAsia" w:ascii="宋体" w:hAnsi="宋体" w:eastAsia="宋体" w:cs="宋体"/>
                <w:b/>
                <w:bCs/>
                <w:color w:val="auto"/>
                <w:kern w:val="0"/>
                <w:position w:val="-1"/>
                <w:sz w:val="24"/>
                <w:szCs w:val="24"/>
                <w:highlight w:val="none"/>
              </w:rPr>
              <w:t>规格型号</w:t>
            </w:r>
          </w:p>
        </w:tc>
        <w:tc>
          <w:tcPr>
            <w:tcW w:w="530" w:type="pct"/>
            <w:tcBorders>
              <w:top w:val="double" w:color="auto" w:sz="4" w:space="0"/>
              <w:left w:val="single" w:color="auto" w:sz="6" w:space="0"/>
              <w:bottom w:val="single" w:color="auto" w:sz="6" w:space="0"/>
              <w:right w:val="single" w:color="auto" w:sz="6" w:space="0"/>
            </w:tcBorders>
            <w:noWrap w:val="0"/>
            <w:vAlign w:val="center"/>
          </w:tcPr>
          <w:p w14:paraId="43C3A23F">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position w:val="-1"/>
                <w:sz w:val="24"/>
                <w:szCs w:val="24"/>
                <w:highlight w:val="none"/>
              </w:rPr>
            </w:pPr>
            <w:r>
              <w:rPr>
                <w:rFonts w:hint="eastAsia" w:ascii="宋体" w:hAnsi="宋体" w:eastAsia="宋体" w:cs="宋体"/>
                <w:b/>
                <w:bCs/>
                <w:color w:val="auto"/>
                <w:kern w:val="0"/>
                <w:position w:val="-1"/>
                <w:sz w:val="24"/>
                <w:szCs w:val="24"/>
                <w:highlight w:val="none"/>
              </w:rPr>
              <w:t>品牌</w:t>
            </w:r>
          </w:p>
        </w:tc>
        <w:tc>
          <w:tcPr>
            <w:tcW w:w="330" w:type="pct"/>
            <w:tcBorders>
              <w:top w:val="double" w:color="auto" w:sz="4" w:space="0"/>
              <w:left w:val="single" w:color="auto" w:sz="6" w:space="0"/>
              <w:bottom w:val="single" w:color="auto" w:sz="6" w:space="0"/>
              <w:right w:val="single" w:color="auto" w:sz="6" w:space="0"/>
            </w:tcBorders>
            <w:noWrap w:val="0"/>
            <w:vAlign w:val="center"/>
          </w:tcPr>
          <w:p w14:paraId="234E5B72">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position w:val="-1"/>
                <w:sz w:val="24"/>
                <w:szCs w:val="24"/>
                <w:highlight w:val="none"/>
              </w:rPr>
              <w:t>数量</w:t>
            </w:r>
          </w:p>
        </w:tc>
        <w:tc>
          <w:tcPr>
            <w:tcW w:w="504" w:type="pct"/>
            <w:tcBorders>
              <w:top w:val="double" w:color="auto" w:sz="4" w:space="0"/>
              <w:left w:val="single" w:color="auto" w:sz="6" w:space="0"/>
              <w:bottom w:val="single" w:color="auto" w:sz="6" w:space="0"/>
              <w:right w:val="single" w:color="auto" w:sz="6" w:space="0"/>
            </w:tcBorders>
            <w:noWrap w:val="0"/>
            <w:vAlign w:val="center"/>
          </w:tcPr>
          <w:p w14:paraId="7A22B31F">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position w:val="-1"/>
                <w:sz w:val="24"/>
                <w:szCs w:val="24"/>
                <w:highlight w:val="none"/>
              </w:rPr>
              <w:t>单价（元）</w:t>
            </w:r>
          </w:p>
        </w:tc>
        <w:tc>
          <w:tcPr>
            <w:tcW w:w="553" w:type="pct"/>
            <w:tcBorders>
              <w:top w:val="double" w:color="auto" w:sz="4" w:space="0"/>
              <w:left w:val="single" w:color="auto" w:sz="6" w:space="0"/>
              <w:bottom w:val="single" w:color="auto" w:sz="6" w:space="0"/>
              <w:right w:val="single" w:color="auto" w:sz="6" w:space="0"/>
            </w:tcBorders>
            <w:noWrap w:val="0"/>
            <w:vAlign w:val="center"/>
          </w:tcPr>
          <w:p w14:paraId="434FC63E">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position w:val="-1"/>
                <w:sz w:val="24"/>
                <w:szCs w:val="24"/>
                <w:highlight w:val="none"/>
              </w:rPr>
              <w:t>总价（元）</w:t>
            </w:r>
          </w:p>
        </w:tc>
        <w:tc>
          <w:tcPr>
            <w:tcW w:w="561" w:type="pct"/>
            <w:tcBorders>
              <w:top w:val="double" w:color="auto" w:sz="4" w:space="0"/>
              <w:left w:val="single" w:color="auto" w:sz="6" w:space="0"/>
              <w:bottom w:val="single" w:color="auto" w:sz="6" w:space="0"/>
              <w:right w:val="double" w:color="auto" w:sz="4" w:space="0"/>
            </w:tcBorders>
            <w:noWrap w:val="0"/>
            <w:vAlign w:val="center"/>
          </w:tcPr>
          <w:p w14:paraId="438B3336">
            <w:pPr>
              <w:keepNext w:val="0"/>
              <w:keepLines w:val="0"/>
              <w:pageBreakBefore w:val="0"/>
              <w:widowControl w:val="0"/>
              <w:kinsoku/>
              <w:wordWrap w:val="0"/>
              <w:overflowPunct/>
              <w:topLinePunct w:val="0"/>
              <w:autoSpaceDE w:val="0"/>
              <w:autoSpaceDN w:val="0"/>
              <w:bidi w:val="0"/>
              <w:adjustRightInd w:val="0"/>
              <w:snapToGrid w:val="0"/>
              <w:spacing w:line="240" w:lineRule="auto"/>
              <w:ind w:right="-2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position w:val="-1"/>
                <w:sz w:val="24"/>
                <w:szCs w:val="24"/>
                <w:highlight w:val="none"/>
              </w:rPr>
              <w:t>备注</w:t>
            </w:r>
          </w:p>
        </w:tc>
      </w:tr>
      <w:tr w14:paraId="1E3F120F">
        <w:tblPrEx>
          <w:tblCellMar>
            <w:top w:w="0" w:type="dxa"/>
            <w:left w:w="0" w:type="dxa"/>
            <w:bottom w:w="0" w:type="dxa"/>
            <w:right w:w="0" w:type="dxa"/>
          </w:tblCellMar>
        </w:tblPrEx>
        <w:trPr>
          <w:trHeight w:val="850" w:hRule="atLeast"/>
          <w:jc w:val="center"/>
        </w:trPr>
        <w:tc>
          <w:tcPr>
            <w:tcW w:w="383" w:type="pct"/>
            <w:tcBorders>
              <w:top w:val="single" w:color="auto" w:sz="6" w:space="0"/>
              <w:left w:val="double" w:color="auto" w:sz="4" w:space="0"/>
              <w:bottom w:val="single" w:color="auto" w:sz="6" w:space="0"/>
              <w:right w:val="single" w:color="auto" w:sz="6" w:space="0"/>
            </w:tcBorders>
            <w:noWrap w:val="0"/>
            <w:vAlign w:val="center"/>
          </w:tcPr>
          <w:p w14:paraId="5963E74C">
            <w:pPr>
              <w:keepNext w:val="0"/>
              <w:keepLines w:val="0"/>
              <w:pageBreakBefore w:val="0"/>
              <w:widowControl w:val="0"/>
              <w:kinsoku/>
              <w:wordWrap w:val="0"/>
              <w:overflowPunct/>
              <w:topLinePunct w:val="0"/>
              <w:autoSpaceDE w:val="0"/>
              <w:autoSpaceDN w:val="0"/>
              <w:bidi w:val="0"/>
              <w:adjustRightInd w:val="0"/>
              <w:snapToGrid w:val="0"/>
              <w:spacing w:line="240" w:lineRule="auto"/>
              <w:ind w:left="258" w:right="241"/>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179" w:type="pct"/>
            <w:tcBorders>
              <w:top w:val="single" w:color="auto" w:sz="6" w:space="0"/>
              <w:left w:val="single" w:color="auto" w:sz="6" w:space="0"/>
              <w:bottom w:val="single" w:color="auto" w:sz="6" w:space="0"/>
              <w:right w:val="single" w:color="auto" w:sz="6" w:space="0"/>
            </w:tcBorders>
            <w:noWrap w:val="0"/>
            <w:vAlign w:val="center"/>
          </w:tcPr>
          <w:p w14:paraId="0D040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308" w:type="pct"/>
            <w:tcBorders>
              <w:top w:val="single" w:color="auto" w:sz="6" w:space="0"/>
              <w:left w:val="single" w:color="auto" w:sz="6" w:space="0"/>
              <w:bottom w:val="single" w:color="auto" w:sz="6" w:space="0"/>
              <w:right w:val="single" w:color="auto" w:sz="6" w:space="0"/>
            </w:tcBorders>
            <w:noWrap w:val="0"/>
            <w:vAlign w:val="center"/>
          </w:tcPr>
          <w:p w14:paraId="3EAE8EED">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649" w:type="pct"/>
            <w:tcBorders>
              <w:top w:val="single" w:color="auto" w:sz="6" w:space="0"/>
              <w:left w:val="single" w:color="auto" w:sz="6" w:space="0"/>
              <w:bottom w:val="single" w:color="auto" w:sz="6" w:space="0"/>
              <w:right w:val="single" w:color="auto" w:sz="6" w:space="0"/>
            </w:tcBorders>
            <w:noWrap w:val="0"/>
            <w:vAlign w:val="center"/>
          </w:tcPr>
          <w:p w14:paraId="03D7C013">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30" w:type="pct"/>
            <w:tcBorders>
              <w:top w:val="single" w:color="auto" w:sz="6" w:space="0"/>
              <w:left w:val="single" w:color="auto" w:sz="6" w:space="0"/>
              <w:bottom w:val="single" w:color="auto" w:sz="6" w:space="0"/>
              <w:right w:val="single" w:color="auto" w:sz="6" w:space="0"/>
            </w:tcBorders>
            <w:noWrap w:val="0"/>
            <w:vAlign w:val="center"/>
          </w:tcPr>
          <w:p w14:paraId="64056FF2">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330" w:type="pct"/>
            <w:tcBorders>
              <w:top w:val="single" w:color="auto" w:sz="6" w:space="0"/>
              <w:left w:val="single" w:color="auto" w:sz="6" w:space="0"/>
              <w:bottom w:val="single" w:color="auto" w:sz="6" w:space="0"/>
              <w:right w:val="single" w:color="auto" w:sz="6" w:space="0"/>
            </w:tcBorders>
            <w:noWrap w:val="0"/>
            <w:vAlign w:val="center"/>
          </w:tcPr>
          <w:p w14:paraId="30CF10CA">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21433178">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53" w:type="pct"/>
            <w:tcBorders>
              <w:top w:val="single" w:color="auto" w:sz="6" w:space="0"/>
              <w:left w:val="single" w:color="auto" w:sz="6" w:space="0"/>
              <w:bottom w:val="single" w:color="auto" w:sz="6" w:space="0"/>
              <w:right w:val="single" w:color="auto" w:sz="6" w:space="0"/>
            </w:tcBorders>
            <w:noWrap w:val="0"/>
            <w:vAlign w:val="center"/>
          </w:tcPr>
          <w:p w14:paraId="6EE51282">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61" w:type="pct"/>
            <w:tcBorders>
              <w:top w:val="single" w:color="auto" w:sz="6" w:space="0"/>
              <w:left w:val="single" w:color="auto" w:sz="6" w:space="0"/>
              <w:bottom w:val="single" w:color="auto" w:sz="6" w:space="0"/>
              <w:right w:val="double" w:color="auto" w:sz="4" w:space="0"/>
            </w:tcBorders>
            <w:noWrap w:val="0"/>
            <w:vAlign w:val="center"/>
          </w:tcPr>
          <w:p w14:paraId="5A01EE33">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r>
      <w:tr w14:paraId="0D08577B">
        <w:tblPrEx>
          <w:tblCellMar>
            <w:top w:w="0" w:type="dxa"/>
            <w:left w:w="0" w:type="dxa"/>
            <w:bottom w:w="0" w:type="dxa"/>
            <w:right w:w="0" w:type="dxa"/>
          </w:tblCellMar>
        </w:tblPrEx>
        <w:trPr>
          <w:trHeight w:val="850" w:hRule="atLeast"/>
          <w:jc w:val="center"/>
        </w:trPr>
        <w:tc>
          <w:tcPr>
            <w:tcW w:w="383" w:type="pct"/>
            <w:tcBorders>
              <w:top w:val="single" w:color="auto" w:sz="6" w:space="0"/>
              <w:left w:val="double" w:color="auto" w:sz="4" w:space="0"/>
              <w:bottom w:val="single" w:color="auto" w:sz="6" w:space="0"/>
              <w:right w:val="single" w:color="auto" w:sz="6" w:space="0"/>
            </w:tcBorders>
            <w:noWrap w:val="0"/>
            <w:vAlign w:val="center"/>
          </w:tcPr>
          <w:p w14:paraId="10AA8231">
            <w:pPr>
              <w:keepNext w:val="0"/>
              <w:keepLines w:val="0"/>
              <w:pageBreakBefore w:val="0"/>
              <w:widowControl w:val="0"/>
              <w:kinsoku/>
              <w:wordWrap w:val="0"/>
              <w:overflowPunct/>
              <w:topLinePunct w:val="0"/>
              <w:autoSpaceDE w:val="0"/>
              <w:autoSpaceDN w:val="0"/>
              <w:bidi w:val="0"/>
              <w:adjustRightInd w:val="0"/>
              <w:snapToGrid w:val="0"/>
              <w:spacing w:line="240" w:lineRule="auto"/>
              <w:ind w:left="258" w:right="241"/>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179" w:type="pct"/>
            <w:tcBorders>
              <w:top w:val="single" w:color="auto" w:sz="6" w:space="0"/>
              <w:left w:val="single" w:color="auto" w:sz="6" w:space="0"/>
              <w:bottom w:val="single" w:color="auto" w:sz="6" w:space="0"/>
              <w:right w:val="single" w:color="auto" w:sz="6" w:space="0"/>
            </w:tcBorders>
            <w:noWrap w:val="0"/>
            <w:vAlign w:val="center"/>
          </w:tcPr>
          <w:p w14:paraId="0A370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308" w:type="pct"/>
            <w:tcBorders>
              <w:top w:val="single" w:color="auto" w:sz="6" w:space="0"/>
              <w:left w:val="single" w:color="auto" w:sz="6" w:space="0"/>
              <w:bottom w:val="single" w:color="auto" w:sz="6" w:space="0"/>
              <w:right w:val="single" w:color="auto" w:sz="6" w:space="0"/>
            </w:tcBorders>
            <w:noWrap w:val="0"/>
            <w:vAlign w:val="center"/>
          </w:tcPr>
          <w:p w14:paraId="40A33FA5">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649" w:type="pct"/>
            <w:tcBorders>
              <w:top w:val="single" w:color="auto" w:sz="6" w:space="0"/>
              <w:left w:val="single" w:color="auto" w:sz="6" w:space="0"/>
              <w:bottom w:val="single" w:color="auto" w:sz="6" w:space="0"/>
              <w:right w:val="single" w:color="auto" w:sz="6" w:space="0"/>
            </w:tcBorders>
            <w:noWrap w:val="0"/>
            <w:vAlign w:val="center"/>
          </w:tcPr>
          <w:p w14:paraId="2FE74EDF">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30" w:type="pct"/>
            <w:tcBorders>
              <w:top w:val="single" w:color="auto" w:sz="6" w:space="0"/>
              <w:left w:val="single" w:color="auto" w:sz="6" w:space="0"/>
              <w:bottom w:val="single" w:color="auto" w:sz="6" w:space="0"/>
              <w:right w:val="single" w:color="auto" w:sz="6" w:space="0"/>
            </w:tcBorders>
            <w:noWrap w:val="0"/>
            <w:vAlign w:val="center"/>
          </w:tcPr>
          <w:p w14:paraId="27BD5FB9">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330" w:type="pct"/>
            <w:tcBorders>
              <w:top w:val="single" w:color="auto" w:sz="6" w:space="0"/>
              <w:left w:val="single" w:color="auto" w:sz="6" w:space="0"/>
              <w:bottom w:val="single" w:color="auto" w:sz="6" w:space="0"/>
              <w:right w:val="single" w:color="auto" w:sz="6" w:space="0"/>
            </w:tcBorders>
            <w:noWrap w:val="0"/>
            <w:vAlign w:val="center"/>
          </w:tcPr>
          <w:p w14:paraId="3708BE31">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109C91F0">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53" w:type="pct"/>
            <w:tcBorders>
              <w:top w:val="single" w:color="auto" w:sz="6" w:space="0"/>
              <w:left w:val="single" w:color="auto" w:sz="6" w:space="0"/>
              <w:bottom w:val="single" w:color="auto" w:sz="6" w:space="0"/>
              <w:right w:val="single" w:color="auto" w:sz="6" w:space="0"/>
            </w:tcBorders>
            <w:noWrap w:val="0"/>
            <w:vAlign w:val="center"/>
          </w:tcPr>
          <w:p w14:paraId="6182B0B3">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61" w:type="pct"/>
            <w:tcBorders>
              <w:top w:val="single" w:color="auto" w:sz="6" w:space="0"/>
              <w:left w:val="single" w:color="auto" w:sz="6" w:space="0"/>
              <w:bottom w:val="single" w:color="auto" w:sz="6" w:space="0"/>
              <w:right w:val="double" w:color="auto" w:sz="4" w:space="0"/>
            </w:tcBorders>
            <w:noWrap w:val="0"/>
            <w:vAlign w:val="center"/>
          </w:tcPr>
          <w:p w14:paraId="11CFB93B">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r>
      <w:tr w14:paraId="07E3DEFA">
        <w:tblPrEx>
          <w:tblCellMar>
            <w:top w:w="0" w:type="dxa"/>
            <w:left w:w="0" w:type="dxa"/>
            <w:bottom w:w="0" w:type="dxa"/>
            <w:right w:w="0" w:type="dxa"/>
          </w:tblCellMar>
        </w:tblPrEx>
        <w:trPr>
          <w:trHeight w:val="850" w:hRule="atLeast"/>
          <w:jc w:val="center"/>
        </w:trPr>
        <w:tc>
          <w:tcPr>
            <w:tcW w:w="383" w:type="pct"/>
            <w:tcBorders>
              <w:top w:val="single" w:color="auto" w:sz="6" w:space="0"/>
              <w:left w:val="double" w:color="auto" w:sz="4" w:space="0"/>
              <w:bottom w:val="single" w:color="auto" w:sz="6" w:space="0"/>
              <w:right w:val="single" w:color="auto" w:sz="6" w:space="0"/>
            </w:tcBorders>
            <w:noWrap w:val="0"/>
            <w:vAlign w:val="center"/>
          </w:tcPr>
          <w:p w14:paraId="75B78763">
            <w:pPr>
              <w:keepNext w:val="0"/>
              <w:keepLines w:val="0"/>
              <w:pageBreakBefore w:val="0"/>
              <w:widowControl w:val="0"/>
              <w:kinsoku/>
              <w:wordWrap w:val="0"/>
              <w:overflowPunct/>
              <w:topLinePunct w:val="0"/>
              <w:autoSpaceDE w:val="0"/>
              <w:autoSpaceDN w:val="0"/>
              <w:bidi w:val="0"/>
              <w:adjustRightInd w:val="0"/>
              <w:snapToGrid w:val="0"/>
              <w:spacing w:line="240" w:lineRule="auto"/>
              <w:ind w:left="258" w:right="241"/>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1179" w:type="pct"/>
            <w:tcBorders>
              <w:top w:val="single" w:color="auto" w:sz="6" w:space="0"/>
              <w:left w:val="single" w:color="auto" w:sz="6" w:space="0"/>
              <w:bottom w:val="single" w:color="auto" w:sz="6" w:space="0"/>
              <w:right w:val="single" w:color="auto" w:sz="6" w:space="0"/>
            </w:tcBorders>
            <w:noWrap w:val="0"/>
            <w:vAlign w:val="center"/>
          </w:tcPr>
          <w:p w14:paraId="13CEA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308" w:type="pct"/>
            <w:tcBorders>
              <w:top w:val="single" w:color="auto" w:sz="6" w:space="0"/>
              <w:left w:val="single" w:color="auto" w:sz="6" w:space="0"/>
              <w:bottom w:val="single" w:color="auto" w:sz="6" w:space="0"/>
              <w:right w:val="single" w:color="auto" w:sz="6" w:space="0"/>
            </w:tcBorders>
            <w:noWrap w:val="0"/>
            <w:vAlign w:val="center"/>
          </w:tcPr>
          <w:p w14:paraId="0D2B8340">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649" w:type="pct"/>
            <w:tcBorders>
              <w:top w:val="single" w:color="auto" w:sz="6" w:space="0"/>
              <w:left w:val="single" w:color="auto" w:sz="6" w:space="0"/>
              <w:bottom w:val="single" w:color="auto" w:sz="6" w:space="0"/>
              <w:right w:val="single" w:color="auto" w:sz="6" w:space="0"/>
            </w:tcBorders>
            <w:noWrap w:val="0"/>
            <w:vAlign w:val="center"/>
          </w:tcPr>
          <w:p w14:paraId="4769469E">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30" w:type="pct"/>
            <w:tcBorders>
              <w:top w:val="single" w:color="auto" w:sz="6" w:space="0"/>
              <w:left w:val="single" w:color="auto" w:sz="6" w:space="0"/>
              <w:bottom w:val="single" w:color="auto" w:sz="6" w:space="0"/>
              <w:right w:val="single" w:color="auto" w:sz="6" w:space="0"/>
            </w:tcBorders>
            <w:noWrap w:val="0"/>
            <w:vAlign w:val="center"/>
          </w:tcPr>
          <w:p w14:paraId="1F7ECEA5">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330" w:type="pct"/>
            <w:tcBorders>
              <w:top w:val="single" w:color="auto" w:sz="6" w:space="0"/>
              <w:left w:val="single" w:color="auto" w:sz="6" w:space="0"/>
              <w:bottom w:val="single" w:color="auto" w:sz="6" w:space="0"/>
              <w:right w:val="single" w:color="auto" w:sz="6" w:space="0"/>
            </w:tcBorders>
            <w:noWrap w:val="0"/>
            <w:vAlign w:val="center"/>
          </w:tcPr>
          <w:p w14:paraId="75DD142A">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lang w:val="en-US" w:eastAsia="zh-CN"/>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1B4B116E">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53" w:type="pct"/>
            <w:tcBorders>
              <w:top w:val="single" w:color="auto" w:sz="6" w:space="0"/>
              <w:left w:val="single" w:color="auto" w:sz="6" w:space="0"/>
              <w:bottom w:val="single" w:color="auto" w:sz="6" w:space="0"/>
              <w:right w:val="single" w:color="auto" w:sz="6" w:space="0"/>
            </w:tcBorders>
            <w:noWrap w:val="0"/>
            <w:vAlign w:val="center"/>
          </w:tcPr>
          <w:p w14:paraId="0930D80E">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61" w:type="pct"/>
            <w:tcBorders>
              <w:top w:val="single" w:color="auto" w:sz="6" w:space="0"/>
              <w:left w:val="single" w:color="auto" w:sz="6" w:space="0"/>
              <w:bottom w:val="single" w:color="auto" w:sz="6" w:space="0"/>
              <w:right w:val="double" w:color="auto" w:sz="4" w:space="0"/>
            </w:tcBorders>
            <w:noWrap w:val="0"/>
            <w:vAlign w:val="center"/>
          </w:tcPr>
          <w:p w14:paraId="330B7680">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r>
      <w:tr w14:paraId="1CBDBB53">
        <w:tblPrEx>
          <w:tblCellMar>
            <w:top w:w="0" w:type="dxa"/>
            <w:left w:w="0" w:type="dxa"/>
            <w:bottom w:w="0" w:type="dxa"/>
            <w:right w:w="0" w:type="dxa"/>
          </w:tblCellMar>
        </w:tblPrEx>
        <w:trPr>
          <w:trHeight w:val="850" w:hRule="atLeast"/>
          <w:jc w:val="center"/>
        </w:trPr>
        <w:tc>
          <w:tcPr>
            <w:tcW w:w="383" w:type="pct"/>
            <w:tcBorders>
              <w:top w:val="single" w:color="auto" w:sz="6" w:space="0"/>
              <w:left w:val="double" w:color="auto" w:sz="4" w:space="0"/>
              <w:bottom w:val="single" w:color="auto" w:sz="6" w:space="0"/>
              <w:right w:val="single" w:color="auto" w:sz="6" w:space="0"/>
            </w:tcBorders>
            <w:noWrap w:val="0"/>
            <w:vAlign w:val="center"/>
          </w:tcPr>
          <w:p w14:paraId="5FC0D1DE">
            <w:pPr>
              <w:keepNext w:val="0"/>
              <w:keepLines w:val="0"/>
              <w:pageBreakBefore w:val="0"/>
              <w:widowControl w:val="0"/>
              <w:kinsoku/>
              <w:wordWrap w:val="0"/>
              <w:overflowPunct/>
              <w:topLinePunct w:val="0"/>
              <w:autoSpaceDE w:val="0"/>
              <w:autoSpaceDN w:val="0"/>
              <w:bidi w:val="0"/>
              <w:adjustRightInd w:val="0"/>
              <w:snapToGrid w:val="0"/>
              <w:spacing w:line="240" w:lineRule="auto"/>
              <w:ind w:left="258" w:right="241"/>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w:t>
            </w:r>
          </w:p>
        </w:tc>
        <w:tc>
          <w:tcPr>
            <w:tcW w:w="1179" w:type="pct"/>
            <w:tcBorders>
              <w:top w:val="single" w:color="auto" w:sz="6" w:space="0"/>
              <w:left w:val="single" w:color="auto" w:sz="6" w:space="0"/>
              <w:bottom w:val="single" w:color="auto" w:sz="6" w:space="0"/>
              <w:right w:val="single" w:color="auto" w:sz="6" w:space="0"/>
            </w:tcBorders>
            <w:noWrap w:val="0"/>
            <w:vAlign w:val="center"/>
          </w:tcPr>
          <w:p w14:paraId="3426F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308" w:type="pct"/>
            <w:tcBorders>
              <w:top w:val="single" w:color="auto" w:sz="6" w:space="0"/>
              <w:left w:val="single" w:color="auto" w:sz="6" w:space="0"/>
              <w:bottom w:val="single" w:color="auto" w:sz="6" w:space="0"/>
              <w:right w:val="single" w:color="auto" w:sz="6" w:space="0"/>
            </w:tcBorders>
            <w:noWrap w:val="0"/>
            <w:vAlign w:val="center"/>
          </w:tcPr>
          <w:p w14:paraId="3F6A6972">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649" w:type="pct"/>
            <w:tcBorders>
              <w:top w:val="single" w:color="auto" w:sz="6" w:space="0"/>
              <w:left w:val="single" w:color="auto" w:sz="6" w:space="0"/>
              <w:bottom w:val="single" w:color="auto" w:sz="6" w:space="0"/>
              <w:right w:val="single" w:color="auto" w:sz="6" w:space="0"/>
            </w:tcBorders>
            <w:noWrap w:val="0"/>
            <w:vAlign w:val="center"/>
          </w:tcPr>
          <w:p w14:paraId="78C00054">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30" w:type="pct"/>
            <w:tcBorders>
              <w:top w:val="single" w:color="auto" w:sz="6" w:space="0"/>
              <w:left w:val="single" w:color="auto" w:sz="6" w:space="0"/>
              <w:bottom w:val="single" w:color="auto" w:sz="6" w:space="0"/>
              <w:right w:val="single" w:color="auto" w:sz="6" w:space="0"/>
            </w:tcBorders>
            <w:noWrap w:val="0"/>
            <w:vAlign w:val="center"/>
          </w:tcPr>
          <w:p w14:paraId="2C854722">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330" w:type="pct"/>
            <w:tcBorders>
              <w:top w:val="single" w:color="auto" w:sz="6" w:space="0"/>
              <w:left w:val="single" w:color="auto" w:sz="6" w:space="0"/>
              <w:bottom w:val="single" w:color="auto" w:sz="6" w:space="0"/>
              <w:right w:val="single" w:color="auto" w:sz="6" w:space="0"/>
            </w:tcBorders>
            <w:noWrap w:val="0"/>
            <w:vAlign w:val="center"/>
          </w:tcPr>
          <w:p w14:paraId="18876E9E">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lang w:val="en-US" w:eastAsia="zh-CN"/>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19BFD124">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53" w:type="pct"/>
            <w:tcBorders>
              <w:top w:val="single" w:color="auto" w:sz="6" w:space="0"/>
              <w:left w:val="single" w:color="auto" w:sz="6" w:space="0"/>
              <w:bottom w:val="single" w:color="auto" w:sz="6" w:space="0"/>
              <w:right w:val="single" w:color="auto" w:sz="6" w:space="0"/>
            </w:tcBorders>
            <w:noWrap w:val="0"/>
            <w:vAlign w:val="center"/>
          </w:tcPr>
          <w:p w14:paraId="07C42263">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c>
          <w:tcPr>
            <w:tcW w:w="561" w:type="pct"/>
            <w:tcBorders>
              <w:top w:val="single" w:color="auto" w:sz="6" w:space="0"/>
              <w:left w:val="single" w:color="auto" w:sz="6" w:space="0"/>
              <w:bottom w:val="single" w:color="auto" w:sz="6" w:space="0"/>
              <w:right w:val="double" w:color="auto" w:sz="4" w:space="0"/>
            </w:tcBorders>
            <w:noWrap w:val="0"/>
            <w:vAlign w:val="center"/>
          </w:tcPr>
          <w:p w14:paraId="4B88A6A6">
            <w:pPr>
              <w:keepNext w:val="0"/>
              <w:keepLines w:val="0"/>
              <w:pageBreakBefore w:val="0"/>
              <w:widowControl w:val="0"/>
              <w:kinsoku/>
              <w:wordWrap w:val="0"/>
              <w:overflowPunct/>
              <w:topLinePunct w:val="0"/>
              <w:autoSpaceDE w:val="0"/>
              <w:autoSpaceDN w:val="0"/>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p>
        </w:tc>
      </w:tr>
      <w:tr w14:paraId="71D05976">
        <w:tblPrEx>
          <w:tblCellMar>
            <w:top w:w="0" w:type="dxa"/>
            <w:left w:w="0" w:type="dxa"/>
            <w:bottom w:w="0" w:type="dxa"/>
            <w:right w:w="0" w:type="dxa"/>
          </w:tblCellMar>
        </w:tblPrEx>
        <w:trPr>
          <w:trHeight w:val="850" w:hRule="atLeast"/>
          <w:jc w:val="center"/>
        </w:trPr>
        <w:tc>
          <w:tcPr>
            <w:tcW w:w="4438" w:type="pct"/>
            <w:gridSpan w:val="8"/>
            <w:tcBorders>
              <w:top w:val="single" w:color="auto" w:sz="6" w:space="0"/>
              <w:left w:val="double" w:color="auto" w:sz="4" w:space="0"/>
              <w:bottom w:val="double" w:color="auto" w:sz="4" w:space="0"/>
              <w:right w:val="single" w:color="auto" w:sz="6" w:space="0"/>
            </w:tcBorders>
            <w:noWrap w:val="0"/>
            <w:vAlign w:val="center"/>
          </w:tcPr>
          <w:p w14:paraId="4D43E924">
            <w:pPr>
              <w:keepNext w:val="0"/>
              <w:keepLines w:val="0"/>
              <w:pageBreakBefore w:val="0"/>
              <w:widowControl w:val="0"/>
              <w:kinsoku/>
              <w:wordWrap w:val="0"/>
              <w:overflowPunct/>
              <w:topLinePunct w:val="0"/>
              <w:autoSpaceDE w:val="0"/>
              <w:autoSpaceDN w:val="0"/>
              <w:bidi w:val="0"/>
              <w:adjustRightInd w:val="0"/>
              <w:snapToGrid w:val="0"/>
              <w:spacing w:line="240" w:lineRule="auto"/>
              <w:jc w:val="left"/>
              <w:textAlignment w:val="auto"/>
              <w:rPr>
                <w:rFonts w:hint="eastAsia" w:ascii="宋体" w:hAnsi="宋体" w:eastAsia="宋体" w:cs="宋体"/>
                <w:color w:val="auto"/>
                <w:kern w:val="0"/>
                <w:position w:val="-1"/>
                <w:sz w:val="24"/>
                <w:szCs w:val="24"/>
                <w:highlight w:val="none"/>
              </w:rPr>
            </w:pPr>
          </w:p>
          <w:p w14:paraId="6D32916F">
            <w:pPr>
              <w:keepNext w:val="0"/>
              <w:keepLines w:val="0"/>
              <w:pageBreakBefore w:val="0"/>
              <w:widowControl w:val="0"/>
              <w:kinsoku/>
              <w:wordWrap w:val="0"/>
              <w:overflowPunct/>
              <w:topLinePunct w:val="0"/>
              <w:autoSpaceDE w:val="0"/>
              <w:autoSpaceDN w:val="0"/>
              <w:bidi w:val="0"/>
              <w:adjustRightInd w:val="0"/>
              <w:snapToGrid w:val="0"/>
              <w:spacing w:line="240" w:lineRule="auto"/>
              <w:jc w:val="left"/>
              <w:textAlignment w:val="auto"/>
              <w:rPr>
                <w:rFonts w:hint="eastAsia" w:ascii="宋体" w:hAnsi="宋体" w:eastAsia="宋体" w:cs="宋体"/>
                <w:b/>
                <w:bCs/>
                <w:color w:val="auto"/>
                <w:kern w:val="0"/>
                <w:position w:val="-1"/>
                <w:sz w:val="24"/>
                <w:szCs w:val="24"/>
                <w:highlight w:val="none"/>
                <w:u w:val="none"/>
                <w:lang w:val="en-US" w:eastAsia="zh-CN"/>
              </w:rPr>
            </w:pPr>
            <w:r>
              <w:rPr>
                <w:rFonts w:hint="eastAsia" w:ascii="宋体" w:hAnsi="宋体" w:eastAsia="宋体" w:cs="宋体"/>
                <w:color w:val="auto"/>
                <w:kern w:val="0"/>
                <w:position w:val="-1"/>
                <w:sz w:val="24"/>
                <w:szCs w:val="24"/>
                <w:highlight w:val="none"/>
              </w:rPr>
              <w:t>合计报价</w:t>
            </w:r>
            <w:r>
              <w:rPr>
                <w:rFonts w:hint="eastAsia" w:ascii="宋体" w:hAnsi="宋体" w:eastAsia="宋体" w:cs="宋体"/>
                <w:b/>
                <w:bCs/>
                <w:color w:val="auto"/>
                <w:kern w:val="0"/>
                <w:position w:val="-1"/>
                <w:sz w:val="24"/>
                <w:szCs w:val="24"/>
                <w:highlight w:val="none"/>
                <w:lang w:val="en-US" w:eastAsia="zh-CN"/>
              </w:rPr>
              <w:t>大写：</w:t>
            </w:r>
            <w:r>
              <w:rPr>
                <w:rFonts w:hint="eastAsia" w:ascii="宋体" w:hAnsi="宋体" w:eastAsia="宋体" w:cs="宋体"/>
                <w:b/>
                <w:bCs/>
                <w:color w:val="auto"/>
                <w:kern w:val="0"/>
                <w:position w:val="-1"/>
                <w:sz w:val="24"/>
                <w:szCs w:val="24"/>
                <w:highlight w:val="none"/>
                <w:u w:val="single"/>
                <w:lang w:val="en-US" w:eastAsia="zh-CN"/>
              </w:rPr>
              <w:t xml:space="preserve">                    </w:t>
            </w:r>
            <w:r>
              <w:rPr>
                <w:rFonts w:hint="eastAsia" w:ascii="宋体" w:hAnsi="宋体" w:eastAsia="宋体" w:cs="宋体"/>
                <w:b/>
                <w:bCs/>
                <w:color w:val="auto"/>
                <w:kern w:val="0"/>
                <w:position w:val="-1"/>
                <w:sz w:val="24"/>
                <w:szCs w:val="24"/>
                <w:highlight w:val="none"/>
                <w:u w:val="none"/>
                <w:lang w:val="en-US" w:eastAsia="zh-CN"/>
              </w:rPr>
              <w:t xml:space="preserve"> 元，</w:t>
            </w:r>
          </w:p>
          <w:p w14:paraId="70893878">
            <w:pPr>
              <w:keepNext w:val="0"/>
              <w:keepLines w:val="0"/>
              <w:pageBreakBefore w:val="0"/>
              <w:widowControl w:val="0"/>
              <w:kinsoku/>
              <w:wordWrap w:val="0"/>
              <w:overflowPunct/>
              <w:topLinePunct w:val="0"/>
              <w:autoSpaceDE w:val="0"/>
              <w:autoSpaceDN w:val="0"/>
              <w:bidi w:val="0"/>
              <w:adjustRightInd w:val="0"/>
              <w:snapToGrid w:val="0"/>
              <w:spacing w:line="240" w:lineRule="auto"/>
              <w:jc w:val="left"/>
              <w:textAlignment w:val="auto"/>
              <w:rPr>
                <w:rFonts w:hint="eastAsia" w:ascii="宋体" w:hAnsi="宋体" w:eastAsia="宋体" w:cs="宋体"/>
                <w:b/>
                <w:bCs/>
                <w:color w:val="auto"/>
                <w:kern w:val="0"/>
                <w:position w:val="-1"/>
                <w:sz w:val="24"/>
                <w:szCs w:val="24"/>
                <w:highlight w:val="none"/>
                <w:u w:val="none"/>
                <w:lang w:val="en-US" w:eastAsia="zh-CN"/>
              </w:rPr>
            </w:pPr>
          </w:p>
          <w:p w14:paraId="35DE6387">
            <w:pPr>
              <w:keepNext w:val="0"/>
              <w:keepLines w:val="0"/>
              <w:pageBreakBefore w:val="0"/>
              <w:widowControl w:val="0"/>
              <w:kinsoku/>
              <w:wordWrap w:val="0"/>
              <w:overflowPunct/>
              <w:topLinePunct w:val="0"/>
              <w:autoSpaceDE w:val="0"/>
              <w:autoSpaceDN w:val="0"/>
              <w:bidi w:val="0"/>
              <w:adjustRightInd w:val="0"/>
              <w:snapToGrid w:val="0"/>
              <w:spacing w:line="240" w:lineRule="auto"/>
              <w:jc w:val="left"/>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b/>
                <w:bCs/>
                <w:color w:val="auto"/>
                <w:kern w:val="0"/>
                <w:position w:val="-1"/>
                <w:sz w:val="24"/>
                <w:szCs w:val="24"/>
                <w:highlight w:val="none"/>
                <w:u w:val="none"/>
                <w:lang w:val="en-US" w:eastAsia="zh-CN"/>
              </w:rPr>
              <w:t>小写：</w:t>
            </w:r>
            <w:r>
              <w:rPr>
                <w:rFonts w:hint="eastAsia" w:ascii="宋体" w:hAnsi="宋体" w:eastAsia="宋体" w:cs="宋体"/>
                <w:b/>
                <w:bCs/>
                <w:color w:val="auto"/>
                <w:kern w:val="0"/>
                <w:position w:val="-1"/>
                <w:sz w:val="24"/>
                <w:szCs w:val="24"/>
                <w:highlight w:val="none"/>
                <w:u w:val="single"/>
                <w:lang w:val="en-US" w:eastAsia="zh-CN"/>
              </w:rPr>
              <w:t xml:space="preserve">                      </w:t>
            </w:r>
            <w:r>
              <w:rPr>
                <w:rFonts w:hint="eastAsia" w:ascii="宋体" w:hAnsi="宋体" w:eastAsia="宋体" w:cs="宋体"/>
                <w:b/>
                <w:bCs/>
                <w:color w:val="auto"/>
                <w:kern w:val="0"/>
                <w:position w:val="-1"/>
                <w:sz w:val="24"/>
                <w:szCs w:val="24"/>
                <w:highlight w:val="none"/>
                <w:u w:val="none"/>
                <w:lang w:val="en-US" w:eastAsia="zh-CN"/>
              </w:rPr>
              <w:t>元</w:t>
            </w:r>
          </w:p>
        </w:tc>
        <w:tc>
          <w:tcPr>
            <w:tcW w:w="561" w:type="pct"/>
            <w:tcBorders>
              <w:top w:val="single" w:color="auto" w:sz="6" w:space="0"/>
              <w:left w:val="single" w:color="auto" w:sz="6" w:space="0"/>
              <w:bottom w:val="double" w:color="auto" w:sz="4" w:space="0"/>
              <w:right w:val="double" w:color="auto" w:sz="4" w:space="0"/>
            </w:tcBorders>
            <w:noWrap w:val="0"/>
            <w:vAlign w:val="top"/>
          </w:tcPr>
          <w:p w14:paraId="73477069">
            <w:pPr>
              <w:keepNext w:val="0"/>
              <w:keepLines w:val="0"/>
              <w:pageBreakBefore w:val="0"/>
              <w:widowControl w:val="0"/>
              <w:kinsoku/>
              <w:wordWrap w:val="0"/>
              <w:overflowPunct/>
              <w:topLinePunct w:val="0"/>
              <w:autoSpaceDE w:val="0"/>
              <w:autoSpaceDN w:val="0"/>
              <w:bidi w:val="0"/>
              <w:adjustRightInd w:val="0"/>
              <w:snapToGrid w:val="0"/>
              <w:spacing w:line="240" w:lineRule="auto"/>
              <w:jc w:val="left"/>
              <w:textAlignment w:val="auto"/>
              <w:rPr>
                <w:rFonts w:hint="eastAsia" w:ascii="宋体" w:hAnsi="宋体" w:eastAsia="宋体" w:cs="宋体"/>
                <w:color w:val="auto"/>
                <w:kern w:val="0"/>
                <w:sz w:val="24"/>
                <w:szCs w:val="24"/>
                <w:highlight w:val="none"/>
              </w:rPr>
            </w:pPr>
          </w:p>
        </w:tc>
      </w:tr>
    </w:tbl>
    <w:p w14:paraId="0863C0BD">
      <w:pPr>
        <w:adjustRightInd w:val="0"/>
        <w:snapToGrid w:val="0"/>
        <w:spacing w:line="360" w:lineRule="auto"/>
        <w:rPr>
          <w:rFonts w:hint="eastAsia" w:ascii="宋体" w:hAnsi="宋体" w:eastAsia="宋体" w:cs="宋体"/>
          <w:color w:val="auto"/>
          <w:szCs w:val="21"/>
          <w:highlight w:val="none"/>
        </w:rPr>
      </w:pPr>
    </w:p>
    <w:p w14:paraId="02C2D78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r>
        <w:rPr>
          <w:rFonts w:hint="eastAsia" w:ascii="宋体" w:hAnsi="宋体" w:eastAsia="宋体" w:cs="宋体"/>
          <w:color w:val="auto"/>
          <w:szCs w:val="21"/>
          <w:highlight w:val="none"/>
          <w:lang w:val="en-US" w:eastAsia="zh-CN"/>
        </w:rPr>
        <w:t>1.</w:t>
      </w:r>
      <w:r>
        <w:rPr>
          <w:rFonts w:hint="eastAsia" w:ascii="宋体" w:hAnsi="宋体" w:eastAsia="宋体" w:cs="宋体"/>
          <w:b/>
          <w:color w:val="auto"/>
          <w:szCs w:val="21"/>
          <w:highlight w:val="none"/>
        </w:rPr>
        <w:t>本表应对应</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报价表</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，按包填写</w:t>
      </w:r>
      <w:r>
        <w:rPr>
          <w:rFonts w:hint="eastAsia" w:ascii="宋体" w:hAnsi="宋体" w:eastAsia="宋体" w:cs="宋体"/>
          <w:color w:val="auto"/>
          <w:szCs w:val="21"/>
          <w:highlight w:val="none"/>
        </w:rPr>
        <w:t>。供应商如果不提供分项报价明细表，其</w:t>
      </w:r>
      <w:r>
        <w:rPr>
          <w:rFonts w:hint="eastAsia" w:ascii="宋体" w:hAnsi="宋体" w:eastAsia="宋体" w:cs="宋体"/>
          <w:b/>
          <w:color w:val="auto"/>
          <w:szCs w:val="21"/>
          <w:highlight w:val="none"/>
        </w:rPr>
        <w:t>响应无效</w:t>
      </w:r>
      <w:r>
        <w:rPr>
          <w:rFonts w:hint="eastAsia" w:ascii="宋体" w:hAnsi="宋体" w:eastAsia="宋体" w:cs="宋体"/>
          <w:color w:val="auto"/>
          <w:szCs w:val="21"/>
          <w:highlight w:val="none"/>
        </w:rPr>
        <w:t>。</w:t>
      </w:r>
    </w:p>
    <w:p w14:paraId="7A4A39DD">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不得填写“免费”或“赠与”，也不得进行“零”报价，否则响应无效。</w:t>
      </w:r>
    </w:p>
    <w:p w14:paraId="14CC5DD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开标时自行准备，此报价不放在响应文件中，磋商现场根据评审专家的要求提供。</w:t>
      </w:r>
    </w:p>
    <w:p w14:paraId="16A9AB6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最后报价不得高于第一次响应文件中的报价。</w:t>
      </w:r>
    </w:p>
    <w:p w14:paraId="16BD2087">
      <w:pPr>
        <w:adjustRightInd w:val="0"/>
        <w:snapToGrid w:val="0"/>
        <w:spacing w:line="360" w:lineRule="auto"/>
        <w:rPr>
          <w:rFonts w:hint="eastAsia" w:ascii="宋体" w:hAnsi="宋体" w:eastAsia="宋体" w:cs="宋体"/>
          <w:color w:val="auto"/>
          <w:sz w:val="24"/>
          <w:szCs w:val="24"/>
          <w:highlight w:val="none"/>
          <w:lang w:val="en-US" w:eastAsia="zh-CN"/>
        </w:rPr>
      </w:pPr>
    </w:p>
    <w:p w14:paraId="36EEBAA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val="en-US" w:eastAsia="zh-CN"/>
        </w:rPr>
        <w:t>盖</w:t>
      </w:r>
      <w:r>
        <w:rPr>
          <w:rFonts w:hint="eastAsia" w:ascii="宋体" w:hAnsi="宋体" w:eastAsia="宋体" w:cs="宋体"/>
          <w:color w:val="auto"/>
          <w:sz w:val="24"/>
          <w:szCs w:val="24"/>
          <w:highlight w:val="none"/>
        </w:rPr>
        <w:t>单位章）：</w:t>
      </w:r>
      <w:r>
        <w:rPr>
          <w:rFonts w:hint="eastAsia" w:ascii="宋体" w:hAnsi="宋体" w:eastAsia="宋体" w:cs="宋体"/>
          <w:color w:val="auto"/>
          <w:sz w:val="24"/>
          <w:szCs w:val="24"/>
          <w:highlight w:val="none"/>
          <w:u w:val="single"/>
          <w:lang w:val="en-US" w:eastAsia="zh-CN"/>
        </w:rPr>
        <w:t xml:space="preserve">               </w:t>
      </w:r>
    </w:p>
    <w:p w14:paraId="4096B9EC">
      <w:pPr>
        <w:adjustRightInd w:val="0"/>
        <w:snapToGrid w:val="0"/>
        <w:spacing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b w:val="0"/>
          <w:bCs w:val="0"/>
          <w:color w:val="auto"/>
          <w:kern w:val="2"/>
          <w:sz w:val="24"/>
          <w:szCs w:val="24"/>
          <w:highlight w:val="none"/>
          <w:lang w:val="en-US" w:eastAsia="zh-CN" w:bidi="ar-SA"/>
        </w:rPr>
        <w:t>签字或印章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p>
    <w:p w14:paraId="58A42766">
      <w:pPr>
        <w:adjustRightInd w:val="0"/>
        <w:snapToGrid w:val="0"/>
        <w:spacing w:line="360" w:lineRule="auto"/>
        <w:rPr>
          <w:rFonts w:hint="eastAsia" w:ascii="宋体" w:hAnsi="宋体" w:eastAsia="宋体" w:cs="宋体"/>
          <w:b/>
          <w:bCs/>
          <w:color w:val="auto"/>
          <w:sz w:val="24"/>
          <w:highlight w:val="none"/>
        </w:rPr>
      </w:pPr>
      <w:r>
        <w:rPr>
          <w:rFonts w:hint="eastAsia" w:ascii="宋体" w:hAnsi="宋体" w:eastAsia="宋体" w:cs="宋体"/>
          <w:color w:val="auto"/>
          <w:sz w:val="24"/>
          <w:szCs w:val="24"/>
          <w:highlight w:val="none"/>
          <w:lang w:val="en-US" w:eastAsia="zh-CN"/>
        </w:rPr>
        <w:t>日期：</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w:t>
      </w:r>
    </w:p>
    <w:p w14:paraId="21F87781">
      <w:pPr>
        <w:adjustRightInd w:val="0"/>
        <w:snapToGrid w:val="0"/>
        <w:spacing w:before="158" w:beforeLines="50" w:line="400" w:lineRule="exact"/>
        <w:rPr>
          <w:rFonts w:hint="eastAsia" w:ascii="宋体" w:hAnsi="宋体" w:eastAsia="宋体" w:cs="宋体"/>
          <w:b/>
          <w:bCs/>
          <w:color w:val="auto"/>
          <w:sz w:val="24"/>
          <w:highlight w:val="none"/>
        </w:rPr>
      </w:pPr>
    </w:p>
    <w:p w14:paraId="5CE501FB">
      <w:pPr>
        <w:jc w:val="center"/>
        <w:rPr>
          <w:rFonts w:hint="eastAsia" w:ascii="宋体" w:hAnsi="宋体" w:eastAsia="宋体" w:cs="宋体"/>
          <w:color w:val="auto"/>
          <w:sz w:val="24"/>
          <w:highlight w:val="none"/>
        </w:rPr>
      </w:pPr>
      <w:r>
        <w:rPr>
          <w:rFonts w:hint="eastAsia" w:ascii="宋体" w:hAnsi="宋体" w:eastAsia="宋体" w:cs="Times New Roman"/>
          <w:b/>
          <w:bCs/>
          <w:color w:val="auto"/>
          <w:sz w:val="28"/>
          <w:szCs w:val="28"/>
          <w:highlight w:val="none"/>
          <w:u w:val="single"/>
          <w:lang w:val="en-US" w:eastAsia="zh-CN"/>
        </w:rPr>
        <w:t>不密封在响应文件中，开标现场提供</w:t>
      </w:r>
      <w:r>
        <w:rPr>
          <w:rFonts w:hint="eastAsia" w:ascii="宋体" w:hAnsi="宋体"/>
          <w:b/>
          <w:bCs/>
          <w:color w:val="auto"/>
          <w:sz w:val="28"/>
          <w:szCs w:val="28"/>
          <w:highlight w:val="none"/>
          <w:u w:val="single"/>
          <w:lang w:val="en-US" w:eastAsia="zh-CN"/>
        </w:rPr>
        <w:t>。</w:t>
      </w:r>
    </w:p>
    <w:p w14:paraId="736A62EB">
      <w:pPr>
        <w:pStyle w:val="22"/>
        <w:rPr>
          <w:rFonts w:hint="eastAsia" w:ascii="宋体" w:hAnsi="宋体" w:eastAsia="宋体" w:cs="宋体"/>
          <w:color w:val="auto"/>
          <w:highlight w:val="none"/>
        </w:rPr>
      </w:pPr>
    </w:p>
    <w:sectPr>
      <w:pgSz w:w="11906" w:h="16838"/>
      <w:pgMar w:top="1304" w:right="1304" w:bottom="1304" w:left="1417" w:header="851" w:footer="992" w:gutter="0"/>
      <w:pgNumType w:fmt="decimal"/>
      <w:cols w:space="0" w:num="1"/>
      <w:docGrid w:type="linesAndChars" w:linePitch="316" w:charSpace="7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Arail">
    <w:altName w:val="Times New Roman"/>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EU-F1">
    <w:altName w:val="黑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Palatino Linotype">
    <w:panose1 w:val="02040502050505030304"/>
    <w:charset w:val="00"/>
    <w:family w:val="roman"/>
    <w:pitch w:val="default"/>
    <w:sig w:usb0="E0000287" w:usb1="40000013" w:usb2="00000000" w:usb3="00000000" w:csb0="2000019F" w:csb1="00000000"/>
  </w:font>
  <w:font w:name="方正黑体_GBK">
    <w:altName w:val="微软雅黑"/>
    <w:panose1 w:val="00000000000000000000"/>
    <w:charset w:val="86"/>
    <w:family w:val="script"/>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方正仿宋_GBK">
    <w:altName w:val="微软雅黑"/>
    <w:panose1 w:val="00000000000000000000"/>
    <w:charset w:val="86"/>
    <w:family w:val="script"/>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Segoe UI Symbol">
    <w:panose1 w:val="020B0502040204020203"/>
    <w:charset w:val="00"/>
    <w:family w:val="swiss"/>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EC770">
    <w:pPr>
      <w:pStyle w:val="33"/>
      <w:jc w:val="right"/>
    </w:pPr>
  </w:p>
  <w:p w14:paraId="05286BF3">
    <w:pPr>
      <w:pStyle w:val="33"/>
      <w:ind w:right="24"/>
      <w:jc w:val="center"/>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9DA11">
    <w:pPr>
      <w:pStyle w:val="33"/>
      <w:ind w:left="180" w:hanging="180" w:hangingChars="100"/>
      <w:rPr>
        <w:sz w:val="21"/>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D17CBE">
                          <w:pPr>
                            <w:pStyle w:val="33"/>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ED17CBE">
                    <w:pPr>
                      <w:pStyle w:val="33"/>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p>
                </w:txbxContent>
              </v:textbox>
            </v:shape>
          </w:pict>
        </mc:Fallback>
      </mc:AlternateContent>
    </w:r>
    <w:r>
      <w:rPr>
        <w:rFonts w:hint="eastAsia"/>
      </w:rPr>
      <w:t>湖南</w:t>
    </w:r>
    <w:r>
      <w:rPr>
        <w:rFonts w:hint="eastAsia"/>
        <w:lang w:eastAsia="zh-CN"/>
      </w:rPr>
      <w:t>容成和</w:t>
    </w:r>
    <w:r>
      <w:rPr>
        <w:rFonts w:hint="eastAsia"/>
      </w:rPr>
      <w:t>项目管理有限公司</w:t>
    </w:r>
    <w:r>
      <w:rPr>
        <w:rFonts w:hint="eastAsia" w:ascii="宋体" w:hAnsi="宋体" w:eastAsia="宋体" w:cs="宋体"/>
        <w:sz w:val="18"/>
        <w:szCs w:val="18"/>
      </w:rPr>
      <w:tab/>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AB7A0">
    <w:pPr>
      <w:pStyle w:val="33"/>
      <w:tabs>
        <w:tab w:val="left" w:pos="8472"/>
        <w:tab w:val="clear" w:pos="4153"/>
        <w:tab w:val="clear" w:pos="8306"/>
      </w:tabs>
      <w:ind w:left="180" w:hanging="180" w:hangingChars="100"/>
      <w:rPr>
        <w:rFonts w:ascii="宋体"/>
        <w:sz w:val="21"/>
        <w:szCs w:val="21"/>
      </w:rPr>
    </w:pPr>
    <w:r>
      <w:rPr>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D33C5">
                          <w:pPr>
                            <w:pStyle w:val="33"/>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14D33C5">
                    <w:pPr>
                      <w:pStyle w:val="33"/>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p>
                </w:txbxContent>
              </v:textbox>
            </v:shape>
          </w:pict>
        </mc:Fallback>
      </mc:AlternateContent>
    </w:r>
    <w:r>
      <w:rPr>
        <w:rFonts w:hint="eastAsia" w:ascii="宋体" w:hAnsi="宋体"/>
        <w:sz w:val="18"/>
        <w:szCs w:val="18"/>
      </w:rPr>
      <w:t>湖南</w:t>
    </w:r>
    <w:r>
      <w:rPr>
        <w:rFonts w:hint="eastAsia" w:ascii="宋体" w:hAnsi="宋体"/>
        <w:sz w:val="18"/>
        <w:szCs w:val="18"/>
        <w:lang w:eastAsia="zh-CN"/>
      </w:rPr>
      <w:t>容成和</w:t>
    </w:r>
    <w:r>
      <w:rPr>
        <w:rFonts w:hint="eastAsia" w:ascii="宋体" w:hAnsi="宋体"/>
        <w:sz w:val="18"/>
        <w:szCs w:val="18"/>
      </w:rPr>
      <w:t>项目管理有限公司</w:t>
    </w:r>
    <w:r>
      <w:rPr>
        <w:rFonts w:ascii="宋体"/>
        <w:sz w:val="21"/>
        <w:szCs w:val="21"/>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928E3">
    <w:pPr>
      <w:pStyle w:val="33"/>
      <w:tabs>
        <w:tab w:val="left" w:pos="8472"/>
        <w:tab w:val="clear" w:pos="4153"/>
        <w:tab w:val="clear" w:pos="8306"/>
      </w:tabs>
      <w:ind w:left="180" w:hanging="180" w:hangingChars="100"/>
      <w:rPr>
        <w:rFonts w:ascii="宋体"/>
        <w:sz w:val="21"/>
        <w:szCs w:val="21"/>
      </w:rPr>
    </w:pPr>
    <w:r>
      <w:rPr>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D8C6B">
                          <w:pPr>
                            <w:pStyle w:val="33"/>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A6D8C6B">
                    <w:pPr>
                      <w:pStyle w:val="33"/>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p>
                </w:txbxContent>
              </v:textbox>
            </v:shape>
          </w:pict>
        </mc:Fallback>
      </mc:AlternateContent>
    </w:r>
    <w:r>
      <w:rPr>
        <w:rFonts w:hint="eastAsia" w:ascii="宋体" w:hAnsi="宋体"/>
        <w:sz w:val="18"/>
        <w:szCs w:val="18"/>
      </w:rPr>
      <w:t>湖南</w:t>
    </w:r>
    <w:r>
      <w:rPr>
        <w:rFonts w:hint="eastAsia" w:ascii="宋体" w:hAnsi="宋体"/>
        <w:sz w:val="18"/>
        <w:szCs w:val="18"/>
        <w:lang w:eastAsia="zh-CN"/>
      </w:rPr>
      <w:t>容成和</w:t>
    </w:r>
    <w:r>
      <w:rPr>
        <w:rFonts w:hint="eastAsia" w:ascii="宋体" w:hAnsi="宋体"/>
        <w:sz w:val="18"/>
        <w:szCs w:val="18"/>
      </w:rPr>
      <w:t>项目管理有限公司</w:t>
    </w:r>
    <w:r>
      <w:rPr>
        <w:rFonts w:ascii="宋体"/>
        <w:sz w:val="21"/>
        <w:szCs w:val="21"/>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030F7">
    <w:pPr>
      <w:pStyle w:val="33"/>
      <w:tabs>
        <w:tab w:val="left" w:pos="8472"/>
        <w:tab w:val="clear" w:pos="4153"/>
        <w:tab w:val="clear" w:pos="8306"/>
      </w:tabs>
      <w:ind w:left="180" w:hanging="180" w:hangingChars="100"/>
      <w:rPr>
        <w:rFonts w:ascii="宋体"/>
        <w:sz w:val="21"/>
        <w:szCs w:val="21"/>
      </w:rPr>
    </w:pPr>
    <w:r>
      <w:rPr>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1F70AC">
                          <w:pPr>
                            <w:pStyle w:val="33"/>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01F70AC">
                    <w:pPr>
                      <w:pStyle w:val="33"/>
                    </w:pPr>
                    <w:r>
                      <w:fldChar w:fldCharType="begin"/>
                    </w:r>
                    <w:r>
                      <w:instrText xml:space="preserve"> PAGE  \* MERGEFORMAT </w:instrText>
                    </w:r>
                    <w:r>
                      <w:fldChar w:fldCharType="separate"/>
                    </w:r>
                    <w:r>
                      <w:t>33</w:t>
                    </w:r>
                    <w:r>
                      <w:fldChar w:fldCharType="end"/>
                    </w:r>
                  </w:p>
                </w:txbxContent>
              </v:textbox>
            </v:shape>
          </w:pict>
        </mc:Fallback>
      </mc:AlternateContent>
    </w:r>
    <w:r>
      <w:rPr>
        <w:rFonts w:hint="eastAsia" w:ascii="宋体" w:hAnsi="宋体"/>
        <w:sz w:val="18"/>
        <w:szCs w:val="18"/>
      </w:rPr>
      <w:t>湖南</w:t>
    </w:r>
    <w:r>
      <w:rPr>
        <w:rFonts w:hint="eastAsia" w:ascii="宋体" w:hAnsi="宋体"/>
        <w:sz w:val="18"/>
        <w:szCs w:val="18"/>
        <w:lang w:eastAsia="zh-CN"/>
      </w:rPr>
      <w:t>容成和</w:t>
    </w:r>
    <w:r>
      <w:rPr>
        <w:rFonts w:hint="eastAsia" w:ascii="宋体" w:hAnsi="宋体"/>
        <w:sz w:val="18"/>
        <w:szCs w:val="18"/>
      </w:rPr>
      <w:t>项目管理有限公司</w:t>
    </w:r>
    <w:r>
      <w:rPr>
        <w:rFonts w:ascii="宋体"/>
        <w:sz w:val="21"/>
        <w:szCs w:val="21"/>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CFC4A">
    <w:pPr>
      <w:pStyle w:val="33"/>
      <w:ind w:right="360"/>
      <w:jc w:val="center"/>
      <w:rPr>
        <w:rFonts w:hint="eastAsia"/>
        <w:kern w:val="0"/>
        <w:szCs w:val="21"/>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56C91F">
                          <w:pPr>
                            <w:pStyle w:val="33"/>
                            <w:ind w:right="360"/>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63</w:t>
                          </w:r>
                          <w:r>
                            <w:rPr>
                              <w:kern w:val="0"/>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856C91F">
                    <w:pPr>
                      <w:pStyle w:val="33"/>
                      <w:ind w:right="360"/>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63</w:t>
                    </w:r>
                    <w:r>
                      <w:rPr>
                        <w:kern w:val="0"/>
                        <w:szCs w:val="21"/>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DE165">
    <w:pPr>
      <w:pStyle w:val="33"/>
      <w:tabs>
        <w:tab w:val="left" w:pos="8472"/>
        <w:tab w:val="clear" w:pos="4153"/>
        <w:tab w:val="clear" w:pos="8306"/>
      </w:tabs>
      <w:ind w:left="180" w:hanging="180" w:hangingChars="100"/>
      <w:rPr>
        <w:rFonts w:ascii="宋体"/>
        <w:sz w:val="21"/>
        <w:szCs w:val="21"/>
      </w:rPr>
    </w:pPr>
    <w:r>
      <mc:AlternateContent>
        <mc:Choice Requires="wps">
          <w:drawing>
            <wp:anchor distT="0" distB="0" distL="114300" distR="114300" simplePos="0" relativeHeight="251664384" behindDoc="0" locked="0" layoutInCell="1" allowOverlap="1">
              <wp:simplePos x="0" y="0"/>
              <wp:positionH relativeFrom="column">
                <wp:posOffset>4354195</wp:posOffset>
              </wp:positionH>
              <wp:positionV relativeFrom="paragraph">
                <wp:posOffset>3161030</wp:posOffset>
              </wp:positionV>
              <wp:extent cx="685800" cy="297180"/>
              <wp:effectExtent l="0" t="0" r="0" b="0"/>
              <wp:wrapNone/>
              <wp:docPr id="8" name="文本框 9"/>
              <wp:cNvGraphicFramePr/>
              <a:graphic xmlns:a="http://schemas.openxmlformats.org/drawingml/2006/main">
                <a:graphicData uri="http://schemas.microsoft.com/office/word/2010/wordprocessingShape">
                  <wps:wsp>
                    <wps:cNvSpPr txBox="1"/>
                    <wps:spPr>
                      <a:xfrm>
                        <a:off x="0" y="0"/>
                        <a:ext cx="685800" cy="297180"/>
                      </a:xfrm>
                      <a:prstGeom prst="rect">
                        <a:avLst/>
                      </a:prstGeom>
                      <a:noFill/>
                      <a:ln>
                        <a:noFill/>
                      </a:ln>
                    </wps:spPr>
                    <wps:txbx>
                      <w:txbxContent>
                        <w:p w14:paraId="67DBD1C0">
                          <w:pPr>
                            <w:rPr>
                              <w:sz w:val="24"/>
                            </w:rPr>
                          </w:pPr>
                          <w:r>
                            <w:rPr>
                              <w:rStyle w:val="54"/>
                              <w:rFonts w:eastAsia="仿宋_GB2312"/>
                              <w:sz w:val="24"/>
                            </w:rPr>
                            <w:t>—</w:t>
                          </w:r>
                          <w:r>
                            <w:rPr>
                              <w:sz w:val="24"/>
                            </w:rPr>
                            <w:fldChar w:fldCharType="begin"/>
                          </w:r>
                          <w:r>
                            <w:rPr>
                              <w:rStyle w:val="54"/>
                              <w:sz w:val="24"/>
                            </w:rPr>
                            <w:instrText xml:space="preserve"> PAGE </w:instrText>
                          </w:r>
                          <w:r>
                            <w:rPr>
                              <w:sz w:val="24"/>
                            </w:rPr>
                            <w:fldChar w:fldCharType="separate"/>
                          </w:r>
                          <w:r>
                            <w:rPr>
                              <w:rStyle w:val="54"/>
                              <w:sz w:val="24"/>
                            </w:rPr>
                            <w:t>43</w:t>
                          </w:r>
                          <w:r>
                            <w:rPr>
                              <w:sz w:val="24"/>
                            </w:rPr>
                            <w:fldChar w:fldCharType="end"/>
                          </w:r>
                          <w:r>
                            <w:rPr>
                              <w:rStyle w:val="54"/>
                              <w:rFonts w:eastAsia="仿宋_GB2312"/>
                              <w:sz w:val="24"/>
                            </w:rPr>
                            <w:t>—</w:t>
                          </w:r>
                        </w:p>
                      </w:txbxContent>
                    </wps:txbx>
                    <wps:bodyPr upright="1"/>
                  </wps:wsp>
                </a:graphicData>
              </a:graphic>
            </wp:anchor>
          </w:drawing>
        </mc:Choice>
        <mc:Fallback>
          <w:pict>
            <v:shape id="文本框 9" o:spid="_x0000_s1026" o:spt="202" type="#_x0000_t202" style="position:absolute;left:0pt;margin-left:342.85pt;margin-top:248.9pt;height:23.4pt;width:54pt;z-index:251664384;mso-width-relative:page;mso-height-relative:page;" filled="f" stroked="f" coordsize="21600,21600" o:gfxdata="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oFUZt2AAA&#10;AAsBAAAPAAAAAAAAAAEAIAAAACIAAABkcnMvZG93bnJldi54bWxQSwECFAAUAAAACACHTuJAKvqc&#10;cqwBAABNAwAADgAAAAAAAAABACAAAAAnAQAAZHJzL2Uyb0RvYy54bWxQSwUGAAAAAAYABgBZAQAA&#10;RQUAAAAA&#10;">
              <v:fill on="f" focussize="0,0"/>
              <v:stroke on="f"/>
              <v:imagedata o:title=""/>
              <o:lock v:ext="edit" aspectratio="f"/>
              <v:textbox>
                <w:txbxContent>
                  <w:p w14:paraId="67DBD1C0">
                    <w:pPr>
                      <w:rPr>
                        <w:sz w:val="24"/>
                      </w:rPr>
                    </w:pPr>
                    <w:r>
                      <w:rPr>
                        <w:rStyle w:val="54"/>
                        <w:rFonts w:eastAsia="仿宋_GB2312"/>
                        <w:sz w:val="24"/>
                      </w:rPr>
                      <w:t>—</w:t>
                    </w:r>
                    <w:r>
                      <w:rPr>
                        <w:sz w:val="24"/>
                      </w:rPr>
                      <w:fldChar w:fldCharType="begin"/>
                    </w:r>
                    <w:r>
                      <w:rPr>
                        <w:rStyle w:val="54"/>
                        <w:sz w:val="24"/>
                      </w:rPr>
                      <w:instrText xml:space="preserve"> PAGE </w:instrText>
                    </w:r>
                    <w:r>
                      <w:rPr>
                        <w:sz w:val="24"/>
                      </w:rPr>
                      <w:fldChar w:fldCharType="separate"/>
                    </w:r>
                    <w:r>
                      <w:rPr>
                        <w:rStyle w:val="54"/>
                        <w:sz w:val="24"/>
                      </w:rPr>
                      <w:t>43</w:t>
                    </w:r>
                    <w:r>
                      <w:rPr>
                        <w:sz w:val="24"/>
                      </w:rPr>
                      <w:fldChar w:fldCharType="end"/>
                    </w:r>
                    <w:r>
                      <w:rPr>
                        <w:rStyle w:val="54"/>
                        <w:rFonts w:eastAsia="仿宋_GB2312"/>
                        <w:sz w:val="24"/>
                      </w:rPr>
                      <w:t>—</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8115300</wp:posOffset>
              </wp:positionH>
              <wp:positionV relativeFrom="paragraph">
                <wp:posOffset>56515</wp:posOffset>
              </wp:positionV>
              <wp:extent cx="685800" cy="297180"/>
              <wp:effectExtent l="0" t="0" r="0" b="0"/>
              <wp:wrapNone/>
              <wp:docPr id="7" name="文本框 8"/>
              <wp:cNvGraphicFramePr/>
              <a:graphic xmlns:a="http://schemas.openxmlformats.org/drawingml/2006/main">
                <a:graphicData uri="http://schemas.microsoft.com/office/word/2010/wordprocessingShape">
                  <wps:wsp>
                    <wps:cNvSpPr txBox="1"/>
                    <wps:spPr>
                      <a:xfrm>
                        <a:off x="0" y="0"/>
                        <a:ext cx="685800" cy="297180"/>
                      </a:xfrm>
                      <a:prstGeom prst="rect">
                        <a:avLst/>
                      </a:prstGeom>
                      <a:noFill/>
                      <a:ln>
                        <a:noFill/>
                      </a:ln>
                    </wps:spPr>
                    <wps:txbx>
                      <w:txbxContent>
                        <w:p w14:paraId="00774E19">
                          <w:pPr>
                            <w:rPr>
                              <w:sz w:val="24"/>
                            </w:rPr>
                          </w:pPr>
                          <w:r>
                            <w:rPr>
                              <w:rStyle w:val="54"/>
                              <w:rFonts w:eastAsia="仿宋_GB2312"/>
                              <w:sz w:val="24"/>
                            </w:rPr>
                            <w:t>—</w:t>
                          </w:r>
                          <w:r>
                            <w:rPr>
                              <w:sz w:val="24"/>
                            </w:rPr>
                            <w:fldChar w:fldCharType="begin"/>
                          </w:r>
                          <w:r>
                            <w:rPr>
                              <w:rStyle w:val="54"/>
                              <w:sz w:val="24"/>
                            </w:rPr>
                            <w:instrText xml:space="preserve"> PAGE </w:instrText>
                          </w:r>
                          <w:r>
                            <w:rPr>
                              <w:sz w:val="24"/>
                            </w:rPr>
                            <w:fldChar w:fldCharType="separate"/>
                          </w:r>
                          <w:r>
                            <w:rPr>
                              <w:rStyle w:val="54"/>
                              <w:sz w:val="24"/>
                            </w:rPr>
                            <w:t>43</w:t>
                          </w:r>
                          <w:r>
                            <w:rPr>
                              <w:sz w:val="24"/>
                            </w:rPr>
                            <w:fldChar w:fldCharType="end"/>
                          </w:r>
                          <w:r>
                            <w:rPr>
                              <w:rStyle w:val="54"/>
                              <w:rFonts w:eastAsia="仿宋_GB2312"/>
                              <w:sz w:val="24"/>
                            </w:rPr>
                            <w:t>—</w:t>
                          </w:r>
                        </w:p>
                      </w:txbxContent>
                    </wps:txbx>
                    <wps:bodyPr upright="1"/>
                  </wps:wsp>
                </a:graphicData>
              </a:graphic>
            </wp:anchor>
          </w:drawing>
        </mc:Choice>
        <mc:Fallback>
          <w:pict>
            <v:shape id="文本框 8" o:spid="_x0000_s1026" o:spt="202" type="#_x0000_t202" style="position:absolute;left:0pt;margin-left:639pt;margin-top:4.45pt;height:23.4pt;width:54pt;z-index:251663360;mso-width-relative:page;mso-height-relative:page;" filled="f" stroked="f" coordsize="21600,21600" o:gfxdata="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AE9PwzXAAAA&#10;CgEAAA8AAAAAAAAAAQAgAAAAIgAAAGRycy9kb3ducmV2LnhtbFBLAQIUABQAAAAIAIdO4kC6T9m1&#10;rAEAAE0DAAAOAAAAAAAAAAEAIAAAACYBAABkcnMvZTJvRG9jLnhtbFBLBQYAAAAABgAGAFkBAABE&#10;BQAAAAA=&#10;">
              <v:fill on="f" focussize="0,0"/>
              <v:stroke on="f"/>
              <v:imagedata o:title=""/>
              <o:lock v:ext="edit" aspectratio="f"/>
              <v:textbox>
                <w:txbxContent>
                  <w:p w14:paraId="00774E19">
                    <w:pPr>
                      <w:rPr>
                        <w:sz w:val="24"/>
                      </w:rPr>
                    </w:pPr>
                    <w:r>
                      <w:rPr>
                        <w:rStyle w:val="54"/>
                        <w:rFonts w:eastAsia="仿宋_GB2312"/>
                        <w:sz w:val="24"/>
                      </w:rPr>
                      <w:t>—</w:t>
                    </w:r>
                    <w:r>
                      <w:rPr>
                        <w:sz w:val="24"/>
                      </w:rPr>
                      <w:fldChar w:fldCharType="begin"/>
                    </w:r>
                    <w:r>
                      <w:rPr>
                        <w:rStyle w:val="54"/>
                        <w:sz w:val="24"/>
                      </w:rPr>
                      <w:instrText xml:space="preserve"> PAGE </w:instrText>
                    </w:r>
                    <w:r>
                      <w:rPr>
                        <w:sz w:val="24"/>
                      </w:rPr>
                      <w:fldChar w:fldCharType="separate"/>
                    </w:r>
                    <w:r>
                      <w:rPr>
                        <w:rStyle w:val="54"/>
                        <w:sz w:val="24"/>
                      </w:rPr>
                      <w:t>43</w:t>
                    </w:r>
                    <w:r>
                      <w:rPr>
                        <w:sz w:val="24"/>
                      </w:rPr>
                      <w:fldChar w:fldCharType="end"/>
                    </w:r>
                    <w:r>
                      <w:rPr>
                        <w:rStyle w:val="54"/>
                        <w:rFonts w:eastAsia="仿宋_GB2312"/>
                        <w:sz w:val="24"/>
                      </w:rPr>
                      <w:t>—</w:t>
                    </w:r>
                  </w:p>
                </w:txbxContent>
              </v:textbox>
            </v:shape>
          </w:pict>
        </mc:Fallback>
      </mc:AlternateContent>
    </w:r>
    <w:r>
      <w:rPr>
        <w:rFonts w:hint="eastAsia" w:ascii="宋体" w:hAnsi="宋体"/>
        <w:sz w:val="21"/>
        <w:szCs w:val="21"/>
      </w:rPr>
      <w:t>湖南</w:t>
    </w:r>
    <w:r>
      <w:rPr>
        <w:rFonts w:hint="eastAsia" w:ascii="宋体" w:hAnsi="宋体"/>
        <w:sz w:val="21"/>
        <w:szCs w:val="21"/>
        <w:lang w:val="en-US" w:eastAsia="zh-CN"/>
      </w:rPr>
      <w:t>容成和</w:t>
    </w:r>
    <w:r>
      <w:rPr>
        <w:rFonts w:hint="eastAsia" w:ascii="宋体" w:hAnsi="宋体"/>
        <w:sz w:val="21"/>
        <w:szCs w:val="21"/>
      </w:rPr>
      <w:t>项目管理有限公司</w:t>
    </w:r>
    <w:r>
      <w:rPr>
        <w:rFonts w:ascii="宋体"/>
        <w:sz w:val="21"/>
        <w:szCs w:val="21"/>
      </w:rPr>
      <w:tab/>
    </w:r>
    <w:r>
      <w:rPr>
        <w:rFonts w:ascii="宋体" w:hAnsi="宋体"/>
        <w:sz w:val="21"/>
        <w:szCs w:val="21"/>
      </w:rPr>
      <w:t>—</w:t>
    </w:r>
    <w:r>
      <w:rPr>
        <w:rFonts w:ascii="宋体" w:hAnsi="宋体"/>
        <w:sz w:val="21"/>
        <w:szCs w:val="21"/>
      </w:rPr>
      <w:fldChar w:fldCharType="begin"/>
    </w:r>
    <w:r>
      <w:rPr>
        <w:rStyle w:val="54"/>
        <w:rFonts w:ascii="宋体" w:hAnsi="宋体"/>
        <w:sz w:val="21"/>
        <w:szCs w:val="21"/>
      </w:rPr>
      <w:instrText xml:space="preserve"> PAGE </w:instrText>
    </w:r>
    <w:r>
      <w:rPr>
        <w:rFonts w:ascii="宋体" w:hAnsi="宋体"/>
        <w:sz w:val="21"/>
        <w:szCs w:val="21"/>
      </w:rPr>
      <w:fldChar w:fldCharType="separate"/>
    </w:r>
    <w:r>
      <w:rPr>
        <w:rStyle w:val="54"/>
        <w:rFonts w:ascii="宋体" w:hAnsi="宋体"/>
        <w:sz w:val="21"/>
        <w:szCs w:val="21"/>
      </w:rPr>
      <w:t>43</w:t>
    </w:r>
    <w:r>
      <w:rPr>
        <w:rFonts w:ascii="宋体" w:hAnsi="宋体"/>
        <w:sz w:val="21"/>
        <w:szCs w:val="21"/>
      </w:rPr>
      <w:fldChar w:fldCharType="end"/>
    </w:r>
    <w:r>
      <w:rPr>
        <w:rFonts w:ascii="宋体" w:hAnsi="宋体"/>
        <w:sz w:val="21"/>
        <w:szCs w:val="21"/>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DAA3C">
    <w:pPr>
      <w:pStyle w:val="33"/>
      <w:ind w:left="180" w:hanging="180" w:hangingChars="100"/>
      <w:rPr>
        <w:sz w:val="21"/>
        <w:szCs w:val="21"/>
      </w:rPr>
    </w:pPr>
    <w:r>
      <w:rPr>
        <w:sz w:val="18"/>
        <w:szCs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AC989A">
                          <w:pPr>
                            <w:pStyle w:val="33"/>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4AC989A">
                    <w:pPr>
                      <w:pStyle w:val="33"/>
                    </w:pPr>
                    <w:r>
                      <w:fldChar w:fldCharType="begin"/>
                    </w:r>
                    <w:r>
                      <w:instrText xml:space="preserve"> PAGE  \* MERGEFORMAT </w:instrText>
                    </w:r>
                    <w:r>
                      <w:fldChar w:fldCharType="separate"/>
                    </w:r>
                    <w:r>
                      <w:t>52</w:t>
                    </w:r>
                    <w:r>
                      <w:fldChar w:fldCharType="end"/>
                    </w:r>
                  </w:p>
                </w:txbxContent>
              </v:textbox>
            </v:shape>
          </w:pict>
        </mc:Fallback>
      </mc:AlternateContent>
    </w:r>
    <w:r>
      <w:rPr>
        <w:rFonts w:hint="eastAsia"/>
        <w:sz w:val="18"/>
        <w:szCs w:val="18"/>
      </w:rPr>
      <w:t>湖南</w:t>
    </w:r>
    <w:r>
      <w:rPr>
        <w:rFonts w:hint="eastAsia"/>
        <w:sz w:val="18"/>
        <w:szCs w:val="18"/>
        <w:lang w:eastAsia="zh-CN"/>
      </w:rPr>
      <w:t>容成和</w:t>
    </w:r>
    <w:r>
      <w:rPr>
        <w:rFonts w:hint="eastAsia"/>
        <w:sz w:val="18"/>
        <w:szCs w:val="18"/>
      </w:rPr>
      <w:t>项目管理有限公司</w:t>
    </w:r>
    <w:r>
      <w:rPr>
        <w:sz w:val="21"/>
        <w:szCs w:val="21"/>
      </w:rPr>
      <w:tab/>
    </w:r>
    <w:r>
      <w:rPr>
        <w:sz w:val="21"/>
        <w:szCs w:val="21"/>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16240">
    <w:pPr>
      <w:pStyle w:val="34"/>
      <w:pBdr>
        <w:bottom w:val="single" w:color="auto" w:sz="4" w:space="1"/>
      </w:pBdr>
      <w:jc w:val="left"/>
      <w:rPr>
        <w:rFonts w:hint="default"/>
        <w:sz w:val="18"/>
        <w:szCs w:val="18"/>
        <w:lang w:val="en-US"/>
      </w:rPr>
    </w:pPr>
    <w:r>
      <w:rPr>
        <w:rFonts w:hint="eastAsia" w:ascii="宋体" w:hAnsi="宋体" w:eastAsia="宋体" w:cs="宋体"/>
        <w:kern w:val="0"/>
        <w:sz w:val="18"/>
        <w:szCs w:val="18"/>
        <w:highlight w:val="none"/>
        <w:lang w:val="en-US" w:eastAsia="zh-CN" w:bidi="ar"/>
      </w:rPr>
      <w:t>华容县人民医院中心机房三级等保机房改造采购项目                                      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84391">
    <w:pPr>
      <w:pStyle w:val="3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BF075">
    <w:pPr>
      <w:pStyle w:val="34"/>
      <w:jc w:val="both"/>
      <w:rPr>
        <w:rFonts w:hint="default" w:eastAsia="宋体"/>
        <w:lang w:val="en-US" w:eastAsia="zh-CN"/>
      </w:rPr>
    </w:pPr>
    <w:r>
      <w:rPr>
        <w:rFonts w:hint="eastAsia" w:ascii="宋体" w:hAnsi="宋体" w:eastAsia="宋体" w:cs="宋体"/>
        <w:sz w:val="18"/>
        <w:szCs w:val="18"/>
      </w:rPr>
      <w:t>华容县人民医院彩色多普勒超声诊断仪采购项目</w:t>
    </w:r>
    <w:r>
      <w:rPr>
        <w:rFonts w:hint="eastAsia" w:ascii="宋体" w:hAnsi="宋体" w:cs="宋体"/>
        <w:sz w:val="18"/>
        <w:szCs w:val="18"/>
        <w:lang w:val="en-US" w:eastAsia="zh-CN"/>
      </w:rPr>
      <w:t xml:space="preserve">                                     </w:t>
    </w:r>
    <w:r>
      <w:rPr>
        <w:rFonts w:hint="eastAsia" w:ascii="宋体" w:hAnsi="宋体"/>
        <w:sz w:val="18"/>
        <w:szCs w:val="18"/>
      </w:rPr>
      <w:t>磋商文件</w:t>
    </w:r>
    <w:r>
      <w:rPr>
        <w:rFonts w:hint="eastAsia" w:ascii="宋体" w:hAnsi="宋体"/>
        <w:sz w:val="18"/>
        <w:szCs w:val="18"/>
        <w:lang w:val="en-US" w:eastAsia="zh-CN"/>
      </w:rPr>
      <w:t xml:space="preserve"> </w:t>
    </w:r>
    <w:r>
      <w:rPr>
        <w:rFonts w:hint="eastAsia" w:ascii="宋体" w:hAnsi="宋体"/>
        <w:szCs w:val="21"/>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79FF7">
    <w:pPr>
      <w:pStyle w:val="34"/>
      <w:rPr>
        <w:rFonts w:hint="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85148F"/>
    <w:multiLevelType w:val="singleLevel"/>
    <w:tmpl w:val="9B85148F"/>
    <w:lvl w:ilvl="0" w:tentative="0">
      <w:start w:val="1"/>
      <w:numFmt w:val="decimal"/>
      <w:suff w:val="nothing"/>
      <w:lvlText w:val="%1、"/>
      <w:lvlJc w:val="left"/>
    </w:lvl>
  </w:abstractNum>
  <w:abstractNum w:abstractNumId="1">
    <w:nsid w:val="C3BAB5C5"/>
    <w:multiLevelType w:val="singleLevel"/>
    <w:tmpl w:val="C3BAB5C5"/>
    <w:lvl w:ilvl="0" w:tentative="0">
      <w:start w:val="1"/>
      <w:numFmt w:val="chineseCounting"/>
      <w:suff w:val="nothing"/>
      <w:lvlText w:val="%1、"/>
      <w:lvlJc w:val="left"/>
      <w:rPr>
        <w:rFonts w:hint="eastAsia"/>
      </w:rPr>
    </w:lvl>
  </w:abstractNum>
  <w:abstractNum w:abstractNumId="2">
    <w:nsid w:val="D44FF89F"/>
    <w:multiLevelType w:val="singleLevel"/>
    <w:tmpl w:val="D44FF89F"/>
    <w:lvl w:ilvl="0" w:tentative="0">
      <w:start w:val="2"/>
      <w:numFmt w:val="decimal"/>
      <w:suff w:val="nothing"/>
      <w:lvlText w:val="（%1）"/>
      <w:lvlJc w:val="left"/>
    </w:lvl>
  </w:abstractNum>
  <w:abstractNum w:abstractNumId="3">
    <w:nsid w:val="D8C874E7"/>
    <w:multiLevelType w:val="singleLevel"/>
    <w:tmpl w:val="D8C874E7"/>
    <w:lvl w:ilvl="0" w:tentative="0">
      <w:start w:val="3"/>
      <w:numFmt w:val="decimal"/>
      <w:suff w:val="nothing"/>
      <w:lvlText w:val="%1、"/>
      <w:lvlJc w:val="left"/>
    </w:lvl>
  </w:abstractNum>
  <w:abstractNum w:abstractNumId="4">
    <w:nsid w:val="EBF52972"/>
    <w:multiLevelType w:val="singleLevel"/>
    <w:tmpl w:val="EBF52972"/>
    <w:lvl w:ilvl="0" w:tentative="0">
      <w:start w:val="2"/>
      <w:numFmt w:val="decimal"/>
      <w:suff w:val="nothing"/>
      <w:lvlText w:val="（%1）"/>
      <w:lvlJc w:val="left"/>
    </w:lvl>
  </w:abstractNum>
  <w:abstractNum w:abstractNumId="5">
    <w:nsid w:val="FE6AB692"/>
    <w:multiLevelType w:val="singleLevel"/>
    <w:tmpl w:val="FE6AB692"/>
    <w:lvl w:ilvl="0" w:tentative="0">
      <w:start w:val="6"/>
      <w:numFmt w:val="chineseCounting"/>
      <w:suff w:val="nothing"/>
      <w:lvlText w:val="%1、"/>
      <w:lvlJc w:val="left"/>
      <w:rPr>
        <w:rFonts w:hint="eastAsia"/>
      </w:rPr>
    </w:lvl>
  </w:abstractNum>
  <w:abstractNum w:abstractNumId="6">
    <w:nsid w:val="FFFFFF7D"/>
    <w:multiLevelType w:val="singleLevel"/>
    <w:tmpl w:val="FFFFFF7D"/>
    <w:lvl w:ilvl="0" w:tentative="0">
      <w:start w:val="1"/>
      <w:numFmt w:val="decimal"/>
      <w:pStyle w:val="418"/>
      <w:lvlText w:val="%1."/>
      <w:lvlJc w:val="left"/>
      <w:pPr>
        <w:tabs>
          <w:tab w:val="left" w:pos="1620"/>
        </w:tabs>
        <w:ind w:left="1620" w:hanging="360"/>
      </w:pPr>
      <w:rPr>
        <w:rFonts w:cs="Times New Roman"/>
      </w:rPr>
    </w:lvl>
  </w:abstractNum>
  <w:abstractNum w:abstractNumId="7">
    <w:nsid w:val="FFFFFF7F"/>
    <w:multiLevelType w:val="singleLevel"/>
    <w:tmpl w:val="FFFFFF7F"/>
    <w:lvl w:ilvl="0" w:tentative="0">
      <w:start w:val="1"/>
      <w:numFmt w:val="decimal"/>
      <w:lvlText w:val="%1."/>
      <w:lvlJc w:val="left"/>
      <w:pPr>
        <w:tabs>
          <w:tab w:val="left" w:pos="780"/>
        </w:tabs>
        <w:ind w:left="780" w:hanging="360"/>
      </w:pPr>
      <w:rPr>
        <w:rFonts w:cs="Times New Roman"/>
      </w:rPr>
    </w:lvl>
  </w:abstractNum>
  <w:abstractNum w:abstractNumId="8">
    <w:nsid w:val="00000007"/>
    <w:multiLevelType w:val="multilevel"/>
    <w:tmpl w:val="00000007"/>
    <w:lvl w:ilvl="0" w:tentative="0">
      <w:start w:val="1"/>
      <w:numFmt w:val="bullet"/>
      <w:pStyle w:val="438"/>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9">
    <w:nsid w:val="01682F26"/>
    <w:multiLevelType w:val="multilevel"/>
    <w:tmpl w:val="01682F26"/>
    <w:lvl w:ilvl="0" w:tentative="0">
      <w:start w:val="1"/>
      <w:numFmt w:val="decimal"/>
      <w:pStyle w:val="688"/>
      <w:lvlText w:val="表%1."/>
      <w:lvlJc w:val="left"/>
      <w:pPr>
        <w:tabs>
          <w:tab w:val="left" w:pos="0"/>
        </w:tabs>
        <w:ind w:left="0" w:firstLine="0"/>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1EE354D"/>
    <w:multiLevelType w:val="multilevel"/>
    <w:tmpl w:val="01EE354D"/>
    <w:lvl w:ilvl="0" w:tentative="0">
      <w:start w:val="1"/>
      <w:numFmt w:val="bullet"/>
      <w:lvlText w:val=""/>
      <w:lvlJc w:val="left"/>
      <w:pPr>
        <w:ind w:left="420" w:hanging="420"/>
      </w:pPr>
      <w:rPr>
        <w:rFonts w:hint="default" w:ascii="Wingdings" w:hAnsi="Wingdings"/>
      </w:rPr>
    </w:lvl>
    <w:lvl w:ilvl="1" w:tentative="0">
      <w:start w:val="1"/>
      <w:numFmt w:val="lowerLetter"/>
      <w:pStyle w:val="353"/>
      <w:lvlText w:val="%2."/>
      <w:lvlJc w:val="left"/>
      <w:pPr>
        <w:ind w:left="840" w:hanging="420"/>
      </w:pPr>
      <w:rPr>
        <w:rFonts w:hint="eastAsia" w:cs="Times New Roman"/>
      </w:rPr>
    </w:lvl>
    <w:lvl w:ilvl="2" w:tentative="0">
      <w:start w:val="1"/>
      <w:numFmt w:val="lowerRoman"/>
      <w:lvlText w:val="%3."/>
      <w:lvlJc w:val="right"/>
      <w:pPr>
        <w:ind w:left="1260" w:hanging="420"/>
      </w:pPr>
      <w:rPr>
        <w:rFonts w:hint="eastAsia" w:cs="Times New Roman"/>
      </w:rPr>
    </w:lvl>
    <w:lvl w:ilvl="3" w:tentative="0">
      <w:start w:val="1"/>
      <w:numFmt w:val="decimal"/>
      <w:lvlText w:val="%4."/>
      <w:lvlJc w:val="left"/>
      <w:pPr>
        <w:ind w:left="1680" w:hanging="420"/>
      </w:pPr>
      <w:rPr>
        <w:rFonts w:hint="eastAsia" w:cs="Times New Roman"/>
      </w:rPr>
    </w:lvl>
    <w:lvl w:ilvl="4" w:tentative="0">
      <w:start w:val="1"/>
      <w:numFmt w:val="lowerLetter"/>
      <w:lvlText w:val="%5)"/>
      <w:lvlJc w:val="left"/>
      <w:pPr>
        <w:ind w:left="2100" w:hanging="420"/>
      </w:pPr>
      <w:rPr>
        <w:rFonts w:hint="eastAsia" w:cs="Times New Roman"/>
      </w:rPr>
    </w:lvl>
    <w:lvl w:ilvl="5" w:tentative="0">
      <w:start w:val="1"/>
      <w:numFmt w:val="lowerRoman"/>
      <w:lvlText w:val="%6."/>
      <w:lvlJc w:val="right"/>
      <w:pPr>
        <w:ind w:left="2520" w:hanging="420"/>
      </w:pPr>
      <w:rPr>
        <w:rFonts w:hint="eastAsia" w:cs="Times New Roman"/>
      </w:rPr>
    </w:lvl>
    <w:lvl w:ilvl="6" w:tentative="0">
      <w:start w:val="1"/>
      <w:numFmt w:val="decimal"/>
      <w:lvlText w:val="%7."/>
      <w:lvlJc w:val="left"/>
      <w:pPr>
        <w:ind w:left="2940" w:hanging="420"/>
      </w:pPr>
      <w:rPr>
        <w:rFonts w:hint="eastAsia" w:cs="Times New Roman"/>
      </w:rPr>
    </w:lvl>
    <w:lvl w:ilvl="7" w:tentative="0">
      <w:start w:val="1"/>
      <w:numFmt w:val="lowerLetter"/>
      <w:lvlText w:val="%8)"/>
      <w:lvlJc w:val="left"/>
      <w:pPr>
        <w:ind w:left="3360" w:hanging="420"/>
      </w:pPr>
      <w:rPr>
        <w:rFonts w:hint="eastAsia" w:cs="Times New Roman"/>
      </w:rPr>
    </w:lvl>
    <w:lvl w:ilvl="8" w:tentative="0">
      <w:start w:val="1"/>
      <w:numFmt w:val="lowerRoman"/>
      <w:lvlText w:val="%9."/>
      <w:lvlJc w:val="right"/>
      <w:pPr>
        <w:ind w:left="3780" w:hanging="420"/>
      </w:pPr>
      <w:rPr>
        <w:rFonts w:hint="eastAsia" w:cs="Times New Roman"/>
      </w:rPr>
    </w:lvl>
  </w:abstractNum>
  <w:abstractNum w:abstractNumId="11">
    <w:nsid w:val="09B922C4"/>
    <w:multiLevelType w:val="multilevel"/>
    <w:tmpl w:val="09B922C4"/>
    <w:lvl w:ilvl="0" w:tentative="0">
      <w:start w:val="1"/>
      <w:numFmt w:val="decimal"/>
      <w:lvlText w:val="%1."/>
      <w:lvlJc w:val="left"/>
      <w:pPr>
        <w:tabs>
          <w:tab w:val="left" w:pos="425"/>
        </w:tabs>
        <w:ind w:left="425" w:hanging="425"/>
      </w:pPr>
      <w:rPr>
        <w:rFonts w:cs="Times New Roman"/>
        <w:sz w:val="30"/>
        <w:szCs w:val="30"/>
      </w:rPr>
    </w:lvl>
    <w:lvl w:ilvl="1" w:tentative="0">
      <w:start w:val="1"/>
      <w:numFmt w:val="decimal"/>
      <w:lvlText w:val="%1.%2."/>
      <w:lvlJc w:val="left"/>
      <w:pPr>
        <w:tabs>
          <w:tab w:val="left" w:pos="567"/>
        </w:tabs>
        <w:ind w:left="567" w:hanging="567"/>
      </w:pPr>
      <w:rPr>
        <w:rFonts w:cs="Times New Roman"/>
      </w:rPr>
    </w:lvl>
    <w:lvl w:ilvl="2" w:tentative="0">
      <w:start w:val="1"/>
      <w:numFmt w:val="decimal"/>
      <w:pStyle w:val="733"/>
      <w:lvlText w:val="%1.%2.%3."/>
      <w:lvlJc w:val="left"/>
      <w:pPr>
        <w:tabs>
          <w:tab w:val="left" w:pos="1069"/>
        </w:tabs>
        <w:ind w:left="1069" w:hanging="709"/>
      </w:pPr>
      <w:rPr>
        <w:rFonts w:cs="Times New Roman"/>
      </w:rPr>
    </w:lvl>
    <w:lvl w:ilvl="3" w:tentative="0">
      <w:start w:val="1"/>
      <w:numFmt w:val="decimal"/>
      <w:lvlText w:val="%1.%2.%3.%4."/>
      <w:lvlJc w:val="left"/>
      <w:pPr>
        <w:tabs>
          <w:tab w:val="left" w:pos="851"/>
        </w:tabs>
        <w:ind w:left="851" w:hanging="851"/>
      </w:pPr>
      <w:rPr>
        <w:rFonts w:cs="Times New Roman"/>
      </w:rPr>
    </w:lvl>
    <w:lvl w:ilvl="4" w:tentative="0">
      <w:start w:val="1"/>
      <w:numFmt w:val="decimal"/>
      <w:lvlText w:val="%1.%2.%3.%4.%5."/>
      <w:lvlJc w:val="left"/>
      <w:pPr>
        <w:tabs>
          <w:tab w:val="left" w:pos="992"/>
        </w:tabs>
        <w:ind w:left="992" w:hanging="992"/>
      </w:pPr>
      <w:rPr>
        <w:rFonts w:cs="Times New Roman"/>
      </w:rPr>
    </w:lvl>
    <w:lvl w:ilvl="5" w:tentative="0">
      <w:start w:val="1"/>
      <w:numFmt w:val="decimal"/>
      <w:lvlText w:val="%1.%2.%3.%4.%5.%6."/>
      <w:lvlJc w:val="left"/>
      <w:pPr>
        <w:tabs>
          <w:tab w:val="left" w:pos="1134"/>
        </w:tabs>
        <w:ind w:left="1134" w:hanging="1134"/>
      </w:pPr>
      <w:rPr>
        <w:rFonts w:cs="Times New Roman"/>
      </w:rPr>
    </w:lvl>
    <w:lvl w:ilvl="6" w:tentative="0">
      <w:start w:val="1"/>
      <w:numFmt w:val="decimal"/>
      <w:lvlText w:val="%1.%2.%3.%4.%5.%6.%7."/>
      <w:lvlJc w:val="left"/>
      <w:pPr>
        <w:tabs>
          <w:tab w:val="left" w:pos="1276"/>
        </w:tabs>
        <w:ind w:left="1276" w:hanging="1276"/>
      </w:pPr>
      <w:rPr>
        <w:rFonts w:cs="Times New Roman"/>
      </w:rPr>
    </w:lvl>
    <w:lvl w:ilvl="7" w:tentative="0">
      <w:start w:val="1"/>
      <w:numFmt w:val="decimal"/>
      <w:lvlText w:val="%1.%2.%3.%4.%5.%6.%7.%8."/>
      <w:lvlJc w:val="left"/>
      <w:pPr>
        <w:tabs>
          <w:tab w:val="left" w:pos="1418"/>
        </w:tabs>
        <w:ind w:left="1418" w:hanging="1418"/>
      </w:pPr>
      <w:rPr>
        <w:rFonts w:cs="Times New Roman"/>
      </w:rPr>
    </w:lvl>
    <w:lvl w:ilvl="8" w:tentative="0">
      <w:start w:val="1"/>
      <w:numFmt w:val="decimal"/>
      <w:lvlText w:val="%1.%2.%3.%4.%5.%6.%7.%8.%9."/>
      <w:lvlJc w:val="left"/>
      <w:pPr>
        <w:tabs>
          <w:tab w:val="left" w:pos="1559"/>
        </w:tabs>
        <w:ind w:left="1559" w:hanging="1559"/>
      </w:pPr>
      <w:rPr>
        <w:rFonts w:cs="Times New Roman"/>
      </w:rPr>
    </w:lvl>
  </w:abstractNum>
  <w:abstractNum w:abstractNumId="12">
    <w:nsid w:val="153E2639"/>
    <w:multiLevelType w:val="multilevel"/>
    <w:tmpl w:val="153E2639"/>
    <w:lvl w:ilvl="0" w:tentative="0">
      <w:start w:val="1"/>
      <w:numFmt w:val="bullet"/>
      <w:pStyle w:val="714"/>
      <w:lvlText w:val=""/>
      <w:lvlJc w:val="left"/>
      <w:pPr>
        <w:tabs>
          <w:tab w:val="left" w:pos="1547"/>
        </w:tabs>
        <w:ind w:left="1547" w:hanging="507"/>
      </w:pPr>
      <w:rPr>
        <w:rFonts w:hint="default" w:ascii="Wingdings" w:hAnsi="Wingdings"/>
      </w:rPr>
    </w:lvl>
    <w:lvl w:ilvl="1" w:tentative="0">
      <w:start w:val="1"/>
      <w:numFmt w:val="decimal"/>
      <w:lvlText w:val="%2、"/>
      <w:lvlJc w:val="left"/>
      <w:pPr>
        <w:tabs>
          <w:tab w:val="left" w:pos="2180"/>
        </w:tabs>
        <w:ind w:left="2180" w:hanging="720"/>
      </w:pPr>
      <w:rPr>
        <w:rFonts w:hint="eastAsia"/>
      </w:rPr>
    </w:lvl>
    <w:lvl w:ilvl="2" w:tentative="0">
      <w:start w:val="1"/>
      <w:numFmt w:val="lowerRoman"/>
      <w:lvlText w:val="%3."/>
      <w:lvlJc w:val="right"/>
      <w:pPr>
        <w:tabs>
          <w:tab w:val="left" w:pos="2300"/>
        </w:tabs>
        <w:ind w:left="2300" w:hanging="420"/>
      </w:pPr>
    </w:lvl>
    <w:lvl w:ilvl="3" w:tentative="0">
      <w:start w:val="1"/>
      <w:numFmt w:val="decimal"/>
      <w:lvlText w:val="%4."/>
      <w:lvlJc w:val="left"/>
      <w:pPr>
        <w:tabs>
          <w:tab w:val="left" w:pos="2720"/>
        </w:tabs>
        <w:ind w:left="2720" w:hanging="420"/>
      </w:pPr>
    </w:lvl>
    <w:lvl w:ilvl="4" w:tentative="0">
      <w:start w:val="1"/>
      <w:numFmt w:val="lowerLetter"/>
      <w:lvlText w:val="%5)"/>
      <w:lvlJc w:val="left"/>
      <w:pPr>
        <w:tabs>
          <w:tab w:val="left" w:pos="3140"/>
        </w:tabs>
        <w:ind w:left="3140" w:hanging="420"/>
      </w:pPr>
    </w:lvl>
    <w:lvl w:ilvl="5" w:tentative="0">
      <w:start w:val="1"/>
      <w:numFmt w:val="lowerRoman"/>
      <w:lvlText w:val="%6."/>
      <w:lvlJc w:val="right"/>
      <w:pPr>
        <w:tabs>
          <w:tab w:val="left" w:pos="3560"/>
        </w:tabs>
        <w:ind w:left="3560" w:hanging="420"/>
      </w:pPr>
    </w:lvl>
    <w:lvl w:ilvl="6" w:tentative="0">
      <w:start w:val="1"/>
      <w:numFmt w:val="decimal"/>
      <w:lvlText w:val="%7."/>
      <w:lvlJc w:val="left"/>
      <w:pPr>
        <w:tabs>
          <w:tab w:val="left" w:pos="3980"/>
        </w:tabs>
        <w:ind w:left="3980" w:hanging="420"/>
      </w:pPr>
    </w:lvl>
    <w:lvl w:ilvl="7" w:tentative="0">
      <w:start w:val="1"/>
      <w:numFmt w:val="lowerLetter"/>
      <w:lvlText w:val="%8)"/>
      <w:lvlJc w:val="left"/>
      <w:pPr>
        <w:tabs>
          <w:tab w:val="left" w:pos="4400"/>
        </w:tabs>
        <w:ind w:left="4400" w:hanging="420"/>
      </w:pPr>
    </w:lvl>
    <w:lvl w:ilvl="8" w:tentative="0">
      <w:start w:val="1"/>
      <w:numFmt w:val="lowerRoman"/>
      <w:lvlText w:val="%9."/>
      <w:lvlJc w:val="right"/>
      <w:pPr>
        <w:tabs>
          <w:tab w:val="left" w:pos="4820"/>
        </w:tabs>
        <w:ind w:left="4820" w:hanging="420"/>
      </w:pPr>
    </w:lvl>
  </w:abstractNum>
  <w:abstractNum w:abstractNumId="13">
    <w:nsid w:val="1EB54090"/>
    <w:multiLevelType w:val="multilevel"/>
    <w:tmpl w:val="1EB54090"/>
    <w:lvl w:ilvl="0" w:tentative="0">
      <w:start w:val="1"/>
      <w:numFmt w:val="bullet"/>
      <w:pStyle w:val="489"/>
      <w:lvlText w:val=""/>
      <w:lvlJc w:val="left"/>
      <w:pPr>
        <w:tabs>
          <w:tab w:val="left" w:pos="840"/>
        </w:tabs>
        <w:ind w:left="840" w:hanging="420"/>
      </w:pPr>
      <w:rPr>
        <w:rFonts w:hint="default" w:ascii="Wingdings" w:hAnsi="Wingdings"/>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14">
    <w:nsid w:val="1FC91163"/>
    <w:multiLevelType w:val="multilevel"/>
    <w:tmpl w:val="1FC91163"/>
    <w:lvl w:ilvl="0" w:tentative="0">
      <w:start w:val="1"/>
      <w:numFmt w:val="decimal"/>
      <w:pStyle w:val="392"/>
      <w:suff w:val="nothing"/>
      <w:lvlText w:val="%1　"/>
      <w:lvlJc w:val="left"/>
      <w:pPr>
        <w:ind w:left="284"/>
      </w:pPr>
      <w:rPr>
        <w:rFonts w:hint="eastAsia" w:ascii="黑体" w:hAnsi="Times New Roman" w:eastAsia="黑体" w:cs="Times New Roman"/>
        <w:b w:val="0"/>
        <w:bCs w:val="0"/>
        <w:i w:val="0"/>
        <w:iCs w:val="0"/>
        <w:sz w:val="21"/>
        <w:szCs w:val="21"/>
      </w:rPr>
    </w:lvl>
    <w:lvl w:ilvl="1" w:tentative="0">
      <w:start w:val="1"/>
      <w:numFmt w:val="decimal"/>
      <w:pStyle w:val="391"/>
      <w:suff w:val="nothing"/>
      <w:lvlText w:val="%1.%2　"/>
      <w:lvlJc w:val="left"/>
      <w:pPr>
        <w:ind w:left="71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390"/>
      <w:suff w:val="nothing"/>
      <w:lvlText w:val="%1.%2.%3　"/>
      <w:lvlJc w:val="left"/>
      <w:pPr>
        <w:ind w:left="1702"/>
      </w:pPr>
      <w:rPr>
        <w:rFonts w:hint="eastAsia" w:ascii="黑体" w:hAnsi="Times New Roman" w:eastAsia="黑体" w:cs="Times New Roman"/>
        <w:b w:val="0"/>
        <w:bCs w:val="0"/>
        <w:i w:val="0"/>
        <w:iCs w:val="0"/>
        <w:sz w:val="21"/>
        <w:szCs w:val="21"/>
      </w:rPr>
    </w:lvl>
    <w:lvl w:ilvl="3" w:tentative="0">
      <w:start w:val="1"/>
      <w:numFmt w:val="decimal"/>
      <w:pStyle w:val="527"/>
      <w:suff w:val="nothing"/>
      <w:lvlText w:val="%1.%2.%3.%4　"/>
      <w:lvlJc w:val="left"/>
      <w:pPr>
        <w:ind w:left="993"/>
      </w:pPr>
      <w:rPr>
        <w:rFonts w:hint="eastAsia" w:ascii="黑体" w:hAnsi="Times New Roman" w:eastAsia="黑体" w:cs="Times New Roman"/>
        <w:b w:val="0"/>
        <w:bCs w:val="0"/>
        <w:i w:val="0"/>
        <w:iCs w:val="0"/>
        <w:sz w:val="21"/>
        <w:szCs w:val="21"/>
      </w:rPr>
    </w:lvl>
    <w:lvl w:ilvl="4" w:tentative="0">
      <w:start w:val="1"/>
      <w:numFmt w:val="decimal"/>
      <w:pStyle w:val="614"/>
      <w:suff w:val="nothing"/>
      <w:lvlText w:val="%1.%2.%3.%4.%5　"/>
      <w:lvlJc w:val="left"/>
      <w:pPr>
        <w:ind w:left="710"/>
      </w:pPr>
      <w:rPr>
        <w:rFonts w:hint="eastAsia" w:ascii="黑体" w:hAnsi="Times New Roman" w:eastAsia="黑体" w:cs="Times New Roman"/>
        <w:b w:val="0"/>
        <w:bCs w:val="0"/>
        <w:i w:val="0"/>
        <w:iCs w:val="0"/>
        <w:sz w:val="21"/>
        <w:szCs w:val="21"/>
      </w:rPr>
    </w:lvl>
    <w:lvl w:ilvl="5" w:tentative="0">
      <w:start w:val="1"/>
      <w:numFmt w:val="decimal"/>
      <w:pStyle w:val="626"/>
      <w:suff w:val="nothing"/>
      <w:lvlText w:val="%1.%2.%3.%4.%5.%6　"/>
      <w:lvlJc w:val="left"/>
      <w:rPr>
        <w:rFonts w:hint="eastAsia" w:ascii="黑体" w:hAnsi="Times New Roman" w:eastAsia="黑体" w:cs="Times New Roman"/>
        <w:b w:val="0"/>
        <w:bCs w:val="0"/>
        <w:i w:val="0"/>
        <w:iCs w:val="0"/>
        <w:sz w:val="21"/>
        <w:szCs w:val="21"/>
      </w:rPr>
    </w:lvl>
    <w:lvl w:ilvl="6" w:tentative="0">
      <w:start w:val="1"/>
      <w:numFmt w:val="decimal"/>
      <w:suff w:val="nothing"/>
      <w:lvlText w:val="%1%2.%3.%4.%5.%6.%7　"/>
      <w:lvlJc w:val="left"/>
      <w:rPr>
        <w:rFonts w:hint="eastAsia" w:ascii="黑体" w:hAnsi="Times New Roman" w:eastAsia="黑体" w:cs="Times New Roman"/>
        <w:b w:val="0"/>
        <w:bCs w:val="0"/>
        <w:i w:val="0"/>
        <w:iCs w:val="0"/>
        <w:sz w:val="21"/>
        <w:szCs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5">
    <w:nsid w:val="20483416"/>
    <w:multiLevelType w:val="multilevel"/>
    <w:tmpl w:val="20483416"/>
    <w:lvl w:ilvl="0" w:tentative="0">
      <w:start w:val="1"/>
      <w:numFmt w:val="bullet"/>
      <w:pStyle w:val="680"/>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
    <w:nsid w:val="217E1CC8"/>
    <w:multiLevelType w:val="multilevel"/>
    <w:tmpl w:val="217E1CC8"/>
    <w:lvl w:ilvl="0" w:tentative="0">
      <w:start w:val="1"/>
      <w:numFmt w:val="decimal"/>
      <w:lvlText w:val="（%1）"/>
      <w:lvlJc w:val="left"/>
      <w:pPr>
        <w:ind w:left="930" w:hanging="720"/>
      </w:pPr>
      <w:rPr>
        <w:rFonts w:hint="default" w:cs="Times New Roman"/>
      </w:rPr>
    </w:lvl>
    <w:lvl w:ilvl="1" w:tentative="0">
      <w:start w:val="1"/>
      <w:numFmt w:val="lowerLetter"/>
      <w:lvlText w:val="%2)"/>
      <w:lvlJc w:val="left"/>
      <w:pPr>
        <w:ind w:left="1050" w:hanging="420"/>
      </w:pPr>
      <w:rPr>
        <w:rFonts w:cs="Times New Roman"/>
      </w:rPr>
    </w:lvl>
    <w:lvl w:ilvl="2" w:tentative="0">
      <w:start w:val="1"/>
      <w:numFmt w:val="lowerRoman"/>
      <w:lvlText w:val="%3."/>
      <w:lvlJc w:val="right"/>
      <w:pPr>
        <w:ind w:left="1470" w:hanging="420"/>
      </w:pPr>
      <w:rPr>
        <w:rFonts w:cs="Times New Roman"/>
      </w:rPr>
    </w:lvl>
    <w:lvl w:ilvl="3" w:tentative="0">
      <w:start w:val="1"/>
      <w:numFmt w:val="decimal"/>
      <w:lvlText w:val="%4."/>
      <w:lvlJc w:val="left"/>
      <w:pPr>
        <w:ind w:left="1890" w:hanging="420"/>
      </w:pPr>
      <w:rPr>
        <w:rFonts w:cs="Times New Roman"/>
      </w:rPr>
    </w:lvl>
    <w:lvl w:ilvl="4" w:tentative="0">
      <w:start w:val="1"/>
      <w:numFmt w:val="lowerLetter"/>
      <w:lvlText w:val="%5)"/>
      <w:lvlJc w:val="left"/>
      <w:pPr>
        <w:ind w:left="2310" w:hanging="420"/>
      </w:pPr>
      <w:rPr>
        <w:rFonts w:cs="Times New Roman"/>
      </w:rPr>
    </w:lvl>
    <w:lvl w:ilvl="5" w:tentative="0">
      <w:start w:val="1"/>
      <w:numFmt w:val="lowerRoman"/>
      <w:lvlText w:val="%6."/>
      <w:lvlJc w:val="right"/>
      <w:pPr>
        <w:ind w:left="2730" w:hanging="420"/>
      </w:pPr>
      <w:rPr>
        <w:rFonts w:cs="Times New Roman"/>
      </w:rPr>
    </w:lvl>
    <w:lvl w:ilvl="6" w:tentative="0">
      <w:start w:val="1"/>
      <w:numFmt w:val="decimal"/>
      <w:lvlText w:val="%7."/>
      <w:lvlJc w:val="left"/>
      <w:pPr>
        <w:ind w:left="3150" w:hanging="420"/>
      </w:pPr>
      <w:rPr>
        <w:rFonts w:cs="Times New Roman"/>
      </w:rPr>
    </w:lvl>
    <w:lvl w:ilvl="7" w:tentative="0">
      <w:start w:val="1"/>
      <w:numFmt w:val="lowerLetter"/>
      <w:pStyle w:val="710"/>
      <w:lvlText w:val="%8)"/>
      <w:lvlJc w:val="left"/>
      <w:pPr>
        <w:ind w:left="3570" w:hanging="420"/>
      </w:pPr>
      <w:rPr>
        <w:rFonts w:cs="Times New Roman"/>
      </w:rPr>
    </w:lvl>
    <w:lvl w:ilvl="8" w:tentative="0">
      <w:start w:val="1"/>
      <w:numFmt w:val="lowerRoman"/>
      <w:lvlText w:val="%9."/>
      <w:lvlJc w:val="right"/>
      <w:pPr>
        <w:ind w:left="3990" w:hanging="420"/>
      </w:pPr>
      <w:rPr>
        <w:rFonts w:cs="Times New Roman"/>
      </w:rPr>
    </w:lvl>
  </w:abstractNum>
  <w:abstractNum w:abstractNumId="17">
    <w:nsid w:val="4E7107F0"/>
    <w:multiLevelType w:val="multilevel"/>
    <w:tmpl w:val="4E7107F0"/>
    <w:lvl w:ilvl="0" w:tentative="0">
      <w:start w:val="1"/>
      <w:numFmt w:val="bullet"/>
      <w:pStyle w:val="455"/>
      <w:lvlText w:val=""/>
      <w:lvlJc w:val="left"/>
      <w:pPr>
        <w:tabs>
          <w:tab w:val="left" w:pos="520"/>
        </w:tabs>
        <w:ind w:left="520" w:hanging="420"/>
      </w:pPr>
      <w:rPr>
        <w:rFonts w:hint="default" w:ascii="Wingdings" w:hAnsi="Wingdings"/>
      </w:rPr>
    </w:lvl>
    <w:lvl w:ilvl="1" w:tentative="0">
      <w:start w:val="1"/>
      <w:numFmt w:val="decimal"/>
      <w:suff w:val="nothing"/>
      <w:lvlText w:val="%2.%1 "/>
      <w:lvlJc w:val="left"/>
      <w:pPr>
        <w:ind w:left="420" w:firstLine="0"/>
      </w:pPr>
      <w:rPr>
        <w:rFonts w:hint="eastAsia"/>
      </w:rPr>
    </w:lvl>
    <w:lvl w:ilvl="2" w:tentative="0">
      <w:start w:val="1"/>
      <w:numFmt w:val="decimal"/>
      <w:suff w:val="nothing"/>
      <w:lvlText w:val="%1.%2.%3 "/>
      <w:lvlJc w:val="left"/>
      <w:pPr>
        <w:ind w:left="420" w:firstLine="0"/>
      </w:pPr>
      <w:rPr>
        <w:rFonts w:hint="eastAsia"/>
      </w:rPr>
    </w:lvl>
    <w:lvl w:ilvl="3" w:tentative="0">
      <w:start w:val="1"/>
      <w:numFmt w:val="decimal"/>
      <w:suff w:val="nothing"/>
      <w:lvlText w:val="%1.%2.%3.%4 "/>
      <w:lvlJc w:val="left"/>
      <w:pPr>
        <w:ind w:left="420" w:firstLine="0"/>
      </w:pPr>
      <w:rPr>
        <w:rFonts w:hint="eastAsia"/>
      </w:rPr>
    </w:lvl>
    <w:lvl w:ilvl="4" w:tentative="0">
      <w:start w:val="1"/>
      <w:numFmt w:val="decimal"/>
      <w:suff w:val="nothing"/>
      <w:lvlText w:val="%1.%2.%3.%4.%5 "/>
      <w:lvlJc w:val="left"/>
      <w:pPr>
        <w:ind w:left="420" w:firstLine="0"/>
      </w:pPr>
      <w:rPr>
        <w:rFonts w:hint="eastAsia"/>
      </w:rPr>
    </w:lvl>
    <w:lvl w:ilvl="5" w:tentative="0">
      <w:start w:val="1"/>
      <w:numFmt w:val="decimal"/>
      <w:suff w:val="nothing"/>
      <w:lvlText w:val="%1.%2.%3.%4.%5.%6 "/>
      <w:lvlJc w:val="left"/>
      <w:pPr>
        <w:ind w:left="420" w:firstLine="0"/>
      </w:pPr>
      <w:rPr>
        <w:rFonts w:hint="eastAsia"/>
      </w:rPr>
    </w:lvl>
    <w:lvl w:ilvl="6" w:tentative="0">
      <w:start w:val="1"/>
      <w:numFmt w:val="decimal"/>
      <w:suff w:val="nothing"/>
      <w:lvlText w:val="%7."/>
      <w:lvlJc w:val="left"/>
      <w:pPr>
        <w:ind w:left="420" w:firstLine="0"/>
      </w:pPr>
      <w:rPr>
        <w:rFonts w:hint="eastAsia"/>
      </w:rPr>
    </w:lvl>
    <w:lvl w:ilvl="7" w:tentative="0">
      <w:start w:val="1"/>
      <w:numFmt w:val="none"/>
      <w:suff w:val="nothing"/>
      <w:lvlText w:val=""/>
      <w:lvlJc w:val="left"/>
      <w:pPr>
        <w:ind w:left="420" w:firstLine="0"/>
      </w:pPr>
      <w:rPr>
        <w:rFonts w:hint="eastAsia"/>
      </w:rPr>
    </w:lvl>
    <w:lvl w:ilvl="8" w:tentative="0">
      <w:start w:val="1"/>
      <w:numFmt w:val="none"/>
      <w:suff w:val="nothing"/>
      <w:lvlText w:val=""/>
      <w:lvlJc w:val="left"/>
      <w:pPr>
        <w:ind w:left="420" w:firstLine="0"/>
      </w:pPr>
      <w:rPr>
        <w:rFonts w:hint="eastAsia"/>
      </w:rPr>
    </w:lvl>
  </w:abstractNum>
  <w:abstractNum w:abstractNumId="18">
    <w:nsid w:val="557C2AF5"/>
    <w:multiLevelType w:val="multilevel"/>
    <w:tmpl w:val="557C2AF5"/>
    <w:lvl w:ilvl="0" w:tentative="0">
      <w:start w:val="1"/>
      <w:numFmt w:val="decimal"/>
      <w:pStyle w:val="133"/>
      <w:suff w:val="nothing"/>
      <w:lvlText w:val="图%1　"/>
      <w:lvlJc w:val="left"/>
      <w:pPr>
        <w:ind w:left="4140"/>
      </w:pPr>
      <w:rPr>
        <w:rFonts w:hint="eastAsia" w:ascii="黑体" w:hAnsi="Times New Roman" w:eastAsia="黑体" w:cs="Times New Roman"/>
        <w:b w:val="0"/>
        <w:bCs w:val="0"/>
        <w:i w:val="0"/>
        <w:iCs w:val="0"/>
        <w:sz w:val="21"/>
        <w:szCs w:val="21"/>
      </w:rPr>
    </w:lvl>
    <w:lvl w:ilvl="1" w:tentative="0">
      <w:start w:val="1"/>
      <w:numFmt w:val="decimal"/>
      <w:suff w:val="nothing"/>
      <w:lvlText w:val="%1%2　"/>
      <w:lvlJc w:val="left"/>
      <w:rPr>
        <w:rFonts w:hint="default" w:ascii="Times New Roman" w:hAnsi="Times New Roman" w:eastAsia="黑体" w:cs="Times New Roman"/>
        <w:b w:val="0"/>
        <w:bCs w:val="0"/>
        <w:i w:val="0"/>
        <w:iCs w:val="0"/>
        <w:sz w:val="21"/>
        <w:szCs w:val="21"/>
      </w:rPr>
    </w:lvl>
    <w:lvl w:ilvl="2" w:tentative="0">
      <w:start w:val="1"/>
      <w:numFmt w:val="decimal"/>
      <w:suff w:val="nothing"/>
      <w:lvlText w:val="%1%2.%3　"/>
      <w:lvlJc w:val="left"/>
      <w:rPr>
        <w:rFonts w:hint="default" w:ascii="Times New Roman" w:hAnsi="Times New Roman" w:eastAsia="黑体" w:cs="Times New Roman"/>
        <w:b w:val="0"/>
        <w:bCs w:val="0"/>
        <w:i w:val="0"/>
        <w:iCs w:val="0"/>
        <w:sz w:val="21"/>
        <w:szCs w:val="21"/>
      </w:rPr>
    </w:lvl>
    <w:lvl w:ilvl="3" w:tentative="0">
      <w:start w:val="1"/>
      <w:numFmt w:val="decimal"/>
      <w:suff w:val="nothing"/>
      <w:lvlText w:val="%1%2.%3.%4　"/>
      <w:lvlJc w:val="left"/>
      <w:rPr>
        <w:rFonts w:hint="default" w:ascii="Times New Roman" w:hAnsi="Times New Roman" w:eastAsia="黑体" w:cs="Times New Roman"/>
        <w:b w:val="0"/>
        <w:bCs w:val="0"/>
        <w:i w:val="0"/>
        <w:iCs w:val="0"/>
        <w:sz w:val="21"/>
        <w:szCs w:val="21"/>
      </w:rPr>
    </w:lvl>
    <w:lvl w:ilvl="4" w:tentative="0">
      <w:start w:val="1"/>
      <w:numFmt w:val="decimal"/>
      <w:suff w:val="nothing"/>
      <w:lvlText w:val="%1%2.%3.%4.%5　"/>
      <w:lvlJc w:val="left"/>
      <w:rPr>
        <w:rFonts w:hint="default" w:ascii="Times New Roman" w:hAnsi="Times New Roman" w:eastAsia="黑体" w:cs="Times New Roman"/>
        <w:b w:val="0"/>
        <w:bCs w:val="0"/>
        <w:i w:val="0"/>
        <w:iCs w:val="0"/>
        <w:sz w:val="21"/>
        <w:szCs w:val="21"/>
      </w:rPr>
    </w:lvl>
    <w:lvl w:ilvl="5" w:tentative="0">
      <w:start w:val="1"/>
      <w:numFmt w:val="decimal"/>
      <w:suff w:val="nothing"/>
      <w:lvlText w:val="%1%2.%3.%4.%5.%6　"/>
      <w:lvlJc w:val="left"/>
      <w:rPr>
        <w:rFonts w:hint="default" w:ascii="Times New Roman" w:hAnsi="Times New Roman" w:eastAsia="黑体" w:cs="Times New Roman"/>
        <w:b w:val="0"/>
        <w:bCs w:val="0"/>
        <w:i w:val="0"/>
        <w:iCs w:val="0"/>
        <w:sz w:val="21"/>
        <w:szCs w:val="21"/>
      </w:rPr>
    </w:lvl>
    <w:lvl w:ilvl="6" w:tentative="0">
      <w:start w:val="1"/>
      <w:numFmt w:val="decimal"/>
      <w:suff w:val="nothing"/>
      <w:lvlText w:val="%1%2.%3.%4.%5.%6.%7　"/>
      <w:lvlJc w:val="left"/>
      <w:rPr>
        <w:rFonts w:hint="default" w:ascii="Times New Roman" w:hAnsi="Times New Roman" w:eastAsia="黑体" w:cs="Times New Roman"/>
        <w:b w:val="0"/>
        <w:bCs w:val="0"/>
        <w:i w:val="0"/>
        <w:iCs w:val="0"/>
        <w:sz w:val="21"/>
        <w:szCs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9">
    <w:nsid w:val="56F95253"/>
    <w:multiLevelType w:val="multilevel"/>
    <w:tmpl w:val="56F95253"/>
    <w:lvl w:ilvl="0" w:tentative="0">
      <w:start w:val="1"/>
      <w:numFmt w:val="bullet"/>
      <w:pStyle w:val="625"/>
      <w:lvlText w:val=""/>
      <w:lvlJc w:val="left"/>
      <w:pPr>
        <w:ind w:left="1299" w:hanging="420"/>
      </w:pPr>
      <w:rPr>
        <w:rFonts w:hint="default" w:ascii="Wingdings" w:hAnsi="Wingdings"/>
      </w:rPr>
    </w:lvl>
    <w:lvl w:ilvl="1" w:tentative="0">
      <w:start w:val="1"/>
      <w:numFmt w:val="bullet"/>
      <w:lvlText w:val=""/>
      <w:lvlJc w:val="left"/>
      <w:pPr>
        <w:ind w:left="1719" w:hanging="420"/>
      </w:pPr>
      <w:rPr>
        <w:rFonts w:hint="default" w:ascii="Wingdings" w:hAnsi="Wingdings"/>
      </w:rPr>
    </w:lvl>
    <w:lvl w:ilvl="2" w:tentative="0">
      <w:start w:val="1"/>
      <w:numFmt w:val="bullet"/>
      <w:lvlText w:val=""/>
      <w:lvlJc w:val="left"/>
      <w:pPr>
        <w:ind w:left="2139" w:hanging="420"/>
      </w:pPr>
      <w:rPr>
        <w:rFonts w:hint="default" w:ascii="Wingdings" w:hAnsi="Wingdings"/>
      </w:rPr>
    </w:lvl>
    <w:lvl w:ilvl="3" w:tentative="0">
      <w:start w:val="1"/>
      <w:numFmt w:val="bullet"/>
      <w:lvlText w:val=""/>
      <w:lvlJc w:val="left"/>
      <w:pPr>
        <w:ind w:left="2559" w:hanging="420"/>
      </w:pPr>
      <w:rPr>
        <w:rFonts w:hint="default" w:ascii="Wingdings" w:hAnsi="Wingdings"/>
      </w:rPr>
    </w:lvl>
    <w:lvl w:ilvl="4" w:tentative="0">
      <w:start w:val="1"/>
      <w:numFmt w:val="bullet"/>
      <w:lvlText w:val=""/>
      <w:lvlJc w:val="left"/>
      <w:pPr>
        <w:ind w:left="2979" w:hanging="420"/>
      </w:pPr>
      <w:rPr>
        <w:rFonts w:hint="default" w:ascii="Wingdings" w:hAnsi="Wingdings"/>
      </w:rPr>
    </w:lvl>
    <w:lvl w:ilvl="5" w:tentative="0">
      <w:start w:val="1"/>
      <w:numFmt w:val="bullet"/>
      <w:lvlText w:val=""/>
      <w:lvlJc w:val="left"/>
      <w:pPr>
        <w:ind w:left="3399" w:hanging="420"/>
      </w:pPr>
      <w:rPr>
        <w:rFonts w:hint="default" w:ascii="Wingdings" w:hAnsi="Wingdings"/>
      </w:rPr>
    </w:lvl>
    <w:lvl w:ilvl="6" w:tentative="0">
      <w:start w:val="1"/>
      <w:numFmt w:val="bullet"/>
      <w:lvlText w:val=""/>
      <w:lvlJc w:val="left"/>
      <w:pPr>
        <w:ind w:left="3819" w:hanging="420"/>
      </w:pPr>
      <w:rPr>
        <w:rFonts w:hint="default" w:ascii="Wingdings" w:hAnsi="Wingdings"/>
      </w:rPr>
    </w:lvl>
    <w:lvl w:ilvl="7" w:tentative="0">
      <w:start w:val="1"/>
      <w:numFmt w:val="bullet"/>
      <w:lvlText w:val=""/>
      <w:lvlJc w:val="left"/>
      <w:pPr>
        <w:ind w:left="4239" w:hanging="420"/>
      </w:pPr>
      <w:rPr>
        <w:rFonts w:hint="default" w:ascii="Wingdings" w:hAnsi="Wingdings"/>
      </w:rPr>
    </w:lvl>
    <w:lvl w:ilvl="8" w:tentative="0">
      <w:start w:val="1"/>
      <w:numFmt w:val="bullet"/>
      <w:lvlText w:val=""/>
      <w:lvlJc w:val="left"/>
      <w:pPr>
        <w:ind w:left="4659" w:hanging="420"/>
      </w:pPr>
      <w:rPr>
        <w:rFonts w:hint="default" w:ascii="Wingdings" w:hAnsi="Wingdings"/>
      </w:rPr>
    </w:lvl>
  </w:abstractNum>
  <w:abstractNum w:abstractNumId="20">
    <w:nsid w:val="59474112"/>
    <w:multiLevelType w:val="singleLevel"/>
    <w:tmpl w:val="59474112"/>
    <w:lvl w:ilvl="0" w:tentative="0">
      <w:start w:val="4"/>
      <w:numFmt w:val="chineseCounting"/>
      <w:suff w:val="space"/>
      <w:lvlText w:val="第%1章"/>
      <w:lvlJc w:val="left"/>
    </w:lvl>
  </w:abstractNum>
  <w:abstractNum w:abstractNumId="21">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7422D24"/>
    <w:multiLevelType w:val="multilevel"/>
    <w:tmpl w:val="67422D24"/>
    <w:lvl w:ilvl="0" w:tentative="0">
      <w:start w:val="0"/>
      <w:numFmt w:val="decimal"/>
      <w:pStyle w:val="510"/>
      <w:lvlText w:val=""/>
      <w:lvlJc w:val="left"/>
      <w:rPr>
        <w:rFonts w:cs="Times New Roman"/>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pStyle w:val="64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pStyle w:val="137"/>
      <w:lvlText w:val=""/>
      <w:lvlJc w:val="left"/>
      <w:rPr>
        <w:rFonts w:cs="Times New Roman"/>
      </w:rPr>
    </w:lvl>
  </w:abstractNum>
  <w:abstractNum w:abstractNumId="23">
    <w:nsid w:val="6B65520F"/>
    <w:multiLevelType w:val="multilevel"/>
    <w:tmpl w:val="6B65520F"/>
    <w:lvl w:ilvl="0" w:tentative="0">
      <w:start w:val="0"/>
      <w:numFmt w:val="decimal"/>
      <w:lvlText w:val=""/>
      <w:lvlJc w:val="left"/>
      <w:rPr>
        <w:rFonts w:cs="Times New Roman"/>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pStyle w:val="684"/>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4">
    <w:nsid w:val="6CEA2025"/>
    <w:multiLevelType w:val="multilevel"/>
    <w:tmpl w:val="6CEA2025"/>
    <w:lvl w:ilvl="0" w:tentative="0">
      <w:start w:val="0"/>
      <w:numFmt w:val="decimal"/>
      <w:lvlText w:val=""/>
      <w:lvlJc w:val="left"/>
      <w:rPr>
        <w:rFonts w:cs="Times New Roman"/>
      </w:rPr>
    </w:lvl>
    <w:lvl w:ilvl="1" w:tentative="0">
      <w:start w:val="0"/>
      <w:numFmt w:val="decimal"/>
      <w:pStyle w:val="431"/>
      <w:lvlText w:val=""/>
      <w:lvlJc w:val="left"/>
      <w:rPr>
        <w:rFonts w:cs="Times New Roman"/>
      </w:rPr>
    </w:lvl>
    <w:lvl w:ilvl="2" w:tentative="0">
      <w:start w:val="0"/>
      <w:numFmt w:val="decimal"/>
      <w:pStyle w:val="430"/>
      <w:lvlText w:val=""/>
      <w:lvlJc w:val="left"/>
      <w:rPr>
        <w:rFonts w:cs="Times New Roman"/>
      </w:rPr>
    </w:lvl>
    <w:lvl w:ilvl="3" w:tentative="0">
      <w:start w:val="0"/>
      <w:numFmt w:val="decimal"/>
      <w:pStyle w:val="429"/>
      <w:lvlText w:val=""/>
      <w:lvlJc w:val="left"/>
      <w:rPr>
        <w:rFonts w:cs="Times New Roman"/>
      </w:rPr>
    </w:lvl>
    <w:lvl w:ilvl="4" w:tentative="0">
      <w:start w:val="0"/>
      <w:numFmt w:val="decimal"/>
      <w:pStyle w:val="602"/>
      <w:lvlText w:val=""/>
      <w:lvlJc w:val="left"/>
      <w:rPr>
        <w:rFonts w:cs="Times New Roman"/>
      </w:rPr>
    </w:lvl>
    <w:lvl w:ilvl="5" w:tentative="0">
      <w:start w:val="0"/>
      <w:numFmt w:val="decimal"/>
      <w:pStyle w:val="601"/>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5">
    <w:nsid w:val="6EA33FEF"/>
    <w:multiLevelType w:val="multilevel"/>
    <w:tmpl w:val="6EA33FEF"/>
    <w:lvl w:ilvl="0" w:tentative="0">
      <w:start w:val="1"/>
      <w:numFmt w:val="decimal"/>
      <w:pStyle w:val="596"/>
      <w:lvlText w:val="%1."/>
      <w:lvlJc w:val="left"/>
      <w:pPr>
        <w:ind w:left="0" w:firstLine="0"/>
      </w:pPr>
      <w:rPr>
        <w:rFonts w:hint="eastAsia"/>
        <w:color w:val="auto"/>
        <w:sz w:val="32"/>
        <w:szCs w:val="32"/>
        <w:u w:val="none"/>
      </w:rPr>
    </w:lvl>
    <w:lvl w:ilvl="1" w:tentative="0">
      <w:start w:val="1"/>
      <w:numFmt w:val="decimal"/>
      <w:suff w:val="space"/>
      <w:lvlText w:val="%1.%2"/>
      <w:lvlJc w:val="left"/>
      <w:pPr>
        <w:ind w:left="0" w:firstLine="0"/>
      </w:pPr>
      <w:rPr>
        <w:rFonts w:hint="default" w:ascii="Arial" w:hAnsi="Arial" w:eastAsia="黑体"/>
        <w:color w:val="auto"/>
        <w:sz w:val="28"/>
        <w:szCs w:val="28"/>
        <w:u w:val="none"/>
      </w:rPr>
    </w:lvl>
    <w:lvl w:ilvl="2" w:tentative="0">
      <w:start w:val="1"/>
      <w:numFmt w:val="decimal"/>
      <w:suff w:val="space"/>
      <w:lvlText w:val="%1.%2.%3"/>
      <w:lvlJc w:val="left"/>
      <w:pPr>
        <w:ind w:left="0" w:firstLine="0"/>
      </w:pPr>
      <w:rPr>
        <w:rFonts w:hint="default" w:ascii="Arial" w:hAnsi="Arial" w:eastAsia="黑体"/>
        <w:b/>
        <w:sz w:val="24"/>
        <w:szCs w:val="24"/>
        <w:u w:val="none"/>
      </w:rPr>
    </w:lvl>
    <w:lvl w:ilvl="3" w:tentative="0">
      <w:start w:val="1"/>
      <w:numFmt w:val="decimal"/>
      <w:lvlText w:val="7.2.1.8.%4"/>
      <w:lvlJc w:val="left"/>
      <w:pPr>
        <w:ind w:left="0" w:firstLine="0"/>
      </w:pPr>
      <w:rPr>
        <w:rFonts w:hint="eastAsia"/>
        <w:b/>
        <w:color w:val="auto"/>
        <w:sz w:val="24"/>
        <w:szCs w:val="24"/>
        <w:u w:val="none"/>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6">
    <w:nsid w:val="730B5059"/>
    <w:multiLevelType w:val="multilevel"/>
    <w:tmpl w:val="730B5059"/>
    <w:lvl w:ilvl="0" w:tentative="0">
      <w:start w:val="0"/>
      <w:numFmt w:val="decimal"/>
      <w:pStyle w:val="571"/>
      <w:lvlText w:val=""/>
      <w:lvlJc w:val="left"/>
      <w:rPr>
        <w:rFonts w:cs="Times New Roman"/>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7">
    <w:nsid w:val="74053CD7"/>
    <w:multiLevelType w:val="multilevel"/>
    <w:tmpl w:val="74053CD7"/>
    <w:lvl w:ilvl="0" w:tentative="0">
      <w:start w:val="1"/>
      <w:numFmt w:val="decimal"/>
      <w:pStyle w:val="734"/>
      <w:isLgl/>
      <w:lvlText w:val="%1、"/>
      <w:lvlJc w:val="left"/>
      <w:pPr>
        <w:tabs>
          <w:tab w:val="left" w:pos="425"/>
        </w:tabs>
        <w:ind w:left="425" w:hanging="425"/>
      </w:pPr>
      <w:rPr>
        <w:rFonts w:hint="eastAsia"/>
      </w:rPr>
    </w:lvl>
    <w:lvl w:ilvl="1" w:tentative="0">
      <w:start w:val="1"/>
      <w:numFmt w:val="decimal"/>
      <w:pStyle w:val="372"/>
      <w:lvlText w:val="%1.%2"/>
      <w:lvlJc w:val="left"/>
      <w:pPr>
        <w:tabs>
          <w:tab w:val="left" w:pos="1145"/>
        </w:tabs>
        <w:ind w:left="992" w:hanging="567"/>
      </w:pPr>
      <w:rPr>
        <w:rFonts w:hint="eastAsia"/>
      </w:rPr>
    </w:lvl>
    <w:lvl w:ilvl="2" w:tentative="0">
      <w:start w:val="1"/>
      <w:numFmt w:val="decimal"/>
      <w:pStyle w:val="570"/>
      <w:lvlText w:val="%1.%2.%3"/>
      <w:lvlJc w:val="left"/>
      <w:pPr>
        <w:tabs>
          <w:tab w:val="left" w:pos="2291"/>
        </w:tabs>
        <w:ind w:left="1418" w:hanging="567"/>
      </w:pPr>
      <w:rPr>
        <w:rFonts w:hint="eastAsia"/>
      </w:rPr>
    </w:lvl>
    <w:lvl w:ilvl="3" w:tentative="0">
      <w:start w:val="1"/>
      <w:numFmt w:val="decimal"/>
      <w:pStyle w:val="682"/>
      <w:lvlText w:val="%1.%2.%3.%4"/>
      <w:lvlJc w:val="left"/>
      <w:pPr>
        <w:tabs>
          <w:tab w:val="left" w:pos="3076"/>
        </w:tabs>
        <w:ind w:left="1984" w:hanging="708"/>
      </w:pPr>
      <w:rPr>
        <w:rFonts w:hint="eastAsia"/>
      </w:rPr>
    </w:lvl>
    <w:lvl w:ilvl="4" w:tentative="0">
      <w:start w:val="1"/>
      <w:numFmt w:val="decimal"/>
      <w:pStyle w:val="537"/>
      <w:lvlText w:val="%1.%2.%3.%4.%5"/>
      <w:lvlJc w:val="left"/>
      <w:pPr>
        <w:tabs>
          <w:tab w:val="left" w:pos="3861"/>
        </w:tabs>
        <w:ind w:left="2551" w:hanging="850"/>
      </w:pPr>
      <w:rPr>
        <w:rFonts w:hint="eastAsia"/>
      </w:rPr>
    </w:lvl>
    <w:lvl w:ilvl="5" w:tentative="0">
      <w:start w:val="1"/>
      <w:numFmt w:val="decimal"/>
      <w:pStyle w:val="731"/>
      <w:lvlText w:val="%1.%2.%3.%4.%5.%6"/>
      <w:lvlJc w:val="left"/>
      <w:pPr>
        <w:tabs>
          <w:tab w:val="left" w:pos="4646"/>
        </w:tabs>
        <w:ind w:left="3260" w:hanging="1134"/>
      </w:pPr>
      <w:rPr>
        <w:rFonts w:hint="eastAsia"/>
      </w:rPr>
    </w:lvl>
    <w:lvl w:ilvl="6" w:tentative="0">
      <w:start w:val="1"/>
      <w:numFmt w:val="decimal"/>
      <w:pStyle w:val="603"/>
      <w:lvlText w:val="%1.%2.%3.%4.%5.%6.%7"/>
      <w:lvlJc w:val="left"/>
      <w:pPr>
        <w:tabs>
          <w:tab w:val="left" w:pos="5791"/>
        </w:tabs>
        <w:ind w:left="3827" w:hanging="1276"/>
      </w:pPr>
      <w:rPr>
        <w:rFonts w:hint="eastAsia"/>
      </w:rPr>
    </w:lvl>
    <w:lvl w:ilvl="7" w:tentative="0">
      <w:start w:val="1"/>
      <w:numFmt w:val="decimal"/>
      <w:lvlText w:val="%1.%2.%3.%4.%5.%6.%7.%8"/>
      <w:lvlJc w:val="left"/>
      <w:pPr>
        <w:tabs>
          <w:tab w:val="left" w:pos="6576"/>
        </w:tabs>
        <w:ind w:left="4394" w:hanging="1418"/>
      </w:pPr>
      <w:rPr>
        <w:rFonts w:hint="eastAsia"/>
      </w:rPr>
    </w:lvl>
    <w:lvl w:ilvl="8" w:tentative="0">
      <w:start w:val="1"/>
      <w:numFmt w:val="decimal"/>
      <w:lvlText w:val="%1.%2.%3.%4.%5.%6.%7.%8.%9"/>
      <w:lvlJc w:val="left"/>
      <w:pPr>
        <w:tabs>
          <w:tab w:val="left" w:pos="7362"/>
        </w:tabs>
        <w:ind w:left="5102" w:hanging="1700"/>
      </w:pPr>
      <w:rPr>
        <w:rFonts w:hint="eastAsia"/>
      </w:rPr>
    </w:lvl>
  </w:abstractNum>
  <w:num w:numId="1">
    <w:abstractNumId w:val="18"/>
  </w:num>
  <w:num w:numId="2">
    <w:abstractNumId w:val="22"/>
  </w:num>
  <w:num w:numId="3">
    <w:abstractNumId w:val="7"/>
  </w:num>
  <w:num w:numId="4">
    <w:abstractNumId w:val="10"/>
  </w:num>
  <w:num w:numId="5">
    <w:abstractNumId w:val="27"/>
  </w:num>
  <w:num w:numId="6">
    <w:abstractNumId w:val="14"/>
  </w:num>
  <w:num w:numId="7">
    <w:abstractNumId w:val="6"/>
  </w:num>
  <w:num w:numId="8">
    <w:abstractNumId w:val="24"/>
  </w:num>
  <w:num w:numId="9">
    <w:abstractNumId w:val="8"/>
  </w:num>
  <w:num w:numId="10">
    <w:abstractNumId w:val="17"/>
  </w:num>
  <w:num w:numId="11">
    <w:abstractNumId w:val="13"/>
  </w:num>
  <w:num w:numId="12">
    <w:abstractNumId w:val="26"/>
  </w:num>
  <w:num w:numId="13">
    <w:abstractNumId w:val="25"/>
  </w:num>
  <w:num w:numId="14">
    <w:abstractNumId w:val="19"/>
  </w:num>
  <w:num w:numId="15">
    <w:abstractNumId w:val="15"/>
  </w:num>
  <w:num w:numId="16">
    <w:abstractNumId w:val="23"/>
  </w:num>
  <w:num w:numId="17">
    <w:abstractNumId w:val="9"/>
  </w:num>
  <w:num w:numId="18">
    <w:abstractNumId w:val="16"/>
  </w:num>
  <w:num w:numId="19">
    <w:abstractNumId w:val="12"/>
  </w:num>
  <w:num w:numId="20">
    <w:abstractNumId w:val="11"/>
  </w:num>
  <w:num w:numId="21">
    <w:abstractNumId w:val="3"/>
  </w:num>
  <w:num w:numId="22">
    <w:abstractNumId w:val="2"/>
  </w:num>
  <w:num w:numId="23">
    <w:abstractNumId w:val="21"/>
  </w:num>
  <w:num w:numId="24">
    <w:abstractNumId w:val="0"/>
  </w:num>
  <w:num w:numId="25">
    <w:abstractNumId w:val="20"/>
  </w:num>
  <w:num w:numId="26">
    <w:abstractNumId w:val="5"/>
  </w:num>
  <w:num w:numId="27">
    <w:abstractNumId w:val="1"/>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0"/>
  <w:bordersDoNotSurroundFooter w:val="0"/>
  <w:documentProtection w:enforcement="0"/>
  <w:defaultTabStop w:val="420"/>
  <w:drawingGridHorizontalSpacing w:val="107"/>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mZmQ3MDdlNjMwMzQ5OWFkY2RkZTg5NGI1Y2Q3NDgifQ=="/>
    <w:docVar w:name="KSO_WPS_MARK_KEY" w:val="8263fb69-a9c1-4e81-b157-69705c7b2418"/>
  </w:docVars>
  <w:rsids>
    <w:rsidRoot w:val="00496D5A"/>
    <w:rsid w:val="000036F1"/>
    <w:rsid w:val="00004ECE"/>
    <w:rsid w:val="00006C73"/>
    <w:rsid w:val="00007AD0"/>
    <w:rsid w:val="00010316"/>
    <w:rsid w:val="0001181F"/>
    <w:rsid w:val="000118C6"/>
    <w:rsid w:val="00013AAF"/>
    <w:rsid w:val="000156E2"/>
    <w:rsid w:val="000161FD"/>
    <w:rsid w:val="00016393"/>
    <w:rsid w:val="00016CC5"/>
    <w:rsid w:val="00022198"/>
    <w:rsid w:val="00023212"/>
    <w:rsid w:val="00023AB6"/>
    <w:rsid w:val="00024344"/>
    <w:rsid w:val="000247CF"/>
    <w:rsid w:val="00025986"/>
    <w:rsid w:val="00026B4C"/>
    <w:rsid w:val="00026C48"/>
    <w:rsid w:val="00026FD7"/>
    <w:rsid w:val="00027406"/>
    <w:rsid w:val="0002779F"/>
    <w:rsid w:val="00027D5B"/>
    <w:rsid w:val="00030E99"/>
    <w:rsid w:val="000313EC"/>
    <w:rsid w:val="00032C19"/>
    <w:rsid w:val="0003335B"/>
    <w:rsid w:val="00033DFA"/>
    <w:rsid w:val="00034641"/>
    <w:rsid w:val="00034C2B"/>
    <w:rsid w:val="00036D54"/>
    <w:rsid w:val="00037509"/>
    <w:rsid w:val="00037E98"/>
    <w:rsid w:val="00040579"/>
    <w:rsid w:val="00040890"/>
    <w:rsid w:val="000409DE"/>
    <w:rsid w:val="00040D86"/>
    <w:rsid w:val="000436C2"/>
    <w:rsid w:val="0004447A"/>
    <w:rsid w:val="000444DD"/>
    <w:rsid w:val="00050C46"/>
    <w:rsid w:val="00051E2A"/>
    <w:rsid w:val="00053925"/>
    <w:rsid w:val="00053DE3"/>
    <w:rsid w:val="000559A7"/>
    <w:rsid w:val="00055D82"/>
    <w:rsid w:val="000570C5"/>
    <w:rsid w:val="00057AE8"/>
    <w:rsid w:val="000607A9"/>
    <w:rsid w:val="00062167"/>
    <w:rsid w:val="00063852"/>
    <w:rsid w:val="00063C2E"/>
    <w:rsid w:val="00063F02"/>
    <w:rsid w:val="000640EC"/>
    <w:rsid w:val="000641A5"/>
    <w:rsid w:val="0006557C"/>
    <w:rsid w:val="00065A3A"/>
    <w:rsid w:val="00066189"/>
    <w:rsid w:val="0007021C"/>
    <w:rsid w:val="0007224F"/>
    <w:rsid w:val="00073DDA"/>
    <w:rsid w:val="000761A1"/>
    <w:rsid w:val="000802CC"/>
    <w:rsid w:val="000803B2"/>
    <w:rsid w:val="00081250"/>
    <w:rsid w:val="000818D8"/>
    <w:rsid w:val="000822A8"/>
    <w:rsid w:val="000825F0"/>
    <w:rsid w:val="00083497"/>
    <w:rsid w:val="00083831"/>
    <w:rsid w:val="0008386F"/>
    <w:rsid w:val="0008630B"/>
    <w:rsid w:val="00086A97"/>
    <w:rsid w:val="00086FA2"/>
    <w:rsid w:val="00090E32"/>
    <w:rsid w:val="00091494"/>
    <w:rsid w:val="000930E1"/>
    <w:rsid w:val="000938C1"/>
    <w:rsid w:val="00093FD9"/>
    <w:rsid w:val="000951D6"/>
    <w:rsid w:val="000952E7"/>
    <w:rsid w:val="00097E17"/>
    <w:rsid w:val="000A0D2C"/>
    <w:rsid w:val="000A2563"/>
    <w:rsid w:val="000A2941"/>
    <w:rsid w:val="000A3E58"/>
    <w:rsid w:val="000A4AB9"/>
    <w:rsid w:val="000A604E"/>
    <w:rsid w:val="000A77ED"/>
    <w:rsid w:val="000A7AAE"/>
    <w:rsid w:val="000B3025"/>
    <w:rsid w:val="000B422C"/>
    <w:rsid w:val="000B52A6"/>
    <w:rsid w:val="000B6963"/>
    <w:rsid w:val="000B73EE"/>
    <w:rsid w:val="000B76C1"/>
    <w:rsid w:val="000C0F72"/>
    <w:rsid w:val="000C1D06"/>
    <w:rsid w:val="000C2B71"/>
    <w:rsid w:val="000C3661"/>
    <w:rsid w:val="000C3830"/>
    <w:rsid w:val="000C5109"/>
    <w:rsid w:val="000C53D7"/>
    <w:rsid w:val="000C5BDA"/>
    <w:rsid w:val="000D0071"/>
    <w:rsid w:val="000D6BAB"/>
    <w:rsid w:val="000D73B7"/>
    <w:rsid w:val="000D7EAC"/>
    <w:rsid w:val="000E1674"/>
    <w:rsid w:val="000E1E33"/>
    <w:rsid w:val="000E430C"/>
    <w:rsid w:val="000E45EE"/>
    <w:rsid w:val="000E5D74"/>
    <w:rsid w:val="000E6538"/>
    <w:rsid w:val="000F02B7"/>
    <w:rsid w:val="000F06E3"/>
    <w:rsid w:val="000F23B9"/>
    <w:rsid w:val="000F3C8B"/>
    <w:rsid w:val="000F3D73"/>
    <w:rsid w:val="000F4D11"/>
    <w:rsid w:val="00100878"/>
    <w:rsid w:val="00100C28"/>
    <w:rsid w:val="0010166A"/>
    <w:rsid w:val="00101CA9"/>
    <w:rsid w:val="001031D1"/>
    <w:rsid w:val="0010353D"/>
    <w:rsid w:val="001044D2"/>
    <w:rsid w:val="00105091"/>
    <w:rsid w:val="001057F0"/>
    <w:rsid w:val="00106752"/>
    <w:rsid w:val="00106795"/>
    <w:rsid w:val="00106849"/>
    <w:rsid w:val="00106CB3"/>
    <w:rsid w:val="0010711B"/>
    <w:rsid w:val="00107232"/>
    <w:rsid w:val="00110CE3"/>
    <w:rsid w:val="00111A9F"/>
    <w:rsid w:val="00111B24"/>
    <w:rsid w:val="0011494C"/>
    <w:rsid w:val="00115E35"/>
    <w:rsid w:val="001256EF"/>
    <w:rsid w:val="0013108F"/>
    <w:rsid w:val="0013133B"/>
    <w:rsid w:val="001324C6"/>
    <w:rsid w:val="001344E3"/>
    <w:rsid w:val="001364C1"/>
    <w:rsid w:val="00137E34"/>
    <w:rsid w:val="00140097"/>
    <w:rsid w:val="001416D5"/>
    <w:rsid w:val="00143041"/>
    <w:rsid w:val="00143BC9"/>
    <w:rsid w:val="00144013"/>
    <w:rsid w:val="001467C2"/>
    <w:rsid w:val="00146ED3"/>
    <w:rsid w:val="00147A5B"/>
    <w:rsid w:val="00147E27"/>
    <w:rsid w:val="00151D12"/>
    <w:rsid w:val="00152628"/>
    <w:rsid w:val="00152706"/>
    <w:rsid w:val="00154ED0"/>
    <w:rsid w:val="00156203"/>
    <w:rsid w:val="00156889"/>
    <w:rsid w:val="0015692B"/>
    <w:rsid w:val="0016034A"/>
    <w:rsid w:val="00160437"/>
    <w:rsid w:val="00161EAF"/>
    <w:rsid w:val="00162188"/>
    <w:rsid w:val="00162403"/>
    <w:rsid w:val="00162559"/>
    <w:rsid w:val="0016290D"/>
    <w:rsid w:val="001630A3"/>
    <w:rsid w:val="001640C9"/>
    <w:rsid w:val="001652A3"/>
    <w:rsid w:val="001656F0"/>
    <w:rsid w:val="00167D4D"/>
    <w:rsid w:val="00167E36"/>
    <w:rsid w:val="0017108F"/>
    <w:rsid w:val="00171A9C"/>
    <w:rsid w:val="00171C0C"/>
    <w:rsid w:val="00171E4A"/>
    <w:rsid w:val="00172007"/>
    <w:rsid w:val="00172683"/>
    <w:rsid w:val="00172AC1"/>
    <w:rsid w:val="0017309D"/>
    <w:rsid w:val="00174033"/>
    <w:rsid w:val="00174093"/>
    <w:rsid w:val="00174A4E"/>
    <w:rsid w:val="00174AD2"/>
    <w:rsid w:val="00174F89"/>
    <w:rsid w:val="0017509B"/>
    <w:rsid w:val="00175C3E"/>
    <w:rsid w:val="00175DA5"/>
    <w:rsid w:val="00175F68"/>
    <w:rsid w:val="0017613D"/>
    <w:rsid w:val="0017639C"/>
    <w:rsid w:val="00177F14"/>
    <w:rsid w:val="0018024B"/>
    <w:rsid w:val="001832A4"/>
    <w:rsid w:val="001847E8"/>
    <w:rsid w:val="00185122"/>
    <w:rsid w:val="00185957"/>
    <w:rsid w:val="00186905"/>
    <w:rsid w:val="00186F32"/>
    <w:rsid w:val="0018787D"/>
    <w:rsid w:val="001878BF"/>
    <w:rsid w:val="00190999"/>
    <w:rsid w:val="00190F87"/>
    <w:rsid w:val="00194266"/>
    <w:rsid w:val="00194DE2"/>
    <w:rsid w:val="00194E27"/>
    <w:rsid w:val="001975F6"/>
    <w:rsid w:val="00197A4D"/>
    <w:rsid w:val="00197CAD"/>
    <w:rsid w:val="00197DB3"/>
    <w:rsid w:val="001A0051"/>
    <w:rsid w:val="001A008F"/>
    <w:rsid w:val="001A1558"/>
    <w:rsid w:val="001A27C7"/>
    <w:rsid w:val="001A3490"/>
    <w:rsid w:val="001A6040"/>
    <w:rsid w:val="001A68A2"/>
    <w:rsid w:val="001A75EC"/>
    <w:rsid w:val="001B01FC"/>
    <w:rsid w:val="001B0694"/>
    <w:rsid w:val="001B0BA7"/>
    <w:rsid w:val="001B1FA0"/>
    <w:rsid w:val="001B229F"/>
    <w:rsid w:val="001B249C"/>
    <w:rsid w:val="001B284F"/>
    <w:rsid w:val="001B31F0"/>
    <w:rsid w:val="001B4AC8"/>
    <w:rsid w:val="001B56C9"/>
    <w:rsid w:val="001B6371"/>
    <w:rsid w:val="001B6E2A"/>
    <w:rsid w:val="001B6F91"/>
    <w:rsid w:val="001B7537"/>
    <w:rsid w:val="001B7F3D"/>
    <w:rsid w:val="001C1DA8"/>
    <w:rsid w:val="001C30E6"/>
    <w:rsid w:val="001C58D5"/>
    <w:rsid w:val="001C598A"/>
    <w:rsid w:val="001C655E"/>
    <w:rsid w:val="001C6863"/>
    <w:rsid w:val="001C6BB6"/>
    <w:rsid w:val="001C6BDA"/>
    <w:rsid w:val="001C6E94"/>
    <w:rsid w:val="001C724E"/>
    <w:rsid w:val="001C7DB0"/>
    <w:rsid w:val="001C7EEC"/>
    <w:rsid w:val="001D00D0"/>
    <w:rsid w:val="001D1504"/>
    <w:rsid w:val="001D23F4"/>
    <w:rsid w:val="001D24BE"/>
    <w:rsid w:val="001D6192"/>
    <w:rsid w:val="001D6B61"/>
    <w:rsid w:val="001E049A"/>
    <w:rsid w:val="001E0AF2"/>
    <w:rsid w:val="001E0CE8"/>
    <w:rsid w:val="001E17BB"/>
    <w:rsid w:val="001E1FE8"/>
    <w:rsid w:val="001E483C"/>
    <w:rsid w:val="001E4E3F"/>
    <w:rsid w:val="001E693B"/>
    <w:rsid w:val="001E69DB"/>
    <w:rsid w:val="001F02A9"/>
    <w:rsid w:val="001F12E4"/>
    <w:rsid w:val="001F1EF7"/>
    <w:rsid w:val="001F2D96"/>
    <w:rsid w:val="001F3061"/>
    <w:rsid w:val="00200EA4"/>
    <w:rsid w:val="00201480"/>
    <w:rsid w:val="00202B09"/>
    <w:rsid w:val="002037B4"/>
    <w:rsid w:val="002037DB"/>
    <w:rsid w:val="0020421A"/>
    <w:rsid w:val="00205190"/>
    <w:rsid w:val="002051CE"/>
    <w:rsid w:val="0020559F"/>
    <w:rsid w:val="00205DD3"/>
    <w:rsid w:val="00206968"/>
    <w:rsid w:val="00206D42"/>
    <w:rsid w:val="00206FCE"/>
    <w:rsid w:val="00207162"/>
    <w:rsid w:val="00207CC7"/>
    <w:rsid w:val="002100AC"/>
    <w:rsid w:val="00211C0E"/>
    <w:rsid w:val="002131F5"/>
    <w:rsid w:val="002136D9"/>
    <w:rsid w:val="00215E17"/>
    <w:rsid w:val="0021675C"/>
    <w:rsid w:val="00217FE3"/>
    <w:rsid w:val="00221E4E"/>
    <w:rsid w:val="002223E0"/>
    <w:rsid w:val="00222732"/>
    <w:rsid w:val="002232D5"/>
    <w:rsid w:val="00223AAF"/>
    <w:rsid w:val="00223B64"/>
    <w:rsid w:val="002251A0"/>
    <w:rsid w:val="00226977"/>
    <w:rsid w:val="002270C6"/>
    <w:rsid w:val="00230283"/>
    <w:rsid w:val="00232217"/>
    <w:rsid w:val="0023247D"/>
    <w:rsid w:val="00233FE6"/>
    <w:rsid w:val="0023455F"/>
    <w:rsid w:val="00234E98"/>
    <w:rsid w:val="002355BB"/>
    <w:rsid w:val="0023652D"/>
    <w:rsid w:val="00236E4D"/>
    <w:rsid w:val="0023761A"/>
    <w:rsid w:val="00240645"/>
    <w:rsid w:val="00240A37"/>
    <w:rsid w:val="00241B9C"/>
    <w:rsid w:val="00242EFF"/>
    <w:rsid w:val="00243709"/>
    <w:rsid w:val="002441EA"/>
    <w:rsid w:val="00245A92"/>
    <w:rsid w:val="002502DD"/>
    <w:rsid w:val="00250350"/>
    <w:rsid w:val="00254281"/>
    <w:rsid w:val="002555AA"/>
    <w:rsid w:val="002563EF"/>
    <w:rsid w:val="0026103C"/>
    <w:rsid w:val="00261AB0"/>
    <w:rsid w:val="00262A37"/>
    <w:rsid w:val="00264994"/>
    <w:rsid w:val="00266E91"/>
    <w:rsid w:val="00267C24"/>
    <w:rsid w:val="00270989"/>
    <w:rsid w:val="0027191E"/>
    <w:rsid w:val="00273F29"/>
    <w:rsid w:val="00275C4B"/>
    <w:rsid w:val="00275D2A"/>
    <w:rsid w:val="00277DD6"/>
    <w:rsid w:val="00277F08"/>
    <w:rsid w:val="00281493"/>
    <w:rsid w:val="002821BF"/>
    <w:rsid w:val="0028333A"/>
    <w:rsid w:val="0028525A"/>
    <w:rsid w:val="00285665"/>
    <w:rsid w:val="002859F6"/>
    <w:rsid w:val="00290029"/>
    <w:rsid w:val="0029007D"/>
    <w:rsid w:val="00290F35"/>
    <w:rsid w:val="00291C33"/>
    <w:rsid w:val="002942E2"/>
    <w:rsid w:val="00294643"/>
    <w:rsid w:val="0029579C"/>
    <w:rsid w:val="00295E49"/>
    <w:rsid w:val="00296F33"/>
    <w:rsid w:val="00297CB8"/>
    <w:rsid w:val="002A03CB"/>
    <w:rsid w:val="002A1128"/>
    <w:rsid w:val="002A41F5"/>
    <w:rsid w:val="002A46F4"/>
    <w:rsid w:val="002A6ED0"/>
    <w:rsid w:val="002A7211"/>
    <w:rsid w:val="002A7EAE"/>
    <w:rsid w:val="002B033E"/>
    <w:rsid w:val="002B1348"/>
    <w:rsid w:val="002B4521"/>
    <w:rsid w:val="002B53DC"/>
    <w:rsid w:val="002B5ACF"/>
    <w:rsid w:val="002B5F66"/>
    <w:rsid w:val="002B6B35"/>
    <w:rsid w:val="002B7325"/>
    <w:rsid w:val="002B73B2"/>
    <w:rsid w:val="002B74AA"/>
    <w:rsid w:val="002C1FAE"/>
    <w:rsid w:val="002C2732"/>
    <w:rsid w:val="002C3CC9"/>
    <w:rsid w:val="002C561B"/>
    <w:rsid w:val="002D1799"/>
    <w:rsid w:val="002D297F"/>
    <w:rsid w:val="002D54FC"/>
    <w:rsid w:val="002D5633"/>
    <w:rsid w:val="002D564D"/>
    <w:rsid w:val="002D5F81"/>
    <w:rsid w:val="002D6327"/>
    <w:rsid w:val="002D675E"/>
    <w:rsid w:val="002D6770"/>
    <w:rsid w:val="002E2AB7"/>
    <w:rsid w:val="002E2BB7"/>
    <w:rsid w:val="002E356B"/>
    <w:rsid w:val="002E39BE"/>
    <w:rsid w:val="002E3C16"/>
    <w:rsid w:val="002E4654"/>
    <w:rsid w:val="002E48F2"/>
    <w:rsid w:val="002E50FB"/>
    <w:rsid w:val="002E6042"/>
    <w:rsid w:val="002E7548"/>
    <w:rsid w:val="002F0EFC"/>
    <w:rsid w:val="002F1A63"/>
    <w:rsid w:val="002F214A"/>
    <w:rsid w:val="002F29D2"/>
    <w:rsid w:val="002F32B3"/>
    <w:rsid w:val="002F3FC3"/>
    <w:rsid w:val="002F42D5"/>
    <w:rsid w:val="002F500A"/>
    <w:rsid w:val="002F57A9"/>
    <w:rsid w:val="00301B5A"/>
    <w:rsid w:val="00302644"/>
    <w:rsid w:val="003030C4"/>
    <w:rsid w:val="00304338"/>
    <w:rsid w:val="0030631D"/>
    <w:rsid w:val="003072D6"/>
    <w:rsid w:val="00310069"/>
    <w:rsid w:val="0031054D"/>
    <w:rsid w:val="00311078"/>
    <w:rsid w:val="0031155D"/>
    <w:rsid w:val="003125D2"/>
    <w:rsid w:val="003136E5"/>
    <w:rsid w:val="00313BC8"/>
    <w:rsid w:val="0031417B"/>
    <w:rsid w:val="0031629C"/>
    <w:rsid w:val="003174BF"/>
    <w:rsid w:val="00317CD3"/>
    <w:rsid w:val="0032007B"/>
    <w:rsid w:val="00320543"/>
    <w:rsid w:val="00321BD9"/>
    <w:rsid w:val="00321C75"/>
    <w:rsid w:val="00322142"/>
    <w:rsid w:val="003228C9"/>
    <w:rsid w:val="00324347"/>
    <w:rsid w:val="00325210"/>
    <w:rsid w:val="003303DC"/>
    <w:rsid w:val="003309C4"/>
    <w:rsid w:val="00331A2E"/>
    <w:rsid w:val="00332937"/>
    <w:rsid w:val="003330D3"/>
    <w:rsid w:val="003333D7"/>
    <w:rsid w:val="00333943"/>
    <w:rsid w:val="0033777B"/>
    <w:rsid w:val="00340105"/>
    <w:rsid w:val="003412D4"/>
    <w:rsid w:val="00342089"/>
    <w:rsid w:val="00343FB1"/>
    <w:rsid w:val="003444CA"/>
    <w:rsid w:val="00345316"/>
    <w:rsid w:val="0034572F"/>
    <w:rsid w:val="003469E4"/>
    <w:rsid w:val="00350646"/>
    <w:rsid w:val="00350D1E"/>
    <w:rsid w:val="0035131B"/>
    <w:rsid w:val="00351FF3"/>
    <w:rsid w:val="00352D65"/>
    <w:rsid w:val="0035331E"/>
    <w:rsid w:val="00353386"/>
    <w:rsid w:val="003554F8"/>
    <w:rsid w:val="0035767A"/>
    <w:rsid w:val="003610D2"/>
    <w:rsid w:val="003613F5"/>
    <w:rsid w:val="0036265A"/>
    <w:rsid w:val="003640CE"/>
    <w:rsid w:val="00365A31"/>
    <w:rsid w:val="003662DC"/>
    <w:rsid w:val="003668B6"/>
    <w:rsid w:val="00366F7B"/>
    <w:rsid w:val="0037058A"/>
    <w:rsid w:val="00370C16"/>
    <w:rsid w:val="00374CE4"/>
    <w:rsid w:val="00374E53"/>
    <w:rsid w:val="00376191"/>
    <w:rsid w:val="003810AC"/>
    <w:rsid w:val="003812D6"/>
    <w:rsid w:val="003815D4"/>
    <w:rsid w:val="00381672"/>
    <w:rsid w:val="00381DE5"/>
    <w:rsid w:val="00382DF3"/>
    <w:rsid w:val="00386653"/>
    <w:rsid w:val="00386CAD"/>
    <w:rsid w:val="00391032"/>
    <w:rsid w:val="003912FC"/>
    <w:rsid w:val="003914B4"/>
    <w:rsid w:val="00391A73"/>
    <w:rsid w:val="003930E2"/>
    <w:rsid w:val="003948FD"/>
    <w:rsid w:val="00394961"/>
    <w:rsid w:val="003951A2"/>
    <w:rsid w:val="00396F97"/>
    <w:rsid w:val="003A1D09"/>
    <w:rsid w:val="003A2739"/>
    <w:rsid w:val="003A4219"/>
    <w:rsid w:val="003A6117"/>
    <w:rsid w:val="003A6A84"/>
    <w:rsid w:val="003A727F"/>
    <w:rsid w:val="003A7CBD"/>
    <w:rsid w:val="003A7D7C"/>
    <w:rsid w:val="003B0AFE"/>
    <w:rsid w:val="003B1744"/>
    <w:rsid w:val="003B39F7"/>
    <w:rsid w:val="003B5E5C"/>
    <w:rsid w:val="003B672C"/>
    <w:rsid w:val="003B6A76"/>
    <w:rsid w:val="003B780B"/>
    <w:rsid w:val="003C0865"/>
    <w:rsid w:val="003C152D"/>
    <w:rsid w:val="003C3A5C"/>
    <w:rsid w:val="003C3EAB"/>
    <w:rsid w:val="003C524A"/>
    <w:rsid w:val="003C6100"/>
    <w:rsid w:val="003C6793"/>
    <w:rsid w:val="003C6D94"/>
    <w:rsid w:val="003C7959"/>
    <w:rsid w:val="003D0867"/>
    <w:rsid w:val="003D0A9F"/>
    <w:rsid w:val="003D1521"/>
    <w:rsid w:val="003D29FB"/>
    <w:rsid w:val="003D33D5"/>
    <w:rsid w:val="003D45F9"/>
    <w:rsid w:val="003D51C9"/>
    <w:rsid w:val="003D6FBE"/>
    <w:rsid w:val="003D7E7D"/>
    <w:rsid w:val="003E0817"/>
    <w:rsid w:val="003E18E1"/>
    <w:rsid w:val="003E1EFA"/>
    <w:rsid w:val="003E39B0"/>
    <w:rsid w:val="003E46E4"/>
    <w:rsid w:val="003E55B5"/>
    <w:rsid w:val="003E5A45"/>
    <w:rsid w:val="003E5EDC"/>
    <w:rsid w:val="003E61DA"/>
    <w:rsid w:val="003E70E7"/>
    <w:rsid w:val="003E7B33"/>
    <w:rsid w:val="003E7F6A"/>
    <w:rsid w:val="003F13CD"/>
    <w:rsid w:val="003F2653"/>
    <w:rsid w:val="003F36D7"/>
    <w:rsid w:val="003F472F"/>
    <w:rsid w:val="003F4843"/>
    <w:rsid w:val="003F4E1C"/>
    <w:rsid w:val="003F5232"/>
    <w:rsid w:val="003F7BEC"/>
    <w:rsid w:val="003F7D02"/>
    <w:rsid w:val="0040019B"/>
    <w:rsid w:val="004004DD"/>
    <w:rsid w:val="00401553"/>
    <w:rsid w:val="00401E77"/>
    <w:rsid w:val="0040260F"/>
    <w:rsid w:val="00402B70"/>
    <w:rsid w:val="00402F4B"/>
    <w:rsid w:val="00403133"/>
    <w:rsid w:val="004031C3"/>
    <w:rsid w:val="00407C53"/>
    <w:rsid w:val="00410033"/>
    <w:rsid w:val="00410432"/>
    <w:rsid w:val="0041158C"/>
    <w:rsid w:val="004117F0"/>
    <w:rsid w:val="00411C9F"/>
    <w:rsid w:val="0041206F"/>
    <w:rsid w:val="00414B2B"/>
    <w:rsid w:val="004162B8"/>
    <w:rsid w:val="00417402"/>
    <w:rsid w:val="00420841"/>
    <w:rsid w:val="00420FBC"/>
    <w:rsid w:val="0042252E"/>
    <w:rsid w:val="00422E13"/>
    <w:rsid w:val="00423DC2"/>
    <w:rsid w:val="0042521B"/>
    <w:rsid w:val="0042527D"/>
    <w:rsid w:val="00425522"/>
    <w:rsid w:val="0042555C"/>
    <w:rsid w:val="004264BC"/>
    <w:rsid w:val="00426D5F"/>
    <w:rsid w:val="00430191"/>
    <w:rsid w:val="00430554"/>
    <w:rsid w:val="004310C2"/>
    <w:rsid w:val="00431725"/>
    <w:rsid w:val="00431EF3"/>
    <w:rsid w:val="004323CA"/>
    <w:rsid w:val="00432850"/>
    <w:rsid w:val="00434202"/>
    <w:rsid w:val="00435DFE"/>
    <w:rsid w:val="00435FC7"/>
    <w:rsid w:val="004361FC"/>
    <w:rsid w:val="00436C7C"/>
    <w:rsid w:val="00437B30"/>
    <w:rsid w:val="004409AB"/>
    <w:rsid w:val="004409B2"/>
    <w:rsid w:val="00441209"/>
    <w:rsid w:val="004417D6"/>
    <w:rsid w:val="004440FD"/>
    <w:rsid w:val="00444526"/>
    <w:rsid w:val="00444A2E"/>
    <w:rsid w:val="004462D1"/>
    <w:rsid w:val="0044733C"/>
    <w:rsid w:val="00447DAE"/>
    <w:rsid w:val="004506C8"/>
    <w:rsid w:val="00452EFE"/>
    <w:rsid w:val="004540BD"/>
    <w:rsid w:val="00455CD9"/>
    <w:rsid w:val="004569B7"/>
    <w:rsid w:val="00463B97"/>
    <w:rsid w:val="004655DE"/>
    <w:rsid w:val="00465700"/>
    <w:rsid w:val="00465827"/>
    <w:rsid w:val="00465908"/>
    <w:rsid w:val="0046650E"/>
    <w:rsid w:val="004679EE"/>
    <w:rsid w:val="00467EFE"/>
    <w:rsid w:val="00470504"/>
    <w:rsid w:val="004709F4"/>
    <w:rsid w:val="00472C67"/>
    <w:rsid w:val="0047543C"/>
    <w:rsid w:val="00475810"/>
    <w:rsid w:val="00475918"/>
    <w:rsid w:val="00476441"/>
    <w:rsid w:val="004809FB"/>
    <w:rsid w:val="0048158C"/>
    <w:rsid w:val="004836CC"/>
    <w:rsid w:val="0048384E"/>
    <w:rsid w:val="0048391B"/>
    <w:rsid w:val="00483D0A"/>
    <w:rsid w:val="00485D13"/>
    <w:rsid w:val="0048677F"/>
    <w:rsid w:val="0049292B"/>
    <w:rsid w:val="00493173"/>
    <w:rsid w:val="0049319D"/>
    <w:rsid w:val="0049385E"/>
    <w:rsid w:val="0049529F"/>
    <w:rsid w:val="00496D5A"/>
    <w:rsid w:val="004A0238"/>
    <w:rsid w:val="004A0502"/>
    <w:rsid w:val="004A141E"/>
    <w:rsid w:val="004A184B"/>
    <w:rsid w:val="004A29E4"/>
    <w:rsid w:val="004A2C8D"/>
    <w:rsid w:val="004A5608"/>
    <w:rsid w:val="004A6014"/>
    <w:rsid w:val="004A7B3D"/>
    <w:rsid w:val="004A7F90"/>
    <w:rsid w:val="004B0F1B"/>
    <w:rsid w:val="004B1148"/>
    <w:rsid w:val="004B14A4"/>
    <w:rsid w:val="004B18DE"/>
    <w:rsid w:val="004B1B01"/>
    <w:rsid w:val="004B1FFA"/>
    <w:rsid w:val="004B4BC3"/>
    <w:rsid w:val="004B7380"/>
    <w:rsid w:val="004C1153"/>
    <w:rsid w:val="004C3F73"/>
    <w:rsid w:val="004C4008"/>
    <w:rsid w:val="004C52E5"/>
    <w:rsid w:val="004C7116"/>
    <w:rsid w:val="004D1720"/>
    <w:rsid w:val="004D1DC5"/>
    <w:rsid w:val="004D21CE"/>
    <w:rsid w:val="004D2F57"/>
    <w:rsid w:val="004D3147"/>
    <w:rsid w:val="004D3EBB"/>
    <w:rsid w:val="004D6C07"/>
    <w:rsid w:val="004D7F46"/>
    <w:rsid w:val="004E096D"/>
    <w:rsid w:val="004E11F3"/>
    <w:rsid w:val="004E1AE2"/>
    <w:rsid w:val="004E374D"/>
    <w:rsid w:val="004F1256"/>
    <w:rsid w:val="004F15DB"/>
    <w:rsid w:val="004F16CB"/>
    <w:rsid w:val="004F358A"/>
    <w:rsid w:val="004F46DF"/>
    <w:rsid w:val="004F473D"/>
    <w:rsid w:val="004F4986"/>
    <w:rsid w:val="004F5A1D"/>
    <w:rsid w:val="004F6977"/>
    <w:rsid w:val="00501274"/>
    <w:rsid w:val="00501FCD"/>
    <w:rsid w:val="00504192"/>
    <w:rsid w:val="00504385"/>
    <w:rsid w:val="00504B60"/>
    <w:rsid w:val="005057D5"/>
    <w:rsid w:val="005078DD"/>
    <w:rsid w:val="0051058C"/>
    <w:rsid w:val="0051120B"/>
    <w:rsid w:val="005113FD"/>
    <w:rsid w:val="005123A9"/>
    <w:rsid w:val="00515059"/>
    <w:rsid w:val="00515F1A"/>
    <w:rsid w:val="00516C86"/>
    <w:rsid w:val="005204AF"/>
    <w:rsid w:val="00522A24"/>
    <w:rsid w:val="005236ED"/>
    <w:rsid w:val="00524940"/>
    <w:rsid w:val="00525D55"/>
    <w:rsid w:val="00526CB2"/>
    <w:rsid w:val="0052705B"/>
    <w:rsid w:val="00527168"/>
    <w:rsid w:val="00527911"/>
    <w:rsid w:val="00527CF2"/>
    <w:rsid w:val="00530025"/>
    <w:rsid w:val="00532493"/>
    <w:rsid w:val="005325DA"/>
    <w:rsid w:val="005327B1"/>
    <w:rsid w:val="005355E9"/>
    <w:rsid w:val="00535F77"/>
    <w:rsid w:val="00537732"/>
    <w:rsid w:val="0054132A"/>
    <w:rsid w:val="00541350"/>
    <w:rsid w:val="00541453"/>
    <w:rsid w:val="005425A5"/>
    <w:rsid w:val="0054388C"/>
    <w:rsid w:val="00544440"/>
    <w:rsid w:val="005457CB"/>
    <w:rsid w:val="00546417"/>
    <w:rsid w:val="005474D4"/>
    <w:rsid w:val="00550DB2"/>
    <w:rsid w:val="00551E6D"/>
    <w:rsid w:val="00553640"/>
    <w:rsid w:val="00554044"/>
    <w:rsid w:val="00554C89"/>
    <w:rsid w:val="005550E6"/>
    <w:rsid w:val="005564A8"/>
    <w:rsid w:val="005564AC"/>
    <w:rsid w:val="00556AFB"/>
    <w:rsid w:val="00560890"/>
    <w:rsid w:val="0056199A"/>
    <w:rsid w:val="00562D2A"/>
    <w:rsid w:val="00563F1D"/>
    <w:rsid w:val="00564DE5"/>
    <w:rsid w:val="00565D8B"/>
    <w:rsid w:val="005662C1"/>
    <w:rsid w:val="00566DDF"/>
    <w:rsid w:val="005724FC"/>
    <w:rsid w:val="00573675"/>
    <w:rsid w:val="00575546"/>
    <w:rsid w:val="00575F19"/>
    <w:rsid w:val="005770DF"/>
    <w:rsid w:val="00581395"/>
    <w:rsid w:val="00581683"/>
    <w:rsid w:val="00582329"/>
    <w:rsid w:val="00583097"/>
    <w:rsid w:val="00584075"/>
    <w:rsid w:val="0058451B"/>
    <w:rsid w:val="005858B1"/>
    <w:rsid w:val="00585CF5"/>
    <w:rsid w:val="00586507"/>
    <w:rsid w:val="00593B59"/>
    <w:rsid w:val="00596362"/>
    <w:rsid w:val="00596918"/>
    <w:rsid w:val="00597B37"/>
    <w:rsid w:val="00597B40"/>
    <w:rsid w:val="00597E2A"/>
    <w:rsid w:val="005A058A"/>
    <w:rsid w:val="005A22A2"/>
    <w:rsid w:val="005A23F8"/>
    <w:rsid w:val="005A2A0F"/>
    <w:rsid w:val="005A32F4"/>
    <w:rsid w:val="005A3897"/>
    <w:rsid w:val="005A5732"/>
    <w:rsid w:val="005A7860"/>
    <w:rsid w:val="005A7BB0"/>
    <w:rsid w:val="005B0B37"/>
    <w:rsid w:val="005B0D90"/>
    <w:rsid w:val="005B1A4E"/>
    <w:rsid w:val="005B38E7"/>
    <w:rsid w:val="005B4110"/>
    <w:rsid w:val="005B56D3"/>
    <w:rsid w:val="005B6E25"/>
    <w:rsid w:val="005C02DC"/>
    <w:rsid w:val="005C03D9"/>
    <w:rsid w:val="005C13A3"/>
    <w:rsid w:val="005C23A1"/>
    <w:rsid w:val="005C3947"/>
    <w:rsid w:val="005C687D"/>
    <w:rsid w:val="005C7DBD"/>
    <w:rsid w:val="005C7E7C"/>
    <w:rsid w:val="005D0364"/>
    <w:rsid w:val="005D0502"/>
    <w:rsid w:val="005D0929"/>
    <w:rsid w:val="005D0F64"/>
    <w:rsid w:val="005D2651"/>
    <w:rsid w:val="005D3B26"/>
    <w:rsid w:val="005D3F38"/>
    <w:rsid w:val="005D4006"/>
    <w:rsid w:val="005D4402"/>
    <w:rsid w:val="005D4AC1"/>
    <w:rsid w:val="005D6673"/>
    <w:rsid w:val="005D7ECA"/>
    <w:rsid w:val="005D7ED5"/>
    <w:rsid w:val="005E00A9"/>
    <w:rsid w:val="005E00E1"/>
    <w:rsid w:val="005E3076"/>
    <w:rsid w:val="005E7E40"/>
    <w:rsid w:val="005F08A3"/>
    <w:rsid w:val="005F23F3"/>
    <w:rsid w:val="005F34C1"/>
    <w:rsid w:val="005F3C8C"/>
    <w:rsid w:val="005F5575"/>
    <w:rsid w:val="005F720C"/>
    <w:rsid w:val="005F7896"/>
    <w:rsid w:val="005F7E6C"/>
    <w:rsid w:val="00601E7E"/>
    <w:rsid w:val="0060399B"/>
    <w:rsid w:val="00604017"/>
    <w:rsid w:val="00605A59"/>
    <w:rsid w:val="0060625B"/>
    <w:rsid w:val="00610490"/>
    <w:rsid w:val="00612E59"/>
    <w:rsid w:val="00613D58"/>
    <w:rsid w:val="0061453C"/>
    <w:rsid w:val="00614A9D"/>
    <w:rsid w:val="00615279"/>
    <w:rsid w:val="00615D25"/>
    <w:rsid w:val="00616449"/>
    <w:rsid w:val="00616BC1"/>
    <w:rsid w:val="0061713A"/>
    <w:rsid w:val="00620CF7"/>
    <w:rsid w:val="00621D98"/>
    <w:rsid w:val="00621E4F"/>
    <w:rsid w:val="006229BD"/>
    <w:rsid w:val="00622A53"/>
    <w:rsid w:val="0062347E"/>
    <w:rsid w:val="006246A7"/>
    <w:rsid w:val="00624D00"/>
    <w:rsid w:val="00625BFD"/>
    <w:rsid w:val="00625CDE"/>
    <w:rsid w:val="00630813"/>
    <w:rsid w:val="00631435"/>
    <w:rsid w:val="0063170F"/>
    <w:rsid w:val="006328FF"/>
    <w:rsid w:val="00633323"/>
    <w:rsid w:val="00633421"/>
    <w:rsid w:val="00634E8D"/>
    <w:rsid w:val="006351B9"/>
    <w:rsid w:val="006353C9"/>
    <w:rsid w:val="00635B15"/>
    <w:rsid w:val="00636178"/>
    <w:rsid w:val="0063686A"/>
    <w:rsid w:val="00636A24"/>
    <w:rsid w:val="00637A58"/>
    <w:rsid w:val="0064146A"/>
    <w:rsid w:val="0064250B"/>
    <w:rsid w:val="006432F4"/>
    <w:rsid w:val="006460F3"/>
    <w:rsid w:val="00650AFD"/>
    <w:rsid w:val="00651149"/>
    <w:rsid w:val="0065196E"/>
    <w:rsid w:val="00654F84"/>
    <w:rsid w:val="006564A2"/>
    <w:rsid w:val="006564CF"/>
    <w:rsid w:val="00656DF4"/>
    <w:rsid w:val="00657A60"/>
    <w:rsid w:val="00657BB6"/>
    <w:rsid w:val="00657D26"/>
    <w:rsid w:val="00660C14"/>
    <w:rsid w:val="00660D4D"/>
    <w:rsid w:val="00661A88"/>
    <w:rsid w:val="006627D5"/>
    <w:rsid w:val="00662909"/>
    <w:rsid w:val="0067059E"/>
    <w:rsid w:val="0067186D"/>
    <w:rsid w:val="0067255D"/>
    <w:rsid w:val="00672F09"/>
    <w:rsid w:val="00673A51"/>
    <w:rsid w:val="00673AC8"/>
    <w:rsid w:val="00673ED2"/>
    <w:rsid w:val="006751BE"/>
    <w:rsid w:val="0067691C"/>
    <w:rsid w:val="006775C0"/>
    <w:rsid w:val="00677930"/>
    <w:rsid w:val="00680F99"/>
    <w:rsid w:val="006817A4"/>
    <w:rsid w:val="00681FEE"/>
    <w:rsid w:val="00682E2B"/>
    <w:rsid w:val="00682EB1"/>
    <w:rsid w:val="00686DBA"/>
    <w:rsid w:val="00687880"/>
    <w:rsid w:val="00687C90"/>
    <w:rsid w:val="00692EF6"/>
    <w:rsid w:val="006931C3"/>
    <w:rsid w:val="00693615"/>
    <w:rsid w:val="00693CB4"/>
    <w:rsid w:val="00693D11"/>
    <w:rsid w:val="00694A34"/>
    <w:rsid w:val="006952F8"/>
    <w:rsid w:val="00695533"/>
    <w:rsid w:val="006956F6"/>
    <w:rsid w:val="00697C7C"/>
    <w:rsid w:val="006A1338"/>
    <w:rsid w:val="006A1FCD"/>
    <w:rsid w:val="006A2611"/>
    <w:rsid w:val="006A4B81"/>
    <w:rsid w:val="006A4F04"/>
    <w:rsid w:val="006A5813"/>
    <w:rsid w:val="006A7462"/>
    <w:rsid w:val="006A7F02"/>
    <w:rsid w:val="006B0A67"/>
    <w:rsid w:val="006B1F80"/>
    <w:rsid w:val="006B33F6"/>
    <w:rsid w:val="006B4681"/>
    <w:rsid w:val="006B526F"/>
    <w:rsid w:val="006B5C67"/>
    <w:rsid w:val="006B61EE"/>
    <w:rsid w:val="006C19D1"/>
    <w:rsid w:val="006C1E31"/>
    <w:rsid w:val="006C2289"/>
    <w:rsid w:val="006C392F"/>
    <w:rsid w:val="006C3A3E"/>
    <w:rsid w:val="006C5B2A"/>
    <w:rsid w:val="006C5BCC"/>
    <w:rsid w:val="006C5E9C"/>
    <w:rsid w:val="006C6DB0"/>
    <w:rsid w:val="006D0275"/>
    <w:rsid w:val="006D1534"/>
    <w:rsid w:val="006D17E5"/>
    <w:rsid w:val="006D2B6F"/>
    <w:rsid w:val="006D4AC9"/>
    <w:rsid w:val="006D5346"/>
    <w:rsid w:val="006D5CE4"/>
    <w:rsid w:val="006D7616"/>
    <w:rsid w:val="006E0666"/>
    <w:rsid w:val="006E06EB"/>
    <w:rsid w:val="006E140F"/>
    <w:rsid w:val="006E1D7B"/>
    <w:rsid w:val="006E206D"/>
    <w:rsid w:val="006E2489"/>
    <w:rsid w:val="006E3D1D"/>
    <w:rsid w:val="006E653A"/>
    <w:rsid w:val="006E7476"/>
    <w:rsid w:val="006E7656"/>
    <w:rsid w:val="006F1452"/>
    <w:rsid w:val="006F2E7B"/>
    <w:rsid w:val="006F36A7"/>
    <w:rsid w:val="006F5674"/>
    <w:rsid w:val="006F6654"/>
    <w:rsid w:val="006F6CFD"/>
    <w:rsid w:val="0070119D"/>
    <w:rsid w:val="00705812"/>
    <w:rsid w:val="00705CF6"/>
    <w:rsid w:val="00706466"/>
    <w:rsid w:val="007074B9"/>
    <w:rsid w:val="0070769E"/>
    <w:rsid w:val="0071222D"/>
    <w:rsid w:val="00713086"/>
    <w:rsid w:val="007145A9"/>
    <w:rsid w:val="007145DE"/>
    <w:rsid w:val="00716F59"/>
    <w:rsid w:val="00722D66"/>
    <w:rsid w:val="00723260"/>
    <w:rsid w:val="0072365F"/>
    <w:rsid w:val="00725169"/>
    <w:rsid w:val="00725B82"/>
    <w:rsid w:val="00725E02"/>
    <w:rsid w:val="0072643D"/>
    <w:rsid w:val="00726C65"/>
    <w:rsid w:val="0072702B"/>
    <w:rsid w:val="00730A34"/>
    <w:rsid w:val="007314BC"/>
    <w:rsid w:val="00731AE0"/>
    <w:rsid w:val="0073248A"/>
    <w:rsid w:val="0073368C"/>
    <w:rsid w:val="007340A0"/>
    <w:rsid w:val="007352B2"/>
    <w:rsid w:val="007358CA"/>
    <w:rsid w:val="00735CC7"/>
    <w:rsid w:val="00736328"/>
    <w:rsid w:val="007363AD"/>
    <w:rsid w:val="0073658E"/>
    <w:rsid w:val="0073669F"/>
    <w:rsid w:val="00737D8C"/>
    <w:rsid w:val="007410F1"/>
    <w:rsid w:val="0074128C"/>
    <w:rsid w:val="00741768"/>
    <w:rsid w:val="00741E65"/>
    <w:rsid w:val="0074301E"/>
    <w:rsid w:val="00745F3E"/>
    <w:rsid w:val="007462E1"/>
    <w:rsid w:val="0075074F"/>
    <w:rsid w:val="007522C6"/>
    <w:rsid w:val="00752992"/>
    <w:rsid w:val="00753560"/>
    <w:rsid w:val="00754B59"/>
    <w:rsid w:val="00754BFA"/>
    <w:rsid w:val="00754D46"/>
    <w:rsid w:val="00757524"/>
    <w:rsid w:val="007576C6"/>
    <w:rsid w:val="007600CB"/>
    <w:rsid w:val="00761D77"/>
    <w:rsid w:val="00762A46"/>
    <w:rsid w:val="00762DBC"/>
    <w:rsid w:val="00763BB1"/>
    <w:rsid w:val="00763D57"/>
    <w:rsid w:val="00763F0D"/>
    <w:rsid w:val="00765389"/>
    <w:rsid w:val="0076572E"/>
    <w:rsid w:val="00767A67"/>
    <w:rsid w:val="00767AA8"/>
    <w:rsid w:val="0077024A"/>
    <w:rsid w:val="0077052A"/>
    <w:rsid w:val="007708C1"/>
    <w:rsid w:val="00771233"/>
    <w:rsid w:val="00772F4E"/>
    <w:rsid w:val="00773189"/>
    <w:rsid w:val="007749B5"/>
    <w:rsid w:val="00775456"/>
    <w:rsid w:val="00776B96"/>
    <w:rsid w:val="00777DDE"/>
    <w:rsid w:val="0078265D"/>
    <w:rsid w:val="007832B6"/>
    <w:rsid w:val="00784AE5"/>
    <w:rsid w:val="007856CC"/>
    <w:rsid w:val="0078584C"/>
    <w:rsid w:val="00786D0F"/>
    <w:rsid w:val="00786EE8"/>
    <w:rsid w:val="00787297"/>
    <w:rsid w:val="00787395"/>
    <w:rsid w:val="00791ED8"/>
    <w:rsid w:val="00791FD2"/>
    <w:rsid w:val="0079337B"/>
    <w:rsid w:val="00793980"/>
    <w:rsid w:val="00793F05"/>
    <w:rsid w:val="00793F5C"/>
    <w:rsid w:val="00793F68"/>
    <w:rsid w:val="00794002"/>
    <w:rsid w:val="007940D5"/>
    <w:rsid w:val="00794207"/>
    <w:rsid w:val="00794338"/>
    <w:rsid w:val="0079461E"/>
    <w:rsid w:val="00795D02"/>
    <w:rsid w:val="00795D39"/>
    <w:rsid w:val="007970D6"/>
    <w:rsid w:val="007A1237"/>
    <w:rsid w:val="007A49E7"/>
    <w:rsid w:val="007A5EFA"/>
    <w:rsid w:val="007A6607"/>
    <w:rsid w:val="007A6D69"/>
    <w:rsid w:val="007A6EAD"/>
    <w:rsid w:val="007A75E8"/>
    <w:rsid w:val="007B075F"/>
    <w:rsid w:val="007B0B37"/>
    <w:rsid w:val="007B10D9"/>
    <w:rsid w:val="007B16C2"/>
    <w:rsid w:val="007B3386"/>
    <w:rsid w:val="007B50D4"/>
    <w:rsid w:val="007B5295"/>
    <w:rsid w:val="007B5A9D"/>
    <w:rsid w:val="007B5EEB"/>
    <w:rsid w:val="007B5EFA"/>
    <w:rsid w:val="007B7323"/>
    <w:rsid w:val="007B78E9"/>
    <w:rsid w:val="007B7BF6"/>
    <w:rsid w:val="007C01D7"/>
    <w:rsid w:val="007C0604"/>
    <w:rsid w:val="007C0A90"/>
    <w:rsid w:val="007C4F84"/>
    <w:rsid w:val="007C504D"/>
    <w:rsid w:val="007C512B"/>
    <w:rsid w:val="007C55DD"/>
    <w:rsid w:val="007C6968"/>
    <w:rsid w:val="007C729B"/>
    <w:rsid w:val="007D2ED6"/>
    <w:rsid w:val="007D3DC0"/>
    <w:rsid w:val="007D424E"/>
    <w:rsid w:val="007D509A"/>
    <w:rsid w:val="007D6AEC"/>
    <w:rsid w:val="007E0739"/>
    <w:rsid w:val="007E0F0D"/>
    <w:rsid w:val="007E397C"/>
    <w:rsid w:val="007E5C36"/>
    <w:rsid w:val="007E5F4B"/>
    <w:rsid w:val="007E6356"/>
    <w:rsid w:val="007E6442"/>
    <w:rsid w:val="007E72DD"/>
    <w:rsid w:val="007E7B74"/>
    <w:rsid w:val="007F023B"/>
    <w:rsid w:val="007F098C"/>
    <w:rsid w:val="007F0D9F"/>
    <w:rsid w:val="007F34A8"/>
    <w:rsid w:val="007F5079"/>
    <w:rsid w:val="007F769F"/>
    <w:rsid w:val="007F7874"/>
    <w:rsid w:val="00800C3F"/>
    <w:rsid w:val="00801BA0"/>
    <w:rsid w:val="0080205F"/>
    <w:rsid w:val="00803C70"/>
    <w:rsid w:val="00803D08"/>
    <w:rsid w:val="00803E96"/>
    <w:rsid w:val="00805DF3"/>
    <w:rsid w:val="00805FC3"/>
    <w:rsid w:val="0080780F"/>
    <w:rsid w:val="00807B68"/>
    <w:rsid w:val="00807CE3"/>
    <w:rsid w:val="008101D2"/>
    <w:rsid w:val="008109A2"/>
    <w:rsid w:val="008118FD"/>
    <w:rsid w:val="0081197B"/>
    <w:rsid w:val="0081385F"/>
    <w:rsid w:val="00813941"/>
    <w:rsid w:val="008149E7"/>
    <w:rsid w:val="008149FC"/>
    <w:rsid w:val="00814C35"/>
    <w:rsid w:val="00814DC9"/>
    <w:rsid w:val="00816AE0"/>
    <w:rsid w:val="00817C22"/>
    <w:rsid w:val="00820B50"/>
    <w:rsid w:val="008239CE"/>
    <w:rsid w:val="00824A16"/>
    <w:rsid w:val="00824B0B"/>
    <w:rsid w:val="008261E1"/>
    <w:rsid w:val="008262E8"/>
    <w:rsid w:val="008266AF"/>
    <w:rsid w:val="008305A9"/>
    <w:rsid w:val="00830DFB"/>
    <w:rsid w:val="00832035"/>
    <w:rsid w:val="00832E77"/>
    <w:rsid w:val="008338A7"/>
    <w:rsid w:val="00833F9F"/>
    <w:rsid w:val="008346F9"/>
    <w:rsid w:val="008353E8"/>
    <w:rsid w:val="008358F5"/>
    <w:rsid w:val="00836F2B"/>
    <w:rsid w:val="00837BD7"/>
    <w:rsid w:val="0084014C"/>
    <w:rsid w:val="008415C1"/>
    <w:rsid w:val="00841FE5"/>
    <w:rsid w:val="008424C0"/>
    <w:rsid w:val="00842ACB"/>
    <w:rsid w:val="00842D36"/>
    <w:rsid w:val="00845C9E"/>
    <w:rsid w:val="00853B01"/>
    <w:rsid w:val="008541F8"/>
    <w:rsid w:val="00856B71"/>
    <w:rsid w:val="00856F9A"/>
    <w:rsid w:val="008572CB"/>
    <w:rsid w:val="00857395"/>
    <w:rsid w:val="00861C90"/>
    <w:rsid w:val="0086226A"/>
    <w:rsid w:val="00862398"/>
    <w:rsid w:val="00862598"/>
    <w:rsid w:val="008632AC"/>
    <w:rsid w:val="008664F9"/>
    <w:rsid w:val="008708E7"/>
    <w:rsid w:val="00870E11"/>
    <w:rsid w:val="0087113E"/>
    <w:rsid w:val="008717C0"/>
    <w:rsid w:val="008718EF"/>
    <w:rsid w:val="008722B0"/>
    <w:rsid w:val="0087305C"/>
    <w:rsid w:val="00875C30"/>
    <w:rsid w:val="00875D6C"/>
    <w:rsid w:val="00877094"/>
    <w:rsid w:val="008773DF"/>
    <w:rsid w:val="00880173"/>
    <w:rsid w:val="00880E83"/>
    <w:rsid w:val="00880EAE"/>
    <w:rsid w:val="008817AB"/>
    <w:rsid w:val="00882760"/>
    <w:rsid w:val="008827A6"/>
    <w:rsid w:val="008842D3"/>
    <w:rsid w:val="008842E6"/>
    <w:rsid w:val="008846D3"/>
    <w:rsid w:val="0088496B"/>
    <w:rsid w:val="008857F0"/>
    <w:rsid w:val="00891540"/>
    <w:rsid w:val="008932D7"/>
    <w:rsid w:val="00893572"/>
    <w:rsid w:val="00893F57"/>
    <w:rsid w:val="00893FC6"/>
    <w:rsid w:val="00894431"/>
    <w:rsid w:val="00895459"/>
    <w:rsid w:val="00895C48"/>
    <w:rsid w:val="00897135"/>
    <w:rsid w:val="008A00F6"/>
    <w:rsid w:val="008A073A"/>
    <w:rsid w:val="008A393D"/>
    <w:rsid w:val="008A4DF5"/>
    <w:rsid w:val="008A569C"/>
    <w:rsid w:val="008A64E0"/>
    <w:rsid w:val="008A717E"/>
    <w:rsid w:val="008A7CC6"/>
    <w:rsid w:val="008B2C10"/>
    <w:rsid w:val="008B47C5"/>
    <w:rsid w:val="008B6DC9"/>
    <w:rsid w:val="008B73D3"/>
    <w:rsid w:val="008C07CF"/>
    <w:rsid w:val="008C19BD"/>
    <w:rsid w:val="008C1D91"/>
    <w:rsid w:val="008C3E18"/>
    <w:rsid w:val="008C4F09"/>
    <w:rsid w:val="008C53E1"/>
    <w:rsid w:val="008C55BC"/>
    <w:rsid w:val="008C58CC"/>
    <w:rsid w:val="008C594B"/>
    <w:rsid w:val="008D05F9"/>
    <w:rsid w:val="008D0766"/>
    <w:rsid w:val="008D19B1"/>
    <w:rsid w:val="008D20EE"/>
    <w:rsid w:val="008D45E3"/>
    <w:rsid w:val="008D4C45"/>
    <w:rsid w:val="008D5480"/>
    <w:rsid w:val="008D5DAC"/>
    <w:rsid w:val="008E0E74"/>
    <w:rsid w:val="008E0FD8"/>
    <w:rsid w:val="008E176D"/>
    <w:rsid w:val="008E192C"/>
    <w:rsid w:val="008E1B3F"/>
    <w:rsid w:val="008E4F27"/>
    <w:rsid w:val="008E5874"/>
    <w:rsid w:val="008E688F"/>
    <w:rsid w:val="008E7D50"/>
    <w:rsid w:val="008E7F87"/>
    <w:rsid w:val="008F07F0"/>
    <w:rsid w:val="008F0AD3"/>
    <w:rsid w:val="008F4153"/>
    <w:rsid w:val="008F588B"/>
    <w:rsid w:val="008F5A59"/>
    <w:rsid w:val="008F5A64"/>
    <w:rsid w:val="008F65E0"/>
    <w:rsid w:val="008F7D12"/>
    <w:rsid w:val="0090016D"/>
    <w:rsid w:val="00902409"/>
    <w:rsid w:val="00902444"/>
    <w:rsid w:val="00903502"/>
    <w:rsid w:val="00905056"/>
    <w:rsid w:val="00905608"/>
    <w:rsid w:val="00905E31"/>
    <w:rsid w:val="00906F39"/>
    <w:rsid w:val="00907A56"/>
    <w:rsid w:val="00907BA5"/>
    <w:rsid w:val="00907F19"/>
    <w:rsid w:val="009115DA"/>
    <w:rsid w:val="00911C80"/>
    <w:rsid w:val="00912BC5"/>
    <w:rsid w:val="00912C3B"/>
    <w:rsid w:val="00912DE2"/>
    <w:rsid w:val="00913AF8"/>
    <w:rsid w:val="00914241"/>
    <w:rsid w:val="00914B0C"/>
    <w:rsid w:val="00914FAF"/>
    <w:rsid w:val="00916C16"/>
    <w:rsid w:val="009212A6"/>
    <w:rsid w:val="009214D1"/>
    <w:rsid w:val="00922A0E"/>
    <w:rsid w:val="00924271"/>
    <w:rsid w:val="00924574"/>
    <w:rsid w:val="0092542B"/>
    <w:rsid w:val="009265E9"/>
    <w:rsid w:val="00926A2D"/>
    <w:rsid w:val="00927AE0"/>
    <w:rsid w:val="00927FCF"/>
    <w:rsid w:val="009308C6"/>
    <w:rsid w:val="0093138C"/>
    <w:rsid w:val="00931CC5"/>
    <w:rsid w:val="009326CE"/>
    <w:rsid w:val="0093388C"/>
    <w:rsid w:val="00934452"/>
    <w:rsid w:val="00935D10"/>
    <w:rsid w:val="0094024E"/>
    <w:rsid w:val="00940CD7"/>
    <w:rsid w:val="009411D0"/>
    <w:rsid w:val="00941900"/>
    <w:rsid w:val="00942FBC"/>
    <w:rsid w:val="009440F0"/>
    <w:rsid w:val="00945FD8"/>
    <w:rsid w:val="009461E0"/>
    <w:rsid w:val="009466C7"/>
    <w:rsid w:val="009504E3"/>
    <w:rsid w:val="0095061B"/>
    <w:rsid w:val="009508E8"/>
    <w:rsid w:val="00951288"/>
    <w:rsid w:val="00951612"/>
    <w:rsid w:val="009523FD"/>
    <w:rsid w:val="009532D2"/>
    <w:rsid w:val="00955C1C"/>
    <w:rsid w:val="00955E56"/>
    <w:rsid w:val="009562F0"/>
    <w:rsid w:val="00956860"/>
    <w:rsid w:val="00956A8A"/>
    <w:rsid w:val="00956F44"/>
    <w:rsid w:val="00957320"/>
    <w:rsid w:val="009610E5"/>
    <w:rsid w:val="00961B12"/>
    <w:rsid w:val="00963B94"/>
    <w:rsid w:val="00970BE3"/>
    <w:rsid w:val="00971882"/>
    <w:rsid w:val="0097427E"/>
    <w:rsid w:val="00974893"/>
    <w:rsid w:val="00974D30"/>
    <w:rsid w:val="0097560B"/>
    <w:rsid w:val="00976258"/>
    <w:rsid w:val="00976DA3"/>
    <w:rsid w:val="0097712C"/>
    <w:rsid w:val="009775F4"/>
    <w:rsid w:val="0097773F"/>
    <w:rsid w:val="00977CB9"/>
    <w:rsid w:val="00981256"/>
    <w:rsid w:val="009824A0"/>
    <w:rsid w:val="00984D12"/>
    <w:rsid w:val="009864CB"/>
    <w:rsid w:val="009874F9"/>
    <w:rsid w:val="009879CC"/>
    <w:rsid w:val="009914BD"/>
    <w:rsid w:val="009928E0"/>
    <w:rsid w:val="009967FE"/>
    <w:rsid w:val="00996AD9"/>
    <w:rsid w:val="009972B7"/>
    <w:rsid w:val="009A0629"/>
    <w:rsid w:val="009A13E7"/>
    <w:rsid w:val="009A2659"/>
    <w:rsid w:val="009A4F05"/>
    <w:rsid w:val="009A5828"/>
    <w:rsid w:val="009A590C"/>
    <w:rsid w:val="009A5BF8"/>
    <w:rsid w:val="009A5CB4"/>
    <w:rsid w:val="009A5DE3"/>
    <w:rsid w:val="009A751B"/>
    <w:rsid w:val="009A76B2"/>
    <w:rsid w:val="009A7E1A"/>
    <w:rsid w:val="009B1053"/>
    <w:rsid w:val="009B129A"/>
    <w:rsid w:val="009B2779"/>
    <w:rsid w:val="009B4D48"/>
    <w:rsid w:val="009B545F"/>
    <w:rsid w:val="009B56F2"/>
    <w:rsid w:val="009B5EF5"/>
    <w:rsid w:val="009B630B"/>
    <w:rsid w:val="009B6C77"/>
    <w:rsid w:val="009B7B4B"/>
    <w:rsid w:val="009C0915"/>
    <w:rsid w:val="009C15BC"/>
    <w:rsid w:val="009C1C6C"/>
    <w:rsid w:val="009C2C09"/>
    <w:rsid w:val="009C37F6"/>
    <w:rsid w:val="009C502A"/>
    <w:rsid w:val="009C50E0"/>
    <w:rsid w:val="009C5107"/>
    <w:rsid w:val="009C5E8D"/>
    <w:rsid w:val="009C6E9C"/>
    <w:rsid w:val="009D17E0"/>
    <w:rsid w:val="009D284D"/>
    <w:rsid w:val="009D2CD1"/>
    <w:rsid w:val="009D2F8D"/>
    <w:rsid w:val="009D52D1"/>
    <w:rsid w:val="009E299F"/>
    <w:rsid w:val="009E29E2"/>
    <w:rsid w:val="009E429A"/>
    <w:rsid w:val="009E5A5F"/>
    <w:rsid w:val="009E6415"/>
    <w:rsid w:val="009F006C"/>
    <w:rsid w:val="009F2A1B"/>
    <w:rsid w:val="009F2B85"/>
    <w:rsid w:val="009F3049"/>
    <w:rsid w:val="009F3875"/>
    <w:rsid w:val="009F43BA"/>
    <w:rsid w:val="009F4844"/>
    <w:rsid w:val="009F50D2"/>
    <w:rsid w:val="009F588C"/>
    <w:rsid w:val="009F5CBA"/>
    <w:rsid w:val="009F6488"/>
    <w:rsid w:val="009F64B9"/>
    <w:rsid w:val="009F6DF0"/>
    <w:rsid w:val="009F6F30"/>
    <w:rsid w:val="009F7A54"/>
    <w:rsid w:val="00A00DB4"/>
    <w:rsid w:val="00A026F0"/>
    <w:rsid w:val="00A02910"/>
    <w:rsid w:val="00A03AC1"/>
    <w:rsid w:val="00A04F3B"/>
    <w:rsid w:val="00A06A92"/>
    <w:rsid w:val="00A07A1C"/>
    <w:rsid w:val="00A125C0"/>
    <w:rsid w:val="00A13C91"/>
    <w:rsid w:val="00A13CD9"/>
    <w:rsid w:val="00A13DCF"/>
    <w:rsid w:val="00A13E05"/>
    <w:rsid w:val="00A145FB"/>
    <w:rsid w:val="00A15158"/>
    <w:rsid w:val="00A16084"/>
    <w:rsid w:val="00A17E1C"/>
    <w:rsid w:val="00A20CD0"/>
    <w:rsid w:val="00A225F5"/>
    <w:rsid w:val="00A23A01"/>
    <w:rsid w:val="00A24073"/>
    <w:rsid w:val="00A2413B"/>
    <w:rsid w:val="00A24984"/>
    <w:rsid w:val="00A278A6"/>
    <w:rsid w:val="00A27EAB"/>
    <w:rsid w:val="00A27F48"/>
    <w:rsid w:val="00A316DA"/>
    <w:rsid w:val="00A31BCE"/>
    <w:rsid w:val="00A332E1"/>
    <w:rsid w:val="00A3392B"/>
    <w:rsid w:val="00A33E1F"/>
    <w:rsid w:val="00A350FE"/>
    <w:rsid w:val="00A36FA0"/>
    <w:rsid w:val="00A370B7"/>
    <w:rsid w:val="00A375C1"/>
    <w:rsid w:val="00A40014"/>
    <w:rsid w:val="00A40CB1"/>
    <w:rsid w:val="00A42E55"/>
    <w:rsid w:val="00A434DD"/>
    <w:rsid w:val="00A448A3"/>
    <w:rsid w:val="00A466FF"/>
    <w:rsid w:val="00A4677E"/>
    <w:rsid w:val="00A469F3"/>
    <w:rsid w:val="00A47369"/>
    <w:rsid w:val="00A47878"/>
    <w:rsid w:val="00A47F15"/>
    <w:rsid w:val="00A50687"/>
    <w:rsid w:val="00A50F67"/>
    <w:rsid w:val="00A519C6"/>
    <w:rsid w:val="00A522A6"/>
    <w:rsid w:val="00A53C79"/>
    <w:rsid w:val="00A54692"/>
    <w:rsid w:val="00A552BD"/>
    <w:rsid w:val="00A55702"/>
    <w:rsid w:val="00A55DD5"/>
    <w:rsid w:val="00A56D61"/>
    <w:rsid w:val="00A56FD1"/>
    <w:rsid w:val="00A57BA1"/>
    <w:rsid w:val="00A60D11"/>
    <w:rsid w:val="00A61246"/>
    <w:rsid w:val="00A618E1"/>
    <w:rsid w:val="00A61DEB"/>
    <w:rsid w:val="00A62BE8"/>
    <w:rsid w:val="00A636E6"/>
    <w:rsid w:val="00A64DD9"/>
    <w:rsid w:val="00A65BE6"/>
    <w:rsid w:val="00A65BF2"/>
    <w:rsid w:val="00A661BE"/>
    <w:rsid w:val="00A67EEF"/>
    <w:rsid w:val="00A70195"/>
    <w:rsid w:val="00A70577"/>
    <w:rsid w:val="00A73333"/>
    <w:rsid w:val="00A74A2F"/>
    <w:rsid w:val="00A74FDD"/>
    <w:rsid w:val="00A7536A"/>
    <w:rsid w:val="00A76562"/>
    <w:rsid w:val="00A77844"/>
    <w:rsid w:val="00A83B36"/>
    <w:rsid w:val="00A83F2E"/>
    <w:rsid w:val="00A84EB2"/>
    <w:rsid w:val="00A850E8"/>
    <w:rsid w:val="00A85EE0"/>
    <w:rsid w:val="00A8644A"/>
    <w:rsid w:val="00A86A31"/>
    <w:rsid w:val="00A879AA"/>
    <w:rsid w:val="00A87E18"/>
    <w:rsid w:val="00A90144"/>
    <w:rsid w:val="00A907B6"/>
    <w:rsid w:val="00A91454"/>
    <w:rsid w:val="00A914C0"/>
    <w:rsid w:val="00A91E12"/>
    <w:rsid w:val="00A92222"/>
    <w:rsid w:val="00A92576"/>
    <w:rsid w:val="00A928AA"/>
    <w:rsid w:val="00A928AE"/>
    <w:rsid w:val="00A937A5"/>
    <w:rsid w:val="00A95038"/>
    <w:rsid w:val="00A952D4"/>
    <w:rsid w:val="00A97848"/>
    <w:rsid w:val="00A97BF2"/>
    <w:rsid w:val="00AA232A"/>
    <w:rsid w:val="00AA2407"/>
    <w:rsid w:val="00AA2FC5"/>
    <w:rsid w:val="00AA4163"/>
    <w:rsid w:val="00AA4E25"/>
    <w:rsid w:val="00AA5262"/>
    <w:rsid w:val="00AA5C6A"/>
    <w:rsid w:val="00AA5E3B"/>
    <w:rsid w:val="00AA6012"/>
    <w:rsid w:val="00AA76FF"/>
    <w:rsid w:val="00AA7EC9"/>
    <w:rsid w:val="00AB04C2"/>
    <w:rsid w:val="00AB10B3"/>
    <w:rsid w:val="00AB22F3"/>
    <w:rsid w:val="00AB2C4F"/>
    <w:rsid w:val="00AB2D07"/>
    <w:rsid w:val="00AB51D8"/>
    <w:rsid w:val="00AB6907"/>
    <w:rsid w:val="00AB6DF2"/>
    <w:rsid w:val="00AB7D38"/>
    <w:rsid w:val="00AC06D6"/>
    <w:rsid w:val="00AC116F"/>
    <w:rsid w:val="00AC3713"/>
    <w:rsid w:val="00AC3E7C"/>
    <w:rsid w:val="00AC542B"/>
    <w:rsid w:val="00AC5D82"/>
    <w:rsid w:val="00AC625C"/>
    <w:rsid w:val="00AC69DB"/>
    <w:rsid w:val="00AC6F4F"/>
    <w:rsid w:val="00AC7D43"/>
    <w:rsid w:val="00AC7D59"/>
    <w:rsid w:val="00AD0681"/>
    <w:rsid w:val="00AD0E2F"/>
    <w:rsid w:val="00AD152D"/>
    <w:rsid w:val="00AD1717"/>
    <w:rsid w:val="00AD2A3F"/>
    <w:rsid w:val="00AD312C"/>
    <w:rsid w:val="00AD4CB7"/>
    <w:rsid w:val="00AD5A90"/>
    <w:rsid w:val="00AD7936"/>
    <w:rsid w:val="00AE1634"/>
    <w:rsid w:val="00AE2F2E"/>
    <w:rsid w:val="00AE77E6"/>
    <w:rsid w:val="00AE7FA6"/>
    <w:rsid w:val="00AF0288"/>
    <w:rsid w:val="00AF0C59"/>
    <w:rsid w:val="00AF0D5F"/>
    <w:rsid w:val="00AF1299"/>
    <w:rsid w:val="00AF1949"/>
    <w:rsid w:val="00AF1E1E"/>
    <w:rsid w:val="00AF35F7"/>
    <w:rsid w:val="00AF4888"/>
    <w:rsid w:val="00AF5ABD"/>
    <w:rsid w:val="00AF7012"/>
    <w:rsid w:val="00B009B6"/>
    <w:rsid w:val="00B0158D"/>
    <w:rsid w:val="00B0160F"/>
    <w:rsid w:val="00B0266F"/>
    <w:rsid w:val="00B029A8"/>
    <w:rsid w:val="00B04382"/>
    <w:rsid w:val="00B0666F"/>
    <w:rsid w:val="00B0716A"/>
    <w:rsid w:val="00B0745C"/>
    <w:rsid w:val="00B10558"/>
    <w:rsid w:val="00B10ADD"/>
    <w:rsid w:val="00B10E7A"/>
    <w:rsid w:val="00B11E3E"/>
    <w:rsid w:val="00B13C49"/>
    <w:rsid w:val="00B146FE"/>
    <w:rsid w:val="00B15ACE"/>
    <w:rsid w:val="00B15B23"/>
    <w:rsid w:val="00B161BB"/>
    <w:rsid w:val="00B16B3D"/>
    <w:rsid w:val="00B1739C"/>
    <w:rsid w:val="00B17BF8"/>
    <w:rsid w:val="00B17CED"/>
    <w:rsid w:val="00B20428"/>
    <w:rsid w:val="00B20B30"/>
    <w:rsid w:val="00B21B6E"/>
    <w:rsid w:val="00B23423"/>
    <w:rsid w:val="00B234BB"/>
    <w:rsid w:val="00B24EE0"/>
    <w:rsid w:val="00B2517F"/>
    <w:rsid w:val="00B25A32"/>
    <w:rsid w:val="00B25AFD"/>
    <w:rsid w:val="00B26596"/>
    <w:rsid w:val="00B26B9C"/>
    <w:rsid w:val="00B273FE"/>
    <w:rsid w:val="00B303E2"/>
    <w:rsid w:val="00B304B8"/>
    <w:rsid w:val="00B3052D"/>
    <w:rsid w:val="00B308C9"/>
    <w:rsid w:val="00B30C84"/>
    <w:rsid w:val="00B3336F"/>
    <w:rsid w:val="00B34456"/>
    <w:rsid w:val="00B3486A"/>
    <w:rsid w:val="00B34E46"/>
    <w:rsid w:val="00B35347"/>
    <w:rsid w:val="00B35E9D"/>
    <w:rsid w:val="00B369DC"/>
    <w:rsid w:val="00B36B88"/>
    <w:rsid w:val="00B36C4C"/>
    <w:rsid w:val="00B40087"/>
    <w:rsid w:val="00B428A4"/>
    <w:rsid w:val="00B440FB"/>
    <w:rsid w:val="00B4575B"/>
    <w:rsid w:val="00B47D6C"/>
    <w:rsid w:val="00B52325"/>
    <w:rsid w:val="00B55F5F"/>
    <w:rsid w:val="00B55FA7"/>
    <w:rsid w:val="00B5721F"/>
    <w:rsid w:val="00B574A6"/>
    <w:rsid w:val="00B5773C"/>
    <w:rsid w:val="00B57BDF"/>
    <w:rsid w:val="00B63832"/>
    <w:rsid w:val="00B7219E"/>
    <w:rsid w:val="00B728A0"/>
    <w:rsid w:val="00B73C5C"/>
    <w:rsid w:val="00B80C9B"/>
    <w:rsid w:val="00B812C2"/>
    <w:rsid w:val="00B81A93"/>
    <w:rsid w:val="00B82290"/>
    <w:rsid w:val="00B83631"/>
    <w:rsid w:val="00B838C6"/>
    <w:rsid w:val="00B841F8"/>
    <w:rsid w:val="00B856D8"/>
    <w:rsid w:val="00B87122"/>
    <w:rsid w:val="00B87164"/>
    <w:rsid w:val="00B91188"/>
    <w:rsid w:val="00B9134D"/>
    <w:rsid w:val="00B93134"/>
    <w:rsid w:val="00B933CD"/>
    <w:rsid w:val="00B959E3"/>
    <w:rsid w:val="00B95C1B"/>
    <w:rsid w:val="00B95E3F"/>
    <w:rsid w:val="00BA0304"/>
    <w:rsid w:val="00BA1372"/>
    <w:rsid w:val="00BA1438"/>
    <w:rsid w:val="00BA40EA"/>
    <w:rsid w:val="00BA4E20"/>
    <w:rsid w:val="00BA4F58"/>
    <w:rsid w:val="00BB0474"/>
    <w:rsid w:val="00BB1202"/>
    <w:rsid w:val="00BB1C61"/>
    <w:rsid w:val="00BB3B68"/>
    <w:rsid w:val="00BB3D55"/>
    <w:rsid w:val="00BB403C"/>
    <w:rsid w:val="00BB4140"/>
    <w:rsid w:val="00BB4701"/>
    <w:rsid w:val="00BB4B07"/>
    <w:rsid w:val="00BB4CD0"/>
    <w:rsid w:val="00BB56FA"/>
    <w:rsid w:val="00BB6E41"/>
    <w:rsid w:val="00BB7389"/>
    <w:rsid w:val="00BB75B7"/>
    <w:rsid w:val="00BB7A2C"/>
    <w:rsid w:val="00BC0132"/>
    <w:rsid w:val="00BC0183"/>
    <w:rsid w:val="00BC1C48"/>
    <w:rsid w:val="00BC21EC"/>
    <w:rsid w:val="00BC2941"/>
    <w:rsid w:val="00BC2F4B"/>
    <w:rsid w:val="00BC45D0"/>
    <w:rsid w:val="00BC5501"/>
    <w:rsid w:val="00BC55C8"/>
    <w:rsid w:val="00BC55F7"/>
    <w:rsid w:val="00BC6FB5"/>
    <w:rsid w:val="00BC7B39"/>
    <w:rsid w:val="00BC7BCE"/>
    <w:rsid w:val="00BD0351"/>
    <w:rsid w:val="00BD1F19"/>
    <w:rsid w:val="00BD4483"/>
    <w:rsid w:val="00BD4AA2"/>
    <w:rsid w:val="00BD4E66"/>
    <w:rsid w:val="00BD5D4E"/>
    <w:rsid w:val="00BD6233"/>
    <w:rsid w:val="00BD79AE"/>
    <w:rsid w:val="00BE0FAF"/>
    <w:rsid w:val="00BE11C9"/>
    <w:rsid w:val="00BE247F"/>
    <w:rsid w:val="00BE271C"/>
    <w:rsid w:val="00BE2D06"/>
    <w:rsid w:val="00BE2D5E"/>
    <w:rsid w:val="00BE3D6A"/>
    <w:rsid w:val="00BE61C7"/>
    <w:rsid w:val="00BE6668"/>
    <w:rsid w:val="00BE6AEF"/>
    <w:rsid w:val="00BE6F2A"/>
    <w:rsid w:val="00BE7979"/>
    <w:rsid w:val="00BE7D6E"/>
    <w:rsid w:val="00BE7F14"/>
    <w:rsid w:val="00BF0A5F"/>
    <w:rsid w:val="00BF2EA9"/>
    <w:rsid w:val="00C0044D"/>
    <w:rsid w:val="00C00AF0"/>
    <w:rsid w:val="00C02EF3"/>
    <w:rsid w:val="00C03A25"/>
    <w:rsid w:val="00C03D00"/>
    <w:rsid w:val="00C04E86"/>
    <w:rsid w:val="00C058F6"/>
    <w:rsid w:val="00C060F5"/>
    <w:rsid w:val="00C0655B"/>
    <w:rsid w:val="00C065E0"/>
    <w:rsid w:val="00C07681"/>
    <w:rsid w:val="00C111AD"/>
    <w:rsid w:val="00C12183"/>
    <w:rsid w:val="00C1377A"/>
    <w:rsid w:val="00C13B20"/>
    <w:rsid w:val="00C146B6"/>
    <w:rsid w:val="00C15122"/>
    <w:rsid w:val="00C151A9"/>
    <w:rsid w:val="00C173FA"/>
    <w:rsid w:val="00C175E3"/>
    <w:rsid w:val="00C21AFB"/>
    <w:rsid w:val="00C2392D"/>
    <w:rsid w:val="00C254D9"/>
    <w:rsid w:val="00C2572C"/>
    <w:rsid w:val="00C25AE6"/>
    <w:rsid w:val="00C25B36"/>
    <w:rsid w:val="00C25F04"/>
    <w:rsid w:val="00C260B7"/>
    <w:rsid w:val="00C337A7"/>
    <w:rsid w:val="00C3426E"/>
    <w:rsid w:val="00C34894"/>
    <w:rsid w:val="00C35F90"/>
    <w:rsid w:val="00C40262"/>
    <w:rsid w:val="00C40637"/>
    <w:rsid w:val="00C41F91"/>
    <w:rsid w:val="00C42F3D"/>
    <w:rsid w:val="00C44BDA"/>
    <w:rsid w:val="00C45356"/>
    <w:rsid w:val="00C45DF0"/>
    <w:rsid w:val="00C45F77"/>
    <w:rsid w:val="00C473DE"/>
    <w:rsid w:val="00C47B78"/>
    <w:rsid w:val="00C50E80"/>
    <w:rsid w:val="00C50FC6"/>
    <w:rsid w:val="00C51226"/>
    <w:rsid w:val="00C521D9"/>
    <w:rsid w:val="00C522DF"/>
    <w:rsid w:val="00C53B35"/>
    <w:rsid w:val="00C56922"/>
    <w:rsid w:val="00C57C3C"/>
    <w:rsid w:val="00C61250"/>
    <w:rsid w:val="00C61547"/>
    <w:rsid w:val="00C62431"/>
    <w:rsid w:val="00C62735"/>
    <w:rsid w:val="00C62A15"/>
    <w:rsid w:val="00C64664"/>
    <w:rsid w:val="00C64FA5"/>
    <w:rsid w:val="00C65B62"/>
    <w:rsid w:val="00C66053"/>
    <w:rsid w:val="00C67E7E"/>
    <w:rsid w:val="00C729C2"/>
    <w:rsid w:val="00C73397"/>
    <w:rsid w:val="00C73E7B"/>
    <w:rsid w:val="00C74D66"/>
    <w:rsid w:val="00C750E9"/>
    <w:rsid w:val="00C75FCD"/>
    <w:rsid w:val="00C7679B"/>
    <w:rsid w:val="00C778B3"/>
    <w:rsid w:val="00C80B04"/>
    <w:rsid w:val="00C832AE"/>
    <w:rsid w:val="00C852BE"/>
    <w:rsid w:val="00C85F20"/>
    <w:rsid w:val="00C91A65"/>
    <w:rsid w:val="00C91DAB"/>
    <w:rsid w:val="00C92B59"/>
    <w:rsid w:val="00C93A46"/>
    <w:rsid w:val="00C940E5"/>
    <w:rsid w:val="00C95B67"/>
    <w:rsid w:val="00C96DE5"/>
    <w:rsid w:val="00CA0504"/>
    <w:rsid w:val="00CA455D"/>
    <w:rsid w:val="00CA45A0"/>
    <w:rsid w:val="00CA46B8"/>
    <w:rsid w:val="00CA46FC"/>
    <w:rsid w:val="00CA4D15"/>
    <w:rsid w:val="00CA5650"/>
    <w:rsid w:val="00CA58DB"/>
    <w:rsid w:val="00CA5FDD"/>
    <w:rsid w:val="00CA7E37"/>
    <w:rsid w:val="00CB064D"/>
    <w:rsid w:val="00CB1D53"/>
    <w:rsid w:val="00CB336B"/>
    <w:rsid w:val="00CB46B9"/>
    <w:rsid w:val="00CB65BF"/>
    <w:rsid w:val="00CC0115"/>
    <w:rsid w:val="00CC0A1B"/>
    <w:rsid w:val="00CC218A"/>
    <w:rsid w:val="00CC248F"/>
    <w:rsid w:val="00CC2888"/>
    <w:rsid w:val="00CC315C"/>
    <w:rsid w:val="00CC3BE6"/>
    <w:rsid w:val="00CC4531"/>
    <w:rsid w:val="00CC4D47"/>
    <w:rsid w:val="00CC763B"/>
    <w:rsid w:val="00CC7DB1"/>
    <w:rsid w:val="00CD0E59"/>
    <w:rsid w:val="00CD15CB"/>
    <w:rsid w:val="00CD53A8"/>
    <w:rsid w:val="00CD5981"/>
    <w:rsid w:val="00CD5B46"/>
    <w:rsid w:val="00CD6D0B"/>
    <w:rsid w:val="00CE14C1"/>
    <w:rsid w:val="00CE1DF5"/>
    <w:rsid w:val="00CE1FC8"/>
    <w:rsid w:val="00CE232D"/>
    <w:rsid w:val="00CE5236"/>
    <w:rsid w:val="00CE6185"/>
    <w:rsid w:val="00CE72E9"/>
    <w:rsid w:val="00CE7453"/>
    <w:rsid w:val="00CF021C"/>
    <w:rsid w:val="00CF2139"/>
    <w:rsid w:val="00CF349B"/>
    <w:rsid w:val="00CF3A02"/>
    <w:rsid w:val="00CF4024"/>
    <w:rsid w:val="00CF4216"/>
    <w:rsid w:val="00CF4B48"/>
    <w:rsid w:val="00CF5BBC"/>
    <w:rsid w:val="00CF6AD7"/>
    <w:rsid w:val="00CF6BDB"/>
    <w:rsid w:val="00CF7EAF"/>
    <w:rsid w:val="00D0049B"/>
    <w:rsid w:val="00D006AB"/>
    <w:rsid w:val="00D00E85"/>
    <w:rsid w:val="00D013F6"/>
    <w:rsid w:val="00D01B01"/>
    <w:rsid w:val="00D01C2F"/>
    <w:rsid w:val="00D0220A"/>
    <w:rsid w:val="00D02B7A"/>
    <w:rsid w:val="00D02C42"/>
    <w:rsid w:val="00D056E2"/>
    <w:rsid w:val="00D05F96"/>
    <w:rsid w:val="00D06BB5"/>
    <w:rsid w:val="00D10C23"/>
    <w:rsid w:val="00D110A6"/>
    <w:rsid w:val="00D1133E"/>
    <w:rsid w:val="00D13454"/>
    <w:rsid w:val="00D13E13"/>
    <w:rsid w:val="00D151C6"/>
    <w:rsid w:val="00D161D4"/>
    <w:rsid w:val="00D208D1"/>
    <w:rsid w:val="00D20F37"/>
    <w:rsid w:val="00D22FD6"/>
    <w:rsid w:val="00D23903"/>
    <w:rsid w:val="00D23CD8"/>
    <w:rsid w:val="00D23E4B"/>
    <w:rsid w:val="00D24208"/>
    <w:rsid w:val="00D24578"/>
    <w:rsid w:val="00D25042"/>
    <w:rsid w:val="00D253DC"/>
    <w:rsid w:val="00D262AE"/>
    <w:rsid w:val="00D264A9"/>
    <w:rsid w:val="00D314A1"/>
    <w:rsid w:val="00D32244"/>
    <w:rsid w:val="00D328BF"/>
    <w:rsid w:val="00D33D3E"/>
    <w:rsid w:val="00D348FB"/>
    <w:rsid w:val="00D352E7"/>
    <w:rsid w:val="00D35FC0"/>
    <w:rsid w:val="00D36113"/>
    <w:rsid w:val="00D36347"/>
    <w:rsid w:val="00D363F3"/>
    <w:rsid w:val="00D368E2"/>
    <w:rsid w:val="00D37787"/>
    <w:rsid w:val="00D37CF0"/>
    <w:rsid w:val="00D4038E"/>
    <w:rsid w:val="00D40C6A"/>
    <w:rsid w:val="00D418C8"/>
    <w:rsid w:val="00D41AB6"/>
    <w:rsid w:val="00D446E0"/>
    <w:rsid w:val="00D44AF5"/>
    <w:rsid w:val="00D46ABF"/>
    <w:rsid w:val="00D47FCA"/>
    <w:rsid w:val="00D501B5"/>
    <w:rsid w:val="00D51327"/>
    <w:rsid w:val="00D5135A"/>
    <w:rsid w:val="00D53661"/>
    <w:rsid w:val="00D53C1B"/>
    <w:rsid w:val="00D5629B"/>
    <w:rsid w:val="00D568B2"/>
    <w:rsid w:val="00D57218"/>
    <w:rsid w:val="00D57AE7"/>
    <w:rsid w:val="00D62D03"/>
    <w:rsid w:val="00D63140"/>
    <w:rsid w:val="00D64D31"/>
    <w:rsid w:val="00D65F4C"/>
    <w:rsid w:val="00D660DE"/>
    <w:rsid w:val="00D677DE"/>
    <w:rsid w:val="00D67805"/>
    <w:rsid w:val="00D714FA"/>
    <w:rsid w:val="00D71747"/>
    <w:rsid w:val="00D72D40"/>
    <w:rsid w:val="00D72DDF"/>
    <w:rsid w:val="00D734A0"/>
    <w:rsid w:val="00D7355B"/>
    <w:rsid w:val="00D739BE"/>
    <w:rsid w:val="00D74DEE"/>
    <w:rsid w:val="00D762E4"/>
    <w:rsid w:val="00D768AD"/>
    <w:rsid w:val="00D802B7"/>
    <w:rsid w:val="00D806EC"/>
    <w:rsid w:val="00D8155D"/>
    <w:rsid w:val="00D817FD"/>
    <w:rsid w:val="00D81C7F"/>
    <w:rsid w:val="00D81E99"/>
    <w:rsid w:val="00D820FD"/>
    <w:rsid w:val="00D84F0E"/>
    <w:rsid w:val="00D850A7"/>
    <w:rsid w:val="00D8521D"/>
    <w:rsid w:val="00D85786"/>
    <w:rsid w:val="00D87130"/>
    <w:rsid w:val="00D90BFB"/>
    <w:rsid w:val="00D925DE"/>
    <w:rsid w:val="00D9311E"/>
    <w:rsid w:val="00D9573C"/>
    <w:rsid w:val="00D95BC6"/>
    <w:rsid w:val="00D96253"/>
    <w:rsid w:val="00D96A28"/>
    <w:rsid w:val="00D97374"/>
    <w:rsid w:val="00D97FB8"/>
    <w:rsid w:val="00DA15AA"/>
    <w:rsid w:val="00DA1A72"/>
    <w:rsid w:val="00DA3F68"/>
    <w:rsid w:val="00DA5406"/>
    <w:rsid w:val="00DA5ED4"/>
    <w:rsid w:val="00DA7345"/>
    <w:rsid w:val="00DA77DA"/>
    <w:rsid w:val="00DB1F7A"/>
    <w:rsid w:val="00DB21B2"/>
    <w:rsid w:val="00DB4FC9"/>
    <w:rsid w:val="00DB5169"/>
    <w:rsid w:val="00DB591E"/>
    <w:rsid w:val="00DB614D"/>
    <w:rsid w:val="00DB7B01"/>
    <w:rsid w:val="00DC0F10"/>
    <w:rsid w:val="00DC35CA"/>
    <w:rsid w:val="00DC3616"/>
    <w:rsid w:val="00DC3754"/>
    <w:rsid w:val="00DC448F"/>
    <w:rsid w:val="00DC48E8"/>
    <w:rsid w:val="00DC49BB"/>
    <w:rsid w:val="00DC4DFC"/>
    <w:rsid w:val="00DC5437"/>
    <w:rsid w:val="00DC5D3F"/>
    <w:rsid w:val="00DC612D"/>
    <w:rsid w:val="00DC7F53"/>
    <w:rsid w:val="00DD07D9"/>
    <w:rsid w:val="00DD0943"/>
    <w:rsid w:val="00DD2974"/>
    <w:rsid w:val="00DD2ACC"/>
    <w:rsid w:val="00DD42C2"/>
    <w:rsid w:val="00DD534A"/>
    <w:rsid w:val="00DD608A"/>
    <w:rsid w:val="00DD6A8E"/>
    <w:rsid w:val="00DD7982"/>
    <w:rsid w:val="00DE2A57"/>
    <w:rsid w:val="00DE3DE8"/>
    <w:rsid w:val="00DE5CD9"/>
    <w:rsid w:val="00DE60BD"/>
    <w:rsid w:val="00DE70C9"/>
    <w:rsid w:val="00DE7D39"/>
    <w:rsid w:val="00DF0374"/>
    <w:rsid w:val="00DF0CB7"/>
    <w:rsid w:val="00DF1A93"/>
    <w:rsid w:val="00DF202A"/>
    <w:rsid w:val="00DF5E18"/>
    <w:rsid w:val="00DF6442"/>
    <w:rsid w:val="00DF72E5"/>
    <w:rsid w:val="00E0036B"/>
    <w:rsid w:val="00E01D63"/>
    <w:rsid w:val="00E02EE0"/>
    <w:rsid w:val="00E03160"/>
    <w:rsid w:val="00E11B41"/>
    <w:rsid w:val="00E11BC3"/>
    <w:rsid w:val="00E13240"/>
    <w:rsid w:val="00E15D9D"/>
    <w:rsid w:val="00E15EB6"/>
    <w:rsid w:val="00E15F46"/>
    <w:rsid w:val="00E16A8F"/>
    <w:rsid w:val="00E17747"/>
    <w:rsid w:val="00E20902"/>
    <w:rsid w:val="00E237A4"/>
    <w:rsid w:val="00E2441B"/>
    <w:rsid w:val="00E25A4D"/>
    <w:rsid w:val="00E266D6"/>
    <w:rsid w:val="00E30E6B"/>
    <w:rsid w:val="00E31759"/>
    <w:rsid w:val="00E31AA4"/>
    <w:rsid w:val="00E33284"/>
    <w:rsid w:val="00E33411"/>
    <w:rsid w:val="00E3428B"/>
    <w:rsid w:val="00E35143"/>
    <w:rsid w:val="00E355B9"/>
    <w:rsid w:val="00E356F5"/>
    <w:rsid w:val="00E35FC7"/>
    <w:rsid w:val="00E36D4D"/>
    <w:rsid w:val="00E36DDD"/>
    <w:rsid w:val="00E37930"/>
    <w:rsid w:val="00E407B4"/>
    <w:rsid w:val="00E408B8"/>
    <w:rsid w:val="00E40C82"/>
    <w:rsid w:val="00E429CE"/>
    <w:rsid w:val="00E4418F"/>
    <w:rsid w:val="00E4489A"/>
    <w:rsid w:val="00E44E25"/>
    <w:rsid w:val="00E45487"/>
    <w:rsid w:val="00E4608F"/>
    <w:rsid w:val="00E460B3"/>
    <w:rsid w:val="00E46FE9"/>
    <w:rsid w:val="00E47062"/>
    <w:rsid w:val="00E50550"/>
    <w:rsid w:val="00E52892"/>
    <w:rsid w:val="00E52981"/>
    <w:rsid w:val="00E5309E"/>
    <w:rsid w:val="00E53503"/>
    <w:rsid w:val="00E56278"/>
    <w:rsid w:val="00E621CA"/>
    <w:rsid w:val="00E625F6"/>
    <w:rsid w:val="00E6289C"/>
    <w:rsid w:val="00E62F14"/>
    <w:rsid w:val="00E67138"/>
    <w:rsid w:val="00E67169"/>
    <w:rsid w:val="00E679B2"/>
    <w:rsid w:val="00E70CE8"/>
    <w:rsid w:val="00E71D13"/>
    <w:rsid w:val="00E75266"/>
    <w:rsid w:val="00E75528"/>
    <w:rsid w:val="00E7791F"/>
    <w:rsid w:val="00E77EAF"/>
    <w:rsid w:val="00E80736"/>
    <w:rsid w:val="00E82B4F"/>
    <w:rsid w:val="00E82FFB"/>
    <w:rsid w:val="00E835BA"/>
    <w:rsid w:val="00E84394"/>
    <w:rsid w:val="00E84571"/>
    <w:rsid w:val="00E8777E"/>
    <w:rsid w:val="00E94C7F"/>
    <w:rsid w:val="00E95D76"/>
    <w:rsid w:val="00E95E80"/>
    <w:rsid w:val="00E96160"/>
    <w:rsid w:val="00E9719A"/>
    <w:rsid w:val="00EA0464"/>
    <w:rsid w:val="00EA05D7"/>
    <w:rsid w:val="00EA3A50"/>
    <w:rsid w:val="00EA4FBE"/>
    <w:rsid w:val="00EA585A"/>
    <w:rsid w:val="00EA5F90"/>
    <w:rsid w:val="00EA6083"/>
    <w:rsid w:val="00EA666D"/>
    <w:rsid w:val="00EA78DB"/>
    <w:rsid w:val="00EA7928"/>
    <w:rsid w:val="00EB08C8"/>
    <w:rsid w:val="00EB1434"/>
    <w:rsid w:val="00EB2B26"/>
    <w:rsid w:val="00EB64AE"/>
    <w:rsid w:val="00EB687B"/>
    <w:rsid w:val="00EB6998"/>
    <w:rsid w:val="00EB6A3C"/>
    <w:rsid w:val="00EC0242"/>
    <w:rsid w:val="00EC2181"/>
    <w:rsid w:val="00EC246D"/>
    <w:rsid w:val="00EC3684"/>
    <w:rsid w:val="00EC5868"/>
    <w:rsid w:val="00EC73E2"/>
    <w:rsid w:val="00ED0F8F"/>
    <w:rsid w:val="00ED1382"/>
    <w:rsid w:val="00ED196D"/>
    <w:rsid w:val="00ED3E23"/>
    <w:rsid w:val="00ED3F35"/>
    <w:rsid w:val="00ED74B9"/>
    <w:rsid w:val="00EE04A0"/>
    <w:rsid w:val="00EE19BF"/>
    <w:rsid w:val="00EE1CAC"/>
    <w:rsid w:val="00EE1E46"/>
    <w:rsid w:val="00EE251C"/>
    <w:rsid w:val="00EE2DE0"/>
    <w:rsid w:val="00EE3117"/>
    <w:rsid w:val="00EE48CF"/>
    <w:rsid w:val="00EE5FF0"/>
    <w:rsid w:val="00EE6864"/>
    <w:rsid w:val="00EE6CB7"/>
    <w:rsid w:val="00EE6E06"/>
    <w:rsid w:val="00EF0DCF"/>
    <w:rsid w:val="00EF18C4"/>
    <w:rsid w:val="00EF3179"/>
    <w:rsid w:val="00EF4621"/>
    <w:rsid w:val="00EF4D4F"/>
    <w:rsid w:val="00EF6C62"/>
    <w:rsid w:val="00F010A5"/>
    <w:rsid w:val="00F04602"/>
    <w:rsid w:val="00F052CF"/>
    <w:rsid w:val="00F076A2"/>
    <w:rsid w:val="00F11A54"/>
    <w:rsid w:val="00F12124"/>
    <w:rsid w:val="00F12723"/>
    <w:rsid w:val="00F146A1"/>
    <w:rsid w:val="00F156A1"/>
    <w:rsid w:val="00F17E01"/>
    <w:rsid w:val="00F20102"/>
    <w:rsid w:val="00F20AF0"/>
    <w:rsid w:val="00F22952"/>
    <w:rsid w:val="00F22CF7"/>
    <w:rsid w:val="00F24C96"/>
    <w:rsid w:val="00F27968"/>
    <w:rsid w:val="00F27C91"/>
    <w:rsid w:val="00F310D1"/>
    <w:rsid w:val="00F3184C"/>
    <w:rsid w:val="00F31A6C"/>
    <w:rsid w:val="00F32D01"/>
    <w:rsid w:val="00F349D7"/>
    <w:rsid w:val="00F34C9F"/>
    <w:rsid w:val="00F35023"/>
    <w:rsid w:val="00F358AD"/>
    <w:rsid w:val="00F36DED"/>
    <w:rsid w:val="00F37401"/>
    <w:rsid w:val="00F4028F"/>
    <w:rsid w:val="00F40707"/>
    <w:rsid w:val="00F4072F"/>
    <w:rsid w:val="00F4215A"/>
    <w:rsid w:val="00F431B9"/>
    <w:rsid w:val="00F44A03"/>
    <w:rsid w:val="00F4629B"/>
    <w:rsid w:val="00F46E3A"/>
    <w:rsid w:val="00F46EB3"/>
    <w:rsid w:val="00F47A43"/>
    <w:rsid w:val="00F47ABE"/>
    <w:rsid w:val="00F502A6"/>
    <w:rsid w:val="00F50B5A"/>
    <w:rsid w:val="00F51FD3"/>
    <w:rsid w:val="00F52976"/>
    <w:rsid w:val="00F52A8D"/>
    <w:rsid w:val="00F52E4A"/>
    <w:rsid w:val="00F57737"/>
    <w:rsid w:val="00F57B52"/>
    <w:rsid w:val="00F6064C"/>
    <w:rsid w:val="00F620DD"/>
    <w:rsid w:val="00F65010"/>
    <w:rsid w:val="00F652FF"/>
    <w:rsid w:val="00F6542A"/>
    <w:rsid w:val="00F7040E"/>
    <w:rsid w:val="00F70AAC"/>
    <w:rsid w:val="00F71C06"/>
    <w:rsid w:val="00F724DF"/>
    <w:rsid w:val="00F73205"/>
    <w:rsid w:val="00F735A7"/>
    <w:rsid w:val="00F75AD0"/>
    <w:rsid w:val="00F75F80"/>
    <w:rsid w:val="00F779CA"/>
    <w:rsid w:val="00F77AE1"/>
    <w:rsid w:val="00F815B3"/>
    <w:rsid w:val="00F81FE1"/>
    <w:rsid w:val="00F82DE2"/>
    <w:rsid w:val="00F85688"/>
    <w:rsid w:val="00F857EE"/>
    <w:rsid w:val="00F87990"/>
    <w:rsid w:val="00F901DE"/>
    <w:rsid w:val="00F902AA"/>
    <w:rsid w:val="00F918AF"/>
    <w:rsid w:val="00F942F9"/>
    <w:rsid w:val="00F95B12"/>
    <w:rsid w:val="00F95D23"/>
    <w:rsid w:val="00F97E3A"/>
    <w:rsid w:val="00FA1877"/>
    <w:rsid w:val="00FA2AD7"/>
    <w:rsid w:val="00FA3246"/>
    <w:rsid w:val="00FA582E"/>
    <w:rsid w:val="00FA58BB"/>
    <w:rsid w:val="00FA606E"/>
    <w:rsid w:val="00FA6544"/>
    <w:rsid w:val="00FB0B7A"/>
    <w:rsid w:val="00FB18EE"/>
    <w:rsid w:val="00FB2581"/>
    <w:rsid w:val="00FB2DB9"/>
    <w:rsid w:val="00FB30EF"/>
    <w:rsid w:val="00FB3A4E"/>
    <w:rsid w:val="00FB4ADD"/>
    <w:rsid w:val="00FB5CD8"/>
    <w:rsid w:val="00FB747D"/>
    <w:rsid w:val="00FB7B9F"/>
    <w:rsid w:val="00FC30F5"/>
    <w:rsid w:val="00FC5B35"/>
    <w:rsid w:val="00FC5D25"/>
    <w:rsid w:val="00FC6B39"/>
    <w:rsid w:val="00FD0221"/>
    <w:rsid w:val="00FD04F4"/>
    <w:rsid w:val="00FD069F"/>
    <w:rsid w:val="00FD1505"/>
    <w:rsid w:val="00FD2252"/>
    <w:rsid w:val="00FE05AD"/>
    <w:rsid w:val="00FE0768"/>
    <w:rsid w:val="00FE07C5"/>
    <w:rsid w:val="00FE1CF8"/>
    <w:rsid w:val="00FE2791"/>
    <w:rsid w:val="00FE2A2C"/>
    <w:rsid w:val="00FE3665"/>
    <w:rsid w:val="00FE397A"/>
    <w:rsid w:val="00FE42A8"/>
    <w:rsid w:val="00FE5B24"/>
    <w:rsid w:val="00FE66F1"/>
    <w:rsid w:val="00FE71E4"/>
    <w:rsid w:val="00FE77FA"/>
    <w:rsid w:val="00FE7F23"/>
    <w:rsid w:val="00FF12A7"/>
    <w:rsid w:val="00FF4B09"/>
    <w:rsid w:val="00FF4CCE"/>
    <w:rsid w:val="00FF56B6"/>
    <w:rsid w:val="00FF5AA5"/>
    <w:rsid w:val="00FF6608"/>
    <w:rsid w:val="00FF6CF1"/>
    <w:rsid w:val="00FF6F31"/>
    <w:rsid w:val="00FF701D"/>
    <w:rsid w:val="00FF7B24"/>
    <w:rsid w:val="013066E9"/>
    <w:rsid w:val="013D4B60"/>
    <w:rsid w:val="015679D0"/>
    <w:rsid w:val="01586D8D"/>
    <w:rsid w:val="0159126E"/>
    <w:rsid w:val="01763BCE"/>
    <w:rsid w:val="01B9799C"/>
    <w:rsid w:val="01F33470"/>
    <w:rsid w:val="0233386D"/>
    <w:rsid w:val="02571C51"/>
    <w:rsid w:val="02782128"/>
    <w:rsid w:val="029462DA"/>
    <w:rsid w:val="029811B1"/>
    <w:rsid w:val="02B7624C"/>
    <w:rsid w:val="02E80AFB"/>
    <w:rsid w:val="02F72AEC"/>
    <w:rsid w:val="030B2AC3"/>
    <w:rsid w:val="03301465"/>
    <w:rsid w:val="035D4076"/>
    <w:rsid w:val="03B46B1F"/>
    <w:rsid w:val="03C230FA"/>
    <w:rsid w:val="03E2554B"/>
    <w:rsid w:val="03E638AC"/>
    <w:rsid w:val="03EF24DB"/>
    <w:rsid w:val="03F907CA"/>
    <w:rsid w:val="040A7093"/>
    <w:rsid w:val="040E27E3"/>
    <w:rsid w:val="04115E30"/>
    <w:rsid w:val="041C1C52"/>
    <w:rsid w:val="04553F6E"/>
    <w:rsid w:val="04C837D6"/>
    <w:rsid w:val="04CD0EBD"/>
    <w:rsid w:val="05047743"/>
    <w:rsid w:val="05502988"/>
    <w:rsid w:val="059B3145"/>
    <w:rsid w:val="05AC22B4"/>
    <w:rsid w:val="05CB4FE3"/>
    <w:rsid w:val="05E732EC"/>
    <w:rsid w:val="065118D6"/>
    <w:rsid w:val="06584388"/>
    <w:rsid w:val="069E4965"/>
    <w:rsid w:val="06BB2083"/>
    <w:rsid w:val="06C278B5"/>
    <w:rsid w:val="06E537ED"/>
    <w:rsid w:val="06EC048E"/>
    <w:rsid w:val="06F65C68"/>
    <w:rsid w:val="07062A63"/>
    <w:rsid w:val="072A198F"/>
    <w:rsid w:val="077B7EFB"/>
    <w:rsid w:val="079638F8"/>
    <w:rsid w:val="07C67C6D"/>
    <w:rsid w:val="07EB15C4"/>
    <w:rsid w:val="080A1514"/>
    <w:rsid w:val="080C0DE8"/>
    <w:rsid w:val="08112518"/>
    <w:rsid w:val="08203E59"/>
    <w:rsid w:val="082779D0"/>
    <w:rsid w:val="0834033F"/>
    <w:rsid w:val="08555050"/>
    <w:rsid w:val="08651B9C"/>
    <w:rsid w:val="08730319"/>
    <w:rsid w:val="0897790A"/>
    <w:rsid w:val="08B82D1E"/>
    <w:rsid w:val="08D35DAA"/>
    <w:rsid w:val="08E81855"/>
    <w:rsid w:val="08F051EE"/>
    <w:rsid w:val="08F55D20"/>
    <w:rsid w:val="091D5D0A"/>
    <w:rsid w:val="093525C0"/>
    <w:rsid w:val="09480E1D"/>
    <w:rsid w:val="09A45050"/>
    <w:rsid w:val="09B71227"/>
    <w:rsid w:val="09DB5D48"/>
    <w:rsid w:val="09DF0939"/>
    <w:rsid w:val="09F34ABD"/>
    <w:rsid w:val="09F80BED"/>
    <w:rsid w:val="0A0501E5"/>
    <w:rsid w:val="0A0C3B82"/>
    <w:rsid w:val="0A342878"/>
    <w:rsid w:val="0A390C74"/>
    <w:rsid w:val="0A894972"/>
    <w:rsid w:val="0ACA0AE6"/>
    <w:rsid w:val="0AEE6ECB"/>
    <w:rsid w:val="0B0B1CB0"/>
    <w:rsid w:val="0B1C68B7"/>
    <w:rsid w:val="0B22063D"/>
    <w:rsid w:val="0B27418B"/>
    <w:rsid w:val="0B621946"/>
    <w:rsid w:val="0B6E3B68"/>
    <w:rsid w:val="0B7E41B6"/>
    <w:rsid w:val="0B8E2598"/>
    <w:rsid w:val="0B9510F4"/>
    <w:rsid w:val="0BAB6B6A"/>
    <w:rsid w:val="0BBA4FFF"/>
    <w:rsid w:val="0BCD6AE0"/>
    <w:rsid w:val="0BD31C1D"/>
    <w:rsid w:val="0BEF513A"/>
    <w:rsid w:val="0C087B18"/>
    <w:rsid w:val="0C1741FF"/>
    <w:rsid w:val="0C1A784C"/>
    <w:rsid w:val="0C1E103B"/>
    <w:rsid w:val="0C426528"/>
    <w:rsid w:val="0C545288"/>
    <w:rsid w:val="0C637445"/>
    <w:rsid w:val="0C9870EE"/>
    <w:rsid w:val="0CEC2F96"/>
    <w:rsid w:val="0CF054CC"/>
    <w:rsid w:val="0D05744B"/>
    <w:rsid w:val="0D1E6F55"/>
    <w:rsid w:val="0D4252AC"/>
    <w:rsid w:val="0D523741"/>
    <w:rsid w:val="0D584676"/>
    <w:rsid w:val="0D7C6A10"/>
    <w:rsid w:val="0D84064A"/>
    <w:rsid w:val="0D847672"/>
    <w:rsid w:val="0DB22432"/>
    <w:rsid w:val="0DB25F8E"/>
    <w:rsid w:val="0DBE2526"/>
    <w:rsid w:val="0DCD726B"/>
    <w:rsid w:val="0DD353C1"/>
    <w:rsid w:val="0DE63E89"/>
    <w:rsid w:val="0DE85E53"/>
    <w:rsid w:val="0DED5CAC"/>
    <w:rsid w:val="0DF742E8"/>
    <w:rsid w:val="0E2055ED"/>
    <w:rsid w:val="0E254F74"/>
    <w:rsid w:val="0E345FD6"/>
    <w:rsid w:val="0E687F57"/>
    <w:rsid w:val="0EAE4C77"/>
    <w:rsid w:val="0EB51830"/>
    <w:rsid w:val="0ED10695"/>
    <w:rsid w:val="0EEF6271"/>
    <w:rsid w:val="0F0E3698"/>
    <w:rsid w:val="0F136F00"/>
    <w:rsid w:val="0F183040"/>
    <w:rsid w:val="0F2F1860"/>
    <w:rsid w:val="0F76449F"/>
    <w:rsid w:val="0F865924"/>
    <w:rsid w:val="0F8C26B0"/>
    <w:rsid w:val="0F8D6C73"/>
    <w:rsid w:val="0FBD6E6C"/>
    <w:rsid w:val="0FBF6666"/>
    <w:rsid w:val="100C70DD"/>
    <w:rsid w:val="10134CDE"/>
    <w:rsid w:val="10270076"/>
    <w:rsid w:val="107439CE"/>
    <w:rsid w:val="108E487C"/>
    <w:rsid w:val="10A65B52"/>
    <w:rsid w:val="10B97633"/>
    <w:rsid w:val="10C612B8"/>
    <w:rsid w:val="10F26257"/>
    <w:rsid w:val="11034D52"/>
    <w:rsid w:val="11494E5B"/>
    <w:rsid w:val="11551A52"/>
    <w:rsid w:val="1163686D"/>
    <w:rsid w:val="11763776"/>
    <w:rsid w:val="11812BBE"/>
    <w:rsid w:val="11BE5B0A"/>
    <w:rsid w:val="11D02E86"/>
    <w:rsid w:val="11D13D6D"/>
    <w:rsid w:val="11DA2E7E"/>
    <w:rsid w:val="121F1FC7"/>
    <w:rsid w:val="12307DC9"/>
    <w:rsid w:val="12497978"/>
    <w:rsid w:val="1277108D"/>
    <w:rsid w:val="12850115"/>
    <w:rsid w:val="12AA5C61"/>
    <w:rsid w:val="12ED1816"/>
    <w:rsid w:val="13482EF0"/>
    <w:rsid w:val="136F4ABF"/>
    <w:rsid w:val="13A0123E"/>
    <w:rsid w:val="13A70859"/>
    <w:rsid w:val="14052F5F"/>
    <w:rsid w:val="14076907"/>
    <w:rsid w:val="14495172"/>
    <w:rsid w:val="145A0BC2"/>
    <w:rsid w:val="145B30B1"/>
    <w:rsid w:val="146B6E96"/>
    <w:rsid w:val="14705C62"/>
    <w:rsid w:val="148937C0"/>
    <w:rsid w:val="149023C6"/>
    <w:rsid w:val="14975956"/>
    <w:rsid w:val="14AB06BA"/>
    <w:rsid w:val="14D25167"/>
    <w:rsid w:val="14DE58BA"/>
    <w:rsid w:val="157824A6"/>
    <w:rsid w:val="15821F19"/>
    <w:rsid w:val="15871E71"/>
    <w:rsid w:val="159454BB"/>
    <w:rsid w:val="15974C66"/>
    <w:rsid w:val="15A85EC8"/>
    <w:rsid w:val="15A94E46"/>
    <w:rsid w:val="15C867D9"/>
    <w:rsid w:val="15CB0E82"/>
    <w:rsid w:val="15CE3B81"/>
    <w:rsid w:val="15F862E0"/>
    <w:rsid w:val="163A2FC4"/>
    <w:rsid w:val="16506EF4"/>
    <w:rsid w:val="165A02B3"/>
    <w:rsid w:val="16621330"/>
    <w:rsid w:val="16881F81"/>
    <w:rsid w:val="16A52E6C"/>
    <w:rsid w:val="16BA4105"/>
    <w:rsid w:val="172F4AF3"/>
    <w:rsid w:val="173C0FBE"/>
    <w:rsid w:val="17804D66"/>
    <w:rsid w:val="180A0C3E"/>
    <w:rsid w:val="181D3F91"/>
    <w:rsid w:val="182B607B"/>
    <w:rsid w:val="183F4B18"/>
    <w:rsid w:val="18660226"/>
    <w:rsid w:val="18891FE1"/>
    <w:rsid w:val="188A2295"/>
    <w:rsid w:val="188C4F5C"/>
    <w:rsid w:val="189049B7"/>
    <w:rsid w:val="18925339"/>
    <w:rsid w:val="18A321EA"/>
    <w:rsid w:val="18AE7C99"/>
    <w:rsid w:val="18E13BCB"/>
    <w:rsid w:val="19173A91"/>
    <w:rsid w:val="1920374D"/>
    <w:rsid w:val="193D15C9"/>
    <w:rsid w:val="196A0064"/>
    <w:rsid w:val="19971CFA"/>
    <w:rsid w:val="19D52FBE"/>
    <w:rsid w:val="1A66082C"/>
    <w:rsid w:val="1A8A3E10"/>
    <w:rsid w:val="1AD25EC1"/>
    <w:rsid w:val="1AE36FBE"/>
    <w:rsid w:val="1AF13750"/>
    <w:rsid w:val="1AFD0A64"/>
    <w:rsid w:val="1B19589E"/>
    <w:rsid w:val="1B266670"/>
    <w:rsid w:val="1B2A53C4"/>
    <w:rsid w:val="1B46065D"/>
    <w:rsid w:val="1B4E1B31"/>
    <w:rsid w:val="1B8B6070"/>
    <w:rsid w:val="1B970EB9"/>
    <w:rsid w:val="1BCF0653"/>
    <w:rsid w:val="1BCF1891"/>
    <w:rsid w:val="1BD143CB"/>
    <w:rsid w:val="1BDB0DA5"/>
    <w:rsid w:val="1C545242"/>
    <w:rsid w:val="1C5E5533"/>
    <w:rsid w:val="1C8925AF"/>
    <w:rsid w:val="1CFC4701"/>
    <w:rsid w:val="1D0106DB"/>
    <w:rsid w:val="1D3369BF"/>
    <w:rsid w:val="1D4961E3"/>
    <w:rsid w:val="1D6236DC"/>
    <w:rsid w:val="1D6F4609"/>
    <w:rsid w:val="1D7C2114"/>
    <w:rsid w:val="1D7C2913"/>
    <w:rsid w:val="1D9A6911"/>
    <w:rsid w:val="1DAD6826"/>
    <w:rsid w:val="1DD65CC8"/>
    <w:rsid w:val="1DDC7057"/>
    <w:rsid w:val="1DDE5F1A"/>
    <w:rsid w:val="1DEF0084"/>
    <w:rsid w:val="1E234C86"/>
    <w:rsid w:val="1E396257"/>
    <w:rsid w:val="1E4C7D38"/>
    <w:rsid w:val="1E634270"/>
    <w:rsid w:val="1E6C3F37"/>
    <w:rsid w:val="1E6F0FBA"/>
    <w:rsid w:val="1E8F760B"/>
    <w:rsid w:val="1E935116"/>
    <w:rsid w:val="1EA40FE1"/>
    <w:rsid w:val="1EB96617"/>
    <w:rsid w:val="1EBA152A"/>
    <w:rsid w:val="1EBC1450"/>
    <w:rsid w:val="1ECF19D3"/>
    <w:rsid w:val="1EF54BEB"/>
    <w:rsid w:val="1EFD7285"/>
    <w:rsid w:val="1F0570BD"/>
    <w:rsid w:val="1F2B3DF2"/>
    <w:rsid w:val="1F537085"/>
    <w:rsid w:val="1F6115C2"/>
    <w:rsid w:val="1F716431"/>
    <w:rsid w:val="1F9757DB"/>
    <w:rsid w:val="1FB43DE7"/>
    <w:rsid w:val="1FF42436"/>
    <w:rsid w:val="200C5B85"/>
    <w:rsid w:val="201D29B4"/>
    <w:rsid w:val="201E3957"/>
    <w:rsid w:val="20390790"/>
    <w:rsid w:val="20635902"/>
    <w:rsid w:val="207B66B3"/>
    <w:rsid w:val="208C6B12"/>
    <w:rsid w:val="20A0144F"/>
    <w:rsid w:val="20AE69A5"/>
    <w:rsid w:val="210C5721"/>
    <w:rsid w:val="21442C28"/>
    <w:rsid w:val="2177331E"/>
    <w:rsid w:val="21E616F9"/>
    <w:rsid w:val="221109C9"/>
    <w:rsid w:val="222533FF"/>
    <w:rsid w:val="2241392C"/>
    <w:rsid w:val="22453B26"/>
    <w:rsid w:val="225B679C"/>
    <w:rsid w:val="22673393"/>
    <w:rsid w:val="229A7A05"/>
    <w:rsid w:val="22B55BB0"/>
    <w:rsid w:val="22CD421A"/>
    <w:rsid w:val="22F028ED"/>
    <w:rsid w:val="23515DF1"/>
    <w:rsid w:val="23516232"/>
    <w:rsid w:val="236C49D9"/>
    <w:rsid w:val="2375388E"/>
    <w:rsid w:val="237B4BCE"/>
    <w:rsid w:val="23952182"/>
    <w:rsid w:val="23A221A9"/>
    <w:rsid w:val="23BB3781"/>
    <w:rsid w:val="23D122A6"/>
    <w:rsid w:val="243C741C"/>
    <w:rsid w:val="24A7456C"/>
    <w:rsid w:val="24AF5072"/>
    <w:rsid w:val="24B62DA0"/>
    <w:rsid w:val="24C136DD"/>
    <w:rsid w:val="24C94738"/>
    <w:rsid w:val="24E862E1"/>
    <w:rsid w:val="24ED7B8B"/>
    <w:rsid w:val="24FB65D2"/>
    <w:rsid w:val="253F4153"/>
    <w:rsid w:val="259D47AE"/>
    <w:rsid w:val="25DE2E17"/>
    <w:rsid w:val="25E82A3D"/>
    <w:rsid w:val="25EB42DB"/>
    <w:rsid w:val="25EC2D75"/>
    <w:rsid w:val="25F62277"/>
    <w:rsid w:val="262B0B7B"/>
    <w:rsid w:val="26AD333E"/>
    <w:rsid w:val="26C16DEA"/>
    <w:rsid w:val="26D80F62"/>
    <w:rsid w:val="279A1B15"/>
    <w:rsid w:val="27D635EB"/>
    <w:rsid w:val="27EC2E83"/>
    <w:rsid w:val="280E605F"/>
    <w:rsid w:val="28397580"/>
    <w:rsid w:val="284A5CC6"/>
    <w:rsid w:val="284B2E0F"/>
    <w:rsid w:val="28512907"/>
    <w:rsid w:val="286954A4"/>
    <w:rsid w:val="28722A91"/>
    <w:rsid w:val="28812CD5"/>
    <w:rsid w:val="28844573"/>
    <w:rsid w:val="28893937"/>
    <w:rsid w:val="289005FA"/>
    <w:rsid w:val="28F34F96"/>
    <w:rsid w:val="28FA2F61"/>
    <w:rsid w:val="291F73DA"/>
    <w:rsid w:val="29332221"/>
    <w:rsid w:val="297840D8"/>
    <w:rsid w:val="298C60EC"/>
    <w:rsid w:val="29945119"/>
    <w:rsid w:val="29B9024C"/>
    <w:rsid w:val="29C56E6E"/>
    <w:rsid w:val="2A1650B8"/>
    <w:rsid w:val="2A1C76E6"/>
    <w:rsid w:val="2A3D5CE6"/>
    <w:rsid w:val="2A6C46FA"/>
    <w:rsid w:val="2AA746BD"/>
    <w:rsid w:val="2AAD7B93"/>
    <w:rsid w:val="2AE8528D"/>
    <w:rsid w:val="2B585F6F"/>
    <w:rsid w:val="2B634913"/>
    <w:rsid w:val="2B6B3BD6"/>
    <w:rsid w:val="2BA03F0A"/>
    <w:rsid w:val="2BC96E6C"/>
    <w:rsid w:val="2BFA31F8"/>
    <w:rsid w:val="2C1207DD"/>
    <w:rsid w:val="2C1A76C8"/>
    <w:rsid w:val="2C1C51EE"/>
    <w:rsid w:val="2C2154CD"/>
    <w:rsid w:val="2C3167C0"/>
    <w:rsid w:val="2C480273"/>
    <w:rsid w:val="2C4E13B6"/>
    <w:rsid w:val="2C555293"/>
    <w:rsid w:val="2C701096"/>
    <w:rsid w:val="2C793CB5"/>
    <w:rsid w:val="2C9F5ABD"/>
    <w:rsid w:val="2CA156F3"/>
    <w:rsid w:val="2CF06649"/>
    <w:rsid w:val="2D0D2D89"/>
    <w:rsid w:val="2D14620B"/>
    <w:rsid w:val="2D203743"/>
    <w:rsid w:val="2D5154FF"/>
    <w:rsid w:val="2D636E4D"/>
    <w:rsid w:val="2D8C5731"/>
    <w:rsid w:val="2DA51213"/>
    <w:rsid w:val="2DBA2F11"/>
    <w:rsid w:val="2DCE076A"/>
    <w:rsid w:val="2DE42D65"/>
    <w:rsid w:val="2E2041CE"/>
    <w:rsid w:val="2E442BE3"/>
    <w:rsid w:val="2E513149"/>
    <w:rsid w:val="2EB50EA7"/>
    <w:rsid w:val="2EB931C8"/>
    <w:rsid w:val="2EC53971"/>
    <w:rsid w:val="2ECA72F2"/>
    <w:rsid w:val="2ED43E1F"/>
    <w:rsid w:val="2EE1627B"/>
    <w:rsid w:val="2EF56013"/>
    <w:rsid w:val="2F063F34"/>
    <w:rsid w:val="2F104B00"/>
    <w:rsid w:val="2F4D1B62"/>
    <w:rsid w:val="2F695E4C"/>
    <w:rsid w:val="2F7E3ACA"/>
    <w:rsid w:val="2F827A5E"/>
    <w:rsid w:val="2FAC0B85"/>
    <w:rsid w:val="2FAD43AF"/>
    <w:rsid w:val="2FCD1727"/>
    <w:rsid w:val="2FF40230"/>
    <w:rsid w:val="30113AAF"/>
    <w:rsid w:val="302F1F60"/>
    <w:rsid w:val="30492678"/>
    <w:rsid w:val="30707A10"/>
    <w:rsid w:val="307C6404"/>
    <w:rsid w:val="307D6960"/>
    <w:rsid w:val="3093326E"/>
    <w:rsid w:val="309F16CA"/>
    <w:rsid w:val="30AE1A7F"/>
    <w:rsid w:val="30AE4883"/>
    <w:rsid w:val="30BA0659"/>
    <w:rsid w:val="30BA3228"/>
    <w:rsid w:val="30C85944"/>
    <w:rsid w:val="310224D9"/>
    <w:rsid w:val="313868DB"/>
    <w:rsid w:val="314F6C88"/>
    <w:rsid w:val="316D3DF6"/>
    <w:rsid w:val="31701422"/>
    <w:rsid w:val="317F6E08"/>
    <w:rsid w:val="318F6462"/>
    <w:rsid w:val="31BA5BF7"/>
    <w:rsid w:val="31C37EBA"/>
    <w:rsid w:val="31C46CBB"/>
    <w:rsid w:val="31DA3AEF"/>
    <w:rsid w:val="31F167D5"/>
    <w:rsid w:val="31F462C5"/>
    <w:rsid w:val="32026C34"/>
    <w:rsid w:val="322841C1"/>
    <w:rsid w:val="322E1CC9"/>
    <w:rsid w:val="32333292"/>
    <w:rsid w:val="324A05DB"/>
    <w:rsid w:val="328B4D19"/>
    <w:rsid w:val="329B2BE5"/>
    <w:rsid w:val="32D95272"/>
    <w:rsid w:val="32EC1C21"/>
    <w:rsid w:val="332903EE"/>
    <w:rsid w:val="3330157F"/>
    <w:rsid w:val="3330332D"/>
    <w:rsid w:val="33553411"/>
    <w:rsid w:val="33D407E1"/>
    <w:rsid w:val="33DD7975"/>
    <w:rsid w:val="33E228BB"/>
    <w:rsid w:val="33E800AC"/>
    <w:rsid w:val="33F1670B"/>
    <w:rsid w:val="33F627C9"/>
    <w:rsid w:val="34117602"/>
    <w:rsid w:val="341E7629"/>
    <w:rsid w:val="341F7840"/>
    <w:rsid w:val="346970EE"/>
    <w:rsid w:val="348247E8"/>
    <w:rsid w:val="34930E47"/>
    <w:rsid w:val="349B6ECC"/>
    <w:rsid w:val="34FF2F19"/>
    <w:rsid w:val="350B5E00"/>
    <w:rsid w:val="351444CA"/>
    <w:rsid w:val="352275ED"/>
    <w:rsid w:val="35477898"/>
    <w:rsid w:val="35526E64"/>
    <w:rsid w:val="35725E7F"/>
    <w:rsid w:val="35747E49"/>
    <w:rsid w:val="358856A2"/>
    <w:rsid w:val="35A5571C"/>
    <w:rsid w:val="35B9585C"/>
    <w:rsid w:val="35BB7A4D"/>
    <w:rsid w:val="35C81BDD"/>
    <w:rsid w:val="35D07049"/>
    <w:rsid w:val="35DC2486"/>
    <w:rsid w:val="35E470B9"/>
    <w:rsid w:val="361138EA"/>
    <w:rsid w:val="361F7371"/>
    <w:rsid w:val="362527CF"/>
    <w:rsid w:val="3671566E"/>
    <w:rsid w:val="36785883"/>
    <w:rsid w:val="369E37A4"/>
    <w:rsid w:val="36AE7B6A"/>
    <w:rsid w:val="36BB3856"/>
    <w:rsid w:val="36FA5F3A"/>
    <w:rsid w:val="370945C1"/>
    <w:rsid w:val="370B658B"/>
    <w:rsid w:val="375717D0"/>
    <w:rsid w:val="3772660A"/>
    <w:rsid w:val="37732382"/>
    <w:rsid w:val="37740321"/>
    <w:rsid w:val="377A726D"/>
    <w:rsid w:val="37B7226F"/>
    <w:rsid w:val="37C4673A"/>
    <w:rsid w:val="3800723D"/>
    <w:rsid w:val="38064FA4"/>
    <w:rsid w:val="385222B4"/>
    <w:rsid w:val="386B6836"/>
    <w:rsid w:val="3873697E"/>
    <w:rsid w:val="387858B5"/>
    <w:rsid w:val="38796365"/>
    <w:rsid w:val="389205E6"/>
    <w:rsid w:val="38B9504B"/>
    <w:rsid w:val="38D34E86"/>
    <w:rsid w:val="38DA77EC"/>
    <w:rsid w:val="390E2892"/>
    <w:rsid w:val="392A4632"/>
    <w:rsid w:val="392F4273"/>
    <w:rsid w:val="394D52E7"/>
    <w:rsid w:val="39557F91"/>
    <w:rsid w:val="3960172F"/>
    <w:rsid w:val="39616936"/>
    <w:rsid w:val="39665CFB"/>
    <w:rsid w:val="398523C9"/>
    <w:rsid w:val="399D75F6"/>
    <w:rsid w:val="39A40D12"/>
    <w:rsid w:val="39B37FC5"/>
    <w:rsid w:val="39C032DB"/>
    <w:rsid w:val="39C24EFB"/>
    <w:rsid w:val="3A101F69"/>
    <w:rsid w:val="3A1A0893"/>
    <w:rsid w:val="3A293D9C"/>
    <w:rsid w:val="3A2F2590"/>
    <w:rsid w:val="3A312906"/>
    <w:rsid w:val="3A4B3142"/>
    <w:rsid w:val="3A63508D"/>
    <w:rsid w:val="3A6F0A12"/>
    <w:rsid w:val="3A6F0BDF"/>
    <w:rsid w:val="3A784D7A"/>
    <w:rsid w:val="3A9E14C4"/>
    <w:rsid w:val="3AC07CA3"/>
    <w:rsid w:val="3AD9074E"/>
    <w:rsid w:val="3AED7D56"/>
    <w:rsid w:val="3AF70BD4"/>
    <w:rsid w:val="3AFA6D92"/>
    <w:rsid w:val="3B1B034B"/>
    <w:rsid w:val="3B682A83"/>
    <w:rsid w:val="3B702E61"/>
    <w:rsid w:val="3BCC2061"/>
    <w:rsid w:val="3BFB6F0B"/>
    <w:rsid w:val="3C047A4D"/>
    <w:rsid w:val="3C123F18"/>
    <w:rsid w:val="3C3261E8"/>
    <w:rsid w:val="3C4D24BA"/>
    <w:rsid w:val="3C575DCE"/>
    <w:rsid w:val="3C5C5193"/>
    <w:rsid w:val="3C860462"/>
    <w:rsid w:val="3C964B49"/>
    <w:rsid w:val="3C9F5E57"/>
    <w:rsid w:val="3CB66F99"/>
    <w:rsid w:val="3CC3116D"/>
    <w:rsid w:val="3CD64D29"/>
    <w:rsid w:val="3CF33D49"/>
    <w:rsid w:val="3D1240B9"/>
    <w:rsid w:val="3D3876D8"/>
    <w:rsid w:val="3D3F2066"/>
    <w:rsid w:val="3D45031D"/>
    <w:rsid w:val="3D54230E"/>
    <w:rsid w:val="3D803103"/>
    <w:rsid w:val="3D811FA7"/>
    <w:rsid w:val="3DA75A48"/>
    <w:rsid w:val="3DAE1A1E"/>
    <w:rsid w:val="3DCB25D0"/>
    <w:rsid w:val="3DD83E0C"/>
    <w:rsid w:val="3E05686D"/>
    <w:rsid w:val="3E12380E"/>
    <w:rsid w:val="3E28337F"/>
    <w:rsid w:val="3E290944"/>
    <w:rsid w:val="3E4660FB"/>
    <w:rsid w:val="3E524A9F"/>
    <w:rsid w:val="3E72059C"/>
    <w:rsid w:val="3E9C5D1B"/>
    <w:rsid w:val="3EA168A1"/>
    <w:rsid w:val="3EAD617A"/>
    <w:rsid w:val="3EC3774B"/>
    <w:rsid w:val="3ED538C7"/>
    <w:rsid w:val="3EFB06B5"/>
    <w:rsid w:val="3F0C0503"/>
    <w:rsid w:val="3F1A758E"/>
    <w:rsid w:val="3F4A1C1A"/>
    <w:rsid w:val="3F5F2E3E"/>
    <w:rsid w:val="3F826AEF"/>
    <w:rsid w:val="3F88629F"/>
    <w:rsid w:val="3F95733A"/>
    <w:rsid w:val="3FBC3324"/>
    <w:rsid w:val="3FE07E89"/>
    <w:rsid w:val="3FED5593"/>
    <w:rsid w:val="3FF35E0E"/>
    <w:rsid w:val="3FFC381B"/>
    <w:rsid w:val="401F4E55"/>
    <w:rsid w:val="404623E2"/>
    <w:rsid w:val="404E74E8"/>
    <w:rsid w:val="405A40DF"/>
    <w:rsid w:val="40664832"/>
    <w:rsid w:val="40665306"/>
    <w:rsid w:val="40684838"/>
    <w:rsid w:val="4090365D"/>
    <w:rsid w:val="40B03CFF"/>
    <w:rsid w:val="40BE01CA"/>
    <w:rsid w:val="40E23045"/>
    <w:rsid w:val="40E55CFB"/>
    <w:rsid w:val="40EF0A92"/>
    <w:rsid w:val="4108375D"/>
    <w:rsid w:val="41265D6F"/>
    <w:rsid w:val="412C1558"/>
    <w:rsid w:val="413A7CAB"/>
    <w:rsid w:val="416D5B09"/>
    <w:rsid w:val="41844CBF"/>
    <w:rsid w:val="41AD5C70"/>
    <w:rsid w:val="41C37A62"/>
    <w:rsid w:val="41EC520B"/>
    <w:rsid w:val="420A3A80"/>
    <w:rsid w:val="421B164C"/>
    <w:rsid w:val="422229DB"/>
    <w:rsid w:val="42366486"/>
    <w:rsid w:val="4279063A"/>
    <w:rsid w:val="42903DE8"/>
    <w:rsid w:val="429F0CE6"/>
    <w:rsid w:val="42AB6E74"/>
    <w:rsid w:val="42D261AF"/>
    <w:rsid w:val="42D53EF1"/>
    <w:rsid w:val="43151F1A"/>
    <w:rsid w:val="433E1A96"/>
    <w:rsid w:val="435D151A"/>
    <w:rsid w:val="43724FCC"/>
    <w:rsid w:val="437E00E5"/>
    <w:rsid w:val="438A5AE0"/>
    <w:rsid w:val="43B45946"/>
    <w:rsid w:val="43C53F65"/>
    <w:rsid w:val="44044A8E"/>
    <w:rsid w:val="441B2AC9"/>
    <w:rsid w:val="441C4A02"/>
    <w:rsid w:val="444F7A9E"/>
    <w:rsid w:val="445350CD"/>
    <w:rsid w:val="445A46AE"/>
    <w:rsid w:val="44913E48"/>
    <w:rsid w:val="44AE49FA"/>
    <w:rsid w:val="44B95392"/>
    <w:rsid w:val="44C77869"/>
    <w:rsid w:val="44CE15BD"/>
    <w:rsid w:val="45181E73"/>
    <w:rsid w:val="454F1D39"/>
    <w:rsid w:val="455C4456"/>
    <w:rsid w:val="455D0495"/>
    <w:rsid w:val="456A0921"/>
    <w:rsid w:val="45BF5409"/>
    <w:rsid w:val="45C36283"/>
    <w:rsid w:val="45C51FFB"/>
    <w:rsid w:val="45C76075"/>
    <w:rsid w:val="46032B23"/>
    <w:rsid w:val="460E54F0"/>
    <w:rsid w:val="464C6334"/>
    <w:rsid w:val="464E37D6"/>
    <w:rsid w:val="465729E1"/>
    <w:rsid w:val="46621D5B"/>
    <w:rsid w:val="467625C0"/>
    <w:rsid w:val="46AA5F8C"/>
    <w:rsid w:val="46BC47EE"/>
    <w:rsid w:val="46CF23A8"/>
    <w:rsid w:val="46EE2863"/>
    <w:rsid w:val="46EE732F"/>
    <w:rsid w:val="47186E42"/>
    <w:rsid w:val="472F21BA"/>
    <w:rsid w:val="47363318"/>
    <w:rsid w:val="473A11B9"/>
    <w:rsid w:val="47574ED5"/>
    <w:rsid w:val="476E5A34"/>
    <w:rsid w:val="4779309D"/>
    <w:rsid w:val="478F28C0"/>
    <w:rsid w:val="4792415F"/>
    <w:rsid w:val="47C24E7B"/>
    <w:rsid w:val="47C5711C"/>
    <w:rsid w:val="47D12ED9"/>
    <w:rsid w:val="47DB1B38"/>
    <w:rsid w:val="47E30E5E"/>
    <w:rsid w:val="47FF0B70"/>
    <w:rsid w:val="48036E0A"/>
    <w:rsid w:val="4812283E"/>
    <w:rsid w:val="482F7BFF"/>
    <w:rsid w:val="485A7833"/>
    <w:rsid w:val="489F6B33"/>
    <w:rsid w:val="48A61419"/>
    <w:rsid w:val="48AA2BE1"/>
    <w:rsid w:val="48C72BD1"/>
    <w:rsid w:val="48CE566A"/>
    <w:rsid w:val="48D122E4"/>
    <w:rsid w:val="48E443BB"/>
    <w:rsid w:val="48E64762"/>
    <w:rsid w:val="49080B7C"/>
    <w:rsid w:val="491F540E"/>
    <w:rsid w:val="492918F5"/>
    <w:rsid w:val="49311755"/>
    <w:rsid w:val="4954657D"/>
    <w:rsid w:val="49690EEF"/>
    <w:rsid w:val="4975500A"/>
    <w:rsid w:val="499228B8"/>
    <w:rsid w:val="49B900C8"/>
    <w:rsid w:val="49CC5D18"/>
    <w:rsid w:val="49E14F29"/>
    <w:rsid w:val="49F13838"/>
    <w:rsid w:val="49F60313"/>
    <w:rsid w:val="49FE48E0"/>
    <w:rsid w:val="4A130BA2"/>
    <w:rsid w:val="4A2A2D74"/>
    <w:rsid w:val="4A7364C9"/>
    <w:rsid w:val="4A800BE6"/>
    <w:rsid w:val="4A9E2E1A"/>
    <w:rsid w:val="4AA428BB"/>
    <w:rsid w:val="4AB2490D"/>
    <w:rsid w:val="4AC614C9"/>
    <w:rsid w:val="4AD46F32"/>
    <w:rsid w:val="4AE03433"/>
    <w:rsid w:val="4AE94866"/>
    <w:rsid w:val="4B2D2B02"/>
    <w:rsid w:val="4B33285C"/>
    <w:rsid w:val="4B3B68BB"/>
    <w:rsid w:val="4B427C4A"/>
    <w:rsid w:val="4B68071D"/>
    <w:rsid w:val="4B7C0DDC"/>
    <w:rsid w:val="4B7C7600"/>
    <w:rsid w:val="4B7D6ED4"/>
    <w:rsid w:val="4B893B2A"/>
    <w:rsid w:val="4BCD1CEE"/>
    <w:rsid w:val="4BD42F98"/>
    <w:rsid w:val="4BE06B09"/>
    <w:rsid w:val="4BF76C86"/>
    <w:rsid w:val="4C0C0983"/>
    <w:rsid w:val="4C172E84"/>
    <w:rsid w:val="4C1D548C"/>
    <w:rsid w:val="4C3D6D8F"/>
    <w:rsid w:val="4C483FA9"/>
    <w:rsid w:val="4C5E0AB3"/>
    <w:rsid w:val="4C6F0F12"/>
    <w:rsid w:val="4CA14801"/>
    <w:rsid w:val="4CBB4158"/>
    <w:rsid w:val="4CC76658"/>
    <w:rsid w:val="4CF44D53"/>
    <w:rsid w:val="4CFD1684"/>
    <w:rsid w:val="4D09462F"/>
    <w:rsid w:val="4D0E4287"/>
    <w:rsid w:val="4D105C40"/>
    <w:rsid w:val="4D1D44CA"/>
    <w:rsid w:val="4D3C7046"/>
    <w:rsid w:val="4D6A209E"/>
    <w:rsid w:val="4D7762D0"/>
    <w:rsid w:val="4D91224F"/>
    <w:rsid w:val="4D9C3F24"/>
    <w:rsid w:val="4DA35BE5"/>
    <w:rsid w:val="4DAE5A6A"/>
    <w:rsid w:val="4DC43937"/>
    <w:rsid w:val="4DC82843"/>
    <w:rsid w:val="4DD168CA"/>
    <w:rsid w:val="4DDE00FE"/>
    <w:rsid w:val="4DE46265"/>
    <w:rsid w:val="4DFE254E"/>
    <w:rsid w:val="4E025AA8"/>
    <w:rsid w:val="4E2B5F9E"/>
    <w:rsid w:val="4E3C3DF2"/>
    <w:rsid w:val="4E5C54C6"/>
    <w:rsid w:val="4ECC264C"/>
    <w:rsid w:val="4ED7131C"/>
    <w:rsid w:val="4EF20883"/>
    <w:rsid w:val="4F2C6C47"/>
    <w:rsid w:val="4F404EAE"/>
    <w:rsid w:val="4F417553"/>
    <w:rsid w:val="4F56448F"/>
    <w:rsid w:val="4FA90297"/>
    <w:rsid w:val="4FD01CC8"/>
    <w:rsid w:val="4FE319FB"/>
    <w:rsid w:val="4FE6773D"/>
    <w:rsid w:val="50131BB5"/>
    <w:rsid w:val="50163114"/>
    <w:rsid w:val="50602E38"/>
    <w:rsid w:val="509947B0"/>
    <w:rsid w:val="50A15412"/>
    <w:rsid w:val="50A6010C"/>
    <w:rsid w:val="50B321C2"/>
    <w:rsid w:val="511B26D2"/>
    <w:rsid w:val="512E314A"/>
    <w:rsid w:val="51872259"/>
    <w:rsid w:val="518B076E"/>
    <w:rsid w:val="519B374B"/>
    <w:rsid w:val="51A92514"/>
    <w:rsid w:val="51D633B7"/>
    <w:rsid w:val="51DB6702"/>
    <w:rsid w:val="51E41767"/>
    <w:rsid w:val="51F872B4"/>
    <w:rsid w:val="522317E8"/>
    <w:rsid w:val="52262073"/>
    <w:rsid w:val="5237602E"/>
    <w:rsid w:val="52E04D1A"/>
    <w:rsid w:val="52E54837"/>
    <w:rsid w:val="52E96058"/>
    <w:rsid w:val="531041B3"/>
    <w:rsid w:val="536A32A3"/>
    <w:rsid w:val="536D782E"/>
    <w:rsid w:val="538057B3"/>
    <w:rsid w:val="53B27F9E"/>
    <w:rsid w:val="53B35B89"/>
    <w:rsid w:val="53BF0089"/>
    <w:rsid w:val="53CE29C2"/>
    <w:rsid w:val="53D86B05"/>
    <w:rsid w:val="53DA3115"/>
    <w:rsid w:val="54297BF9"/>
    <w:rsid w:val="54351F9B"/>
    <w:rsid w:val="544B4013"/>
    <w:rsid w:val="545C1D7C"/>
    <w:rsid w:val="545E5942"/>
    <w:rsid w:val="54B716A8"/>
    <w:rsid w:val="55217D3F"/>
    <w:rsid w:val="55245321"/>
    <w:rsid w:val="55746AE5"/>
    <w:rsid w:val="557E2768"/>
    <w:rsid w:val="558C6388"/>
    <w:rsid w:val="55E738C7"/>
    <w:rsid w:val="560C6DFF"/>
    <w:rsid w:val="56333137"/>
    <w:rsid w:val="56352D2D"/>
    <w:rsid w:val="563A433F"/>
    <w:rsid w:val="56464A92"/>
    <w:rsid w:val="564C5E20"/>
    <w:rsid w:val="565371AF"/>
    <w:rsid w:val="567C4300"/>
    <w:rsid w:val="568E01E7"/>
    <w:rsid w:val="56956347"/>
    <w:rsid w:val="56B05A02"/>
    <w:rsid w:val="56B7773E"/>
    <w:rsid w:val="57047BC0"/>
    <w:rsid w:val="571057C0"/>
    <w:rsid w:val="57250B4B"/>
    <w:rsid w:val="576A2A02"/>
    <w:rsid w:val="57721347"/>
    <w:rsid w:val="577311DC"/>
    <w:rsid w:val="577A6496"/>
    <w:rsid w:val="57CF6D09"/>
    <w:rsid w:val="57F0354E"/>
    <w:rsid w:val="580469B3"/>
    <w:rsid w:val="582901C7"/>
    <w:rsid w:val="585B234B"/>
    <w:rsid w:val="58657C25"/>
    <w:rsid w:val="58694E18"/>
    <w:rsid w:val="587A7E63"/>
    <w:rsid w:val="589870FB"/>
    <w:rsid w:val="58A325DB"/>
    <w:rsid w:val="58A40196"/>
    <w:rsid w:val="58B57CDD"/>
    <w:rsid w:val="59172716"/>
    <w:rsid w:val="595D76CF"/>
    <w:rsid w:val="596560CD"/>
    <w:rsid w:val="597844DD"/>
    <w:rsid w:val="598D206C"/>
    <w:rsid w:val="59AA5338"/>
    <w:rsid w:val="59B70D11"/>
    <w:rsid w:val="59C95F43"/>
    <w:rsid w:val="59CF64A7"/>
    <w:rsid w:val="59D5174D"/>
    <w:rsid w:val="59E03D45"/>
    <w:rsid w:val="5A0C56D2"/>
    <w:rsid w:val="5A3D116B"/>
    <w:rsid w:val="5A4C63EF"/>
    <w:rsid w:val="5A552DE1"/>
    <w:rsid w:val="5A5903FA"/>
    <w:rsid w:val="5A5B770C"/>
    <w:rsid w:val="5A7C1984"/>
    <w:rsid w:val="5A7C4F26"/>
    <w:rsid w:val="5A7F3CF8"/>
    <w:rsid w:val="5A8F36D6"/>
    <w:rsid w:val="5AB53F94"/>
    <w:rsid w:val="5AB57B69"/>
    <w:rsid w:val="5AF456D5"/>
    <w:rsid w:val="5B150ED7"/>
    <w:rsid w:val="5B172EA1"/>
    <w:rsid w:val="5B182775"/>
    <w:rsid w:val="5B2759E8"/>
    <w:rsid w:val="5B4D68C3"/>
    <w:rsid w:val="5B667984"/>
    <w:rsid w:val="5B803D65"/>
    <w:rsid w:val="5BA61194"/>
    <w:rsid w:val="5BAB3550"/>
    <w:rsid w:val="5BC30933"/>
    <w:rsid w:val="5BEA3F06"/>
    <w:rsid w:val="5C0B2462"/>
    <w:rsid w:val="5C2422F3"/>
    <w:rsid w:val="5C497E84"/>
    <w:rsid w:val="5C4A4076"/>
    <w:rsid w:val="5C5B79B5"/>
    <w:rsid w:val="5C6E089F"/>
    <w:rsid w:val="5C7165E1"/>
    <w:rsid w:val="5C843C4C"/>
    <w:rsid w:val="5C9B365E"/>
    <w:rsid w:val="5D681792"/>
    <w:rsid w:val="5D951D02"/>
    <w:rsid w:val="5DB46785"/>
    <w:rsid w:val="5DCB4309"/>
    <w:rsid w:val="5DCD117C"/>
    <w:rsid w:val="5DE03A1E"/>
    <w:rsid w:val="5E113BD7"/>
    <w:rsid w:val="5E281D50"/>
    <w:rsid w:val="5E2F22B0"/>
    <w:rsid w:val="5E336828"/>
    <w:rsid w:val="5E793FBA"/>
    <w:rsid w:val="5EC01F64"/>
    <w:rsid w:val="5F441D8B"/>
    <w:rsid w:val="5F5244A8"/>
    <w:rsid w:val="5F775CBC"/>
    <w:rsid w:val="5F7D704B"/>
    <w:rsid w:val="5F7F1015"/>
    <w:rsid w:val="5FAE5456"/>
    <w:rsid w:val="5FB567E4"/>
    <w:rsid w:val="5FBC7B73"/>
    <w:rsid w:val="5FC62701"/>
    <w:rsid w:val="5FE377F5"/>
    <w:rsid w:val="60091E30"/>
    <w:rsid w:val="602460F9"/>
    <w:rsid w:val="60277635"/>
    <w:rsid w:val="603B4562"/>
    <w:rsid w:val="6067357C"/>
    <w:rsid w:val="608C39E9"/>
    <w:rsid w:val="60B47FD0"/>
    <w:rsid w:val="60DB671F"/>
    <w:rsid w:val="60EA0710"/>
    <w:rsid w:val="611A344E"/>
    <w:rsid w:val="612F0CE1"/>
    <w:rsid w:val="61631C7E"/>
    <w:rsid w:val="61656E5A"/>
    <w:rsid w:val="61722BDF"/>
    <w:rsid w:val="61972646"/>
    <w:rsid w:val="61BC02FE"/>
    <w:rsid w:val="61C176C2"/>
    <w:rsid w:val="61D513C0"/>
    <w:rsid w:val="61E96930"/>
    <w:rsid w:val="61F35004"/>
    <w:rsid w:val="625002F0"/>
    <w:rsid w:val="625E5B08"/>
    <w:rsid w:val="629D3C8C"/>
    <w:rsid w:val="62C34226"/>
    <w:rsid w:val="62CA54AC"/>
    <w:rsid w:val="63241016"/>
    <w:rsid w:val="63424833"/>
    <w:rsid w:val="63463DDA"/>
    <w:rsid w:val="639A641D"/>
    <w:rsid w:val="63A45F76"/>
    <w:rsid w:val="63AE37B7"/>
    <w:rsid w:val="63C85A1F"/>
    <w:rsid w:val="63D336DD"/>
    <w:rsid w:val="641A755E"/>
    <w:rsid w:val="642B3519"/>
    <w:rsid w:val="642D6F7B"/>
    <w:rsid w:val="64580A5B"/>
    <w:rsid w:val="64612B28"/>
    <w:rsid w:val="64713622"/>
    <w:rsid w:val="6477675E"/>
    <w:rsid w:val="64906A35"/>
    <w:rsid w:val="64A10EBE"/>
    <w:rsid w:val="64B74DAD"/>
    <w:rsid w:val="64C61314"/>
    <w:rsid w:val="64C64FF0"/>
    <w:rsid w:val="64E02D19"/>
    <w:rsid w:val="64E74AFD"/>
    <w:rsid w:val="64EE6A20"/>
    <w:rsid w:val="64FD4EB5"/>
    <w:rsid w:val="64FE29DC"/>
    <w:rsid w:val="65510D5D"/>
    <w:rsid w:val="65644C7D"/>
    <w:rsid w:val="657D3D58"/>
    <w:rsid w:val="657F3B1C"/>
    <w:rsid w:val="65CB4FB4"/>
    <w:rsid w:val="65D04378"/>
    <w:rsid w:val="65D755A8"/>
    <w:rsid w:val="65D774B5"/>
    <w:rsid w:val="65DF4B26"/>
    <w:rsid w:val="65EA2337"/>
    <w:rsid w:val="65FF6A0B"/>
    <w:rsid w:val="66173D55"/>
    <w:rsid w:val="662F5754"/>
    <w:rsid w:val="668A09CB"/>
    <w:rsid w:val="66974E96"/>
    <w:rsid w:val="66A743CB"/>
    <w:rsid w:val="66AC71D4"/>
    <w:rsid w:val="66B945CB"/>
    <w:rsid w:val="66BB0B84"/>
    <w:rsid w:val="66C57C55"/>
    <w:rsid w:val="66E52022"/>
    <w:rsid w:val="670B3368"/>
    <w:rsid w:val="670F7122"/>
    <w:rsid w:val="673D77EB"/>
    <w:rsid w:val="674548F2"/>
    <w:rsid w:val="67496C7F"/>
    <w:rsid w:val="67A61834"/>
    <w:rsid w:val="67A94E81"/>
    <w:rsid w:val="67AF67A2"/>
    <w:rsid w:val="67BF46A4"/>
    <w:rsid w:val="67BF5720"/>
    <w:rsid w:val="67CA55BC"/>
    <w:rsid w:val="67FA56DC"/>
    <w:rsid w:val="68660FC4"/>
    <w:rsid w:val="68684B25"/>
    <w:rsid w:val="688C70F0"/>
    <w:rsid w:val="689C2C37"/>
    <w:rsid w:val="69392ECF"/>
    <w:rsid w:val="695A2772"/>
    <w:rsid w:val="696E6382"/>
    <w:rsid w:val="69A7357A"/>
    <w:rsid w:val="69C3704F"/>
    <w:rsid w:val="69CA10DE"/>
    <w:rsid w:val="6A114F5F"/>
    <w:rsid w:val="6A3B3D8A"/>
    <w:rsid w:val="6A4A7C38"/>
    <w:rsid w:val="6A596993"/>
    <w:rsid w:val="6A6E062F"/>
    <w:rsid w:val="6A7A6FA8"/>
    <w:rsid w:val="6A9F540F"/>
    <w:rsid w:val="6ABE170E"/>
    <w:rsid w:val="6AC567E1"/>
    <w:rsid w:val="6ACF06D9"/>
    <w:rsid w:val="6AEB7469"/>
    <w:rsid w:val="6AEC5CB4"/>
    <w:rsid w:val="6B181F30"/>
    <w:rsid w:val="6B1940CB"/>
    <w:rsid w:val="6B252A70"/>
    <w:rsid w:val="6B421874"/>
    <w:rsid w:val="6B7D0366"/>
    <w:rsid w:val="6B99345E"/>
    <w:rsid w:val="6BAE515B"/>
    <w:rsid w:val="6BBA58AE"/>
    <w:rsid w:val="6BCD01FA"/>
    <w:rsid w:val="6BE936BB"/>
    <w:rsid w:val="6BE96194"/>
    <w:rsid w:val="6BEE139F"/>
    <w:rsid w:val="6BFD39ED"/>
    <w:rsid w:val="6C0C3C30"/>
    <w:rsid w:val="6C1B346E"/>
    <w:rsid w:val="6C4523AA"/>
    <w:rsid w:val="6C5D5536"/>
    <w:rsid w:val="6CA67E59"/>
    <w:rsid w:val="6CCE7137"/>
    <w:rsid w:val="6CD72490"/>
    <w:rsid w:val="6CE16E6B"/>
    <w:rsid w:val="6CF50B68"/>
    <w:rsid w:val="6D082649"/>
    <w:rsid w:val="6D0E5725"/>
    <w:rsid w:val="6D106037"/>
    <w:rsid w:val="6D2324D1"/>
    <w:rsid w:val="6D2D30B3"/>
    <w:rsid w:val="6D3B0896"/>
    <w:rsid w:val="6D3C6797"/>
    <w:rsid w:val="6D4573FA"/>
    <w:rsid w:val="6D55050F"/>
    <w:rsid w:val="6D5F1136"/>
    <w:rsid w:val="6D70425D"/>
    <w:rsid w:val="6D714693"/>
    <w:rsid w:val="6DBB590E"/>
    <w:rsid w:val="6E245261"/>
    <w:rsid w:val="6E494CC8"/>
    <w:rsid w:val="6E9F307A"/>
    <w:rsid w:val="6ED50E38"/>
    <w:rsid w:val="6EE36372"/>
    <w:rsid w:val="6EE60768"/>
    <w:rsid w:val="6EEA159B"/>
    <w:rsid w:val="6F0357BE"/>
    <w:rsid w:val="6F2A7E4C"/>
    <w:rsid w:val="6F541B76"/>
    <w:rsid w:val="6F5B22F8"/>
    <w:rsid w:val="6F700786"/>
    <w:rsid w:val="6F8C1F27"/>
    <w:rsid w:val="6F906926"/>
    <w:rsid w:val="6FB940CF"/>
    <w:rsid w:val="700C41FF"/>
    <w:rsid w:val="7019797A"/>
    <w:rsid w:val="70617C09"/>
    <w:rsid w:val="706A7EB6"/>
    <w:rsid w:val="708807CB"/>
    <w:rsid w:val="70D3219F"/>
    <w:rsid w:val="70DC7DEA"/>
    <w:rsid w:val="70E46F2A"/>
    <w:rsid w:val="70F27898"/>
    <w:rsid w:val="70F829D5"/>
    <w:rsid w:val="70FF3D63"/>
    <w:rsid w:val="71153BD2"/>
    <w:rsid w:val="71161EE7"/>
    <w:rsid w:val="711C6EC6"/>
    <w:rsid w:val="7138396E"/>
    <w:rsid w:val="713D663A"/>
    <w:rsid w:val="716A70CA"/>
    <w:rsid w:val="716D33C3"/>
    <w:rsid w:val="71705E66"/>
    <w:rsid w:val="717A000A"/>
    <w:rsid w:val="717F3B37"/>
    <w:rsid w:val="71804EA4"/>
    <w:rsid w:val="718A2441"/>
    <w:rsid w:val="71D72199"/>
    <w:rsid w:val="71EB4FE0"/>
    <w:rsid w:val="720662EA"/>
    <w:rsid w:val="72350FE8"/>
    <w:rsid w:val="726A16B0"/>
    <w:rsid w:val="728F12F7"/>
    <w:rsid w:val="72C214EC"/>
    <w:rsid w:val="73030512"/>
    <w:rsid w:val="7332259D"/>
    <w:rsid w:val="733A1083"/>
    <w:rsid w:val="73697BBA"/>
    <w:rsid w:val="7387289E"/>
    <w:rsid w:val="739C4E86"/>
    <w:rsid w:val="73A0182E"/>
    <w:rsid w:val="73AB3D2F"/>
    <w:rsid w:val="73EB444C"/>
    <w:rsid w:val="741458C3"/>
    <w:rsid w:val="743106D8"/>
    <w:rsid w:val="74B20C36"/>
    <w:rsid w:val="74C74B98"/>
    <w:rsid w:val="75442FF2"/>
    <w:rsid w:val="754F27BF"/>
    <w:rsid w:val="755004C2"/>
    <w:rsid w:val="755A3C5E"/>
    <w:rsid w:val="75616D9B"/>
    <w:rsid w:val="7577493F"/>
    <w:rsid w:val="758B3E18"/>
    <w:rsid w:val="75DF1923"/>
    <w:rsid w:val="75F55735"/>
    <w:rsid w:val="7606581A"/>
    <w:rsid w:val="760E125A"/>
    <w:rsid w:val="76177F31"/>
    <w:rsid w:val="762F50EB"/>
    <w:rsid w:val="7631209F"/>
    <w:rsid w:val="7632651C"/>
    <w:rsid w:val="765A3553"/>
    <w:rsid w:val="767E1BCE"/>
    <w:rsid w:val="76835805"/>
    <w:rsid w:val="769B62DC"/>
    <w:rsid w:val="76B362BA"/>
    <w:rsid w:val="76D802A5"/>
    <w:rsid w:val="76DF266D"/>
    <w:rsid w:val="76E2554B"/>
    <w:rsid w:val="76EE692E"/>
    <w:rsid w:val="7738379B"/>
    <w:rsid w:val="776B5CAF"/>
    <w:rsid w:val="779E42D6"/>
    <w:rsid w:val="77A60FEB"/>
    <w:rsid w:val="77B81529"/>
    <w:rsid w:val="77B8543C"/>
    <w:rsid w:val="77C02095"/>
    <w:rsid w:val="77D12DAD"/>
    <w:rsid w:val="78283BA0"/>
    <w:rsid w:val="783B21DD"/>
    <w:rsid w:val="78467DA2"/>
    <w:rsid w:val="7867081B"/>
    <w:rsid w:val="78755441"/>
    <w:rsid w:val="78A3591C"/>
    <w:rsid w:val="78BE18BD"/>
    <w:rsid w:val="78D37FAF"/>
    <w:rsid w:val="78EC4485"/>
    <w:rsid w:val="78EE16A1"/>
    <w:rsid w:val="78FB3062"/>
    <w:rsid w:val="790939D1"/>
    <w:rsid w:val="790C4D58"/>
    <w:rsid w:val="791505C8"/>
    <w:rsid w:val="79191DC9"/>
    <w:rsid w:val="791C7F16"/>
    <w:rsid w:val="79254583"/>
    <w:rsid w:val="793D7B1F"/>
    <w:rsid w:val="79556C16"/>
    <w:rsid w:val="795F476F"/>
    <w:rsid w:val="79A96F62"/>
    <w:rsid w:val="79BD2A0E"/>
    <w:rsid w:val="79CF2E0F"/>
    <w:rsid w:val="79D02741"/>
    <w:rsid w:val="79D31E86"/>
    <w:rsid w:val="79DF0BD6"/>
    <w:rsid w:val="79E259C8"/>
    <w:rsid w:val="79EC7A8A"/>
    <w:rsid w:val="79FC0A34"/>
    <w:rsid w:val="7A28257D"/>
    <w:rsid w:val="7A432F13"/>
    <w:rsid w:val="7A67509E"/>
    <w:rsid w:val="7A747570"/>
    <w:rsid w:val="7A793CFE"/>
    <w:rsid w:val="7A9B68AB"/>
    <w:rsid w:val="7AC51B7A"/>
    <w:rsid w:val="7AD973D3"/>
    <w:rsid w:val="7AE758B9"/>
    <w:rsid w:val="7B022DCE"/>
    <w:rsid w:val="7B164183"/>
    <w:rsid w:val="7B1E1B58"/>
    <w:rsid w:val="7B3D3E06"/>
    <w:rsid w:val="7B4545CB"/>
    <w:rsid w:val="7B500A8D"/>
    <w:rsid w:val="7B656EB9"/>
    <w:rsid w:val="7B6916EB"/>
    <w:rsid w:val="7BD65847"/>
    <w:rsid w:val="7BEC1388"/>
    <w:rsid w:val="7BF74231"/>
    <w:rsid w:val="7C3E7E36"/>
    <w:rsid w:val="7C471EF3"/>
    <w:rsid w:val="7C743857"/>
    <w:rsid w:val="7C945CA8"/>
    <w:rsid w:val="7CA83501"/>
    <w:rsid w:val="7CB93960"/>
    <w:rsid w:val="7D24046E"/>
    <w:rsid w:val="7D33726F"/>
    <w:rsid w:val="7D5176F5"/>
    <w:rsid w:val="7D9C30E5"/>
    <w:rsid w:val="7DC4436B"/>
    <w:rsid w:val="7DE92023"/>
    <w:rsid w:val="7E0C1892"/>
    <w:rsid w:val="7E191B65"/>
    <w:rsid w:val="7E4F632A"/>
    <w:rsid w:val="7E941411"/>
    <w:rsid w:val="7E9E696A"/>
    <w:rsid w:val="7EAF6DC9"/>
    <w:rsid w:val="7ED727B3"/>
    <w:rsid w:val="7EF847E9"/>
    <w:rsid w:val="7F114BCA"/>
    <w:rsid w:val="7F1B26B0"/>
    <w:rsid w:val="7F1B3A14"/>
    <w:rsid w:val="7F7D34A0"/>
    <w:rsid w:val="7F8A5140"/>
    <w:rsid w:val="7FAC51E0"/>
    <w:rsid w:val="7FE25326"/>
    <w:rsid w:val="7FE72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7"/>
    <w:qFormat/>
    <w:uiPriority w:val="0"/>
    <w:pPr>
      <w:keepNext/>
      <w:jc w:val="center"/>
      <w:outlineLvl w:val="0"/>
    </w:pPr>
    <w:rPr>
      <w:b/>
      <w:bCs/>
      <w:sz w:val="24"/>
      <w:szCs w:val="20"/>
    </w:rPr>
  </w:style>
  <w:style w:type="paragraph" w:styleId="3">
    <w:name w:val="heading 2"/>
    <w:basedOn w:val="1"/>
    <w:next w:val="1"/>
    <w:link w:val="78"/>
    <w:qFormat/>
    <w:uiPriority w:val="0"/>
    <w:pPr>
      <w:keepNext/>
      <w:keepLines/>
      <w:spacing w:line="360" w:lineRule="auto"/>
      <w:outlineLvl w:val="1"/>
    </w:pPr>
    <w:rPr>
      <w:rFonts w:ascii="Arial" w:hAnsi="Arial"/>
      <w:b/>
      <w:bCs/>
      <w:sz w:val="24"/>
      <w:szCs w:val="32"/>
    </w:rPr>
  </w:style>
  <w:style w:type="paragraph" w:styleId="4">
    <w:name w:val="heading 3"/>
    <w:basedOn w:val="1"/>
    <w:next w:val="1"/>
    <w:link w:val="79"/>
    <w:qFormat/>
    <w:uiPriority w:val="0"/>
    <w:pPr>
      <w:keepNext/>
      <w:keepLines/>
      <w:spacing w:before="260" w:after="260" w:line="416" w:lineRule="auto"/>
      <w:outlineLvl w:val="2"/>
    </w:pPr>
    <w:rPr>
      <w:b/>
      <w:bCs/>
      <w:sz w:val="32"/>
      <w:szCs w:val="32"/>
    </w:rPr>
  </w:style>
  <w:style w:type="paragraph" w:styleId="5">
    <w:name w:val="heading 4"/>
    <w:basedOn w:val="1"/>
    <w:next w:val="1"/>
    <w:link w:val="8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81"/>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82"/>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83"/>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84"/>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85"/>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List Number 2"/>
    <w:basedOn w:val="1"/>
    <w:qFormat/>
    <w:uiPriority w:val="0"/>
    <w:pPr>
      <w:tabs>
        <w:tab w:val="left" w:pos="780"/>
      </w:tabs>
      <w:spacing w:line="360" w:lineRule="auto"/>
      <w:ind w:left="780" w:leftChars="200" w:hanging="360" w:hangingChars="200"/>
      <w:jc w:val="left"/>
    </w:pPr>
    <w:rPr>
      <w:sz w:val="24"/>
    </w:rPr>
  </w:style>
  <w:style w:type="paragraph" w:styleId="13">
    <w:name w:val="List Number"/>
    <w:basedOn w:val="1"/>
    <w:qFormat/>
    <w:uiPriority w:val="0"/>
    <w:pPr>
      <w:widowControl/>
      <w:tabs>
        <w:tab w:val="left" w:pos="1050"/>
      </w:tabs>
      <w:spacing w:line="360" w:lineRule="auto"/>
      <w:ind w:left="1050" w:hanging="450" w:firstLineChars="200"/>
      <w:jc w:val="left"/>
    </w:pPr>
    <w:rPr>
      <w:kern w:val="0"/>
      <w:sz w:val="20"/>
      <w:szCs w:val="20"/>
    </w:rPr>
  </w:style>
  <w:style w:type="paragraph" w:styleId="14">
    <w:name w:val="Normal Indent"/>
    <w:basedOn w:val="1"/>
    <w:next w:val="15"/>
    <w:link w:val="86"/>
    <w:qFormat/>
    <w:uiPriority w:val="0"/>
    <w:pPr>
      <w:widowControl/>
      <w:ind w:firstLine="420"/>
      <w:jc w:val="left"/>
    </w:pPr>
    <w:rPr>
      <w:kern w:val="0"/>
      <w:sz w:val="20"/>
      <w:szCs w:val="20"/>
    </w:rPr>
  </w:style>
  <w:style w:type="paragraph" w:styleId="15">
    <w:name w:val="toc 4"/>
    <w:basedOn w:val="1"/>
    <w:next w:val="1"/>
    <w:qFormat/>
    <w:uiPriority w:val="0"/>
    <w:pPr>
      <w:ind w:left="1260" w:leftChars="600"/>
    </w:pPr>
  </w:style>
  <w:style w:type="paragraph" w:styleId="16">
    <w:name w:val="caption"/>
    <w:basedOn w:val="1"/>
    <w:next w:val="1"/>
    <w:link w:val="87"/>
    <w:qFormat/>
    <w:uiPriority w:val="0"/>
    <w:pPr>
      <w:spacing w:line="360" w:lineRule="auto"/>
      <w:ind w:firstLine="200" w:firstLineChars="200"/>
      <w:jc w:val="left"/>
    </w:pPr>
    <w:rPr>
      <w:rFonts w:ascii="Arial" w:hAnsi="Arial" w:eastAsia="黑体" w:cs="Arial"/>
      <w:sz w:val="20"/>
      <w:szCs w:val="20"/>
    </w:rPr>
  </w:style>
  <w:style w:type="paragraph" w:styleId="17">
    <w:name w:val="index 5"/>
    <w:basedOn w:val="1"/>
    <w:next w:val="1"/>
    <w:qFormat/>
    <w:uiPriority w:val="0"/>
    <w:pPr>
      <w:ind w:left="1680"/>
    </w:pPr>
  </w:style>
  <w:style w:type="paragraph" w:styleId="18">
    <w:name w:val="Document Map"/>
    <w:basedOn w:val="1"/>
    <w:link w:val="88"/>
    <w:semiHidden/>
    <w:qFormat/>
    <w:uiPriority w:val="0"/>
    <w:pPr>
      <w:shd w:val="clear" w:color="auto" w:fill="000080"/>
    </w:pPr>
  </w:style>
  <w:style w:type="paragraph" w:styleId="19">
    <w:name w:val="annotation text"/>
    <w:basedOn w:val="1"/>
    <w:link w:val="89"/>
    <w:semiHidden/>
    <w:qFormat/>
    <w:uiPriority w:val="0"/>
    <w:pPr>
      <w:jc w:val="left"/>
    </w:pPr>
  </w:style>
  <w:style w:type="paragraph" w:styleId="20">
    <w:name w:val="Salutation"/>
    <w:basedOn w:val="1"/>
    <w:next w:val="1"/>
    <w:link w:val="90"/>
    <w:qFormat/>
    <w:uiPriority w:val="0"/>
    <w:rPr>
      <w:rFonts w:ascii="仿宋_GB2312" w:eastAsia="仿宋_GB2312"/>
      <w:sz w:val="24"/>
    </w:rPr>
  </w:style>
  <w:style w:type="paragraph" w:styleId="21">
    <w:name w:val="Body Text 3"/>
    <w:basedOn w:val="1"/>
    <w:link w:val="91"/>
    <w:qFormat/>
    <w:uiPriority w:val="0"/>
    <w:pPr>
      <w:autoSpaceDE w:val="0"/>
      <w:autoSpaceDN w:val="0"/>
      <w:adjustRightInd w:val="0"/>
      <w:spacing w:line="410" w:lineRule="atLeast"/>
      <w:jc w:val="left"/>
    </w:pPr>
    <w:rPr>
      <w:rFonts w:ascii="宋体"/>
      <w:color w:val="000000"/>
      <w:kern w:val="0"/>
      <w:sz w:val="24"/>
      <w:szCs w:val="20"/>
    </w:rPr>
  </w:style>
  <w:style w:type="paragraph" w:styleId="22">
    <w:name w:val="Body Text"/>
    <w:basedOn w:val="1"/>
    <w:next w:val="23"/>
    <w:link w:val="76"/>
    <w:qFormat/>
    <w:uiPriority w:val="0"/>
    <w:pPr>
      <w:spacing w:after="120"/>
    </w:pPr>
  </w:style>
  <w:style w:type="paragraph" w:styleId="23">
    <w:name w:val="index 7"/>
    <w:basedOn w:val="1"/>
    <w:next w:val="1"/>
    <w:qFormat/>
    <w:uiPriority w:val="0"/>
    <w:pPr>
      <w:ind w:left="1200" w:leftChars="1200"/>
    </w:pPr>
  </w:style>
  <w:style w:type="paragraph" w:styleId="24">
    <w:name w:val="Body Text Indent"/>
    <w:basedOn w:val="1"/>
    <w:next w:val="1"/>
    <w:link w:val="92"/>
    <w:qFormat/>
    <w:uiPriority w:val="0"/>
    <w:pPr>
      <w:spacing w:after="120"/>
      <w:ind w:left="420" w:leftChars="200"/>
    </w:pPr>
  </w:style>
  <w:style w:type="paragraph" w:styleId="25">
    <w:name w:val="Block Text"/>
    <w:basedOn w:val="1"/>
    <w:qFormat/>
    <w:uiPriority w:val="0"/>
    <w:pPr>
      <w:ind w:left="1171" w:right="91" w:hanging="1080"/>
    </w:pPr>
    <w:rPr>
      <w:rFonts w:eastAsia="楷体_GB2312"/>
      <w:szCs w:val="20"/>
    </w:rPr>
  </w:style>
  <w:style w:type="paragraph" w:styleId="26">
    <w:name w:val="toc 5"/>
    <w:basedOn w:val="1"/>
    <w:next w:val="1"/>
    <w:qFormat/>
    <w:uiPriority w:val="0"/>
    <w:pPr>
      <w:ind w:left="1680" w:leftChars="800"/>
    </w:pPr>
    <w:rPr>
      <w:rFonts w:ascii="Calibri" w:hAnsi="Calibri"/>
      <w:szCs w:val="22"/>
    </w:rPr>
  </w:style>
  <w:style w:type="paragraph" w:styleId="27">
    <w:name w:val="toc 3"/>
    <w:basedOn w:val="1"/>
    <w:next w:val="1"/>
    <w:qFormat/>
    <w:uiPriority w:val="0"/>
    <w:pPr>
      <w:ind w:left="840" w:leftChars="400"/>
    </w:pPr>
  </w:style>
  <w:style w:type="paragraph" w:styleId="28">
    <w:name w:val="Plain Text"/>
    <w:basedOn w:val="1"/>
    <w:next w:val="1"/>
    <w:link w:val="93"/>
    <w:qFormat/>
    <w:uiPriority w:val="0"/>
    <w:rPr>
      <w:rFonts w:ascii="宋体" w:hAnsi="Courier New" w:cs="Courier New"/>
      <w:szCs w:val="21"/>
    </w:rPr>
  </w:style>
  <w:style w:type="paragraph" w:styleId="29">
    <w:name w:val="toc 8"/>
    <w:basedOn w:val="1"/>
    <w:next w:val="1"/>
    <w:qFormat/>
    <w:uiPriority w:val="0"/>
    <w:pPr>
      <w:ind w:left="2940" w:leftChars="1400"/>
    </w:pPr>
    <w:rPr>
      <w:rFonts w:ascii="Calibri" w:hAnsi="Calibri"/>
      <w:szCs w:val="22"/>
    </w:rPr>
  </w:style>
  <w:style w:type="paragraph" w:styleId="30">
    <w:name w:val="Date"/>
    <w:basedOn w:val="1"/>
    <w:next w:val="1"/>
    <w:link w:val="94"/>
    <w:qFormat/>
    <w:uiPriority w:val="0"/>
    <w:rPr>
      <w:sz w:val="24"/>
      <w:szCs w:val="20"/>
    </w:rPr>
  </w:style>
  <w:style w:type="paragraph" w:styleId="31">
    <w:name w:val="Body Text Indent 2"/>
    <w:basedOn w:val="1"/>
    <w:link w:val="95"/>
    <w:qFormat/>
    <w:uiPriority w:val="0"/>
    <w:pPr>
      <w:spacing w:after="120" w:line="480" w:lineRule="auto"/>
      <w:ind w:left="420" w:leftChars="200"/>
    </w:pPr>
  </w:style>
  <w:style w:type="paragraph" w:styleId="32">
    <w:name w:val="Balloon Text"/>
    <w:basedOn w:val="1"/>
    <w:link w:val="96"/>
    <w:qFormat/>
    <w:uiPriority w:val="0"/>
    <w:rPr>
      <w:rFonts w:ascii="Calibri" w:hAnsi="Calibri"/>
      <w:sz w:val="18"/>
      <w:szCs w:val="18"/>
    </w:rPr>
  </w:style>
  <w:style w:type="paragraph" w:styleId="33">
    <w:name w:val="footer"/>
    <w:basedOn w:val="1"/>
    <w:link w:val="97"/>
    <w:qFormat/>
    <w:uiPriority w:val="0"/>
    <w:pPr>
      <w:tabs>
        <w:tab w:val="center" w:pos="4153"/>
        <w:tab w:val="right" w:pos="8306"/>
      </w:tabs>
      <w:snapToGrid w:val="0"/>
      <w:jc w:val="left"/>
    </w:pPr>
    <w:rPr>
      <w:sz w:val="18"/>
      <w:szCs w:val="18"/>
    </w:rPr>
  </w:style>
  <w:style w:type="paragraph" w:styleId="34">
    <w:name w:val="header"/>
    <w:basedOn w:val="1"/>
    <w:link w:val="98"/>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0"/>
  </w:style>
  <w:style w:type="paragraph" w:styleId="36">
    <w:name w:val="footnote text"/>
    <w:basedOn w:val="1"/>
    <w:link w:val="99"/>
    <w:semiHidden/>
    <w:qFormat/>
    <w:uiPriority w:val="0"/>
    <w:pPr>
      <w:snapToGrid w:val="0"/>
      <w:spacing w:line="360" w:lineRule="auto"/>
      <w:ind w:firstLine="200" w:firstLineChars="200"/>
      <w:jc w:val="left"/>
    </w:pPr>
    <w:rPr>
      <w:sz w:val="18"/>
      <w:szCs w:val="18"/>
    </w:rPr>
  </w:style>
  <w:style w:type="paragraph" w:styleId="37">
    <w:name w:val="toc 6"/>
    <w:basedOn w:val="1"/>
    <w:next w:val="1"/>
    <w:qFormat/>
    <w:uiPriority w:val="0"/>
    <w:pPr>
      <w:ind w:left="2100" w:leftChars="1000"/>
    </w:pPr>
    <w:rPr>
      <w:rFonts w:ascii="Calibri" w:hAnsi="Calibri"/>
      <w:szCs w:val="22"/>
    </w:rPr>
  </w:style>
  <w:style w:type="paragraph" w:styleId="38">
    <w:name w:val="Body Text Indent 3"/>
    <w:basedOn w:val="1"/>
    <w:link w:val="100"/>
    <w:qFormat/>
    <w:uiPriority w:val="0"/>
    <w:pPr>
      <w:spacing w:after="120"/>
      <w:ind w:left="420" w:leftChars="200"/>
    </w:pPr>
    <w:rPr>
      <w:sz w:val="16"/>
      <w:szCs w:val="16"/>
    </w:rPr>
  </w:style>
  <w:style w:type="paragraph" w:styleId="39">
    <w:name w:val="toc 2"/>
    <w:basedOn w:val="1"/>
    <w:next w:val="1"/>
    <w:qFormat/>
    <w:uiPriority w:val="0"/>
    <w:pPr>
      <w:ind w:left="420" w:leftChars="200"/>
    </w:pPr>
  </w:style>
  <w:style w:type="paragraph" w:styleId="40">
    <w:name w:val="toc 9"/>
    <w:basedOn w:val="1"/>
    <w:next w:val="1"/>
    <w:qFormat/>
    <w:uiPriority w:val="0"/>
    <w:pPr>
      <w:ind w:left="3360" w:leftChars="1600"/>
    </w:pPr>
    <w:rPr>
      <w:rFonts w:ascii="Calibri" w:hAnsi="Calibri"/>
      <w:szCs w:val="22"/>
    </w:rPr>
  </w:style>
  <w:style w:type="paragraph" w:styleId="41">
    <w:name w:val="Body Text 2"/>
    <w:basedOn w:val="1"/>
    <w:link w:val="101"/>
    <w:qFormat/>
    <w:uiPriority w:val="0"/>
    <w:pPr>
      <w:spacing w:after="120" w:line="480" w:lineRule="auto"/>
    </w:pPr>
  </w:style>
  <w:style w:type="paragraph" w:styleId="4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sz w:val="24"/>
    </w:rPr>
  </w:style>
  <w:style w:type="paragraph" w:styleId="43">
    <w:name w:val="HTML Preformatted"/>
    <w:basedOn w:val="1"/>
    <w:link w:val="1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5">
    <w:name w:val="index 1"/>
    <w:basedOn w:val="1"/>
    <w:next w:val="1"/>
    <w:qFormat/>
    <w:uiPriority w:val="0"/>
    <w:pPr>
      <w:spacing w:line="220" w:lineRule="exact"/>
      <w:jc w:val="center"/>
    </w:pPr>
    <w:rPr>
      <w:rFonts w:ascii="仿宋_GB2312" w:eastAsia="仿宋_GB2312"/>
      <w:szCs w:val="20"/>
    </w:rPr>
  </w:style>
  <w:style w:type="paragraph" w:styleId="46">
    <w:name w:val="Title"/>
    <w:basedOn w:val="1"/>
    <w:next w:val="1"/>
    <w:link w:val="103"/>
    <w:qFormat/>
    <w:uiPriority w:val="0"/>
    <w:pPr>
      <w:spacing w:before="240" w:after="60"/>
      <w:jc w:val="center"/>
      <w:outlineLvl w:val="0"/>
    </w:pPr>
    <w:rPr>
      <w:rFonts w:ascii="Cambria" w:hAnsi="Cambria"/>
      <w:b/>
      <w:sz w:val="32"/>
    </w:rPr>
  </w:style>
  <w:style w:type="paragraph" w:styleId="47">
    <w:name w:val="annotation subject"/>
    <w:basedOn w:val="19"/>
    <w:next w:val="19"/>
    <w:link w:val="104"/>
    <w:qFormat/>
    <w:uiPriority w:val="0"/>
    <w:rPr>
      <w:b/>
      <w:bCs/>
    </w:rPr>
  </w:style>
  <w:style w:type="paragraph" w:styleId="48">
    <w:name w:val="Body Text First Indent"/>
    <w:basedOn w:val="22"/>
    <w:link w:val="105"/>
    <w:qFormat/>
    <w:uiPriority w:val="0"/>
    <w:pPr>
      <w:autoSpaceDE w:val="0"/>
      <w:autoSpaceDN w:val="0"/>
      <w:adjustRightInd w:val="0"/>
      <w:spacing w:before="72" w:after="48" w:line="306" w:lineRule="exact"/>
      <w:ind w:firstLine="454" w:firstLineChars="200"/>
      <w:jc w:val="left"/>
    </w:pPr>
    <w:rPr>
      <w:sz w:val="24"/>
    </w:rPr>
  </w:style>
  <w:style w:type="paragraph" w:styleId="49">
    <w:name w:val="Body Text First Indent 2"/>
    <w:basedOn w:val="24"/>
    <w:next w:val="1"/>
    <w:link w:val="106"/>
    <w:unhideWhenUsed/>
    <w:qFormat/>
    <w:uiPriority w:val="0"/>
    <w:pPr>
      <w:ind w:firstLine="420" w:firstLineChars="200"/>
    </w:pPr>
    <w:rPr>
      <w:kern w:val="0"/>
      <w:sz w:val="20"/>
    </w:rPr>
  </w:style>
  <w:style w:type="table" w:styleId="51">
    <w:name w:val="Table Grid"/>
    <w:basedOn w:val="5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qFormat/>
    <w:uiPriority w:val="0"/>
    <w:rPr>
      <w:color w:val="5C5C5C"/>
      <w:u w:val="none"/>
      <w:bdr w:val="single" w:color="95B8E7" w:sz="6" w:space="0"/>
      <w:shd w:val="clear" w:color="auto" w:fill="E0ECFF"/>
    </w:rPr>
  </w:style>
  <w:style w:type="character" w:styleId="56">
    <w:name w:val="Emphasis"/>
    <w:qFormat/>
    <w:uiPriority w:val="20"/>
    <w:rPr>
      <w:rFonts w:ascii="Times New Roman" w:hAnsi="Times New Roman" w:eastAsia="宋体"/>
    </w:rPr>
  </w:style>
  <w:style w:type="character" w:styleId="57">
    <w:name w:val="HTML Definition"/>
    <w:qFormat/>
    <w:uiPriority w:val="0"/>
    <w:rPr>
      <w:rFonts w:ascii="Times New Roman" w:hAnsi="Times New Roman" w:eastAsia="宋体"/>
    </w:rPr>
  </w:style>
  <w:style w:type="character" w:styleId="58">
    <w:name w:val="HTML Variable"/>
    <w:qFormat/>
    <w:uiPriority w:val="0"/>
    <w:rPr>
      <w:rFonts w:ascii="Times New Roman" w:hAnsi="Times New Roman" w:eastAsia="宋体"/>
    </w:rPr>
  </w:style>
  <w:style w:type="character" w:styleId="59">
    <w:name w:val="Hyperlink"/>
    <w:qFormat/>
    <w:uiPriority w:val="0"/>
    <w:rPr>
      <w:color w:val="136EC2"/>
      <w:u w:val="single"/>
    </w:rPr>
  </w:style>
  <w:style w:type="character" w:styleId="60">
    <w:name w:val="HTML Code"/>
    <w:qFormat/>
    <w:uiPriority w:val="0"/>
    <w:rPr>
      <w:rFonts w:ascii="Courier New" w:hAnsi="Courier New" w:eastAsia="Courier New" w:cs="Courier New"/>
      <w:sz w:val="20"/>
    </w:rPr>
  </w:style>
  <w:style w:type="character" w:styleId="61">
    <w:name w:val="annotation reference"/>
    <w:qFormat/>
    <w:uiPriority w:val="0"/>
    <w:rPr>
      <w:sz w:val="21"/>
      <w:szCs w:val="21"/>
    </w:rPr>
  </w:style>
  <w:style w:type="character" w:styleId="62">
    <w:name w:val="HTML Cite"/>
    <w:qFormat/>
    <w:uiPriority w:val="0"/>
    <w:rPr>
      <w:rFonts w:ascii="Times New Roman" w:hAnsi="Times New Roman" w:eastAsia="宋体"/>
    </w:rPr>
  </w:style>
  <w:style w:type="character" w:styleId="63">
    <w:name w:val="HTML Keyboard"/>
    <w:qFormat/>
    <w:uiPriority w:val="0"/>
    <w:rPr>
      <w:rFonts w:ascii="Courier New" w:hAnsi="Courier New" w:eastAsia="Courier New" w:cs="Courier New"/>
      <w:sz w:val="20"/>
    </w:rPr>
  </w:style>
  <w:style w:type="character" w:styleId="64">
    <w:name w:val="HTML Sample"/>
    <w:qFormat/>
    <w:uiPriority w:val="0"/>
    <w:rPr>
      <w:rFonts w:ascii="Courier New" w:hAnsi="Courier New" w:eastAsia="Courier New" w:cs="Courier New"/>
    </w:rPr>
  </w:style>
  <w:style w:type="paragraph" w:customStyle="1" w:styleId="65">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66">
    <w:name w:val="首行缩进"/>
    <w:basedOn w:val="1"/>
    <w:next w:val="15"/>
    <w:qFormat/>
    <w:uiPriority w:val="0"/>
    <w:pPr>
      <w:ind w:firstLine="480" w:firstLineChars="200"/>
    </w:pPr>
    <w:rPr>
      <w:kern w:val="0"/>
      <w:szCs w:val="20"/>
      <w:lang w:val="zh-CN"/>
    </w:rPr>
  </w:style>
  <w:style w:type="paragraph" w:customStyle="1" w:styleId="67">
    <w:name w:val="列出段落1"/>
    <w:basedOn w:val="68"/>
    <w:next w:val="69"/>
    <w:link w:val="265"/>
    <w:qFormat/>
    <w:uiPriority w:val="34"/>
    <w:pPr>
      <w:ind w:firstLine="420" w:firstLineChars="200"/>
    </w:pPr>
    <w:rPr>
      <w:rFonts w:ascii="Calibri" w:hAnsi="Calibri"/>
      <w:szCs w:val="22"/>
    </w:rPr>
  </w:style>
  <w:style w:type="paragraph" w:customStyle="1" w:styleId="6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Normal_0"/>
    <w:next w:val="67"/>
    <w:qFormat/>
    <w:uiPriority w:val="0"/>
    <w:rPr>
      <w:rFonts w:ascii="Times New Roman" w:hAnsi="Times New Roman" w:eastAsia="Times New Roman" w:cs="Times New Roman"/>
      <w:sz w:val="24"/>
      <w:szCs w:val="24"/>
    </w:rPr>
  </w:style>
  <w:style w:type="paragraph" w:customStyle="1" w:styleId="70">
    <w:name w:val="表格文字"/>
    <w:basedOn w:val="1"/>
    <w:next w:val="22"/>
    <w:qFormat/>
    <w:uiPriority w:val="0"/>
    <w:pPr>
      <w:spacing w:line="360" w:lineRule="auto"/>
      <w:ind w:firstLine="200" w:firstLineChars="200"/>
      <w:jc w:val="left"/>
    </w:pPr>
    <w:rPr>
      <w:sz w:val="24"/>
    </w:rPr>
  </w:style>
  <w:style w:type="paragraph" w:customStyle="1" w:styleId="71">
    <w:name w:val="BodyText1I2"/>
    <w:basedOn w:val="72"/>
    <w:next w:val="1"/>
    <w:qFormat/>
    <w:uiPriority w:val="0"/>
    <w:pPr>
      <w:ind w:firstLine="420"/>
      <w:jc w:val="left"/>
    </w:pPr>
    <w:rPr>
      <w:rFonts w:ascii="Calibri" w:hAnsi="Calibri"/>
      <w:kern w:val="0"/>
    </w:rPr>
  </w:style>
  <w:style w:type="paragraph" w:customStyle="1" w:styleId="72">
    <w:name w:val="BodyTextIndent"/>
    <w:basedOn w:val="73"/>
    <w:next w:val="1"/>
    <w:qFormat/>
    <w:uiPriority w:val="0"/>
    <w:pPr>
      <w:spacing w:after="120"/>
      <w:ind w:left="420" w:leftChars="200"/>
    </w:pPr>
  </w:style>
  <w:style w:type="paragraph" w:customStyle="1" w:styleId="73">
    <w:name w:val="正文_0"/>
    <w:basedOn w:val="1"/>
    <w:qFormat/>
    <w:uiPriority w:val="0"/>
  </w:style>
  <w:style w:type="character" w:customStyle="1" w:styleId="74">
    <w:name w:val="标题 2 Char"/>
    <w:link w:val="3"/>
    <w:qFormat/>
    <w:uiPriority w:val="9"/>
    <w:rPr>
      <w:rFonts w:ascii="Cambria" w:hAnsi="Cambria" w:eastAsia="宋体" w:cs="Times New Roman"/>
      <w:b/>
      <w:bCs/>
      <w:kern w:val="2"/>
      <w:sz w:val="32"/>
      <w:szCs w:val="32"/>
    </w:rPr>
  </w:style>
  <w:style w:type="character" w:customStyle="1" w:styleId="75">
    <w:name w:val="标题 3 Char"/>
    <w:qFormat/>
    <w:uiPriority w:val="0"/>
    <w:rPr>
      <w:b/>
      <w:bCs/>
      <w:sz w:val="24"/>
      <w:szCs w:val="24"/>
    </w:rPr>
  </w:style>
  <w:style w:type="character" w:customStyle="1" w:styleId="76">
    <w:name w:val="正文文本 字符"/>
    <w:link w:val="22"/>
    <w:qFormat/>
    <w:locked/>
    <w:uiPriority w:val="0"/>
    <w:rPr>
      <w:rFonts w:eastAsia="宋体"/>
      <w:kern w:val="2"/>
      <w:sz w:val="21"/>
      <w:szCs w:val="24"/>
      <w:lang w:val="en-US" w:eastAsia="zh-CN" w:bidi="ar-SA"/>
    </w:rPr>
  </w:style>
  <w:style w:type="character" w:customStyle="1" w:styleId="77">
    <w:name w:val="标题 1 字符"/>
    <w:link w:val="2"/>
    <w:qFormat/>
    <w:uiPriority w:val="0"/>
    <w:rPr>
      <w:rFonts w:eastAsia="宋体"/>
      <w:b/>
      <w:bCs/>
      <w:kern w:val="2"/>
      <w:sz w:val="24"/>
      <w:lang w:val="en-US" w:eastAsia="zh-CN" w:bidi="ar-SA"/>
    </w:rPr>
  </w:style>
  <w:style w:type="character" w:customStyle="1" w:styleId="78">
    <w:name w:val="标题 2 字符"/>
    <w:link w:val="3"/>
    <w:qFormat/>
    <w:uiPriority w:val="0"/>
    <w:rPr>
      <w:rFonts w:ascii="Arial" w:hAnsi="Arial" w:eastAsia="宋体"/>
      <w:b/>
      <w:bCs/>
      <w:kern w:val="2"/>
      <w:sz w:val="24"/>
      <w:szCs w:val="32"/>
      <w:lang w:val="en-US" w:eastAsia="zh-CN" w:bidi="ar-SA"/>
    </w:rPr>
  </w:style>
  <w:style w:type="character" w:customStyle="1" w:styleId="79">
    <w:name w:val="标题 3 字符"/>
    <w:link w:val="4"/>
    <w:qFormat/>
    <w:uiPriority w:val="0"/>
    <w:rPr>
      <w:rFonts w:eastAsia="宋体"/>
      <w:b/>
      <w:bCs/>
      <w:kern w:val="2"/>
      <w:sz w:val="32"/>
      <w:szCs w:val="32"/>
      <w:lang w:val="en-US" w:eastAsia="zh-CN" w:bidi="ar-SA"/>
    </w:rPr>
  </w:style>
  <w:style w:type="character" w:customStyle="1" w:styleId="80">
    <w:name w:val="标题 4 字符1"/>
    <w:link w:val="5"/>
    <w:qFormat/>
    <w:uiPriority w:val="0"/>
    <w:rPr>
      <w:rFonts w:ascii="Arial" w:hAnsi="Arial" w:eastAsia="黑体"/>
      <w:b/>
      <w:bCs/>
      <w:kern w:val="2"/>
      <w:sz w:val="28"/>
      <w:szCs w:val="28"/>
      <w:lang w:val="en-US" w:eastAsia="zh-CN" w:bidi="ar-SA"/>
    </w:rPr>
  </w:style>
  <w:style w:type="character" w:customStyle="1" w:styleId="81">
    <w:name w:val="标题 5 字符"/>
    <w:link w:val="6"/>
    <w:qFormat/>
    <w:uiPriority w:val="0"/>
    <w:rPr>
      <w:rFonts w:eastAsia="宋体"/>
      <w:b/>
      <w:bCs/>
      <w:sz w:val="28"/>
      <w:szCs w:val="28"/>
      <w:lang w:val="en-US" w:eastAsia="zh-CN" w:bidi="ar-SA"/>
    </w:rPr>
  </w:style>
  <w:style w:type="character" w:customStyle="1" w:styleId="82">
    <w:name w:val="标题 6 字符"/>
    <w:link w:val="7"/>
    <w:qFormat/>
    <w:uiPriority w:val="0"/>
    <w:rPr>
      <w:rFonts w:ascii="Arial" w:hAnsi="Arial" w:eastAsia="黑体"/>
      <w:b/>
      <w:bCs/>
      <w:sz w:val="24"/>
      <w:szCs w:val="24"/>
      <w:lang w:val="en-US" w:eastAsia="zh-CN" w:bidi="ar-SA"/>
    </w:rPr>
  </w:style>
  <w:style w:type="character" w:customStyle="1" w:styleId="83">
    <w:name w:val="标题 7 字符"/>
    <w:link w:val="8"/>
    <w:qFormat/>
    <w:uiPriority w:val="0"/>
    <w:rPr>
      <w:rFonts w:eastAsia="宋体"/>
      <w:b/>
      <w:bCs/>
      <w:sz w:val="24"/>
      <w:szCs w:val="24"/>
      <w:lang w:val="en-US" w:eastAsia="zh-CN" w:bidi="ar-SA"/>
    </w:rPr>
  </w:style>
  <w:style w:type="character" w:customStyle="1" w:styleId="84">
    <w:name w:val="标题 8 字符"/>
    <w:link w:val="9"/>
    <w:qFormat/>
    <w:uiPriority w:val="0"/>
    <w:rPr>
      <w:rFonts w:ascii="Arial" w:hAnsi="Arial" w:eastAsia="黑体"/>
      <w:sz w:val="24"/>
      <w:szCs w:val="24"/>
      <w:lang w:val="en-US" w:eastAsia="zh-CN" w:bidi="ar-SA"/>
    </w:rPr>
  </w:style>
  <w:style w:type="character" w:customStyle="1" w:styleId="85">
    <w:name w:val="标题 9 字符"/>
    <w:link w:val="10"/>
    <w:qFormat/>
    <w:uiPriority w:val="0"/>
    <w:rPr>
      <w:rFonts w:ascii="Arial" w:hAnsi="Arial" w:eastAsia="黑体"/>
      <w:sz w:val="21"/>
      <w:szCs w:val="21"/>
      <w:lang w:val="en-US" w:eastAsia="zh-CN" w:bidi="ar-SA"/>
    </w:rPr>
  </w:style>
  <w:style w:type="character" w:customStyle="1" w:styleId="86">
    <w:name w:val="正文缩进 字符"/>
    <w:link w:val="14"/>
    <w:qFormat/>
    <w:locked/>
    <w:uiPriority w:val="0"/>
  </w:style>
  <w:style w:type="character" w:customStyle="1" w:styleId="87">
    <w:name w:val="题注 字符"/>
    <w:link w:val="16"/>
    <w:qFormat/>
    <w:locked/>
    <w:uiPriority w:val="0"/>
    <w:rPr>
      <w:rFonts w:ascii="Arial" w:hAnsi="Arial" w:eastAsia="黑体" w:cs="Arial"/>
      <w:kern w:val="2"/>
      <w:lang w:val="en-US" w:eastAsia="zh-CN" w:bidi="ar-SA"/>
    </w:rPr>
  </w:style>
  <w:style w:type="character" w:customStyle="1" w:styleId="88">
    <w:name w:val="文档结构图 字符"/>
    <w:link w:val="18"/>
    <w:semiHidden/>
    <w:qFormat/>
    <w:locked/>
    <w:uiPriority w:val="0"/>
    <w:rPr>
      <w:rFonts w:eastAsia="宋体"/>
      <w:kern w:val="2"/>
      <w:sz w:val="21"/>
      <w:szCs w:val="24"/>
      <w:lang w:val="en-US" w:eastAsia="zh-CN" w:bidi="ar-SA"/>
    </w:rPr>
  </w:style>
  <w:style w:type="character" w:customStyle="1" w:styleId="89">
    <w:name w:val="批注文字 字符"/>
    <w:link w:val="19"/>
    <w:qFormat/>
    <w:uiPriority w:val="0"/>
    <w:rPr>
      <w:rFonts w:eastAsia="宋体"/>
      <w:kern w:val="2"/>
      <w:sz w:val="21"/>
      <w:szCs w:val="24"/>
      <w:lang w:val="en-US" w:eastAsia="zh-CN" w:bidi="ar-SA"/>
    </w:rPr>
  </w:style>
  <w:style w:type="character" w:customStyle="1" w:styleId="90">
    <w:name w:val="称呼 字符"/>
    <w:link w:val="20"/>
    <w:semiHidden/>
    <w:qFormat/>
    <w:locked/>
    <w:uiPriority w:val="0"/>
    <w:rPr>
      <w:rFonts w:ascii="仿宋_GB2312" w:eastAsia="仿宋_GB2312"/>
      <w:kern w:val="2"/>
      <w:sz w:val="24"/>
      <w:szCs w:val="24"/>
      <w:lang w:val="en-US" w:eastAsia="zh-CN" w:bidi="ar-SA"/>
    </w:rPr>
  </w:style>
  <w:style w:type="character" w:customStyle="1" w:styleId="91">
    <w:name w:val="正文文本 3 字符"/>
    <w:link w:val="21"/>
    <w:semiHidden/>
    <w:qFormat/>
    <w:locked/>
    <w:uiPriority w:val="0"/>
    <w:rPr>
      <w:rFonts w:ascii="宋体" w:eastAsia="宋体"/>
      <w:color w:val="000000"/>
      <w:sz w:val="24"/>
      <w:lang w:val="en-US" w:eastAsia="zh-CN" w:bidi="ar-SA"/>
    </w:rPr>
  </w:style>
  <w:style w:type="character" w:customStyle="1" w:styleId="92">
    <w:name w:val="正文文本缩进 字符"/>
    <w:link w:val="24"/>
    <w:qFormat/>
    <w:uiPriority w:val="0"/>
    <w:rPr>
      <w:rFonts w:eastAsia="宋体"/>
      <w:kern w:val="2"/>
      <w:sz w:val="21"/>
      <w:szCs w:val="24"/>
      <w:lang w:val="en-US" w:eastAsia="zh-CN" w:bidi="ar-SA"/>
    </w:rPr>
  </w:style>
  <w:style w:type="character" w:customStyle="1" w:styleId="93">
    <w:name w:val="纯文本 字符1"/>
    <w:link w:val="28"/>
    <w:qFormat/>
    <w:locked/>
    <w:uiPriority w:val="0"/>
    <w:rPr>
      <w:rFonts w:ascii="宋体" w:hAnsi="Courier New" w:eastAsia="宋体" w:cs="Courier New"/>
      <w:kern w:val="2"/>
      <w:sz w:val="21"/>
      <w:szCs w:val="21"/>
      <w:lang w:val="en-US" w:eastAsia="zh-CN" w:bidi="ar-SA"/>
    </w:rPr>
  </w:style>
  <w:style w:type="character" w:customStyle="1" w:styleId="94">
    <w:name w:val="日期 字符1"/>
    <w:link w:val="30"/>
    <w:qFormat/>
    <w:uiPriority w:val="0"/>
    <w:rPr>
      <w:rFonts w:eastAsia="宋体"/>
      <w:kern w:val="2"/>
      <w:sz w:val="24"/>
      <w:lang w:val="en-US" w:eastAsia="zh-CN" w:bidi="ar-SA"/>
    </w:rPr>
  </w:style>
  <w:style w:type="character" w:customStyle="1" w:styleId="95">
    <w:name w:val="正文文本缩进 2 字符"/>
    <w:link w:val="31"/>
    <w:semiHidden/>
    <w:qFormat/>
    <w:locked/>
    <w:uiPriority w:val="0"/>
    <w:rPr>
      <w:rFonts w:eastAsia="宋体"/>
      <w:kern w:val="2"/>
      <w:sz w:val="21"/>
      <w:szCs w:val="24"/>
      <w:lang w:val="en-US" w:eastAsia="zh-CN" w:bidi="ar-SA"/>
    </w:rPr>
  </w:style>
  <w:style w:type="character" w:customStyle="1" w:styleId="96">
    <w:name w:val="批注框文本 字符"/>
    <w:link w:val="32"/>
    <w:semiHidden/>
    <w:qFormat/>
    <w:locked/>
    <w:uiPriority w:val="0"/>
    <w:rPr>
      <w:rFonts w:ascii="Calibri" w:hAnsi="Calibri" w:eastAsia="宋体"/>
      <w:kern w:val="2"/>
      <w:sz w:val="18"/>
      <w:szCs w:val="18"/>
      <w:lang w:val="en-US" w:eastAsia="zh-CN" w:bidi="ar-SA"/>
    </w:rPr>
  </w:style>
  <w:style w:type="character" w:customStyle="1" w:styleId="97">
    <w:name w:val="页脚 字符1"/>
    <w:link w:val="33"/>
    <w:qFormat/>
    <w:uiPriority w:val="0"/>
    <w:rPr>
      <w:rFonts w:eastAsia="宋体"/>
      <w:kern w:val="2"/>
      <w:sz w:val="18"/>
      <w:szCs w:val="18"/>
      <w:lang w:val="en-US" w:eastAsia="zh-CN" w:bidi="ar-SA"/>
    </w:rPr>
  </w:style>
  <w:style w:type="character" w:customStyle="1" w:styleId="98">
    <w:name w:val="页眉 字符"/>
    <w:link w:val="34"/>
    <w:qFormat/>
    <w:uiPriority w:val="0"/>
    <w:rPr>
      <w:rFonts w:eastAsia="宋体"/>
      <w:kern w:val="2"/>
      <w:sz w:val="18"/>
      <w:szCs w:val="18"/>
      <w:lang w:val="en-US" w:eastAsia="zh-CN" w:bidi="ar-SA"/>
    </w:rPr>
  </w:style>
  <w:style w:type="character" w:customStyle="1" w:styleId="99">
    <w:name w:val="脚注文本 字符"/>
    <w:link w:val="36"/>
    <w:qFormat/>
    <w:locked/>
    <w:uiPriority w:val="0"/>
    <w:rPr>
      <w:rFonts w:eastAsia="宋体"/>
      <w:kern w:val="2"/>
      <w:sz w:val="18"/>
      <w:szCs w:val="18"/>
      <w:lang w:val="en-US" w:eastAsia="zh-CN" w:bidi="ar-SA"/>
    </w:rPr>
  </w:style>
  <w:style w:type="character" w:customStyle="1" w:styleId="100">
    <w:name w:val="正文文本缩进 3 字符"/>
    <w:link w:val="38"/>
    <w:qFormat/>
    <w:uiPriority w:val="0"/>
    <w:rPr>
      <w:rFonts w:eastAsia="宋体"/>
      <w:kern w:val="2"/>
      <w:sz w:val="16"/>
      <w:szCs w:val="16"/>
      <w:lang w:val="en-US" w:eastAsia="zh-CN" w:bidi="ar-SA"/>
    </w:rPr>
  </w:style>
  <w:style w:type="character" w:customStyle="1" w:styleId="101">
    <w:name w:val="正文文本 2 字符"/>
    <w:link w:val="41"/>
    <w:qFormat/>
    <w:locked/>
    <w:uiPriority w:val="0"/>
    <w:rPr>
      <w:rFonts w:eastAsia="宋体"/>
      <w:kern w:val="2"/>
      <w:sz w:val="21"/>
      <w:szCs w:val="24"/>
      <w:lang w:val="en-US" w:eastAsia="zh-CN" w:bidi="ar-SA"/>
    </w:rPr>
  </w:style>
  <w:style w:type="character" w:customStyle="1" w:styleId="102">
    <w:name w:val="HTML 预设格式 字符"/>
    <w:link w:val="43"/>
    <w:qFormat/>
    <w:locked/>
    <w:uiPriority w:val="0"/>
    <w:rPr>
      <w:rFonts w:ascii="Arial" w:hAnsi="Arial" w:eastAsia="宋体" w:cs="Arial"/>
      <w:sz w:val="24"/>
      <w:szCs w:val="24"/>
      <w:lang w:val="en-US" w:eastAsia="zh-CN" w:bidi="ar-SA"/>
    </w:rPr>
  </w:style>
  <w:style w:type="character" w:customStyle="1" w:styleId="103">
    <w:name w:val="标题 字符"/>
    <w:link w:val="46"/>
    <w:qFormat/>
    <w:uiPriority w:val="0"/>
    <w:rPr>
      <w:rFonts w:ascii="Cambria" w:hAnsi="Cambria" w:eastAsia="宋体"/>
      <w:b/>
      <w:kern w:val="2"/>
      <w:sz w:val="32"/>
      <w:szCs w:val="24"/>
      <w:lang w:val="en-US" w:eastAsia="zh-CN" w:bidi="ar-SA"/>
    </w:rPr>
  </w:style>
  <w:style w:type="character" w:customStyle="1" w:styleId="104">
    <w:name w:val="批注主题 字符"/>
    <w:link w:val="47"/>
    <w:qFormat/>
    <w:uiPriority w:val="0"/>
    <w:rPr>
      <w:rFonts w:eastAsia="宋体"/>
      <w:b/>
      <w:bCs/>
      <w:kern w:val="2"/>
      <w:sz w:val="21"/>
      <w:szCs w:val="24"/>
      <w:lang w:val="en-US" w:eastAsia="zh-CN" w:bidi="ar-SA"/>
    </w:rPr>
  </w:style>
  <w:style w:type="character" w:customStyle="1" w:styleId="105">
    <w:name w:val="正文文本首行缩进 字符"/>
    <w:link w:val="48"/>
    <w:qFormat/>
    <w:locked/>
    <w:uiPriority w:val="0"/>
    <w:rPr>
      <w:rFonts w:eastAsia="宋体"/>
      <w:kern w:val="2"/>
      <w:sz w:val="24"/>
      <w:szCs w:val="24"/>
      <w:lang w:val="en-US" w:eastAsia="zh-CN" w:bidi="ar-SA"/>
    </w:rPr>
  </w:style>
  <w:style w:type="character" w:customStyle="1" w:styleId="106">
    <w:name w:val="正文文本首行缩进 2 字符"/>
    <w:link w:val="49"/>
    <w:semiHidden/>
    <w:qFormat/>
    <w:locked/>
    <w:uiPriority w:val="0"/>
    <w:rPr>
      <w:rFonts w:eastAsia="宋体"/>
      <w:szCs w:val="24"/>
      <w:lang w:val="en-US" w:eastAsia="zh-CN" w:bidi="ar-SA"/>
    </w:rPr>
  </w:style>
  <w:style w:type="character" w:customStyle="1" w:styleId="107">
    <w:name w:val="正文文本样式 Char"/>
    <w:link w:val="108"/>
    <w:qFormat/>
    <w:locked/>
    <w:uiPriority w:val="0"/>
    <w:rPr>
      <w:kern w:val="2"/>
      <w:sz w:val="24"/>
      <w:szCs w:val="24"/>
      <w:lang w:val="en-US" w:eastAsia="zh-CN" w:bidi="ar-SA"/>
    </w:rPr>
  </w:style>
  <w:style w:type="paragraph" w:customStyle="1" w:styleId="108">
    <w:name w:val="正文文本样式"/>
    <w:link w:val="107"/>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109">
    <w:name w:val="纯文本 Char1"/>
    <w:qFormat/>
    <w:locked/>
    <w:uiPriority w:val="0"/>
    <w:rPr>
      <w:rFonts w:ascii="宋体" w:hAnsi="Courier New"/>
      <w:kern w:val="2"/>
      <w:sz w:val="21"/>
    </w:rPr>
  </w:style>
  <w:style w:type="character" w:customStyle="1" w:styleId="110">
    <w:name w:val="样式1 Char"/>
    <w:link w:val="111"/>
    <w:qFormat/>
    <w:locked/>
    <w:uiPriority w:val="0"/>
    <w:rPr>
      <w:rFonts w:ascii="宋体" w:hAnsi="宋体" w:eastAsia="宋体"/>
      <w:sz w:val="21"/>
      <w:szCs w:val="21"/>
      <w:lang w:val="en-US" w:eastAsia="zh-CN" w:bidi="ar-SA"/>
    </w:rPr>
  </w:style>
  <w:style w:type="paragraph" w:customStyle="1" w:styleId="111">
    <w:name w:val="样式1"/>
    <w:basedOn w:val="1"/>
    <w:link w:val="110"/>
    <w:qFormat/>
    <w:uiPriority w:val="0"/>
    <w:pPr>
      <w:tabs>
        <w:tab w:val="left" w:pos="360"/>
      </w:tabs>
      <w:adjustRightInd w:val="0"/>
      <w:ind w:left="360" w:hanging="360"/>
      <w:textAlignment w:val="baseline"/>
    </w:pPr>
    <w:rPr>
      <w:rFonts w:ascii="宋体" w:hAnsi="宋体"/>
      <w:kern w:val="0"/>
      <w:szCs w:val="21"/>
    </w:rPr>
  </w:style>
  <w:style w:type="character" w:customStyle="1" w:styleId="112">
    <w:name w:val="引用 Char"/>
    <w:link w:val="113"/>
    <w:qFormat/>
    <w:locked/>
    <w:uiPriority w:val="0"/>
    <w:rPr>
      <w:rFonts w:eastAsia="宋体"/>
      <w:i/>
      <w:iCs/>
      <w:color w:val="000000"/>
      <w:kern w:val="2"/>
      <w:sz w:val="24"/>
      <w:szCs w:val="24"/>
      <w:lang w:val="en-US" w:eastAsia="zh-CN" w:bidi="ar-SA"/>
    </w:rPr>
  </w:style>
  <w:style w:type="paragraph" w:customStyle="1" w:styleId="113">
    <w:name w:val="引用1"/>
    <w:basedOn w:val="1"/>
    <w:next w:val="1"/>
    <w:link w:val="112"/>
    <w:qFormat/>
    <w:uiPriority w:val="0"/>
    <w:pPr>
      <w:spacing w:line="415" w:lineRule="auto"/>
      <w:ind w:firstLine="200" w:firstLineChars="200"/>
    </w:pPr>
    <w:rPr>
      <w:i/>
      <w:iCs/>
      <w:color w:val="000000"/>
      <w:sz w:val="24"/>
    </w:rPr>
  </w:style>
  <w:style w:type="character" w:customStyle="1" w:styleId="114">
    <w:name w:val="样式 样式 样式 正文缩进表正文正文非缩进正文对齐标题4Alt+Xmr正文缩进特点Normal Indent正文缩进Wil...... Char"/>
    <w:link w:val="115"/>
    <w:qFormat/>
    <w:locked/>
    <w:uiPriority w:val="0"/>
    <w:rPr>
      <w:rFonts w:eastAsia="宋体"/>
      <w:kern w:val="2"/>
      <w:sz w:val="24"/>
      <w:szCs w:val="24"/>
      <w:lang w:val="en-US" w:eastAsia="zh-CN" w:bidi="ar-SA"/>
    </w:rPr>
  </w:style>
  <w:style w:type="paragraph" w:customStyle="1" w:styleId="115">
    <w:name w:val="样式 样式 样式 正文缩进表正文正文非缩进正文对齐标题4Alt+Xmr正文缩进特点Normal Indent正文缩进Wil......"/>
    <w:basedOn w:val="1"/>
    <w:link w:val="114"/>
    <w:qFormat/>
    <w:uiPriority w:val="0"/>
    <w:pPr>
      <w:spacing w:beforeLines="50" w:line="312" w:lineRule="auto"/>
      <w:ind w:firstLine="200" w:firstLineChars="200"/>
      <w:jc w:val="left"/>
    </w:pPr>
    <w:rPr>
      <w:sz w:val="24"/>
    </w:rPr>
  </w:style>
  <w:style w:type="character" w:customStyle="1" w:styleId="116">
    <w:name w:val="style2"/>
    <w:qFormat/>
    <w:uiPriority w:val="0"/>
  </w:style>
  <w:style w:type="character" w:customStyle="1" w:styleId="117">
    <w:name w:val="Font Style117"/>
    <w:unhideWhenUsed/>
    <w:qFormat/>
    <w:uiPriority w:val="0"/>
    <w:rPr>
      <w:rFonts w:hint="eastAsia" w:ascii="宋体" w:hAnsi="宋体" w:eastAsia="宋体"/>
      <w:spacing w:val="20"/>
      <w:sz w:val="24"/>
    </w:rPr>
  </w:style>
  <w:style w:type="character" w:customStyle="1" w:styleId="118">
    <w:name w:val="@正文文本首行缩进 Alt＋w Char"/>
    <w:link w:val="119"/>
    <w:qFormat/>
    <w:locked/>
    <w:uiPriority w:val="0"/>
    <w:rPr>
      <w:rFonts w:eastAsia="宋体"/>
      <w:kern w:val="2"/>
      <w:sz w:val="23"/>
      <w:szCs w:val="23"/>
      <w:lang w:val="en-US" w:eastAsia="zh-CN" w:bidi="ar-SA"/>
    </w:rPr>
  </w:style>
  <w:style w:type="paragraph" w:customStyle="1" w:styleId="119">
    <w:name w:val="@正文文本首行缩进 Alt＋w"/>
    <w:basedOn w:val="1"/>
    <w:link w:val="118"/>
    <w:qFormat/>
    <w:uiPriority w:val="0"/>
    <w:pPr>
      <w:spacing w:beforeLines="50" w:afterLines="50" w:line="400" w:lineRule="exact"/>
      <w:ind w:firstLine="200" w:firstLineChars="200"/>
      <w:jc w:val="left"/>
      <w:textAlignment w:val="baseline"/>
    </w:pPr>
    <w:rPr>
      <w:sz w:val="23"/>
      <w:szCs w:val="23"/>
    </w:rPr>
  </w:style>
  <w:style w:type="character" w:customStyle="1" w:styleId="120">
    <w:name w:val="Font Style116"/>
    <w:unhideWhenUsed/>
    <w:qFormat/>
    <w:uiPriority w:val="0"/>
    <w:rPr>
      <w:rFonts w:hint="eastAsia" w:ascii="宋体" w:hAnsi="宋体" w:eastAsia="宋体"/>
      <w:spacing w:val="-20"/>
      <w:sz w:val="24"/>
    </w:rPr>
  </w:style>
  <w:style w:type="character" w:customStyle="1" w:styleId="121">
    <w:name w:val="页眉 Char"/>
    <w:qFormat/>
    <w:uiPriority w:val="99"/>
    <w:rPr>
      <w:kern w:val="2"/>
      <w:sz w:val="18"/>
      <w:szCs w:val="18"/>
    </w:rPr>
  </w:style>
  <w:style w:type="character" w:customStyle="1" w:styleId="122">
    <w:name w:val="*正文 Char"/>
    <w:link w:val="123"/>
    <w:qFormat/>
    <w:locked/>
    <w:uiPriority w:val="0"/>
    <w:rPr>
      <w:rFonts w:ascii="宋体" w:hAnsi="宋体" w:eastAsia="仿宋" w:cs="宋体"/>
      <w:sz w:val="24"/>
      <w:szCs w:val="24"/>
      <w:lang w:val="en-US" w:eastAsia="zh-CN" w:bidi="ar-SA"/>
    </w:rPr>
  </w:style>
  <w:style w:type="paragraph" w:customStyle="1" w:styleId="123">
    <w:name w:val="*正文"/>
    <w:basedOn w:val="1"/>
    <w:link w:val="122"/>
    <w:qFormat/>
    <w:uiPriority w:val="0"/>
    <w:pPr>
      <w:widowControl/>
      <w:spacing w:line="360" w:lineRule="auto"/>
      <w:ind w:firstLine="200" w:firstLineChars="200"/>
      <w:jc w:val="left"/>
    </w:pPr>
    <w:rPr>
      <w:rFonts w:ascii="宋体" w:hAnsi="宋体" w:eastAsia="仿宋" w:cs="宋体"/>
      <w:kern w:val="0"/>
      <w:sz w:val="24"/>
    </w:rPr>
  </w:style>
  <w:style w:type="character" w:customStyle="1" w:styleId="124">
    <w:name w:val="apple-style-span"/>
    <w:qFormat/>
    <w:uiPriority w:val="0"/>
    <w:rPr>
      <w:rFonts w:cs="Times New Roman"/>
    </w:rPr>
  </w:style>
  <w:style w:type="character" w:customStyle="1" w:styleId="125">
    <w:name w:val="l-btn-left4"/>
    <w:qFormat/>
    <w:uiPriority w:val="0"/>
  </w:style>
  <w:style w:type="character" w:customStyle="1" w:styleId="126">
    <w:name w:val="标题 4 Char Char"/>
    <w:qFormat/>
    <w:uiPriority w:val="0"/>
    <w:rPr>
      <w:rFonts w:ascii="Arial" w:hAnsi="Arial" w:eastAsia="宋体"/>
      <w:b/>
      <w:bCs/>
      <w:kern w:val="2"/>
      <w:sz w:val="21"/>
      <w:szCs w:val="28"/>
      <w:lang w:val="en-US" w:eastAsia="zh-CN" w:bidi="ar-SA"/>
    </w:rPr>
  </w:style>
  <w:style w:type="character" w:customStyle="1" w:styleId="127">
    <w:name w:val="正文（首行缩进两字） Char1 Char"/>
    <w:qFormat/>
    <w:uiPriority w:val="0"/>
    <w:rPr>
      <w:rFonts w:eastAsia="宋体"/>
      <w:kern w:val="2"/>
      <w:sz w:val="24"/>
      <w:lang w:val="en-US" w:eastAsia="zh-CN"/>
    </w:rPr>
  </w:style>
  <w:style w:type="character" w:customStyle="1" w:styleId="128">
    <w:name w:val="标书正文:  0.74 厘米 Char"/>
    <w:link w:val="129"/>
    <w:qFormat/>
    <w:locked/>
    <w:uiPriority w:val="0"/>
    <w:rPr>
      <w:rFonts w:eastAsia="宋体"/>
      <w:kern w:val="2"/>
      <w:sz w:val="24"/>
      <w:szCs w:val="24"/>
      <w:lang w:val="en-US" w:eastAsia="zh-CN" w:bidi="ar-SA"/>
    </w:rPr>
  </w:style>
  <w:style w:type="paragraph" w:customStyle="1" w:styleId="129">
    <w:name w:val="标书正文:  0.74 厘米"/>
    <w:basedOn w:val="1"/>
    <w:link w:val="128"/>
    <w:qFormat/>
    <w:uiPriority w:val="0"/>
    <w:pPr>
      <w:snapToGrid w:val="0"/>
      <w:spacing w:line="360" w:lineRule="auto"/>
      <w:ind w:firstLine="420" w:firstLineChars="200"/>
      <w:jc w:val="left"/>
    </w:pPr>
    <w:rPr>
      <w:sz w:val="24"/>
    </w:rPr>
  </w:style>
  <w:style w:type="character" w:customStyle="1" w:styleId="130">
    <w:name w:val="Font Style123"/>
    <w:unhideWhenUsed/>
    <w:qFormat/>
    <w:uiPriority w:val="0"/>
    <w:rPr>
      <w:rFonts w:hint="eastAsia" w:ascii="宋体" w:hAnsi="宋体" w:eastAsia="宋体"/>
      <w:b/>
      <w:sz w:val="32"/>
    </w:rPr>
  </w:style>
  <w:style w:type="character" w:customStyle="1" w:styleId="131">
    <w:name w:val="Font Style125"/>
    <w:unhideWhenUsed/>
    <w:qFormat/>
    <w:uiPriority w:val="0"/>
    <w:rPr>
      <w:rFonts w:hint="eastAsia" w:ascii="宋体" w:hAnsi="宋体" w:eastAsia="宋体"/>
      <w:b/>
      <w:sz w:val="26"/>
    </w:rPr>
  </w:style>
  <w:style w:type="character" w:customStyle="1" w:styleId="132">
    <w:name w:val="标准文件_正文图标题 Char"/>
    <w:link w:val="133"/>
    <w:qFormat/>
    <w:locked/>
    <w:uiPriority w:val="0"/>
    <w:rPr>
      <w:rFonts w:ascii="黑体" w:eastAsia="黑体" w:cs="黑体"/>
      <w:sz w:val="21"/>
      <w:szCs w:val="21"/>
      <w:lang w:val="en-US" w:eastAsia="zh-CN" w:bidi="ar-SA"/>
    </w:rPr>
  </w:style>
  <w:style w:type="paragraph" w:customStyle="1" w:styleId="133">
    <w:name w:val="标准文件_正文图标题"/>
    <w:next w:val="134"/>
    <w:link w:val="132"/>
    <w:qFormat/>
    <w:uiPriority w:val="0"/>
    <w:pPr>
      <w:numPr>
        <w:ilvl w:val="0"/>
        <w:numId w:val="1"/>
      </w:numPr>
      <w:jc w:val="center"/>
    </w:pPr>
    <w:rPr>
      <w:rFonts w:ascii="黑体" w:hAnsi="Times New Roman" w:eastAsia="黑体" w:cs="黑体"/>
      <w:sz w:val="21"/>
      <w:szCs w:val="21"/>
      <w:lang w:val="en-US" w:eastAsia="zh-CN" w:bidi="ar-SA"/>
    </w:rPr>
  </w:style>
  <w:style w:type="paragraph" w:customStyle="1" w:styleId="134">
    <w:name w:val="标准文件_段"/>
    <w:qFormat/>
    <w:uiPriority w:val="0"/>
    <w:pPr>
      <w:autoSpaceDE w:val="0"/>
      <w:autoSpaceDN w:val="0"/>
      <w:adjustRightInd w:val="0"/>
      <w:snapToGrid w:val="0"/>
      <w:spacing w:line="360" w:lineRule="auto"/>
      <w:ind w:right="-120" w:firstLine="360" w:firstLineChars="168"/>
      <w:jc w:val="both"/>
    </w:pPr>
    <w:rPr>
      <w:rFonts w:ascii="Times New Roman" w:hAnsi="Times New Roman" w:eastAsia="宋体" w:cs="Times New Roman"/>
      <w:color w:val="FF0000"/>
      <w:spacing w:val="2"/>
      <w:sz w:val="21"/>
      <w:szCs w:val="21"/>
      <w:lang w:val="en-US" w:eastAsia="zh-CN" w:bidi="ar-SA"/>
    </w:rPr>
  </w:style>
  <w:style w:type="character" w:customStyle="1" w:styleId="135">
    <w:name w:val="Font Style121"/>
    <w:unhideWhenUsed/>
    <w:qFormat/>
    <w:uiPriority w:val="0"/>
    <w:rPr>
      <w:rFonts w:hint="eastAsia" w:ascii="宋体" w:hAnsi="宋体" w:eastAsia="宋体"/>
      <w:spacing w:val="-10"/>
      <w:sz w:val="30"/>
    </w:rPr>
  </w:style>
  <w:style w:type="character" w:customStyle="1" w:styleId="136">
    <w:name w:val="样式28 Char"/>
    <w:link w:val="137"/>
    <w:qFormat/>
    <w:locked/>
    <w:uiPriority w:val="0"/>
    <w:rPr>
      <w:b/>
      <w:bCs/>
      <w:kern w:val="2"/>
      <w:sz w:val="21"/>
      <w:szCs w:val="21"/>
    </w:rPr>
  </w:style>
  <w:style w:type="paragraph" w:customStyle="1" w:styleId="137">
    <w:name w:val="样式28"/>
    <w:basedOn w:val="138"/>
    <w:link w:val="136"/>
    <w:qFormat/>
    <w:uiPriority w:val="0"/>
    <w:pPr>
      <w:numPr>
        <w:numId w:val="2"/>
      </w:numPr>
      <w:tabs>
        <w:tab w:val="left" w:pos="360"/>
        <w:tab w:val="left" w:pos="780"/>
        <w:tab w:val="left" w:pos="4777"/>
      </w:tabs>
      <w:ind w:left="2690" w:firstLine="0"/>
    </w:pPr>
    <w:rPr>
      <w:b/>
      <w:bCs/>
    </w:rPr>
  </w:style>
  <w:style w:type="paragraph" w:customStyle="1" w:styleId="138">
    <w:name w:val="图编号"/>
    <w:basedOn w:val="1"/>
    <w:link w:val="139"/>
    <w:qFormat/>
    <w:uiPriority w:val="0"/>
    <w:pPr>
      <w:numPr>
        <w:ilvl w:val="8"/>
        <w:numId w:val="3"/>
      </w:numPr>
      <w:tabs>
        <w:tab w:val="left" w:pos="360"/>
        <w:tab w:val="left" w:pos="780"/>
      </w:tabs>
      <w:spacing w:line="360" w:lineRule="auto"/>
      <w:ind w:left="0" w:firstLine="0"/>
      <w:jc w:val="center"/>
    </w:pPr>
    <w:rPr>
      <w:szCs w:val="21"/>
    </w:rPr>
  </w:style>
  <w:style w:type="character" w:customStyle="1" w:styleId="139">
    <w:name w:val="图编号 Char"/>
    <w:link w:val="138"/>
    <w:qFormat/>
    <w:locked/>
    <w:uiPriority w:val="0"/>
    <w:rPr>
      <w:kern w:val="2"/>
      <w:sz w:val="21"/>
      <w:szCs w:val="21"/>
    </w:rPr>
  </w:style>
  <w:style w:type="character" w:customStyle="1" w:styleId="140">
    <w:name w:val="_正文段落 Char"/>
    <w:link w:val="141"/>
    <w:qFormat/>
    <w:locked/>
    <w:uiPriority w:val="0"/>
    <w:rPr>
      <w:rFonts w:ascii="宋体" w:hAnsi="宋体" w:eastAsia="宋体" w:cs="宋体"/>
      <w:kern w:val="2"/>
      <w:sz w:val="24"/>
      <w:szCs w:val="24"/>
      <w:lang w:val="en-US" w:eastAsia="zh-CN" w:bidi="ar-SA"/>
    </w:rPr>
  </w:style>
  <w:style w:type="paragraph" w:customStyle="1" w:styleId="141">
    <w:name w:val="_正文段落"/>
    <w:basedOn w:val="1"/>
    <w:link w:val="140"/>
    <w:qFormat/>
    <w:uiPriority w:val="0"/>
    <w:pPr>
      <w:spacing w:beforeLines="15" w:afterLines="15" w:line="360" w:lineRule="auto"/>
      <w:ind w:firstLine="480" w:firstLineChars="200"/>
    </w:pPr>
    <w:rPr>
      <w:rFonts w:ascii="宋体" w:hAnsi="宋体" w:cs="宋体"/>
      <w:sz w:val="24"/>
    </w:rPr>
  </w:style>
  <w:style w:type="character" w:customStyle="1" w:styleId="142">
    <w:name w:val="规划内容 Char"/>
    <w:link w:val="143"/>
    <w:qFormat/>
    <w:locked/>
    <w:uiPriority w:val="0"/>
    <w:rPr>
      <w:rFonts w:ascii="仿宋_GB2312" w:hAnsi="Calibri" w:eastAsia="仿宋_GB2312" w:cs="仿宋_GB2312"/>
      <w:sz w:val="28"/>
      <w:szCs w:val="28"/>
      <w:lang w:val="en-US" w:eastAsia="zh-CN" w:bidi="ar-SA"/>
    </w:rPr>
  </w:style>
  <w:style w:type="paragraph" w:customStyle="1" w:styleId="143">
    <w:name w:val="规划内容"/>
    <w:basedOn w:val="1"/>
    <w:link w:val="142"/>
    <w:qFormat/>
    <w:uiPriority w:val="0"/>
    <w:pPr>
      <w:widowControl/>
      <w:spacing w:line="360" w:lineRule="auto"/>
      <w:ind w:firstLine="560" w:firstLineChars="200"/>
    </w:pPr>
    <w:rPr>
      <w:rFonts w:ascii="仿宋_GB2312" w:hAnsi="Calibri" w:eastAsia="仿宋_GB2312" w:cs="仿宋_GB2312"/>
      <w:kern w:val="0"/>
      <w:sz w:val="28"/>
      <w:szCs w:val="28"/>
    </w:rPr>
  </w:style>
  <w:style w:type="character" w:customStyle="1" w:styleId="144">
    <w:name w:val="Footer-Even Char"/>
    <w:qFormat/>
    <w:uiPriority w:val="0"/>
    <w:rPr>
      <w:rFonts w:ascii="Times New Roman" w:hAnsi="Times New Roman" w:eastAsia="宋体" w:cs="Times New Roman"/>
      <w:sz w:val="18"/>
      <w:szCs w:val="18"/>
    </w:rPr>
  </w:style>
  <w:style w:type="character" w:customStyle="1" w:styleId="145">
    <w:name w:val="标题 2 Char1"/>
    <w:qFormat/>
    <w:locked/>
    <w:uiPriority w:val="0"/>
    <w:rPr>
      <w:b/>
      <w:kern w:val="2"/>
      <w:sz w:val="32"/>
    </w:rPr>
  </w:style>
  <w:style w:type="character" w:customStyle="1" w:styleId="146">
    <w:name w:val="栖霞4级标题 Char"/>
    <w:link w:val="147"/>
    <w:qFormat/>
    <w:locked/>
    <w:uiPriority w:val="0"/>
    <w:rPr>
      <w:rFonts w:ascii="微软雅黑" w:hAnsi="微软雅黑" w:eastAsia="微软雅黑" w:cs="微软雅黑"/>
      <w:b/>
      <w:bCs/>
      <w:kern w:val="44"/>
      <w:sz w:val="24"/>
      <w:szCs w:val="24"/>
      <w:lang w:val="en-US" w:eastAsia="zh-CN" w:bidi="ar-SA"/>
    </w:rPr>
  </w:style>
  <w:style w:type="paragraph" w:customStyle="1" w:styleId="147">
    <w:name w:val="栖霞4级标题"/>
    <w:basedOn w:val="5"/>
    <w:link w:val="146"/>
    <w:qFormat/>
    <w:uiPriority w:val="0"/>
    <w:pPr>
      <w:tabs>
        <w:tab w:val="left" w:pos="794"/>
        <w:tab w:val="left" w:pos="1239"/>
      </w:tabs>
      <w:spacing w:beforeLines="50" w:afterLines="50" w:line="240" w:lineRule="auto"/>
      <w:ind w:left="284" w:right="100" w:rightChars="100" w:firstLine="283"/>
    </w:pPr>
    <w:rPr>
      <w:rFonts w:ascii="微软雅黑" w:hAnsi="微软雅黑" w:eastAsia="微软雅黑" w:cs="微软雅黑"/>
      <w:kern w:val="44"/>
      <w:sz w:val="24"/>
      <w:szCs w:val="24"/>
    </w:rPr>
  </w:style>
  <w:style w:type="character" w:customStyle="1" w:styleId="148">
    <w:name w:val="栖霞3级标题 Char"/>
    <w:link w:val="149"/>
    <w:qFormat/>
    <w:locked/>
    <w:uiPriority w:val="0"/>
    <w:rPr>
      <w:rFonts w:ascii="微软雅黑" w:hAnsi="微软雅黑" w:eastAsia="微软雅黑" w:cs="微软雅黑"/>
      <w:b/>
      <w:bCs/>
      <w:kern w:val="44"/>
      <w:sz w:val="28"/>
      <w:szCs w:val="28"/>
      <w:lang w:val="en-US" w:eastAsia="zh-CN" w:bidi="ar-SA"/>
    </w:rPr>
  </w:style>
  <w:style w:type="paragraph" w:customStyle="1" w:styleId="149">
    <w:name w:val="栖霞3级标题"/>
    <w:basedOn w:val="4"/>
    <w:link w:val="148"/>
    <w:qFormat/>
    <w:uiPriority w:val="0"/>
    <w:pPr>
      <w:widowControl/>
      <w:tabs>
        <w:tab w:val="left" w:pos="284"/>
        <w:tab w:val="left" w:pos="1239"/>
      </w:tabs>
      <w:spacing w:beforeLines="50" w:afterLines="50" w:line="240" w:lineRule="auto"/>
      <w:ind w:left="-284" w:right="210" w:rightChars="100" w:firstLine="568"/>
      <w:jc w:val="left"/>
    </w:pPr>
    <w:rPr>
      <w:rFonts w:ascii="微软雅黑" w:hAnsi="微软雅黑" w:eastAsia="微软雅黑" w:cs="微软雅黑"/>
      <w:kern w:val="44"/>
      <w:sz w:val="28"/>
      <w:szCs w:val="28"/>
    </w:rPr>
  </w:style>
  <w:style w:type="character" w:customStyle="1" w:styleId="150">
    <w:name w:val="Font Style105"/>
    <w:unhideWhenUsed/>
    <w:qFormat/>
    <w:uiPriority w:val="0"/>
    <w:rPr>
      <w:rFonts w:hint="eastAsia" w:ascii="Times New Roman" w:hAnsi="Times New Roman" w:eastAsia="Times New Roman"/>
      <w:w w:val="60"/>
      <w:sz w:val="26"/>
    </w:rPr>
  </w:style>
  <w:style w:type="character" w:customStyle="1" w:styleId="151">
    <w:name w:val="页脚 Char1"/>
    <w:qFormat/>
    <w:locked/>
    <w:uiPriority w:val="0"/>
    <w:rPr>
      <w:rFonts w:eastAsia="宋体"/>
      <w:kern w:val="2"/>
      <w:sz w:val="18"/>
      <w:lang w:val="en-US" w:eastAsia="zh-CN"/>
    </w:rPr>
  </w:style>
  <w:style w:type="character" w:customStyle="1" w:styleId="152">
    <w:name w:val="Char Char15"/>
    <w:qFormat/>
    <w:uiPriority w:val="0"/>
    <w:rPr>
      <w:b/>
      <w:bCs/>
      <w:sz w:val="24"/>
      <w:szCs w:val="24"/>
    </w:rPr>
  </w:style>
  <w:style w:type="character" w:customStyle="1" w:styleId="153">
    <w:name w:val="bds_nopic1"/>
    <w:qFormat/>
    <w:uiPriority w:val="0"/>
    <w:rPr>
      <w:rFonts w:ascii="Times New Roman" w:hAnsi="Times New Roman" w:eastAsia="宋体"/>
    </w:rPr>
  </w:style>
  <w:style w:type="character" w:customStyle="1" w:styleId="154">
    <w:name w:val="设计正文加粗 Char"/>
    <w:link w:val="155"/>
    <w:qFormat/>
    <w:locked/>
    <w:uiPriority w:val="0"/>
    <w:rPr>
      <w:rFonts w:ascii="仿宋_GB2312" w:eastAsia="仿宋_GB2312" w:cs="仿宋_GB2312"/>
      <w:b/>
      <w:bCs/>
      <w:kern w:val="2"/>
      <w:sz w:val="24"/>
      <w:szCs w:val="24"/>
      <w:lang w:val="en-US" w:eastAsia="zh-CN" w:bidi="ar-SA"/>
    </w:rPr>
  </w:style>
  <w:style w:type="paragraph" w:customStyle="1" w:styleId="155">
    <w:name w:val="设计正文加粗"/>
    <w:basedOn w:val="1"/>
    <w:link w:val="154"/>
    <w:qFormat/>
    <w:uiPriority w:val="0"/>
    <w:pPr>
      <w:spacing w:line="300" w:lineRule="auto"/>
      <w:ind w:firstLine="482" w:firstLineChars="200"/>
      <w:jc w:val="left"/>
    </w:pPr>
    <w:rPr>
      <w:rFonts w:ascii="仿宋_GB2312" w:eastAsia="仿宋_GB2312" w:cs="仿宋_GB2312"/>
      <w:b/>
      <w:bCs/>
      <w:sz w:val="24"/>
    </w:rPr>
  </w:style>
  <w:style w:type="character" w:customStyle="1" w:styleId="156">
    <w:name w:val="页脚 字符"/>
    <w:qFormat/>
    <w:uiPriority w:val="0"/>
    <w:rPr>
      <w:rFonts w:eastAsia="宋体"/>
      <w:kern w:val="2"/>
      <w:sz w:val="18"/>
      <w:szCs w:val="18"/>
      <w:lang w:val="en-US" w:eastAsia="zh-CN" w:bidi="ar-SA"/>
    </w:rPr>
  </w:style>
  <w:style w:type="character" w:customStyle="1" w:styleId="157">
    <w:name w:val="Char Char1"/>
    <w:qFormat/>
    <w:uiPriority w:val="0"/>
    <w:rPr>
      <w:kern w:val="2"/>
      <w:sz w:val="24"/>
    </w:rPr>
  </w:style>
  <w:style w:type="character" w:customStyle="1" w:styleId="158">
    <w:name w:val="Heading 2 Char"/>
    <w:qFormat/>
    <w:locked/>
    <w:uiPriority w:val="0"/>
    <w:rPr>
      <w:rFonts w:ascii="Cambria" w:hAnsi="Cambria" w:eastAsia="宋体"/>
      <w:b/>
      <w:sz w:val="32"/>
    </w:rPr>
  </w:style>
  <w:style w:type="character" w:customStyle="1" w:styleId="159">
    <w:name w:val="Font Style90"/>
    <w:unhideWhenUsed/>
    <w:qFormat/>
    <w:uiPriority w:val="0"/>
    <w:rPr>
      <w:rFonts w:hint="eastAsia" w:ascii="宋体" w:hAnsi="宋体" w:eastAsia="宋体"/>
      <w:b/>
      <w:spacing w:val="-20"/>
      <w:sz w:val="40"/>
    </w:rPr>
  </w:style>
  <w:style w:type="character" w:customStyle="1" w:styleId="160">
    <w:name w:val="p0 Char"/>
    <w:link w:val="161"/>
    <w:qFormat/>
    <w:uiPriority w:val="0"/>
    <w:rPr>
      <w:rFonts w:eastAsia="宋体"/>
      <w:sz w:val="21"/>
      <w:szCs w:val="21"/>
      <w:lang w:val="en-US" w:eastAsia="zh-CN" w:bidi="ar-SA"/>
    </w:rPr>
  </w:style>
  <w:style w:type="paragraph" w:customStyle="1" w:styleId="161">
    <w:name w:val="p0"/>
    <w:basedOn w:val="1"/>
    <w:link w:val="160"/>
    <w:qFormat/>
    <w:uiPriority w:val="0"/>
    <w:pPr>
      <w:widowControl/>
    </w:pPr>
    <w:rPr>
      <w:kern w:val="0"/>
      <w:szCs w:val="21"/>
    </w:rPr>
  </w:style>
  <w:style w:type="character" w:customStyle="1" w:styleId="162">
    <w:name w:val="正文缩进 Char"/>
    <w:qFormat/>
    <w:locked/>
    <w:uiPriority w:val="0"/>
  </w:style>
  <w:style w:type="character" w:customStyle="1" w:styleId="163">
    <w:name w:val="im-content1"/>
    <w:qFormat/>
    <w:uiPriority w:val="0"/>
    <w:rPr>
      <w:color w:val="333333"/>
    </w:rPr>
  </w:style>
  <w:style w:type="character" w:customStyle="1" w:styleId="164">
    <w:name w:val="设计正文 Char"/>
    <w:link w:val="165"/>
    <w:qFormat/>
    <w:locked/>
    <w:uiPriority w:val="0"/>
    <w:rPr>
      <w:rFonts w:ascii="仿宋_GB2312" w:eastAsia="仿宋_GB2312" w:cs="仿宋_GB2312"/>
      <w:kern w:val="2"/>
      <w:sz w:val="28"/>
      <w:szCs w:val="28"/>
      <w:lang w:val="en-US" w:eastAsia="zh-CN" w:bidi="ar-SA"/>
    </w:rPr>
  </w:style>
  <w:style w:type="paragraph" w:customStyle="1" w:styleId="165">
    <w:name w:val="设计正文"/>
    <w:basedOn w:val="1"/>
    <w:link w:val="164"/>
    <w:qFormat/>
    <w:uiPriority w:val="0"/>
    <w:pPr>
      <w:spacing w:line="300" w:lineRule="auto"/>
      <w:ind w:firstLine="480" w:firstLineChars="200"/>
      <w:jc w:val="left"/>
    </w:pPr>
    <w:rPr>
      <w:rFonts w:ascii="仿宋_GB2312" w:eastAsia="仿宋_GB2312" w:cs="仿宋_GB2312"/>
      <w:sz w:val="28"/>
      <w:szCs w:val="28"/>
    </w:rPr>
  </w:style>
  <w:style w:type="character" w:customStyle="1" w:styleId="166">
    <w:name w:val="图表标题 Char Char"/>
    <w:link w:val="167"/>
    <w:qFormat/>
    <w:locked/>
    <w:uiPriority w:val="0"/>
    <w:rPr>
      <w:rFonts w:eastAsia="Times New Roman"/>
      <w:kern w:val="2"/>
      <w:sz w:val="21"/>
      <w:lang w:val="en-US" w:eastAsia="zh-CN" w:bidi="ar-SA"/>
    </w:rPr>
  </w:style>
  <w:style w:type="paragraph" w:customStyle="1" w:styleId="167">
    <w:name w:val="图表标题"/>
    <w:next w:val="1"/>
    <w:link w:val="166"/>
    <w:qFormat/>
    <w:uiPriority w:val="0"/>
    <w:pPr>
      <w:jc w:val="center"/>
    </w:pPr>
    <w:rPr>
      <w:rFonts w:ascii="Times New Roman" w:hAnsi="Times New Roman" w:eastAsia="Times New Roman" w:cs="Times New Roman"/>
      <w:kern w:val="2"/>
      <w:sz w:val="21"/>
      <w:lang w:val="en-US" w:eastAsia="zh-CN" w:bidi="ar-SA"/>
    </w:rPr>
  </w:style>
  <w:style w:type="character" w:customStyle="1" w:styleId="168">
    <w:name w:val="lemmatitleh12"/>
    <w:qFormat/>
    <w:uiPriority w:val="0"/>
    <w:rPr>
      <w:rFonts w:ascii="Times New Roman" w:hAnsi="Times New Roman" w:eastAsia="宋体"/>
    </w:rPr>
  </w:style>
  <w:style w:type="character" w:customStyle="1" w:styleId="169">
    <w:name w:val="PIM 7 Char"/>
    <w:qFormat/>
    <w:uiPriority w:val="0"/>
    <w:rPr>
      <w:rFonts w:ascii="Times New Roman" w:hAnsi="Times New Roman"/>
      <w:b/>
      <w:bCs/>
      <w:kern w:val="2"/>
      <w:sz w:val="24"/>
      <w:szCs w:val="24"/>
    </w:rPr>
  </w:style>
  <w:style w:type="character" w:customStyle="1" w:styleId="170">
    <w:name w:val="标题 5 Char"/>
    <w:qFormat/>
    <w:uiPriority w:val="0"/>
    <w:rPr>
      <w:b/>
      <w:bCs/>
      <w:kern w:val="2"/>
      <w:sz w:val="28"/>
      <w:szCs w:val="28"/>
    </w:rPr>
  </w:style>
  <w:style w:type="character" w:customStyle="1" w:styleId="171">
    <w:name w:val="表格 Char"/>
    <w:link w:val="172"/>
    <w:qFormat/>
    <w:locked/>
    <w:uiPriority w:val="0"/>
    <w:rPr>
      <w:rFonts w:ascii="Arial" w:hAnsi="Arial" w:eastAsia="仿宋_GB2312"/>
      <w:kern w:val="2"/>
      <w:sz w:val="32"/>
      <w:lang w:bidi="ar-SA"/>
    </w:rPr>
  </w:style>
  <w:style w:type="paragraph" w:customStyle="1" w:styleId="172">
    <w:name w:val="表格"/>
    <w:basedOn w:val="1"/>
    <w:next w:val="1"/>
    <w:link w:val="171"/>
    <w:qFormat/>
    <w:uiPriority w:val="0"/>
    <w:pPr>
      <w:spacing w:line="360" w:lineRule="auto"/>
      <w:ind w:firstLine="200" w:firstLineChars="200"/>
      <w:jc w:val="center"/>
    </w:pPr>
    <w:rPr>
      <w:rFonts w:ascii="Arial" w:hAnsi="Arial" w:eastAsia="仿宋_GB2312"/>
      <w:sz w:val="32"/>
      <w:szCs w:val="20"/>
    </w:rPr>
  </w:style>
  <w:style w:type="character" w:customStyle="1" w:styleId="173">
    <w:name w:val="sidecatalog-dot1"/>
    <w:qFormat/>
    <w:uiPriority w:val="0"/>
    <w:rPr>
      <w:rFonts w:ascii="Times New Roman" w:hAnsi="Times New Roman" w:eastAsia="宋体"/>
    </w:rPr>
  </w:style>
  <w:style w:type="character" w:customStyle="1" w:styleId="174">
    <w:name w:val="bds_nopic"/>
    <w:qFormat/>
    <w:uiPriority w:val="0"/>
    <w:rPr>
      <w:rFonts w:ascii="Times New Roman" w:hAnsi="Times New Roman" w:eastAsia="宋体"/>
    </w:rPr>
  </w:style>
  <w:style w:type="character" w:customStyle="1" w:styleId="175">
    <w:name w:val="morelink-item"/>
    <w:qFormat/>
    <w:uiPriority w:val="0"/>
    <w:rPr>
      <w:rFonts w:ascii="Times New Roman" w:hAnsi="Times New Roman" w:eastAsia="宋体"/>
    </w:rPr>
  </w:style>
  <w:style w:type="character" w:customStyle="1" w:styleId="176">
    <w:name w:val="Font Style104"/>
    <w:unhideWhenUsed/>
    <w:qFormat/>
    <w:uiPriority w:val="0"/>
    <w:rPr>
      <w:rFonts w:hint="eastAsia" w:ascii="宋体" w:hAnsi="宋体" w:eastAsia="宋体"/>
      <w:spacing w:val="30"/>
      <w:sz w:val="18"/>
    </w:rPr>
  </w:style>
  <w:style w:type="character" w:customStyle="1" w:styleId="177">
    <w:name w:val="sidecatalog-index2"/>
    <w:qFormat/>
    <w:uiPriority w:val="0"/>
    <w:rPr>
      <w:rFonts w:ascii="Arail" w:hAnsi="Arail" w:eastAsia="Arail" w:cs="Arail"/>
      <w:color w:val="999999"/>
      <w:sz w:val="21"/>
      <w:szCs w:val="21"/>
    </w:rPr>
  </w:style>
  <w:style w:type="character" w:customStyle="1" w:styleId="178">
    <w:name w:val="polysemyred"/>
    <w:qFormat/>
    <w:uiPriority w:val="0"/>
    <w:rPr>
      <w:rFonts w:ascii="Times New Roman" w:hAnsi="Times New Roman" w:eastAsia="宋体"/>
      <w:color w:val="FF6666"/>
      <w:sz w:val="18"/>
      <w:szCs w:val="18"/>
    </w:rPr>
  </w:style>
  <w:style w:type="character" w:customStyle="1" w:styleId="179">
    <w:name w:val="正文文本缩进 3 Char"/>
    <w:qFormat/>
    <w:uiPriority w:val="0"/>
    <w:rPr>
      <w:rFonts w:ascii="宋体" w:hAnsi="MS Sans Serif"/>
      <w:color w:val="000000"/>
      <w:sz w:val="24"/>
    </w:rPr>
  </w:style>
  <w:style w:type="character" w:customStyle="1" w:styleId="180">
    <w:name w:val="!RepPar_alt+p Char"/>
    <w:link w:val="181"/>
    <w:qFormat/>
    <w:locked/>
    <w:uiPriority w:val="0"/>
    <w:rPr>
      <w:rFonts w:eastAsia="宋体"/>
      <w:kern w:val="2"/>
      <w:sz w:val="24"/>
      <w:szCs w:val="24"/>
      <w:lang w:val="en-US" w:eastAsia="zh-CN" w:bidi="ar-SA"/>
    </w:rPr>
  </w:style>
  <w:style w:type="paragraph" w:customStyle="1" w:styleId="181">
    <w:name w:val="!RepPar_alt+p"/>
    <w:basedOn w:val="1"/>
    <w:link w:val="180"/>
    <w:qFormat/>
    <w:uiPriority w:val="0"/>
    <w:pPr>
      <w:spacing w:line="360" w:lineRule="auto"/>
      <w:ind w:firstLine="200" w:firstLineChars="200"/>
    </w:pPr>
    <w:rPr>
      <w:sz w:val="24"/>
    </w:rPr>
  </w:style>
  <w:style w:type="character" w:customStyle="1" w:styleId="182">
    <w:name w:val="标题 8 Char"/>
    <w:qFormat/>
    <w:uiPriority w:val="0"/>
    <w:rPr>
      <w:rFonts w:ascii="Arial" w:hAnsi="Arial" w:eastAsia="黑体"/>
      <w:sz w:val="24"/>
      <w:szCs w:val="24"/>
    </w:rPr>
  </w:style>
  <w:style w:type="character" w:customStyle="1" w:styleId="183">
    <w:name w:val="bds_nopic2"/>
    <w:qFormat/>
    <w:uiPriority w:val="0"/>
    <w:rPr>
      <w:rFonts w:ascii="Times New Roman" w:hAnsi="Times New Roman" w:eastAsia="宋体"/>
    </w:rPr>
  </w:style>
  <w:style w:type="character" w:customStyle="1" w:styleId="184">
    <w:name w:val="Char Char6"/>
    <w:qFormat/>
    <w:uiPriority w:val="0"/>
    <w:rPr>
      <w:rFonts w:ascii="Arial" w:hAnsi="Arial" w:eastAsia="黑体"/>
      <w:sz w:val="24"/>
      <w:lang w:val="en-US" w:eastAsia="zh-CN"/>
    </w:rPr>
  </w:style>
  <w:style w:type="character" w:customStyle="1" w:styleId="185">
    <w:name w:val="Document Map Char"/>
    <w:semiHidden/>
    <w:qFormat/>
    <w:locked/>
    <w:uiPriority w:val="0"/>
    <w:rPr>
      <w:rFonts w:ascii="宋体" w:hAnsi="Calibri"/>
      <w:kern w:val="2"/>
      <w:sz w:val="18"/>
    </w:rPr>
  </w:style>
  <w:style w:type="character" w:customStyle="1" w:styleId="186">
    <w:name w:val="标题 Char1"/>
    <w:qFormat/>
    <w:uiPriority w:val="0"/>
    <w:rPr>
      <w:rFonts w:ascii="Cambria" w:hAnsi="Cambria" w:eastAsia="宋体" w:cs="Times New Roman"/>
      <w:b/>
      <w:bCs/>
      <w:sz w:val="32"/>
      <w:szCs w:val="32"/>
    </w:rPr>
  </w:style>
  <w:style w:type="character" w:customStyle="1" w:styleId="187">
    <w:name w:val="H5 Char"/>
    <w:qFormat/>
    <w:uiPriority w:val="0"/>
    <w:rPr>
      <w:rFonts w:ascii="Times New Roman" w:hAnsi="Times New Roman"/>
      <w:b/>
      <w:bCs/>
      <w:kern w:val="2"/>
      <w:sz w:val="28"/>
      <w:szCs w:val="28"/>
    </w:rPr>
  </w:style>
  <w:style w:type="character" w:customStyle="1" w:styleId="188">
    <w:name w:val="NotSortedNumbering1 Char"/>
    <w:link w:val="189"/>
    <w:qFormat/>
    <w:locked/>
    <w:uiPriority w:val="0"/>
    <w:rPr>
      <w:rFonts w:ascii="Arial" w:hAnsi="Arial" w:eastAsia="宋体" w:cs="Arial"/>
      <w:kern w:val="44"/>
      <w:sz w:val="21"/>
      <w:szCs w:val="21"/>
      <w:lang w:val="en-US" w:eastAsia="zh-CN" w:bidi="ar-SA"/>
    </w:rPr>
  </w:style>
  <w:style w:type="paragraph" w:customStyle="1" w:styleId="189">
    <w:name w:val="NotSortedNumbering1"/>
    <w:basedOn w:val="1"/>
    <w:link w:val="188"/>
    <w:qFormat/>
    <w:uiPriority w:val="0"/>
    <w:pPr>
      <w:spacing w:before="120" w:line="288" w:lineRule="auto"/>
      <w:ind w:left="1701" w:hanging="453"/>
    </w:pPr>
    <w:rPr>
      <w:rFonts w:ascii="Arial" w:hAnsi="Arial" w:cs="Arial"/>
      <w:kern w:val="44"/>
      <w:szCs w:val="21"/>
    </w:rPr>
  </w:style>
  <w:style w:type="character" w:customStyle="1" w:styleId="190">
    <w:name w:val="标题 3 Char1"/>
    <w:qFormat/>
    <w:locked/>
    <w:uiPriority w:val="0"/>
    <w:rPr>
      <w:b/>
      <w:kern w:val="2"/>
      <w:sz w:val="32"/>
    </w:rPr>
  </w:style>
  <w:style w:type="character" w:customStyle="1" w:styleId="191">
    <w:name w:val="正文文本 Char1"/>
    <w:qFormat/>
    <w:uiPriority w:val="0"/>
    <w:rPr>
      <w:kern w:val="2"/>
      <w:sz w:val="24"/>
    </w:rPr>
  </w:style>
  <w:style w:type="character" w:customStyle="1" w:styleId="192">
    <w:name w:val="DocParagraph Char"/>
    <w:link w:val="193"/>
    <w:qFormat/>
    <w:locked/>
    <w:uiPriority w:val="0"/>
    <w:rPr>
      <w:rFonts w:ascii="Arial" w:hAnsi="Arial" w:eastAsia="宋体" w:cs="Arial"/>
      <w:kern w:val="44"/>
      <w:sz w:val="21"/>
      <w:szCs w:val="21"/>
      <w:lang w:val="en-US" w:eastAsia="zh-CN" w:bidi="ar-SA"/>
    </w:rPr>
  </w:style>
  <w:style w:type="paragraph" w:customStyle="1" w:styleId="193">
    <w:name w:val="DocParagraph"/>
    <w:basedOn w:val="1"/>
    <w:link w:val="192"/>
    <w:qFormat/>
    <w:uiPriority w:val="0"/>
    <w:pPr>
      <w:spacing w:before="120" w:line="288" w:lineRule="auto"/>
      <w:ind w:left="1247"/>
    </w:pPr>
    <w:rPr>
      <w:rFonts w:ascii="Arial" w:hAnsi="Arial" w:cs="Arial"/>
      <w:kern w:val="44"/>
      <w:szCs w:val="21"/>
    </w:rPr>
  </w:style>
  <w:style w:type="character" w:customStyle="1" w:styleId="194">
    <w:name w:val="BOD 0 Char"/>
    <w:qFormat/>
    <w:uiPriority w:val="0"/>
    <w:rPr>
      <w:rFonts w:ascii="Times New Roman" w:hAnsi="Times New Roman"/>
      <w:b/>
      <w:bCs/>
      <w:kern w:val="2"/>
      <w:sz w:val="32"/>
      <w:szCs w:val="32"/>
    </w:rPr>
  </w:style>
  <w:style w:type="character" w:customStyle="1" w:styleId="195">
    <w:name w:val="Font Style124"/>
    <w:unhideWhenUsed/>
    <w:qFormat/>
    <w:uiPriority w:val="0"/>
    <w:rPr>
      <w:rFonts w:hint="eastAsia" w:ascii="宋体" w:hAnsi="宋体" w:eastAsia="宋体"/>
      <w:spacing w:val="30"/>
      <w:sz w:val="24"/>
    </w:rPr>
  </w:style>
  <w:style w:type="character" w:customStyle="1" w:styleId="196">
    <w:name w:val="Font Style122"/>
    <w:unhideWhenUsed/>
    <w:qFormat/>
    <w:uiPriority w:val="0"/>
    <w:rPr>
      <w:rFonts w:hint="eastAsia" w:ascii="宋体" w:hAnsi="宋体" w:eastAsia="宋体"/>
      <w:spacing w:val="20"/>
      <w:sz w:val="24"/>
    </w:rPr>
  </w:style>
  <w:style w:type="character" w:customStyle="1" w:styleId="197">
    <w:name w:val="PIM 9 Char"/>
    <w:qFormat/>
    <w:uiPriority w:val="0"/>
    <w:rPr>
      <w:rFonts w:ascii="Arial" w:hAnsi="Arial" w:eastAsia="黑体"/>
      <w:kern w:val="2"/>
      <w:sz w:val="21"/>
      <w:szCs w:val="21"/>
    </w:rPr>
  </w:style>
  <w:style w:type="character" w:customStyle="1" w:styleId="198">
    <w:name w:val="标题 Char"/>
    <w:qFormat/>
    <w:uiPriority w:val="0"/>
    <w:rPr>
      <w:rFonts w:ascii="Cambria" w:hAnsi="Cambria"/>
      <w:b/>
      <w:kern w:val="2"/>
      <w:sz w:val="32"/>
      <w:szCs w:val="24"/>
    </w:rPr>
  </w:style>
  <w:style w:type="character" w:customStyle="1" w:styleId="199">
    <w:name w:val="l-btn-left2"/>
    <w:qFormat/>
    <w:uiPriority w:val="0"/>
  </w:style>
  <w:style w:type="character" w:customStyle="1" w:styleId="200">
    <w:name w:val="Font Style134"/>
    <w:unhideWhenUsed/>
    <w:qFormat/>
    <w:uiPriority w:val="0"/>
    <w:rPr>
      <w:rFonts w:hint="eastAsia" w:ascii="宋体" w:hAnsi="宋体" w:eastAsia="宋体"/>
      <w:spacing w:val="20"/>
      <w:sz w:val="22"/>
    </w:rPr>
  </w:style>
  <w:style w:type="character" w:customStyle="1" w:styleId="201">
    <w:name w:val="正文不空 Char"/>
    <w:link w:val="202"/>
    <w:qFormat/>
    <w:locked/>
    <w:uiPriority w:val="0"/>
    <w:rPr>
      <w:rFonts w:ascii="Arial" w:hAnsi="Arial" w:eastAsia="仿宋_GB2312" w:cs="Arial"/>
      <w:kern w:val="2"/>
      <w:sz w:val="28"/>
      <w:szCs w:val="28"/>
      <w:lang w:val="en-US" w:eastAsia="zh-CN" w:bidi="ar-SA"/>
    </w:rPr>
  </w:style>
  <w:style w:type="paragraph" w:customStyle="1" w:styleId="202">
    <w:name w:val="正文不空"/>
    <w:basedOn w:val="1"/>
    <w:link w:val="201"/>
    <w:qFormat/>
    <w:uiPriority w:val="0"/>
    <w:pPr>
      <w:spacing w:line="360" w:lineRule="auto"/>
      <w:ind w:firstLine="200" w:firstLineChars="200"/>
      <w:jc w:val="center"/>
    </w:pPr>
    <w:rPr>
      <w:rFonts w:ascii="Arial" w:hAnsi="Arial" w:eastAsia="仿宋_GB2312" w:cs="Arial"/>
      <w:sz w:val="28"/>
      <w:szCs w:val="28"/>
    </w:rPr>
  </w:style>
  <w:style w:type="character" w:customStyle="1" w:styleId="203">
    <w:name w:val="bds_more10"/>
    <w:qFormat/>
    <w:uiPriority w:val="0"/>
    <w:rPr>
      <w:rFonts w:ascii="Times New Roman" w:hAnsi="Times New Roman" w:eastAsia="宋体"/>
    </w:rPr>
  </w:style>
  <w:style w:type="character" w:customStyle="1" w:styleId="204">
    <w:name w:val="缩进正文 Char"/>
    <w:link w:val="205"/>
    <w:qFormat/>
    <w:locked/>
    <w:uiPriority w:val="0"/>
    <w:rPr>
      <w:rFonts w:ascii="Calibri" w:hAnsi="Calibri" w:eastAsia="宋体" w:cs="Calibri"/>
      <w:sz w:val="24"/>
      <w:szCs w:val="24"/>
      <w:lang w:val="en-US" w:eastAsia="zh-CN" w:bidi="ar-SA"/>
    </w:rPr>
  </w:style>
  <w:style w:type="paragraph" w:customStyle="1" w:styleId="205">
    <w:name w:val="缩进正文"/>
    <w:basedOn w:val="1"/>
    <w:link w:val="204"/>
    <w:qFormat/>
    <w:uiPriority w:val="0"/>
    <w:pPr>
      <w:adjustRightInd w:val="0"/>
      <w:snapToGrid w:val="0"/>
      <w:spacing w:line="460" w:lineRule="atLeast"/>
      <w:ind w:firstLine="200" w:firstLineChars="200"/>
      <w:jc w:val="left"/>
    </w:pPr>
    <w:rPr>
      <w:rFonts w:ascii="Calibri" w:hAnsi="Calibri" w:cs="Calibri"/>
      <w:kern w:val="0"/>
      <w:sz w:val="24"/>
    </w:rPr>
  </w:style>
  <w:style w:type="character" w:customStyle="1" w:styleId="206">
    <w:name w:val="Balloon Text Char"/>
    <w:semiHidden/>
    <w:qFormat/>
    <w:locked/>
    <w:uiPriority w:val="0"/>
    <w:rPr>
      <w:sz w:val="18"/>
    </w:rPr>
  </w:style>
  <w:style w:type="character" w:customStyle="1" w:styleId="207">
    <w:name w:val="Char Char14"/>
    <w:qFormat/>
    <w:uiPriority w:val="0"/>
    <w:rPr>
      <w:rFonts w:ascii="Arial" w:hAnsi="Arial" w:eastAsia="黑体"/>
      <w:b/>
      <w:sz w:val="28"/>
      <w:lang w:val="en-US" w:eastAsia="zh-CN"/>
    </w:rPr>
  </w:style>
  <w:style w:type="character" w:customStyle="1" w:styleId="208">
    <w:name w:val="表内文字 Char"/>
    <w:link w:val="209"/>
    <w:qFormat/>
    <w:locked/>
    <w:uiPriority w:val="0"/>
    <w:rPr>
      <w:rFonts w:ascii="宋体" w:hAnsi="宋体" w:eastAsia="楷体_GB2312" w:cs="宋体"/>
      <w:color w:val="000000"/>
      <w:kern w:val="2"/>
      <w:sz w:val="21"/>
      <w:szCs w:val="21"/>
      <w:lang w:val="en-US" w:eastAsia="zh-CN" w:bidi="ar-SA"/>
    </w:rPr>
  </w:style>
  <w:style w:type="paragraph" w:customStyle="1" w:styleId="209">
    <w:name w:val="表内文字"/>
    <w:basedOn w:val="1"/>
    <w:link w:val="208"/>
    <w:qFormat/>
    <w:uiPriority w:val="0"/>
    <w:pPr>
      <w:spacing w:line="360" w:lineRule="auto"/>
      <w:ind w:firstLine="200" w:firstLineChars="200"/>
      <w:jc w:val="center"/>
    </w:pPr>
    <w:rPr>
      <w:rFonts w:ascii="宋体" w:hAnsi="宋体" w:eastAsia="楷体_GB2312" w:cs="宋体"/>
      <w:color w:val="000000"/>
      <w:szCs w:val="21"/>
    </w:rPr>
  </w:style>
  <w:style w:type="character" w:customStyle="1" w:styleId="210">
    <w:name w:val="fontstyle01"/>
    <w:qFormat/>
    <w:uiPriority w:val="0"/>
    <w:rPr>
      <w:rFonts w:hint="eastAsia" w:ascii="宋体" w:hAnsi="宋体" w:eastAsia="宋体"/>
      <w:color w:val="000000"/>
      <w:sz w:val="22"/>
      <w:szCs w:val="22"/>
    </w:rPr>
  </w:style>
  <w:style w:type="character" w:customStyle="1" w:styleId="211">
    <w:name w:val="msoins"/>
    <w:qFormat/>
    <w:uiPriority w:val="0"/>
  </w:style>
  <w:style w:type="character" w:customStyle="1" w:styleId="212">
    <w:name w:val="Heading 4 Char"/>
    <w:qFormat/>
    <w:locked/>
    <w:uiPriority w:val="0"/>
    <w:rPr>
      <w:rFonts w:ascii="Cambria" w:hAnsi="Cambria"/>
      <w:b/>
      <w:kern w:val="0"/>
      <w:sz w:val="28"/>
    </w:rPr>
  </w:style>
  <w:style w:type="character" w:customStyle="1" w:styleId="213">
    <w:name w:val="表正文 Char"/>
    <w:qFormat/>
    <w:uiPriority w:val="0"/>
    <w:rPr>
      <w:rFonts w:ascii="Times New Roman" w:hAnsi="Times New Roman"/>
      <w:kern w:val="2"/>
      <w:sz w:val="21"/>
      <w:szCs w:val="24"/>
    </w:rPr>
  </w:style>
  <w:style w:type="character" w:customStyle="1" w:styleId="214">
    <w:name w:val="ml_5"/>
    <w:qFormat/>
    <w:uiPriority w:val="0"/>
  </w:style>
  <w:style w:type="character" w:customStyle="1" w:styleId="215">
    <w:name w:val="样式7 Char"/>
    <w:link w:val="216"/>
    <w:qFormat/>
    <w:uiPriority w:val="0"/>
    <w:rPr>
      <w:rFonts w:ascii="Arial" w:hAnsi="Arial" w:eastAsia="黑体"/>
      <w:bCs/>
      <w:kern w:val="2"/>
      <w:sz w:val="28"/>
      <w:szCs w:val="28"/>
      <w:lang w:bidi="ar-SA"/>
    </w:rPr>
  </w:style>
  <w:style w:type="paragraph" w:customStyle="1" w:styleId="216">
    <w:name w:val="样式7"/>
    <w:basedOn w:val="5"/>
    <w:link w:val="215"/>
    <w:qFormat/>
    <w:uiPriority w:val="0"/>
    <w:pPr>
      <w:tabs>
        <w:tab w:val="left" w:pos="993"/>
      </w:tabs>
      <w:spacing w:before="0" w:after="0" w:line="377" w:lineRule="auto"/>
      <w:ind w:left="864" w:hanging="864"/>
    </w:pPr>
    <w:rPr>
      <w:b w:val="0"/>
    </w:rPr>
  </w:style>
  <w:style w:type="character" w:customStyle="1" w:styleId="217">
    <w:name w:val="Heading 5 Char"/>
    <w:qFormat/>
    <w:locked/>
    <w:uiPriority w:val="0"/>
    <w:rPr>
      <w:rFonts w:ascii="Calibri" w:hAnsi="Calibri"/>
      <w:b/>
      <w:kern w:val="0"/>
      <w:sz w:val="28"/>
    </w:rPr>
  </w:style>
  <w:style w:type="character" w:customStyle="1" w:styleId="218">
    <w:name w:val="批注文字 Char"/>
    <w:qFormat/>
    <w:uiPriority w:val="0"/>
    <w:rPr>
      <w:kern w:val="2"/>
      <w:sz w:val="21"/>
      <w:szCs w:val="24"/>
    </w:rPr>
  </w:style>
  <w:style w:type="character" w:customStyle="1" w:styleId="219">
    <w:name w:val="样式 首行缩进:  2.25 字符 Char"/>
    <w:link w:val="220"/>
    <w:qFormat/>
    <w:locked/>
    <w:uiPriority w:val="0"/>
    <w:rPr>
      <w:rFonts w:eastAsia="宋体"/>
      <w:kern w:val="2"/>
      <w:sz w:val="24"/>
      <w:szCs w:val="24"/>
      <w:lang w:val="en-US" w:eastAsia="zh-CN" w:bidi="ar-SA"/>
    </w:rPr>
  </w:style>
  <w:style w:type="paragraph" w:customStyle="1" w:styleId="220">
    <w:name w:val="样式 首行缩进:  2.25 字符"/>
    <w:basedOn w:val="1"/>
    <w:link w:val="219"/>
    <w:qFormat/>
    <w:uiPriority w:val="0"/>
    <w:pPr>
      <w:spacing w:line="360" w:lineRule="auto"/>
      <w:ind w:firstLine="225" w:firstLineChars="225"/>
      <w:jc w:val="left"/>
    </w:pPr>
    <w:rPr>
      <w:sz w:val="24"/>
    </w:rPr>
  </w:style>
  <w:style w:type="character" w:customStyle="1" w:styleId="221">
    <w:name w:val="普通文字 Char Char1"/>
    <w:qFormat/>
    <w:uiPriority w:val="0"/>
    <w:rPr>
      <w:rFonts w:ascii="宋体" w:hAnsi="宋体"/>
      <w:sz w:val="24"/>
      <w:szCs w:val="24"/>
    </w:rPr>
  </w:style>
  <w:style w:type="character" w:customStyle="1" w:styleId="222">
    <w:name w:val="Font Style128"/>
    <w:unhideWhenUsed/>
    <w:qFormat/>
    <w:uiPriority w:val="0"/>
    <w:rPr>
      <w:rFonts w:hint="eastAsia" w:ascii="Times New Roman" w:hAnsi="Times New Roman" w:eastAsia="Times New Roman"/>
      <w:sz w:val="16"/>
    </w:rPr>
  </w:style>
  <w:style w:type="character" w:customStyle="1" w:styleId="223">
    <w:name w:val="Font Style131"/>
    <w:unhideWhenUsed/>
    <w:qFormat/>
    <w:uiPriority w:val="0"/>
    <w:rPr>
      <w:rFonts w:hint="eastAsia" w:ascii="Times New Roman" w:hAnsi="Times New Roman" w:eastAsia="Times New Roman"/>
      <w:sz w:val="18"/>
    </w:rPr>
  </w:style>
  <w:style w:type="character" w:customStyle="1" w:styleId="224">
    <w:name w:val="批注文字 Char Char"/>
    <w:qFormat/>
    <w:uiPriority w:val="0"/>
    <w:rPr>
      <w:kern w:val="2"/>
      <w:sz w:val="21"/>
      <w:szCs w:val="24"/>
      <w:lang w:bidi="ar-SA"/>
    </w:rPr>
  </w:style>
  <w:style w:type="character" w:customStyle="1" w:styleId="225">
    <w:name w:val="Font Style115"/>
    <w:unhideWhenUsed/>
    <w:qFormat/>
    <w:uiPriority w:val="0"/>
    <w:rPr>
      <w:rFonts w:hint="eastAsia" w:ascii="Times New Roman" w:hAnsi="Times New Roman" w:eastAsia="Times New Roman"/>
      <w:sz w:val="16"/>
    </w:rPr>
  </w:style>
  <w:style w:type="character" w:customStyle="1" w:styleId="226">
    <w:name w:val="Char Char17"/>
    <w:qFormat/>
    <w:uiPriority w:val="0"/>
    <w:rPr>
      <w:rFonts w:ascii="宋体" w:hAnsi="Times New Roman" w:eastAsia="宋体"/>
      <w:b/>
      <w:sz w:val="28"/>
      <w:lang w:val="en-US" w:eastAsia="zh-CN" w:bidi="ar-SA"/>
    </w:rPr>
  </w:style>
  <w:style w:type="character" w:customStyle="1" w:styleId="227">
    <w:name w:val="sidecatalog-index1"/>
    <w:qFormat/>
    <w:uiPriority w:val="0"/>
    <w:rPr>
      <w:rFonts w:ascii="Arial" w:hAnsi="Arial" w:eastAsia="宋体" w:cs="Arial"/>
      <w:b/>
      <w:color w:val="999999"/>
      <w:sz w:val="21"/>
      <w:szCs w:val="21"/>
    </w:rPr>
  </w:style>
  <w:style w:type="character" w:customStyle="1" w:styleId="228">
    <w:name w:val="l-btn-icon-right"/>
    <w:qFormat/>
    <w:uiPriority w:val="0"/>
  </w:style>
  <w:style w:type="character" w:customStyle="1" w:styleId="229">
    <w:name w:val="标题 4 Char"/>
    <w:qFormat/>
    <w:uiPriority w:val="0"/>
    <w:rPr>
      <w:rFonts w:ascii="Arial" w:hAnsi="Arial" w:eastAsia="宋体" w:cs="Times New Roman"/>
      <w:b/>
      <w:bCs/>
      <w:szCs w:val="28"/>
    </w:rPr>
  </w:style>
  <w:style w:type="character" w:customStyle="1" w:styleId="230">
    <w:name w:val="Font Style119"/>
    <w:unhideWhenUsed/>
    <w:qFormat/>
    <w:uiPriority w:val="0"/>
    <w:rPr>
      <w:rFonts w:hint="eastAsia" w:ascii="宋体" w:hAnsi="宋体" w:eastAsia="宋体"/>
      <w:sz w:val="24"/>
    </w:rPr>
  </w:style>
  <w:style w:type="character" w:customStyle="1" w:styleId="231">
    <w:name w:val="Header Char"/>
    <w:semiHidden/>
    <w:qFormat/>
    <w:locked/>
    <w:uiPriority w:val="0"/>
    <w:rPr>
      <w:sz w:val="18"/>
    </w:rPr>
  </w:style>
  <w:style w:type="character" w:customStyle="1" w:styleId="232">
    <w:name w:val="文档正文 Char"/>
    <w:qFormat/>
    <w:uiPriority w:val="0"/>
    <w:rPr>
      <w:rFonts w:eastAsia="仿宋_GB2312"/>
      <w:sz w:val="28"/>
    </w:rPr>
  </w:style>
  <w:style w:type="character" w:customStyle="1" w:styleId="233">
    <w:name w:val="Char Char61"/>
    <w:qFormat/>
    <w:uiPriority w:val="0"/>
    <w:rPr>
      <w:rFonts w:ascii="Arial" w:hAnsi="Arial" w:eastAsia="黑体"/>
      <w:sz w:val="24"/>
      <w:szCs w:val="24"/>
      <w:lang w:val="en-US" w:eastAsia="zh-CN" w:bidi="ar-SA"/>
    </w:rPr>
  </w:style>
  <w:style w:type="character" w:customStyle="1" w:styleId="234">
    <w:name w:val="z-窗体顶端 Char"/>
    <w:link w:val="235"/>
    <w:qFormat/>
    <w:locked/>
    <w:uiPriority w:val="0"/>
    <w:rPr>
      <w:rFonts w:ascii="Arial" w:hAnsi="Arial" w:eastAsia="宋体" w:cs="Arial"/>
      <w:vanish/>
      <w:sz w:val="16"/>
      <w:szCs w:val="16"/>
      <w:lang w:val="en-US" w:eastAsia="zh-CN" w:bidi="ar-SA"/>
    </w:rPr>
  </w:style>
  <w:style w:type="paragraph" w:customStyle="1" w:styleId="235">
    <w:name w:val="z-窗体顶端1"/>
    <w:basedOn w:val="1"/>
    <w:next w:val="1"/>
    <w:link w:val="234"/>
    <w:qFormat/>
    <w:uiPriority w:val="0"/>
    <w:pPr>
      <w:widowControl/>
      <w:pBdr>
        <w:bottom w:val="single" w:color="auto" w:sz="6" w:space="1"/>
      </w:pBdr>
      <w:jc w:val="center"/>
    </w:pPr>
    <w:rPr>
      <w:rFonts w:ascii="Arial" w:hAnsi="Arial" w:cs="Arial"/>
      <w:vanish/>
      <w:kern w:val="0"/>
      <w:sz w:val="16"/>
      <w:szCs w:val="16"/>
    </w:rPr>
  </w:style>
  <w:style w:type="character" w:customStyle="1" w:styleId="236">
    <w:name w:val="Heading Char"/>
    <w:qFormat/>
    <w:uiPriority w:val="0"/>
    <w:rPr>
      <w:rFonts w:ascii="Times New Roman" w:hAnsi="Times New Roman" w:eastAsia="宋体" w:cs="Times New Roman"/>
      <w:sz w:val="18"/>
      <w:szCs w:val="18"/>
    </w:rPr>
  </w:style>
  <w:style w:type="character" w:customStyle="1" w:styleId="237">
    <w:name w:val="l-btn-icon-left"/>
    <w:qFormat/>
    <w:uiPriority w:val="0"/>
  </w:style>
  <w:style w:type="character" w:customStyle="1" w:styleId="238">
    <w:name w:val="Char Char2"/>
    <w:qFormat/>
    <w:uiPriority w:val="0"/>
    <w:rPr>
      <w:rFonts w:eastAsia="宋体"/>
      <w:kern w:val="2"/>
      <w:sz w:val="18"/>
      <w:lang w:val="en-US" w:eastAsia="zh-CN" w:bidi="ar-SA"/>
    </w:rPr>
  </w:style>
  <w:style w:type="character" w:customStyle="1" w:styleId="239">
    <w:name w:val="bds_more9"/>
    <w:qFormat/>
    <w:uiPriority w:val="0"/>
    <w:rPr>
      <w:rFonts w:ascii="Times New Roman" w:hAnsi="Times New Roman" w:eastAsia="宋体"/>
    </w:rPr>
  </w:style>
  <w:style w:type="character" w:customStyle="1" w:styleId="240">
    <w:name w:val="标题 6 Char1"/>
    <w:qFormat/>
    <w:locked/>
    <w:uiPriority w:val="0"/>
    <w:rPr>
      <w:rFonts w:ascii="Arial" w:hAnsi="Arial" w:eastAsia="黑体"/>
      <w:b/>
      <w:sz w:val="24"/>
    </w:rPr>
  </w:style>
  <w:style w:type="character" w:customStyle="1" w:styleId="241">
    <w:name w:val="2z Char Char"/>
    <w:link w:val="242"/>
    <w:qFormat/>
    <w:uiPriority w:val="0"/>
    <w:rPr>
      <w:rFonts w:ascii="EU-F1" w:eastAsia="黑体"/>
      <w:kern w:val="21"/>
      <w:szCs w:val="21"/>
    </w:rPr>
  </w:style>
  <w:style w:type="paragraph" w:customStyle="1" w:styleId="242">
    <w:name w:val="2z"/>
    <w:basedOn w:val="1"/>
    <w:link w:val="241"/>
    <w:qFormat/>
    <w:uiPriority w:val="0"/>
    <w:pPr>
      <w:topLinePunct/>
      <w:spacing w:line="480" w:lineRule="auto"/>
    </w:pPr>
    <w:rPr>
      <w:rFonts w:ascii="EU-F1" w:eastAsia="黑体"/>
      <w:kern w:val="21"/>
      <w:sz w:val="20"/>
      <w:szCs w:val="21"/>
    </w:rPr>
  </w:style>
  <w:style w:type="character" w:customStyle="1" w:styleId="243">
    <w:name w:val="hou表格文字 Char"/>
    <w:link w:val="244"/>
    <w:qFormat/>
    <w:locked/>
    <w:uiPriority w:val="0"/>
    <w:rPr>
      <w:rFonts w:ascii="Calibri" w:hAnsi="Calibri" w:eastAsia="宋体" w:cs="Calibri"/>
      <w:sz w:val="18"/>
      <w:szCs w:val="18"/>
      <w:lang w:val="en-US" w:eastAsia="en-US" w:bidi="ar-SA"/>
    </w:rPr>
  </w:style>
  <w:style w:type="paragraph" w:customStyle="1" w:styleId="244">
    <w:name w:val="hou表格文字"/>
    <w:basedOn w:val="1"/>
    <w:link w:val="243"/>
    <w:qFormat/>
    <w:uiPriority w:val="0"/>
    <w:pPr>
      <w:spacing w:beforeLines="20" w:afterLines="20" w:line="360" w:lineRule="auto"/>
      <w:ind w:firstLine="200" w:firstLineChars="200"/>
      <w:jc w:val="left"/>
    </w:pPr>
    <w:rPr>
      <w:rFonts w:ascii="Calibri" w:hAnsi="Calibri" w:cs="Calibri"/>
      <w:kern w:val="0"/>
      <w:sz w:val="18"/>
      <w:szCs w:val="18"/>
      <w:lang w:eastAsia="en-US"/>
    </w:rPr>
  </w:style>
  <w:style w:type="character" w:customStyle="1" w:styleId="245">
    <w:name w:val="批注文字 Char1"/>
    <w:qFormat/>
    <w:locked/>
    <w:uiPriority w:val="0"/>
    <w:rPr>
      <w:rFonts w:eastAsia="宋体"/>
      <w:kern w:val="2"/>
      <w:sz w:val="24"/>
      <w:lang w:val="en-US" w:eastAsia="zh-CN"/>
    </w:rPr>
  </w:style>
  <w:style w:type="character" w:customStyle="1" w:styleId="246">
    <w:name w:val="Char Char16"/>
    <w:qFormat/>
    <w:uiPriority w:val="0"/>
    <w:rPr>
      <w:rFonts w:ascii="宋体" w:hAnsi="Times New Roman" w:eastAsia="宋体"/>
      <w:b/>
      <w:sz w:val="24"/>
      <w:lang w:val="en-US" w:eastAsia="zh-CN" w:bidi="ar-SA"/>
    </w:rPr>
  </w:style>
  <w:style w:type="character" w:customStyle="1" w:styleId="247">
    <w:name w:val="不明显参考1"/>
    <w:qFormat/>
    <w:uiPriority w:val="0"/>
    <w:rPr>
      <w:smallCaps/>
      <w:color w:val="auto"/>
      <w:u w:val="single"/>
    </w:rPr>
  </w:style>
  <w:style w:type="character" w:customStyle="1" w:styleId="248">
    <w:name w:val="样式 正文缩进表正文正文非缩进正文对齐标题4Alt+Xmr正文缩进特点Normal Indent正文缩进Wil...3 Char"/>
    <w:link w:val="249"/>
    <w:qFormat/>
    <w:locked/>
    <w:uiPriority w:val="0"/>
    <w:rPr>
      <w:rFonts w:ascii="宋体" w:hAnsi="宋体" w:eastAsia="宋体" w:cs="宋体"/>
      <w:kern w:val="2"/>
      <w:sz w:val="24"/>
      <w:szCs w:val="24"/>
      <w:lang w:val="en-US" w:eastAsia="zh-CN" w:bidi="ar-SA"/>
    </w:rPr>
  </w:style>
  <w:style w:type="paragraph" w:customStyle="1" w:styleId="249">
    <w:name w:val="样式 正文缩进表正文正文非缩进正文对齐标题4Alt+Xmr正文缩进特点Normal Indent正文缩进Wil...3"/>
    <w:basedOn w:val="14"/>
    <w:link w:val="248"/>
    <w:qFormat/>
    <w:uiPriority w:val="0"/>
    <w:pPr>
      <w:widowControl w:val="0"/>
      <w:spacing w:beforeLines="30" w:line="360" w:lineRule="auto"/>
      <w:ind w:firstLine="510" w:firstLineChars="200"/>
    </w:pPr>
    <w:rPr>
      <w:rFonts w:ascii="宋体" w:hAnsi="宋体" w:cs="宋体"/>
      <w:kern w:val="2"/>
      <w:sz w:val="24"/>
      <w:szCs w:val="24"/>
    </w:rPr>
  </w:style>
  <w:style w:type="character" w:customStyle="1" w:styleId="250">
    <w:name w:val="Char Char151"/>
    <w:qFormat/>
    <w:uiPriority w:val="0"/>
    <w:rPr>
      <w:b/>
      <w:sz w:val="24"/>
    </w:rPr>
  </w:style>
  <w:style w:type="character" w:customStyle="1" w:styleId="251">
    <w:name w:val="l-btn-text"/>
    <w:qFormat/>
    <w:uiPriority w:val="0"/>
    <w:rPr>
      <w:sz w:val="18"/>
      <w:szCs w:val="18"/>
      <w:vertAlign w:val="baseline"/>
    </w:rPr>
  </w:style>
  <w:style w:type="character" w:customStyle="1" w:styleId="252">
    <w:name w:val="文档正文 Char1"/>
    <w:link w:val="253"/>
    <w:qFormat/>
    <w:locked/>
    <w:uiPriority w:val="0"/>
    <w:rPr>
      <w:rFonts w:ascii="长城仿宋" w:hAnsi="长城仿宋" w:eastAsia="长城仿宋" w:cs="Tahoma"/>
      <w:b/>
      <w:w w:val="80"/>
      <w:kern w:val="1"/>
      <w:sz w:val="28"/>
      <w:lang w:val="en-US" w:bidi="ar-SA"/>
    </w:rPr>
  </w:style>
  <w:style w:type="paragraph" w:customStyle="1" w:styleId="253">
    <w:name w:val="文档正文"/>
    <w:basedOn w:val="1"/>
    <w:link w:val="252"/>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character" w:customStyle="1" w:styleId="254">
    <w:name w:val="批注框文本 Char"/>
    <w:qFormat/>
    <w:uiPriority w:val="99"/>
    <w:rPr>
      <w:kern w:val="2"/>
      <w:sz w:val="18"/>
      <w:szCs w:val="18"/>
    </w:rPr>
  </w:style>
  <w:style w:type="character" w:customStyle="1" w:styleId="255">
    <w:name w:val="z-窗体底端 Char"/>
    <w:link w:val="256"/>
    <w:qFormat/>
    <w:locked/>
    <w:uiPriority w:val="0"/>
    <w:rPr>
      <w:rFonts w:ascii="Arial" w:hAnsi="Arial" w:eastAsia="宋体" w:cs="Arial"/>
      <w:vanish/>
      <w:sz w:val="16"/>
      <w:szCs w:val="16"/>
      <w:lang w:val="en-US" w:eastAsia="zh-CN" w:bidi="ar-SA"/>
    </w:rPr>
  </w:style>
  <w:style w:type="paragraph" w:customStyle="1" w:styleId="256">
    <w:name w:val="z-窗体底端1"/>
    <w:basedOn w:val="1"/>
    <w:next w:val="1"/>
    <w:link w:val="255"/>
    <w:qFormat/>
    <w:uiPriority w:val="0"/>
    <w:pPr>
      <w:widowControl/>
      <w:pBdr>
        <w:top w:val="single" w:color="auto" w:sz="6" w:space="1"/>
      </w:pBdr>
      <w:jc w:val="center"/>
    </w:pPr>
    <w:rPr>
      <w:rFonts w:ascii="Arial" w:hAnsi="Arial" w:cs="Arial"/>
      <w:vanish/>
      <w:kern w:val="0"/>
      <w:sz w:val="16"/>
      <w:szCs w:val="16"/>
    </w:rPr>
  </w:style>
  <w:style w:type="character" w:customStyle="1" w:styleId="257">
    <w:name w:val="标题 9 Char"/>
    <w:qFormat/>
    <w:uiPriority w:val="0"/>
    <w:rPr>
      <w:rFonts w:ascii="Arial" w:hAnsi="Arial" w:eastAsia="黑体"/>
      <w:sz w:val="21"/>
      <w:szCs w:val="21"/>
    </w:rPr>
  </w:style>
  <w:style w:type="character" w:customStyle="1" w:styleId="258">
    <w:name w:val="标题 7 Char"/>
    <w:qFormat/>
    <w:uiPriority w:val="0"/>
    <w:rPr>
      <w:b/>
      <w:bCs/>
      <w:sz w:val="24"/>
      <w:szCs w:val="24"/>
    </w:rPr>
  </w:style>
  <w:style w:type="character" w:customStyle="1" w:styleId="259">
    <w:name w:val="正文文本缩进 3 Char1"/>
    <w:qFormat/>
    <w:locked/>
    <w:uiPriority w:val="0"/>
    <w:rPr>
      <w:rFonts w:eastAsia="宋体"/>
      <w:kern w:val="2"/>
      <w:sz w:val="16"/>
      <w:lang w:val="en-US" w:eastAsia="zh-CN"/>
    </w:rPr>
  </w:style>
  <w:style w:type="character" w:customStyle="1" w:styleId="260">
    <w:name w:val="页眉 Char1"/>
    <w:qFormat/>
    <w:locked/>
    <w:uiPriority w:val="0"/>
    <w:rPr>
      <w:rFonts w:eastAsia="宋体"/>
      <w:kern w:val="2"/>
      <w:sz w:val="18"/>
      <w:lang w:val="en-US" w:eastAsia="zh-CN"/>
    </w:rPr>
  </w:style>
  <w:style w:type="character" w:customStyle="1" w:styleId="261">
    <w:name w:val="正文李杰 Char"/>
    <w:link w:val="262"/>
    <w:qFormat/>
    <w:uiPriority w:val="0"/>
    <w:rPr>
      <w:rFonts w:ascii="宋体" w:hAnsi="宋体" w:eastAsia="宋体"/>
      <w:kern w:val="2"/>
      <w:sz w:val="24"/>
      <w:szCs w:val="21"/>
      <w:lang w:bidi="ar-SA"/>
    </w:rPr>
  </w:style>
  <w:style w:type="paragraph" w:customStyle="1" w:styleId="262">
    <w:name w:val="正文李杰"/>
    <w:basedOn w:val="31"/>
    <w:link w:val="261"/>
    <w:qFormat/>
    <w:uiPriority w:val="0"/>
    <w:pPr>
      <w:spacing w:after="0" w:line="360" w:lineRule="auto"/>
      <w:ind w:left="0" w:leftChars="0" w:firstLine="200" w:firstLineChars="200"/>
    </w:pPr>
    <w:rPr>
      <w:rFonts w:ascii="宋体" w:hAnsi="宋体"/>
      <w:sz w:val="24"/>
      <w:szCs w:val="21"/>
    </w:rPr>
  </w:style>
  <w:style w:type="character" w:customStyle="1" w:styleId="263">
    <w:name w:val="正文文字首行缩进 Char"/>
    <w:qFormat/>
    <w:uiPriority w:val="0"/>
    <w:rPr>
      <w:rFonts w:eastAsia="宋体"/>
      <w:kern w:val="2"/>
      <w:sz w:val="21"/>
      <w:szCs w:val="24"/>
      <w:lang w:val="en-US" w:eastAsia="zh-CN" w:bidi="ar-SA"/>
    </w:rPr>
  </w:style>
  <w:style w:type="character" w:customStyle="1" w:styleId="264">
    <w:name w:val="description"/>
    <w:qFormat/>
    <w:uiPriority w:val="0"/>
  </w:style>
  <w:style w:type="character" w:customStyle="1" w:styleId="265">
    <w:name w:val="列出段落 Char"/>
    <w:link w:val="67"/>
    <w:qFormat/>
    <w:uiPriority w:val="34"/>
    <w:rPr>
      <w:rFonts w:ascii="Calibri" w:hAnsi="Calibri" w:cs="黑体"/>
      <w:kern w:val="2"/>
      <w:sz w:val="21"/>
      <w:szCs w:val="22"/>
    </w:rPr>
  </w:style>
  <w:style w:type="character" w:customStyle="1" w:styleId="266">
    <w:name w:val="表编号 Char"/>
    <w:link w:val="267"/>
    <w:qFormat/>
    <w:locked/>
    <w:uiPriority w:val="0"/>
    <w:rPr>
      <w:kern w:val="2"/>
      <w:sz w:val="21"/>
      <w:szCs w:val="21"/>
    </w:rPr>
  </w:style>
  <w:style w:type="paragraph" w:customStyle="1" w:styleId="267">
    <w:name w:val="表编号"/>
    <w:basedOn w:val="1"/>
    <w:link w:val="266"/>
    <w:qFormat/>
    <w:uiPriority w:val="0"/>
    <w:pPr>
      <w:numPr>
        <w:ilvl w:val="7"/>
        <w:numId w:val="3"/>
      </w:numPr>
      <w:tabs>
        <w:tab w:val="left" w:pos="780"/>
        <w:tab w:val="left" w:pos="4755"/>
      </w:tabs>
      <w:spacing w:line="360" w:lineRule="auto"/>
      <w:ind w:left="0" w:firstLine="0"/>
      <w:jc w:val="center"/>
    </w:pPr>
    <w:rPr>
      <w:szCs w:val="21"/>
    </w:rPr>
  </w:style>
  <w:style w:type="character" w:customStyle="1" w:styleId="268">
    <w:name w:val="H2 Char"/>
    <w:qFormat/>
    <w:uiPriority w:val="0"/>
    <w:rPr>
      <w:rFonts w:ascii="Arial" w:hAnsi="Arial" w:eastAsia="黑体"/>
      <w:b/>
      <w:bCs/>
      <w:kern w:val="2"/>
      <w:sz w:val="32"/>
      <w:szCs w:val="32"/>
    </w:rPr>
  </w:style>
  <w:style w:type="character" w:customStyle="1" w:styleId="269">
    <w:name w:val="Char Char18"/>
    <w:qFormat/>
    <w:uiPriority w:val="0"/>
    <w:rPr>
      <w:rFonts w:eastAsia="黑体"/>
      <w:kern w:val="2"/>
      <w:sz w:val="36"/>
      <w:lang w:val="en-US" w:eastAsia="zh-CN"/>
    </w:rPr>
  </w:style>
  <w:style w:type="character" w:customStyle="1" w:styleId="270">
    <w:name w:val="日期 字符"/>
    <w:qFormat/>
    <w:uiPriority w:val="0"/>
    <w:rPr>
      <w:rFonts w:eastAsia="宋体"/>
      <w:kern w:val="2"/>
      <w:sz w:val="24"/>
      <w:lang w:val="en-US" w:eastAsia="zh-CN" w:bidi="ar-SA"/>
    </w:rPr>
  </w:style>
  <w:style w:type="character" w:customStyle="1" w:styleId="271">
    <w:name w:val="l-btn-left1"/>
    <w:qFormat/>
    <w:uiPriority w:val="0"/>
  </w:style>
  <w:style w:type="character" w:customStyle="1" w:styleId="272">
    <w:name w:val="小标题3 Char"/>
    <w:link w:val="273"/>
    <w:qFormat/>
    <w:uiPriority w:val="0"/>
    <w:rPr>
      <w:rFonts w:ascii="宋体" w:hAnsi="宋体" w:eastAsia="宋体"/>
      <w:color w:val="000000"/>
      <w:kern w:val="2"/>
      <w:sz w:val="24"/>
      <w:szCs w:val="24"/>
      <w:lang w:bidi="ar-SA"/>
    </w:rPr>
  </w:style>
  <w:style w:type="paragraph" w:customStyle="1" w:styleId="273">
    <w:name w:val="小标题3"/>
    <w:basedOn w:val="1"/>
    <w:link w:val="272"/>
    <w:qFormat/>
    <w:uiPriority w:val="0"/>
    <w:pPr>
      <w:spacing w:before="156" w:after="62" w:line="360" w:lineRule="auto"/>
      <w:ind w:left="1163" w:hanging="420"/>
    </w:pPr>
    <w:rPr>
      <w:rFonts w:ascii="宋体" w:hAnsi="宋体"/>
      <w:color w:val="000000"/>
      <w:sz w:val="24"/>
    </w:rPr>
  </w:style>
  <w:style w:type="character" w:customStyle="1" w:styleId="274">
    <w:name w:val="PIM 6 Char"/>
    <w:qFormat/>
    <w:uiPriority w:val="0"/>
    <w:rPr>
      <w:rFonts w:ascii="Arial" w:hAnsi="Arial" w:eastAsia="黑体"/>
      <w:b/>
      <w:bCs/>
      <w:kern w:val="2"/>
      <w:sz w:val="24"/>
      <w:szCs w:val="24"/>
    </w:rPr>
  </w:style>
  <w:style w:type="character" w:customStyle="1" w:styleId="275">
    <w:name w:val="标题 4 字符"/>
    <w:qFormat/>
    <w:uiPriority w:val="0"/>
    <w:rPr>
      <w:rFonts w:ascii="Arial" w:hAnsi="Arial" w:eastAsia="黑体"/>
      <w:b/>
      <w:bCs/>
      <w:kern w:val="2"/>
      <w:sz w:val="28"/>
      <w:szCs w:val="28"/>
      <w:lang w:val="en-US" w:eastAsia="zh-CN" w:bidi="ar-SA"/>
    </w:rPr>
  </w:style>
  <w:style w:type="character" w:customStyle="1" w:styleId="276">
    <w:name w:val="Footer-Even Char Char"/>
    <w:qFormat/>
    <w:uiPriority w:val="0"/>
    <w:rPr>
      <w:rFonts w:eastAsia="宋体"/>
      <w:kern w:val="2"/>
      <w:sz w:val="18"/>
      <w:szCs w:val="18"/>
      <w:lang w:val="en-US" w:eastAsia="zh-CN" w:bidi="ar-SA"/>
    </w:rPr>
  </w:style>
  <w:style w:type="character" w:customStyle="1" w:styleId="277">
    <w:name w:val="Char Char161"/>
    <w:qFormat/>
    <w:uiPriority w:val="0"/>
    <w:rPr>
      <w:rFonts w:ascii="宋体" w:hAnsi="Times New Roman" w:eastAsia="宋体"/>
      <w:b/>
      <w:sz w:val="24"/>
      <w:lang w:val="en-US" w:eastAsia="zh-CN"/>
    </w:rPr>
  </w:style>
  <w:style w:type="character" w:customStyle="1" w:styleId="278">
    <w:name w:val="h1 Char"/>
    <w:qFormat/>
    <w:uiPriority w:val="0"/>
    <w:rPr>
      <w:rFonts w:ascii="Times New Roman" w:hAnsi="Times New Roman"/>
      <w:b/>
      <w:bCs/>
      <w:kern w:val="44"/>
      <w:sz w:val="36"/>
      <w:szCs w:val="44"/>
    </w:rPr>
  </w:style>
  <w:style w:type="character" w:customStyle="1" w:styleId="279">
    <w:name w:val="日期 Char1"/>
    <w:qFormat/>
    <w:locked/>
    <w:uiPriority w:val="0"/>
    <w:rPr>
      <w:rFonts w:eastAsia="宋体"/>
      <w:kern w:val="2"/>
      <w:sz w:val="24"/>
      <w:lang w:val="en-US" w:eastAsia="zh-CN"/>
    </w:rPr>
  </w:style>
  <w:style w:type="character" w:customStyle="1" w:styleId="280">
    <w:name w:val="bds_more8"/>
    <w:qFormat/>
    <w:uiPriority w:val="0"/>
    <w:rPr>
      <w:rFonts w:ascii="Times New Roman" w:hAnsi="Times New Roman" w:eastAsia="宋体"/>
    </w:rPr>
  </w:style>
  <w:style w:type="character" w:customStyle="1" w:styleId="281">
    <w:name w:val="日期 Char"/>
    <w:qFormat/>
    <w:uiPriority w:val="0"/>
    <w:rPr>
      <w:kern w:val="2"/>
      <w:sz w:val="21"/>
      <w:szCs w:val="24"/>
    </w:rPr>
  </w:style>
  <w:style w:type="character" w:customStyle="1" w:styleId="282">
    <w:name w:val="sort1"/>
    <w:qFormat/>
    <w:uiPriority w:val="0"/>
    <w:rPr>
      <w:rFonts w:ascii="Times New Roman" w:hAnsi="Times New Roman" w:eastAsia="宋体"/>
    </w:rPr>
  </w:style>
  <w:style w:type="character" w:customStyle="1" w:styleId="283">
    <w:name w:val="纯文本 字符"/>
    <w:qFormat/>
    <w:locked/>
    <w:uiPriority w:val="0"/>
    <w:rPr>
      <w:rFonts w:ascii="宋体" w:hAnsi="Courier New" w:eastAsia="宋体" w:cs="Courier New"/>
      <w:kern w:val="2"/>
      <w:sz w:val="21"/>
      <w:szCs w:val="21"/>
      <w:lang w:val="en-US" w:eastAsia="zh-CN" w:bidi="ar-SA"/>
    </w:rPr>
  </w:style>
  <w:style w:type="character" w:customStyle="1" w:styleId="284">
    <w:name w:val="纯文本 Char2"/>
    <w:qFormat/>
    <w:uiPriority w:val="0"/>
    <w:rPr>
      <w:rFonts w:ascii="宋体" w:hAnsi="Courier New" w:eastAsia="宋体"/>
      <w:kern w:val="2"/>
      <w:sz w:val="21"/>
      <w:szCs w:val="21"/>
      <w:lang w:val="en-US" w:eastAsia="zh-CN" w:bidi="ar-SA"/>
    </w:rPr>
  </w:style>
  <w:style w:type="character" w:customStyle="1" w:styleId="285">
    <w:name w:val="标题 7 Char1"/>
    <w:qFormat/>
    <w:locked/>
    <w:uiPriority w:val="0"/>
    <w:rPr>
      <w:b/>
      <w:sz w:val="24"/>
    </w:rPr>
  </w:style>
  <w:style w:type="character" w:customStyle="1" w:styleId="286">
    <w:name w:val="l-btn-left3"/>
    <w:qFormat/>
    <w:uiPriority w:val="0"/>
  </w:style>
  <w:style w:type="character" w:customStyle="1" w:styleId="287">
    <w:name w:val="Font Style133"/>
    <w:unhideWhenUsed/>
    <w:qFormat/>
    <w:uiPriority w:val="0"/>
    <w:rPr>
      <w:rFonts w:hint="eastAsia" w:ascii="宋体" w:hAnsi="宋体" w:eastAsia="宋体"/>
      <w:spacing w:val="30"/>
      <w:sz w:val="24"/>
    </w:rPr>
  </w:style>
  <w:style w:type="character" w:customStyle="1" w:styleId="288">
    <w:name w:val="bds_more7"/>
    <w:qFormat/>
    <w:uiPriority w:val="0"/>
    <w:rPr>
      <w:rFonts w:ascii="Times New Roman" w:hAnsi="Times New Roman" w:eastAsia="宋体"/>
    </w:rPr>
  </w:style>
  <w:style w:type="character" w:customStyle="1" w:styleId="289">
    <w:name w:val="sort"/>
    <w:qFormat/>
    <w:uiPriority w:val="0"/>
    <w:rPr>
      <w:rFonts w:ascii="Times New Roman" w:hAnsi="Times New Roman" w:eastAsia="宋体"/>
      <w:color w:val="FFFFFF"/>
      <w:bdr w:val="single" w:color="auto" w:sz="24" w:space="0"/>
    </w:rPr>
  </w:style>
  <w:style w:type="character" w:customStyle="1" w:styleId="290">
    <w:name w:val="标题 8 Char1"/>
    <w:qFormat/>
    <w:locked/>
    <w:uiPriority w:val="0"/>
    <w:rPr>
      <w:rFonts w:ascii="Arial" w:hAnsi="Arial" w:eastAsia="黑体"/>
      <w:sz w:val="24"/>
      <w:lang w:val="en-US" w:eastAsia="zh-CN"/>
    </w:rPr>
  </w:style>
  <w:style w:type="character" w:customStyle="1" w:styleId="291">
    <w:name w:val="标题 1 Char1"/>
    <w:qFormat/>
    <w:locked/>
    <w:uiPriority w:val="0"/>
    <w:rPr>
      <w:b/>
      <w:kern w:val="2"/>
      <w:sz w:val="30"/>
    </w:rPr>
  </w:style>
  <w:style w:type="character" w:customStyle="1" w:styleId="292">
    <w:name w:val="l-btn-left"/>
    <w:qFormat/>
    <w:uiPriority w:val="0"/>
  </w:style>
  <w:style w:type="character" w:customStyle="1" w:styleId="293">
    <w:name w:val="Heading 1 Char"/>
    <w:qFormat/>
    <w:locked/>
    <w:uiPriority w:val="0"/>
    <w:rPr>
      <w:b/>
      <w:kern w:val="44"/>
      <w:sz w:val="44"/>
    </w:rPr>
  </w:style>
  <w:style w:type="character" w:customStyle="1" w:styleId="294">
    <w:name w:val="Font Style86"/>
    <w:unhideWhenUsed/>
    <w:qFormat/>
    <w:uiPriority w:val="0"/>
    <w:rPr>
      <w:rFonts w:hint="eastAsia" w:ascii="黑体" w:hAnsi="黑体" w:eastAsia="黑体"/>
      <w:spacing w:val="10"/>
      <w:sz w:val="30"/>
    </w:rPr>
  </w:style>
  <w:style w:type="character" w:customStyle="1" w:styleId="295">
    <w:name w:val="标题 5 Char1"/>
    <w:qFormat/>
    <w:locked/>
    <w:uiPriority w:val="0"/>
    <w:rPr>
      <w:b/>
      <w:sz w:val="28"/>
    </w:rPr>
  </w:style>
  <w:style w:type="character" w:customStyle="1" w:styleId="296">
    <w:name w:val="Body Text Indent Char"/>
    <w:semiHidden/>
    <w:qFormat/>
    <w:locked/>
    <w:uiPriority w:val="0"/>
    <w:rPr>
      <w:rFonts w:ascii="Calibri" w:hAnsi="Calibri" w:eastAsia="宋体"/>
      <w:kern w:val="2"/>
      <w:sz w:val="22"/>
    </w:rPr>
  </w:style>
  <w:style w:type="character" w:customStyle="1" w:styleId="297">
    <w:name w:val="Font Style127"/>
    <w:unhideWhenUsed/>
    <w:qFormat/>
    <w:uiPriority w:val="0"/>
    <w:rPr>
      <w:rFonts w:hint="eastAsia" w:ascii="Times New Roman" w:hAnsi="Times New Roman" w:eastAsia="Times New Roman"/>
      <w:sz w:val="20"/>
    </w:rPr>
  </w:style>
  <w:style w:type="character" w:customStyle="1" w:styleId="298">
    <w:name w:val="Font Style94"/>
    <w:unhideWhenUsed/>
    <w:qFormat/>
    <w:uiPriority w:val="0"/>
    <w:rPr>
      <w:rFonts w:hint="eastAsia" w:ascii="Times New Roman" w:hAnsi="Times New Roman" w:eastAsia="Times New Roman"/>
      <w:sz w:val="28"/>
    </w:rPr>
  </w:style>
  <w:style w:type="character" w:customStyle="1" w:styleId="299">
    <w:name w:val="p0 Char Char"/>
    <w:qFormat/>
    <w:uiPriority w:val="0"/>
    <w:rPr>
      <w:rFonts w:eastAsia="宋体"/>
      <w:kern w:val="2"/>
      <w:sz w:val="21"/>
      <w:szCs w:val="21"/>
      <w:lang w:val="en-US" w:eastAsia="zh-CN" w:bidi="ar-SA"/>
    </w:rPr>
  </w:style>
  <w:style w:type="character" w:customStyle="1" w:styleId="300">
    <w:name w:val="表正文 Char3"/>
    <w:qFormat/>
    <w:uiPriority w:val="0"/>
    <w:rPr>
      <w:rFonts w:eastAsia="宋体"/>
      <w:kern w:val="2"/>
      <w:sz w:val="21"/>
      <w:szCs w:val="24"/>
      <w:lang w:val="en-US" w:eastAsia="zh-CN" w:bidi="ar-SA"/>
    </w:rPr>
  </w:style>
  <w:style w:type="character" w:customStyle="1" w:styleId="301">
    <w:name w:val="Body1! Char"/>
    <w:link w:val="302"/>
    <w:qFormat/>
    <w:locked/>
    <w:uiPriority w:val="0"/>
    <w:rPr>
      <w:rFonts w:ascii="Arial" w:hAnsi="Arial" w:eastAsia="宋体" w:cs="Arial"/>
      <w:sz w:val="21"/>
      <w:szCs w:val="21"/>
      <w:lang w:val="en-US" w:eastAsia="zh-CN" w:bidi="ar-SA"/>
    </w:rPr>
  </w:style>
  <w:style w:type="paragraph" w:customStyle="1" w:styleId="302">
    <w:name w:val="Body1!"/>
    <w:basedOn w:val="1"/>
    <w:link w:val="301"/>
    <w:qFormat/>
    <w:uiPriority w:val="0"/>
    <w:pPr>
      <w:widowControl/>
      <w:tabs>
        <w:tab w:val="left" w:pos="1247"/>
      </w:tabs>
      <w:spacing w:before="120" w:line="288" w:lineRule="auto"/>
      <w:ind w:left="1247" w:firstLine="200" w:firstLineChars="200"/>
    </w:pPr>
    <w:rPr>
      <w:rFonts w:ascii="Arial" w:hAnsi="Arial" w:cs="Arial"/>
      <w:kern w:val="0"/>
      <w:szCs w:val="21"/>
    </w:rPr>
  </w:style>
  <w:style w:type="character" w:customStyle="1" w:styleId="303">
    <w:name w:val="l-btn-left5"/>
    <w:qFormat/>
    <w:uiPriority w:val="0"/>
  </w:style>
  <w:style w:type="character" w:customStyle="1" w:styleId="304">
    <w:name w:val="Char Char21"/>
    <w:qFormat/>
    <w:uiPriority w:val="0"/>
    <w:rPr>
      <w:rFonts w:ascii="Arial" w:hAnsi="Arial" w:eastAsia="黑体"/>
      <w:b/>
      <w:kern w:val="2"/>
      <w:sz w:val="32"/>
      <w:lang w:val="en-US" w:eastAsia="zh-CN"/>
    </w:rPr>
  </w:style>
  <w:style w:type="character" w:customStyle="1" w:styleId="305">
    <w:name w:val="标题 6 Char"/>
    <w:qFormat/>
    <w:uiPriority w:val="0"/>
    <w:rPr>
      <w:rFonts w:ascii="Arial" w:hAnsi="Arial" w:eastAsia="黑体"/>
      <w:b/>
      <w:bCs/>
      <w:sz w:val="24"/>
      <w:szCs w:val="24"/>
    </w:rPr>
  </w:style>
  <w:style w:type="character" w:customStyle="1" w:styleId="306">
    <w:name w:val="Char Char171"/>
    <w:qFormat/>
    <w:uiPriority w:val="0"/>
    <w:rPr>
      <w:rFonts w:ascii="宋体" w:hAnsi="Times New Roman" w:eastAsia="宋体"/>
      <w:b/>
      <w:sz w:val="28"/>
      <w:lang w:val="en-US" w:eastAsia="zh-CN"/>
    </w:rPr>
  </w:style>
  <w:style w:type="character" w:customStyle="1" w:styleId="307">
    <w:name w:val="标题 1 Char"/>
    <w:qFormat/>
    <w:uiPriority w:val="9"/>
    <w:rPr>
      <w:rFonts w:ascii="Cambria" w:hAnsi="Cambria"/>
      <w:b/>
      <w:bCs/>
      <w:kern w:val="32"/>
      <w:sz w:val="32"/>
      <w:szCs w:val="32"/>
    </w:rPr>
  </w:style>
  <w:style w:type="character" w:customStyle="1" w:styleId="308">
    <w:name w:val="polysemyexp"/>
    <w:qFormat/>
    <w:uiPriority w:val="0"/>
    <w:rPr>
      <w:rFonts w:ascii="Times New Roman" w:hAnsi="Times New Roman" w:eastAsia="宋体"/>
      <w:color w:val="AAAAAA"/>
      <w:sz w:val="18"/>
      <w:szCs w:val="18"/>
    </w:rPr>
  </w:style>
  <w:style w:type="character" w:customStyle="1" w:styleId="309">
    <w:name w:val="正文文本缩进 Char"/>
    <w:qFormat/>
    <w:locked/>
    <w:uiPriority w:val="0"/>
    <w:rPr>
      <w:rFonts w:eastAsia="宋体"/>
      <w:kern w:val="2"/>
      <w:sz w:val="24"/>
      <w:lang w:val="en-US" w:eastAsia="zh-CN"/>
    </w:rPr>
  </w:style>
  <w:style w:type="character" w:customStyle="1" w:styleId="310">
    <w:name w:val="Footer Char"/>
    <w:qFormat/>
    <w:locked/>
    <w:uiPriority w:val="0"/>
    <w:rPr>
      <w:sz w:val="18"/>
    </w:rPr>
  </w:style>
  <w:style w:type="character" w:customStyle="1" w:styleId="311">
    <w:name w:val="text"/>
    <w:qFormat/>
    <w:uiPriority w:val="0"/>
  </w:style>
  <w:style w:type="character" w:customStyle="1" w:styleId="312">
    <w:name w:val="H4 Char"/>
    <w:qFormat/>
    <w:uiPriority w:val="0"/>
    <w:rPr>
      <w:rFonts w:ascii="Arial" w:hAnsi="Arial" w:eastAsia="黑体"/>
      <w:b/>
      <w:bCs/>
      <w:kern w:val="2"/>
      <w:sz w:val="28"/>
      <w:szCs w:val="28"/>
    </w:rPr>
  </w:style>
  <w:style w:type="character" w:customStyle="1" w:styleId="313">
    <w:name w:val="样式2 Char Char1"/>
    <w:qFormat/>
    <w:uiPriority w:val="0"/>
    <w:rPr>
      <w:rFonts w:eastAsia="宋体"/>
      <w:kern w:val="2"/>
      <w:sz w:val="18"/>
      <w:szCs w:val="18"/>
      <w:lang w:val="en-US" w:eastAsia="zh-CN" w:bidi="ar-SA"/>
    </w:rPr>
  </w:style>
  <w:style w:type="character" w:customStyle="1" w:styleId="314">
    <w:name w:val="信息主题 Char"/>
    <w:qFormat/>
    <w:uiPriority w:val="0"/>
    <w:rPr>
      <w:rFonts w:ascii="Palatino Linotype" w:hAnsi="Palatino Linotype" w:eastAsia="楷体_GB2312"/>
      <w:b/>
      <w:sz w:val="21"/>
      <w:szCs w:val="21"/>
    </w:rPr>
  </w:style>
  <w:style w:type="character" w:customStyle="1" w:styleId="315">
    <w:name w:val="标题 4 Char1"/>
    <w:qFormat/>
    <w:locked/>
    <w:uiPriority w:val="0"/>
    <w:rPr>
      <w:rFonts w:ascii="Arial" w:hAnsi="Arial" w:eastAsia="黑体"/>
      <w:b/>
      <w:kern w:val="2"/>
      <w:sz w:val="28"/>
    </w:rPr>
  </w:style>
  <w:style w:type="character" w:customStyle="1" w:styleId="316">
    <w:name w:val="desc"/>
    <w:qFormat/>
    <w:uiPriority w:val="0"/>
    <w:rPr>
      <w:rFonts w:ascii="Times New Roman" w:hAnsi="Times New Roman" w:eastAsia="宋体"/>
      <w:color w:val="000000"/>
      <w:sz w:val="18"/>
      <w:szCs w:val="18"/>
    </w:rPr>
  </w:style>
  <w:style w:type="character" w:customStyle="1" w:styleId="317">
    <w:name w:val="批注主题 Char1"/>
    <w:qFormat/>
    <w:locked/>
    <w:uiPriority w:val="0"/>
    <w:rPr>
      <w:rFonts w:eastAsia="宋体"/>
      <w:b/>
      <w:kern w:val="2"/>
      <w:sz w:val="24"/>
      <w:lang w:val="en-US" w:eastAsia="zh-CN"/>
    </w:rPr>
  </w:style>
  <w:style w:type="character" w:customStyle="1" w:styleId="318">
    <w:name w:val="Date Char"/>
    <w:semiHidden/>
    <w:qFormat/>
    <w:locked/>
    <w:uiPriority w:val="0"/>
  </w:style>
  <w:style w:type="character" w:customStyle="1" w:styleId="319">
    <w:name w:val="小标题1 Char"/>
    <w:link w:val="320"/>
    <w:qFormat/>
    <w:uiPriority w:val="0"/>
    <w:rPr>
      <w:rFonts w:ascii="宋体" w:hAnsi="宋体" w:eastAsia="宋体"/>
      <w:b/>
      <w:bCs/>
      <w:color w:val="3A3A3A"/>
      <w:kern w:val="2"/>
      <w:sz w:val="24"/>
      <w:szCs w:val="21"/>
      <w:lang w:bidi="ar-SA"/>
    </w:rPr>
  </w:style>
  <w:style w:type="paragraph" w:customStyle="1" w:styleId="320">
    <w:name w:val="小标题1"/>
    <w:basedOn w:val="1"/>
    <w:link w:val="319"/>
    <w:qFormat/>
    <w:uiPriority w:val="0"/>
    <w:pPr>
      <w:tabs>
        <w:tab w:val="left" w:pos="883"/>
      </w:tabs>
      <w:spacing w:beforeLines="50" w:afterLines="20"/>
      <w:ind w:left="883" w:hanging="420"/>
    </w:pPr>
    <w:rPr>
      <w:rFonts w:ascii="宋体" w:hAnsi="宋体"/>
      <w:b/>
      <w:bCs/>
      <w:color w:val="3A3A3A"/>
      <w:sz w:val="24"/>
      <w:szCs w:val="21"/>
    </w:rPr>
  </w:style>
  <w:style w:type="character" w:customStyle="1" w:styleId="321">
    <w:name w:val="Font Style126"/>
    <w:unhideWhenUsed/>
    <w:qFormat/>
    <w:uiPriority w:val="0"/>
    <w:rPr>
      <w:rFonts w:hint="eastAsia" w:ascii="宋体" w:hAnsi="宋体" w:eastAsia="宋体"/>
      <w:b/>
      <w:spacing w:val="-30"/>
      <w:sz w:val="28"/>
    </w:rPr>
  </w:style>
  <w:style w:type="character" w:customStyle="1" w:styleId="322">
    <w:name w:val="bds_more6"/>
    <w:qFormat/>
    <w:uiPriority w:val="0"/>
    <w:rPr>
      <w:rFonts w:hint="eastAsia" w:ascii="宋体" w:hAnsi="宋体" w:eastAsia="宋体" w:cs="宋体"/>
    </w:rPr>
  </w:style>
  <w:style w:type="character" w:customStyle="1" w:styleId="323">
    <w:name w:val="Char Char141"/>
    <w:qFormat/>
    <w:uiPriority w:val="0"/>
    <w:rPr>
      <w:rFonts w:ascii="Arial" w:hAnsi="Arial" w:eastAsia="黑体"/>
      <w:b/>
      <w:bCs/>
      <w:sz w:val="28"/>
      <w:szCs w:val="28"/>
      <w:lang w:val="en-US" w:eastAsia="zh-CN" w:bidi="ar-SA"/>
    </w:rPr>
  </w:style>
  <w:style w:type="character" w:customStyle="1" w:styleId="324">
    <w:name w:val="纯文本 Char"/>
    <w:qFormat/>
    <w:uiPriority w:val="0"/>
    <w:rPr>
      <w:rFonts w:ascii="宋体" w:hAnsi="Courier New" w:cs="Courier New"/>
      <w:kern w:val="2"/>
      <w:sz w:val="21"/>
      <w:szCs w:val="21"/>
    </w:rPr>
  </w:style>
  <w:style w:type="character" w:customStyle="1" w:styleId="325">
    <w:name w:val="表正文 Char2"/>
    <w:qFormat/>
    <w:uiPriority w:val="0"/>
    <w:rPr>
      <w:rFonts w:eastAsia="宋体"/>
      <w:kern w:val="2"/>
      <w:sz w:val="24"/>
      <w:lang w:val="en-US" w:eastAsia="zh-CN"/>
    </w:rPr>
  </w:style>
  <w:style w:type="character" w:customStyle="1" w:styleId="326">
    <w:name w:val="H8 Char"/>
    <w:qFormat/>
    <w:uiPriority w:val="0"/>
    <w:rPr>
      <w:rFonts w:ascii="Arial" w:hAnsi="Arial" w:eastAsia="黑体"/>
      <w:kern w:val="2"/>
      <w:sz w:val="24"/>
      <w:szCs w:val="24"/>
    </w:rPr>
  </w:style>
  <w:style w:type="character" w:customStyle="1" w:styleId="327">
    <w:name w:val="标题 9 Char1"/>
    <w:qFormat/>
    <w:locked/>
    <w:uiPriority w:val="0"/>
    <w:rPr>
      <w:rFonts w:ascii="Arial" w:hAnsi="Arial" w:eastAsia="黑体"/>
      <w:sz w:val="21"/>
      <w:lang w:val="en-US" w:eastAsia="zh-CN"/>
    </w:rPr>
  </w:style>
  <w:style w:type="character" w:customStyle="1" w:styleId="328">
    <w:name w:val="默认样式 Char"/>
    <w:link w:val="329"/>
    <w:qFormat/>
    <w:locked/>
    <w:uiPriority w:val="0"/>
    <w:rPr>
      <w:rFonts w:ascii="微软雅黑" w:hAnsi="微软雅黑" w:eastAsia="微软雅黑" w:cs="微软雅黑"/>
      <w:kern w:val="2"/>
      <w:sz w:val="24"/>
      <w:szCs w:val="24"/>
      <w:lang w:val="en-US" w:eastAsia="zh-CN" w:bidi="ar-SA"/>
    </w:rPr>
  </w:style>
  <w:style w:type="paragraph" w:customStyle="1" w:styleId="329">
    <w:name w:val="默认样式"/>
    <w:basedOn w:val="111"/>
    <w:link w:val="328"/>
    <w:qFormat/>
    <w:uiPriority w:val="0"/>
    <w:pPr>
      <w:tabs>
        <w:tab w:val="clear" w:pos="360"/>
      </w:tabs>
      <w:spacing w:line="480" w:lineRule="exact"/>
      <w:ind w:left="0" w:firstLine="567"/>
      <w:jc w:val="left"/>
      <w:textAlignment w:val="auto"/>
    </w:pPr>
    <w:rPr>
      <w:rFonts w:ascii="微软雅黑" w:hAnsi="微软雅黑" w:eastAsia="微软雅黑" w:cs="微软雅黑"/>
      <w:kern w:val="2"/>
      <w:sz w:val="24"/>
      <w:szCs w:val="24"/>
    </w:rPr>
  </w:style>
  <w:style w:type="character" w:customStyle="1" w:styleId="330">
    <w:name w:val="样式2 Char Char"/>
    <w:qFormat/>
    <w:uiPriority w:val="0"/>
    <w:rPr>
      <w:rFonts w:eastAsia="宋体"/>
      <w:kern w:val="2"/>
      <w:sz w:val="18"/>
      <w:szCs w:val="18"/>
      <w:lang w:val="en-US" w:eastAsia="zh-CN" w:bidi="ar-SA"/>
    </w:rPr>
  </w:style>
  <w:style w:type="character" w:customStyle="1" w:styleId="331">
    <w:name w:val="Body Text First Indent 2 Char"/>
    <w:qFormat/>
    <w:locked/>
    <w:uiPriority w:val="0"/>
    <w:rPr>
      <w:sz w:val="24"/>
    </w:rPr>
  </w:style>
  <w:style w:type="character" w:customStyle="1" w:styleId="332">
    <w:name w:val="l-btn-empty"/>
    <w:qFormat/>
    <w:uiPriority w:val="0"/>
  </w:style>
  <w:style w:type="character" w:customStyle="1" w:styleId="333">
    <w:name w:val="带缩进的正文 Char"/>
    <w:link w:val="334"/>
    <w:qFormat/>
    <w:locked/>
    <w:uiPriority w:val="0"/>
    <w:rPr>
      <w:rFonts w:ascii="Calibri" w:hAnsi="Calibri" w:eastAsia="宋体" w:cs="Calibri"/>
      <w:kern w:val="2"/>
      <w:sz w:val="24"/>
      <w:szCs w:val="24"/>
      <w:lang w:val="en-US" w:eastAsia="zh-CN" w:bidi="ar-SA"/>
    </w:rPr>
  </w:style>
  <w:style w:type="paragraph" w:customStyle="1" w:styleId="334">
    <w:name w:val="带缩进的正文"/>
    <w:basedOn w:val="1"/>
    <w:link w:val="333"/>
    <w:qFormat/>
    <w:uiPriority w:val="0"/>
    <w:pPr>
      <w:spacing w:line="360" w:lineRule="auto"/>
      <w:ind w:firstLine="480" w:firstLineChars="200"/>
    </w:pPr>
    <w:rPr>
      <w:rFonts w:ascii="Calibri" w:hAnsi="Calibri" w:cs="Calibri"/>
      <w:sz w:val="24"/>
    </w:rPr>
  </w:style>
  <w:style w:type="character" w:customStyle="1" w:styleId="335">
    <w:name w:val="123 Char"/>
    <w:link w:val="336"/>
    <w:qFormat/>
    <w:uiPriority w:val="0"/>
    <w:rPr>
      <w:rFonts w:ascii="仿宋_GB2312" w:eastAsia="仿宋_GB2312"/>
      <w:kern w:val="2"/>
      <w:sz w:val="30"/>
      <w:szCs w:val="24"/>
      <w:lang w:bidi="ar-SA"/>
    </w:rPr>
  </w:style>
  <w:style w:type="paragraph" w:customStyle="1" w:styleId="336">
    <w:name w:val="123"/>
    <w:basedOn w:val="1"/>
    <w:link w:val="335"/>
    <w:qFormat/>
    <w:uiPriority w:val="0"/>
    <w:pPr>
      <w:spacing w:line="500" w:lineRule="exact"/>
      <w:ind w:firstLine="600" w:firstLineChars="200"/>
    </w:pPr>
    <w:rPr>
      <w:rFonts w:ascii="仿宋_GB2312" w:eastAsia="仿宋_GB2312"/>
      <w:sz w:val="30"/>
    </w:rPr>
  </w:style>
  <w:style w:type="character" w:customStyle="1" w:styleId="337">
    <w:name w:val="批注主题 Char"/>
    <w:qFormat/>
    <w:uiPriority w:val="0"/>
    <w:rPr>
      <w:b/>
      <w:bCs/>
      <w:kern w:val="2"/>
      <w:sz w:val="21"/>
      <w:szCs w:val="24"/>
    </w:rPr>
  </w:style>
  <w:style w:type="character" w:customStyle="1" w:styleId="338">
    <w:name w:val="页脚 Char"/>
    <w:qFormat/>
    <w:uiPriority w:val="99"/>
    <w:rPr>
      <w:kern w:val="2"/>
      <w:sz w:val="18"/>
      <w:szCs w:val="18"/>
    </w:rPr>
  </w:style>
  <w:style w:type="character" w:customStyle="1" w:styleId="339">
    <w:name w:val="访问过的超链接1"/>
    <w:qFormat/>
    <w:uiPriority w:val="0"/>
    <w:rPr>
      <w:color w:val="800080"/>
      <w:u w:val="single"/>
    </w:rPr>
  </w:style>
  <w:style w:type="character" w:customStyle="1" w:styleId="340">
    <w:name w:val="文档正文 Char Char"/>
    <w:qFormat/>
    <w:uiPriority w:val="0"/>
    <w:rPr>
      <w:rFonts w:ascii="宋体"/>
      <w:sz w:val="24"/>
    </w:rPr>
  </w:style>
  <w:style w:type="character" w:customStyle="1" w:styleId="341">
    <w:name w:val="sidecatalog-dot"/>
    <w:qFormat/>
    <w:uiPriority w:val="0"/>
    <w:rPr>
      <w:rFonts w:ascii="Times New Roman" w:hAnsi="Times New Roman" w:eastAsia="宋体"/>
    </w:rPr>
  </w:style>
  <w:style w:type="character" w:customStyle="1" w:styleId="342">
    <w:name w:val="plus"/>
    <w:qFormat/>
    <w:uiPriority w:val="0"/>
    <w:rPr>
      <w:rFonts w:ascii="Times New Roman" w:hAnsi="Times New Roman" w:eastAsia="宋体"/>
      <w:b/>
      <w:vanish/>
      <w:color w:val="1F8DEF"/>
      <w:sz w:val="24"/>
      <w:szCs w:val="24"/>
    </w:rPr>
  </w:style>
  <w:style w:type="character" w:customStyle="1" w:styleId="343">
    <w:name w:val="Body Text First Indent 2 Char1"/>
    <w:semiHidden/>
    <w:qFormat/>
    <w:locked/>
    <w:uiPriority w:val="0"/>
    <w:rPr>
      <w:rFonts w:ascii="Calibri" w:hAnsi="Calibri" w:eastAsia="宋体"/>
      <w:kern w:val="2"/>
      <w:sz w:val="22"/>
    </w:rPr>
  </w:style>
  <w:style w:type="character" w:customStyle="1" w:styleId="344">
    <w:name w:val="段 Char"/>
    <w:link w:val="345"/>
    <w:qFormat/>
    <w:locked/>
    <w:uiPriority w:val="0"/>
    <w:rPr>
      <w:rFonts w:ascii="宋体" w:cs="宋体"/>
      <w:sz w:val="21"/>
      <w:szCs w:val="21"/>
      <w:lang w:val="en-US" w:eastAsia="zh-CN" w:bidi="ar-SA"/>
    </w:rPr>
  </w:style>
  <w:style w:type="paragraph" w:customStyle="1" w:styleId="345">
    <w:name w:val="段"/>
    <w:next w:val="1"/>
    <w:link w:val="344"/>
    <w:qFormat/>
    <w:uiPriority w:val="0"/>
    <w:pPr>
      <w:tabs>
        <w:tab w:val="center" w:pos="4201"/>
        <w:tab w:val="right" w:leader="dot" w:pos="9298"/>
      </w:tabs>
      <w:autoSpaceDE w:val="0"/>
      <w:autoSpaceDN w:val="0"/>
      <w:ind w:firstLine="420" w:firstLineChars="200"/>
      <w:jc w:val="both"/>
    </w:pPr>
    <w:rPr>
      <w:rFonts w:ascii="宋体" w:hAnsi="Times New Roman" w:eastAsia="宋体" w:cs="宋体"/>
      <w:sz w:val="21"/>
      <w:szCs w:val="21"/>
      <w:lang w:val="en-US" w:eastAsia="zh-CN" w:bidi="ar-SA"/>
    </w:rPr>
  </w:style>
  <w:style w:type="character" w:customStyle="1" w:styleId="346">
    <w:name w:val="font21"/>
    <w:basedOn w:val="52"/>
    <w:qFormat/>
    <w:uiPriority w:val="0"/>
    <w:rPr>
      <w:rFonts w:hint="eastAsia" w:ascii="宋体" w:hAnsi="宋体" w:eastAsia="宋体" w:cs="宋体"/>
      <w:color w:val="000000"/>
      <w:sz w:val="21"/>
      <w:szCs w:val="21"/>
      <w:u w:val="none"/>
    </w:rPr>
  </w:style>
  <w:style w:type="paragraph" w:customStyle="1" w:styleId="347">
    <w:name w:val="表格标题"/>
    <w:basedOn w:val="348"/>
    <w:qFormat/>
    <w:uiPriority w:val="0"/>
    <w:pPr>
      <w:jc w:val="center"/>
    </w:pPr>
    <w:rPr>
      <w:b/>
      <w:bCs/>
    </w:rPr>
  </w:style>
  <w:style w:type="paragraph" w:customStyle="1" w:styleId="348">
    <w:name w:val="表格正文"/>
    <w:basedOn w:val="1"/>
    <w:qFormat/>
    <w:uiPriority w:val="0"/>
    <w:pPr>
      <w:spacing w:line="360" w:lineRule="auto"/>
      <w:jc w:val="left"/>
    </w:pPr>
    <w:rPr>
      <w:rFonts w:ascii="仿宋_GB2312" w:hAnsi="Calibri" w:eastAsia="仿宋_GB2312" w:cs="仿宋_GB2312"/>
      <w:color w:val="000000"/>
      <w:sz w:val="28"/>
      <w:szCs w:val="28"/>
    </w:rPr>
  </w:style>
  <w:style w:type="paragraph" w:customStyle="1" w:styleId="349">
    <w:name w:val="封面正文"/>
    <w:qFormat/>
    <w:uiPriority w:val="0"/>
    <w:pPr>
      <w:jc w:val="both"/>
    </w:pPr>
    <w:rPr>
      <w:rFonts w:ascii="Times New Roman" w:hAnsi="Times New Roman" w:eastAsia="宋体" w:cs="Times New Roman"/>
      <w:lang w:val="en-US" w:eastAsia="zh-CN" w:bidi="ar-SA"/>
    </w:rPr>
  </w:style>
  <w:style w:type="paragraph" w:customStyle="1" w:styleId="350">
    <w:name w:val="表标题行"/>
    <w:basedOn w:val="1"/>
    <w:qFormat/>
    <w:uiPriority w:val="0"/>
    <w:pPr>
      <w:spacing w:line="360" w:lineRule="auto"/>
      <w:ind w:firstLine="200" w:firstLineChars="200"/>
      <w:jc w:val="center"/>
    </w:pPr>
    <w:rPr>
      <w:rFonts w:ascii="宋体" w:hAnsi="宋体" w:eastAsia="方正黑体_GBK" w:cs="宋体"/>
      <w:color w:val="000000"/>
      <w:szCs w:val="21"/>
    </w:rPr>
  </w:style>
  <w:style w:type="paragraph" w:customStyle="1" w:styleId="351">
    <w:name w:val="xl167"/>
    <w:basedOn w:val="1"/>
    <w:qFormat/>
    <w:uiPriority w:val="0"/>
    <w:pPr>
      <w:widowControl/>
      <w:pBdr>
        <w:left w:val="single" w:color="auto" w:sz="4" w:space="0"/>
        <w:bottom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52">
    <w:name w:val="Char11"/>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353">
    <w:name w:val="列表（编号二级）（绿盟科技）"/>
    <w:basedOn w:val="1"/>
    <w:qFormat/>
    <w:uiPriority w:val="0"/>
    <w:pPr>
      <w:widowControl/>
      <w:numPr>
        <w:ilvl w:val="1"/>
        <w:numId w:val="4"/>
      </w:numPr>
      <w:spacing w:line="300" w:lineRule="auto"/>
      <w:ind w:firstLine="0"/>
      <w:jc w:val="left"/>
    </w:pPr>
    <w:rPr>
      <w:rFonts w:ascii="Arial" w:hAnsi="Arial" w:cs="Arial"/>
      <w:kern w:val="0"/>
      <w:szCs w:val="21"/>
    </w:rPr>
  </w:style>
  <w:style w:type="paragraph" w:customStyle="1" w:styleId="354">
    <w:name w:val="Char1 Char Char Char"/>
    <w:basedOn w:val="1"/>
    <w:qFormat/>
    <w:uiPriority w:val="0"/>
    <w:pPr>
      <w:widowControl/>
      <w:spacing w:after="160" w:line="240" w:lineRule="exact"/>
      <w:jc w:val="left"/>
    </w:pPr>
    <w:rPr>
      <w:kern w:val="0"/>
      <w:sz w:val="24"/>
    </w:rPr>
  </w:style>
  <w:style w:type="paragraph" w:customStyle="1" w:styleId="355">
    <w:name w:val="NotSortedNumbering2"/>
    <w:basedOn w:val="1"/>
    <w:qFormat/>
    <w:uiPriority w:val="0"/>
    <w:pPr>
      <w:spacing w:before="120" w:line="288" w:lineRule="auto"/>
      <w:ind w:left="2324" w:hanging="623"/>
    </w:pPr>
    <w:rPr>
      <w:rFonts w:ascii="Arial" w:hAnsi="Arial" w:cs="Arial"/>
      <w:kern w:val="44"/>
      <w:szCs w:val="21"/>
    </w:rPr>
  </w:style>
  <w:style w:type="paragraph" w:customStyle="1" w:styleId="356">
    <w:name w:val="列出段落2"/>
    <w:basedOn w:val="1"/>
    <w:qFormat/>
    <w:uiPriority w:val="0"/>
    <w:pPr>
      <w:ind w:firstLine="420" w:firstLineChars="200"/>
    </w:pPr>
    <w:rPr>
      <w:rFonts w:ascii="Calibri" w:hAnsi="Calibri" w:cs="Calibri"/>
      <w:szCs w:val="21"/>
    </w:rPr>
  </w:style>
  <w:style w:type="paragraph" w:customStyle="1" w:styleId="357">
    <w:name w:val="Style47"/>
    <w:basedOn w:val="1"/>
    <w:unhideWhenUsed/>
    <w:qFormat/>
    <w:uiPriority w:val="0"/>
  </w:style>
  <w:style w:type="paragraph" w:customStyle="1" w:styleId="358">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59">
    <w:name w:val="附录二级条标题"/>
    <w:basedOn w:val="1"/>
    <w:next w:val="1"/>
    <w:qFormat/>
    <w:uiPriority w:val="0"/>
    <w:pPr>
      <w:widowControl/>
      <w:wordWrap w:val="0"/>
      <w:overflowPunct w:val="0"/>
      <w:autoSpaceDE w:val="0"/>
      <w:autoSpaceDN w:val="0"/>
      <w:spacing w:line="360" w:lineRule="auto"/>
      <w:ind w:firstLine="200" w:firstLineChars="200"/>
      <w:jc w:val="left"/>
      <w:textAlignment w:val="baseline"/>
      <w:outlineLvl w:val="3"/>
    </w:pPr>
    <w:rPr>
      <w:rFonts w:ascii="宋体" w:hAnsi="宋体" w:cs="宋体"/>
      <w:b/>
      <w:bCs/>
      <w:kern w:val="21"/>
      <w:szCs w:val="21"/>
    </w:rPr>
  </w:style>
  <w:style w:type="paragraph" w:customStyle="1" w:styleId="360">
    <w:name w:val="xl130"/>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361">
    <w:name w:val="xl135"/>
    <w:basedOn w:val="1"/>
    <w:qFormat/>
    <w:uiPriority w:val="0"/>
    <w:pPr>
      <w:widowControl/>
      <w:pBdr>
        <w:top w:val="single" w:color="auto" w:sz="4" w:space="0"/>
        <w:left w:val="single" w:color="auto" w:sz="4" w:space="0"/>
        <w:bottom w:val="single" w:color="auto" w:sz="4" w:space="0"/>
      </w:pBdr>
      <w:shd w:val="clear" w:color="auto" w:fill="00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62">
    <w:name w:val="Style62"/>
    <w:basedOn w:val="1"/>
    <w:unhideWhenUsed/>
    <w:qFormat/>
    <w:uiPriority w:val="0"/>
  </w:style>
  <w:style w:type="paragraph" w:customStyle="1" w:styleId="363">
    <w:name w:val="xl67"/>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64">
    <w:name w:val="xl155"/>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65">
    <w:name w:val="Char Char Char Char Char Char"/>
    <w:basedOn w:val="18"/>
    <w:qFormat/>
    <w:uiPriority w:val="0"/>
    <w:pPr>
      <w:spacing w:line="360" w:lineRule="auto"/>
      <w:ind w:firstLine="200" w:firstLineChars="200"/>
      <w:jc w:val="left"/>
    </w:pPr>
    <w:rPr>
      <w:rFonts w:ascii="Tahoma" w:hAnsi="Tahoma" w:cs="Tahoma"/>
      <w:sz w:val="24"/>
    </w:rPr>
  </w:style>
  <w:style w:type="paragraph" w:customStyle="1" w:styleId="366">
    <w:name w:val="Style56"/>
    <w:basedOn w:val="1"/>
    <w:unhideWhenUsed/>
    <w:qFormat/>
    <w:uiPriority w:val="0"/>
  </w:style>
  <w:style w:type="paragraph" w:customStyle="1" w:styleId="36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68">
    <w:name w:val="xl65"/>
    <w:basedOn w:val="1"/>
    <w:qFormat/>
    <w:uiPriority w:val="0"/>
    <w:pPr>
      <w:widowControl/>
      <w:pBdr>
        <w:top w:val="single" w:color="auto" w:sz="4" w:space="0"/>
        <w:left w:val="single" w:color="auto" w:sz="4" w:space="0"/>
        <w:bottom w:val="single" w:color="auto" w:sz="4" w:space="0"/>
        <w:right w:val="single" w:color="auto" w:sz="4" w:space="0"/>
      </w:pBdr>
      <w:shd w:val="clear" w:color="auto" w:fill="FF00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69">
    <w:name w:val="xl134"/>
    <w:basedOn w:val="1"/>
    <w:qFormat/>
    <w:uiPriority w:val="0"/>
    <w:pPr>
      <w:widowControl/>
      <w:pBdr>
        <w:top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7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71">
    <w:name w:val="xl152"/>
    <w:basedOn w:val="1"/>
    <w:qFormat/>
    <w:uiPriority w:val="0"/>
    <w:pPr>
      <w:widowControl/>
      <w:pBdr>
        <w:top w:val="single" w:color="auto" w:sz="4" w:space="0"/>
        <w:left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72">
    <w:name w:val="light2"/>
    <w:basedOn w:val="1"/>
    <w:qFormat/>
    <w:uiPriority w:val="0"/>
    <w:pPr>
      <w:keepNext/>
      <w:keepLines/>
      <w:numPr>
        <w:ilvl w:val="1"/>
        <w:numId w:val="5"/>
      </w:numPr>
      <w:spacing w:before="480" w:after="240" w:line="360" w:lineRule="auto"/>
      <w:outlineLvl w:val="1"/>
    </w:pPr>
    <w:rPr>
      <w:rFonts w:ascii="宋体" w:hAnsi="宋体"/>
      <w:b/>
      <w:bCs/>
      <w:sz w:val="32"/>
      <w:szCs w:val="32"/>
    </w:rPr>
  </w:style>
  <w:style w:type="paragraph" w:customStyle="1" w:styleId="373">
    <w:name w:val="样式 标题 3 + 黑体 小四 行距: 1.5 倍行距"/>
    <w:basedOn w:val="4"/>
    <w:qFormat/>
    <w:uiPriority w:val="0"/>
    <w:pPr>
      <w:spacing w:line="360" w:lineRule="auto"/>
    </w:pPr>
    <w:rPr>
      <w:rFonts w:ascii="黑体" w:hAnsi="宋体" w:eastAsia="黑体" w:cs="宋体"/>
      <w:kern w:val="0"/>
      <w:sz w:val="28"/>
      <w:szCs w:val="20"/>
    </w:rPr>
  </w:style>
  <w:style w:type="paragraph" w:customStyle="1" w:styleId="374">
    <w:name w:val="Char Char Char Char Char Char1 Char Char Char Char"/>
    <w:basedOn w:val="1"/>
    <w:qFormat/>
    <w:uiPriority w:val="0"/>
    <w:pPr>
      <w:widowControl/>
      <w:spacing w:after="160" w:line="240" w:lineRule="exact"/>
      <w:ind w:firstLine="200" w:firstLineChars="200"/>
      <w:jc w:val="left"/>
    </w:pPr>
    <w:rPr>
      <w:rFonts w:ascii="Verdana" w:hAnsi="Verdana" w:eastAsia="仿宋_GB2312" w:cs="Verdana"/>
      <w:kern w:val="0"/>
      <w:sz w:val="24"/>
      <w:lang w:eastAsia="en-US"/>
    </w:rPr>
  </w:style>
  <w:style w:type="paragraph" w:customStyle="1" w:styleId="375">
    <w:name w:val="Char3 Char Char"/>
    <w:basedOn w:val="1"/>
    <w:qFormat/>
    <w:uiPriority w:val="0"/>
    <w:pPr>
      <w:widowControl/>
      <w:spacing w:after="160" w:line="240" w:lineRule="exact"/>
      <w:ind w:firstLine="200" w:firstLineChars="200"/>
      <w:jc w:val="left"/>
    </w:pPr>
    <w:rPr>
      <w:rFonts w:ascii="Verdana" w:hAnsi="Verdana" w:eastAsia="黑体" w:cs="Verdana"/>
      <w:kern w:val="0"/>
      <w:sz w:val="28"/>
      <w:szCs w:val="28"/>
      <w:lang w:eastAsia="en-US"/>
    </w:rPr>
  </w:style>
  <w:style w:type="paragraph" w:customStyle="1" w:styleId="376">
    <w:name w:val="xl142"/>
    <w:basedOn w:val="1"/>
    <w:qFormat/>
    <w:uiPriority w:val="0"/>
    <w:pPr>
      <w:widowControl/>
      <w:pBdr>
        <w:top w:val="single" w:color="auto" w:sz="4" w:space="0"/>
        <w:left w:val="single" w:color="auto" w:sz="4" w:space="0"/>
        <w:bottom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77">
    <w:name w:val="样式 正文缩进正文（首行缩进两字）±í?y???y?????????????y???y?????????????y???y????????????ÕýÎÄÕýÎÄ¡¡"/>
    <w:basedOn w:val="1"/>
    <w:qFormat/>
    <w:uiPriority w:val="0"/>
    <w:pPr>
      <w:spacing w:line="360" w:lineRule="auto"/>
      <w:ind w:firstLine="358" w:firstLineChars="170"/>
    </w:pPr>
    <w:rPr>
      <w:b/>
      <w:bCs/>
      <w:i/>
      <w:iCs/>
      <w:szCs w:val="21"/>
    </w:rPr>
  </w:style>
  <w:style w:type="paragraph" w:customStyle="1" w:styleId="37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bottom"/>
    </w:pPr>
    <w:rPr>
      <w:rFonts w:ascii="宋体" w:hAnsi="宋体" w:cs="宋体"/>
      <w:kern w:val="0"/>
      <w:sz w:val="20"/>
      <w:szCs w:val="20"/>
    </w:rPr>
  </w:style>
  <w:style w:type="paragraph" w:customStyle="1" w:styleId="379">
    <w:name w:val="Style27"/>
    <w:basedOn w:val="1"/>
    <w:unhideWhenUsed/>
    <w:qFormat/>
    <w:uiPriority w:val="0"/>
  </w:style>
  <w:style w:type="paragraph" w:customStyle="1" w:styleId="380">
    <w:name w:val="Fließtext"/>
    <w:basedOn w:val="1"/>
    <w:qFormat/>
    <w:uiPriority w:val="0"/>
    <w:pPr>
      <w:overflowPunct w:val="0"/>
      <w:autoSpaceDE w:val="0"/>
      <w:autoSpaceDN w:val="0"/>
      <w:adjustRightInd w:val="0"/>
      <w:textAlignment w:val="baseline"/>
    </w:pPr>
    <w:rPr>
      <w:kern w:val="28"/>
      <w:szCs w:val="20"/>
    </w:rPr>
  </w:style>
  <w:style w:type="paragraph" w:customStyle="1" w:styleId="381">
    <w:name w:val="默认段落字体 Para Char Char Char Char Char Char Char Char Char Char Char Char Char"/>
    <w:basedOn w:val="18"/>
    <w:qFormat/>
    <w:uiPriority w:val="0"/>
    <w:pPr>
      <w:spacing w:beforeLines="50" w:afterLines="50" w:line="360" w:lineRule="auto"/>
      <w:ind w:firstLine="200" w:firstLineChars="200"/>
      <w:jc w:val="left"/>
    </w:pPr>
    <w:rPr>
      <w:b/>
      <w:bCs/>
      <w:sz w:val="24"/>
    </w:rPr>
  </w:style>
  <w:style w:type="paragraph" w:customStyle="1" w:styleId="382">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83">
    <w:name w:val="xl70"/>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left"/>
      <w:textAlignment w:val="bottom"/>
    </w:pPr>
    <w:rPr>
      <w:kern w:val="0"/>
      <w:sz w:val="20"/>
      <w:szCs w:val="20"/>
    </w:rPr>
  </w:style>
  <w:style w:type="paragraph" w:customStyle="1" w:styleId="384">
    <w:name w:val="T1"/>
    <w:basedOn w:val="385"/>
    <w:qFormat/>
    <w:uiPriority w:val="0"/>
    <w:pPr>
      <w:tabs>
        <w:tab w:val="left" w:pos="425"/>
        <w:tab w:val="left" w:pos="709"/>
        <w:tab w:val="left" w:pos="851"/>
        <w:tab w:val="left" w:pos="1134"/>
        <w:tab w:val="left" w:pos="1276"/>
        <w:tab w:val="left" w:pos="1559"/>
        <w:tab w:val="left" w:pos="1701"/>
        <w:tab w:val="left" w:pos="1985"/>
        <w:tab w:val="left" w:pos="2126"/>
        <w:tab w:val="left" w:pos="2410"/>
        <w:tab w:val="left" w:pos="2552"/>
        <w:tab w:val="left" w:pos="2835"/>
        <w:tab w:val="left" w:pos="2977"/>
        <w:tab w:val="left" w:pos="3260"/>
        <w:tab w:val="left" w:pos="3686"/>
      </w:tabs>
      <w:ind w:left="0"/>
    </w:pPr>
  </w:style>
  <w:style w:type="paragraph" w:customStyle="1" w:styleId="385">
    <w:name w:val="T2"/>
    <w:basedOn w:val="1"/>
    <w:qFormat/>
    <w:uiPriority w:val="0"/>
    <w:pPr>
      <w:keepLines/>
      <w:widowControl/>
      <w:tabs>
        <w:tab w:val="left" w:pos="709"/>
        <w:tab w:val="left" w:pos="1134"/>
        <w:tab w:val="left" w:pos="1559"/>
        <w:tab w:val="left" w:pos="1985"/>
        <w:tab w:val="left" w:pos="2410"/>
        <w:tab w:val="left" w:pos="2835"/>
        <w:tab w:val="left" w:pos="3260"/>
        <w:tab w:val="left" w:pos="3686"/>
      </w:tabs>
      <w:spacing w:after="120" w:line="300" w:lineRule="auto"/>
      <w:ind w:left="284" w:firstLine="200" w:firstLineChars="200"/>
      <w:jc w:val="left"/>
    </w:pPr>
    <w:rPr>
      <w:rFonts w:ascii="Arial" w:hAnsi="Arial" w:cs="Arial"/>
      <w:kern w:val="0"/>
      <w:sz w:val="22"/>
      <w:szCs w:val="22"/>
      <w:lang w:eastAsia="en-US"/>
    </w:rPr>
  </w:style>
  <w:style w:type="paragraph" w:customStyle="1" w:styleId="386">
    <w:name w:val="xl60"/>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87">
    <w:name w:val="Char Char1 Char Char Char"/>
    <w:basedOn w:val="1"/>
    <w:qFormat/>
    <w:uiPriority w:val="0"/>
    <w:rPr>
      <w:kern w:val="0"/>
      <w:sz w:val="20"/>
      <w:szCs w:val="20"/>
    </w:rPr>
  </w:style>
  <w:style w:type="paragraph" w:customStyle="1" w:styleId="388">
    <w:name w:val="xl149"/>
    <w:basedOn w:val="1"/>
    <w:qFormat/>
    <w:uiPriority w:val="0"/>
    <w:pPr>
      <w:widowControl/>
      <w:pBdr>
        <w:top w:val="single" w:color="auto" w:sz="4" w:space="0"/>
        <w:left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89">
    <w:name w:val="xl138"/>
    <w:basedOn w:val="1"/>
    <w:qFormat/>
    <w:uiPriority w:val="0"/>
    <w:pPr>
      <w:widowControl/>
      <w:pBdr>
        <w:top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90">
    <w:name w:val="二级条标题"/>
    <w:basedOn w:val="391"/>
    <w:next w:val="1"/>
    <w:qFormat/>
    <w:uiPriority w:val="0"/>
    <w:pPr>
      <w:numPr>
        <w:ilvl w:val="2"/>
      </w:numPr>
      <w:tabs>
        <w:tab w:val="left" w:pos="1620"/>
      </w:tabs>
      <w:spacing w:before="50" w:after="50"/>
      <w:ind w:hanging="360"/>
      <w:outlineLvl w:val="3"/>
    </w:pPr>
  </w:style>
  <w:style w:type="paragraph" w:customStyle="1" w:styleId="391">
    <w:name w:val="一级条标题"/>
    <w:basedOn w:val="392"/>
    <w:next w:val="345"/>
    <w:qFormat/>
    <w:uiPriority w:val="0"/>
    <w:pPr>
      <w:numPr>
        <w:ilvl w:val="1"/>
      </w:numPr>
      <w:spacing w:beforeLines="50" w:afterLines="50"/>
      <w:outlineLvl w:val="2"/>
    </w:pPr>
  </w:style>
  <w:style w:type="paragraph" w:customStyle="1" w:styleId="392">
    <w:name w:val="章标题"/>
    <w:next w:val="1"/>
    <w:qFormat/>
    <w:uiPriority w:val="0"/>
    <w:pPr>
      <w:numPr>
        <w:ilvl w:val="0"/>
        <w:numId w:val="6"/>
      </w:numPr>
      <w:spacing w:beforeLines="100" w:afterLines="100"/>
      <w:jc w:val="both"/>
      <w:outlineLvl w:val="1"/>
    </w:pPr>
    <w:rPr>
      <w:rFonts w:ascii="黑体" w:hAnsi="Times New Roman" w:eastAsia="黑体" w:cs="黑体"/>
      <w:sz w:val="21"/>
      <w:szCs w:val="21"/>
      <w:lang w:val="en-US" w:eastAsia="zh-CN" w:bidi="ar-SA"/>
    </w:rPr>
  </w:style>
  <w:style w:type="paragraph" w:customStyle="1" w:styleId="393">
    <w:name w:val="TableNote"/>
    <w:qFormat/>
    <w:uiPriority w:val="0"/>
    <w:pPr>
      <w:spacing w:before="480" w:after="120"/>
      <w:ind w:left="1587" w:hanging="340"/>
    </w:pPr>
    <w:rPr>
      <w:rFonts w:ascii="Arial" w:hAnsi="Arial" w:eastAsia="宋体" w:cs="Arial"/>
      <w:kern w:val="44"/>
      <w:sz w:val="18"/>
      <w:szCs w:val="18"/>
      <w:lang w:val="en-US" w:eastAsia="zh-CN" w:bidi="ar-SA"/>
    </w:rPr>
  </w:style>
  <w:style w:type="paragraph" w:customStyle="1" w:styleId="394">
    <w:name w:val="Style5"/>
    <w:basedOn w:val="1"/>
    <w:unhideWhenUsed/>
    <w:qFormat/>
    <w:uiPriority w:val="0"/>
  </w:style>
  <w:style w:type="paragraph" w:customStyle="1" w:styleId="395">
    <w:name w:val="xl140"/>
    <w:basedOn w:val="1"/>
    <w:qFormat/>
    <w:uiPriority w:val="0"/>
    <w:pPr>
      <w:widowControl/>
      <w:pBdr>
        <w:top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96">
    <w:name w:val="Style21"/>
    <w:basedOn w:val="1"/>
    <w:unhideWhenUsed/>
    <w:qFormat/>
    <w:uiPriority w:val="0"/>
    <w:pPr>
      <w:spacing w:line="566" w:lineRule="exact"/>
      <w:ind w:firstLine="682"/>
    </w:pPr>
  </w:style>
  <w:style w:type="paragraph" w:customStyle="1" w:styleId="397">
    <w:name w:val="Style29"/>
    <w:basedOn w:val="1"/>
    <w:unhideWhenUsed/>
    <w:qFormat/>
    <w:uiPriority w:val="0"/>
    <w:pPr>
      <w:spacing w:line="547" w:lineRule="exact"/>
      <w:ind w:firstLine="547"/>
    </w:pPr>
  </w:style>
  <w:style w:type="paragraph" w:customStyle="1" w:styleId="398">
    <w:name w:val="xl127"/>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99">
    <w:name w:val="目录标题"/>
    <w:qFormat/>
    <w:uiPriority w:val="0"/>
    <w:pPr>
      <w:spacing w:before="480" w:after="360" w:line="360" w:lineRule="auto"/>
      <w:jc w:val="center"/>
    </w:pPr>
    <w:rPr>
      <w:rFonts w:ascii="Arial" w:hAnsi="Arial" w:eastAsia="黑体" w:cs="Arial"/>
      <w:b/>
      <w:bCs/>
      <w:sz w:val="32"/>
      <w:szCs w:val="32"/>
      <w:lang w:val="en-US" w:eastAsia="zh-CN" w:bidi="ar-SA"/>
    </w:rPr>
  </w:style>
  <w:style w:type="paragraph" w:customStyle="1" w:styleId="400">
    <w:name w:val="默认段落字体 Para Char Char Char Char Char Char Char Char Char Char Char Char Char Char Char Char Char Char Char"/>
    <w:basedOn w:val="1"/>
    <w:qFormat/>
    <w:uiPriority w:val="0"/>
  </w:style>
  <w:style w:type="paragraph" w:customStyle="1" w:styleId="401">
    <w:name w:val="样式 小四 行距: 1.5 倍行距"/>
    <w:basedOn w:val="1"/>
    <w:qFormat/>
    <w:uiPriority w:val="0"/>
    <w:pPr>
      <w:spacing w:line="312" w:lineRule="auto"/>
    </w:pPr>
    <w:rPr>
      <w:sz w:val="24"/>
    </w:rPr>
  </w:style>
  <w:style w:type="paragraph" w:customStyle="1" w:styleId="402">
    <w:name w:val="xl141"/>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403">
    <w:name w:val="xl139"/>
    <w:basedOn w:val="1"/>
    <w:qFormat/>
    <w:uiPriority w:val="0"/>
    <w:pPr>
      <w:widowControl/>
      <w:pBdr>
        <w:top w:val="single" w:color="auto" w:sz="4" w:space="0"/>
        <w:left w:val="single" w:color="auto" w:sz="4" w:space="0"/>
        <w:bottom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04">
    <w:name w:val="Style61"/>
    <w:basedOn w:val="1"/>
    <w:unhideWhenUsed/>
    <w:qFormat/>
    <w:uiPriority w:val="0"/>
  </w:style>
  <w:style w:type="paragraph" w:customStyle="1" w:styleId="405">
    <w:name w:val="Style45"/>
    <w:basedOn w:val="1"/>
    <w:unhideWhenUsed/>
    <w:qFormat/>
    <w:uiPriority w:val="0"/>
  </w:style>
  <w:style w:type="paragraph" w:customStyle="1" w:styleId="406">
    <w:name w:val="xl159"/>
    <w:basedOn w:val="1"/>
    <w:qFormat/>
    <w:uiPriority w:val="0"/>
    <w:pPr>
      <w:widowControl/>
      <w:pBdr>
        <w:left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0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08">
    <w:name w:val="列出段落11"/>
    <w:basedOn w:val="1"/>
    <w:qFormat/>
    <w:uiPriority w:val="0"/>
    <w:pPr>
      <w:spacing w:line="360" w:lineRule="auto"/>
      <w:ind w:firstLine="420" w:firstLineChars="200"/>
    </w:pPr>
    <w:rPr>
      <w:rFonts w:ascii="Calibri" w:hAnsi="Calibri" w:cs="Calibri"/>
      <w:szCs w:val="21"/>
    </w:rPr>
  </w:style>
  <w:style w:type="paragraph" w:customStyle="1" w:styleId="409">
    <w:name w:val="xl120"/>
    <w:basedOn w:val="1"/>
    <w:qFormat/>
    <w:uiPriority w:val="0"/>
    <w:pPr>
      <w:widowControl/>
      <w:pBdr>
        <w:left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color w:val="FF0000"/>
      <w:kern w:val="0"/>
      <w:sz w:val="20"/>
      <w:szCs w:val="20"/>
    </w:rPr>
  </w:style>
  <w:style w:type="paragraph" w:customStyle="1" w:styleId="410">
    <w:name w:val="Body1"/>
    <w:basedOn w:val="1"/>
    <w:qFormat/>
    <w:uiPriority w:val="0"/>
    <w:pPr>
      <w:widowControl/>
      <w:spacing w:before="120" w:after="100" w:afterAutospacing="1" w:line="288" w:lineRule="auto"/>
      <w:ind w:left="1712" w:firstLine="200" w:firstLineChars="200"/>
    </w:pPr>
    <w:rPr>
      <w:rFonts w:ascii="Arial" w:hAnsi="Arial" w:cs="Arial"/>
      <w:kern w:val="0"/>
      <w:szCs w:val="21"/>
    </w:rPr>
  </w:style>
  <w:style w:type="paragraph" w:customStyle="1" w:styleId="411">
    <w:name w:val="设计正文 Char Char Char"/>
    <w:basedOn w:val="1"/>
    <w:qFormat/>
    <w:uiPriority w:val="0"/>
    <w:pPr>
      <w:spacing w:line="300" w:lineRule="auto"/>
      <w:ind w:firstLine="480" w:firstLineChars="200"/>
      <w:jc w:val="left"/>
    </w:pPr>
    <w:rPr>
      <w:rFonts w:ascii="仿宋_GB2312" w:eastAsia="仿宋_GB2312" w:cs="仿宋_GB2312"/>
      <w:sz w:val="28"/>
      <w:szCs w:val="28"/>
    </w:rPr>
  </w:style>
  <w:style w:type="paragraph" w:customStyle="1" w:styleId="412">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13">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14">
    <w:name w:val="表格 Char Char Char2"/>
    <w:basedOn w:val="1"/>
    <w:qFormat/>
    <w:uiPriority w:val="0"/>
    <w:pPr>
      <w:widowControl/>
      <w:spacing w:after="160" w:line="240" w:lineRule="exact"/>
      <w:ind w:firstLine="200" w:firstLineChars="200"/>
      <w:jc w:val="left"/>
    </w:pPr>
    <w:rPr>
      <w:rFonts w:ascii="Verdana" w:hAnsi="Verdana" w:eastAsia="黑体" w:cs="Verdana"/>
      <w:kern w:val="0"/>
      <w:sz w:val="28"/>
      <w:szCs w:val="28"/>
      <w:lang w:eastAsia="en-US"/>
    </w:rPr>
  </w:style>
  <w:style w:type="paragraph" w:customStyle="1" w:styleId="415">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416">
    <w:name w:val="正文首行缩进1"/>
    <w:basedOn w:val="24"/>
    <w:qFormat/>
    <w:uiPriority w:val="0"/>
    <w:pPr>
      <w:spacing w:beforeLines="30" w:after="0" w:line="324" w:lineRule="auto"/>
      <w:ind w:left="0" w:leftChars="0" w:firstLine="200" w:firstLineChars="200"/>
      <w:jc w:val="left"/>
    </w:pPr>
    <w:rPr>
      <w:sz w:val="24"/>
    </w:rPr>
  </w:style>
  <w:style w:type="paragraph" w:customStyle="1" w:styleId="41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418">
    <w:name w:val="并列项-点"/>
    <w:basedOn w:val="1"/>
    <w:qFormat/>
    <w:uiPriority w:val="0"/>
    <w:pPr>
      <w:numPr>
        <w:ilvl w:val="0"/>
        <w:numId w:val="7"/>
      </w:numPr>
      <w:adjustRightInd w:val="0"/>
      <w:snapToGrid w:val="0"/>
      <w:spacing w:line="460" w:lineRule="atLeast"/>
      <w:ind w:left="600" w:leftChars="600" w:hanging="200" w:hangingChars="200"/>
      <w:jc w:val="left"/>
    </w:pPr>
    <w:rPr>
      <w:sz w:val="28"/>
      <w:szCs w:val="28"/>
    </w:rPr>
  </w:style>
  <w:style w:type="paragraph" w:customStyle="1" w:styleId="419">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420">
    <w:name w:val="普通 (Web)"/>
    <w:basedOn w:val="1"/>
    <w:qFormat/>
    <w:uiPriority w:val="0"/>
    <w:pPr>
      <w:widowControl/>
      <w:spacing w:before="100" w:after="100" w:line="432" w:lineRule="atLeast"/>
      <w:ind w:firstLine="810" w:firstLineChars="200"/>
      <w:jc w:val="left"/>
    </w:pPr>
    <w:rPr>
      <w:rFonts w:ascii="仿宋_GB2312" w:hAnsi="Verdana" w:eastAsia="仿宋_GB2312" w:cs="仿宋_GB2312"/>
      <w:spacing w:val="30"/>
      <w:kern w:val="0"/>
      <w:sz w:val="28"/>
      <w:szCs w:val="28"/>
    </w:rPr>
  </w:style>
  <w:style w:type="paragraph" w:customStyle="1" w:styleId="421">
    <w:name w:val="Char"/>
    <w:basedOn w:val="1"/>
    <w:qFormat/>
    <w:uiPriority w:val="0"/>
    <w:pPr>
      <w:tabs>
        <w:tab w:val="left" w:pos="360"/>
      </w:tabs>
      <w:ind w:left="360" w:hanging="360" w:hangingChars="200"/>
    </w:pPr>
    <w:rPr>
      <w:sz w:val="24"/>
    </w:rPr>
  </w:style>
  <w:style w:type="paragraph" w:customStyle="1" w:styleId="422">
    <w:name w:val="表格样式 宋体 五号 加粗 黑色 行距: 单倍行距 首行缩进:  0 字符"/>
    <w:basedOn w:val="1"/>
    <w:qFormat/>
    <w:uiPriority w:val="0"/>
    <w:rPr>
      <w:rFonts w:ascii="宋体" w:hAnsi="宋体" w:cs="宋体"/>
      <w:b/>
      <w:bCs/>
      <w:color w:val="000000"/>
      <w:kern w:val="0"/>
      <w:szCs w:val="21"/>
    </w:rPr>
  </w:style>
  <w:style w:type="paragraph" w:customStyle="1" w:styleId="423">
    <w:name w:val="xl126"/>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24">
    <w:name w:val="xl52"/>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25">
    <w:name w:val="Style11"/>
    <w:basedOn w:val="1"/>
    <w:unhideWhenUsed/>
    <w:qFormat/>
    <w:uiPriority w:val="0"/>
    <w:pPr>
      <w:spacing w:line="559" w:lineRule="exact"/>
      <w:ind w:firstLine="590"/>
    </w:pPr>
  </w:style>
  <w:style w:type="paragraph" w:customStyle="1" w:styleId="426">
    <w:name w:val="ee"/>
    <w:basedOn w:val="1"/>
    <w:qFormat/>
    <w:uiPriority w:val="0"/>
    <w:pPr>
      <w:widowControl/>
      <w:spacing w:before="100" w:beforeAutospacing="1" w:after="100" w:afterAutospacing="1" w:line="300" w:lineRule="atLeast"/>
      <w:ind w:firstLine="200" w:firstLineChars="200"/>
      <w:jc w:val="left"/>
    </w:pPr>
    <w:rPr>
      <w:rFonts w:ascii="宋体" w:hAnsi="宋体" w:cs="宋体"/>
      <w:color w:val="000000"/>
      <w:kern w:val="0"/>
      <w:sz w:val="18"/>
      <w:szCs w:val="18"/>
    </w:rPr>
  </w:style>
  <w:style w:type="paragraph" w:customStyle="1" w:styleId="427">
    <w:name w:val="Style71"/>
    <w:basedOn w:val="1"/>
    <w:unhideWhenUsed/>
    <w:qFormat/>
    <w:uiPriority w:val="0"/>
    <w:pPr>
      <w:spacing w:line="538" w:lineRule="exact"/>
      <w:ind w:firstLine="101"/>
    </w:pPr>
  </w:style>
  <w:style w:type="paragraph" w:customStyle="1" w:styleId="428">
    <w:name w:val="样式2"/>
    <w:basedOn w:val="3"/>
    <w:qFormat/>
    <w:uiPriority w:val="0"/>
    <w:pPr>
      <w:jc w:val="left"/>
      <w:outlineLvl w:val="0"/>
    </w:pPr>
    <w:rPr>
      <w:rFonts w:ascii="黑体" w:hAnsi="宋体" w:eastAsia="黑体"/>
      <w:bCs w:val="0"/>
      <w:color w:val="000000"/>
      <w:kern w:val="0"/>
      <w:sz w:val="30"/>
      <w:szCs w:val="30"/>
    </w:rPr>
  </w:style>
  <w:style w:type="paragraph" w:customStyle="1" w:styleId="429">
    <w:name w:val="标准文件_二级条标题"/>
    <w:basedOn w:val="430"/>
    <w:next w:val="134"/>
    <w:qFormat/>
    <w:uiPriority w:val="0"/>
    <w:pPr>
      <w:numPr>
        <w:ilvl w:val="3"/>
      </w:numPr>
      <w:outlineLvl w:val="3"/>
    </w:pPr>
  </w:style>
  <w:style w:type="paragraph" w:customStyle="1" w:styleId="430">
    <w:name w:val="标准文件_一级条标题"/>
    <w:basedOn w:val="431"/>
    <w:next w:val="134"/>
    <w:qFormat/>
    <w:uiPriority w:val="0"/>
    <w:pPr>
      <w:numPr>
        <w:ilvl w:val="2"/>
      </w:numPr>
      <w:spacing w:beforeLines="0" w:afterLines="0"/>
      <w:ind w:left="360" w:hanging="360"/>
      <w:outlineLvl w:val="2"/>
    </w:pPr>
  </w:style>
  <w:style w:type="paragraph" w:customStyle="1" w:styleId="431">
    <w:name w:val="标准文件_章标题"/>
    <w:next w:val="134"/>
    <w:qFormat/>
    <w:uiPriority w:val="0"/>
    <w:pPr>
      <w:numPr>
        <w:ilvl w:val="1"/>
        <w:numId w:val="8"/>
      </w:numPr>
      <w:spacing w:beforeLines="50" w:afterLines="50"/>
      <w:ind w:right="-50" w:rightChars="-50"/>
      <w:jc w:val="both"/>
      <w:outlineLvl w:val="1"/>
    </w:pPr>
    <w:rPr>
      <w:rFonts w:ascii="黑体" w:hAnsi="Times New Roman" w:eastAsia="黑体" w:cs="黑体"/>
      <w:spacing w:val="2"/>
      <w:sz w:val="21"/>
      <w:szCs w:val="21"/>
      <w:lang w:val="en-US" w:eastAsia="zh-CN" w:bidi="ar-SA"/>
    </w:rPr>
  </w:style>
  <w:style w:type="paragraph" w:customStyle="1" w:styleId="432">
    <w:name w:val="Style77"/>
    <w:basedOn w:val="1"/>
    <w:unhideWhenUsed/>
    <w:qFormat/>
    <w:uiPriority w:val="0"/>
  </w:style>
  <w:style w:type="paragraph" w:customStyle="1" w:styleId="43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34">
    <w:name w:val="表格内"/>
    <w:basedOn w:val="1"/>
    <w:qFormat/>
    <w:uiPriority w:val="0"/>
    <w:pPr>
      <w:spacing w:line="360" w:lineRule="auto"/>
      <w:ind w:firstLine="200" w:firstLineChars="200"/>
      <w:jc w:val="left"/>
    </w:pPr>
    <w:rPr>
      <w:rFonts w:ascii="Arial" w:hAnsi="Arial" w:cs="Arial"/>
      <w:sz w:val="18"/>
      <w:szCs w:val="18"/>
    </w:rPr>
  </w:style>
  <w:style w:type="paragraph" w:customStyle="1" w:styleId="435">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36">
    <w:name w:val="xl125"/>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37">
    <w:name w:val="xl162"/>
    <w:basedOn w:val="1"/>
    <w:qFormat/>
    <w:uiPriority w:val="0"/>
    <w:pPr>
      <w:widowControl/>
      <w:pBdr>
        <w:left w:val="single" w:color="auto" w:sz="4" w:space="0"/>
        <w:bottom w:val="single" w:color="auto" w:sz="4" w:space="0"/>
        <w:right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38">
    <w:name w:val="内容with编号"/>
    <w:basedOn w:val="1"/>
    <w:qFormat/>
    <w:uiPriority w:val="0"/>
    <w:pPr>
      <w:widowControl/>
      <w:numPr>
        <w:ilvl w:val="0"/>
        <w:numId w:val="9"/>
      </w:numPr>
      <w:tabs>
        <w:tab w:val="left" w:pos="987"/>
        <w:tab w:val="clear" w:pos="840"/>
      </w:tabs>
      <w:spacing w:line="360" w:lineRule="auto"/>
    </w:pPr>
    <w:rPr>
      <w:rFonts w:ascii="宋体"/>
      <w:kern w:val="0"/>
      <w:sz w:val="24"/>
      <w:szCs w:val="20"/>
    </w:rPr>
  </w:style>
  <w:style w:type="paragraph" w:customStyle="1" w:styleId="439">
    <w:name w:val="Style42"/>
    <w:basedOn w:val="1"/>
    <w:unhideWhenUsed/>
    <w:qFormat/>
    <w:uiPriority w:val="0"/>
    <w:pPr>
      <w:spacing w:line="542" w:lineRule="exact"/>
      <w:ind w:firstLine="547"/>
    </w:pPr>
  </w:style>
  <w:style w:type="paragraph" w:customStyle="1" w:styleId="440">
    <w:name w:val="Style81"/>
    <w:basedOn w:val="1"/>
    <w:unhideWhenUsed/>
    <w:qFormat/>
    <w:uiPriority w:val="0"/>
    <w:pPr>
      <w:spacing w:line="547" w:lineRule="exact"/>
    </w:pPr>
  </w:style>
  <w:style w:type="paragraph" w:customStyle="1" w:styleId="441">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4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443">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444">
    <w:name w:val="表格A"/>
    <w:basedOn w:val="172"/>
    <w:next w:val="24"/>
    <w:qFormat/>
    <w:uiPriority w:val="0"/>
    <w:pPr>
      <w:overflowPunct w:val="0"/>
      <w:autoSpaceDE w:val="0"/>
      <w:autoSpaceDN w:val="0"/>
      <w:adjustRightInd w:val="0"/>
      <w:spacing w:line="240" w:lineRule="auto"/>
      <w:ind w:firstLine="0" w:firstLineChars="0"/>
    </w:pPr>
    <w:rPr>
      <w:rFonts w:ascii="宋体" w:hAnsi="Times New Roman" w:eastAsia="宋体" w:cs="宋体"/>
      <w:kern w:val="0"/>
      <w:sz w:val="21"/>
      <w:szCs w:val="21"/>
    </w:rPr>
  </w:style>
  <w:style w:type="paragraph" w:customStyle="1" w:styleId="445">
    <w:name w:val="xl175"/>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446">
    <w:name w:val="TableHeader"/>
    <w:qFormat/>
    <w:uiPriority w:val="0"/>
    <w:pPr>
      <w:spacing w:before="40" w:after="40"/>
      <w:jc w:val="center"/>
    </w:pPr>
    <w:rPr>
      <w:rFonts w:ascii="Arial" w:hAnsi="Arial" w:eastAsia="宋体" w:cs="Arial"/>
      <w:b/>
      <w:bCs/>
      <w:kern w:val="44"/>
      <w:sz w:val="18"/>
      <w:szCs w:val="18"/>
      <w:lang w:val="en-US" w:eastAsia="zh-CN" w:bidi="ar-SA"/>
    </w:rPr>
  </w:style>
  <w:style w:type="paragraph" w:customStyle="1" w:styleId="447">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448">
    <w:name w:val="reader-word-layer"/>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4"/>
    </w:rPr>
  </w:style>
  <w:style w:type="paragraph" w:customStyle="1" w:styleId="449">
    <w:name w:val="Style60"/>
    <w:basedOn w:val="1"/>
    <w:unhideWhenUsed/>
    <w:qFormat/>
    <w:uiPriority w:val="0"/>
    <w:pPr>
      <w:spacing w:line="566" w:lineRule="exact"/>
    </w:pPr>
  </w:style>
  <w:style w:type="paragraph" w:customStyle="1" w:styleId="450">
    <w:name w:val="Style68"/>
    <w:basedOn w:val="1"/>
    <w:unhideWhenUsed/>
    <w:qFormat/>
    <w:uiPriority w:val="0"/>
    <w:pPr>
      <w:spacing w:line="547" w:lineRule="exact"/>
    </w:pPr>
  </w:style>
  <w:style w:type="paragraph" w:customStyle="1" w:styleId="451">
    <w:name w:val="xl160"/>
    <w:basedOn w:val="1"/>
    <w:qFormat/>
    <w:uiPriority w:val="0"/>
    <w:pPr>
      <w:widowControl/>
      <w:pBdr>
        <w:top w:val="single" w:color="auto" w:sz="4" w:space="0"/>
        <w:left w:val="single" w:color="auto" w:sz="4" w:space="0"/>
        <w:right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styleId="452">
    <w:name w:val="List Paragraph"/>
    <w:basedOn w:val="1"/>
    <w:qFormat/>
    <w:uiPriority w:val="34"/>
    <w:pPr>
      <w:ind w:firstLine="420" w:firstLineChars="200"/>
    </w:pPr>
    <w:rPr>
      <w:rFonts w:ascii="Calibri" w:hAnsi="Calibri"/>
      <w:szCs w:val="22"/>
    </w:rPr>
  </w:style>
  <w:style w:type="paragraph" w:customStyle="1" w:styleId="453">
    <w:name w:val="ecxmsonormal"/>
    <w:basedOn w:val="1"/>
    <w:qFormat/>
    <w:uiPriority w:val="0"/>
    <w:pPr>
      <w:widowControl/>
      <w:spacing w:after="324" w:line="360" w:lineRule="auto"/>
      <w:ind w:firstLine="200" w:firstLineChars="200"/>
      <w:jc w:val="left"/>
    </w:pPr>
    <w:rPr>
      <w:rFonts w:ascii="宋体" w:hAnsi="宋体" w:cs="宋体"/>
      <w:kern w:val="0"/>
      <w:sz w:val="24"/>
    </w:rPr>
  </w:style>
  <w:style w:type="paragraph" w:customStyle="1" w:styleId="45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5">
    <w:name w:val="cwj样式A"/>
    <w:basedOn w:val="1"/>
    <w:qFormat/>
    <w:uiPriority w:val="0"/>
    <w:pPr>
      <w:numPr>
        <w:ilvl w:val="0"/>
        <w:numId w:val="10"/>
      </w:numPr>
      <w:tabs>
        <w:tab w:val="left" w:pos="425"/>
        <w:tab w:val="clear" w:pos="520"/>
      </w:tabs>
      <w:spacing w:line="360" w:lineRule="auto"/>
      <w:ind w:left="425" w:hanging="425" w:firstLineChars="200"/>
    </w:pPr>
    <w:rPr>
      <w:rFonts w:ascii="Calibri" w:hAnsi="Calibri"/>
      <w:sz w:val="24"/>
      <w:szCs w:val="20"/>
    </w:rPr>
  </w:style>
  <w:style w:type="paragraph" w:customStyle="1" w:styleId="456">
    <w:name w:val="xl106"/>
    <w:basedOn w:val="1"/>
    <w:qFormat/>
    <w:uiPriority w:val="0"/>
    <w:pPr>
      <w:widowControl/>
      <w:pBdr>
        <w:top w:val="single" w:color="auto" w:sz="4" w:space="0"/>
        <w:left w:val="single" w:color="auto" w:sz="4" w:space="0"/>
        <w:bottom w:val="single" w:color="auto" w:sz="4" w:space="0"/>
        <w:right w:val="single" w:color="auto" w:sz="4" w:space="0"/>
      </w:pBdr>
      <w:shd w:val="clear" w:color="auto" w:fill="FF00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57">
    <w:name w:val="样式 标题 33h33rd levelH3Underrubrik21.1.1 Heading 3sect1.2.3..."/>
    <w:basedOn w:val="4"/>
    <w:next w:val="1"/>
    <w:qFormat/>
    <w:uiPriority w:val="0"/>
    <w:pPr>
      <w:spacing w:line="415" w:lineRule="auto"/>
      <w:jc w:val="left"/>
    </w:pPr>
    <w:rPr>
      <w:kern w:val="44"/>
      <w:sz w:val="24"/>
      <w:szCs w:val="24"/>
    </w:rPr>
  </w:style>
  <w:style w:type="paragraph" w:customStyle="1" w:styleId="458">
    <w:name w:val="xl128"/>
    <w:basedOn w:val="1"/>
    <w:qFormat/>
    <w:uiPriority w:val="0"/>
    <w:pPr>
      <w:widowControl/>
      <w:pBdr>
        <w:left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59">
    <w:name w:val="font6"/>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60">
    <w:name w:val="Style13"/>
    <w:basedOn w:val="1"/>
    <w:unhideWhenUsed/>
    <w:qFormat/>
    <w:uiPriority w:val="0"/>
  </w:style>
  <w:style w:type="paragraph" w:customStyle="1" w:styleId="461">
    <w:name w:val="修订1"/>
    <w:qFormat/>
    <w:uiPriority w:val="0"/>
    <w:rPr>
      <w:rFonts w:ascii="Times New Roman" w:hAnsi="Times New Roman" w:eastAsia="宋体" w:cs="Times New Roman"/>
      <w:kern w:val="2"/>
      <w:sz w:val="21"/>
      <w:szCs w:val="21"/>
      <w:lang w:val="en-US" w:eastAsia="zh-CN" w:bidi="ar-SA"/>
    </w:rPr>
  </w:style>
  <w:style w:type="paragraph" w:customStyle="1" w:styleId="462">
    <w:name w:val="Char Char1 Char Char Char Char Char Char Char"/>
    <w:basedOn w:val="1"/>
    <w:qFormat/>
    <w:uiPriority w:val="0"/>
    <w:pPr>
      <w:widowControl/>
      <w:spacing w:after="160" w:line="240" w:lineRule="exact"/>
      <w:jc w:val="left"/>
    </w:pPr>
  </w:style>
  <w:style w:type="paragraph" w:customStyle="1" w:styleId="463">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64">
    <w:name w:val="PictureNote"/>
    <w:basedOn w:val="1"/>
    <w:qFormat/>
    <w:uiPriority w:val="0"/>
    <w:pPr>
      <w:spacing w:before="480" w:after="120" w:line="360" w:lineRule="auto"/>
      <w:ind w:left="1587" w:hanging="340"/>
      <w:jc w:val="left"/>
    </w:pPr>
    <w:rPr>
      <w:rFonts w:ascii="Arial" w:hAnsi="Arial" w:cs="Arial"/>
      <w:kern w:val="44"/>
      <w:sz w:val="18"/>
      <w:szCs w:val="18"/>
    </w:rPr>
  </w:style>
  <w:style w:type="paragraph" w:customStyle="1" w:styleId="465">
    <w:name w:val="Style69"/>
    <w:basedOn w:val="1"/>
    <w:unhideWhenUsed/>
    <w:qFormat/>
    <w:uiPriority w:val="0"/>
    <w:pPr>
      <w:spacing w:line="557" w:lineRule="exact"/>
      <w:ind w:firstLine="1666"/>
    </w:pPr>
  </w:style>
  <w:style w:type="paragraph" w:customStyle="1" w:styleId="466">
    <w:name w:val="样式 标题 33h33rd levelH3sect1.2.3Level 3 HeadHeading 3 - old..."/>
    <w:basedOn w:val="4"/>
    <w:qFormat/>
    <w:uiPriority w:val="0"/>
    <w:pPr>
      <w:spacing w:beforeLines="50" w:line="415" w:lineRule="auto"/>
      <w:jc w:val="left"/>
    </w:pPr>
    <w:rPr>
      <w:sz w:val="30"/>
      <w:szCs w:val="30"/>
    </w:rPr>
  </w:style>
  <w:style w:type="paragraph" w:customStyle="1" w:styleId="467">
    <w:name w:val="xl78"/>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68">
    <w:name w:val="Style9"/>
    <w:basedOn w:val="1"/>
    <w:unhideWhenUsed/>
    <w:qFormat/>
    <w:uiPriority w:val="0"/>
  </w:style>
  <w:style w:type="paragraph" w:customStyle="1" w:styleId="469">
    <w:name w:val="xl132"/>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4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b/>
      <w:bCs/>
      <w:kern w:val="0"/>
      <w:sz w:val="20"/>
      <w:szCs w:val="20"/>
    </w:rPr>
  </w:style>
  <w:style w:type="paragraph" w:customStyle="1" w:styleId="471">
    <w:name w:val="xl169"/>
    <w:basedOn w:val="1"/>
    <w:qFormat/>
    <w:uiPriority w:val="0"/>
    <w:pPr>
      <w:widowControl/>
      <w:pBdr>
        <w:top w:val="single" w:color="auto" w:sz="4" w:space="0"/>
        <w:left w:val="single" w:color="auto" w:sz="4" w:space="0"/>
        <w:bottom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72">
    <w:name w:val="样式 正文缩进表正文正文非缩进正文对齐标题4Alt+Xmr正文缩进特点Normal Indent正文缩进Wil...2"/>
    <w:basedOn w:val="14"/>
    <w:qFormat/>
    <w:uiPriority w:val="0"/>
    <w:pPr>
      <w:widowControl w:val="0"/>
      <w:spacing w:beforeLines="30" w:line="360" w:lineRule="auto"/>
      <w:ind w:firstLine="510" w:firstLineChars="200"/>
    </w:pPr>
    <w:rPr>
      <w:kern w:val="2"/>
      <w:sz w:val="24"/>
      <w:szCs w:val="24"/>
    </w:rPr>
  </w:style>
  <w:style w:type="paragraph" w:customStyle="1" w:styleId="473">
    <w:name w:val="表格内容（居中）"/>
    <w:basedOn w:val="1"/>
    <w:qFormat/>
    <w:uiPriority w:val="0"/>
    <w:pPr>
      <w:autoSpaceDE w:val="0"/>
      <w:autoSpaceDN w:val="0"/>
      <w:adjustRightInd w:val="0"/>
      <w:snapToGrid w:val="0"/>
      <w:spacing w:before="40" w:after="40" w:line="360" w:lineRule="auto"/>
      <w:ind w:left="790" w:hanging="790" w:hangingChars="395"/>
      <w:jc w:val="center"/>
      <w:textAlignment w:val="bottom"/>
    </w:pPr>
    <w:rPr>
      <w:rFonts w:eastAsia="仿宋_GB2312"/>
      <w:color w:val="000000"/>
      <w:spacing w:val="-20"/>
      <w:kern w:val="24"/>
      <w:sz w:val="24"/>
      <w:lang w:val="en-GB"/>
    </w:rPr>
  </w:style>
  <w:style w:type="paragraph" w:customStyle="1" w:styleId="474">
    <w:name w:val="Style80"/>
    <w:basedOn w:val="1"/>
    <w:unhideWhenUsed/>
    <w:qFormat/>
    <w:uiPriority w:val="0"/>
  </w:style>
  <w:style w:type="paragraph" w:customStyle="1" w:styleId="475">
    <w:name w:val="常规2"/>
    <w:basedOn w:val="1"/>
    <w:qFormat/>
    <w:uiPriority w:val="0"/>
    <w:pPr>
      <w:suppressAutoHyphens/>
      <w:overflowPunct w:val="0"/>
      <w:autoSpaceDE w:val="0"/>
      <w:autoSpaceDN w:val="0"/>
      <w:adjustRightInd w:val="0"/>
      <w:snapToGrid w:val="0"/>
      <w:spacing w:line="300" w:lineRule="auto"/>
      <w:ind w:firstLine="200" w:firstLineChars="200"/>
      <w:jc w:val="left"/>
    </w:pPr>
    <w:rPr>
      <w:rFonts w:ascii="Arial" w:hAnsi="Arial" w:eastAsia="华文细黑" w:cs="Arial"/>
      <w:kern w:val="0"/>
      <w:sz w:val="28"/>
      <w:szCs w:val="28"/>
    </w:rPr>
  </w:style>
  <w:style w:type="paragraph" w:customStyle="1" w:styleId="476">
    <w:name w:val="xl114"/>
    <w:basedOn w:val="1"/>
    <w:qFormat/>
    <w:uiPriority w:val="0"/>
    <w:pPr>
      <w:widowControl/>
      <w:pBdr>
        <w:top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77">
    <w:name w:val="font7"/>
    <w:basedOn w:val="1"/>
    <w:qFormat/>
    <w:uiPriority w:val="0"/>
    <w:pPr>
      <w:widowControl/>
      <w:spacing w:before="100" w:beforeAutospacing="1" w:after="100" w:afterAutospacing="1" w:line="360" w:lineRule="auto"/>
      <w:ind w:firstLine="200" w:firstLineChars="200"/>
      <w:jc w:val="left"/>
    </w:pPr>
    <w:rPr>
      <w:rFonts w:ascii="宋体" w:hAnsi="宋体" w:cs="宋体"/>
      <w:color w:val="FF0000"/>
      <w:kern w:val="0"/>
      <w:sz w:val="20"/>
      <w:szCs w:val="20"/>
    </w:rPr>
  </w:style>
  <w:style w:type="paragraph" w:customStyle="1" w:styleId="478">
    <w:name w:val="Char Char Char1 Char"/>
    <w:basedOn w:val="1"/>
    <w:qFormat/>
    <w:uiPriority w:val="0"/>
    <w:pPr>
      <w:tabs>
        <w:tab w:val="left" w:pos="360"/>
      </w:tabs>
      <w:snapToGrid w:val="0"/>
      <w:spacing w:line="360" w:lineRule="auto"/>
    </w:pPr>
    <w:rPr>
      <w:rFonts w:eastAsia="仿宋_GB2312"/>
      <w:sz w:val="24"/>
    </w:rPr>
  </w:style>
  <w:style w:type="paragraph" w:customStyle="1" w:styleId="479">
    <w:name w:val="正文（new）"/>
    <w:basedOn w:val="1"/>
    <w:next w:val="1"/>
    <w:qFormat/>
    <w:uiPriority w:val="0"/>
    <w:pPr>
      <w:ind w:firstLine="200" w:firstLineChars="200"/>
    </w:pPr>
    <w:rPr>
      <w:rFonts w:ascii="宋体" w:hAnsi="宋体"/>
      <w:sz w:val="24"/>
      <w:szCs w:val="21"/>
    </w:rPr>
  </w:style>
  <w:style w:type="paragraph" w:customStyle="1" w:styleId="480">
    <w:name w:val="xl49"/>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8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82">
    <w:name w:val="xl61"/>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83">
    <w:name w:val="xl146"/>
    <w:basedOn w:val="1"/>
    <w:qFormat/>
    <w:uiPriority w:val="0"/>
    <w:pPr>
      <w:widowControl/>
      <w:pBdr>
        <w:left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84">
    <w:name w:val="Char Char Char Char"/>
    <w:basedOn w:val="1"/>
    <w:qFormat/>
    <w:uiPriority w:val="0"/>
    <w:pPr>
      <w:widowControl/>
      <w:spacing w:after="160" w:line="240" w:lineRule="exact"/>
      <w:ind w:firstLine="200" w:firstLineChars="200"/>
      <w:jc w:val="left"/>
    </w:pPr>
    <w:rPr>
      <w:szCs w:val="21"/>
    </w:rPr>
  </w:style>
  <w:style w:type="paragraph" w:customStyle="1" w:styleId="485">
    <w:name w:val="xl124"/>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8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487">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color w:val="FF0000"/>
      <w:kern w:val="0"/>
      <w:sz w:val="20"/>
      <w:szCs w:val="20"/>
    </w:rPr>
  </w:style>
  <w:style w:type="paragraph" w:customStyle="1" w:styleId="488">
    <w:name w:val="pad"/>
    <w:basedOn w:val="1"/>
    <w:qFormat/>
    <w:uiPriority w:val="0"/>
    <w:pPr>
      <w:widowControl/>
      <w:spacing w:before="100" w:beforeAutospacing="1" w:after="100" w:afterAutospacing="1" w:line="360" w:lineRule="auto"/>
      <w:ind w:left="255"/>
      <w:jc w:val="left"/>
    </w:pPr>
    <w:rPr>
      <w:kern w:val="0"/>
      <w:sz w:val="24"/>
    </w:rPr>
  </w:style>
  <w:style w:type="paragraph" w:customStyle="1" w:styleId="489">
    <w:name w:val="正文图标题"/>
    <w:next w:val="1"/>
    <w:qFormat/>
    <w:uiPriority w:val="0"/>
    <w:pPr>
      <w:numPr>
        <w:ilvl w:val="0"/>
        <w:numId w:val="11"/>
      </w:numPr>
      <w:jc w:val="center"/>
    </w:pPr>
    <w:rPr>
      <w:rFonts w:ascii="黑体" w:hAnsi="Times New Roman" w:eastAsia="黑体" w:cs="黑体"/>
      <w:sz w:val="21"/>
      <w:szCs w:val="21"/>
      <w:lang w:val="en-US" w:eastAsia="zh-CN" w:bidi="ar-SA"/>
    </w:rPr>
  </w:style>
  <w:style w:type="paragraph" w:customStyle="1" w:styleId="490">
    <w:name w:val="TOC 标题1"/>
    <w:basedOn w:val="2"/>
    <w:next w:val="1"/>
    <w:qFormat/>
    <w:uiPriority w:val="0"/>
    <w:pPr>
      <w:keepLines/>
      <w:widowControl/>
      <w:spacing w:before="480" w:line="276" w:lineRule="auto"/>
      <w:jc w:val="left"/>
      <w:outlineLvl w:val="9"/>
    </w:pPr>
    <w:rPr>
      <w:rFonts w:ascii="Cambria" w:hAnsi="Cambria"/>
      <w:color w:val="365F91"/>
      <w:kern w:val="0"/>
      <w:sz w:val="28"/>
      <w:szCs w:val="28"/>
    </w:rPr>
  </w:style>
  <w:style w:type="paragraph" w:customStyle="1" w:styleId="491">
    <w:name w:val="Hanging 2"/>
    <w:basedOn w:val="1"/>
    <w:qFormat/>
    <w:uiPriority w:val="0"/>
    <w:pPr>
      <w:widowControl/>
      <w:tabs>
        <w:tab w:val="left" w:pos="4320"/>
      </w:tabs>
      <w:spacing w:after="240" w:line="240" w:lineRule="exact"/>
      <w:ind w:left="4320" w:hanging="3312" w:firstLineChars="200"/>
      <w:jc w:val="left"/>
    </w:pPr>
    <w:rPr>
      <w:rFonts w:ascii="Arial" w:hAnsi="Arial" w:cs="Arial"/>
      <w:kern w:val="0"/>
      <w:sz w:val="20"/>
      <w:szCs w:val="20"/>
      <w:lang w:eastAsia="en-US"/>
    </w:rPr>
  </w:style>
  <w:style w:type="paragraph" w:customStyle="1" w:styleId="492">
    <w:name w:val="标题2"/>
    <w:basedOn w:val="46"/>
    <w:qFormat/>
    <w:uiPriority w:val="0"/>
    <w:pPr>
      <w:spacing w:after="240"/>
      <w:jc w:val="left"/>
    </w:pPr>
    <w:rPr>
      <w:sz w:val="30"/>
    </w:rPr>
  </w:style>
  <w:style w:type="paragraph" w:customStyle="1" w:styleId="493">
    <w:name w:val="xl113"/>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94">
    <w:name w:val="Char Char Char1"/>
    <w:basedOn w:val="1"/>
    <w:qFormat/>
    <w:uiPriority w:val="0"/>
    <w:pPr>
      <w:widowControl/>
      <w:spacing w:after="160" w:line="240" w:lineRule="exact"/>
      <w:ind w:firstLine="200" w:firstLineChars="200"/>
      <w:jc w:val="left"/>
    </w:pPr>
    <w:rPr>
      <w:rFonts w:ascii="Verdana" w:hAnsi="Verdana" w:eastAsia="仿宋_GB2312" w:cs="Verdana"/>
      <w:kern w:val="0"/>
      <w:sz w:val="24"/>
      <w:lang w:eastAsia="en-US"/>
    </w:rPr>
  </w:style>
  <w:style w:type="paragraph" w:customStyle="1" w:styleId="495">
    <w:name w:val="表格内容"/>
    <w:basedOn w:val="22"/>
    <w:qFormat/>
    <w:uiPriority w:val="0"/>
    <w:pPr>
      <w:suppressLineNumbers/>
      <w:suppressAutoHyphens/>
      <w:jc w:val="left"/>
    </w:pPr>
    <w:rPr>
      <w:rFonts w:cs="Tahoma"/>
      <w:kern w:val="0"/>
      <w:sz w:val="24"/>
    </w:rPr>
  </w:style>
  <w:style w:type="paragraph" w:customStyle="1" w:styleId="496">
    <w:name w:val="我的正文"/>
    <w:basedOn w:val="1"/>
    <w:qFormat/>
    <w:uiPriority w:val="0"/>
    <w:pPr>
      <w:spacing w:line="360" w:lineRule="auto"/>
      <w:ind w:firstLine="200" w:firstLineChars="200"/>
      <w:jc w:val="left"/>
    </w:pPr>
    <w:rPr>
      <w:rFonts w:eastAsia="方正仿宋_GBK"/>
      <w:sz w:val="32"/>
      <w:szCs w:val="32"/>
    </w:rPr>
  </w:style>
  <w:style w:type="paragraph" w:customStyle="1" w:styleId="497">
    <w:name w:val="xl163"/>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color w:val="FF0000"/>
      <w:kern w:val="0"/>
      <w:sz w:val="20"/>
      <w:szCs w:val="20"/>
    </w:rPr>
  </w:style>
  <w:style w:type="paragraph" w:customStyle="1" w:styleId="498">
    <w:name w:val="xl1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bottom"/>
    </w:pPr>
    <w:rPr>
      <w:rFonts w:ascii="黑体" w:hAnsi="宋体" w:eastAsia="黑体" w:cs="黑体"/>
      <w:b/>
      <w:bCs/>
      <w:kern w:val="0"/>
      <w:sz w:val="20"/>
      <w:szCs w:val="20"/>
    </w:rPr>
  </w:style>
  <w:style w:type="paragraph" w:customStyle="1" w:styleId="49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500">
    <w:name w:val="Style10"/>
    <w:basedOn w:val="1"/>
    <w:unhideWhenUsed/>
    <w:qFormat/>
    <w:uiPriority w:val="0"/>
    <w:pPr>
      <w:spacing w:line="538" w:lineRule="exact"/>
    </w:pPr>
  </w:style>
  <w:style w:type="paragraph" w:customStyle="1" w:styleId="501">
    <w:name w:val="Style50"/>
    <w:basedOn w:val="1"/>
    <w:unhideWhenUsed/>
    <w:qFormat/>
    <w:uiPriority w:val="0"/>
  </w:style>
  <w:style w:type="paragraph" w:customStyle="1" w:styleId="502">
    <w:name w:val="Style76"/>
    <w:basedOn w:val="1"/>
    <w:unhideWhenUsed/>
    <w:qFormat/>
    <w:uiPriority w:val="0"/>
  </w:style>
  <w:style w:type="paragraph" w:customStyle="1" w:styleId="503">
    <w:name w:val="xl157"/>
    <w:basedOn w:val="1"/>
    <w:qFormat/>
    <w:uiPriority w:val="0"/>
    <w:pPr>
      <w:widowControl/>
      <w:pBdr>
        <w:top w:val="single" w:color="auto" w:sz="4" w:space="0"/>
        <w:left w:val="single" w:color="auto" w:sz="4" w:space="0"/>
        <w:right w:val="single" w:color="auto" w:sz="4" w:space="0"/>
      </w:pBdr>
      <w:shd w:val="clear" w:color="auto" w:fill="00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504">
    <w:name w:val="修订2"/>
    <w:qFormat/>
    <w:uiPriority w:val="0"/>
    <w:rPr>
      <w:rFonts w:ascii="Times New Roman" w:hAnsi="Times New Roman" w:eastAsia="宋体" w:cs="Times New Roman"/>
      <w:kern w:val="2"/>
      <w:sz w:val="21"/>
      <w:szCs w:val="24"/>
      <w:lang w:val="en-US" w:eastAsia="zh-CN" w:bidi="ar-SA"/>
    </w:rPr>
  </w:style>
  <w:style w:type="paragraph" w:customStyle="1" w:styleId="505">
    <w:name w:val="Char Char Char1 Char Char Char Char Char Char Char Char Char Char Char Char Char Char Char Char Char Char Char Char Char Char"/>
    <w:basedOn w:val="1"/>
    <w:qFormat/>
    <w:uiPriority w:val="0"/>
    <w:pPr>
      <w:spacing w:line="360" w:lineRule="auto"/>
    </w:pPr>
    <w:rPr>
      <w:rFonts w:ascii="Tahoma" w:hAnsi="Tahoma" w:cs="Tahoma"/>
      <w:sz w:val="24"/>
    </w:rPr>
  </w:style>
  <w:style w:type="paragraph" w:customStyle="1" w:styleId="506">
    <w:name w:val="xl87"/>
    <w:basedOn w:val="1"/>
    <w:qFormat/>
    <w:uiPriority w:val="0"/>
    <w:pPr>
      <w:widowControl/>
      <w:shd w:val="clear" w:color="auto" w:fill="FF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507">
    <w:name w:val="font8"/>
    <w:basedOn w:val="1"/>
    <w:qFormat/>
    <w:uiPriority w:val="0"/>
    <w:pPr>
      <w:widowControl/>
      <w:spacing w:before="100" w:beforeAutospacing="1" w:after="100" w:afterAutospacing="1" w:line="360" w:lineRule="auto"/>
      <w:ind w:firstLine="200" w:firstLineChars="200"/>
      <w:jc w:val="left"/>
    </w:pPr>
    <w:rPr>
      <w:kern w:val="0"/>
      <w:sz w:val="20"/>
      <w:szCs w:val="20"/>
    </w:rPr>
  </w:style>
  <w:style w:type="paragraph" w:customStyle="1" w:styleId="508">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09">
    <w:name w:val="Style15"/>
    <w:basedOn w:val="1"/>
    <w:unhideWhenUsed/>
    <w:qFormat/>
    <w:uiPriority w:val="0"/>
    <w:pPr>
      <w:spacing w:line="557" w:lineRule="exact"/>
      <w:ind w:firstLine="672"/>
    </w:pPr>
  </w:style>
  <w:style w:type="paragraph" w:customStyle="1" w:styleId="510">
    <w:name w:val="样式 标题 1H1propapp heading 1app heading 11app heading 12app ..."/>
    <w:basedOn w:val="2"/>
    <w:qFormat/>
    <w:uiPriority w:val="0"/>
    <w:pPr>
      <w:keepLines/>
      <w:pageBreakBefore/>
      <w:numPr>
        <w:ilvl w:val="0"/>
        <w:numId w:val="2"/>
      </w:numPr>
      <w:spacing w:before="340" w:after="330" w:line="578" w:lineRule="auto"/>
      <w:jc w:val="left"/>
    </w:pPr>
    <w:rPr>
      <w:color w:val="FF0000"/>
      <w:kern w:val="44"/>
      <w:sz w:val="44"/>
      <w:szCs w:val="44"/>
    </w:rPr>
  </w:style>
  <w:style w:type="paragraph" w:customStyle="1" w:styleId="511">
    <w:name w:val="Style53"/>
    <w:basedOn w:val="1"/>
    <w:unhideWhenUsed/>
    <w:qFormat/>
    <w:uiPriority w:val="0"/>
    <w:pPr>
      <w:spacing w:line="533" w:lineRule="exact"/>
      <w:ind w:firstLine="581"/>
    </w:pPr>
  </w:style>
  <w:style w:type="paragraph" w:customStyle="1" w:styleId="512">
    <w:name w:val="xl151"/>
    <w:basedOn w:val="1"/>
    <w:qFormat/>
    <w:uiPriority w:val="0"/>
    <w:pPr>
      <w:widowControl/>
      <w:pBdr>
        <w:left w:val="single" w:color="auto" w:sz="4" w:space="0"/>
        <w:bottom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13">
    <w:name w:val="正文（无缩进）"/>
    <w:basedOn w:val="1"/>
    <w:qFormat/>
    <w:uiPriority w:val="0"/>
    <w:pPr>
      <w:spacing w:line="360" w:lineRule="auto"/>
    </w:pPr>
    <w:rPr>
      <w:rFonts w:ascii="Calibri" w:hAnsi="Calibri" w:cs="Calibri"/>
      <w:sz w:val="24"/>
    </w:rPr>
  </w:style>
  <w:style w:type="paragraph" w:customStyle="1" w:styleId="514">
    <w:name w:val="font11"/>
    <w:basedOn w:val="1"/>
    <w:qFormat/>
    <w:uiPriority w:val="0"/>
    <w:pPr>
      <w:widowControl/>
      <w:spacing w:before="100" w:beforeAutospacing="1" w:after="100" w:afterAutospacing="1" w:line="360" w:lineRule="auto"/>
      <w:ind w:firstLine="200" w:firstLineChars="200"/>
      <w:jc w:val="left"/>
    </w:pPr>
    <w:rPr>
      <w:kern w:val="0"/>
      <w:sz w:val="18"/>
      <w:szCs w:val="18"/>
    </w:rPr>
  </w:style>
  <w:style w:type="paragraph" w:customStyle="1" w:styleId="515">
    <w:name w:val="xl161"/>
    <w:basedOn w:val="1"/>
    <w:qFormat/>
    <w:uiPriority w:val="0"/>
    <w:pPr>
      <w:widowControl/>
      <w:pBdr>
        <w:left w:val="single" w:color="auto" w:sz="4" w:space="0"/>
        <w:right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16">
    <w:name w:val="T5"/>
    <w:basedOn w:val="517"/>
    <w:qFormat/>
    <w:uiPriority w:val="0"/>
    <w:pPr>
      <w:tabs>
        <w:tab w:val="left" w:pos="992"/>
        <w:tab w:val="left" w:pos="1276"/>
        <w:tab w:val="left" w:pos="1418"/>
        <w:tab w:val="left" w:pos="1559"/>
        <w:tab w:val="left" w:pos="1701"/>
        <w:tab w:val="left" w:pos="1843"/>
        <w:tab w:val="left" w:pos="1995"/>
        <w:tab w:val="left" w:pos="2126"/>
        <w:tab w:val="left" w:pos="2268"/>
        <w:tab w:val="left" w:pos="2415"/>
        <w:tab w:val="left" w:pos="2552"/>
        <w:tab w:val="left" w:pos="2693"/>
        <w:tab w:val="left" w:pos="2835"/>
        <w:tab w:val="left" w:pos="2977"/>
        <w:tab w:val="left" w:pos="3119"/>
        <w:tab w:val="left" w:pos="3255"/>
        <w:tab w:val="left" w:pos="3402"/>
        <w:tab w:val="left" w:pos="3544"/>
        <w:tab w:val="left" w:pos="3675"/>
      </w:tabs>
      <w:spacing w:before="60" w:after="60"/>
      <w:ind w:left="1134"/>
    </w:pPr>
  </w:style>
  <w:style w:type="paragraph" w:customStyle="1" w:styleId="517">
    <w:name w:val="T4"/>
    <w:basedOn w:val="518"/>
    <w:qFormat/>
    <w:uiPriority w:val="0"/>
    <w:pPr>
      <w:tabs>
        <w:tab w:val="left" w:pos="992"/>
        <w:tab w:val="left" w:pos="1276"/>
        <w:tab w:val="left" w:pos="1418"/>
        <w:tab w:val="left" w:pos="1701"/>
        <w:tab w:val="left" w:pos="1843"/>
        <w:tab w:val="left" w:pos="2126"/>
        <w:tab w:val="left" w:pos="2268"/>
        <w:tab w:val="left" w:pos="2552"/>
        <w:tab w:val="left" w:pos="2693"/>
        <w:tab w:val="left" w:pos="2977"/>
        <w:tab w:val="left" w:pos="3119"/>
        <w:tab w:val="left" w:pos="3402"/>
        <w:tab w:val="left" w:pos="3544"/>
      </w:tabs>
      <w:ind w:left="851"/>
    </w:pPr>
  </w:style>
  <w:style w:type="paragraph" w:customStyle="1" w:styleId="518">
    <w:name w:val="T3"/>
    <w:basedOn w:val="1"/>
    <w:qFormat/>
    <w:uiPriority w:val="0"/>
    <w:pPr>
      <w:keepLines/>
      <w:widowControl/>
      <w:tabs>
        <w:tab w:val="left" w:pos="992"/>
        <w:tab w:val="left" w:pos="1418"/>
        <w:tab w:val="left" w:pos="1843"/>
        <w:tab w:val="left" w:pos="2268"/>
        <w:tab w:val="left" w:pos="2693"/>
        <w:tab w:val="left" w:pos="3119"/>
        <w:tab w:val="left" w:pos="3544"/>
      </w:tabs>
      <w:spacing w:after="120" w:line="300" w:lineRule="auto"/>
      <w:ind w:left="567" w:firstLine="200" w:firstLineChars="200"/>
      <w:jc w:val="left"/>
    </w:pPr>
    <w:rPr>
      <w:rFonts w:ascii="Arial" w:hAnsi="Arial" w:cs="Arial"/>
      <w:kern w:val="0"/>
      <w:sz w:val="22"/>
      <w:szCs w:val="22"/>
      <w:lang w:eastAsia="en-US"/>
    </w:rPr>
  </w:style>
  <w:style w:type="paragraph" w:customStyle="1" w:styleId="519">
    <w:name w:val="四号正文"/>
    <w:basedOn w:val="1"/>
    <w:qFormat/>
    <w:uiPriority w:val="0"/>
    <w:pPr>
      <w:spacing w:line="360" w:lineRule="auto"/>
      <w:ind w:firstLine="560" w:firstLineChars="200"/>
    </w:pPr>
    <w:rPr>
      <w:sz w:val="28"/>
      <w:szCs w:val="28"/>
    </w:rPr>
  </w:style>
  <w:style w:type="paragraph" w:customStyle="1" w:styleId="520">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521">
    <w:name w:val="xl129"/>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22">
    <w:name w:val="xl81"/>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523">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24">
    <w:name w:val="0"/>
    <w:basedOn w:val="1"/>
    <w:qFormat/>
    <w:uiPriority w:val="0"/>
    <w:pPr>
      <w:widowControl/>
    </w:pPr>
    <w:rPr>
      <w:kern w:val="0"/>
      <w:szCs w:val="20"/>
    </w:rPr>
  </w:style>
  <w:style w:type="paragraph" w:customStyle="1" w:styleId="525">
    <w:name w:val="xl50"/>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526">
    <w:name w:val="xl133"/>
    <w:basedOn w:val="1"/>
    <w:qFormat/>
    <w:uiPriority w:val="0"/>
    <w:pPr>
      <w:widowControl/>
      <w:pBdr>
        <w:top w:val="single" w:color="auto" w:sz="4" w:space="0"/>
        <w:left w:val="single" w:color="auto" w:sz="4" w:space="0"/>
        <w:bottom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527">
    <w:name w:val="三级条标题"/>
    <w:basedOn w:val="390"/>
    <w:next w:val="1"/>
    <w:qFormat/>
    <w:uiPriority w:val="0"/>
    <w:pPr>
      <w:numPr>
        <w:ilvl w:val="3"/>
      </w:numPr>
      <w:outlineLvl w:val="4"/>
    </w:pPr>
  </w:style>
  <w:style w:type="paragraph" w:customStyle="1" w:styleId="528">
    <w:name w:val="TOC 标题11"/>
    <w:basedOn w:val="2"/>
    <w:next w:val="1"/>
    <w:qFormat/>
    <w:uiPriority w:val="0"/>
    <w:pPr>
      <w:keepLines/>
      <w:widowControl/>
      <w:spacing w:before="240" w:line="259" w:lineRule="auto"/>
      <w:jc w:val="left"/>
      <w:outlineLvl w:val="9"/>
    </w:pPr>
    <w:rPr>
      <w:rFonts w:ascii="Cambria" w:hAnsi="Cambria" w:cs="Cambria"/>
      <w:b w:val="0"/>
      <w:bCs w:val="0"/>
      <w:color w:val="365F91"/>
      <w:kern w:val="0"/>
      <w:sz w:val="32"/>
      <w:szCs w:val="32"/>
    </w:rPr>
  </w:style>
  <w:style w:type="paragraph" w:customStyle="1" w:styleId="529">
    <w:name w:val="Style65"/>
    <w:basedOn w:val="1"/>
    <w:unhideWhenUsed/>
    <w:qFormat/>
    <w:uiPriority w:val="0"/>
  </w:style>
  <w:style w:type="paragraph" w:customStyle="1" w:styleId="530">
    <w:name w:val="xl79"/>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31">
    <w:name w:val="Style74"/>
    <w:basedOn w:val="1"/>
    <w:unhideWhenUsed/>
    <w:qFormat/>
    <w:uiPriority w:val="0"/>
    <w:pPr>
      <w:spacing w:line="437" w:lineRule="exact"/>
    </w:pPr>
  </w:style>
  <w:style w:type="paragraph" w:customStyle="1" w:styleId="532">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33">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534">
    <w:name w:val="Style24"/>
    <w:basedOn w:val="1"/>
    <w:unhideWhenUsed/>
    <w:qFormat/>
    <w:uiPriority w:val="0"/>
  </w:style>
  <w:style w:type="paragraph" w:customStyle="1" w:styleId="535">
    <w:name w:val="列出段落111"/>
    <w:basedOn w:val="1"/>
    <w:qFormat/>
    <w:uiPriority w:val="0"/>
    <w:pPr>
      <w:spacing w:line="360" w:lineRule="auto"/>
      <w:ind w:firstLine="420" w:firstLineChars="200"/>
    </w:pPr>
    <w:rPr>
      <w:rFonts w:ascii="Calibri" w:hAnsi="Calibri" w:cs="Calibri"/>
      <w:szCs w:val="21"/>
    </w:rPr>
  </w:style>
  <w:style w:type="paragraph" w:customStyle="1" w:styleId="536">
    <w:name w:val="xl148"/>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color w:val="FF0000"/>
      <w:kern w:val="0"/>
      <w:sz w:val="20"/>
      <w:szCs w:val="20"/>
    </w:rPr>
  </w:style>
  <w:style w:type="paragraph" w:customStyle="1" w:styleId="537">
    <w:name w:val="light5"/>
    <w:basedOn w:val="7"/>
    <w:qFormat/>
    <w:uiPriority w:val="0"/>
    <w:pPr>
      <w:numPr>
        <w:ilvl w:val="4"/>
        <w:numId w:val="5"/>
      </w:numPr>
      <w:adjustRightInd/>
      <w:spacing w:line="320" w:lineRule="auto"/>
      <w:jc w:val="both"/>
      <w:textAlignment w:val="auto"/>
    </w:pPr>
    <w:rPr>
      <w:kern w:val="2"/>
    </w:rPr>
  </w:style>
  <w:style w:type="paragraph" w:customStyle="1" w:styleId="538">
    <w:name w:val="Style64"/>
    <w:basedOn w:val="1"/>
    <w:unhideWhenUsed/>
    <w:qFormat/>
    <w:uiPriority w:val="0"/>
  </w:style>
  <w:style w:type="paragraph" w:customStyle="1" w:styleId="539">
    <w:name w:val="xl76"/>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40">
    <w:name w:val="xl51"/>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41">
    <w:name w:val="样式 表格文字 + 宋体 五号 两端对齐"/>
    <w:basedOn w:val="1"/>
    <w:qFormat/>
    <w:uiPriority w:val="0"/>
    <w:pPr>
      <w:widowControl/>
      <w:snapToGrid w:val="0"/>
      <w:spacing w:line="360" w:lineRule="auto"/>
    </w:pPr>
    <w:rPr>
      <w:rFonts w:ascii="宋体" w:hAnsi="宋体" w:cs="宋体"/>
      <w:sz w:val="18"/>
      <w:szCs w:val="18"/>
    </w:rPr>
  </w:style>
  <w:style w:type="paragraph" w:styleId="542">
    <w:name w:val="No Spacing"/>
    <w:qFormat/>
    <w:uiPriority w:val="1"/>
    <w:pPr>
      <w:adjustRightInd w:val="0"/>
      <w:snapToGrid w:val="0"/>
    </w:pPr>
    <w:rPr>
      <w:rFonts w:ascii="Tahoma" w:hAnsi="Tahoma" w:eastAsia="微软雅黑" w:cs="Times New Roman"/>
      <w:sz w:val="22"/>
      <w:szCs w:val="22"/>
      <w:lang w:val="en-US" w:eastAsia="zh-CN" w:bidi="ar-SA"/>
    </w:rPr>
  </w:style>
  <w:style w:type="paragraph" w:customStyle="1" w:styleId="543">
    <w:name w:val="xl5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44">
    <w:name w:val="xl168"/>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545">
    <w:name w:val="xl111"/>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46">
    <w:name w:val="xl143"/>
    <w:basedOn w:val="1"/>
    <w:qFormat/>
    <w:uiPriority w:val="0"/>
    <w:pPr>
      <w:widowControl/>
      <w:pBdr>
        <w:top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47">
    <w:name w:val="1 Char Char Char Char"/>
    <w:basedOn w:val="1"/>
    <w:qFormat/>
    <w:uiPriority w:val="0"/>
  </w:style>
  <w:style w:type="paragraph" w:customStyle="1" w:styleId="548">
    <w:name w:val="Style73"/>
    <w:basedOn w:val="1"/>
    <w:unhideWhenUsed/>
    <w:qFormat/>
    <w:uiPriority w:val="0"/>
    <w:pPr>
      <w:spacing w:line="538" w:lineRule="exact"/>
      <w:ind w:firstLine="533"/>
    </w:pPr>
  </w:style>
  <w:style w:type="paragraph" w:customStyle="1" w:styleId="549">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550">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5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bottom"/>
    </w:pPr>
    <w:rPr>
      <w:rFonts w:ascii="宋体" w:hAnsi="宋体" w:cs="宋体"/>
      <w:kern w:val="0"/>
      <w:sz w:val="20"/>
      <w:szCs w:val="20"/>
    </w:rPr>
  </w:style>
  <w:style w:type="paragraph" w:customStyle="1" w:styleId="552">
    <w:name w:val="xl147"/>
    <w:basedOn w:val="1"/>
    <w:qFormat/>
    <w:uiPriority w:val="0"/>
    <w:pPr>
      <w:widowControl/>
      <w:pBdr>
        <w:lef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553">
    <w:name w:val="Style63"/>
    <w:basedOn w:val="1"/>
    <w:unhideWhenUsed/>
    <w:qFormat/>
    <w:uiPriority w:val="0"/>
    <w:pPr>
      <w:spacing w:line="564" w:lineRule="exact"/>
      <w:ind w:firstLine="682"/>
    </w:pPr>
  </w:style>
  <w:style w:type="paragraph" w:customStyle="1" w:styleId="554">
    <w:name w:val="xl172"/>
    <w:basedOn w:val="1"/>
    <w:qFormat/>
    <w:uiPriority w:val="0"/>
    <w:pPr>
      <w:widowControl/>
      <w:pBdr>
        <w:top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55">
    <w:name w:val="Char1 Char Char Char 字元 Char Char 字元 Char 字元 Char1 Char Char Char"/>
    <w:basedOn w:val="1"/>
    <w:qFormat/>
    <w:uiPriority w:val="0"/>
    <w:rPr>
      <w:szCs w:val="20"/>
    </w:rPr>
  </w:style>
  <w:style w:type="paragraph" w:customStyle="1" w:styleId="556">
    <w:name w:val="Char Char1 Char Char Char Char Char Char"/>
    <w:basedOn w:val="1"/>
    <w:qFormat/>
    <w:uiPriority w:val="0"/>
    <w:pPr>
      <w:widowControl/>
      <w:overflowPunct w:val="0"/>
      <w:spacing w:after="160" w:line="240" w:lineRule="exact"/>
      <w:ind w:firstLine="200" w:firstLineChars="200"/>
      <w:jc w:val="left"/>
    </w:pPr>
    <w:rPr>
      <w:rFonts w:ascii="Arial Unicode MS" w:hAnsi="Arial Unicode MS" w:eastAsia="Arial Unicode MS" w:cs="Arial Unicode MS"/>
      <w:szCs w:val="21"/>
    </w:rPr>
  </w:style>
  <w:style w:type="paragraph" w:customStyle="1" w:styleId="557">
    <w:name w:val="样式 宋体 首行缩进:  2 字符1"/>
    <w:basedOn w:val="1"/>
    <w:qFormat/>
    <w:uiPriority w:val="0"/>
    <w:pPr>
      <w:spacing w:line="300" w:lineRule="auto"/>
      <w:ind w:firstLine="480" w:firstLineChars="200"/>
    </w:pPr>
    <w:rPr>
      <w:rFonts w:ascii="宋体" w:hAnsi="宋体"/>
      <w:sz w:val="24"/>
      <w:szCs w:val="20"/>
    </w:rPr>
  </w:style>
  <w:style w:type="paragraph" w:customStyle="1" w:styleId="558">
    <w:name w:val="Style67"/>
    <w:basedOn w:val="1"/>
    <w:unhideWhenUsed/>
    <w:qFormat/>
    <w:uiPriority w:val="0"/>
    <w:pPr>
      <w:spacing w:line="566" w:lineRule="exact"/>
      <w:ind w:firstLine="552"/>
    </w:pPr>
  </w:style>
  <w:style w:type="paragraph" w:customStyle="1" w:styleId="559">
    <w:name w:val="MM Notes"/>
    <w:basedOn w:val="129"/>
    <w:qFormat/>
    <w:uiPriority w:val="0"/>
  </w:style>
  <w:style w:type="paragraph" w:customStyle="1" w:styleId="560">
    <w:name w:val="xl74"/>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561">
    <w:name w:val="xl109"/>
    <w:basedOn w:val="1"/>
    <w:qFormat/>
    <w:uiPriority w:val="0"/>
    <w:pPr>
      <w:widowControl/>
      <w:pBdr>
        <w:top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62">
    <w:name w:val="xl103"/>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563">
    <w:name w:val="font9"/>
    <w:basedOn w:val="1"/>
    <w:qFormat/>
    <w:uiPriority w:val="0"/>
    <w:pPr>
      <w:widowControl/>
      <w:spacing w:before="100" w:beforeAutospacing="1" w:after="100" w:afterAutospacing="1" w:line="360" w:lineRule="auto"/>
      <w:ind w:firstLine="200" w:firstLineChars="200"/>
      <w:jc w:val="left"/>
    </w:pPr>
    <w:rPr>
      <w:rFonts w:ascii="宋体" w:hAnsi="宋体" w:cs="宋体"/>
      <w:color w:val="000000"/>
      <w:kern w:val="0"/>
      <w:sz w:val="18"/>
      <w:szCs w:val="18"/>
    </w:rPr>
  </w:style>
  <w:style w:type="paragraph" w:customStyle="1" w:styleId="564">
    <w:name w:val="xl56"/>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65">
    <w:name w:val="Char Char Char"/>
    <w:basedOn w:val="1"/>
    <w:qFormat/>
    <w:uiPriority w:val="0"/>
    <w:rPr>
      <w:rFonts w:ascii="宋体" w:hAnsi="宋体"/>
      <w:b/>
      <w:sz w:val="28"/>
      <w:szCs w:val="28"/>
    </w:rPr>
  </w:style>
  <w:style w:type="paragraph" w:customStyle="1" w:styleId="566">
    <w:name w:val="xl36"/>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567">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color w:val="FF0000"/>
      <w:kern w:val="0"/>
      <w:sz w:val="20"/>
      <w:szCs w:val="20"/>
    </w:rPr>
  </w:style>
  <w:style w:type="paragraph" w:customStyle="1" w:styleId="568">
    <w:name w:val="报告正文"/>
    <w:basedOn w:val="1"/>
    <w:qFormat/>
    <w:uiPriority w:val="0"/>
    <w:pPr>
      <w:widowControl/>
      <w:autoSpaceDE w:val="0"/>
      <w:autoSpaceDN w:val="0"/>
      <w:spacing w:line="360" w:lineRule="auto"/>
      <w:ind w:firstLine="200" w:firstLineChars="200"/>
      <w:jc w:val="left"/>
    </w:pPr>
    <w:rPr>
      <w:kern w:val="0"/>
      <w:szCs w:val="21"/>
    </w:rPr>
  </w:style>
  <w:style w:type="paragraph" w:customStyle="1" w:styleId="569">
    <w:name w:val="Style54"/>
    <w:basedOn w:val="1"/>
    <w:unhideWhenUsed/>
    <w:qFormat/>
    <w:uiPriority w:val="0"/>
  </w:style>
  <w:style w:type="paragraph" w:customStyle="1" w:styleId="570">
    <w:name w:val="light3"/>
    <w:basedOn w:val="1"/>
    <w:qFormat/>
    <w:uiPriority w:val="0"/>
    <w:pPr>
      <w:keepNext/>
      <w:keepLines/>
      <w:numPr>
        <w:ilvl w:val="2"/>
        <w:numId w:val="5"/>
      </w:numPr>
      <w:spacing w:before="480" w:after="120" w:line="360" w:lineRule="auto"/>
      <w:outlineLvl w:val="2"/>
    </w:pPr>
    <w:rPr>
      <w:rFonts w:ascii="宋体" w:hAnsi="宋体"/>
      <w:b/>
      <w:bCs/>
      <w:sz w:val="28"/>
      <w:szCs w:val="28"/>
    </w:rPr>
  </w:style>
  <w:style w:type="paragraph" w:customStyle="1" w:styleId="571">
    <w:name w:val="表标题"/>
    <w:basedOn w:val="1"/>
    <w:next w:val="1"/>
    <w:qFormat/>
    <w:uiPriority w:val="0"/>
    <w:pPr>
      <w:widowControl/>
      <w:numPr>
        <w:ilvl w:val="0"/>
        <w:numId w:val="12"/>
      </w:numPr>
      <w:spacing w:before="100" w:beforeAutospacing="1" w:after="100" w:afterAutospacing="1" w:line="360" w:lineRule="auto"/>
      <w:ind w:firstLine="200" w:firstLineChars="200"/>
      <w:jc w:val="center"/>
    </w:pPr>
    <w:rPr>
      <w:rFonts w:ascii="宋体" w:hAnsi="宋体" w:cs="宋体"/>
      <w:sz w:val="24"/>
    </w:rPr>
  </w:style>
  <w:style w:type="paragraph" w:customStyle="1" w:styleId="572">
    <w:name w:val="xl153"/>
    <w:basedOn w:val="1"/>
    <w:qFormat/>
    <w:uiPriority w:val="0"/>
    <w:pPr>
      <w:widowControl/>
      <w:pBdr>
        <w:left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73">
    <w:name w:val="样式 表格文字加粗 + 宋体 五号"/>
    <w:basedOn w:val="1"/>
    <w:qFormat/>
    <w:uiPriority w:val="0"/>
    <w:pPr>
      <w:snapToGrid w:val="0"/>
      <w:spacing w:line="360" w:lineRule="auto"/>
      <w:jc w:val="center"/>
    </w:pPr>
    <w:rPr>
      <w:rFonts w:ascii="宋体" w:hAnsi="宋体" w:cs="宋体"/>
      <w:sz w:val="18"/>
      <w:szCs w:val="18"/>
    </w:rPr>
  </w:style>
  <w:style w:type="paragraph" w:customStyle="1" w:styleId="574">
    <w:name w:val="Style26"/>
    <w:basedOn w:val="1"/>
    <w:unhideWhenUsed/>
    <w:qFormat/>
    <w:uiPriority w:val="0"/>
  </w:style>
  <w:style w:type="paragraph" w:customStyle="1" w:styleId="575">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left"/>
    </w:pPr>
    <w:rPr>
      <w:kern w:val="0"/>
      <w:sz w:val="20"/>
      <w:szCs w:val="20"/>
    </w:rPr>
  </w:style>
  <w:style w:type="paragraph" w:customStyle="1" w:styleId="576">
    <w:name w:val="样式 表格文字 + 宋体 五号"/>
    <w:basedOn w:val="70"/>
    <w:qFormat/>
    <w:uiPriority w:val="0"/>
    <w:pPr>
      <w:widowControl/>
      <w:snapToGrid w:val="0"/>
      <w:spacing w:line="240" w:lineRule="auto"/>
      <w:ind w:firstLine="0" w:firstLineChars="0"/>
      <w:jc w:val="center"/>
    </w:pPr>
    <w:rPr>
      <w:rFonts w:ascii="宋体" w:hAnsi="宋体" w:cs="宋体"/>
      <w:sz w:val="18"/>
      <w:szCs w:val="18"/>
    </w:rPr>
  </w:style>
  <w:style w:type="paragraph" w:customStyle="1" w:styleId="577">
    <w:name w:val="font5"/>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578">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579">
    <w:name w:val="Char Char1 Char Char Char Char Char Char Char Char"/>
    <w:basedOn w:val="1"/>
    <w:qFormat/>
    <w:uiPriority w:val="0"/>
    <w:pPr>
      <w:widowControl/>
      <w:spacing w:after="160" w:line="240" w:lineRule="exact"/>
      <w:ind w:firstLine="200" w:firstLineChars="200"/>
      <w:jc w:val="left"/>
    </w:pPr>
    <w:rPr>
      <w:rFonts w:ascii="Verdana" w:hAnsi="Verdana" w:cs="Verdana"/>
      <w:kern w:val="0"/>
      <w:sz w:val="20"/>
      <w:szCs w:val="20"/>
      <w:lang w:eastAsia="en-US"/>
    </w:rPr>
  </w:style>
  <w:style w:type="paragraph" w:customStyle="1" w:styleId="580">
    <w:name w:val="xl150"/>
    <w:basedOn w:val="1"/>
    <w:qFormat/>
    <w:uiPriority w:val="0"/>
    <w:pPr>
      <w:widowControl/>
      <w:pBdr>
        <w:left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8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82">
    <w:name w:val="font10"/>
    <w:basedOn w:val="1"/>
    <w:qFormat/>
    <w:uiPriority w:val="0"/>
    <w:pPr>
      <w:widowControl/>
      <w:spacing w:before="100" w:beforeAutospacing="1" w:after="100" w:afterAutospacing="1" w:line="360" w:lineRule="auto"/>
      <w:ind w:firstLine="200" w:firstLineChars="200"/>
      <w:jc w:val="left"/>
    </w:pPr>
    <w:rPr>
      <w:rFonts w:ascii="宋体" w:hAnsi="宋体" w:cs="宋体"/>
      <w:b/>
      <w:bCs/>
      <w:color w:val="000000"/>
      <w:kern w:val="0"/>
      <w:sz w:val="18"/>
      <w:szCs w:val="18"/>
    </w:rPr>
  </w:style>
  <w:style w:type="paragraph" w:customStyle="1" w:styleId="583">
    <w:name w:val="标准文件_封面标准名称"/>
    <w:basedOn w:val="1"/>
    <w:qFormat/>
    <w:uiPriority w:val="0"/>
    <w:pPr>
      <w:adjustRightInd w:val="0"/>
      <w:spacing w:beforeLines="100" w:line="500" w:lineRule="exact"/>
      <w:ind w:firstLine="200" w:firstLineChars="200"/>
      <w:jc w:val="center"/>
    </w:pPr>
    <w:rPr>
      <w:rFonts w:ascii="黑体" w:eastAsia="黑体" w:cs="黑体"/>
      <w:kern w:val="0"/>
      <w:sz w:val="52"/>
      <w:szCs w:val="52"/>
    </w:rPr>
  </w:style>
  <w:style w:type="paragraph" w:customStyle="1" w:styleId="584">
    <w:name w:val="标题 3 + 右侧:  1 字符1"/>
    <w:basedOn w:val="4"/>
    <w:qFormat/>
    <w:uiPriority w:val="0"/>
    <w:pPr>
      <w:tabs>
        <w:tab w:val="left" w:pos="720"/>
      </w:tabs>
      <w:spacing w:line="415" w:lineRule="auto"/>
      <w:ind w:left="1522" w:hanging="1102"/>
    </w:pPr>
    <w:rPr>
      <w:rFonts w:cs="宋体"/>
      <w:szCs w:val="20"/>
    </w:rPr>
  </w:style>
  <w:style w:type="paragraph" w:customStyle="1" w:styleId="585">
    <w:name w:val="xl164"/>
    <w:basedOn w:val="1"/>
    <w:qFormat/>
    <w:uiPriority w:val="0"/>
    <w:pPr>
      <w:widowControl/>
      <w:pBdr>
        <w:top w:val="single" w:color="auto" w:sz="4" w:space="0"/>
        <w:left w:val="single" w:color="auto" w:sz="4" w:space="0"/>
        <w:bottom w:val="single" w:color="auto" w:sz="4" w:space="0"/>
      </w:pBdr>
      <w:shd w:val="clear" w:color="auto" w:fill="FF00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586">
    <w:name w:val="xl108"/>
    <w:basedOn w:val="1"/>
    <w:qFormat/>
    <w:uiPriority w:val="0"/>
    <w:pPr>
      <w:widowControl/>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8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588">
    <w:name w:val="_Style 39"/>
    <w:basedOn w:val="454"/>
    <w:qFormat/>
    <w:uiPriority w:val="0"/>
  </w:style>
  <w:style w:type="paragraph" w:customStyle="1" w:styleId="589">
    <w:name w:val="Style52"/>
    <w:basedOn w:val="1"/>
    <w:unhideWhenUsed/>
    <w:qFormat/>
    <w:uiPriority w:val="0"/>
    <w:pPr>
      <w:spacing w:line="682" w:lineRule="exact"/>
      <w:ind w:firstLine="557"/>
    </w:pPr>
  </w:style>
  <w:style w:type="paragraph" w:customStyle="1" w:styleId="590">
    <w:name w:val="default"/>
    <w:basedOn w:val="1"/>
    <w:qFormat/>
    <w:uiPriority w:val="0"/>
    <w:pPr>
      <w:widowControl/>
      <w:spacing w:line="360" w:lineRule="auto"/>
      <w:ind w:firstLine="200" w:firstLineChars="200"/>
      <w:jc w:val="left"/>
    </w:pPr>
    <w:rPr>
      <w:rFonts w:ascii="宋体" w:hAnsi="宋体" w:cs="宋体"/>
      <w:kern w:val="0"/>
      <w:sz w:val="24"/>
    </w:rPr>
  </w:style>
  <w:style w:type="paragraph" w:customStyle="1" w:styleId="591">
    <w:name w:val="Style8"/>
    <w:basedOn w:val="1"/>
    <w:unhideWhenUsed/>
    <w:qFormat/>
    <w:uiPriority w:val="0"/>
    <w:pPr>
      <w:spacing w:line="566" w:lineRule="exact"/>
      <w:jc w:val="center"/>
    </w:pPr>
  </w:style>
  <w:style w:type="paragraph" w:customStyle="1" w:styleId="592">
    <w:name w:val="xl48"/>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93">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594">
    <w:name w:val="xl177"/>
    <w:basedOn w:val="1"/>
    <w:qFormat/>
    <w:uiPriority w:val="0"/>
    <w:pPr>
      <w:widowControl/>
      <w:pBdr>
        <w:top w:val="single" w:color="auto" w:sz="4" w:space="0"/>
        <w:bottom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595">
    <w:name w:val="1"/>
    <w:basedOn w:val="1"/>
    <w:qFormat/>
    <w:uiPriority w:val="0"/>
    <w:pPr>
      <w:spacing w:afterLines="50" w:line="360" w:lineRule="auto"/>
    </w:pPr>
    <w:rPr>
      <w:rFonts w:ascii="宋体" w:hAnsi="宋体"/>
      <w:b/>
      <w:sz w:val="30"/>
      <w:szCs w:val="21"/>
    </w:rPr>
  </w:style>
  <w:style w:type="paragraph" w:customStyle="1" w:styleId="596">
    <w:name w:val="样式 标题 3sect1.2.3h33H3Heading 3 - oldCTLevel 3 Topic Headi..."/>
    <w:basedOn w:val="4"/>
    <w:semiHidden/>
    <w:qFormat/>
    <w:uiPriority w:val="0"/>
    <w:pPr>
      <w:numPr>
        <w:ilvl w:val="0"/>
        <w:numId w:val="13"/>
      </w:numPr>
      <w:tabs>
        <w:tab w:val="left" w:pos="0"/>
        <w:tab w:val="left" w:pos="720"/>
      </w:tabs>
      <w:adjustRightInd w:val="0"/>
      <w:spacing w:line="415" w:lineRule="auto"/>
      <w:ind w:hanging="1620"/>
      <w:jc w:val="left"/>
      <w:textAlignment w:val="baseline"/>
    </w:pPr>
    <w:rPr>
      <w:rFonts w:ascii="Tahoma" w:hAnsi="Tahoma" w:cs="Tahoma"/>
      <w:color w:val="000000"/>
      <w:kern w:val="24"/>
    </w:rPr>
  </w:style>
  <w:style w:type="paragraph" w:customStyle="1" w:styleId="597">
    <w:name w:val="Char Char Char1 Char1"/>
    <w:basedOn w:val="1"/>
    <w:qFormat/>
    <w:uiPriority w:val="0"/>
    <w:pPr>
      <w:tabs>
        <w:tab w:val="left" w:pos="360"/>
      </w:tabs>
      <w:snapToGrid w:val="0"/>
      <w:spacing w:line="360" w:lineRule="auto"/>
    </w:pPr>
    <w:rPr>
      <w:rFonts w:eastAsia="仿宋_GB2312" w:cs="宋体"/>
      <w:sz w:val="24"/>
    </w:rPr>
  </w:style>
  <w:style w:type="paragraph" w:customStyle="1" w:styleId="598">
    <w:name w:val="Style36"/>
    <w:basedOn w:val="1"/>
    <w:unhideWhenUsed/>
    <w:qFormat/>
    <w:uiPriority w:val="0"/>
  </w:style>
  <w:style w:type="paragraph" w:customStyle="1" w:styleId="599">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600">
    <w:name w:val="列出段落3"/>
    <w:basedOn w:val="1"/>
    <w:qFormat/>
    <w:uiPriority w:val="0"/>
    <w:pPr>
      <w:spacing w:line="360" w:lineRule="auto"/>
      <w:ind w:firstLine="420" w:firstLineChars="200"/>
      <w:jc w:val="left"/>
    </w:pPr>
    <w:rPr>
      <w:rFonts w:ascii="Calibri" w:hAnsi="Calibri" w:cs="Calibri"/>
      <w:szCs w:val="21"/>
    </w:rPr>
  </w:style>
  <w:style w:type="paragraph" w:customStyle="1" w:styleId="601">
    <w:name w:val="标准文件_四级条标题"/>
    <w:basedOn w:val="602"/>
    <w:next w:val="134"/>
    <w:qFormat/>
    <w:uiPriority w:val="0"/>
    <w:pPr>
      <w:numPr>
        <w:ilvl w:val="5"/>
      </w:numPr>
      <w:outlineLvl w:val="5"/>
    </w:pPr>
  </w:style>
  <w:style w:type="paragraph" w:customStyle="1" w:styleId="602">
    <w:name w:val="标准文件_三级条标题"/>
    <w:basedOn w:val="429"/>
    <w:next w:val="134"/>
    <w:qFormat/>
    <w:uiPriority w:val="0"/>
    <w:pPr>
      <w:numPr>
        <w:ilvl w:val="4"/>
      </w:numPr>
      <w:outlineLvl w:val="4"/>
    </w:pPr>
  </w:style>
  <w:style w:type="paragraph" w:customStyle="1" w:styleId="603">
    <w:name w:val="light7"/>
    <w:basedOn w:val="9"/>
    <w:qFormat/>
    <w:uiPriority w:val="0"/>
    <w:pPr>
      <w:numPr>
        <w:ilvl w:val="6"/>
        <w:numId w:val="5"/>
      </w:numPr>
      <w:tabs>
        <w:tab w:val="left" w:pos="3840"/>
        <w:tab w:val="clear" w:pos="5791"/>
      </w:tabs>
      <w:adjustRightInd/>
      <w:spacing w:line="320" w:lineRule="auto"/>
      <w:jc w:val="both"/>
      <w:textAlignment w:val="auto"/>
    </w:pPr>
    <w:rPr>
      <w:rFonts w:ascii="Cambria" w:hAnsi="Cambria" w:eastAsia="宋体"/>
      <w:kern w:val="2"/>
      <w:sz w:val="21"/>
      <w:szCs w:val="21"/>
    </w:rPr>
  </w:style>
  <w:style w:type="paragraph" w:customStyle="1" w:styleId="604">
    <w:name w:val="xl174"/>
    <w:basedOn w:val="1"/>
    <w:qFormat/>
    <w:uiPriority w:val="0"/>
    <w:pPr>
      <w:widowControl/>
      <w:pBdr>
        <w:left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605">
    <w:name w:val="栖霞5级标题"/>
    <w:basedOn w:val="6"/>
    <w:qFormat/>
    <w:uiPriority w:val="0"/>
    <w:pPr>
      <w:widowControl/>
      <w:tabs>
        <w:tab w:val="left" w:pos="0"/>
        <w:tab w:val="left" w:pos="360"/>
      </w:tabs>
      <w:adjustRightInd/>
      <w:spacing w:beforeLines="50" w:afterLines="50" w:line="240" w:lineRule="auto"/>
      <w:ind w:left="100" w:leftChars="100" w:right="100" w:firstLine="200" w:firstLineChars="200"/>
      <w:jc w:val="both"/>
      <w:textAlignment w:val="auto"/>
    </w:pPr>
    <w:rPr>
      <w:rFonts w:ascii="微软雅黑" w:hAnsi="微软雅黑" w:eastAsia="微软雅黑" w:cs="微软雅黑"/>
      <w:kern w:val="44"/>
      <w:sz w:val="24"/>
      <w:szCs w:val="24"/>
    </w:rPr>
  </w:style>
  <w:style w:type="paragraph" w:customStyle="1" w:styleId="606">
    <w:name w:val="xl156"/>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607">
    <w:name w:val="样式 样式 标题 1H1propapp heading 1app heading 11app heading 12app ......"/>
    <w:basedOn w:val="510"/>
    <w:qFormat/>
    <w:uiPriority w:val="0"/>
    <w:pPr>
      <w:pageBreakBefore w:val="0"/>
      <w:numPr>
        <w:numId w:val="0"/>
      </w:numPr>
      <w:tabs>
        <w:tab w:val="left" w:pos="780"/>
      </w:tabs>
      <w:spacing w:before="360" w:line="360" w:lineRule="auto"/>
      <w:ind w:left="780" w:hanging="360"/>
    </w:pPr>
    <w:rPr>
      <w:color w:val="auto"/>
      <w:sz w:val="32"/>
      <w:szCs w:val="32"/>
    </w:rPr>
  </w:style>
  <w:style w:type="paragraph" w:customStyle="1" w:styleId="60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09">
    <w:name w:val="xl89"/>
    <w:basedOn w:val="1"/>
    <w:qFormat/>
    <w:uiPriority w:val="0"/>
    <w:pPr>
      <w:widowControl/>
      <w:pBdr>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610">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611">
    <w:name w:val="表格内文字"/>
    <w:basedOn w:val="1"/>
    <w:qFormat/>
    <w:uiPriority w:val="0"/>
    <w:pPr>
      <w:widowControl/>
      <w:spacing w:line="300" w:lineRule="atLeast"/>
      <w:ind w:firstLine="200" w:firstLineChars="200"/>
      <w:jc w:val="left"/>
    </w:pPr>
    <w:rPr>
      <w:rFonts w:ascii="宋体" w:cs="宋体"/>
      <w:kern w:val="0"/>
      <w:szCs w:val="21"/>
    </w:rPr>
  </w:style>
  <w:style w:type="paragraph" w:customStyle="1" w:styleId="6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13">
    <w:name w:val="Style12"/>
    <w:basedOn w:val="1"/>
    <w:unhideWhenUsed/>
    <w:qFormat/>
    <w:uiPriority w:val="0"/>
    <w:pPr>
      <w:spacing w:line="564" w:lineRule="exact"/>
      <w:ind w:hanging="115"/>
    </w:pPr>
  </w:style>
  <w:style w:type="paragraph" w:customStyle="1" w:styleId="614">
    <w:name w:val="四级条标题"/>
    <w:basedOn w:val="527"/>
    <w:next w:val="1"/>
    <w:qFormat/>
    <w:uiPriority w:val="0"/>
    <w:pPr>
      <w:numPr>
        <w:ilvl w:val="4"/>
      </w:numPr>
      <w:outlineLvl w:val="5"/>
    </w:pPr>
  </w:style>
  <w:style w:type="paragraph" w:customStyle="1" w:styleId="615">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16">
    <w:name w:val="xl9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617">
    <w:name w:val="xl75"/>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18">
    <w:name w:val="xl96"/>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left"/>
    </w:pPr>
    <w:rPr>
      <w:kern w:val="0"/>
      <w:sz w:val="20"/>
      <w:szCs w:val="20"/>
    </w:rPr>
  </w:style>
  <w:style w:type="paragraph" w:customStyle="1" w:styleId="619">
    <w:name w:val="Char1 Char Char Char Char Char Char Char Char Char"/>
    <w:basedOn w:val="1"/>
    <w:qFormat/>
    <w:uiPriority w:val="0"/>
    <w:pPr>
      <w:spacing w:line="360" w:lineRule="auto"/>
    </w:pPr>
    <w:rPr>
      <w:szCs w:val="21"/>
    </w:rPr>
  </w:style>
  <w:style w:type="paragraph" w:customStyle="1" w:styleId="620">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621">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622">
    <w:name w:val="无间距1"/>
    <w:qFormat/>
    <w:uiPriority w:val="0"/>
    <w:pPr>
      <w:widowControl w:val="0"/>
      <w:jc w:val="both"/>
    </w:pPr>
    <w:rPr>
      <w:rFonts w:ascii="Calibri" w:hAnsi="Calibri" w:eastAsia="宋体" w:cs="Calibri"/>
      <w:kern w:val="2"/>
      <w:sz w:val="21"/>
      <w:szCs w:val="21"/>
      <w:lang w:val="en-US" w:eastAsia="zh-CN" w:bidi="ar-SA"/>
    </w:rPr>
  </w:style>
  <w:style w:type="paragraph" w:customStyle="1" w:styleId="623">
    <w:name w:val="Char3 Char Char Char"/>
    <w:basedOn w:val="1"/>
    <w:qFormat/>
    <w:uiPriority w:val="0"/>
    <w:pPr>
      <w:widowControl/>
      <w:spacing w:after="160" w:line="240" w:lineRule="exact"/>
      <w:ind w:firstLine="200" w:firstLineChars="200"/>
      <w:jc w:val="left"/>
    </w:pPr>
    <w:rPr>
      <w:rFonts w:ascii="Verdana" w:hAnsi="Verdana" w:eastAsia="黑体" w:cs="Verdana"/>
      <w:kern w:val="0"/>
      <w:sz w:val="28"/>
      <w:szCs w:val="28"/>
      <w:lang w:eastAsia="en-US"/>
    </w:rPr>
  </w:style>
  <w:style w:type="paragraph" w:customStyle="1" w:styleId="624">
    <w:name w:val="xl58"/>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25">
    <w:name w:val="符号3-zy"/>
    <w:basedOn w:val="1"/>
    <w:qFormat/>
    <w:uiPriority w:val="0"/>
    <w:pPr>
      <w:numPr>
        <w:ilvl w:val="0"/>
        <w:numId w:val="14"/>
      </w:numPr>
      <w:tabs>
        <w:tab w:val="left" w:pos="907"/>
      </w:tabs>
      <w:spacing w:line="360" w:lineRule="auto"/>
      <w:ind w:firstLine="200" w:firstLineChars="200"/>
    </w:pPr>
    <w:rPr>
      <w:rFonts w:ascii="Calibri" w:hAnsi="宋体" w:cs="Calibri"/>
      <w:sz w:val="24"/>
    </w:rPr>
  </w:style>
  <w:style w:type="paragraph" w:customStyle="1" w:styleId="626">
    <w:name w:val="五级条标题"/>
    <w:basedOn w:val="614"/>
    <w:next w:val="1"/>
    <w:qFormat/>
    <w:uiPriority w:val="0"/>
    <w:pPr>
      <w:numPr>
        <w:ilvl w:val="5"/>
      </w:numPr>
      <w:ind w:left="0"/>
      <w:outlineLvl w:val="6"/>
    </w:pPr>
  </w:style>
  <w:style w:type="paragraph" w:customStyle="1" w:styleId="627">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28">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629">
    <w:name w:val="样式 正文缩进正文（首行缩进两字）表正文正文非缩进Normal Indent特点Alt+Xmr正文缩进正文缩进W..."/>
    <w:basedOn w:val="1"/>
    <w:qFormat/>
    <w:uiPriority w:val="0"/>
    <w:pPr>
      <w:adjustRightInd w:val="0"/>
      <w:spacing w:line="312" w:lineRule="auto"/>
      <w:textAlignment w:val="baseline"/>
    </w:pPr>
    <w:rPr>
      <w:rFonts w:ascii="宋体" w:hAnsi="宋体" w:cs="宋体"/>
      <w:sz w:val="24"/>
    </w:rPr>
  </w:style>
  <w:style w:type="paragraph" w:customStyle="1" w:styleId="630">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631">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b/>
      <w:bCs/>
      <w:kern w:val="0"/>
      <w:sz w:val="20"/>
      <w:szCs w:val="20"/>
    </w:rPr>
  </w:style>
  <w:style w:type="paragraph" w:customStyle="1" w:styleId="632">
    <w:name w:val="Picture"/>
    <w:basedOn w:val="1"/>
    <w:qFormat/>
    <w:uiPriority w:val="0"/>
    <w:pPr>
      <w:spacing w:before="120" w:line="288" w:lineRule="auto"/>
      <w:ind w:left="1247"/>
      <w:jc w:val="left"/>
    </w:pPr>
    <w:rPr>
      <w:rFonts w:ascii="Arial" w:hAnsi="Arial" w:cs="Arial"/>
      <w:kern w:val="44"/>
      <w:szCs w:val="21"/>
    </w:rPr>
  </w:style>
  <w:style w:type="paragraph" w:customStyle="1" w:styleId="633">
    <w:name w:val="xl144"/>
    <w:basedOn w:val="1"/>
    <w:qFormat/>
    <w:uiPriority w:val="0"/>
    <w:pPr>
      <w:widowControl/>
      <w:pBdr>
        <w:top w:val="single" w:color="auto" w:sz="4" w:space="0"/>
        <w:left w:val="single" w:color="auto" w:sz="4" w:space="0"/>
        <w:bottom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34">
    <w:name w:val="Char12"/>
    <w:basedOn w:val="1"/>
    <w:qFormat/>
    <w:uiPriority w:val="0"/>
    <w:pPr>
      <w:widowControl/>
      <w:spacing w:after="160" w:line="240" w:lineRule="exact"/>
      <w:jc w:val="left"/>
    </w:pPr>
    <w:rPr>
      <w:rFonts w:ascii="Verdana" w:hAnsi="Verdana"/>
      <w:kern w:val="0"/>
      <w:sz w:val="20"/>
      <w:szCs w:val="20"/>
      <w:lang w:eastAsia="en-US"/>
    </w:rPr>
  </w:style>
  <w:style w:type="paragraph" w:customStyle="1" w:styleId="635">
    <w:name w:val="hidden"/>
    <w:basedOn w:val="1"/>
    <w:qFormat/>
    <w:uiPriority w:val="0"/>
    <w:pPr>
      <w:widowControl/>
      <w:spacing w:before="100" w:beforeAutospacing="1" w:after="100" w:afterAutospacing="1" w:line="360" w:lineRule="auto"/>
      <w:jc w:val="left"/>
    </w:pPr>
    <w:rPr>
      <w:kern w:val="0"/>
      <w:sz w:val="24"/>
    </w:rPr>
  </w:style>
  <w:style w:type="paragraph" w:customStyle="1" w:styleId="636">
    <w:name w:val="doublepad"/>
    <w:basedOn w:val="1"/>
    <w:qFormat/>
    <w:uiPriority w:val="0"/>
    <w:pPr>
      <w:widowControl/>
      <w:spacing w:before="100" w:beforeAutospacing="1" w:after="100" w:afterAutospacing="1" w:line="360" w:lineRule="auto"/>
      <w:ind w:left="510"/>
      <w:jc w:val="left"/>
    </w:pPr>
    <w:rPr>
      <w:kern w:val="0"/>
      <w:sz w:val="24"/>
    </w:rPr>
  </w:style>
  <w:style w:type="paragraph" w:customStyle="1" w:styleId="637">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b/>
      <w:bCs/>
      <w:kern w:val="0"/>
      <w:sz w:val="20"/>
      <w:szCs w:val="20"/>
    </w:rPr>
  </w:style>
  <w:style w:type="paragraph" w:customStyle="1" w:styleId="638">
    <w:name w:val="Colorful List - Accent 11"/>
    <w:basedOn w:val="1"/>
    <w:qFormat/>
    <w:uiPriority w:val="0"/>
    <w:pPr>
      <w:spacing w:line="360" w:lineRule="auto"/>
      <w:ind w:firstLine="420" w:firstLineChars="200"/>
      <w:jc w:val="left"/>
    </w:pPr>
    <w:rPr>
      <w:szCs w:val="21"/>
    </w:rPr>
  </w:style>
  <w:style w:type="paragraph" w:customStyle="1" w:styleId="639">
    <w:name w:val="Style48"/>
    <w:basedOn w:val="1"/>
    <w:unhideWhenUsed/>
    <w:qFormat/>
    <w:uiPriority w:val="0"/>
    <w:pPr>
      <w:spacing w:line="542" w:lineRule="exact"/>
      <w:jc w:val="right"/>
    </w:pPr>
  </w:style>
  <w:style w:type="paragraph" w:customStyle="1" w:styleId="640">
    <w:name w:val="Char Char1 Char Char Char Char"/>
    <w:basedOn w:val="1"/>
    <w:qFormat/>
    <w:uiPriority w:val="0"/>
    <w:pPr>
      <w:spacing w:line="360" w:lineRule="auto"/>
      <w:ind w:firstLine="200" w:firstLineChars="200"/>
      <w:jc w:val="left"/>
    </w:pPr>
    <w:rPr>
      <w:szCs w:val="21"/>
    </w:rPr>
  </w:style>
  <w:style w:type="paragraph" w:customStyle="1" w:styleId="641">
    <w:name w:val="TableContent"/>
    <w:qFormat/>
    <w:uiPriority w:val="0"/>
    <w:pPr>
      <w:spacing w:before="40" w:after="40"/>
      <w:jc w:val="both"/>
    </w:pPr>
    <w:rPr>
      <w:rFonts w:ascii="Arial" w:hAnsi="Arial" w:eastAsia="宋体" w:cs="Arial"/>
      <w:kern w:val="44"/>
      <w:sz w:val="18"/>
      <w:szCs w:val="18"/>
      <w:lang w:val="en-US" w:eastAsia="zh-CN" w:bidi="ar-SA"/>
    </w:rPr>
  </w:style>
  <w:style w:type="paragraph" w:customStyle="1" w:styleId="642">
    <w:name w:val="TOC 标题2"/>
    <w:basedOn w:val="2"/>
    <w:next w:val="1"/>
    <w:qFormat/>
    <w:uiPriority w:val="0"/>
    <w:pPr>
      <w:keepLines/>
      <w:widowControl/>
      <w:spacing w:before="480" w:line="276" w:lineRule="auto"/>
      <w:jc w:val="left"/>
      <w:outlineLvl w:val="9"/>
    </w:pPr>
    <w:rPr>
      <w:rFonts w:ascii="Cambria" w:hAnsi="Cambria"/>
      <w:color w:val="365F91"/>
      <w:kern w:val="0"/>
      <w:sz w:val="28"/>
      <w:szCs w:val="28"/>
    </w:rPr>
  </w:style>
  <w:style w:type="paragraph" w:customStyle="1" w:styleId="643">
    <w:name w:val="xl9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644">
    <w:name w:val="样式 标题 5H5Appendix A  Heading 5dashdsddPIM 55h5Roman lis..."/>
    <w:basedOn w:val="6"/>
    <w:qFormat/>
    <w:uiPriority w:val="0"/>
    <w:pPr>
      <w:numPr>
        <w:ilvl w:val="4"/>
        <w:numId w:val="2"/>
      </w:numPr>
      <w:spacing w:before="120" w:after="60" w:line="360" w:lineRule="auto"/>
    </w:pPr>
    <w:rPr>
      <w:rFonts w:ascii="Arial" w:hAnsi="Arial" w:eastAsia="楷体_GB2312" w:cs="Arial"/>
      <w:sz w:val="24"/>
      <w:szCs w:val="24"/>
    </w:rPr>
  </w:style>
  <w:style w:type="paragraph" w:customStyle="1" w:styleId="645">
    <w:name w:val="xl171"/>
    <w:basedOn w:val="1"/>
    <w:qFormat/>
    <w:uiPriority w:val="0"/>
    <w:pPr>
      <w:widowControl/>
      <w:pBdr>
        <w:top w:val="single" w:color="auto" w:sz="4" w:space="0"/>
        <w:left w:val="single" w:color="auto" w:sz="4" w:space="0"/>
        <w:bottom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bottom"/>
    </w:pPr>
    <w:rPr>
      <w:rFonts w:ascii="宋体" w:hAnsi="宋体" w:cs="宋体"/>
      <w:kern w:val="0"/>
      <w:sz w:val="20"/>
      <w:szCs w:val="20"/>
    </w:rPr>
  </w:style>
  <w:style w:type="paragraph" w:customStyle="1" w:styleId="64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648">
    <w:name w:val="xl137"/>
    <w:basedOn w:val="1"/>
    <w:qFormat/>
    <w:uiPriority w:val="0"/>
    <w:pPr>
      <w:widowControl/>
      <w:pBdr>
        <w:top w:val="single" w:color="auto" w:sz="4" w:space="0"/>
        <w:left w:val="single" w:color="auto" w:sz="4" w:space="0"/>
        <w:bottom w:val="single" w:color="auto" w:sz="4" w:space="0"/>
      </w:pBdr>
      <w:shd w:val="clear" w:color="auto" w:fill="FF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649">
    <w:name w:val="xl7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left"/>
      <w:textAlignment w:val="bottom"/>
    </w:pPr>
    <w:rPr>
      <w:kern w:val="0"/>
      <w:sz w:val="20"/>
      <w:szCs w:val="20"/>
    </w:rPr>
  </w:style>
  <w:style w:type="paragraph" w:customStyle="1" w:styleId="650">
    <w:name w:val="xl93"/>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left"/>
    </w:pPr>
    <w:rPr>
      <w:kern w:val="0"/>
      <w:sz w:val="20"/>
      <w:szCs w:val="20"/>
    </w:rPr>
  </w:style>
  <w:style w:type="paragraph" w:customStyle="1" w:styleId="651">
    <w:name w:val="xl107"/>
    <w:basedOn w:val="1"/>
    <w:qFormat/>
    <w:uiPriority w:val="0"/>
    <w:pPr>
      <w:widowControl/>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52">
    <w:name w:val="xl43"/>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53">
    <w:name w:val="Char1 Char Char Char Char Char Char Char Char Char1"/>
    <w:basedOn w:val="1"/>
    <w:qFormat/>
    <w:uiPriority w:val="0"/>
    <w:rPr>
      <w:szCs w:val="20"/>
    </w:rPr>
  </w:style>
  <w:style w:type="paragraph" w:customStyle="1" w:styleId="654">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55">
    <w:name w:val="xl72"/>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left"/>
      <w:textAlignment w:val="bottom"/>
    </w:pPr>
    <w:rPr>
      <w:kern w:val="0"/>
      <w:sz w:val="20"/>
      <w:szCs w:val="20"/>
    </w:rPr>
  </w:style>
  <w:style w:type="paragraph" w:customStyle="1" w:styleId="656">
    <w:name w:val="xl176"/>
    <w:basedOn w:val="1"/>
    <w:qFormat/>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57">
    <w:name w:val="样式 正文缩进表正文正文非缩进正文对齐标题4Alt+Xmr正文缩进特点Normal Indent正文缩进Wil..."/>
    <w:basedOn w:val="14"/>
    <w:qFormat/>
    <w:uiPriority w:val="0"/>
    <w:pPr>
      <w:widowControl w:val="0"/>
      <w:spacing w:beforeLines="30" w:line="360" w:lineRule="auto"/>
      <w:ind w:firstLine="510" w:firstLineChars="200"/>
    </w:pPr>
    <w:rPr>
      <w:kern w:val="2"/>
      <w:sz w:val="24"/>
      <w:szCs w:val="24"/>
    </w:rPr>
  </w:style>
  <w:style w:type="paragraph" w:customStyle="1" w:styleId="658">
    <w:name w:val="Style59"/>
    <w:basedOn w:val="1"/>
    <w:unhideWhenUsed/>
    <w:qFormat/>
    <w:uiPriority w:val="0"/>
  </w:style>
  <w:style w:type="paragraph" w:customStyle="1" w:styleId="659">
    <w:name w:val="Char Char1 Char Char Char Char Char1 Char Char Char Char"/>
    <w:basedOn w:val="18"/>
    <w:qFormat/>
    <w:uiPriority w:val="0"/>
    <w:rPr>
      <w:rFonts w:ascii="Tahoma" w:hAnsi="Tahoma"/>
    </w:rPr>
  </w:style>
  <w:style w:type="paragraph" w:customStyle="1" w:styleId="660">
    <w:name w:val="样式 正文缩进表正文正文非缩进正文对齐标题4Alt+Xmr正文缩进特点Normal Indent正文缩进Wil...1"/>
    <w:basedOn w:val="14"/>
    <w:qFormat/>
    <w:uiPriority w:val="0"/>
    <w:pPr>
      <w:widowControl w:val="0"/>
      <w:spacing w:beforeLines="30" w:line="360" w:lineRule="auto"/>
      <w:ind w:firstLine="510" w:firstLineChars="200"/>
    </w:pPr>
    <w:rPr>
      <w:kern w:val="2"/>
      <w:sz w:val="24"/>
      <w:szCs w:val="24"/>
    </w:rPr>
  </w:style>
  <w:style w:type="paragraph" w:customStyle="1" w:styleId="661">
    <w:name w:val="xl165"/>
    <w:basedOn w:val="1"/>
    <w:qFormat/>
    <w:uiPriority w:val="0"/>
    <w:pPr>
      <w:widowControl/>
      <w:pBdr>
        <w:top w:val="single" w:color="auto" w:sz="4" w:space="0"/>
        <w:bottom w:val="single" w:color="auto" w:sz="4" w:space="0"/>
        <w:right w:val="single" w:color="auto" w:sz="4" w:space="0"/>
      </w:pBdr>
      <w:shd w:val="clear" w:color="auto" w:fill="FF00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662">
    <w:name w:val="Hanging 1"/>
    <w:basedOn w:val="491"/>
    <w:qFormat/>
    <w:uiPriority w:val="0"/>
    <w:pPr>
      <w:tabs>
        <w:tab w:val="left" w:pos="3402"/>
        <w:tab w:val="clear" w:pos="4320"/>
      </w:tabs>
      <w:spacing w:line="300" w:lineRule="auto"/>
      <w:ind w:left="3403" w:hanging="2552"/>
    </w:pPr>
    <w:rPr>
      <w:sz w:val="21"/>
      <w:szCs w:val="21"/>
    </w:rPr>
  </w:style>
  <w:style w:type="paragraph" w:customStyle="1" w:styleId="663">
    <w:name w:val="Style46"/>
    <w:basedOn w:val="1"/>
    <w:unhideWhenUsed/>
    <w:qFormat/>
    <w:uiPriority w:val="0"/>
    <w:pPr>
      <w:spacing w:line="672" w:lineRule="exact"/>
    </w:pPr>
  </w:style>
  <w:style w:type="paragraph" w:customStyle="1" w:styleId="664">
    <w:name w:val="xl88"/>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665">
    <w:name w:val="Style44"/>
    <w:basedOn w:val="1"/>
    <w:unhideWhenUsed/>
    <w:qFormat/>
    <w:uiPriority w:val="0"/>
  </w:style>
  <w:style w:type="paragraph" w:customStyle="1" w:styleId="666">
    <w:name w:val="xl91"/>
    <w:basedOn w:val="1"/>
    <w:qFormat/>
    <w:uiPriority w:val="0"/>
    <w:pPr>
      <w:widowControl/>
      <w:shd w:val="clear" w:color="auto" w:fill="FF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667">
    <w:name w:val="Style41"/>
    <w:basedOn w:val="1"/>
    <w:unhideWhenUsed/>
    <w:qFormat/>
    <w:uiPriority w:val="0"/>
    <w:pPr>
      <w:spacing w:line="542" w:lineRule="exact"/>
      <w:ind w:firstLine="125"/>
    </w:pPr>
  </w:style>
  <w:style w:type="paragraph" w:customStyle="1" w:styleId="668">
    <w:name w:val="附录标识"/>
    <w:basedOn w:val="669"/>
    <w:qFormat/>
    <w:uiPriority w:val="0"/>
    <w:pPr>
      <w:tabs>
        <w:tab w:val="left" w:pos="360"/>
        <w:tab w:val="left" w:pos="720"/>
        <w:tab w:val="left" w:pos="6405"/>
      </w:tabs>
      <w:spacing w:after="200"/>
    </w:pPr>
    <w:rPr>
      <w:sz w:val="21"/>
    </w:rPr>
  </w:style>
  <w:style w:type="paragraph" w:customStyle="1" w:styleId="669">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670">
    <w:name w:val="Style70"/>
    <w:basedOn w:val="1"/>
    <w:unhideWhenUsed/>
    <w:qFormat/>
    <w:uiPriority w:val="0"/>
    <w:pPr>
      <w:spacing w:line="549" w:lineRule="exact"/>
      <w:ind w:firstLine="686"/>
    </w:pPr>
  </w:style>
  <w:style w:type="paragraph" w:customStyle="1" w:styleId="671">
    <w:name w:val="xl154"/>
    <w:basedOn w:val="1"/>
    <w:qFormat/>
    <w:uiPriority w:val="0"/>
    <w:pPr>
      <w:widowControl/>
      <w:pBdr>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72">
    <w:name w:val="Style16"/>
    <w:basedOn w:val="1"/>
    <w:unhideWhenUsed/>
    <w:qFormat/>
    <w:uiPriority w:val="0"/>
    <w:pPr>
      <w:jc w:val="right"/>
    </w:pPr>
  </w:style>
  <w:style w:type="paragraph" w:customStyle="1" w:styleId="673">
    <w:name w:val="xl1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74">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bottom"/>
    </w:pPr>
    <w:rPr>
      <w:rFonts w:ascii="宋体" w:hAnsi="宋体" w:cs="宋体"/>
      <w:color w:val="FF0000"/>
      <w:kern w:val="0"/>
      <w:sz w:val="20"/>
      <w:szCs w:val="20"/>
    </w:rPr>
  </w:style>
  <w:style w:type="paragraph" w:customStyle="1" w:styleId="675">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676">
    <w:name w:val="xl95"/>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left"/>
    </w:pPr>
    <w:rPr>
      <w:kern w:val="0"/>
      <w:sz w:val="20"/>
      <w:szCs w:val="20"/>
    </w:rPr>
  </w:style>
  <w:style w:type="paragraph" w:customStyle="1" w:styleId="677">
    <w:name w:val="Char3"/>
    <w:basedOn w:val="1"/>
    <w:qFormat/>
    <w:uiPriority w:val="0"/>
    <w:pPr>
      <w:widowControl/>
      <w:spacing w:after="160" w:line="240" w:lineRule="exact"/>
      <w:ind w:firstLine="200" w:firstLineChars="200"/>
      <w:jc w:val="left"/>
    </w:pPr>
    <w:rPr>
      <w:rFonts w:ascii="Verdana" w:hAnsi="Verdana" w:eastAsia="黑体" w:cs="Verdana"/>
      <w:kern w:val="0"/>
      <w:sz w:val="28"/>
      <w:szCs w:val="28"/>
      <w:lang w:eastAsia="en-US"/>
    </w:rPr>
  </w:style>
  <w:style w:type="paragraph" w:customStyle="1" w:styleId="678">
    <w:name w:val="Style23"/>
    <w:basedOn w:val="1"/>
    <w:unhideWhenUsed/>
    <w:qFormat/>
    <w:uiPriority w:val="0"/>
  </w:style>
  <w:style w:type="paragraph" w:customStyle="1" w:styleId="679">
    <w:name w:val="Char3 Char Char Char1"/>
    <w:basedOn w:val="1"/>
    <w:qFormat/>
    <w:uiPriority w:val="0"/>
    <w:pPr>
      <w:widowControl/>
      <w:spacing w:after="160" w:line="240" w:lineRule="exact"/>
      <w:ind w:firstLine="200" w:firstLineChars="200"/>
      <w:jc w:val="left"/>
    </w:pPr>
    <w:rPr>
      <w:rFonts w:ascii="Verdana" w:hAnsi="Verdana" w:eastAsia="黑体" w:cs="Verdana"/>
      <w:kern w:val="0"/>
      <w:sz w:val="28"/>
      <w:szCs w:val="28"/>
      <w:lang w:eastAsia="en-US"/>
    </w:rPr>
  </w:style>
  <w:style w:type="paragraph" w:customStyle="1" w:styleId="680">
    <w:name w:val="标题 3 + 宋体"/>
    <w:basedOn w:val="1"/>
    <w:qFormat/>
    <w:uiPriority w:val="0"/>
    <w:pPr>
      <w:numPr>
        <w:ilvl w:val="0"/>
        <w:numId w:val="15"/>
      </w:numPr>
      <w:autoSpaceDE w:val="0"/>
      <w:autoSpaceDN w:val="0"/>
      <w:adjustRightInd w:val="0"/>
      <w:spacing w:line="480" w:lineRule="atLeast"/>
      <w:ind w:firstLine="200" w:firstLineChars="200"/>
      <w:jc w:val="left"/>
    </w:pPr>
    <w:rPr>
      <w:rFonts w:ascii="宋体" w:hAnsi="宋体" w:cs="宋体"/>
      <w:b/>
      <w:bCs/>
      <w:kern w:val="0"/>
      <w:sz w:val="24"/>
    </w:rPr>
  </w:style>
  <w:style w:type="paragraph" w:customStyle="1" w:styleId="681">
    <w:name w:val="Char3 Char Char Char1 Char Char Char"/>
    <w:basedOn w:val="1"/>
    <w:qFormat/>
    <w:uiPriority w:val="0"/>
    <w:pPr>
      <w:widowControl/>
      <w:spacing w:after="160" w:line="240" w:lineRule="exact"/>
      <w:ind w:firstLine="200" w:firstLineChars="200"/>
      <w:jc w:val="left"/>
    </w:pPr>
    <w:rPr>
      <w:rFonts w:ascii="Verdana" w:hAnsi="Verdana" w:eastAsia="黑体" w:cs="Verdana"/>
      <w:kern w:val="0"/>
      <w:sz w:val="28"/>
      <w:szCs w:val="28"/>
      <w:lang w:eastAsia="en-US"/>
    </w:rPr>
  </w:style>
  <w:style w:type="paragraph" w:customStyle="1" w:styleId="682">
    <w:name w:val="light4"/>
    <w:basedOn w:val="1"/>
    <w:qFormat/>
    <w:uiPriority w:val="0"/>
    <w:pPr>
      <w:keepNext/>
      <w:keepLines/>
      <w:numPr>
        <w:ilvl w:val="3"/>
        <w:numId w:val="5"/>
      </w:numPr>
      <w:tabs>
        <w:tab w:val="left" w:pos="993"/>
        <w:tab w:val="clear" w:pos="3076"/>
      </w:tabs>
      <w:spacing w:before="240" w:after="120" w:line="360" w:lineRule="auto"/>
      <w:ind w:left="708"/>
      <w:jc w:val="left"/>
      <w:outlineLvl w:val="3"/>
    </w:pPr>
    <w:rPr>
      <w:rFonts w:ascii="宋体" w:hAnsi="宋体"/>
      <w:b/>
      <w:snapToGrid w:val="0"/>
      <w:kern w:val="0"/>
      <w:sz w:val="24"/>
      <w:szCs w:val="20"/>
    </w:rPr>
  </w:style>
  <w:style w:type="paragraph" w:customStyle="1" w:styleId="683">
    <w:name w:val="图号 Char Char Char Char Char Char Char"/>
    <w:basedOn w:val="1"/>
    <w:qFormat/>
    <w:uiPriority w:val="0"/>
    <w:pPr>
      <w:autoSpaceDE w:val="0"/>
      <w:autoSpaceDN w:val="0"/>
      <w:adjustRightInd w:val="0"/>
      <w:spacing w:before="105" w:line="360" w:lineRule="auto"/>
      <w:ind w:firstLine="200" w:firstLineChars="200"/>
      <w:jc w:val="center"/>
    </w:pPr>
    <w:rPr>
      <w:rFonts w:ascii="Arial" w:hAnsi="Arial" w:cs="Arial"/>
      <w:kern w:val="0"/>
      <w:sz w:val="18"/>
      <w:szCs w:val="18"/>
    </w:rPr>
  </w:style>
  <w:style w:type="paragraph" w:customStyle="1" w:styleId="684">
    <w:name w:val="jkm6"/>
    <w:qFormat/>
    <w:uiPriority w:val="0"/>
    <w:pPr>
      <w:numPr>
        <w:ilvl w:val="5"/>
        <w:numId w:val="16"/>
      </w:numPr>
      <w:spacing w:before="100" w:beforeAutospacing="1" w:after="100" w:afterAutospacing="1" w:line="360" w:lineRule="auto"/>
      <w:outlineLvl w:val="5"/>
    </w:pPr>
    <w:rPr>
      <w:rFonts w:ascii="Arial" w:hAnsi="Arial" w:eastAsia="宋体" w:cs="Arial"/>
      <w:b/>
      <w:bCs/>
      <w:kern w:val="2"/>
      <w:sz w:val="24"/>
      <w:szCs w:val="24"/>
      <w:lang w:val="en-US" w:eastAsia="zh-CN" w:bidi="ar-SA"/>
    </w:rPr>
  </w:style>
  <w:style w:type="paragraph" w:customStyle="1" w:styleId="685">
    <w:name w:val="xl178"/>
    <w:basedOn w:val="1"/>
    <w:qFormat/>
    <w:uiPriority w:val="0"/>
    <w:pPr>
      <w:widowControl/>
      <w:pBdr>
        <w:top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86">
    <w:name w:val="Style72"/>
    <w:basedOn w:val="1"/>
    <w:unhideWhenUsed/>
    <w:qFormat/>
    <w:uiPriority w:val="0"/>
  </w:style>
  <w:style w:type="paragraph" w:customStyle="1" w:styleId="687">
    <w:name w:val="Style78"/>
    <w:basedOn w:val="1"/>
    <w:unhideWhenUsed/>
    <w:qFormat/>
    <w:uiPriority w:val="0"/>
  </w:style>
  <w:style w:type="paragraph" w:customStyle="1" w:styleId="688">
    <w:name w:val="表格编号"/>
    <w:basedOn w:val="1"/>
    <w:next w:val="1"/>
    <w:qFormat/>
    <w:uiPriority w:val="0"/>
    <w:pPr>
      <w:numPr>
        <w:ilvl w:val="0"/>
        <w:numId w:val="17"/>
      </w:numPr>
      <w:ind w:firstLine="200" w:firstLineChars="200"/>
      <w:jc w:val="center"/>
      <w:textAlignment w:val="center"/>
    </w:pPr>
    <w:rPr>
      <w:rFonts w:ascii="宋体" w:hAnsi="宋体" w:eastAsia="仿宋_GB2312"/>
    </w:rPr>
  </w:style>
  <w:style w:type="paragraph" w:customStyle="1" w:styleId="689">
    <w:name w:val="xl46"/>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90">
    <w:name w:val="xl170"/>
    <w:basedOn w:val="1"/>
    <w:qFormat/>
    <w:uiPriority w:val="0"/>
    <w:pPr>
      <w:widowControl/>
      <w:pBdr>
        <w:top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91">
    <w:name w:val="font12"/>
    <w:basedOn w:val="1"/>
    <w:qFormat/>
    <w:uiPriority w:val="0"/>
    <w:pPr>
      <w:widowControl/>
      <w:spacing w:before="100" w:beforeAutospacing="1" w:after="100" w:afterAutospacing="1" w:line="360" w:lineRule="auto"/>
      <w:jc w:val="left"/>
    </w:pPr>
    <w:rPr>
      <w:rFonts w:ascii="宋体" w:hAnsi="宋体" w:cs="宋体"/>
      <w:color w:val="000000"/>
      <w:kern w:val="0"/>
      <w:sz w:val="20"/>
      <w:szCs w:val="20"/>
    </w:rPr>
  </w:style>
  <w:style w:type="paragraph" w:customStyle="1" w:styleId="69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93">
    <w:name w:val="附录三级条标题"/>
    <w:basedOn w:val="359"/>
    <w:next w:val="1"/>
    <w:qFormat/>
    <w:uiPriority w:val="0"/>
    <w:pPr>
      <w:outlineLvl w:val="4"/>
    </w:pPr>
  </w:style>
  <w:style w:type="paragraph" w:customStyle="1" w:styleId="694">
    <w:name w:val="xl82"/>
    <w:basedOn w:val="1"/>
    <w:qFormat/>
    <w:uiPriority w:val="0"/>
    <w:pPr>
      <w:widowControl/>
      <w:pBdr>
        <w:top w:val="single" w:color="auto" w:sz="4" w:space="0"/>
        <w:left w:val="single" w:color="auto" w:sz="4" w:space="0"/>
        <w:right w:val="single" w:color="auto" w:sz="4" w:space="0"/>
      </w:pBdr>
      <w:shd w:val="clear" w:color="auto" w:fill="FF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695">
    <w:name w:val="B2"/>
    <w:basedOn w:val="1"/>
    <w:qFormat/>
    <w:uiPriority w:val="0"/>
    <w:pPr>
      <w:widowControl/>
      <w:adjustRightInd w:val="0"/>
      <w:snapToGrid w:val="0"/>
      <w:spacing w:after="120"/>
      <w:ind w:left="374"/>
      <w:jc w:val="left"/>
    </w:pPr>
    <w:rPr>
      <w:kern w:val="0"/>
      <w:sz w:val="22"/>
      <w:szCs w:val="20"/>
    </w:rPr>
  </w:style>
  <w:style w:type="paragraph" w:customStyle="1" w:styleId="696">
    <w:name w:val="Other|1"/>
    <w:basedOn w:val="1"/>
    <w:qFormat/>
    <w:uiPriority w:val="0"/>
    <w:pPr>
      <w:spacing w:line="322" w:lineRule="exact"/>
      <w:jc w:val="left"/>
    </w:pPr>
    <w:rPr>
      <w:rFonts w:ascii="宋体" w:hAnsi="宋体" w:cs="宋体"/>
      <w:color w:val="000000"/>
      <w:kern w:val="0"/>
      <w:sz w:val="19"/>
      <w:szCs w:val="19"/>
      <w:lang w:val="zh-TW" w:eastAsia="zh-TW"/>
    </w:rPr>
  </w:style>
  <w:style w:type="paragraph" w:customStyle="1" w:styleId="697">
    <w:name w:val="Style58"/>
    <w:basedOn w:val="1"/>
    <w:unhideWhenUsed/>
    <w:qFormat/>
    <w:uiPriority w:val="0"/>
    <w:pPr>
      <w:spacing w:line="413" w:lineRule="exact"/>
    </w:pPr>
  </w:style>
  <w:style w:type="paragraph" w:customStyle="1" w:styleId="698">
    <w:name w:val="xl123"/>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699">
    <w:name w:val="xl71"/>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left"/>
      <w:textAlignment w:val="bottom"/>
    </w:pPr>
    <w:rPr>
      <w:kern w:val="0"/>
      <w:sz w:val="20"/>
      <w:szCs w:val="20"/>
    </w:rPr>
  </w:style>
  <w:style w:type="paragraph" w:customStyle="1" w:styleId="700">
    <w:name w:val="_标准正文"/>
    <w:qFormat/>
    <w:uiPriority w:val="0"/>
    <w:pPr>
      <w:spacing w:after="156" w:line="360" w:lineRule="auto"/>
      <w:ind w:firstLine="567"/>
    </w:pPr>
    <w:rPr>
      <w:rFonts w:ascii="Times New Roman" w:hAnsi="Times New Roman" w:eastAsia="仿宋" w:cs="宋体"/>
      <w:kern w:val="2"/>
      <w:sz w:val="32"/>
      <w:szCs w:val="22"/>
      <w:lang w:val="en-US" w:eastAsia="zh-CN" w:bidi="ar-SA"/>
    </w:rPr>
  </w:style>
  <w:style w:type="paragraph" w:customStyle="1" w:styleId="701">
    <w:name w:val="xl59"/>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702">
    <w:name w:val="附录四级条标题"/>
    <w:basedOn w:val="693"/>
    <w:next w:val="1"/>
    <w:qFormat/>
    <w:uiPriority w:val="0"/>
    <w:pPr>
      <w:outlineLvl w:val="5"/>
    </w:pPr>
  </w:style>
  <w:style w:type="paragraph" w:customStyle="1" w:styleId="70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bottom"/>
    </w:pPr>
    <w:rPr>
      <w:kern w:val="0"/>
      <w:sz w:val="20"/>
      <w:szCs w:val="20"/>
    </w:rPr>
  </w:style>
  <w:style w:type="paragraph" w:customStyle="1" w:styleId="704">
    <w:name w:val="xl145"/>
    <w:basedOn w:val="1"/>
    <w:qFormat/>
    <w:uiPriority w:val="0"/>
    <w:pPr>
      <w:widowControl/>
      <w:pBdr>
        <w:top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705">
    <w:name w:val="Char Char Char2"/>
    <w:basedOn w:val="1"/>
    <w:qFormat/>
    <w:uiPriority w:val="0"/>
    <w:pPr>
      <w:spacing w:line="360" w:lineRule="auto"/>
    </w:pPr>
    <w:rPr>
      <w:rFonts w:ascii="宋体" w:hAnsi="宋体" w:cs="宋体"/>
      <w:b/>
      <w:bCs/>
      <w:sz w:val="28"/>
      <w:szCs w:val="28"/>
    </w:rPr>
  </w:style>
  <w:style w:type="paragraph" w:customStyle="1" w:styleId="706">
    <w:name w:val="Char1 Char Char Char1"/>
    <w:basedOn w:val="1"/>
    <w:qFormat/>
    <w:uiPriority w:val="0"/>
    <w:pPr>
      <w:widowControl/>
      <w:spacing w:after="160" w:line="240" w:lineRule="exact"/>
      <w:jc w:val="left"/>
    </w:pPr>
    <w:rPr>
      <w:kern w:val="0"/>
      <w:sz w:val="24"/>
      <w:szCs w:val="20"/>
    </w:rPr>
  </w:style>
  <w:style w:type="paragraph" w:customStyle="1" w:styleId="707">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08">
    <w:name w:val="方案正文"/>
    <w:basedOn w:val="1"/>
    <w:qFormat/>
    <w:uiPriority w:val="0"/>
    <w:pPr>
      <w:spacing w:before="120" w:line="360" w:lineRule="auto"/>
      <w:ind w:firstLine="482"/>
    </w:pPr>
    <w:rPr>
      <w:rFonts w:ascii="宋体" w:cs="宋体"/>
      <w:szCs w:val="21"/>
    </w:rPr>
  </w:style>
  <w:style w:type="paragraph" w:customStyle="1" w:styleId="709">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710">
    <w:name w:val="样式 T4 + 居中"/>
    <w:basedOn w:val="517"/>
    <w:qFormat/>
    <w:uiPriority w:val="0"/>
    <w:pPr>
      <w:numPr>
        <w:ilvl w:val="7"/>
        <w:numId w:val="18"/>
      </w:numPr>
      <w:tabs>
        <w:tab w:val="clear" w:pos="1276"/>
        <w:tab w:val="clear" w:pos="1701"/>
        <w:tab w:val="clear" w:pos="2126"/>
        <w:tab w:val="clear" w:pos="2552"/>
        <w:tab w:val="clear" w:pos="2977"/>
        <w:tab w:val="clear" w:pos="3402"/>
      </w:tabs>
      <w:ind w:firstLine="0" w:firstLineChars="0"/>
      <w:jc w:val="center"/>
    </w:pPr>
    <w:rPr>
      <w:rFonts w:ascii="Times New Roman" w:hAnsi="Times New Roman" w:cs="Times New Roman"/>
    </w:rPr>
  </w:style>
  <w:style w:type="paragraph" w:customStyle="1" w:styleId="711">
    <w:name w:val="xl3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71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713">
    <w:name w:val="NO3"/>
    <w:basedOn w:val="1"/>
    <w:qFormat/>
    <w:uiPriority w:val="0"/>
    <w:pPr>
      <w:tabs>
        <w:tab w:val="left" w:pos="907"/>
      </w:tabs>
      <w:spacing w:line="360" w:lineRule="auto"/>
    </w:pPr>
    <w:rPr>
      <w:rFonts w:ascii="宋体" w:hAnsi="宋体"/>
      <w:sz w:val="24"/>
    </w:rPr>
  </w:style>
  <w:style w:type="paragraph" w:customStyle="1" w:styleId="714">
    <w:name w:val="列表2"/>
    <w:basedOn w:val="1"/>
    <w:next w:val="1"/>
    <w:qFormat/>
    <w:uiPriority w:val="0"/>
    <w:pPr>
      <w:numPr>
        <w:ilvl w:val="0"/>
        <w:numId w:val="19"/>
      </w:numPr>
      <w:spacing w:line="200" w:lineRule="atLeast"/>
    </w:pPr>
    <w:rPr>
      <w:sz w:val="28"/>
    </w:rPr>
  </w:style>
  <w:style w:type="paragraph" w:customStyle="1" w:styleId="715">
    <w:name w:val="p16"/>
    <w:basedOn w:val="1"/>
    <w:qFormat/>
    <w:uiPriority w:val="0"/>
    <w:pPr>
      <w:widowControl/>
      <w:jc w:val="left"/>
    </w:pPr>
    <w:rPr>
      <w:kern w:val="0"/>
      <w:szCs w:val="21"/>
    </w:rPr>
  </w:style>
  <w:style w:type="paragraph" w:customStyle="1" w:styleId="716">
    <w:name w:val="xl158"/>
    <w:basedOn w:val="1"/>
    <w:qFormat/>
    <w:uiPriority w:val="0"/>
    <w:pPr>
      <w:widowControl/>
      <w:pBdr>
        <w:left w:val="single" w:color="auto" w:sz="4" w:space="0"/>
        <w:right w:val="single" w:color="auto" w:sz="4" w:space="0"/>
      </w:pBdr>
      <w:shd w:val="clear" w:color="auto" w:fill="00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717">
    <w:name w:val="xl38"/>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718">
    <w:name w:val="xl136"/>
    <w:basedOn w:val="1"/>
    <w:qFormat/>
    <w:uiPriority w:val="0"/>
    <w:pPr>
      <w:widowControl/>
      <w:pBdr>
        <w:top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719">
    <w:name w:val="样式 正文首行缩进 + 首行缩进:  2 字符 段前: 0.3 行"/>
    <w:basedOn w:val="48"/>
    <w:qFormat/>
    <w:uiPriority w:val="0"/>
    <w:pPr>
      <w:spacing w:beforeLines="30" w:after="0" w:line="360" w:lineRule="auto"/>
      <w:ind w:firstLine="480"/>
      <w:jc w:val="both"/>
    </w:pPr>
    <w:rPr>
      <w:kern w:val="0"/>
    </w:rPr>
  </w:style>
  <w:style w:type="paragraph" w:customStyle="1" w:styleId="720">
    <w:name w:val="样式 仿宋_GB2312 小三 行距: 1.5 倍行距"/>
    <w:basedOn w:val="1"/>
    <w:qFormat/>
    <w:uiPriority w:val="0"/>
    <w:pPr>
      <w:spacing w:line="360" w:lineRule="auto"/>
      <w:ind w:firstLine="600" w:firstLineChars="200"/>
      <w:jc w:val="left"/>
    </w:pPr>
    <w:rPr>
      <w:rFonts w:ascii="仿宋_GB2312" w:eastAsia="仿宋_GB2312" w:cs="仿宋_GB2312"/>
      <w:kern w:val="0"/>
      <w:sz w:val="32"/>
      <w:szCs w:val="32"/>
    </w:rPr>
  </w:style>
  <w:style w:type="paragraph" w:customStyle="1" w:styleId="721">
    <w:name w:val="xl173"/>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722">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723">
    <w:name w:val="Style4"/>
    <w:basedOn w:val="1"/>
    <w:unhideWhenUsed/>
    <w:qFormat/>
    <w:uiPriority w:val="0"/>
  </w:style>
  <w:style w:type="paragraph" w:customStyle="1" w:styleId="724">
    <w:name w:val="标题3"/>
    <w:basedOn w:val="2"/>
    <w:qFormat/>
    <w:uiPriority w:val="0"/>
    <w:pPr>
      <w:spacing w:beforeLines="50" w:afterLines="50" w:line="400" w:lineRule="exact"/>
      <w:jc w:val="both"/>
    </w:pPr>
    <w:rPr>
      <w:rFonts w:ascii="宋体" w:hAnsi="宋体"/>
      <w:kern w:val="32"/>
      <w:szCs w:val="32"/>
    </w:rPr>
  </w:style>
  <w:style w:type="paragraph" w:customStyle="1" w:styleId="725">
    <w:name w:val="xl77"/>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726">
    <w:name w:val="样式 正文首行缩进 + 仿宋_GB2312 小四 首行缩进:  2 字符 段后: 0.5 行 行距: 1.5 倍行距"/>
    <w:basedOn w:val="1"/>
    <w:qFormat/>
    <w:uiPriority w:val="0"/>
    <w:pPr>
      <w:spacing w:line="360" w:lineRule="auto"/>
      <w:ind w:firstLine="200" w:firstLineChars="200"/>
      <w:jc w:val="left"/>
    </w:pPr>
    <w:rPr>
      <w:rFonts w:ascii="仿宋_GB2312" w:hAnsi="仿宋_GB2312" w:eastAsia="仿宋_GB2312" w:cs="仿宋_GB2312"/>
      <w:sz w:val="24"/>
    </w:rPr>
  </w:style>
  <w:style w:type="paragraph" w:customStyle="1" w:styleId="727">
    <w:name w:val="列出段落21"/>
    <w:basedOn w:val="1"/>
    <w:qFormat/>
    <w:uiPriority w:val="0"/>
    <w:pPr>
      <w:spacing w:line="360" w:lineRule="auto"/>
      <w:ind w:firstLine="420" w:firstLineChars="200"/>
    </w:pPr>
    <w:rPr>
      <w:szCs w:val="21"/>
    </w:rPr>
  </w:style>
  <w:style w:type="paragraph" w:customStyle="1" w:styleId="728">
    <w:name w:val="Style34"/>
    <w:basedOn w:val="1"/>
    <w:unhideWhenUsed/>
    <w:qFormat/>
    <w:uiPriority w:val="0"/>
    <w:pPr>
      <w:spacing w:line="375" w:lineRule="exact"/>
    </w:pPr>
  </w:style>
  <w:style w:type="paragraph" w:customStyle="1" w:styleId="729">
    <w:name w:val="10"/>
    <w:basedOn w:val="1"/>
    <w:qFormat/>
    <w:uiPriority w:val="0"/>
    <w:pPr>
      <w:spacing w:line="360" w:lineRule="auto"/>
      <w:ind w:firstLine="454" w:firstLineChars="200"/>
      <w:jc w:val="left"/>
    </w:pPr>
    <w:rPr>
      <w:rFonts w:ascii="Verdana" w:hAnsi="Verdana" w:eastAsia="黑体" w:cs="Verdana"/>
      <w:kern w:val="0"/>
      <w:sz w:val="28"/>
      <w:szCs w:val="28"/>
      <w:lang w:eastAsia="en-US"/>
    </w:rPr>
  </w:style>
  <w:style w:type="paragraph" w:customStyle="1" w:styleId="730">
    <w:name w:val="xl131"/>
    <w:basedOn w:val="1"/>
    <w:qFormat/>
    <w:uiPriority w:val="0"/>
    <w:pPr>
      <w:widowControl/>
      <w:pBdr>
        <w:left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731">
    <w:name w:val="light6"/>
    <w:basedOn w:val="8"/>
    <w:qFormat/>
    <w:uiPriority w:val="0"/>
    <w:pPr>
      <w:numPr>
        <w:ilvl w:val="5"/>
        <w:numId w:val="5"/>
      </w:numPr>
      <w:adjustRightInd/>
      <w:spacing w:line="320" w:lineRule="auto"/>
      <w:jc w:val="both"/>
      <w:textAlignment w:val="auto"/>
    </w:pPr>
    <w:rPr>
      <w:rFonts w:ascii="Calibri" w:hAnsi="Calibri"/>
      <w:kern w:val="2"/>
      <w:sz w:val="21"/>
      <w:szCs w:val="21"/>
    </w:rPr>
  </w:style>
  <w:style w:type="paragraph" w:customStyle="1" w:styleId="732">
    <w:name w:val="xl166"/>
    <w:basedOn w:val="1"/>
    <w:qFormat/>
    <w:uiPriority w:val="0"/>
    <w:pPr>
      <w:widowControl/>
      <w:pBdr>
        <w:left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733">
    <w:name w:val="样式1-三级标题"/>
    <w:basedOn w:val="4"/>
    <w:qFormat/>
    <w:uiPriority w:val="0"/>
    <w:pPr>
      <w:numPr>
        <w:ilvl w:val="2"/>
        <w:numId w:val="20"/>
      </w:numPr>
      <w:spacing w:line="360" w:lineRule="auto"/>
      <w:jc w:val="left"/>
    </w:pPr>
    <w:rPr>
      <w:sz w:val="24"/>
      <w:szCs w:val="24"/>
    </w:rPr>
  </w:style>
  <w:style w:type="paragraph" w:customStyle="1" w:styleId="734">
    <w:name w:val="light1"/>
    <w:basedOn w:val="1"/>
    <w:qFormat/>
    <w:uiPriority w:val="0"/>
    <w:pPr>
      <w:keepNext/>
      <w:keepLines/>
      <w:numPr>
        <w:ilvl w:val="0"/>
        <w:numId w:val="5"/>
      </w:numPr>
      <w:spacing w:before="360" w:after="120" w:line="360" w:lineRule="auto"/>
      <w:jc w:val="left"/>
      <w:outlineLvl w:val="0"/>
    </w:pPr>
    <w:rPr>
      <w:rFonts w:ascii="宋体" w:hAnsi="宋体"/>
      <w:b/>
      <w:bCs/>
      <w:kern w:val="44"/>
      <w:sz w:val="44"/>
      <w:szCs w:val="44"/>
    </w:rPr>
  </w:style>
  <w:style w:type="paragraph" w:customStyle="1" w:styleId="73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736">
    <w:name w:val="xl66"/>
    <w:basedOn w:val="1"/>
    <w:qFormat/>
    <w:uiPriority w:val="0"/>
    <w:pPr>
      <w:widowControl/>
      <w:pBdr>
        <w:top w:val="single" w:color="auto" w:sz="4" w:space="0"/>
        <w:left w:val="single" w:color="auto" w:sz="4" w:space="0"/>
        <w:bottom w:val="single" w:color="auto" w:sz="4" w:space="0"/>
        <w:right w:val="single" w:color="auto" w:sz="4" w:space="0"/>
      </w:pBdr>
      <w:shd w:val="clear" w:color="auto" w:fill="FF00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737">
    <w:name w:val="标准正文"/>
    <w:basedOn w:val="1"/>
    <w:qFormat/>
    <w:uiPriority w:val="0"/>
    <w:pPr>
      <w:spacing w:line="360" w:lineRule="auto"/>
    </w:pPr>
    <w:rPr>
      <w:rFonts w:cs="宋体"/>
      <w:spacing w:val="2"/>
    </w:rPr>
  </w:style>
  <w:style w:type="paragraph" w:customStyle="1" w:styleId="738">
    <w:name w:val="xl3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739">
    <w:name w:val="标题 1 +"/>
    <w:basedOn w:val="2"/>
    <w:next w:val="1"/>
    <w:qFormat/>
    <w:uiPriority w:val="0"/>
    <w:pPr>
      <w:keepLines/>
      <w:spacing w:line="600" w:lineRule="auto"/>
    </w:pPr>
    <w:rPr>
      <w:rFonts w:eastAsia="黑体"/>
      <w:kern w:val="0"/>
      <w:sz w:val="32"/>
      <w:szCs w:val="32"/>
    </w:rPr>
  </w:style>
  <w:style w:type="paragraph" w:customStyle="1" w:styleId="740">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kern w:val="0"/>
      <w:sz w:val="20"/>
      <w:szCs w:val="20"/>
    </w:rPr>
  </w:style>
  <w:style w:type="paragraph" w:customStyle="1" w:styleId="741">
    <w:name w:val="Style28"/>
    <w:basedOn w:val="1"/>
    <w:unhideWhenUsed/>
    <w:qFormat/>
    <w:uiPriority w:val="0"/>
    <w:pPr>
      <w:spacing w:line="552" w:lineRule="exact"/>
      <w:ind w:firstLine="547"/>
    </w:pPr>
  </w:style>
  <w:style w:type="paragraph" w:customStyle="1" w:styleId="742">
    <w:name w:val="缺省文本"/>
    <w:basedOn w:val="1"/>
    <w:qFormat/>
    <w:uiPriority w:val="0"/>
    <w:pPr>
      <w:autoSpaceDE w:val="0"/>
      <w:autoSpaceDN w:val="0"/>
      <w:adjustRightInd w:val="0"/>
      <w:spacing w:beforeLines="50" w:afterLines="50" w:line="300" w:lineRule="auto"/>
      <w:jc w:val="left"/>
    </w:pPr>
    <w:rPr>
      <w:rFonts w:ascii="宋体" w:hAnsi="宋体" w:cs="宋体"/>
      <w:kern w:val="0"/>
      <w:sz w:val="24"/>
    </w:rPr>
  </w:style>
  <w:style w:type="paragraph" w:customStyle="1" w:styleId="743">
    <w:name w:val="Table Paragraph"/>
    <w:basedOn w:val="1"/>
    <w:qFormat/>
    <w:uiPriority w:val="1"/>
    <w:rPr>
      <w:rFonts w:ascii="宋体" w:hAnsi="宋体" w:cs="宋体"/>
      <w:lang w:val="zh-CN" w:bidi="zh-CN"/>
    </w:rPr>
  </w:style>
  <w:style w:type="character" w:customStyle="1" w:styleId="744">
    <w:name w:val="font51"/>
    <w:basedOn w:val="52"/>
    <w:qFormat/>
    <w:uiPriority w:val="0"/>
    <w:rPr>
      <w:rFonts w:ascii="Calibri" w:hAnsi="Calibri" w:cs="Calibri"/>
      <w:color w:val="000000"/>
      <w:sz w:val="16"/>
      <w:szCs w:val="16"/>
      <w:u w:val="none"/>
    </w:rPr>
  </w:style>
  <w:style w:type="character" w:customStyle="1" w:styleId="745">
    <w:name w:val="font61"/>
    <w:basedOn w:val="52"/>
    <w:qFormat/>
    <w:uiPriority w:val="0"/>
    <w:rPr>
      <w:rFonts w:ascii="Segoe UI Symbol" w:hAnsi="Segoe UI Symbol" w:eastAsia="Segoe UI Symbol" w:cs="Segoe UI Symbol"/>
      <w:color w:val="000000"/>
      <w:sz w:val="16"/>
      <w:szCs w:val="16"/>
      <w:u w:val="none"/>
    </w:rPr>
  </w:style>
  <w:style w:type="character" w:customStyle="1" w:styleId="746">
    <w:name w:val="font31"/>
    <w:basedOn w:val="52"/>
    <w:qFormat/>
    <w:uiPriority w:val="0"/>
    <w:rPr>
      <w:rFonts w:ascii="Arial" w:hAnsi="Arial" w:cs="Arial"/>
      <w:color w:val="000000"/>
      <w:sz w:val="16"/>
      <w:szCs w:val="16"/>
      <w:u w:val="none"/>
    </w:rPr>
  </w:style>
  <w:style w:type="character" w:customStyle="1" w:styleId="747">
    <w:name w:val="font91"/>
    <w:basedOn w:val="52"/>
    <w:qFormat/>
    <w:uiPriority w:val="0"/>
    <w:rPr>
      <w:rFonts w:hint="default" w:ascii="Calibri" w:hAnsi="Calibri" w:cs="Calibri"/>
      <w:color w:val="000000"/>
      <w:sz w:val="16"/>
      <w:szCs w:val="16"/>
      <w:u w:val="none"/>
    </w:rPr>
  </w:style>
  <w:style w:type="character" w:customStyle="1" w:styleId="748">
    <w:name w:val="font01"/>
    <w:basedOn w:val="52"/>
    <w:qFormat/>
    <w:uiPriority w:val="0"/>
    <w:rPr>
      <w:rFonts w:hint="eastAsia" w:ascii="宋体" w:hAnsi="宋体" w:eastAsia="宋体" w:cs="宋体"/>
      <w:color w:val="000000"/>
      <w:sz w:val="16"/>
      <w:szCs w:val="16"/>
      <w:u w:val="none"/>
    </w:rPr>
  </w:style>
  <w:style w:type="character" w:customStyle="1" w:styleId="749">
    <w:name w:val="font141"/>
    <w:basedOn w:val="52"/>
    <w:qFormat/>
    <w:uiPriority w:val="0"/>
    <w:rPr>
      <w:rFonts w:ascii="Calibri" w:hAnsi="Calibri" w:cs="Calibri"/>
      <w:color w:val="000000"/>
      <w:sz w:val="16"/>
      <w:szCs w:val="16"/>
      <w:u w:val="none"/>
    </w:rPr>
  </w:style>
  <w:style w:type="character" w:customStyle="1" w:styleId="750">
    <w:name w:val="font71"/>
    <w:basedOn w:val="52"/>
    <w:qFormat/>
    <w:uiPriority w:val="0"/>
    <w:rPr>
      <w:rFonts w:hint="eastAsia" w:ascii="宋体" w:hAnsi="宋体" w:eastAsia="宋体" w:cs="宋体"/>
      <w:color w:val="000000"/>
      <w:sz w:val="16"/>
      <w:szCs w:val="16"/>
      <w:u w:val="none"/>
    </w:rPr>
  </w:style>
  <w:style w:type="character" w:customStyle="1" w:styleId="751">
    <w:name w:val="font121"/>
    <w:basedOn w:val="52"/>
    <w:qFormat/>
    <w:uiPriority w:val="0"/>
    <w:rPr>
      <w:rFonts w:hint="default" w:ascii="Times New Roman" w:hAnsi="Times New Roman" w:cs="Times New Roman"/>
      <w:color w:val="000000"/>
      <w:sz w:val="16"/>
      <w:szCs w:val="16"/>
      <w:u w:val="none"/>
    </w:rPr>
  </w:style>
  <w:style w:type="character" w:customStyle="1" w:styleId="752">
    <w:name w:val="font101"/>
    <w:basedOn w:val="52"/>
    <w:qFormat/>
    <w:uiPriority w:val="0"/>
    <w:rPr>
      <w:rFonts w:ascii="Calibri" w:hAnsi="Calibri" w:cs="Calibri"/>
      <w:color w:val="FF0000"/>
      <w:sz w:val="16"/>
      <w:szCs w:val="16"/>
      <w:u w:val="none"/>
    </w:rPr>
  </w:style>
  <w:style w:type="character" w:customStyle="1" w:styleId="753">
    <w:name w:val="font111"/>
    <w:basedOn w:val="52"/>
    <w:qFormat/>
    <w:uiPriority w:val="0"/>
    <w:rPr>
      <w:rFonts w:hint="default" w:ascii="Calibri" w:hAnsi="Calibri" w:cs="Calibri"/>
      <w:color w:val="000000"/>
      <w:sz w:val="16"/>
      <w:szCs w:val="16"/>
      <w:u w:val="none"/>
    </w:rPr>
  </w:style>
  <w:style w:type="character" w:customStyle="1" w:styleId="754">
    <w:name w:val="font41"/>
    <w:basedOn w:val="52"/>
    <w:qFormat/>
    <w:uiPriority w:val="0"/>
    <w:rPr>
      <w:rFonts w:hint="default" w:ascii="Times New Roman" w:hAnsi="Times New Roman" w:cs="Times New Roman"/>
      <w:color w:val="000000"/>
      <w:sz w:val="20"/>
      <w:szCs w:val="20"/>
      <w:u w:val="none"/>
    </w:rPr>
  </w:style>
  <w:style w:type="character" w:customStyle="1" w:styleId="755">
    <w:name w:val="font81"/>
    <w:basedOn w:val="52"/>
    <w:qFormat/>
    <w:uiPriority w:val="0"/>
    <w:rPr>
      <w:rFonts w:hint="eastAsia" w:ascii="宋体" w:hAnsi="宋体" w:eastAsia="宋体" w:cs="宋体"/>
      <w:b/>
      <w:bCs/>
      <w:color w:val="000000"/>
      <w:sz w:val="40"/>
      <w:szCs w:val="40"/>
      <w:u w:val="none"/>
    </w:rPr>
  </w:style>
  <w:style w:type="character" w:customStyle="1" w:styleId="756">
    <w:name w:val="font131"/>
    <w:basedOn w:val="52"/>
    <w:qFormat/>
    <w:uiPriority w:val="0"/>
    <w:rPr>
      <w:rFonts w:hint="eastAsia" w:ascii="宋体" w:hAnsi="宋体" w:eastAsia="宋体" w:cs="宋体"/>
      <w:b/>
      <w:bCs/>
      <w:color w:val="000000"/>
      <w:sz w:val="40"/>
      <w:szCs w:val="40"/>
      <w:u w:val="none"/>
    </w:rPr>
  </w:style>
  <w:style w:type="paragraph" w:customStyle="1" w:styleId="757">
    <w:name w:val="Normal_1"/>
    <w:qFormat/>
    <w:uiPriority w:val="0"/>
    <w:rPr>
      <w:rFonts w:ascii="Times New Roman" w:hAnsi="Times New Roman" w:eastAsia="Times New Roman" w:cs="Times New Roman"/>
      <w:sz w:val="24"/>
      <w:szCs w:val="24"/>
      <w:lang w:bidi="ar-SA"/>
    </w:rPr>
  </w:style>
  <w:style w:type="paragraph" w:customStyle="1" w:styleId="758">
    <w:name w:val="WPSOffice手动目录 1"/>
    <w:qFormat/>
    <w:uiPriority w:val="0"/>
    <w:pPr>
      <w:ind w:leftChars="0"/>
    </w:pPr>
    <w:rPr>
      <w:rFonts w:ascii="Times New Roman" w:hAnsi="Times New Roman" w:eastAsia="宋体" w:cs="Times New Roman"/>
      <w:sz w:val="20"/>
      <w:szCs w:val="20"/>
    </w:rPr>
  </w:style>
  <w:style w:type="paragraph" w:customStyle="1" w:styleId="759">
    <w:name w:val="WPSOffice手动目录 2"/>
    <w:qFormat/>
    <w:uiPriority w:val="0"/>
    <w:pPr>
      <w:ind w:leftChars="200"/>
    </w:pPr>
    <w:rPr>
      <w:rFonts w:ascii="Times New Roman" w:hAnsi="Times New Roman" w:eastAsia="宋体" w:cs="Times New Roman"/>
      <w:sz w:val="20"/>
      <w:szCs w:val="20"/>
    </w:rPr>
  </w:style>
  <w:style w:type="paragraph" w:customStyle="1" w:styleId="760">
    <w:name w:val="null3"/>
    <w:hidden/>
    <w:qFormat/>
    <w:uiPriority w:val="0"/>
    <w:rPr>
      <w:rFonts w:hint="eastAsia" w:asciiTheme="minorHAnsi" w:hAnsiTheme="minorHAnsi" w:eastAsiaTheme="minorEastAsia" w:cstheme="minorBidi"/>
      <w:lang w:val="en-US" w:eastAsia="zh-Hans"/>
    </w:rPr>
  </w:style>
  <w:style w:type="paragraph" w:customStyle="1" w:styleId="761">
    <w:name w:val="目录 2_0"/>
    <w:next w:val="73"/>
    <w:unhideWhenUsed/>
    <w:qFormat/>
    <w:uiPriority w:val="39"/>
    <w:pPr>
      <w:widowControl w:val="0"/>
      <w:spacing w:line="360" w:lineRule="auto"/>
      <w:ind w:left="200" w:leftChars="200"/>
      <w:jc w:val="both"/>
    </w:pPr>
    <w:rPr>
      <w:rFonts w:ascii="Times New Roman" w:hAnsi="Times New Roman" w:eastAsia="宋体" w:cs="Times New Roman"/>
      <w:b/>
      <w:kern w:val="2"/>
      <w:sz w:val="21"/>
      <w:szCs w:val="22"/>
      <w:lang w:val="en-US" w:eastAsia="zh-CN" w:bidi="ar-SA"/>
    </w:rPr>
  </w:style>
  <w:style w:type="paragraph" w:customStyle="1" w:styleId="762">
    <w:name w:val="Normal_0_1"/>
    <w:qFormat/>
    <w:uiPriority w:val="0"/>
    <w:rPr>
      <w:rFonts w:ascii="Times New Roman" w:hAnsi="Times New Roman" w:eastAsia="Times New Roman" w:cs="Times New Roman"/>
      <w:sz w:val="24"/>
      <w:szCs w:val="24"/>
      <w:lang w:bidi="ar-SA"/>
    </w:rPr>
  </w:style>
  <w:style w:type="paragraph" w:customStyle="1" w:styleId="763">
    <w:name w:val="正文_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64">
    <w:name w:val="Normal_31"/>
    <w:qFormat/>
    <w:uiPriority w:val="0"/>
    <w:rPr>
      <w:rFonts w:ascii="Times New Roman" w:hAnsi="Times New Roman" w:eastAsia="Times New Roman" w:cs="Times New Roman"/>
      <w:sz w:val="24"/>
      <w:szCs w:val="24"/>
    </w:rPr>
  </w:style>
  <w:style w:type="character" w:customStyle="1" w:styleId="765">
    <w:name w:val="ui-provider"/>
    <w:basedOn w:val="52"/>
    <w:qFormat/>
    <w:uiPriority w:val="0"/>
  </w:style>
  <w:style w:type="character" w:customStyle="1" w:styleId="766">
    <w:name w:val="NormalCharacter"/>
    <w:link w:val="767"/>
    <w:autoRedefine/>
    <w:qFormat/>
    <w:uiPriority w:val="0"/>
    <w:rPr>
      <w:rFonts w:ascii="Calibri" w:hAnsi="Calibri" w:cstheme="minorBidi"/>
    </w:rPr>
  </w:style>
  <w:style w:type="paragraph" w:customStyle="1" w:styleId="767">
    <w:name w:val="UserStyle_3"/>
    <w:basedOn w:val="1"/>
    <w:link w:val="766"/>
    <w:autoRedefine/>
    <w:qFormat/>
    <w:uiPriority w:val="0"/>
    <w:pPr>
      <w:widowControl/>
      <w:textAlignment w:val="baseline"/>
    </w:pPr>
    <w:rPr>
      <w:rFonts w:ascii="Calibri" w:hAnsi="Calibri" w:cstheme="minorBidi"/>
    </w:rPr>
  </w:style>
  <w:style w:type="paragraph" w:customStyle="1" w:styleId="768">
    <w:name w:val="Normal_13"/>
    <w:qFormat/>
    <w:uiPriority w:val="0"/>
    <w:rPr>
      <w:rFonts w:ascii="Times New Roman" w:hAnsi="Times New Roman" w:eastAsia="宋体" w:cs="Times New Roman"/>
      <w:sz w:val="24"/>
      <w:szCs w:val="24"/>
    </w:rPr>
  </w:style>
  <w:style w:type="paragraph" w:customStyle="1" w:styleId="769">
    <w:name w:val="Normal_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0">
    <w:name w:val="Normal_15"/>
    <w:qFormat/>
    <w:uiPriority w:val="0"/>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control" Target="activeX/activeX17.xml"/><Relationship Id="rId33" Type="http://schemas.openxmlformats.org/officeDocument/2006/relationships/control" Target="activeX/activeX16.xml"/><Relationship Id="rId32" Type="http://schemas.openxmlformats.org/officeDocument/2006/relationships/control" Target="activeX/activeX15.xml"/><Relationship Id="rId31" Type="http://schemas.openxmlformats.org/officeDocument/2006/relationships/control" Target="activeX/activeX14.xml"/><Relationship Id="rId30" Type="http://schemas.openxmlformats.org/officeDocument/2006/relationships/control" Target="activeX/activeX13.xml"/><Relationship Id="rId3" Type="http://schemas.openxmlformats.org/officeDocument/2006/relationships/header" Target="header1.xml"/><Relationship Id="rId29" Type="http://schemas.openxmlformats.org/officeDocument/2006/relationships/control" Target="activeX/activeX12.xml"/><Relationship Id="rId28" Type="http://schemas.openxmlformats.org/officeDocument/2006/relationships/control" Target="activeX/activeX11.xml"/><Relationship Id="rId27" Type="http://schemas.openxmlformats.org/officeDocument/2006/relationships/control" Target="activeX/activeX10.xml"/><Relationship Id="rId26" Type="http://schemas.openxmlformats.org/officeDocument/2006/relationships/control" Target="activeX/activeX9.xml"/><Relationship Id="rId25" Type="http://schemas.openxmlformats.org/officeDocument/2006/relationships/control" Target="activeX/activeX8.xml"/><Relationship Id="rId24" Type="http://schemas.openxmlformats.org/officeDocument/2006/relationships/control" Target="activeX/activeX7.xml"/><Relationship Id="rId23" Type="http://schemas.openxmlformats.org/officeDocument/2006/relationships/control" Target="activeX/activeX6.xml"/><Relationship Id="rId22" Type="http://schemas.openxmlformats.org/officeDocument/2006/relationships/control" Target="activeX/activeX5.xml"/><Relationship Id="rId21" Type="http://schemas.openxmlformats.org/officeDocument/2006/relationships/control" Target="activeX/activeX4.xml"/><Relationship Id="rId20" Type="http://schemas.openxmlformats.org/officeDocument/2006/relationships/image" Target="media/image2.wmf"/><Relationship Id="rId2" Type="http://schemas.openxmlformats.org/officeDocument/2006/relationships/settings" Target="settings.xml"/><Relationship Id="rId19" Type="http://schemas.openxmlformats.org/officeDocument/2006/relationships/control" Target="activeX/activeX3.xml"/><Relationship Id="rId18" Type="http://schemas.openxmlformats.org/officeDocument/2006/relationships/control" Target="activeX/activeX2.xml"/><Relationship Id="rId17" Type="http://schemas.openxmlformats.org/officeDocument/2006/relationships/image" Target="media/image1.wmf"/><Relationship Id="rId16" Type="http://schemas.openxmlformats.org/officeDocument/2006/relationships/control" Target="activeX/activeX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10.xml.rels><?xml version="1.0" encoding="UTF-8" standalone="yes"?>
<Relationships xmlns="http://schemas.openxmlformats.org/package/2006/relationships"><Relationship Id="rId1" Type="http://schemas.microsoft.com/office/2006/relationships/activeXControlBinary" Target="activeX8.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5.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1.bin"/></Relationships>
</file>

<file path=word/activeX/_rels/activeX5.xml.rels><?xml version="1.0" encoding="UTF-8" standalone="yes"?>
<Relationships xmlns="http://schemas.openxmlformats.org/package/2006/relationships"><Relationship Id="rId1" Type="http://schemas.microsoft.com/office/2006/relationships/activeXControlBinary" Target="activeX10.bin"/></Relationships>
</file>

<file path=word/activeX/_rels/activeX6.xml.rels><?xml version="1.0" encoding="UTF-8" standalone="yes"?>
<Relationships xmlns="http://schemas.openxmlformats.org/package/2006/relationships"><Relationship Id="rId1" Type="http://schemas.microsoft.com/office/2006/relationships/activeXControlBinary" Target="activeX13.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9.bin"/></Relationships>
</file>

<file path=word/activeX/_rels/activeX9.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10.xml><?xml version="1.0" encoding="utf-8"?>
<ax:ocx xmlns:ax="http://schemas.microsoft.com/office/2006/activeX" xmlns:r="http://schemas.openxmlformats.org/officeDocument/2006/relationships" ax:classid="{8BD21D40-EC42-11CE-9E0D-00AA006002F3}" r:id="rId1" ax:persistence="persistStorage"/>
</file>

<file path=word/activeX/activeX11.xml><?xml version="1.0" encoding="utf-8"?>
<ax:ocx xmlns:ax="http://schemas.microsoft.com/office/2006/activeX" xmlns:r="http://schemas.openxmlformats.org/officeDocument/2006/relationships" ax:classid="{8BD21D40-EC42-11CE-9E0D-00AA006002F3}" r:id="rId1" ax:persistence="persistStorage"/>
</file>

<file path=word/activeX/activeX12.xml><?xml version="1.0" encoding="utf-8"?>
<ax:ocx xmlns:ax="http://schemas.microsoft.com/office/2006/activeX" xmlns:r="http://schemas.openxmlformats.org/officeDocument/2006/relationships" ax:classid="{8BD21D40-EC42-11CE-9E0D-00AA006002F3}" r:id="rId1" ax:persistence="persistStorage"/>
</file>

<file path=word/activeX/activeX13.xml><?xml version="1.0" encoding="utf-8"?>
<ax:ocx xmlns:ax="http://schemas.microsoft.com/office/2006/activeX" xmlns:r="http://schemas.openxmlformats.org/officeDocument/2006/relationships" ax:classid="{8BD21D40-EC42-11CE-9E0D-00AA006002F3}" r:id="rId1" ax:persistence="persistStorage"/>
</file>

<file path=word/activeX/activeX14.xml><?xml version="1.0" encoding="utf-8"?>
<ax:ocx xmlns:ax="http://schemas.microsoft.com/office/2006/activeX" xmlns:r="http://schemas.openxmlformats.org/officeDocument/2006/relationships" ax:classid="{8BD21D40-EC42-11CE-9E0D-00AA006002F3}" r:id="rId1" ax:persistence="persistStorage"/>
</file>

<file path=word/activeX/activeX15.xml><?xml version="1.0" encoding="utf-8"?>
<ax:ocx xmlns:ax="http://schemas.microsoft.com/office/2006/activeX" xmlns:r="http://schemas.openxmlformats.org/officeDocument/2006/relationships" ax:classid="{8BD21D40-EC42-11CE-9E0D-00AA006002F3}" r:id="rId1" ax:persistence="persistStorage"/>
</file>

<file path=word/activeX/activeX16.xml><?xml version="1.0" encoding="utf-8"?>
<ax:ocx xmlns:ax="http://schemas.microsoft.com/office/2006/activeX" xmlns:r="http://schemas.openxmlformats.org/officeDocument/2006/relationships" ax:classid="{8BD21D40-EC42-11CE-9E0D-00AA006002F3}" r:id="rId1" ax:persistence="persistStorage"/>
</file>

<file path=word/activeX/activeX17.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activeX/activeX7.xml><?xml version="1.0" encoding="utf-8"?>
<ax:ocx xmlns:ax="http://schemas.microsoft.com/office/2006/activeX" xmlns:r="http://schemas.openxmlformats.org/officeDocument/2006/relationships" ax:classid="{8BD21D40-EC42-11CE-9E0D-00AA006002F3}" r:id="rId1" ax:persistence="persistStorage"/>
</file>

<file path=word/activeX/activeX8.xml><?xml version="1.0" encoding="utf-8"?>
<ax:ocx xmlns:ax="http://schemas.microsoft.com/office/2006/activeX" xmlns:r="http://schemas.openxmlformats.org/officeDocument/2006/relationships" ax:classid="{8BD21D40-EC42-11CE-9E0D-00AA006002F3}" r:id="rId1" ax:persistence="persistStorage"/>
</file>

<file path=word/activeX/activeX9.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72</Pages>
  <Words>17516</Words>
  <Characters>18435</Characters>
  <Lines>702</Lines>
  <Paragraphs>197</Paragraphs>
  <TotalTime>225</TotalTime>
  <ScaleCrop>false</ScaleCrop>
  <LinksUpToDate>false</LinksUpToDate>
  <CharactersWithSpaces>18941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2022-08-16T07:34:00Z</dcterms:created>
  <dc:creator>admin</dc:creator>
  <cp:lastModifiedBy>Administrator</cp:lastModifiedBy>
  <cp:lastPrinted>2024-11-28T01:52:00Z</cp:lastPrinted>
  <dcterms:modified xsi:type="dcterms:W3CDTF">2026-07-31T07:06:15Z</dcterms:modified>
  <dc:title>附件十一</dc:title>
  <cp:revision>355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BFC4C6CA3FF74030BB7678BAE6B692E6_13</vt:lpwstr>
  </property>
  <property fmtid="{D5CDD505-2E9C-101B-9397-08002B2CF9AE}" pid="4" name="KSOTemplateDocerSaveRecord">
    <vt:lpwstr>eyJoZGlkIjoiOWRmZjc4ODEwN2IwMGU1MTM1MTE1OWZiM2VlY2Q4NjUiLCJ1c2VySWQiOiI1MzQyMDAxNDAifQ==</vt:lpwstr>
  </property>
</Properties>
</file>