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492CF11">
      <w:pPr>
        <w:pStyle w:val="2"/>
        <w:widowControl/>
        <w:spacing w:beforeAutospacing="0" w:after="0" w:afterAutospacing="0" w:line="17" w:lineRule="atLeast"/>
        <w:ind w:left="2640" w:right="0" w:firstLine="0"/>
        <w:jc w:val="left"/>
        <w:rPr>
          <w:rFonts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b/>
          <w:i w:val="0"/>
          <w:caps w:val="0"/>
          <w:color w:val="000000"/>
          <w:spacing w:val="0"/>
          <w:sz w:val="22"/>
          <w:szCs w:val="22"/>
        </w:rPr>
        <w:t>第五章</w:t>
      </w:r>
      <w:r>
        <w:rPr>
          <w:rFonts w:hint="default" w:ascii="黑体" w:hAnsi="宋体" w:eastAsia="黑体" w:cs="黑体"/>
          <w:i w:val="0"/>
          <w:caps w:val="0"/>
          <w:color w:val="000000"/>
          <w:spacing w:val="0"/>
          <w:sz w:val="22"/>
          <w:szCs w:val="22"/>
        </w:rPr>
        <w:t> </w:t>
      </w:r>
      <w:r>
        <w:rPr>
          <w:rFonts w:hint="default" w:ascii="黑体" w:hAnsi="宋体" w:eastAsia="黑体" w:cs="黑体"/>
          <w:b/>
          <w:i w:val="0"/>
          <w:caps w:val="0"/>
          <w:color w:val="000000"/>
          <w:spacing w:val="0"/>
          <w:sz w:val="22"/>
          <w:szCs w:val="22"/>
        </w:rPr>
        <w:t>采购需求</w:t>
      </w:r>
    </w:p>
    <w:p w14:paraId="3DBFB990">
      <w:pPr>
        <w:pStyle w:val="2"/>
        <w:widowControl/>
        <w:spacing w:beforeAutospacing="0" w:after="0" w:afterAutospacing="0" w:line="22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  <w:t> </w:t>
      </w:r>
    </w:p>
    <w:p w14:paraId="37CA358A">
      <w:pPr>
        <w:pStyle w:val="2"/>
        <w:widowControl/>
        <w:spacing w:beforeAutospacing="0" w:after="0" w:afterAutospacing="0" w:line="27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0" w:name="_Toc20763"/>
      <w:bookmarkEnd w:id="0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一、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项目说明</w:t>
      </w:r>
    </w:p>
    <w:p w14:paraId="66A1467D">
      <w:pPr>
        <w:pStyle w:val="2"/>
        <w:widowControl/>
        <w:spacing w:beforeAutospacing="0" w:after="0" w:afterAutospacing="0" w:line="27" w:lineRule="atLeast"/>
        <w:ind w:left="0" w:right="465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1、项目名称</w:t>
      </w:r>
      <w:r>
        <w:rPr>
          <w:rFonts w:ascii="MS Gothic" w:hAnsi="MS Gothic" w:eastAsia="MS Gothic" w:cs="MS Gothic"/>
          <w:i w:val="0"/>
          <w:caps w:val="0"/>
          <w:color w:val="000000"/>
          <w:spacing w:val="0"/>
          <w:sz w:val="18"/>
          <w:szCs w:val="18"/>
        </w:rPr>
        <w:t>: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郴州市机关事务管理局局属办公楼照明用电系统能源费用托管项目​</w:t>
      </w:r>
    </w:p>
    <w:p w14:paraId="6CBBE5D9">
      <w:pPr>
        <w:pStyle w:val="2"/>
        <w:widowControl/>
        <w:spacing w:beforeAutospacing="0" w:after="0" w:afterAutospacing="0" w:line="27" w:lineRule="atLeast"/>
        <w:ind w:left="0" w:right="465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2、项目概况:市机关事务管理局集中统一管理的市委一办、二办、五办、市委老年活动中心、市政府办公楼、市机关事务管理局办公楼、市政府老年活动中心。​</w:t>
      </w:r>
    </w:p>
    <w:p w14:paraId="557496EF">
      <w:pPr>
        <w:pStyle w:val="2"/>
        <w:widowControl/>
        <w:spacing w:beforeAutospacing="0" w:after="0" w:afterAutospacing="0" w:line="27" w:lineRule="atLeast"/>
        <w:ind w:left="0" w:right="465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3、项目预算：</w:t>
      </w:r>
      <w:r>
        <w:rPr>
          <w:rFonts w:ascii="Arial" w:hAnsi="Arial" w:eastAsia="-webkit-standard" w:cs="Arial"/>
          <w:i w:val="0"/>
          <w:caps w:val="0"/>
          <w:color w:val="000000"/>
          <w:spacing w:val="0"/>
          <w:sz w:val="18"/>
          <w:szCs w:val="18"/>
        </w:rPr>
        <w:t>400万元</w:t>
      </w:r>
      <w:r>
        <w:rPr>
          <w:rFonts w:hint="default" w:ascii="Arial" w:hAnsi="Arial" w:eastAsia="-webkit-standard" w:cs="Arial"/>
          <w:i w:val="0"/>
          <w:caps w:val="0"/>
          <w:color w:val="000000"/>
          <w:spacing w:val="0"/>
          <w:sz w:val="18"/>
          <w:szCs w:val="18"/>
        </w:rPr>
        <w:t>。</w:t>
      </w:r>
    </w:p>
    <w:p w14:paraId="4239A0D2">
      <w:pPr>
        <w:pStyle w:val="2"/>
        <w:widowControl/>
        <w:spacing w:beforeAutospacing="0" w:after="0" w:afterAutospacing="0" w:line="27" w:lineRule="atLeast"/>
        <w:ind w:left="0" w:right="465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1" w:name="_Toc18052"/>
      <w:bookmarkEnd w:id="1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二、项目实施要求：</w:t>
      </w:r>
    </w:p>
    <w:p w14:paraId="313C565F">
      <w:pPr>
        <w:pStyle w:val="2"/>
        <w:widowControl/>
        <w:spacing w:beforeAutospacing="0" w:after="0" w:afterAutospacing="0" w:line="27" w:lineRule="atLeast"/>
        <w:ind w:left="0" w:right="465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本项目节能总体目标：本项目采用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节能效益分享型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合同能源管理（EMC）实施全域照明改造模式，投标人全额投资建设、运维10年。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每年按约定比例分节能收益（具体签订合同时约定），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  <w:t>且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须满足以下刚性节能指标，所有指标为投标实质性响应条款，不满足视为无效投标。</w:t>
      </w:r>
    </w:p>
    <w:p w14:paraId="209EC074">
      <w:pPr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Arial" w:hAnsi="Arial" w:eastAsia="-webkit-standard" w:cs="Arial"/>
          <w:i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1、 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综合最低节电率要求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：以项目全域照明改造前实测基准能耗为计算基数，改造完成整体加权平均综合节电率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不得低于50%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；</w:t>
      </w:r>
    </w:p>
    <w:p w14:paraId="5BB3D97D">
      <w:pPr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default" w:ascii="Arial" w:hAnsi="Arial" w:eastAsia="-webkit-standard" w:cs="Arial"/>
          <w:i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2、 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限额用电指标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 （1）</w:t>
      </w:r>
      <w:bookmarkStart w:id="28" w:name="_GoBack"/>
      <w:bookmarkEnd w:id="28"/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改造后年照明总用电量≤636060度；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 （2）10年合作期累计照明总用电量≤6360600度；</w:t>
      </w:r>
    </w:p>
    <w:p w14:paraId="4B933318">
      <w:pPr>
        <w:widowControl/>
        <w:spacing w:beforeAutospacing="0" w:after="0" w:afterAutospacing="0" w:line="27" w:lineRule="atLeast"/>
        <w:ind w:left="150" w:right="0" w:firstLine="18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3、限额电费指标（刚性上限，按历史综合电价核算）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（1）改造后年照明电费≤526244.88元；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（2）10年合作期累计照明电费≤5262448.8元。</w:t>
      </w:r>
    </w:p>
    <w:p w14:paraId="1047B1A3">
      <w:pPr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4、基准核算方式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：采用“灯具抽样实测功率+7日连续电表计量开灯时长”组合核算，作为节电率、节电量唯一法定计算依据，不得采用理论估算值。</w:t>
      </w:r>
    </w:p>
    <w:p w14:paraId="57FECE4D">
      <w:pPr>
        <w:widowControl/>
        <w:spacing w:beforeAutospacing="0" w:after="0" w:afterAutospacing="0" w:line="27" w:lineRule="atLeast"/>
        <w:ind w:left="345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5、抽样实测要求</w:t>
      </w:r>
    </w:p>
    <w:p w14:paraId="3B1C6282">
      <w:pPr>
        <w:widowControl/>
        <w:spacing w:beforeAutospacing="0" w:after="0" w:afterAutospacing="0" w:line="27" w:lineRule="atLeast"/>
        <w:ind w:left="0" w:right="0" w:firstLine="18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（1）所有类型原有灯具抽样比例≥5%，覆盖市委大院、市政府大楼全部楼层、办公室、会议室、楼道、路灯、卫生间、老年活动中心等区域；</w:t>
      </w:r>
    </w:p>
    <w:p w14:paraId="56B1AED9">
      <w:pPr>
        <w:widowControl/>
        <w:spacing w:beforeAutospacing="0" w:after="0" w:afterAutospacing="0" w:line="27" w:lineRule="atLeast"/>
        <w:ind w:left="0" w:right="0" w:firstLine="18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（2）使用标准功率仪现场实测原有灯具实际运行功率，全过程招标人现场监督，测试记录表双方签字盖章留存；</w:t>
      </w:r>
    </w:p>
    <w:p w14:paraId="365793DF">
      <w:pPr>
        <w:widowControl/>
        <w:spacing w:beforeAutospacing="0" w:after="0" w:afterAutospacing="0" w:line="27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2" w:name="_Toc22317"/>
      <w:bookmarkEnd w:id="2"/>
      <w:bookmarkStart w:id="3" w:name="_Toc4656"/>
      <w:bookmarkEnd w:id="3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三、软件平台与智能化要求</w:t>
      </w:r>
    </w:p>
    <w:p w14:paraId="1367F0B8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4" w:name="heading_26"/>
      <w:bookmarkEnd w:id="4"/>
      <w:bookmarkStart w:id="5" w:name="_Toc22901"/>
      <w:bookmarkEnd w:id="5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1、平台整体要求</w:t>
      </w:r>
    </w:p>
    <w:p w14:paraId="0A2B30FF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6" w:name="_Toc32627"/>
      <w:bookmarkEnd w:id="6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本次项目须部署专业数智化照明节能管理平台，平台建设需贴合本次照明改造规模及智能管控需求，兼顾实用性、稳定性、安全性及可扩展性，具体要求如下：</w:t>
      </w:r>
    </w:p>
    <w:p w14:paraId="7D9C2F56">
      <w:pPr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7" w:name="_Toc18980"/>
      <w:bookmarkEnd w:id="7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1.1部署标准：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平台支持云端部署或本地私有化部署两种方案采用分布式架构，具备高可靠性、高稳定性，可实现 7×24 小时不间断运行，年故障率≤0.5%，确保数据传输、存储及操作流畅。</w:t>
      </w:r>
    </w:p>
    <w:p w14:paraId="38D77799">
      <w:pPr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8" w:name="_Toc10882"/>
      <w:bookmarkEnd w:id="8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1.2终端支持：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平台需同时支持PC端（Windows系统、主浏览器适配）和手机APP（支持iOS、Android双系统），PC端用于后台管理、数据查看及批量操作，手机APP用于移动便捷管理，实现随时随地查看数据，两端数据实时同步，无延迟、无偏差。</w:t>
      </w:r>
    </w:p>
    <w:p w14:paraId="21C16D03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9" w:name="_Toc9419"/>
      <w:bookmarkEnd w:id="9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1.3数据管理：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平台需具备数据实时上传、云端/本地加密存储、便捷导出、对账核算等功能；数据存储期限不少于EMC合同履行期限届满后5年，支持按时间段、按区域、按回路查询导出数据，导出格式支持Excel常用格式，满足节能收益结算、数据核验及归档需求。</w:t>
      </w:r>
    </w:p>
    <w:p w14:paraId="26D037A5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10" w:name="_Toc3514"/>
      <w:bookmarkEnd w:id="10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1.4安全要求：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平台需具备完善的安全防护体系，包括数据加密、身份认证、权限分级管理、操作日志留存等功能，防止数据泄露、篡改、丢失；确保平台运行安全、数据安全。</w:t>
      </w:r>
    </w:p>
    <w:p w14:paraId="73593F05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11" w:name="_Toc22203"/>
      <w:bookmarkEnd w:id="11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1.5可扩展性：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平台需具备良好的可扩展性，可根据后期照明系统扩容、功能升级需求，灵活增加监测点位、扩展功能模块，无需大规模改造平台架构，适配长期使用需求。</w:t>
      </w:r>
    </w:p>
    <w:p w14:paraId="35BB5070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12" w:name="_Toc29797"/>
      <w:bookmarkEnd w:id="12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2、核心功能要求</w:t>
      </w:r>
    </w:p>
    <w:p w14:paraId="2FC1C985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13" w:name="_Toc30290"/>
      <w:bookmarkEnd w:id="13"/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平台核心功能需覆盖用电监测可视化、用电安全监测，功能完善、操作便捷，具体要求如下：</w:t>
      </w:r>
    </w:p>
    <w:p w14:paraId="53D072EC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14" w:name="_Toc20731"/>
      <w:bookmarkEnd w:id="14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（一）实时用电监测功能</w:t>
      </w:r>
    </w:p>
    <w:p w14:paraId="5CFFF32B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15" w:name="_Toc3104"/>
      <w:bookmarkEnd w:id="15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1.精准监测：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支持按照明回路分别监测用电参数，包括实时功率、运行电流、实际电压、用电量等核心数据。</w:t>
      </w:r>
    </w:p>
    <w:p w14:paraId="1A4AE01A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16" w:name="_Toc29699"/>
      <w:bookmarkEnd w:id="16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2.统计分析：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支持小时级、日、月、年用电量自动统计，可生成用电趋势图、对比图，清晰呈现各区域、各回路用电规律，便于招标人掌握用电情况，识别用电异常及浪费环节。</w:t>
      </w:r>
    </w:p>
    <w:p w14:paraId="09AF29EB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17" w:name="_Toc16464"/>
      <w:bookmarkEnd w:id="17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3.细节管控：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用电状态监测，实现精细化节能管理。</w:t>
      </w:r>
    </w:p>
    <w:p w14:paraId="56C06D48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18" w:name="_Toc8118"/>
      <w:bookmarkEnd w:id="18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（二）节能数据可视化功能</w:t>
      </w:r>
    </w:p>
    <w:p w14:paraId="0435469C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19" w:name="_Toc1037"/>
      <w:bookmarkEnd w:id="19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1.数据实时显示：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平台首页需直观展示实时用电量、碳减排量等核心节能数据，采用图表（柱状图、折线图、饼图等）可视化呈现，一目了然。</w:t>
      </w:r>
    </w:p>
    <w:p w14:paraId="0809CA24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20" w:name="_Toc8478"/>
      <w:bookmarkEnd w:id="20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2.数据核验与输出：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可直接打印数据报表，报表格式规范、数据完整。</w:t>
      </w:r>
    </w:p>
    <w:p w14:paraId="5F73202D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21" w:name="_Toc13979"/>
      <w:bookmarkEnd w:id="21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（三）用电安全监测功能</w:t>
      </w:r>
    </w:p>
    <w:p w14:paraId="264B366F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22" w:name="_Toc3914"/>
      <w:bookmarkEnd w:id="22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异常预警：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具备漏电、过载、电压异常、电流异常、异常用电、偷电等异常情况实时监测及预警功能，</w:t>
      </w:r>
    </w:p>
    <w:p w14:paraId="67BF6B0F">
      <w:pPr>
        <w:pStyle w:val="2"/>
        <w:widowControl/>
        <w:spacing w:beforeAutospacing="0" w:after="0" w:afterAutospacing="0" w:line="27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23" w:name="_Toc23611"/>
      <w:bookmarkEnd w:id="23"/>
      <w:bookmarkStart w:id="24" w:name="_Toc1253"/>
      <w:bookmarkEnd w:id="24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  <w:lang w:eastAsia="zh-CN"/>
        </w:rPr>
        <w:t>四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、补充要求</w:t>
      </w:r>
    </w:p>
    <w:p w14:paraId="0A8DFD76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25" w:name="_Toc18715"/>
      <w:bookmarkEnd w:id="25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1.平台部署、调试：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中标人负责平台的全额投资、部署、调试工作，确保平台各项功能正常运行，调试完成后需经招标人审核通过方可投入使用。</w:t>
      </w:r>
    </w:p>
    <w:p w14:paraId="5E5971CE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26" w:name="_Toc15693"/>
      <w:bookmarkEnd w:id="26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2.操作培训：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中标人需对招标人指定工作人员进行平台操作培训，包括PC端、手机APP的操作、数据查询、报表导出、日常维护等内容，确保相关人员能够熟练操作系统。</w:t>
      </w:r>
    </w:p>
    <w:p w14:paraId="09413DDF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bookmarkStart w:id="27" w:name="_Toc20083"/>
      <w:bookmarkEnd w:id="27"/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3.后期维护：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平台质保期需完全覆盖EMC合同履行期限，质保期内，中标人需提供7×24小时技术支持，做到4小时响应、24小时售后。及时处理平台运行过程中出现的故障、卡顿、数据异常等问题，确保平台稳定运行。</w:t>
      </w:r>
    </w:p>
    <w:p w14:paraId="68E95BC4">
      <w:pPr>
        <w:widowControl/>
        <w:spacing w:beforeAutospacing="0" w:after="0" w:afterAutospacing="0" w:line="27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五、节电率达标考核与违约处置</w:t>
      </w:r>
    </w:p>
    <w:p w14:paraId="1297DD18">
      <w:pPr>
        <w:widowControl/>
        <w:spacing w:beforeAutospacing="0" w:after="0" w:afterAutospacing="0" w:line="27" w:lineRule="atLeast"/>
        <w:ind w:left="0" w:right="0" w:firstLine="33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验收考核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：单项目完工后，开展3-7日试运行能耗核验，试运行综合节电率低于50%、月度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改造部分照明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用电量/电费突破上限，视为验收不合格，中标人须30日内完成灯具升级、系统优化整改，整改产生全部费用由中标人自行承担；二次核验仍不达标，招标人有权解除EMC合同，中标人赔偿全部经济损失。（分批次验收）</w:t>
      </w:r>
    </w:p>
    <w:p w14:paraId="5552D58F">
      <w:pPr>
        <w:widowControl/>
        <w:spacing w:beforeAutospacing="0" w:after="0" w:afterAutospacing="0" w:line="27" w:lineRule="atLeast"/>
        <w:ind w:left="315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月度常态化考核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1)每月5个工作日内中标人提交《月度节能收益核算表》，附平台用电数据、灯具功率台账、节电率测算明细；</w:t>
      </w:r>
    </w:p>
    <w:p w14:paraId="68259409">
      <w:pPr>
        <w:widowControl/>
        <w:spacing w:beforeAutospacing="0" w:after="0" w:afterAutospacing="0" w:line="27" w:lineRule="atLeast"/>
        <w:ind w:left="0" w:right="0" w:firstLine="33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(2)当月某项目实际照明节电率低于50%时，差额部分产生的超额电费由中标人全额补足，在下一期节能收益分成中直接抵扣；</w:t>
      </w:r>
    </w:p>
    <w:p w14:paraId="409454E7">
      <w:pPr>
        <w:widowControl/>
        <w:spacing w:beforeAutospacing="0" w:after="0" w:afterAutospacing="0" w:line="27" w:lineRule="atLeast"/>
        <w:ind w:left="0" w:right="0" w:firstLine="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六、其他</w:t>
      </w:r>
    </w:p>
    <w:p w14:paraId="2D771793">
      <w:pPr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计量与数据留存要求</w:t>
      </w:r>
    </w:p>
    <w:p w14:paraId="287B4B59">
      <w:pPr>
        <w:widowControl/>
        <w:spacing w:beforeAutospacing="0" w:after="0" w:afterAutospacing="0" w:line="27" w:lineRule="atLeast"/>
        <w:ind w:left="0" w:right="0" w:firstLine="33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配套云端智慧照明管控平台，实时采集每一层、每一间回路电压、电流、功率、用电量，数据自动存储，保存期限不少于合同期满后5年；</w:t>
      </w:r>
    </w:p>
    <w:p w14:paraId="67D68A18">
      <w:pPr>
        <w:widowControl/>
        <w:spacing w:beforeAutospacing="0" w:after="0" w:afterAutospacing="0" w:line="27" w:lineRule="atLeast"/>
        <w:ind w:left="0" w:right="0" w:firstLine="33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招标人可随时导出月度、年度用电台账、节电率测算报表，具备审计、财政核查溯源条件；</w:t>
      </w:r>
    </w:p>
    <w:p w14:paraId="7CF511C1">
      <w:pPr>
        <w:widowControl/>
        <w:spacing w:beforeAutospacing="0" w:after="0" w:afterAutospacing="0" w:line="27" w:lineRule="atLeast"/>
        <w:ind w:left="0" w:right="0" w:firstLine="33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所有基准测试、月度核算、整改核验纸质资料一式两份，甲乙双方归档，作为合同结算、纠纷处置唯一依据。</w:t>
      </w:r>
    </w:p>
    <w:p w14:paraId="34ED6689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其他配套节能约束</w:t>
      </w:r>
    </w:p>
    <w:p w14:paraId="7958CFFD">
      <w:pPr>
        <w:widowControl/>
        <w:spacing w:beforeAutospacing="0" w:after="0" w:afterAutospacing="0" w:line="27" w:lineRule="atLeast"/>
        <w:ind w:left="0" w:right="0" w:firstLine="33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合作期内中标人须定期巡检灯具、智能控制系统，杜绝灯具损坏、感应失效造成能耗反弹，人为导致节电率下滑的，由中标人承担全部电费差额；</w:t>
      </w:r>
    </w:p>
    <w:p w14:paraId="51C6E6FF">
      <w:pPr>
        <w:widowControl/>
        <w:spacing w:beforeAutospacing="0" w:after="0" w:afterAutospacing="0" w:line="27" w:lineRule="atLeast"/>
        <w:ind w:left="0" w:right="0" w:firstLine="33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  <w:t>招标人正常办公使用前提下，不得因中标人设备、系统问题抬高照明能耗；若招标人新增照明点位、延长开灯时长，双方现场实测调整基准能耗，签订补充协议后重新核算节电率。</w:t>
      </w:r>
    </w:p>
    <w:p w14:paraId="40AB2606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争议的解决</w:t>
      </w:r>
    </w:p>
    <w:p w14:paraId="34550B33">
      <w:pPr>
        <w:pStyle w:val="2"/>
        <w:widowControl/>
        <w:spacing w:beforeAutospacing="0" w:after="0" w:afterAutospacing="0" w:line="27" w:lineRule="atLeast"/>
        <w:ind w:left="0" w:right="0" w:firstLine="360"/>
        <w:jc w:val="left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本合同在履行过程中发生争议，双方应及时协商解决，协商不成时，向人民法院提起诉讼。</w:t>
      </w:r>
    </w:p>
    <w:p w14:paraId="22945A4E">
      <w:pPr>
        <w:pStyle w:val="2"/>
        <w:widowControl/>
        <w:spacing w:beforeAutospacing="0" w:after="0" w:afterAutospacing="0" w:line="324" w:lineRule="atLeast"/>
        <w:ind w:left="0" w:right="15" w:firstLine="360"/>
        <w:jc w:val="both"/>
        <w:rPr>
          <w:rFonts w:hint="default" w:ascii="-webkit-standard" w:hAnsi="-webkit-standard" w:eastAsia="-webkit-standard" w:cs="-webkit-standard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18"/>
          <w:szCs w:val="18"/>
        </w:rPr>
        <w:t>它需要说明的事项：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18"/>
          <w:szCs w:val="18"/>
        </w:rPr>
        <w:t>其他未明确事宜由双方协商约定。</w:t>
      </w:r>
    </w:p>
    <w:p w14:paraId="3097CA04">
      <w:pPr>
        <w:rPr>
          <w:sz w:val="34"/>
          <w:szCs w:val="3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-webkit-standard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7C4393"/>
    <w:rsid w:val="FC7F55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2404</Words>
  <Characters>2509</Characters>
  <Lines>0</Lines>
  <Paragraphs>0</Paragraphs>
  <TotalTime>1</TotalTime>
  <ScaleCrop>false</ScaleCrop>
  <LinksUpToDate>false</LinksUpToDate>
  <CharactersWithSpaces>2517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2026-08-10T18:25:00Z</dcterms:created>
  <dc:creator>iPhone</dc:creator>
  <cp:lastModifiedBy>悲伤荷包蛋</cp:lastModifiedBy>
  <dcterms:modified xsi:type="dcterms:W3CDTF">2026-08-12T02:13:05Z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D2E1FCDC49A8FDA3AC36796A0166E961_31</vt:lpwstr>
  </property>
  <property fmtid="{D5CDD505-2E9C-101B-9397-08002B2CF9AE}" pid="4" name="KSOTemplateDocerSaveRecord">
    <vt:lpwstr>eyJoZGlkIjoiNjViMTc4Njg0NTdlYTQ1MDQ1MWExNDBiYTExY2Y5NjAiLCJ1c2VySWQiOiIxNjE3MDQ5NzcyIn0=</vt:lpwstr>
  </property>
</Properties>
</file>