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10" w:lineRule="atLeast"/>
        <w:jc w:val="left"/>
        <w:rPr>
          <w:color w:val="000000" w:themeColor="text1"/>
        </w:rPr>
      </w:pPr>
      <w:bookmarkStart w:id="0" w:name="_Toc20384570"/>
      <w:r>
        <w:rPr>
          <w:rFonts w:hint="eastAsia" w:ascii="仿宋" w:hAnsi="仿宋" w:eastAsia="仿宋" w:cs="仿宋"/>
          <w:color w:val="000000" w:themeColor="text1"/>
          <w:kern w:val="0"/>
          <w:sz w:val="27"/>
          <w:szCs w:val="27"/>
        </w:rPr>
        <w:t>附件1</w:t>
      </w:r>
      <w:bookmarkEnd w:id="0"/>
    </w:p>
    <w:p>
      <w:pPr>
        <w:widowControl/>
        <w:spacing w:line="510" w:lineRule="atLeast"/>
        <w:jc w:val="center"/>
        <w:rPr>
          <w:color w:val="000000" w:themeColor="text1"/>
        </w:rPr>
      </w:pPr>
      <w:bookmarkStart w:id="1" w:name="_GoBack"/>
      <w:bookmarkEnd w:id="1"/>
      <w:r>
        <w:rPr>
          <w:rFonts w:hint="eastAsia" w:ascii="仿宋" w:hAnsi="仿宋" w:eastAsia="仿宋" w:cs="仿宋"/>
          <w:color w:val="000000" w:themeColor="text1"/>
          <w:kern w:val="0"/>
          <w:sz w:val="27"/>
          <w:szCs w:val="27"/>
        </w:rPr>
        <w:t>政府采购项目</w:t>
      </w:r>
    </w:p>
    <w:p>
      <w:pPr>
        <w:widowControl/>
        <w:spacing w:line="510" w:lineRule="atLeast"/>
        <w:jc w:val="center"/>
        <w:rPr>
          <w:color w:val="000000" w:themeColor="text1"/>
        </w:rPr>
      </w:pPr>
      <w:r>
        <w:rPr>
          <w:rFonts w:hint="eastAsia" w:ascii="仿宋" w:hAnsi="仿宋" w:eastAsia="仿宋" w:cs="仿宋"/>
          <w:color w:val="000000" w:themeColor="text1"/>
          <w:kern w:val="0"/>
          <w:sz w:val="27"/>
          <w:szCs w:val="27"/>
        </w:rPr>
        <w:t>采 购 需 求</w:t>
      </w:r>
    </w:p>
    <w:p>
      <w:pPr>
        <w:widowControl/>
        <w:spacing w:line="510" w:lineRule="atLeast"/>
        <w:jc w:val="center"/>
        <w:rPr>
          <w:color w:val="000000" w:themeColor="text1"/>
        </w:rPr>
      </w:pPr>
      <w:r>
        <w:rPr>
          <w:rFonts w:hint="eastAsia" w:ascii="仿宋" w:hAnsi="仿宋" w:eastAsia="仿宋" w:cs="仿宋"/>
          <w:color w:val="000000" w:themeColor="text1"/>
          <w:kern w:val="0"/>
          <w:sz w:val="27"/>
          <w:szCs w:val="27"/>
        </w:rPr>
        <w:t> </w:t>
      </w:r>
    </w:p>
    <w:p>
      <w:pPr>
        <w:widowControl/>
        <w:spacing w:line="510" w:lineRule="atLeast"/>
        <w:ind w:firstLine="1080" w:firstLineChars="400"/>
        <w:jc w:val="left"/>
        <w:rPr>
          <w:rFonts w:hint="eastAsia" w:ascii="仿宋" w:hAnsi="仿宋" w:eastAsia="仿宋" w:cs="仿宋"/>
          <w:color w:val="000000" w:themeColor="text1"/>
          <w:kern w:val="0"/>
          <w:sz w:val="27"/>
          <w:szCs w:val="27"/>
          <w:u w:val="single"/>
          <w:lang w:eastAsia="zh-CN"/>
        </w:rPr>
      </w:pPr>
      <w:r>
        <w:rPr>
          <w:rFonts w:hint="eastAsia" w:ascii="仿宋" w:hAnsi="仿宋" w:eastAsia="仿宋" w:cs="仿宋"/>
          <w:color w:val="000000" w:themeColor="text1"/>
          <w:kern w:val="0"/>
          <w:sz w:val="27"/>
          <w:szCs w:val="27"/>
        </w:rPr>
        <w:t>项目名称：</w:t>
      </w:r>
      <w:r>
        <w:rPr>
          <w:rFonts w:hint="eastAsia" w:ascii="仿宋" w:hAnsi="仿宋" w:eastAsia="仿宋" w:cs="仿宋"/>
          <w:color w:val="000000" w:themeColor="text1"/>
          <w:kern w:val="0"/>
          <w:sz w:val="27"/>
          <w:szCs w:val="27"/>
          <w:u w:val="single"/>
          <w:lang w:eastAsia="zh-CN"/>
        </w:rPr>
        <w:t>涟源市三甲乡中心学校2026年食堂原辅材料采购项目</w:t>
      </w:r>
    </w:p>
    <w:p>
      <w:pPr>
        <w:widowControl/>
        <w:spacing w:line="510" w:lineRule="atLeast"/>
        <w:ind w:firstLine="1080" w:firstLineChars="400"/>
        <w:jc w:val="left"/>
        <w:rPr>
          <w:rFonts w:ascii="仿宋" w:hAnsi="仿宋" w:eastAsia="仿宋" w:cs="仿宋"/>
          <w:color w:val="000000" w:themeColor="text1"/>
          <w:kern w:val="0"/>
          <w:sz w:val="27"/>
          <w:szCs w:val="27"/>
        </w:rPr>
      </w:pPr>
      <w:r>
        <w:rPr>
          <w:rFonts w:hint="eastAsia" w:ascii="仿宋" w:hAnsi="仿宋" w:eastAsia="仿宋" w:cs="仿宋"/>
          <w:color w:val="000000" w:themeColor="text1"/>
          <w:kern w:val="0"/>
          <w:sz w:val="27"/>
          <w:szCs w:val="27"/>
        </w:rPr>
        <w:t>采购单位： </w:t>
      </w: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u w:val="single"/>
          <w:lang w:eastAsia="zh-CN"/>
        </w:rPr>
        <w:t>涟源市三甲乡中心学校</w:t>
      </w:r>
      <w:r>
        <w:rPr>
          <w:rFonts w:hint="eastAsia" w:ascii="仿宋" w:hAnsi="仿宋" w:eastAsia="仿宋" w:cs="仿宋"/>
          <w:color w:val="000000" w:themeColor="text1"/>
          <w:kern w:val="0"/>
          <w:sz w:val="27"/>
          <w:szCs w:val="27"/>
        </w:rPr>
        <w:t>  </w:t>
      </w:r>
    </w:p>
    <w:p>
      <w:pPr>
        <w:widowControl/>
        <w:spacing w:line="510" w:lineRule="atLeast"/>
        <w:ind w:firstLine="1080" w:firstLineChars="400"/>
        <w:jc w:val="left"/>
        <w:rPr>
          <w:rFonts w:hint="eastAsia" w:ascii="仿宋" w:hAnsi="仿宋" w:eastAsia="仿宋" w:cs="仿宋"/>
          <w:color w:val="000000" w:themeColor="text1"/>
          <w:kern w:val="0"/>
          <w:sz w:val="27"/>
          <w:szCs w:val="27"/>
          <w:u w:val="single"/>
          <w:lang w:eastAsia="zh-CN"/>
        </w:rPr>
      </w:pPr>
      <w:r>
        <w:rPr>
          <w:rFonts w:hint="eastAsia" w:ascii="仿宋" w:hAnsi="仿宋" w:eastAsia="仿宋" w:cs="仿宋"/>
          <w:color w:val="000000" w:themeColor="text1"/>
          <w:kern w:val="0"/>
          <w:sz w:val="27"/>
          <w:szCs w:val="27"/>
        </w:rPr>
        <w:t>编制单位： </w:t>
      </w: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u w:val="single"/>
          <w:lang w:eastAsia="zh-CN"/>
        </w:rPr>
        <w:t>涟源市三甲乡中心学校</w:t>
      </w:r>
    </w:p>
    <w:p>
      <w:pPr>
        <w:widowControl/>
        <w:spacing w:line="510" w:lineRule="atLeast"/>
        <w:ind w:firstLine="1080" w:firstLineChars="400"/>
        <w:jc w:val="left"/>
        <w:rPr>
          <w:rFonts w:ascii="仿宋" w:hAnsi="仿宋" w:eastAsia="仿宋" w:cs="仿宋"/>
          <w:color w:val="000000" w:themeColor="text1"/>
          <w:kern w:val="0"/>
          <w:sz w:val="27"/>
          <w:szCs w:val="27"/>
        </w:rPr>
      </w:pPr>
      <w:r>
        <w:rPr>
          <w:rFonts w:hint="eastAsia" w:ascii="仿宋" w:hAnsi="仿宋" w:eastAsia="仿宋" w:cs="仿宋"/>
          <w:color w:val="000000" w:themeColor="text1"/>
          <w:kern w:val="0"/>
          <w:sz w:val="27"/>
          <w:szCs w:val="27"/>
        </w:rPr>
        <w:t xml:space="preserve">编制时间： </w:t>
      </w: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u w:val="single"/>
          <w:lang w:eastAsia="zh-CN"/>
        </w:rPr>
        <w:t>202</w:t>
      </w:r>
      <w:r>
        <w:rPr>
          <w:rFonts w:hint="eastAsia" w:ascii="仿宋" w:hAnsi="仿宋" w:eastAsia="仿宋" w:cs="仿宋"/>
          <w:color w:val="000000" w:themeColor="text1"/>
          <w:kern w:val="0"/>
          <w:sz w:val="27"/>
          <w:szCs w:val="27"/>
          <w:u w:val="single"/>
          <w:lang w:val="en-US" w:eastAsia="zh-CN"/>
        </w:rPr>
        <w:t>6</w:t>
      </w:r>
      <w:r>
        <w:rPr>
          <w:rFonts w:hint="eastAsia" w:ascii="仿宋" w:hAnsi="仿宋" w:eastAsia="仿宋" w:cs="仿宋"/>
          <w:color w:val="000000" w:themeColor="text1"/>
          <w:kern w:val="0"/>
          <w:sz w:val="27"/>
          <w:szCs w:val="27"/>
          <w:u w:val="single"/>
          <w:lang w:eastAsia="zh-CN"/>
        </w:rPr>
        <w:t>年</w:t>
      </w:r>
      <w:r>
        <w:rPr>
          <w:rFonts w:hint="eastAsia" w:ascii="仿宋" w:hAnsi="仿宋" w:eastAsia="仿宋" w:cs="仿宋"/>
          <w:color w:val="000000" w:themeColor="text1"/>
          <w:kern w:val="0"/>
          <w:sz w:val="27"/>
          <w:szCs w:val="27"/>
          <w:u w:val="single"/>
          <w:lang w:val="en-US" w:eastAsia="zh-CN"/>
        </w:rPr>
        <w:t>8</w:t>
      </w:r>
      <w:r>
        <w:rPr>
          <w:rFonts w:hint="eastAsia" w:ascii="仿宋" w:hAnsi="仿宋" w:eastAsia="仿宋" w:cs="仿宋"/>
          <w:color w:val="000000" w:themeColor="text1"/>
          <w:kern w:val="0"/>
          <w:sz w:val="27"/>
          <w:szCs w:val="27"/>
          <w:u w:val="single"/>
          <w:lang w:eastAsia="zh-CN"/>
        </w:rPr>
        <w:t>月</w:t>
      </w: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rPr>
        <w:t>     </w:t>
      </w:r>
    </w:p>
    <w:p>
      <w:pPr>
        <w:widowControl/>
        <w:spacing w:line="510" w:lineRule="atLeast"/>
        <w:jc w:val="left"/>
        <w:rPr>
          <w:color w:val="000000" w:themeColor="text1"/>
        </w:rPr>
      </w:pPr>
      <w:r>
        <w:rPr>
          <w:rFonts w:hint="eastAsia" w:ascii="仿宋" w:hAnsi="仿宋" w:eastAsia="仿宋" w:cs="仿宋"/>
          <w:color w:val="000000" w:themeColor="text1"/>
          <w:kern w:val="0"/>
          <w:sz w:val="27"/>
          <w:szCs w:val="27"/>
        </w:rPr>
        <w:t> </w:t>
      </w:r>
    </w:p>
    <w:p>
      <w:pPr>
        <w:widowControl/>
        <w:jc w:val="left"/>
        <w:rPr>
          <w:color w:val="000000" w:themeColor="text1"/>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rFonts w:ascii="仿宋" w:hAnsi="仿宋" w:eastAsia="仿宋" w:cs="仿宋"/>
          <w:color w:val="000000" w:themeColor="text1"/>
          <w:kern w:val="0"/>
          <w:sz w:val="27"/>
          <w:szCs w:val="27"/>
        </w:rPr>
      </w:pPr>
    </w:p>
    <w:p>
      <w:pPr>
        <w:widowControl/>
        <w:spacing w:line="510" w:lineRule="atLeast"/>
        <w:jc w:val="center"/>
        <w:rPr>
          <w:color w:val="000000" w:themeColor="text1"/>
        </w:rPr>
      </w:pPr>
      <w:r>
        <w:rPr>
          <w:rFonts w:hint="eastAsia" w:ascii="仿宋" w:hAnsi="仿宋" w:eastAsia="仿宋" w:cs="仿宋"/>
          <w:color w:val="000000" w:themeColor="text1"/>
          <w:kern w:val="0"/>
          <w:sz w:val="27"/>
          <w:szCs w:val="27"/>
        </w:rPr>
        <w:t>编 制 说 明</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 </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一、采购单位可以自行组织编制采购需求，也可以委托采购代理机构或者其他第三方机构编制。</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二、编制的采购需求应当符合《财政部关于印发政府采购需求管理办法的通知》（财库〔2021〕22号）要求及政府采购的相关规定。</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三、斜体字部分属于提醒内容，编制时应删除。</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四、对不适用的内容应删除，并调整相应序号。</w:t>
      </w:r>
    </w:p>
    <w:p>
      <w:pPr>
        <w:widowControl/>
        <w:jc w:val="left"/>
        <w:rPr>
          <w:color w:val="000000" w:themeColor="text1"/>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pStyle w:val="2"/>
        <w:ind w:firstLine="540"/>
        <w:rPr>
          <w:rFonts w:ascii="仿宋" w:hAnsi="仿宋" w:eastAsia="仿宋" w:cs="仿宋"/>
          <w:color w:val="000000" w:themeColor="text1"/>
          <w:kern w:val="0"/>
          <w:sz w:val="27"/>
          <w:szCs w:val="27"/>
        </w:rPr>
      </w:pPr>
    </w:p>
    <w:p>
      <w:pPr>
        <w:pStyle w:val="5"/>
        <w:rPr>
          <w:color w:val="000000" w:themeColor="text1"/>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rFonts w:ascii="仿宋" w:hAnsi="仿宋" w:eastAsia="仿宋" w:cs="仿宋"/>
          <w:color w:val="000000" w:themeColor="text1"/>
          <w:kern w:val="0"/>
          <w:sz w:val="27"/>
          <w:szCs w:val="27"/>
        </w:rPr>
      </w:pP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一、需求调查情况</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（一）是否开展需求调查</w:t>
      </w:r>
    </w:p>
    <w:p>
      <w:pPr>
        <w:widowControl/>
        <w:spacing w:line="560" w:lineRule="atLeast"/>
        <w:ind w:firstLine="640"/>
        <w:jc w:val="left"/>
        <w:rPr>
          <w:color w:val="000000" w:themeColor="text1"/>
        </w:rPr>
      </w:pPr>
      <w:r>
        <w:rPr>
          <w:rFonts w:hint="eastAsia" w:ascii="仿宋" w:hAnsi="仿宋" w:eastAsia="仿宋" w:cs="仿宋"/>
          <w:i/>
          <w:iCs/>
          <w:color w:val="000000" w:themeColor="text1"/>
          <w:kern w:val="0"/>
          <w:sz w:val="27"/>
          <w:szCs w:val="27"/>
          <w:u w:val="single"/>
        </w:rPr>
        <w:t>否。</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（二）需求调查方式</w:t>
      </w:r>
    </w:p>
    <w:p>
      <w:pPr>
        <w:widowControl/>
        <w:spacing w:line="560" w:lineRule="atLeast"/>
        <w:ind w:firstLine="640"/>
        <w:jc w:val="left"/>
        <w:rPr>
          <w:color w:val="000000" w:themeColor="text1"/>
        </w:rPr>
      </w:pPr>
      <w:r>
        <w:rPr>
          <w:rFonts w:hint="eastAsia" w:ascii="仿宋" w:hAnsi="仿宋" w:eastAsia="仿宋" w:cs="仿宋"/>
          <w:i/>
          <w:iCs/>
          <w:color w:val="000000" w:themeColor="text1"/>
          <w:kern w:val="0"/>
          <w:sz w:val="27"/>
          <w:szCs w:val="27"/>
          <w:u w:val="single"/>
        </w:rPr>
        <w:t>/。</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（三）需求调查对象</w:t>
      </w:r>
    </w:p>
    <w:p>
      <w:pPr>
        <w:widowControl/>
        <w:spacing w:line="560" w:lineRule="atLeast"/>
        <w:ind w:firstLine="640"/>
        <w:jc w:val="left"/>
        <w:rPr>
          <w:color w:val="000000" w:themeColor="text1"/>
        </w:rPr>
      </w:pPr>
      <w:r>
        <w:rPr>
          <w:rFonts w:hint="eastAsia" w:ascii="仿宋" w:hAnsi="仿宋" w:eastAsia="仿宋" w:cs="仿宋"/>
          <w:i/>
          <w:iCs/>
          <w:color w:val="000000" w:themeColor="text1"/>
          <w:kern w:val="0"/>
          <w:sz w:val="27"/>
          <w:szCs w:val="27"/>
          <w:u w:val="single"/>
        </w:rPr>
        <w:t>/。</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（四）需求调查结果</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u w:val="single"/>
        </w:rPr>
        <w:t>/ </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二、需求清单（或工程量清单）</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（一）项目概况</w:t>
      </w:r>
    </w:p>
    <w:p>
      <w:pPr>
        <w:widowControl/>
        <w:spacing w:line="560" w:lineRule="atLeast"/>
        <w:ind w:firstLine="640"/>
        <w:jc w:val="left"/>
        <w:rPr>
          <w:rFonts w:ascii="仿宋" w:hAnsi="仿宋" w:eastAsia="仿宋" w:cs="仿宋"/>
          <w:color w:val="000000" w:themeColor="text1"/>
          <w:kern w:val="0"/>
          <w:sz w:val="27"/>
          <w:szCs w:val="27"/>
          <w:u w:val="single"/>
        </w:rPr>
      </w:pP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u w:val="single"/>
          <w:lang w:eastAsia="zh-CN"/>
        </w:rPr>
        <w:t>食堂原辅材料采购，</w:t>
      </w:r>
      <w:r>
        <w:rPr>
          <w:rFonts w:hint="eastAsia" w:ascii="仿宋" w:hAnsi="仿宋" w:eastAsia="仿宋" w:cs="仿宋"/>
          <w:color w:val="000000" w:themeColor="text1"/>
          <w:kern w:val="0"/>
          <w:sz w:val="27"/>
          <w:szCs w:val="27"/>
          <w:u w:val="single"/>
        </w:rPr>
        <w:t>具体详见第五章。</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（二）采购项目预（概）算</w:t>
      </w: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总 预 算：</w:t>
      </w:r>
      <w:r>
        <w:rPr>
          <w:rFonts w:hint="eastAsia" w:ascii="仿宋" w:hAnsi="仿宋" w:eastAsia="仿宋" w:cs="仿宋"/>
          <w:color w:val="000000" w:themeColor="text1"/>
          <w:kern w:val="0"/>
          <w:sz w:val="27"/>
          <w:szCs w:val="27"/>
          <w:u w:val="single"/>
        </w:rPr>
        <w:t>  </w:t>
      </w:r>
      <w:r>
        <w:rPr>
          <w:rFonts w:hint="eastAsia" w:ascii="仿宋" w:hAnsi="仿宋" w:eastAsia="仿宋" w:cs="仿宋"/>
          <w:color w:val="000000" w:themeColor="text1"/>
          <w:kern w:val="0"/>
          <w:sz w:val="27"/>
          <w:szCs w:val="27"/>
          <w:u w:val="single"/>
          <w:lang w:eastAsia="zh-CN"/>
        </w:rPr>
        <w:t>500000.00</w:t>
      </w:r>
      <w:r>
        <w:rPr>
          <w:rFonts w:hint="eastAsia" w:ascii="仿宋" w:hAnsi="仿宋" w:eastAsia="仿宋" w:cs="仿宋"/>
          <w:color w:val="000000" w:themeColor="text1"/>
          <w:kern w:val="0"/>
          <w:sz w:val="27"/>
          <w:szCs w:val="27"/>
          <w:u w:val="single"/>
        </w:rPr>
        <w:t>元  </w:t>
      </w:r>
    </w:p>
    <w:p>
      <w:pPr>
        <w:widowControl/>
        <w:spacing w:line="560" w:lineRule="atLeast"/>
        <w:ind w:firstLine="640"/>
        <w:jc w:val="left"/>
        <w:rPr>
          <w:rFonts w:ascii="仿宋" w:hAnsi="仿宋" w:eastAsia="仿宋" w:cs="仿宋"/>
          <w:color w:val="000000" w:themeColor="text1"/>
          <w:kern w:val="0"/>
          <w:sz w:val="27"/>
          <w:szCs w:val="27"/>
        </w:rPr>
      </w:pPr>
      <w:r>
        <w:rPr>
          <w:rFonts w:hint="eastAsia" w:ascii="仿宋" w:hAnsi="仿宋" w:eastAsia="仿宋" w:cs="仿宋"/>
          <w:color w:val="000000" w:themeColor="text1"/>
          <w:kern w:val="0"/>
          <w:sz w:val="27"/>
          <w:szCs w:val="27"/>
        </w:rPr>
        <w:t>（三）采购标的汇总表</w:t>
      </w:r>
    </w:p>
    <w:tbl>
      <w:tblPr>
        <w:tblStyle w:val="13"/>
        <w:tblW w:w="82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850"/>
        <w:gridCol w:w="849"/>
        <w:gridCol w:w="1835"/>
        <w:gridCol w:w="1431"/>
        <w:gridCol w:w="1272"/>
        <w:gridCol w:w="991"/>
        <w:gridCol w:w="99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17" w:hRule="atLeast"/>
          <w:jc w:val="center"/>
        </w:trPr>
        <w:tc>
          <w:tcPr>
            <w:tcW w:w="8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包号</w:t>
            </w:r>
          </w:p>
        </w:tc>
        <w:tc>
          <w:tcPr>
            <w:tcW w:w="85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序号</w:t>
            </w:r>
          </w:p>
        </w:tc>
        <w:tc>
          <w:tcPr>
            <w:tcW w:w="184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标的名称</w:t>
            </w:r>
          </w:p>
        </w:tc>
        <w:tc>
          <w:tcPr>
            <w:tcW w:w="141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品目</w:t>
            </w:r>
          </w:p>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分类编码</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计量</w:t>
            </w:r>
          </w:p>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单位</w:t>
            </w:r>
          </w:p>
        </w:tc>
        <w:tc>
          <w:tcPr>
            <w:tcW w:w="99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数量</w:t>
            </w:r>
          </w:p>
        </w:tc>
        <w:tc>
          <w:tcPr>
            <w:tcW w:w="99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b/>
                <w:bCs/>
                <w:color w:val="000000" w:themeColor="text1"/>
                <w:kern w:val="0"/>
                <w:sz w:val="27"/>
                <w:szCs w:val="27"/>
              </w:rPr>
              <w:t>是否进口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20" w:hRule="atLeast"/>
          <w:jc w:val="center"/>
        </w:trPr>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 1</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 1</w:t>
            </w:r>
          </w:p>
        </w:tc>
        <w:tc>
          <w:tcPr>
            <w:tcW w:w="184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rFonts w:hint="eastAsia" w:eastAsiaTheme="minorEastAsia"/>
                <w:color w:val="000000" w:themeColor="text1"/>
                <w:lang w:eastAsia="zh-CN"/>
              </w:rPr>
            </w:pPr>
            <w:r>
              <w:rPr>
                <w:rFonts w:hint="eastAsia" w:ascii="仿宋" w:hAnsi="仿宋" w:eastAsia="仿宋" w:cs="仿宋"/>
                <w:color w:val="000000" w:themeColor="text1"/>
                <w:kern w:val="0"/>
                <w:sz w:val="27"/>
                <w:szCs w:val="27"/>
                <w:lang w:eastAsia="zh-CN"/>
              </w:rPr>
              <w:t>涟源市三甲乡中心学校2026年食堂原辅材料采购项目</w:t>
            </w:r>
          </w:p>
        </w:tc>
        <w:tc>
          <w:tcPr>
            <w:tcW w:w="141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rFonts w:hint="eastAsia" w:eastAsia="仿宋"/>
                <w:color w:val="000000" w:themeColor="text1"/>
                <w:lang w:eastAsia="zh-CN"/>
              </w:rPr>
            </w:pPr>
            <w:r>
              <w:rPr>
                <w:rFonts w:hint="eastAsia" w:ascii="仿宋" w:hAnsi="仿宋" w:eastAsia="仿宋" w:cs="仿宋"/>
                <w:color w:val="000000" w:themeColor="text1"/>
                <w:kern w:val="0"/>
                <w:sz w:val="27"/>
                <w:szCs w:val="27"/>
                <w:lang w:eastAsia="zh-CN"/>
              </w:rPr>
              <w:t>A07039900其他农林牧渔业产品</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 项</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1 </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 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20" w:hRule="atLeast"/>
          <w:jc w:val="center"/>
        </w:trPr>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184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141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99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c>
          <w:tcPr>
            <w:tcW w:w="99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60" w:lineRule="atLeast"/>
              <w:jc w:val="center"/>
              <w:rPr>
                <w:color w:val="000000" w:themeColor="text1"/>
              </w:rPr>
            </w:pPr>
            <w:r>
              <w:rPr>
                <w:rFonts w:hint="eastAsia" w:ascii="仿宋" w:hAnsi="仿宋" w:eastAsia="仿宋" w:cs="仿宋"/>
                <w:color w:val="000000" w:themeColor="text1"/>
                <w:kern w:val="0"/>
                <w:sz w:val="27"/>
                <w:szCs w:val="27"/>
              </w:rPr>
              <w:t>……</w:t>
            </w:r>
          </w:p>
        </w:tc>
      </w:tr>
    </w:tbl>
    <w:p>
      <w:pPr>
        <w:pStyle w:val="2"/>
        <w:rPr>
          <w:color w:val="000000" w:themeColor="text1"/>
        </w:rPr>
      </w:pPr>
    </w:p>
    <w:p>
      <w:pPr>
        <w:widowControl/>
        <w:spacing w:line="560" w:lineRule="atLeast"/>
        <w:ind w:firstLine="640"/>
        <w:jc w:val="left"/>
        <w:rPr>
          <w:color w:val="000000" w:themeColor="text1"/>
        </w:rPr>
      </w:pPr>
      <w:r>
        <w:rPr>
          <w:rFonts w:hint="eastAsia" w:ascii="仿宋" w:hAnsi="仿宋" w:eastAsia="仿宋" w:cs="仿宋"/>
          <w:color w:val="000000" w:themeColor="text1"/>
          <w:kern w:val="0"/>
          <w:sz w:val="27"/>
          <w:szCs w:val="27"/>
        </w:rPr>
        <w:t>（四）技术商务要求</w:t>
      </w:r>
    </w:p>
    <w:p>
      <w:pPr>
        <w:ind w:firstLine="420" w:firstLineChars="200"/>
        <w:rPr>
          <w:rFonts w:hint="eastAsia" w:ascii="黑体" w:hAnsi="黑体" w:eastAsia="黑体" w:cs="黑体"/>
          <w:snapToGrid w:val="0"/>
          <w:kern w:val="0"/>
          <w:szCs w:val="21"/>
          <w:lang w:eastAsia="zh-CN"/>
        </w:rPr>
      </w:pPr>
      <w:r>
        <w:rPr>
          <w:rFonts w:hint="eastAsia" w:ascii="黑体" w:hAnsi="黑体" w:eastAsia="黑体" w:cs="黑体"/>
          <w:snapToGrid w:val="0"/>
          <w:kern w:val="0"/>
          <w:szCs w:val="21"/>
        </w:rPr>
        <w:t>一、项目名称：</w:t>
      </w:r>
      <w:r>
        <w:rPr>
          <w:rFonts w:hint="eastAsia" w:ascii="黑体" w:hAnsi="黑体" w:eastAsia="黑体" w:cs="黑体"/>
          <w:b w:val="0"/>
          <w:bCs w:val="0"/>
          <w:snapToGrid w:val="0"/>
          <w:kern w:val="0"/>
          <w:szCs w:val="21"/>
          <w:lang w:eastAsia="zh-CN"/>
        </w:rPr>
        <w:t>涟源市三甲乡中心学校2026年食堂原辅材料采购项目</w:t>
      </w:r>
    </w:p>
    <w:p>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二、项目概况</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lang w:val="en-US" w:eastAsia="zh-CN"/>
        </w:rPr>
        <w:t>根据涟源市教育局《关于进一步规范全市学校食堂原辅材料采购的通知》（涟教食通【2025】2号）文件要求，为保障全镇师生饮食安全，规范食材采购流程，提高资金使用效益，本项目通过公开招标方式择优选取供应商，为三甲乡3所学校食堂提供稳定、安全、新鲜的食材供应服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s="黑体"/>
          <w:b w:val="0"/>
          <w:bCs w:val="0"/>
          <w:snapToGrid w:val="0"/>
          <w:kern w:val="0"/>
          <w:szCs w:val="21"/>
          <w:highlight w:val="none"/>
          <w:lang w:val="en-US" w:eastAsia="zh-CN"/>
        </w:rPr>
      </w:pPr>
      <w:r>
        <w:rPr>
          <w:rFonts w:hint="eastAsia" w:ascii="黑体" w:hAnsi="黑体" w:eastAsia="黑体" w:cs="黑体"/>
          <w:b w:val="0"/>
          <w:bCs w:val="0"/>
          <w:snapToGrid w:val="0"/>
          <w:kern w:val="0"/>
          <w:szCs w:val="21"/>
          <w:highlight w:val="none"/>
          <w:lang w:val="en-US" w:eastAsia="zh-CN"/>
        </w:rPr>
        <w:t>三、采购内容与服务范围</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default"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lang w:val="en-US" w:eastAsia="zh-CN"/>
        </w:rPr>
        <w:t>1.服务期限：服务期限一年。</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highlight w:val="none"/>
          <w:lang w:val="en-US" w:eastAsia="zh-CN"/>
        </w:rPr>
        <w:t>2.服务范围：三甲乡3所学校一个幼儿园共3个食堂，覆盖早、中、晚三餐，日均供餐2000人次</w:t>
      </w:r>
      <w:r>
        <w:rPr>
          <w:rFonts w:hint="eastAsia" w:ascii="方正仿宋_GB2312" w:hAnsi="方正仿宋_GB2312" w:eastAsia="方正仿宋_GB2312" w:cs="方正仿宋_GB2312"/>
          <w:color w:val="auto"/>
          <w:lang w:val="en-US" w:eastAsia="zh-CN"/>
        </w:rPr>
        <w:t>。</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3.食材类别：</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3.1蔬菜类：根茎类（土豆、萝卜等）、瓜类（冬瓜、南瓜等）、叶菜类（白菜、菠菜等）、辣椒类（青椒、红椒等）及其他应季蔬菜。</w:t>
      </w:r>
    </w:p>
    <w:tbl>
      <w:tblPr>
        <w:tblStyle w:val="13"/>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50"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12"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382"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84" w:type="dxa"/>
            <w:tcBorders>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276" w:type="dxa"/>
            <w:tcBorders>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土豆</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27</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小米椒</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53</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菜心</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79</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海鲜菇</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西红柿</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28</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川豆</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54</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菠菜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81</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酸包菜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29</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扑豆角</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55</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葱</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82</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剥皮毛豆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包菜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30</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排菜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56</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蒜叶</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83</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酱榨菜头</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冬瓜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新鲜木耳</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57</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蒜球</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84</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玉米</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精品油麦</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32</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日本豆腐</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58</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螺丝椒</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85</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带皮甜豆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紫茄子</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33</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杏鲍菇</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59</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西兰花</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86</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干葱头</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青椒</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34</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60</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西芹</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87</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秋葵</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红萝卜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35</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水笋丝</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61</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西葫芦</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88</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芦笋</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36</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湖藕</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62</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酱椒</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89</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空心菜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豆角</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37</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63</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90</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四季豆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12</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38</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64</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酸豆角</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91</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沙姜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13</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小白菜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39</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白莲藕</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65</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银针菇</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92</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14</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红椒</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40</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白萝卜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66</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雪里红</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93</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秀珍菇</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15</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南瓜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米豆腐</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67</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青尖椒</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94</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白洋葱</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16</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丝瓜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42</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紫苏</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68</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韭花</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95</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藕尖</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17</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蒜苗</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43</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红尖椒</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69</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96</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红苋菜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18</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洋葱</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44</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70</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韭黄</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97</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嫩南瓜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19</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有机花菜</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45</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紫薯</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71</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香芋</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98</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茭瓜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20</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淮山</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46</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绿豆芽</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72</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99</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红薯叶</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剥皮甜豆</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47</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73</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高山娃娃菜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100</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扁豆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22</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凤尾菇</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48</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74</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萝卜娃娃菜</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101</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青茄子</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23</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凉薯</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49</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芹菜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75</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魔芋豆腐</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102</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毛豆</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24</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去皮芋头</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50</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芽白秧</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76</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鲜香菇</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103</w:t>
            </w:r>
          </w:p>
        </w:tc>
        <w:tc>
          <w:tcPr>
            <w:tcW w:w="1276" w:type="dxa"/>
            <w:tcBorders>
              <w:top w:val="nil"/>
              <w:left w:val="nil"/>
              <w:bottom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木耳菜</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25</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圆磨菇</w:t>
            </w:r>
          </w:p>
        </w:tc>
        <w:tc>
          <w:tcPr>
            <w:tcW w:w="850"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51</w:t>
            </w:r>
          </w:p>
        </w:tc>
        <w:tc>
          <w:tcPr>
            <w:tcW w:w="113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苦瓜</w:t>
            </w:r>
          </w:p>
        </w:tc>
        <w:tc>
          <w:tcPr>
            <w:tcW w:w="81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77</w:t>
            </w:r>
          </w:p>
        </w:tc>
        <w:tc>
          <w:tcPr>
            <w:tcW w:w="1382"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黄豆芽</w:t>
            </w:r>
          </w:p>
        </w:tc>
        <w:tc>
          <w:tcPr>
            <w:tcW w:w="884" w:type="dxa"/>
            <w:tcBorders>
              <w:top w:val="nil"/>
              <w:left w:val="nil"/>
              <w:bottom w:val="single" w:color="auto" w:sz="8" w:space="0"/>
              <w:right w:val="single" w:color="auto" w:sz="8" w:space="0"/>
            </w:tcBorders>
            <w:noWrap w:val="0"/>
            <w:vAlign w:val="center"/>
          </w:tcPr>
          <w:p>
            <w:pPr>
              <w:adjustRightInd w:val="0"/>
              <w:snapToGrid w:val="0"/>
              <w:spacing w:line="360" w:lineRule="auto"/>
              <w:jc w:val="center"/>
              <w:rPr>
                <w:rFonts w:ascii="仿宋" w:hAnsi="仿宋" w:eastAsia="仿宋" w:cs="仿宋"/>
                <w:szCs w:val="21"/>
                <w:highlight w:val="yellow"/>
              </w:rPr>
            </w:pPr>
          </w:p>
        </w:tc>
        <w:tc>
          <w:tcPr>
            <w:tcW w:w="1276" w:type="dxa"/>
            <w:tcBorders>
              <w:top w:val="nil"/>
              <w:left w:val="nil"/>
              <w:bottom w:val="single" w:color="auto" w:sz="8" w:space="0"/>
            </w:tcBorders>
            <w:noWrap w:val="0"/>
            <w:vAlign w:val="center"/>
          </w:tcPr>
          <w:p>
            <w:pPr>
              <w:adjustRightInd w:val="0"/>
              <w:snapToGrid w:val="0"/>
              <w:spacing w:line="360" w:lineRule="auto"/>
              <w:rPr>
                <w:rFonts w:ascii="仿宋" w:hAnsi="仿宋" w:eastAsia="仿宋" w:cs="仿宋"/>
                <w:b/>
                <w:szCs w:val="21"/>
                <w:highlight w:val="yellow"/>
              </w:rPr>
            </w:pP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26</w:t>
            </w:r>
          </w:p>
        </w:tc>
        <w:tc>
          <w:tcPr>
            <w:tcW w:w="1134"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大葱</w:t>
            </w:r>
          </w:p>
        </w:tc>
        <w:tc>
          <w:tcPr>
            <w:tcW w:w="850"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52</w:t>
            </w:r>
          </w:p>
        </w:tc>
        <w:tc>
          <w:tcPr>
            <w:tcW w:w="1134"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荷兰豆</w:t>
            </w:r>
          </w:p>
        </w:tc>
        <w:tc>
          <w:tcPr>
            <w:tcW w:w="812"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78</w:t>
            </w:r>
          </w:p>
        </w:tc>
        <w:tc>
          <w:tcPr>
            <w:tcW w:w="1382"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藠头</w:t>
            </w:r>
          </w:p>
        </w:tc>
        <w:tc>
          <w:tcPr>
            <w:tcW w:w="884" w:type="dxa"/>
            <w:tcBorders>
              <w:top w:val="nil"/>
              <w:left w:val="nil"/>
              <w:right w:val="single" w:color="auto" w:sz="8" w:space="0"/>
            </w:tcBorders>
            <w:noWrap w:val="0"/>
            <w:vAlign w:val="center"/>
          </w:tcPr>
          <w:p>
            <w:pPr>
              <w:adjustRightInd w:val="0"/>
              <w:snapToGrid w:val="0"/>
              <w:spacing w:line="360" w:lineRule="auto"/>
              <w:jc w:val="center"/>
              <w:rPr>
                <w:rFonts w:ascii="仿宋" w:hAnsi="仿宋" w:eastAsia="仿宋" w:cs="仿宋"/>
                <w:szCs w:val="21"/>
              </w:rPr>
            </w:pPr>
          </w:p>
        </w:tc>
        <w:tc>
          <w:tcPr>
            <w:tcW w:w="1276" w:type="dxa"/>
            <w:tcBorders>
              <w:top w:val="nil"/>
              <w:left w:val="nil"/>
            </w:tcBorders>
            <w:noWrap w:val="0"/>
            <w:vAlign w:val="center"/>
          </w:tcPr>
          <w:p>
            <w:pPr>
              <w:adjustRightInd w:val="0"/>
              <w:snapToGrid w:val="0"/>
              <w:spacing w:line="360" w:lineRule="auto"/>
              <w:jc w:val="center"/>
              <w:rPr>
                <w:rFonts w:ascii="仿宋" w:hAnsi="仿宋" w:eastAsia="仿宋" w:cs="仿宋"/>
                <w:szCs w:val="21"/>
              </w:rPr>
            </w:pPr>
          </w:p>
        </w:tc>
      </w:tr>
    </w:tbl>
    <w:p>
      <w:pPr>
        <w:rPr>
          <w:rFonts w:hint="eastAsia"/>
        </w:rPr>
      </w:pP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3.2综合类：干货（木耳、香菇等）、调料（盐、酱、醋等）、调味品（鸡精、香料等）、豆制品（豆腐、豆干等）、面食类（面条、面粉、米粉等）。</w:t>
      </w:r>
    </w:p>
    <w:tbl>
      <w:tblPr>
        <w:tblStyle w:val="13"/>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料酒</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小米辣</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盐</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白醋</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老干妈</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蒸鱼油</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八角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蚝油</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帅豆鼓</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孜然</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桂皮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豆瓣酱</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胡椒粉</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麻油</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萝卜丁</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豆笋</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陈醋</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外婆菜</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香菇</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鸡汁</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鱼泡菜</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粉丝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紫菜</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2083" w:type="dxa"/>
            <w:noWrap w:val="0"/>
            <w:tcMar>
              <w:top w:w="15" w:type="dxa"/>
              <w:left w:w="15" w:type="dxa"/>
              <w:right w:w="15" w:type="dxa"/>
            </w:tcMar>
            <w:vAlign w:val="center"/>
          </w:tcPr>
          <w:p>
            <w:pPr>
              <w:adjustRightInd w:val="0"/>
              <w:snapToGrid w:val="0"/>
              <w:spacing w:line="360" w:lineRule="auto"/>
              <w:jc w:val="center"/>
              <w:rPr>
                <w:rFonts w:hint="eastAsia" w:ascii="仿宋" w:hAnsi="仿宋" w:eastAsia="仿宋" w:cs="仿宋"/>
                <w:szCs w:val="21"/>
              </w:rPr>
            </w:pPr>
            <w:r>
              <w:rPr>
                <w:rFonts w:hint="eastAsia" w:ascii="仿宋" w:hAnsi="仿宋" w:eastAsia="仿宋" w:cs="仿宋"/>
                <w:szCs w:val="21"/>
              </w:rPr>
              <w:t>面粉</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花生米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豆腐</w:t>
            </w:r>
          </w:p>
        </w:tc>
        <w:tc>
          <w:tcPr>
            <w:tcW w:w="2084"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豆干</w:t>
            </w:r>
          </w:p>
        </w:tc>
        <w:tc>
          <w:tcPr>
            <w:tcW w:w="2083" w:type="dxa"/>
            <w:noWrap w:val="0"/>
            <w:tcMar>
              <w:top w:w="15" w:type="dxa"/>
              <w:left w:w="15" w:type="dxa"/>
              <w:right w:w="15" w:type="dxa"/>
            </w:tcMar>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面条</w:t>
            </w:r>
          </w:p>
        </w:tc>
        <w:tc>
          <w:tcPr>
            <w:tcW w:w="2084" w:type="dxa"/>
            <w:noWrap w:val="0"/>
            <w:tcMar>
              <w:top w:w="15" w:type="dxa"/>
              <w:left w:w="15" w:type="dxa"/>
              <w:right w:w="15" w:type="dxa"/>
            </w:tcMar>
            <w:vAlign w:val="center"/>
          </w:tcPr>
          <w:p>
            <w:pPr>
              <w:adjustRightInd w:val="0"/>
              <w:snapToGrid w:val="0"/>
              <w:spacing w:line="360" w:lineRule="auto"/>
              <w:jc w:val="center"/>
              <w:rPr>
                <w:rFonts w:hint="eastAsia" w:ascii="仿宋" w:hAnsi="仿宋" w:eastAsia="仿宋" w:cs="仿宋"/>
                <w:szCs w:val="21"/>
              </w:rPr>
            </w:pPr>
          </w:p>
        </w:tc>
      </w:tr>
    </w:tbl>
    <w:p>
      <w:pPr>
        <w:rPr>
          <w:rFonts w:hint="eastAsia"/>
        </w:rPr>
      </w:pPr>
    </w:p>
    <w:p>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四、食材质量要求</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1.蔬菜类</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种  类</w:t>
            </w:r>
          </w:p>
        </w:tc>
        <w:tc>
          <w:tcPr>
            <w:tcW w:w="6390"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叶菜类</w:t>
            </w:r>
          </w:p>
        </w:tc>
        <w:tc>
          <w:tcPr>
            <w:tcW w:w="6390"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外形正常，叶梗光滑幼嫩，不干瘪凋萎，无过多黄叶，色泽正常。去除根须，不含土，无虫害，大白菜、卷心菜切开心不变黑，无腐烂情形，无明显浸水现象；农药残留不超标。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根茎类。如香芋、土豆、莴笋</w:t>
            </w:r>
          </w:p>
        </w:tc>
        <w:tc>
          <w:tcPr>
            <w:tcW w:w="6390"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无虫咬、发芽、发霉现象，新鲜，形态大小与甲方自购标准相当。农药残留不超标。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花果类。如西兰花、白菜花</w:t>
            </w:r>
          </w:p>
        </w:tc>
        <w:tc>
          <w:tcPr>
            <w:tcW w:w="6390"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无虫害，成熟度良好，新鲜固有的色泽鲜明，无发霉发黄。农药残留不超标。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瓜果类</w:t>
            </w:r>
          </w:p>
        </w:tc>
        <w:tc>
          <w:tcPr>
            <w:tcW w:w="6390" w:type="dxa"/>
            <w:noWrap w:val="0"/>
            <w:vAlign w:val="center"/>
          </w:tcPr>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外表光亮无斑点，有新鲜连接的秧，形状正常、大小均匀，无软塌，成熟度适度。无腐烂，无污染，清洁、新鲜，无异味、无病虫损害。农药残留不超标。</w:t>
            </w:r>
          </w:p>
        </w:tc>
      </w:tr>
    </w:tbl>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1.1接收准则或规范：</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货物配送量应与需求计划量相符。货物送达招标人指定地点时，须一并提供当批次产品的农药残留检验等质量合格证明材料。</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1.2符合NY/T 2798.3-2015 无公害农产品 生产质量安全控制技术规范 第3部分：蔬菜的安全要求；</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1.3相关具体品种：</w:t>
      </w:r>
    </w:p>
    <w:tbl>
      <w:tblPr>
        <w:tblStyle w:val="13"/>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菜品名</w:t>
            </w:r>
          </w:p>
        </w:tc>
        <w:tc>
          <w:tcPr>
            <w:tcW w:w="7446"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长度7CM以上（不含蒂尾，包含弯曲长度），大小均匀，成熟度适中，整齐，无烂果，异味，病虫，薄皮，颜色碧绿，有光泽、表面光滑，饱满有一定硬度和弹性，肉层中等有辣味。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长度7CM以上（不含蒂尾，包含弯曲长度），大小均匀，成熟度适中，色鲜，整齐，无烂果，异味，病虫，有光泽、表面光滑，饱满有一定硬度和弹性，肉层中等有辣味。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尖红椒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长度5CM以上（不含蒂尾，包含弯曲长度），大小均匀，成熟度适中，整齐，无烂果，异味，病虫，薄皮，颜色鲜红，有光泽、表面光滑，饱满有一定硬度和弹性，肉层中等有辣味。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冬瓜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重量5公斤左右，皮青绿，有白霜，肉洁白、厚嫩、紧密，膛小，有一定硬度。表皮平整光滑、无外伤腐烂，无疤点，无断裂，无畸形。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南瓜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重量4公斤左右，无疤点，无断裂，无病虫害瓜、烂瓜，颜色金黄色或橙黄色，瓜形周正，肉金黄紧密、粉甜，表面硬实。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长度20CM左右，鲜嫩，均匀整齐，无折断损伤；清香爽脆，无异味，无畸形，无病虫害；颜色青绿，瓜身细短、条直均匀，瓜把小，表皮有光泽，肉脆甜，瓤小籽少。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茄子</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色鲜，果实圆整，大小均匀，成熟度适中，型直长，表面光滑有光泽，有弹性不软，皮薄，整齐，无烂果、异味、病虫。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黄芽白</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大土豆</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重量在4两或4两以上，薯块大小均匀饱满，颜色淡黄或奶白，皮脆薄而干净，不带毛根和泥土，表皮光滑，无虫咬或机械外伤；不萎蔫，不变软，无发酵酒精气味；薯块不发芽，不变绿。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白萝卜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长度20cm以上，颜色洁白光亮，皮细光滑，色泽良好，大小均匀，形体完整、分量重，底部切面洁白，水分大，肉质脆嫩致密，味甜适中。新鲜，无畸形、裂痕、糠心、病虫斑害，不带大量泥沙、茎叶、须根。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小白菜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梗白色，较嫩较短，叶子淡绿色，整棵菜水分充足，无根。不得有叶边泛黄或发黄；枯萎；虫蛀洞或小虫，腐烂，压伤，浸水太多。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上海青、白菜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丝瓜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皮颜色翠绿、薄嫩、有白霜，条直均匀、细长挺直，易断无弹性，肉洁白软嫩、子小，无折断损伤，无异味，无畸形，无病虫害。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苦瓜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颜色淡绿色或白色、有光泽，凸出明显，条直均匀，有一定的硬度，瓤黄白，仔小、味苦，无折断损伤，无异味，无畸形，无病虫害。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西葫芦</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颜色青绿色、表皮光滑，大小适中、皮薄肉嫩，瓤小籽少，有一定硬度，尾蒂有毛刺，半去皮，无机械伤，不干瘪，不腐烂霉变，茭白不变黑。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豆角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大小均匀、挺直、细长、脆嫩、有光泽、折断为实心，颜色为浅绿色，成熟度适中，规格形态完整，无病虫害斑点、无空洞。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四季豆</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鲜嫩，成熟度适中，规格形态完整，无病虫害斑点。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红萝卜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长度12CM以上，颜色红色或橘黄色，皮细光滑，色泽良好，大小均匀，肉质脆嫩致密，粗壮、硬实不软、肉质甜脆，新鲜，无畸形、裂痕、糠心、病虫斑害，不带泥沙、茎叶、须根。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中号，花蕾颜色洁白或乳白、紧实不散，球形完整、表面湿润，花梗乳白或淡绿，紧凑，外叶绿色且少，主茎短，断面洁白，坚实无小球，新鲜、清洁，无虫眼，无病斑，无腐烂，保留不多于5片个叶把。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西芹菜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长约30CM，色泽鲜绿，叶嫩绿或黄绿，茎、根部呈白色，茎细软，中间空、水分充足，有清香味，无枯黄叶，无泥沙，无杂物。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蒜苗</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颜色深绿、梗细滑、有光泽、挺直、鲜嫩、指甲掐之易断，干爽，苔梗粗壮而均匀，柔软且基部不老化；苔苞小，无斑点。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带皮莴笋头</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无腐烂，不糠心，不黑心，绿皮绿心或白皮绿心。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去皮莴笋头</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莴笋叶</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淮山</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皮细光滑，色泽良好，整齐，新鲜，无畸形，裂痕，糠心，病虫斑害，不带沙泥。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红菜苔</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木耳苋菜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青皮豆</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籽粒饱满较均匀，无发芽，不带泥土、杂质，无色素。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老姜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姜块完整，丰满结实，无损伤，辣味强，无姜腐病，不带枯苗和泥土，无焦皮，不皱缩，无黑心、糠心现象。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西红柿</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色鲜，果实圆整，大小均匀，成熟度适中，整齐，无烂果、异味、病虫。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香葱</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叶色青绿，无干枯霉烂的叶梢，不失水，葱株均匀，完整而不折断，扎成捆，干净无泥，无夹杂异物，无斑点叶及霉枯叶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洋葱</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表皮颜色粉白或紫白，表皮肥厚，完整无损，饱和紧密，球茎干度适中，有一定硬度，去枯叶。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大葱</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长约50CM，新鲜青绿，葱叶为管状、浅绿色，葱白长、紧实、挺直，无根、无枯、焦、烂叶，无折断，扎成捆，干净，无泥无水。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去皮大蒜子</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白色、大小均匀，饱满，无干枯与腐烂，无疤痕，无化学药物侵泡。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大蒜叶</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叶片新鲜青绿，无折断，叶子无干枯，无斑点。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莲藕</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藕节3-4节，表皮颜色白中带黄，藕节肥大，水分充足，肉洁白脆嫩，无叉，无泥，无杂质，无破损，无机械伤，不干瘪，不腐烂霉变。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槟榔芋</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去皮芋头</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翠绿、挺直、根部无泥、香气重、水分充足，无病虫害，无散黄叶，无泥沙，杂草。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坛子酸菜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酱辣椒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色鲜嫩，无沙子，无色素，无腐烂变质。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酸豆角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白卜辣椒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卜豆角</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腊八豆</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色香，味纯，无杂物。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菠菜</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颜色碧绿，鲜嫩，叶子大、挺直，根桃红，无主茎且无柄无红色，颗株适当，无枯黄叶，根上无泥，捆内无杂物。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红薯</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新鲜，干净，无腐烂、泥土。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雪里红</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鲜嫩，不得有：压伤、擦伤，叶边泛黄或发黄，枯萎，茎顶部有烂心；主茎不易掐断、边上的纤维粗；有花蕾甚至开花；叶内腐烂。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西兰花</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花蕾颜色深绿，紧实不散，球形完整、表面有白霜，花梗深绿、紧凑，外叶绿色且少，主茎短。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pPr>
              <w:pStyle w:val="2"/>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金针菇</w:t>
            </w:r>
          </w:p>
        </w:tc>
        <w:tc>
          <w:tcPr>
            <w:tcW w:w="7446" w:type="dxa"/>
            <w:noWrap w:val="0"/>
            <w:vAlign w:val="center"/>
          </w:tcPr>
          <w:p>
            <w:pPr>
              <w:pStyle w:val="2"/>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菌盖颜色乳白、菌柄淡黄色、根部淡褐色，菌身细短，挺直，干净，无药水味道。</w:t>
            </w:r>
          </w:p>
        </w:tc>
      </w:tr>
    </w:tbl>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2.干货调料类</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2.1所有产品均为未过期产品，且离过期期限不超过有效期的一半；</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2.2所有产品均为正规厂商生产的合格产品，不属于三无产品；</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2.3所有产品均包装完好，无拆毁和漏气，无异味；</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2.4符合食品安全相关要求。</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注：采购人有权根据实际需求采购以上清单之外的产品，投标人应按本章要求按时按质按量供货。</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3.服务标准和质量要求：</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3.1所有产品均为未过期产品，且离过期期限不超过有效期的一半；</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3.2所有产品均为正规厂商生产的合格产品，不属于三无产品；</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3.3所有产品均包装完好，无拆毁和漏气，无异味；</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3.4符合食品安全相关要求。</w:t>
      </w:r>
    </w:p>
    <w:p>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五、服务标准</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1.配送服务：</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1.1时间要求：每日</w:t>
      </w:r>
      <w:r>
        <w:rPr>
          <w:rFonts w:hint="eastAsia" w:ascii="方正仿宋_GB2312" w:hAnsi="方正仿宋_GB2312" w:eastAsia="方正仿宋_GB2312" w:cs="方正仿宋_GB2312"/>
          <w:lang w:eastAsia="zh-CN"/>
        </w:rPr>
        <w:t>食材</w:t>
      </w:r>
      <w:r>
        <w:rPr>
          <w:rFonts w:hint="eastAsia" w:ascii="方正仿宋_GB2312" w:hAnsi="方正仿宋_GB2312" w:eastAsia="方正仿宋_GB2312" w:cs="方正仿宋_GB2312"/>
        </w:rPr>
        <w:t>必须在7：30分之前送达（特殊情况提前2小时沟通）。</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2.订单与沟通：</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lang w:val="en-US" w:eastAsia="zh-CN"/>
        </w:rPr>
        <w:t>通过线上或线下下单</w:t>
      </w:r>
      <w:r>
        <w:rPr>
          <w:rFonts w:hint="eastAsia" w:ascii="方正仿宋_GB2312" w:hAnsi="方正仿宋_GB2312" w:eastAsia="方正仿宋_GB2312" w:cs="方正仿宋_GB2312"/>
        </w:rPr>
        <w:t>，支持学校提前3天提交周计划或每日调整订单，2小时内确认订单信息。</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1.2每月召开1次供需沟通会，收集学校反馈并优化服务。</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3.应急响应：</w:t>
      </w:r>
    </w:p>
    <w:p>
      <w:pPr>
        <w:pStyle w:val="2"/>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突发情况（如恶劣天气、食材短缺）需启动备用配送方案，确保4小时内补送到位；质量问题24小时内无条件退换货。</w:t>
      </w:r>
    </w:p>
    <w:p>
      <w:pPr>
        <w:ind w:firstLine="420" w:firstLineChars="200"/>
        <w:rPr>
          <w:rFonts w:hint="eastAsia" w:ascii="黑体" w:hAnsi="黑体" w:eastAsia="黑体" w:cs="黑体"/>
          <w:snapToGrid w:val="0"/>
          <w:kern w:val="0"/>
          <w:szCs w:val="21"/>
        </w:rPr>
      </w:pPr>
      <w:r>
        <w:rPr>
          <w:rFonts w:hint="eastAsia" w:ascii="方正仿宋_GB2312" w:hAnsi="方正仿宋_GB2312" w:eastAsia="方正仿宋_GB2312" w:cs="方正仿宋_GB2312"/>
          <w:lang w:val="en-US" w:eastAsia="zh-CN"/>
        </w:rPr>
        <w:t>★</w:t>
      </w:r>
      <w:r>
        <w:rPr>
          <w:rFonts w:hint="eastAsia" w:ascii="黑体" w:hAnsi="黑体" w:eastAsia="黑体" w:cs="黑体"/>
          <w:snapToGrid w:val="0"/>
          <w:kern w:val="0"/>
          <w:szCs w:val="21"/>
        </w:rPr>
        <w:t>六、报价与合同要求</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1.报价方式：</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1.1按折扣报价，包含食材采购、运输、税费等全部费用；具体结算按实际配送的品种、数量、各单项商品市场基准价*中标折扣率，按实结算。</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1.2投标方参与</w:t>
      </w:r>
      <w:r>
        <w:rPr>
          <w:rFonts w:hint="eastAsia" w:ascii="方正仿宋_GB2312" w:hAnsi="方正仿宋_GB2312" w:eastAsia="方正仿宋_GB2312" w:cs="方正仿宋_GB2312"/>
          <w:highlight w:val="none"/>
          <w:lang w:val="en-US" w:eastAsia="zh-CN"/>
        </w:rPr>
        <w:t>三甲乡</w:t>
      </w:r>
      <w:r>
        <w:rPr>
          <w:rFonts w:hint="eastAsia" w:ascii="方正仿宋_GB2312" w:hAnsi="方正仿宋_GB2312" w:eastAsia="方正仿宋_GB2312" w:cs="方正仿宋_GB2312"/>
          <w:highlight w:val="none"/>
          <w:lang w:eastAsia="zh-CN"/>
        </w:rPr>
        <w:t>中心学校</w:t>
      </w:r>
      <w:r>
        <w:rPr>
          <w:rFonts w:hint="eastAsia" w:ascii="方正仿宋_GB2312" w:hAnsi="方正仿宋_GB2312" w:eastAsia="方正仿宋_GB2312" w:cs="方正仿宋_GB2312"/>
          <w:highlight w:val="none"/>
        </w:rPr>
        <w:t>定期组织的市场询价、共同询价后确定各类食材的价格为基准价，以</w:t>
      </w:r>
      <w:r>
        <w:rPr>
          <w:rFonts w:hint="eastAsia" w:ascii="方正仿宋_GB2312" w:hAnsi="方正仿宋_GB2312" w:eastAsia="方正仿宋_GB2312" w:cs="方正仿宋_GB2312"/>
          <w:highlight w:val="none"/>
          <w:lang w:val="en-US" w:eastAsia="zh-CN"/>
        </w:rPr>
        <w:t>三甲乡</w:t>
      </w:r>
      <w:r>
        <w:rPr>
          <w:rFonts w:hint="eastAsia" w:ascii="方正仿宋_GB2312" w:hAnsi="方正仿宋_GB2312" w:eastAsia="方正仿宋_GB2312" w:cs="方正仿宋_GB2312"/>
          <w:highlight w:val="none"/>
          <w:lang w:eastAsia="zh-CN"/>
        </w:rPr>
        <w:t>中心学校</w:t>
      </w:r>
      <w:r>
        <w:rPr>
          <w:rFonts w:hint="eastAsia" w:ascii="方正仿宋_GB2312" w:hAnsi="方正仿宋_GB2312" w:eastAsia="方正仿宋_GB2312" w:cs="方正仿宋_GB2312"/>
          <w:highlight w:val="none"/>
        </w:rPr>
        <w:t>发布的价格*中标折扣率与学校按实结算，合同期内价格折扣率固定不作调整。</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1.3对涟源市城区大型超市、中大型农贸市场、各乡镇市场等地点进行市场询价（不包含：活动价、特价及限购价等类似商品）。</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1.4报价周期内（一般为二周）没有特殊情况双方不得擅自更改价格。</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2.合同期限：1年（自合同签订之日起）。</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szCs w:val="21"/>
          <w:highlight w:val="none"/>
        </w:rPr>
        <w:t>付款到中标公司的公账户上。</w:t>
      </w:r>
    </w:p>
    <w:p>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1.验收流程：学校食堂对食材数量、外观、检测报告进行现场核验，抽样送检（费用由供应商承担）。</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2.违约条款：</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配送延迟每次扣罚合同金额的0.5%；</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食材质量不合格，除退换货外，按该批次货值的3倍赔偿；</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累计3次违约，采购人有权终止合同。</w:t>
      </w:r>
    </w:p>
    <w:p>
      <w:pPr>
        <w:ind w:firstLine="420" w:firstLineChars="200"/>
        <w:rPr>
          <w:rFonts w:hint="default" w:ascii="黑体" w:hAnsi="黑体" w:eastAsia="黑体" w:cs="黑体"/>
          <w:snapToGrid w:val="0"/>
          <w:kern w:val="0"/>
          <w:szCs w:val="21"/>
          <w:highlight w:val="none"/>
          <w:lang w:val="en-US" w:eastAsia="zh-CN"/>
        </w:rPr>
      </w:pPr>
      <w:r>
        <w:rPr>
          <w:rFonts w:hint="eastAsia" w:ascii="黑体" w:hAnsi="黑体" w:eastAsia="黑体" w:cs="黑体"/>
          <w:snapToGrid w:val="0"/>
          <w:kern w:val="0"/>
          <w:szCs w:val="21"/>
          <w:highlight w:val="none"/>
          <w:lang w:val="en-US" w:eastAsia="zh-CN"/>
        </w:rPr>
        <w:t>3.</w:t>
      </w:r>
      <w:r>
        <w:rPr>
          <w:rFonts w:hint="eastAsia" w:ascii="方正仿宋_GB2312" w:hAnsi="方正仿宋_GB2312" w:eastAsia="方正仿宋_GB2312" w:cs="方正仿宋_GB2312"/>
          <w:lang w:eastAsia="zh-CN"/>
        </w:rPr>
        <w:t>供货期内</w:t>
      </w:r>
      <w:r>
        <w:rPr>
          <w:rFonts w:hint="eastAsia" w:ascii="方正仿宋_GB2312" w:hAnsi="方正仿宋_GB2312" w:eastAsia="方正仿宋_GB2312" w:cs="方正仿宋_GB2312"/>
        </w:rPr>
        <w:t>可追溯至生产基地</w:t>
      </w:r>
      <w:r>
        <w:rPr>
          <w:rFonts w:hint="eastAsia" w:ascii="方正仿宋_GB2312" w:hAnsi="方正仿宋_GB2312" w:eastAsia="方正仿宋_GB2312" w:cs="方正仿宋_GB2312"/>
          <w:lang w:eastAsia="zh-CN"/>
        </w:rPr>
        <w:t>并</w:t>
      </w:r>
      <w:r>
        <w:rPr>
          <w:rFonts w:hint="eastAsia" w:ascii="方正仿宋_GB2312" w:hAnsi="方正仿宋_GB2312" w:eastAsia="方正仿宋_GB2312" w:cs="方正仿宋_GB2312"/>
        </w:rPr>
        <w:t>提供食材来源地证明</w:t>
      </w:r>
    </w:p>
    <w:p>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pPr>
        <w:pStyle w:val="2"/>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highlight w:val="none"/>
        </w:rPr>
        <w:t>1.</w:t>
      </w:r>
      <w:r>
        <w:rPr>
          <w:rFonts w:hint="eastAsia" w:ascii="方正仿宋_GB2312" w:hAnsi="方正仿宋_GB2312" w:eastAsia="方正仿宋_GB2312" w:cs="方正仿宋_GB2312"/>
          <w:kern w:val="2"/>
          <w:sz w:val="21"/>
          <w:szCs w:val="24"/>
          <w:highlight w:val="none"/>
          <w:lang w:val="en-US" w:eastAsia="zh-CN" w:bidi="ar-SA"/>
        </w:rPr>
        <w:t>供应商需缴纳履约保证金5%</w:t>
      </w:r>
      <w:r>
        <w:rPr>
          <w:rFonts w:hint="eastAsia" w:ascii="Times New Roman" w:hAnsi="Times New Roman" w:eastAsia="宋体" w:cs="Times New Roman"/>
          <w:color w:val="auto"/>
          <w:highlight w:val="none"/>
          <w:lang w:val="en-US" w:eastAsia="zh-CN"/>
        </w:rPr>
        <w:t>（履约担保的中标金额计算方式按：预算金额×中标折扣率）</w:t>
      </w:r>
      <w:r>
        <w:rPr>
          <w:rFonts w:hint="eastAsia" w:ascii="方正仿宋_GB2312" w:hAnsi="方正仿宋_GB2312" w:eastAsia="方正仿宋_GB2312" w:cs="方正仿宋_GB2312"/>
          <w:kern w:val="2"/>
          <w:sz w:val="21"/>
          <w:szCs w:val="24"/>
          <w:highlight w:val="none"/>
          <w:lang w:val="en-US" w:eastAsia="zh-CN" w:bidi="ar-SA"/>
        </w:rPr>
        <w:t>，签订合同前提交（采用现金形式的缴纳至采购人指定账户），服务期满无违约全额退还</w:t>
      </w:r>
      <w:r>
        <w:rPr>
          <w:rFonts w:hint="eastAsia" w:ascii="方正仿宋_GB2312" w:hAnsi="方正仿宋_GB2312" w:eastAsia="方正仿宋_GB2312" w:cs="方正仿宋_GB2312"/>
          <w:highlight w:val="none"/>
        </w:rPr>
        <w:t>。</w:t>
      </w:r>
    </w:p>
    <w:p>
      <w:pPr>
        <w:snapToGrid w:val="0"/>
        <w:spacing w:line="440" w:lineRule="exact"/>
        <w:ind w:firstLine="420" w:firstLineChars="200"/>
        <w:rPr>
          <w:rFonts w:ascii="宋体" w:hAnsi="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pPr>
        <w:spacing w:line="400" w:lineRule="exact"/>
        <w:rPr>
          <w:rFonts w:ascii="黑体" w:eastAsia="黑体"/>
          <w:b/>
          <w:color w:val="000000" w:themeColor="text1"/>
          <w:sz w:val="32"/>
          <w:szCs w:val="32"/>
        </w:rPr>
      </w:pPr>
      <w:r>
        <w:rPr>
          <w:rFonts w:hint="eastAsia" w:ascii="宋体" w:hAnsi="宋体" w:cs="宋体"/>
          <w:b/>
          <w:bCs/>
          <w:szCs w:val="21"/>
          <w:highlight w:val="none"/>
        </w:rPr>
        <w:t>备注：投标人在投标文件中对以上要求进行响应，承诺或说明。</w:t>
      </w:r>
    </w:p>
    <w:sectPr>
      <w:pgSz w:w="11906" w:h="16838"/>
      <w:pgMar w:top="1440" w:right="1406" w:bottom="1440" w:left="1406"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UxMzg5NmE2YWM4MDFiMWM3OTY1NDE1ZjcyYjE4OTYifQ=="/>
  </w:docVars>
  <w:rsids>
    <w:rsidRoot w:val="59F87DFB"/>
    <w:rsid w:val="001F59DA"/>
    <w:rsid w:val="001F610B"/>
    <w:rsid w:val="00506134"/>
    <w:rsid w:val="005B76BE"/>
    <w:rsid w:val="0064736B"/>
    <w:rsid w:val="006B596A"/>
    <w:rsid w:val="00C75970"/>
    <w:rsid w:val="00D97434"/>
    <w:rsid w:val="06307620"/>
    <w:rsid w:val="127304F1"/>
    <w:rsid w:val="14A85961"/>
    <w:rsid w:val="16770DB4"/>
    <w:rsid w:val="18C17273"/>
    <w:rsid w:val="1A703339"/>
    <w:rsid w:val="1B4065A7"/>
    <w:rsid w:val="1E6F7486"/>
    <w:rsid w:val="2166432B"/>
    <w:rsid w:val="21E35846"/>
    <w:rsid w:val="231B2AD7"/>
    <w:rsid w:val="298B7534"/>
    <w:rsid w:val="2C815F3C"/>
    <w:rsid w:val="327B5A75"/>
    <w:rsid w:val="327F64D7"/>
    <w:rsid w:val="33294250"/>
    <w:rsid w:val="33DA42ED"/>
    <w:rsid w:val="34CE7366"/>
    <w:rsid w:val="357E4725"/>
    <w:rsid w:val="36E80ECA"/>
    <w:rsid w:val="3A766373"/>
    <w:rsid w:val="3AC2276F"/>
    <w:rsid w:val="3AFB3576"/>
    <w:rsid w:val="3DF80AB7"/>
    <w:rsid w:val="3EED0D36"/>
    <w:rsid w:val="4A3A054F"/>
    <w:rsid w:val="4E18240A"/>
    <w:rsid w:val="4E700BFA"/>
    <w:rsid w:val="59506290"/>
    <w:rsid w:val="59F87DFB"/>
    <w:rsid w:val="5D742D7F"/>
    <w:rsid w:val="5FD41DEF"/>
    <w:rsid w:val="6157102B"/>
    <w:rsid w:val="66A21431"/>
    <w:rsid w:val="6ADA75DB"/>
    <w:rsid w:val="6C257D25"/>
    <w:rsid w:val="6DF12416"/>
    <w:rsid w:val="7DAE6D8D"/>
    <w:rsid w:val="7E3977A2"/>
    <w:rsid w:val="7EC749F4"/>
    <w:rsid w:val="7FB83D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keepLines/>
      <w:spacing w:line="360" w:lineRule="auto"/>
      <w:outlineLvl w:val="1"/>
    </w:pPr>
    <w:rPr>
      <w:rFonts w:ascii="Arial" w:hAnsi="Arial"/>
      <w:b/>
      <w:bCs/>
      <w:sz w:val="24"/>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0"/>
    <w:pPr>
      <w:spacing w:after="120"/>
      <w:ind w:left="420" w:leftChars="200"/>
    </w:pPr>
  </w:style>
  <w:style w:type="paragraph" w:styleId="5">
    <w:name w:val="Normal Indent"/>
    <w:basedOn w:val="1"/>
    <w:next w:val="1"/>
    <w:qFormat/>
    <w:uiPriority w:val="0"/>
    <w:pPr>
      <w:widowControl/>
      <w:ind w:firstLine="420"/>
      <w:jc w:val="left"/>
    </w:pPr>
    <w:rPr>
      <w:kern w:val="0"/>
      <w:sz w:val="20"/>
      <w:szCs w:val="20"/>
    </w:rPr>
  </w:style>
  <w:style w:type="paragraph" w:styleId="6">
    <w:name w:val="Body Text"/>
    <w:basedOn w:val="1"/>
    <w:next w:val="1"/>
    <w:qFormat/>
    <w:uiPriority w:val="0"/>
    <w:pPr>
      <w:spacing w:after="120"/>
    </w:pPr>
  </w:style>
  <w:style w:type="paragraph" w:styleId="7">
    <w:name w:val="Plain Text"/>
    <w:basedOn w:val="1"/>
    <w:qFormat/>
    <w:uiPriority w:val="0"/>
    <w:rPr>
      <w:rFonts w:ascii="宋体" w:hAnsi="Courier New"/>
      <w:kern w:val="0"/>
      <w:sz w:val="20"/>
    </w:rPr>
  </w:style>
  <w:style w:type="paragraph" w:styleId="8">
    <w:name w:val="Body Text Indent 2"/>
    <w:basedOn w:val="1"/>
    <w:qFormat/>
    <w:uiPriority w:val="0"/>
    <w:pPr>
      <w:spacing w:after="120" w:line="480" w:lineRule="auto"/>
      <w:ind w:left="420" w:leftChars="200"/>
    </w:pPr>
  </w:style>
  <w:style w:type="paragraph" w:styleId="9">
    <w:name w:val="Balloon Text"/>
    <w:basedOn w:val="1"/>
    <w:link w:val="44"/>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qFormat/>
    <w:uiPriority w:val="0"/>
  </w:style>
  <w:style w:type="paragraph" w:customStyle="1" w:styleId="17">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8">
    <w:name w:val="正文_2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正文_2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正文_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正文_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正文_2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正文_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明显引用1"/>
    <w:basedOn w:val="1"/>
    <w:next w:val="1"/>
    <w:qFormat/>
    <w:uiPriority w:val="0"/>
    <w:pPr>
      <w:widowControl/>
      <w:wordWrap w:val="0"/>
      <w:spacing w:before="360" w:after="360"/>
      <w:ind w:left="950" w:right="950"/>
      <w:jc w:val="center"/>
    </w:pPr>
    <w:rPr>
      <w:rFonts w:cs="宋体"/>
      <w:i/>
      <w:iCs/>
      <w:kern w:val="0"/>
    </w:rPr>
  </w:style>
  <w:style w:type="character" w:customStyle="1" w:styleId="32">
    <w:name w:val="font41"/>
    <w:basedOn w:val="15"/>
    <w:qFormat/>
    <w:uiPriority w:val="0"/>
    <w:rPr>
      <w:rFonts w:hint="eastAsia" w:ascii="宋体" w:hAnsi="宋体" w:eastAsia="宋体"/>
      <w:color w:val="000000"/>
      <w:sz w:val="21"/>
      <w:szCs w:val="21"/>
      <w:u w:val="none"/>
    </w:rPr>
  </w:style>
  <w:style w:type="character" w:customStyle="1" w:styleId="33">
    <w:name w:val="font31"/>
    <w:basedOn w:val="15"/>
    <w:qFormat/>
    <w:uiPriority w:val="0"/>
    <w:rPr>
      <w:rFonts w:hint="default" w:ascii="Times New Roman" w:hAnsi="Times New Roman" w:cs="Times New Roman"/>
      <w:color w:val="000000"/>
      <w:sz w:val="20"/>
      <w:szCs w:val="20"/>
      <w:u w:val="none"/>
    </w:rPr>
  </w:style>
  <w:style w:type="paragraph" w:customStyle="1" w:styleId="34">
    <w:name w:val="列表段落1"/>
    <w:basedOn w:val="1"/>
    <w:qFormat/>
    <w:uiPriority w:val="0"/>
    <w:pPr>
      <w:ind w:firstLine="420" w:firstLineChars="200"/>
    </w:pPr>
    <w:rPr>
      <w:szCs w:val="21"/>
    </w:rPr>
  </w:style>
  <w:style w:type="paragraph" w:customStyle="1" w:styleId="35">
    <w:name w:val="BodyText1I2"/>
    <w:basedOn w:val="36"/>
    <w:qFormat/>
    <w:uiPriority w:val="0"/>
    <w:pPr>
      <w:spacing w:after="120"/>
      <w:ind w:left="420" w:leftChars="200" w:firstLine="482" w:firstLineChars="200"/>
    </w:pPr>
    <w:rPr>
      <w:rFonts w:ascii="Calibri" w:hAnsi="Calibri"/>
      <w:b/>
    </w:rPr>
  </w:style>
  <w:style w:type="paragraph" w:customStyle="1" w:styleId="36">
    <w:name w:val="BodyTextIndent"/>
    <w:basedOn w:val="1"/>
    <w:next w:val="1"/>
    <w:qFormat/>
    <w:uiPriority w:val="0"/>
    <w:pPr>
      <w:spacing w:line="320" w:lineRule="exact"/>
      <w:ind w:firstLine="210"/>
    </w:pPr>
    <w:rPr>
      <w:rFonts w:ascii="宋体"/>
      <w:spacing w:val="-2"/>
    </w:rPr>
  </w:style>
  <w:style w:type="paragraph" w:customStyle="1" w:styleId="37">
    <w:name w:val="标题 31"/>
    <w:basedOn w:val="1"/>
    <w:qFormat/>
    <w:uiPriority w:val="0"/>
    <w:pPr>
      <w:keepNext/>
      <w:keepLines/>
      <w:spacing w:before="260" w:after="260" w:line="416" w:lineRule="auto"/>
      <w:outlineLvl w:val="2"/>
    </w:pPr>
    <w:rPr>
      <w:b/>
      <w:bCs/>
      <w:sz w:val="32"/>
      <w:szCs w:val="32"/>
    </w:rPr>
  </w:style>
  <w:style w:type="paragraph" w:customStyle="1" w:styleId="38">
    <w:name w:val="列出段落1"/>
    <w:basedOn w:val="39"/>
    <w:qFormat/>
    <w:uiPriority w:val="0"/>
    <w:pPr>
      <w:ind w:firstLine="420" w:firstLineChars="200"/>
    </w:pPr>
    <w:rPr>
      <w:szCs w:val="21"/>
    </w:rPr>
  </w:style>
  <w:style w:type="paragraph" w:customStyle="1" w:styleId="39">
    <w:name w:val="正文1"/>
    <w:basedOn w:val="40"/>
    <w:next w:val="41"/>
    <w:qFormat/>
    <w:uiPriority w:val="0"/>
  </w:style>
  <w:style w:type="paragraph" w:customStyle="1" w:styleId="4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脚注文本1"/>
    <w:basedOn w:val="39"/>
    <w:next w:val="42"/>
    <w:qFormat/>
    <w:uiPriority w:val="0"/>
    <w:pPr>
      <w:jc w:val="left"/>
    </w:pPr>
    <w:rPr>
      <w:rFonts w:ascii="宋体" w:eastAsia="Times New Roman"/>
      <w:sz w:val="18"/>
      <w:szCs w:val="18"/>
    </w:rPr>
  </w:style>
  <w:style w:type="paragraph" w:customStyle="1" w:styleId="42">
    <w:name w:val="索引 51"/>
    <w:basedOn w:val="39"/>
    <w:next w:val="39"/>
    <w:qFormat/>
    <w:uiPriority w:val="0"/>
    <w:pPr>
      <w:ind w:left="798"/>
      <w:jc w:val="left"/>
    </w:pPr>
    <w:rPr>
      <w:rFonts w:ascii="Calibri" w:hAnsi="Calibri"/>
    </w:rPr>
  </w:style>
  <w:style w:type="paragraph" w:customStyle="1" w:styleId="43">
    <w:name w:val="无间隔1"/>
    <w:qFormat/>
    <w:uiPriority w:val="99"/>
    <w:pPr>
      <w:widowControl w:val="0"/>
      <w:jc w:val="both"/>
    </w:pPr>
    <w:rPr>
      <w:rFonts w:ascii="Calibri" w:hAnsi="Calibri" w:eastAsia="宋体" w:cs="Calibri"/>
      <w:kern w:val="2"/>
      <w:sz w:val="21"/>
      <w:szCs w:val="21"/>
      <w:lang w:val="en-US" w:eastAsia="zh-CN" w:bidi="ar-SA"/>
    </w:rPr>
  </w:style>
  <w:style w:type="character" w:customStyle="1" w:styleId="44">
    <w:name w:val="批注框文本 Char"/>
    <w:basedOn w:val="15"/>
    <w:link w:val="9"/>
    <w:qFormat/>
    <w:uiPriority w:val="0"/>
    <w:rPr>
      <w:rFonts w:asciiTheme="minorHAnsi" w:hAnsiTheme="minorHAnsi" w:eastAsiaTheme="minorEastAsia" w:cstheme="minorBidi"/>
      <w:kern w:val="2"/>
      <w:sz w:val="18"/>
      <w:szCs w:val="18"/>
    </w:rPr>
  </w:style>
  <w:style w:type="paragraph" w:styleId="45">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9</Pages>
  <Words>581</Words>
  <Characters>608</Characters>
  <Lines>2</Lines>
  <Paragraphs>3</Paragraphs>
  <TotalTime>1</TotalTime>
  <ScaleCrop>false</ScaleCrop>
  <LinksUpToDate>false</LinksUpToDate>
  <CharactersWithSpaces>645</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2022-01-12T01:51:00Z</dcterms:created>
  <dc:creator>WA</dc:creator>
  <cp:lastModifiedBy>向钱看，向后赚</cp:lastModifiedBy>
  <cp:lastPrinted>2026-08-10T04:00:00Z</cp:lastPrinted>
  <dcterms:modified xsi:type="dcterms:W3CDTF">2026-08-11T09:21:55Z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FAEC1A0FC7E144CD9C6A7173E1973DE0</vt:lpwstr>
  </property>
  <property fmtid="{D5CDD505-2E9C-101B-9397-08002B2CF9AE}" pid="4" name="KSOTemplateDocerSaveRecord">
    <vt:lpwstr>eyJoZGlkIjoiZjMwY2QyM2Y4YjMyOGEwMzRjZjQ2Mzc4NmM5M2RjMGIiLCJ1c2VySWQiOiIxNTk4MjI3MjMzIn0=</vt:lpwstr>
  </property>
</Properties>
</file>