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CE08B">
      <w:pPr>
        <w:pStyle w:val="2"/>
        <w:jc w:val="center"/>
        <w:rPr>
          <w:rFonts w:ascii="宋体" w:hAnsi="宋体" w:cs="宋体"/>
          <w:b w:val="0"/>
          <w:color w:val="auto"/>
          <w:sz w:val="28"/>
          <w:szCs w:val="28"/>
        </w:rPr>
      </w:pPr>
      <w:r>
        <w:rPr>
          <w:rFonts w:hint="eastAsia" w:ascii="宋体" w:hAnsi="宋体" w:cs="宋体"/>
          <w:sz w:val="32"/>
        </w:rPr>
        <w:t>第四章 技术</w:t>
      </w:r>
      <w:r>
        <w:rPr>
          <w:rFonts w:hint="eastAsia" w:ascii="宋体" w:hAnsi="宋体" w:cs="宋体"/>
          <w:color w:val="auto"/>
          <w:sz w:val="32"/>
        </w:rPr>
        <w:t>规格、参数与要求（采购需求）</w:t>
      </w:r>
    </w:p>
    <w:p w14:paraId="44CEDBAB">
      <w:pPr>
        <w:widowControl w:val="0"/>
        <w:tabs>
          <w:tab w:val="left" w:pos="1342"/>
        </w:tabs>
        <w:spacing w:before="67" w:line="288" w:lineRule="auto"/>
        <w:ind w:firstLine="0" w:firstLineChars="0"/>
        <w:jc w:val="center"/>
        <w:textAlignment w:val="baseline"/>
        <w:outlineLvl w:val="1"/>
        <w:rPr>
          <w:rFonts w:hint="eastAsia" w:ascii="宋体" w:hAnsi="宋体" w:eastAsia="宋体" w:cs="宋体"/>
          <w:b/>
          <w:bCs/>
          <w:color w:val="auto"/>
          <w:kern w:val="0"/>
          <w:sz w:val="30"/>
          <w:szCs w:val="30"/>
          <w:lang w:val="en-US" w:eastAsia="zh-CN" w:bidi="ar-SA"/>
        </w:rPr>
      </w:pPr>
      <w:r>
        <w:rPr>
          <w:rFonts w:hint="eastAsia" w:ascii="宋体" w:hAnsi="宋体" w:eastAsia="宋体" w:cs="宋体"/>
          <w:b/>
          <w:bCs/>
          <w:color w:val="auto"/>
          <w:kern w:val="0"/>
          <w:sz w:val="30"/>
          <w:szCs w:val="30"/>
          <w:lang w:val="en-US" w:eastAsia="zh-CN" w:bidi="ar-SA"/>
        </w:rPr>
        <w:t>第一节  采购清单一览表</w:t>
      </w:r>
    </w:p>
    <w:tbl>
      <w:tblPr>
        <w:tblStyle w:val="3"/>
        <w:tblW w:w="91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2"/>
        <w:gridCol w:w="2430"/>
        <w:gridCol w:w="1001"/>
        <w:gridCol w:w="1858"/>
        <w:gridCol w:w="1889"/>
        <w:gridCol w:w="1317"/>
      </w:tblGrid>
      <w:tr w14:paraId="2DD31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5" w:hRule="atLeast"/>
          <w:jc w:val="center"/>
        </w:trPr>
        <w:tc>
          <w:tcPr>
            <w:tcW w:w="682" w:type="dxa"/>
            <w:noWrap w:val="0"/>
            <w:vAlign w:val="center"/>
          </w:tcPr>
          <w:p w14:paraId="1D42E58E">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 xml:space="preserve">序号 </w:t>
            </w:r>
          </w:p>
        </w:tc>
        <w:tc>
          <w:tcPr>
            <w:tcW w:w="2430" w:type="dxa"/>
            <w:noWrap w:val="0"/>
            <w:vAlign w:val="center"/>
          </w:tcPr>
          <w:p w14:paraId="4DD840A4">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分项项目名称</w:t>
            </w:r>
          </w:p>
        </w:tc>
        <w:tc>
          <w:tcPr>
            <w:tcW w:w="1001" w:type="dxa"/>
            <w:noWrap w:val="0"/>
            <w:vAlign w:val="center"/>
          </w:tcPr>
          <w:p w14:paraId="65210840">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数量</w:t>
            </w:r>
          </w:p>
          <w:p w14:paraId="393F4E78">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（单位）</w:t>
            </w:r>
          </w:p>
        </w:tc>
        <w:tc>
          <w:tcPr>
            <w:tcW w:w="1858" w:type="dxa"/>
            <w:tcBorders>
              <w:right w:val="single" w:color="auto" w:sz="4" w:space="0"/>
            </w:tcBorders>
            <w:noWrap w:val="0"/>
            <w:vAlign w:val="center"/>
          </w:tcPr>
          <w:p w14:paraId="36B22C03">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预算金额（元）</w:t>
            </w:r>
          </w:p>
        </w:tc>
        <w:tc>
          <w:tcPr>
            <w:tcW w:w="1889" w:type="dxa"/>
            <w:tcBorders>
              <w:left w:val="single" w:color="auto" w:sz="4" w:space="0"/>
              <w:right w:val="single" w:color="auto" w:sz="4" w:space="0"/>
            </w:tcBorders>
            <w:noWrap w:val="0"/>
            <w:vAlign w:val="center"/>
          </w:tcPr>
          <w:p w14:paraId="3C7797E3">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最高限价（元）</w:t>
            </w:r>
          </w:p>
        </w:tc>
        <w:tc>
          <w:tcPr>
            <w:tcW w:w="1317" w:type="dxa"/>
            <w:tcBorders>
              <w:left w:val="single" w:color="auto" w:sz="4" w:space="0"/>
            </w:tcBorders>
            <w:noWrap w:val="0"/>
            <w:vAlign w:val="center"/>
          </w:tcPr>
          <w:p w14:paraId="52233255">
            <w:pPr>
              <w:adjustRightInd w:val="0"/>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说明</w:t>
            </w:r>
          </w:p>
        </w:tc>
      </w:tr>
      <w:tr w14:paraId="79E543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7" w:hRule="atLeast"/>
          <w:jc w:val="center"/>
        </w:trPr>
        <w:tc>
          <w:tcPr>
            <w:tcW w:w="682" w:type="dxa"/>
            <w:noWrap w:val="0"/>
            <w:vAlign w:val="center"/>
          </w:tcPr>
          <w:p w14:paraId="40ACF16A">
            <w:pPr>
              <w:adjustRightInd w:val="0"/>
              <w:snapToGrid w:val="0"/>
              <w:spacing w:before="156" w:beforeLines="50" w:line="360" w:lineRule="auto"/>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w:t>
            </w:r>
          </w:p>
        </w:tc>
        <w:tc>
          <w:tcPr>
            <w:tcW w:w="2430" w:type="dxa"/>
            <w:noWrap w:val="0"/>
            <w:vAlign w:val="center"/>
          </w:tcPr>
          <w:p w14:paraId="7171BBF6">
            <w:pPr>
              <w:adjustRightInd w:val="0"/>
              <w:snapToGrid w:val="0"/>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麻醉机</w:t>
            </w:r>
          </w:p>
        </w:tc>
        <w:tc>
          <w:tcPr>
            <w:tcW w:w="1001" w:type="dxa"/>
            <w:shd w:val="clear" w:color="auto" w:fill="auto"/>
            <w:noWrap w:val="0"/>
            <w:vAlign w:val="center"/>
          </w:tcPr>
          <w:p w14:paraId="7ED5FF7E">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4台</w:t>
            </w:r>
          </w:p>
        </w:tc>
        <w:tc>
          <w:tcPr>
            <w:tcW w:w="1858" w:type="dxa"/>
            <w:tcBorders>
              <w:right w:val="single" w:color="auto" w:sz="4" w:space="0"/>
            </w:tcBorders>
            <w:shd w:val="clear" w:color="auto" w:fill="auto"/>
            <w:noWrap w:val="0"/>
            <w:vAlign w:val="center"/>
          </w:tcPr>
          <w:p w14:paraId="651DFFE0">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1500000.00</w:t>
            </w:r>
          </w:p>
        </w:tc>
        <w:tc>
          <w:tcPr>
            <w:tcW w:w="1889" w:type="dxa"/>
            <w:tcBorders>
              <w:left w:val="single" w:color="auto" w:sz="4" w:space="0"/>
              <w:right w:val="single" w:color="auto" w:sz="4" w:space="0"/>
            </w:tcBorders>
            <w:shd w:val="clear" w:color="auto" w:fill="auto"/>
            <w:noWrap w:val="0"/>
            <w:vAlign w:val="center"/>
          </w:tcPr>
          <w:p w14:paraId="2F2C4A3F">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1500000.00</w:t>
            </w:r>
          </w:p>
        </w:tc>
        <w:tc>
          <w:tcPr>
            <w:tcW w:w="1317" w:type="dxa"/>
            <w:tcBorders>
              <w:left w:val="single" w:color="auto" w:sz="4" w:space="0"/>
            </w:tcBorders>
            <w:noWrap w:val="0"/>
            <w:vAlign w:val="center"/>
          </w:tcPr>
          <w:p w14:paraId="0FD64346">
            <w:pPr>
              <w:adjustRightInd w:val="0"/>
              <w:snapToGrid w:val="0"/>
              <w:spacing w:before="156" w:beforeLines="50" w:line="360" w:lineRule="auto"/>
              <w:jc w:val="center"/>
              <w:rPr>
                <w:rFonts w:hint="eastAsia" w:ascii="宋体" w:hAnsi="宋体" w:eastAsia="宋体" w:cs="宋体"/>
                <w:b w:val="0"/>
                <w:bCs w:val="0"/>
                <w:color w:val="auto"/>
                <w:sz w:val="21"/>
                <w:szCs w:val="21"/>
                <w:lang w:val="en-US" w:eastAsia="zh-CN"/>
              </w:rPr>
            </w:pPr>
          </w:p>
        </w:tc>
      </w:tr>
      <w:tr w14:paraId="1DF9B0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3" w:hRule="atLeast"/>
          <w:jc w:val="center"/>
        </w:trPr>
        <w:tc>
          <w:tcPr>
            <w:tcW w:w="682" w:type="dxa"/>
            <w:noWrap w:val="0"/>
            <w:vAlign w:val="center"/>
          </w:tcPr>
          <w:p w14:paraId="6B8B78D9">
            <w:pPr>
              <w:adjustRightInd w:val="0"/>
              <w:snapToGrid w:val="0"/>
              <w:spacing w:before="156" w:beforeLines="50" w:line="360" w:lineRule="auto"/>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p>
        </w:tc>
        <w:tc>
          <w:tcPr>
            <w:tcW w:w="2430" w:type="dxa"/>
            <w:noWrap w:val="0"/>
            <w:vAlign w:val="center"/>
          </w:tcPr>
          <w:p w14:paraId="100CC2C5">
            <w:pPr>
              <w:adjustRightInd w:val="0"/>
              <w:snapToGrid w:val="0"/>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多功能监护仪</w:t>
            </w:r>
          </w:p>
        </w:tc>
        <w:tc>
          <w:tcPr>
            <w:tcW w:w="1001" w:type="dxa"/>
            <w:shd w:val="clear" w:color="auto" w:fill="auto"/>
            <w:noWrap w:val="0"/>
            <w:vAlign w:val="center"/>
          </w:tcPr>
          <w:p w14:paraId="40CADA11">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7台</w:t>
            </w:r>
          </w:p>
        </w:tc>
        <w:tc>
          <w:tcPr>
            <w:tcW w:w="1858" w:type="dxa"/>
            <w:tcBorders>
              <w:right w:val="single" w:color="auto" w:sz="4" w:space="0"/>
            </w:tcBorders>
            <w:shd w:val="clear" w:color="auto" w:fill="auto"/>
            <w:noWrap w:val="0"/>
            <w:vAlign w:val="center"/>
          </w:tcPr>
          <w:p w14:paraId="0F477C83">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700000.00</w:t>
            </w:r>
          </w:p>
        </w:tc>
        <w:tc>
          <w:tcPr>
            <w:tcW w:w="1889" w:type="dxa"/>
            <w:tcBorders>
              <w:left w:val="single" w:color="auto" w:sz="4" w:space="0"/>
              <w:right w:val="single" w:color="auto" w:sz="4" w:space="0"/>
            </w:tcBorders>
            <w:shd w:val="clear" w:color="auto" w:fill="auto"/>
            <w:noWrap w:val="0"/>
            <w:vAlign w:val="center"/>
          </w:tcPr>
          <w:p w14:paraId="084CC576">
            <w:pPr>
              <w:keepNext w:val="0"/>
              <w:keepLines w:val="0"/>
              <w:pageBreakBefore w:val="0"/>
              <w:kinsoku/>
              <w:wordWrap/>
              <w:overflowPunct/>
              <w:topLinePunct w:val="0"/>
              <w:bidi w:val="0"/>
              <w:adjustRightInd w:val="0"/>
              <w:snapToGrid w:val="0"/>
              <w:spacing w:line="48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700000.00</w:t>
            </w:r>
          </w:p>
        </w:tc>
        <w:tc>
          <w:tcPr>
            <w:tcW w:w="1317" w:type="dxa"/>
            <w:tcBorders>
              <w:left w:val="single" w:color="auto" w:sz="4" w:space="0"/>
            </w:tcBorders>
            <w:noWrap w:val="0"/>
            <w:vAlign w:val="center"/>
          </w:tcPr>
          <w:p w14:paraId="27FCE777">
            <w:pPr>
              <w:adjustRightInd w:val="0"/>
              <w:snapToGrid w:val="0"/>
              <w:spacing w:before="156" w:beforeLines="50" w:line="360" w:lineRule="auto"/>
              <w:jc w:val="center"/>
              <w:rPr>
                <w:rFonts w:hint="eastAsia" w:ascii="宋体" w:hAnsi="宋体" w:eastAsia="宋体" w:cs="宋体"/>
                <w:b w:val="0"/>
                <w:bCs w:val="0"/>
                <w:color w:val="auto"/>
                <w:sz w:val="21"/>
                <w:szCs w:val="21"/>
                <w:lang w:val="en-US" w:eastAsia="zh-CN"/>
              </w:rPr>
            </w:pPr>
          </w:p>
        </w:tc>
      </w:tr>
    </w:tbl>
    <w:p w14:paraId="18F14F72">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注：1.“包”为最小合同单位（最小投标单位）。每“包”内容应细化到具体标的。</w:t>
      </w:r>
    </w:p>
    <w:p w14:paraId="5334848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2.投标人必须对一个完整、独立的包进行投标，不得仅对一个包中的部分标的投标，否则</w:t>
      </w:r>
      <w:r>
        <w:rPr>
          <w:rFonts w:hint="eastAsia" w:ascii="宋体" w:hAnsi="宋体"/>
          <w:b/>
          <w:color w:val="auto"/>
          <w:szCs w:val="21"/>
          <w:highlight w:val="none"/>
        </w:rPr>
        <w:t>投标无效。</w:t>
      </w:r>
    </w:p>
    <w:p w14:paraId="7CF46BD9">
      <w:pPr>
        <w:adjustRightInd w:val="0"/>
        <w:snapToGrid w:val="0"/>
        <w:spacing w:before="156" w:beforeLines="50"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3.货物的主要技术参数或规格：详见“技术要求”中的具体技术参数。</w:t>
      </w:r>
    </w:p>
    <w:p w14:paraId="24AEAEE1">
      <w:pPr>
        <w:adjustRightInd w:val="0"/>
        <w:snapToGrid w:val="0"/>
        <w:spacing w:before="156" w:beforeLines="50"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4.投标人应在投标文件《分项报价明细表》中按标的名称顺序逐项填写，且每个标的中的条目均需按招标文件规定报价。如有缺项、漏项，其</w:t>
      </w:r>
      <w:r>
        <w:rPr>
          <w:rFonts w:hint="eastAsia" w:ascii="宋体" w:hAnsi="宋体" w:eastAsia="宋体" w:cs="Times New Roman"/>
          <w:b/>
          <w:bCs/>
          <w:color w:val="auto"/>
          <w:szCs w:val="21"/>
          <w:highlight w:val="none"/>
        </w:rPr>
        <w:t>投标无效</w:t>
      </w:r>
      <w:r>
        <w:rPr>
          <w:rFonts w:hint="eastAsia" w:ascii="宋体" w:hAnsi="宋体" w:eastAsia="宋体" w:cs="Times New Roman"/>
          <w:color w:val="auto"/>
          <w:szCs w:val="21"/>
          <w:highlight w:val="none"/>
        </w:rPr>
        <w:t>。</w:t>
      </w:r>
    </w:p>
    <w:p w14:paraId="5A46428C">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35610599">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045FAD7E">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3842E5BF">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29A71A6E">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0829E876">
      <w:pPr>
        <w:widowControl w:val="0"/>
        <w:tabs>
          <w:tab w:val="left" w:pos="1342"/>
        </w:tabs>
        <w:spacing w:before="67" w:line="288" w:lineRule="auto"/>
        <w:ind w:firstLine="241" w:firstLineChars="100"/>
        <w:jc w:val="center"/>
        <w:textAlignment w:val="baseline"/>
        <w:outlineLvl w:val="1"/>
        <w:rPr>
          <w:rFonts w:hint="eastAsia" w:ascii="宋体" w:hAnsi="宋体" w:eastAsia="宋体" w:cs="宋体"/>
          <w:b/>
          <w:bCs/>
          <w:color w:val="auto"/>
          <w:kern w:val="0"/>
          <w:sz w:val="24"/>
          <w:szCs w:val="24"/>
          <w:lang w:val="en-US" w:eastAsia="zh-CN" w:bidi="ar-SA"/>
        </w:rPr>
      </w:pPr>
    </w:p>
    <w:p w14:paraId="312AAF9D">
      <w:pPr>
        <w:rPr>
          <w:rFonts w:hint="eastAsia" w:ascii="宋体" w:hAnsi="宋体" w:eastAsia="宋体" w:cs="宋体"/>
          <w:b/>
          <w:bCs/>
          <w:color w:val="auto"/>
          <w:kern w:val="0"/>
          <w:sz w:val="30"/>
          <w:szCs w:val="30"/>
          <w:lang w:val="en-US" w:eastAsia="zh-CN" w:bidi="ar-SA"/>
        </w:rPr>
      </w:pPr>
      <w:r>
        <w:rPr>
          <w:rFonts w:hint="eastAsia" w:ascii="宋体" w:hAnsi="宋体" w:eastAsia="宋体" w:cs="宋体"/>
          <w:b/>
          <w:bCs/>
          <w:color w:val="auto"/>
          <w:kern w:val="0"/>
          <w:sz w:val="30"/>
          <w:szCs w:val="30"/>
          <w:lang w:val="en-US" w:eastAsia="zh-CN" w:bidi="ar-SA"/>
        </w:rPr>
        <w:br w:type="page"/>
      </w:r>
    </w:p>
    <w:p w14:paraId="2FC5FA43">
      <w:pPr>
        <w:widowControl w:val="0"/>
        <w:tabs>
          <w:tab w:val="left" w:pos="1342"/>
        </w:tabs>
        <w:spacing w:before="67" w:line="288" w:lineRule="auto"/>
        <w:ind w:firstLine="301" w:firstLineChars="100"/>
        <w:jc w:val="center"/>
        <w:textAlignment w:val="baseline"/>
        <w:outlineLvl w:val="1"/>
        <w:rPr>
          <w:rFonts w:hint="eastAsia" w:ascii="宋体" w:hAnsi="宋体" w:eastAsia="宋体" w:cs="宋体"/>
          <w:b/>
          <w:bCs/>
          <w:color w:val="auto"/>
          <w:kern w:val="0"/>
          <w:sz w:val="30"/>
          <w:szCs w:val="30"/>
          <w:lang w:val="en-US" w:eastAsia="zh-CN" w:bidi="ar-SA"/>
        </w:rPr>
      </w:pPr>
      <w:r>
        <w:rPr>
          <w:rFonts w:hint="eastAsia" w:ascii="宋体" w:hAnsi="宋体" w:eastAsia="宋体" w:cs="宋体"/>
          <w:b/>
          <w:bCs/>
          <w:color w:val="auto"/>
          <w:kern w:val="0"/>
          <w:sz w:val="30"/>
          <w:szCs w:val="30"/>
          <w:lang w:val="en-US" w:eastAsia="zh-CN" w:bidi="ar-SA"/>
        </w:rPr>
        <w:t>第二节  技术要求</w:t>
      </w:r>
    </w:p>
    <w:p w14:paraId="5A8453D2">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default" w:ascii="宋体" w:hAnsi="宋体" w:eastAsia="宋体" w:cs="宋体"/>
          <w:b/>
          <w:bCs/>
          <w:color w:val="auto"/>
          <w:kern w:val="0"/>
          <w:sz w:val="30"/>
          <w:szCs w:val="30"/>
          <w:lang w:val="en-US" w:eastAsia="zh-CN" w:bidi="ar-SA"/>
        </w:rPr>
      </w:pPr>
      <w:r>
        <w:rPr>
          <w:rFonts w:hint="eastAsia" w:ascii="宋体" w:hAnsi="宋体" w:cs="宋体"/>
          <w:b/>
          <w:bCs/>
          <w:color w:val="auto"/>
          <w:kern w:val="0"/>
          <w:sz w:val="30"/>
          <w:szCs w:val="30"/>
          <w:lang w:val="en-US" w:eastAsia="zh-CN" w:bidi="ar-SA"/>
        </w:rPr>
        <w:t>包一、麻醉机技术参数需求</w:t>
      </w:r>
    </w:p>
    <w:p w14:paraId="17B09A1D">
      <w:pPr>
        <w:pStyle w:val="5"/>
        <w:numPr>
          <w:ilvl w:val="0"/>
          <w:numId w:val="1"/>
        </w:numPr>
        <w:spacing w:after="0" w:line="360" w:lineRule="auto"/>
        <w:ind w:left="360" w:leftChars="0" w:firstLine="59" w:firstLineChars="28"/>
        <w:rPr>
          <w:rFonts w:hint="eastAsia" w:ascii="宋体" w:hAnsi="宋体" w:eastAsia="宋体" w:cs="宋体"/>
          <w:color w:val="auto"/>
          <w:sz w:val="21"/>
          <w:szCs w:val="21"/>
        </w:rPr>
      </w:pPr>
      <w:r>
        <w:rPr>
          <w:rFonts w:hint="eastAsia" w:ascii="宋体" w:hAnsi="宋体" w:eastAsia="宋体" w:cs="宋体"/>
          <w:b/>
          <w:bCs/>
          <w:color w:val="auto"/>
          <w:sz w:val="21"/>
          <w:szCs w:val="21"/>
        </w:rPr>
        <w:t>货物名称：</w:t>
      </w:r>
      <w:r>
        <w:rPr>
          <w:rFonts w:hint="eastAsia" w:ascii="宋体" w:hAnsi="宋体" w:eastAsia="宋体" w:cs="宋体"/>
          <w:color w:val="auto"/>
          <w:sz w:val="21"/>
          <w:szCs w:val="21"/>
        </w:rPr>
        <w:t>高档智能麻醉系统</w:t>
      </w:r>
    </w:p>
    <w:p w14:paraId="159B8746">
      <w:pPr>
        <w:pStyle w:val="5"/>
        <w:numPr>
          <w:ilvl w:val="0"/>
          <w:numId w:val="1"/>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 ：</w:t>
      </w: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台</w:t>
      </w:r>
      <w:bookmarkStart w:id="0" w:name="_GoBack"/>
      <w:bookmarkEnd w:id="0"/>
    </w:p>
    <w:p w14:paraId="028B0A00">
      <w:pPr>
        <w:pStyle w:val="5"/>
        <w:numPr>
          <w:ilvl w:val="0"/>
          <w:numId w:val="1"/>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技术规格：</w:t>
      </w:r>
    </w:p>
    <w:p w14:paraId="2B0B5E78">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工作条件</w:t>
      </w:r>
    </w:p>
    <w:p w14:paraId="6E33EB79">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操作环境，温度：10° 至40°C，湿度：15 至 95%，大气压：500 至 800 mmHg。</w:t>
      </w:r>
    </w:p>
    <w:p w14:paraId="58DD758B">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电源：120/220V-240V (±10%), 50Hz-60Hz。</w:t>
      </w:r>
    </w:p>
    <w:p w14:paraId="42F3479D">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w:t>
      </w:r>
      <w:r>
        <w:rPr>
          <w:rFonts w:hint="eastAsia" w:ascii="宋体" w:hAnsi="宋体" w:eastAsia="宋体" w:cs="宋体"/>
          <w:color w:val="auto"/>
          <w:sz w:val="21"/>
          <w:szCs w:val="21"/>
          <w:lang w:val="en-US" w:eastAsia="zh-CN"/>
        </w:rPr>
        <w:t>内置</w:t>
      </w:r>
      <w:r>
        <w:rPr>
          <w:rFonts w:hint="eastAsia" w:ascii="宋体" w:hAnsi="宋体" w:eastAsia="宋体" w:cs="宋体"/>
          <w:color w:val="auto"/>
          <w:sz w:val="21"/>
          <w:szCs w:val="21"/>
        </w:rPr>
        <w:t>后备铅酸电池（非锂电池），使用时间≥90分钟。</w:t>
      </w:r>
      <w:r>
        <w:rPr>
          <w:rFonts w:hint="eastAsia" w:ascii="宋体" w:hAnsi="宋体" w:eastAsia="宋体" w:cs="宋体"/>
          <w:color w:val="auto"/>
          <w:sz w:val="21"/>
          <w:szCs w:val="21"/>
          <w:lang w:eastAsia="zh-CN"/>
        </w:rPr>
        <w:t>（提供证明材料）</w:t>
      </w:r>
    </w:p>
    <w:p w14:paraId="0A0F1E04">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机架：带推车，三个大抽屉。</w:t>
      </w:r>
    </w:p>
    <w:p w14:paraId="00FF39FA">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外置可视上升式风箱，便于远距离观察，成人、小儿不用更换风箱</w:t>
      </w:r>
    </w:p>
    <w:p w14:paraId="5A5FD9FA">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工作台双层灯光，无极亮度可调（非档位调节），全金属台面</w:t>
      </w:r>
    </w:p>
    <w:p w14:paraId="1322A8C7">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显示屏（非主机）标配RS232接口， USB接口，以太网络接口，HDMI接口。</w:t>
      </w:r>
    </w:p>
    <w:p w14:paraId="33B185E7">
      <w:pPr>
        <w:pStyle w:val="5"/>
        <w:numPr>
          <w:ilvl w:val="0"/>
          <w:numId w:val="3"/>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标配缆线防缠绕功能，防止在推动机器过程中脚轮被环境中线缆缠绕。</w:t>
      </w:r>
    </w:p>
    <w:p w14:paraId="6600DF07">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气源</w:t>
      </w:r>
    </w:p>
    <w:p w14:paraId="2D5B7332">
      <w:pPr>
        <w:pStyle w:val="5"/>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双气源：氧气、空气。氧气：具备安全保护装置，在供氧压低于252Kpa时报警。</w:t>
      </w:r>
    </w:p>
    <w:p w14:paraId="1F7AF9CA">
      <w:pPr>
        <w:pStyle w:val="5"/>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气源供气通过中心供氧和中心供气实现。</w:t>
      </w:r>
    </w:p>
    <w:p w14:paraId="4BCD6F35">
      <w:pPr>
        <w:pStyle w:val="5"/>
        <w:numPr>
          <w:ilvl w:val="0"/>
          <w:numId w:val="4"/>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快速充氧范围25-75L/min。</w:t>
      </w:r>
    </w:p>
    <w:p w14:paraId="66B5E48B">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流量计</w:t>
      </w:r>
    </w:p>
    <w:p w14:paraId="6B0DA7F2">
      <w:pPr>
        <w:pStyle w:val="5"/>
        <w:numPr>
          <w:ilvl w:val="0"/>
          <w:numId w:val="0"/>
        </w:numPr>
        <w:snapToGri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3.3.1</w:t>
      </w:r>
      <w:r>
        <w:rPr>
          <w:rFonts w:hint="eastAsia" w:ascii="宋体" w:hAnsi="宋体" w:eastAsia="宋体" w:cs="宋体"/>
          <w:color w:val="auto"/>
          <w:sz w:val="21"/>
          <w:szCs w:val="21"/>
        </w:rPr>
        <w:t>电子流量计（数控流量阀技术），氧气、空气，流量通过呼吸机屏幕及数码管两种方式电子显示；流量范围0.1-15 l/min。</w:t>
      </w:r>
    </w:p>
    <w:p w14:paraId="05F0EDFF">
      <w:pPr>
        <w:pStyle w:val="5"/>
        <w:numPr>
          <w:ilvl w:val="0"/>
          <w:numId w:val="0"/>
        </w:numPr>
        <w:snapToGri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3.3.2</w:t>
      </w:r>
      <w:r>
        <w:rPr>
          <w:rFonts w:hint="eastAsia" w:ascii="宋体" w:hAnsi="宋体" w:eastAsia="宋体" w:cs="宋体"/>
          <w:color w:val="auto"/>
          <w:sz w:val="21"/>
          <w:szCs w:val="21"/>
        </w:rPr>
        <w:t>具备备用机械流量管，流量范围1-10 l/min，保证在停电时能正常工作。</w:t>
      </w:r>
    </w:p>
    <w:p w14:paraId="06E70584">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挥发罐</w:t>
      </w:r>
    </w:p>
    <w:p w14:paraId="347412A4">
      <w:pPr>
        <w:pStyle w:val="5"/>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标配2个挥发罐的使用位置，带自动互锁装置，配同品牌柒氟醚挥发罐一个。</w:t>
      </w:r>
    </w:p>
    <w:p w14:paraId="7AF2A424">
      <w:pPr>
        <w:pStyle w:val="5"/>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▲可选配同品牌同生产厂家地氟醚挥发罐，地氟醚挥发罐在未通电时无法开启，避免药物泄露风险。(</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3369702F">
      <w:pPr>
        <w:pStyle w:val="5"/>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▲开机自检具备挥发罐泄漏自检程序，可实现程序化挥发罐自检，并可自动识别罐位，避免长期使用橡胶圈老化带来的麻药泄露风险。(</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6F017FDB">
      <w:pPr>
        <w:pStyle w:val="5"/>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主机自带挥发罐专用照明灯（非移动式），灯光亮度可调，方便腔镜手术昏暗环境下精准调控挥发罐。(</w:t>
      </w:r>
      <w:r>
        <w:rPr>
          <w:rFonts w:hint="eastAsia" w:ascii="宋体" w:hAnsi="宋体" w:eastAsia="宋体" w:cs="宋体"/>
          <w:color w:val="auto"/>
          <w:sz w:val="21"/>
          <w:szCs w:val="21"/>
          <w:lang w:eastAsia="zh-CN"/>
        </w:rPr>
        <w:t>提供证明材料</w:t>
      </w:r>
      <w:r>
        <w:rPr>
          <w:rFonts w:hint="eastAsia" w:ascii="宋体" w:hAnsi="宋体" w:eastAsia="宋体" w:cs="宋体"/>
          <w:color w:val="auto"/>
          <w:sz w:val="21"/>
          <w:szCs w:val="21"/>
        </w:rPr>
        <w:t>)</w:t>
      </w:r>
    </w:p>
    <w:p w14:paraId="2792EB06">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呼吸回路</w:t>
      </w:r>
    </w:p>
    <w:p w14:paraId="4A4EFF66">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&lt;3.2L极小的回路容积（包含回路系统、二氧化碳吸收罐、风箱），为快速调节新鲜气体流量以及输出麻药浓度提供了保障，且手动皮囊不参与机械通气。</w:t>
      </w:r>
    </w:p>
    <w:p w14:paraId="53A8CB10">
      <w:pPr>
        <w:pStyle w:val="5"/>
        <w:numPr>
          <w:ilvl w:val="0"/>
          <w:numId w:val="6"/>
        </w:numPr>
        <w:adjustRightInd w:val="0"/>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小容积模块化呼吸回路，所有传感器及连接电缆内置在回路内；所有回路模块不用任何工具可以拆卸、安装，所有模块(包含流量传感器)。</w:t>
      </w:r>
    </w:p>
    <w:p w14:paraId="0D830AF1">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机控下所有与患者呼出气体接触部分的呼吸回路（含标配流量传感器、风箱折叠皮囊，二氧化碳吸收罐，呼吸活瓣）可耐受134℃高温高压消毒避免院内交叉感染，流量传感器、风箱折叠皮囊、二氧化碳吸收罐上均必须具有134℃国际认证标识。</w:t>
      </w:r>
    </w:p>
    <w:p w14:paraId="77478921">
      <w:pPr>
        <w:pStyle w:val="5"/>
        <w:numPr>
          <w:ilvl w:val="0"/>
          <w:numId w:val="5"/>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标配可重复使用具备干湿分离功能的双层二氧化碳吸收罐，具备水管理系统，采用冷凝方式管理回路积水。</w:t>
      </w:r>
    </w:p>
    <w:p w14:paraId="0E649F11">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标配内置二氧化碳旁路功能，支持术中更换可重复使用的同品牌二氧化碳吸收罐，无需关停机械通气，可方便直接更换，不会产生漏气。</w:t>
      </w:r>
    </w:p>
    <w:p w14:paraId="45370E31">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使用备用电池时回路仍可部分加热解决回路积水问题。</w:t>
      </w:r>
    </w:p>
    <w:p w14:paraId="5EEFA028">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智能回路系统，能识别和显示：正在使用回路类型、正在使用呼吸模式以及CO2吸收罐状态。</w:t>
      </w:r>
    </w:p>
    <w:p w14:paraId="29E0002A">
      <w:pPr>
        <w:pStyle w:val="5"/>
        <w:numPr>
          <w:ilvl w:val="0"/>
          <w:numId w:val="6"/>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手动皮襄支架可不同角度及高度的调整，且不参与手动通气，不存在回路漏气风险，避免通气管道难以消毒彻底，减少交叉感染风险。</w:t>
      </w:r>
      <w:r>
        <w:rPr>
          <w:rFonts w:hint="eastAsia" w:ascii="宋体" w:hAnsi="宋体" w:eastAsia="宋体" w:cs="宋体"/>
          <w:color w:val="auto"/>
          <w:sz w:val="21"/>
          <w:szCs w:val="21"/>
          <w:lang w:eastAsia="zh-CN"/>
        </w:rPr>
        <w:t>（提供证明材料）</w:t>
      </w:r>
    </w:p>
    <w:p w14:paraId="117318BD">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呼吸机 </w:t>
      </w:r>
    </w:p>
    <w:p w14:paraId="0788B719">
      <w:pPr>
        <w:pStyle w:val="5"/>
        <w:widowControl w:val="0"/>
        <w:numPr>
          <w:ilvl w:val="0"/>
          <w:numId w:val="7"/>
        </w:numPr>
        <w:adjustRightInd w:val="0"/>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气动电控或电动电控呼吸机，全中文操作和显示。</w:t>
      </w:r>
    </w:p>
    <w:p w14:paraId="22E4E28C">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适用范围：新生儿、儿童及成人等所有病人通气。</w:t>
      </w:r>
    </w:p>
    <w:p w14:paraId="41D3CBA2">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▲人体工程学设计临床需求≥15英寸彩色触摸显示屏，可平面旋转至少180度及可调节倾斜度（非第三方外置屏幕），方便医生全方位多角度观察和灵活操作机器，具备双分屏显示功能，当触屏失灵，手动可调。</w:t>
      </w:r>
    </w:p>
    <w:p w14:paraId="7537D739">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用户可选择的全自检或部分自检功能，既能保证安全的使用，又能保证紧急抢救时的快速启动，可无限次跳过自检。</w:t>
      </w:r>
    </w:p>
    <w:p w14:paraId="4BD31E47">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提供辅助/控制/支持通气模式，标配: VCV、PCV、手动通气、电子PEEP、PCV-VG高级通气模式。</w:t>
      </w:r>
    </w:p>
    <w:p w14:paraId="6EF3E2E2">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潮气量范围:5-1500ml。</w:t>
      </w:r>
    </w:p>
    <w:p w14:paraId="1D53F7A2">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呼吸频率：4-100 次/分钟。</w:t>
      </w:r>
    </w:p>
    <w:p w14:paraId="394FBB53">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吸呼比：2:1到1:8。</w:t>
      </w:r>
    </w:p>
    <w:p w14:paraId="42D21ED7">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最大吸气流速：120 l/min+新鲜气体流量。</w:t>
      </w:r>
    </w:p>
    <w:p w14:paraId="11F60715">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压力限制范围：12到 100 cmH2O。</w:t>
      </w:r>
    </w:p>
    <w:p w14:paraId="267A7677">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PEEP范围：关，4 到 30 cmH2O。</w:t>
      </w:r>
    </w:p>
    <w:p w14:paraId="431F71CC">
      <w:pPr>
        <w:pStyle w:val="5"/>
        <w:numPr>
          <w:ilvl w:val="0"/>
          <w:numId w:val="7"/>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标配三种工作模式：通气模式、待机模式和心脏手术模式。</w:t>
      </w:r>
    </w:p>
    <w:p w14:paraId="5D4A8A2D">
      <w:pPr>
        <w:pStyle w:val="5"/>
        <w:numPr>
          <w:ilvl w:val="0"/>
          <w:numId w:val="7"/>
        </w:numPr>
        <w:spacing w:after="0"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具备30分钟迷你趋势追踪，可以动态显示压力、分钟通气量、CO2等参数30min内的变化，可与术中麻醉机其他参数同屏显示。</w:t>
      </w:r>
    </w:p>
    <w:p w14:paraId="6B663FFB">
      <w:pPr>
        <w:pStyle w:val="5"/>
        <w:numPr>
          <w:ilvl w:val="0"/>
          <w:numId w:val="7"/>
        </w:numPr>
        <w:spacing w:after="0"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标配内置（非外接）主动式麻醉废气排放装置(AGSS)。</w:t>
      </w:r>
    </w:p>
    <w:p w14:paraId="39550325">
      <w:pPr>
        <w:pStyle w:val="5"/>
        <w:numPr>
          <w:ilvl w:val="0"/>
          <w:numId w:val="2"/>
        </w:numPr>
        <w:spacing w:after="0" w:line="360" w:lineRule="auto"/>
        <w:ind w:left="360" w:leftChars="0" w:firstLine="59" w:firstLineChars="28"/>
        <w:rPr>
          <w:rFonts w:hint="eastAsia" w:ascii="宋体" w:hAnsi="宋体" w:eastAsia="宋体" w:cs="宋体"/>
          <w:b/>
          <w:bCs/>
          <w:color w:val="auto"/>
          <w:sz w:val="21"/>
          <w:szCs w:val="21"/>
        </w:rPr>
      </w:pPr>
      <w:r>
        <w:rPr>
          <w:rFonts w:hint="eastAsia" w:ascii="宋体" w:hAnsi="宋体" w:eastAsia="宋体" w:cs="宋体"/>
          <w:b/>
          <w:bCs/>
          <w:color w:val="auto"/>
          <w:sz w:val="21"/>
          <w:szCs w:val="21"/>
        </w:rPr>
        <w:t>数字和波形监测</w:t>
      </w:r>
    </w:p>
    <w:p w14:paraId="0D667E15">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3.7.1.</w:t>
      </w:r>
      <w:r>
        <w:rPr>
          <w:rFonts w:hint="eastAsia" w:ascii="宋体" w:hAnsi="宋体" w:eastAsia="宋体" w:cs="宋体"/>
          <w:color w:val="auto"/>
          <w:sz w:val="21"/>
          <w:szCs w:val="21"/>
        </w:rPr>
        <w:t>监测参数：吸入氧、空气流量、潮气量、分钟通气量、气道压（峰压、平台压、平均压、PEEP）；实时压力时间、流速时间呼吸波形描记并同屏显示。</w:t>
      </w:r>
    </w:p>
    <w:p w14:paraId="7D5F36C7">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3.7.2.</w:t>
      </w:r>
      <w:r>
        <w:rPr>
          <w:rFonts w:hint="eastAsia" w:ascii="宋体" w:hAnsi="宋体" w:eastAsia="宋体" w:cs="宋体"/>
          <w:color w:val="auto"/>
          <w:sz w:val="21"/>
          <w:szCs w:val="21"/>
        </w:rPr>
        <w:t>报警参数：氧浓度、气道压、潮气量、分钟通气量、窒息</w:t>
      </w:r>
    </w:p>
    <w:p w14:paraId="48C56DDF">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3.7.3.</w:t>
      </w:r>
      <w:r>
        <w:rPr>
          <w:rFonts w:hint="eastAsia" w:ascii="宋体" w:hAnsi="宋体" w:eastAsia="宋体" w:cs="宋体"/>
          <w:color w:val="auto"/>
          <w:sz w:val="21"/>
          <w:szCs w:val="21"/>
        </w:rPr>
        <w:t>内置单宽度插件槽（仅用于麻醉气体模块），可支持热插拔麻醉气体模块，无需关机重启，开机状态下即可更换，麻醉气体模块与监护仪和呼吸机均可互用节约成本。</w:t>
      </w:r>
    </w:p>
    <w:p w14:paraId="5914EE55">
      <w:pPr>
        <w:pStyle w:val="5"/>
        <w:numPr>
          <w:ilvl w:val="0"/>
          <w:numId w:val="0"/>
        </w:numPr>
        <w:adjustRightInd w:val="0"/>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3.7.4.</w:t>
      </w:r>
      <w:r>
        <w:rPr>
          <w:rFonts w:hint="eastAsia" w:ascii="宋体" w:hAnsi="宋体" w:eastAsia="宋体" w:cs="宋体"/>
          <w:color w:val="auto"/>
          <w:sz w:val="21"/>
          <w:szCs w:val="21"/>
        </w:rPr>
        <w:t>▲配置单宽度气体模块采用旁路式气体监测：O2、N2O、CO2及五种麻醉气体吸入和呼出浓度，并描记CO2,N2O波形；MAC值计算及年龄校正； O2测量方式为顺磁氧测量技术，无耗材。</w:t>
      </w:r>
    </w:p>
    <w:p w14:paraId="3B29AEFC">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3.7.5.</w:t>
      </w:r>
      <w:r>
        <w:rPr>
          <w:rFonts w:hint="eastAsia" w:ascii="宋体" w:hAnsi="宋体" w:eastAsia="宋体" w:cs="宋体"/>
          <w:color w:val="auto"/>
          <w:sz w:val="21"/>
          <w:szCs w:val="21"/>
        </w:rPr>
        <w:t>潮气量监测可提供两种监测数据来源（患者端和机器端）。</w:t>
      </w:r>
    </w:p>
    <w:p w14:paraId="04A6EF3F">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3.7.6.</w:t>
      </w:r>
      <w:r>
        <w:rPr>
          <w:rFonts w:hint="eastAsia" w:ascii="宋体" w:hAnsi="宋体" w:eastAsia="宋体" w:cs="宋体"/>
          <w:color w:val="auto"/>
          <w:sz w:val="21"/>
          <w:szCs w:val="21"/>
        </w:rPr>
        <w:t>具备新鲜气体用量实时显示和统计功能，可以在手术开始、手术过程中或手术结束后随时显示新鲜气体使用量</w:t>
      </w:r>
    </w:p>
    <w:p w14:paraId="7195415E">
      <w:pPr>
        <w:pStyle w:val="5"/>
        <w:numPr>
          <w:ilvl w:val="0"/>
          <w:numId w:val="0"/>
        </w:numPr>
        <w:tabs>
          <w:tab w:val="left" w:pos="630"/>
        </w:tabs>
        <w:spacing w:after="0" w:line="360" w:lineRule="auto"/>
        <w:ind w:left="0" w:leftChars="0"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3.8</w:t>
      </w:r>
      <w:r>
        <w:rPr>
          <w:rFonts w:hint="eastAsia" w:ascii="宋体" w:hAnsi="宋体" w:eastAsia="宋体" w:cs="宋体"/>
          <w:b/>
          <w:bCs/>
          <w:color w:val="auto"/>
          <w:sz w:val="21"/>
          <w:szCs w:val="21"/>
        </w:rPr>
        <w:t>传感器</w:t>
      </w:r>
    </w:p>
    <w:p w14:paraId="0E4B3E57">
      <w:pPr>
        <w:pStyle w:val="5"/>
        <w:numPr>
          <w:ilvl w:val="0"/>
          <w:numId w:val="0"/>
        </w:numPr>
        <w:spacing w:after="0" w:line="360" w:lineRule="auto"/>
        <w:ind w:left="360" w:leftChars="0" w:firstLine="48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14:ligatures w14:val="standardContextual"/>
        </w:rPr>
        <w:t>3.8.1.</w:t>
      </w:r>
      <w:r>
        <w:rPr>
          <w:rFonts w:hint="eastAsia" w:ascii="宋体" w:hAnsi="宋体" w:eastAsia="宋体" w:cs="宋体"/>
          <w:color w:val="auto"/>
          <w:sz w:val="21"/>
          <w:szCs w:val="21"/>
        </w:rPr>
        <w:t>▲金属膜片或者金属热丝式流量传感器，金属传感器更能耐受高频次流量监测，流量传感器具备自加热功能（非回路整体加热），避免水汽凝结影响流量传感器监测精准。。金属膜片或者金属热丝式流量传感器可以134℃高温高压消毒，避免交叉感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提供证明材料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p>
    <w:p w14:paraId="77A35523">
      <w:pPr>
        <w:pStyle w:val="5"/>
        <w:numPr>
          <w:ilvl w:val="0"/>
          <w:numId w:val="0"/>
        </w:numPr>
        <w:tabs>
          <w:tab w:val="left" w:pos="630"/>
        </w:tabs>
        <w:spacing w:after="0" w:line="360" w:lineRule="auto"/>
        <w:ind w:left="0" w:leftChars="0" w:firstLine="422" w:firstLineChars="200"/>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 xml:space="preserve">4 </w:t>
      </w:r>
      <w:r>
        <w:rPr>
          <w:rFonts w:hint="eastAsia" w:ascii="宋体" w:hAnsi="宋体" w:eastAsia="宋体" w:cs="宋体"/>
          <w:b/>
          <w:bCs/>
          <w:color w:val="auto"/>
          <w:sz w:val="21"/>
          <w:szCs w:val="21"/>
          <w:lang w:val="en-US" w:eastAsia="zh-CN"/>
        </w:rPr>
        <w:t>备件，资料及技术服务</w:t>
      </w:r>
    </w:p>
    <w:p w14:paraId="50060F22">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为保证设备正常运行，卖方应在中国境内方便的地点设置备件库，存入所有必须的备件</w:t>
      </w:r>
    </w:p>
    <w:p w14:paraId="137F6917">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卖方须向买方提供操作手册一套。</w:t>
      </w:r>
    </w:p>
    <w:p w14:paraId="19EF53C0">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卖方须向买方提供设备的运行、安装、使用环境要求</w:t>
      </w:r>
    </w:p>
    <w:p w14:paraId="0D6CAFAA">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在货物到达使用单位后，卖方应在7天内派工程技术人员到达现场，在买方技术人员在场的情况下开箱清点货物，组织安装调试，并承担因此发生的一切费用。</w:t>
      </w:r>
    </w:p>
    <w:p w14:paraId="1D9BC81A">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设备安装后，医院按国际和国家标准及厂方标准进行质量验收。</w:t>
      </w:r>
    </w:p>
    <w:p w14:paraId="7C5861E3">
      <w:pPr>
        <w:pStyle w:val="5"/>
        <w:numPr>
          <w:ilvl w:val="0"/>
          <w:numId w:val="8"/>
        </w:numPr>
        <w:spacing w:after="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在中国境内有相应的零配件保税库和维修机构。</w:t>
      </w:r>
    </w:p>
    <w:p w14:paraId="65B03680">
      <w:pPr>
        <w:pStyle w:val="5"/>
        <w:numPr>
          <w:ilvl w:val="0"/>
          <w:numId w:val="0"/>
        </w:numPr>
        <w:spacing w:after="0" w:line="360" w:lineRule="auto"/>
        <w:ind w:leftChars="20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 xml:space="preserve">5 </w:t>
      </w:r>
      <w:r>
        <w:rPr>
          <w:rFonts w:hint="eastAsia" w:asciiTheme="minorEastAsia" w:hAnsiTheme="minorEastAsia" w:eastAsiaTheme="minorEastAsia" w:cstheme="minorEastAsia"/>
          <w:b/>
          <w:bCs/>
          <w:color w:val="auto"/>
          <w:sz w:val="21"/>
          <w:szCs w:val="21"/>
        </w:rPr>
        <w:t>技术培训要求</w:t>
      </w:r>
    </w:p>
    <w:p w14:paraId="3427C237">
      <w:pPr>
        <w:pStyle w:val="5"/>
        <w:numPr>
          <w:ilvl w:val="0"/>
          <w:numId w:val="0"/>
        </w:numPr>
        <w:spacing w:after="0" w:line="360" w:lineRule="auto"/>
        <w:ind w:leftChars="0" w:firstLine="840" w:firstLineChars="4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5.1</w:t>
      </w:r>
      <w:r>
        <w:rPr>
          <w:rFonts w:hint="eastAsia" w:asciiTheme="minorEastAsia" w:hAnsiTheme="minorEastAsia" w:eastAsiaTheme="minorEastAsia" w:cstheme="minorEastAsia"/>
          <w:color w:val="auto"/>
          <w:sz w:val="21"/>
          <w:szCs w:val="21"/>
        </w:rPr>
        <w:t>网络培训：具有专用的网址或公众号，在线提供高级临床应用直播及产品操作指导。</w:t>
      </w:r>
    </w:p>
    <w:p w14:paraId="42EEC258">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eastAsia" w:ascii="宋体" w:hAnsi="宋体" w:cs="宋体"/>
          <w:b/>
          <w:bCs/>
          <w:color w:val="auto"/>
          <w:kern w:val="0"/>
          <w:sz w:val="30"/>
          <w:szCs w:val="30"/>
          <w:lang w:val="en-US" w:eastAsia="zh-CN" w:bidi="ar-SA"/>
        </w:rPr>
      </w:pPr>
    </w:p>
    <w:p w14:paraId="6653D3DD">
      <w:pPr>
        <w:keepNext w:val="0"/>
        <w:keepLines w:val="0"/>
        <w:pageBreakBefore w:val="0"/>
        <w:widowControl w:val="0"/>
        <w:tabs>
          <w:tab w:val="left" w:pos="1342"/>
        </w:tabs>
        <w:kinsoku/>
        <w:wordWrap/>
        <w:overflowPunct/>
        <w:topLinePunct w:val="0"/>
        <w:autoSpaceDE/>
        <w:autoSpaceDN/>
        <w:bidi w:val="0"/>
        <w:spacing w:line="460" w:lineRule="exact"/>
        <w:ind w:firstLine="0" w:firstLineChars="0"/>
        <w:jc w:val="left"/>
        <w:textAlignment w:val="baseline"/>
        <w:outlineLvl w:val="1"/>
        <w:rPr>
          <w:rFonts w:hint="default" w:ascii="宋体" w:hAnsi="宋体" w:eastAsia="宋体" w:cs="宋体"/>
          <w:b/>
          <w:bCs/>
          <w:color w:val="auto"/>
          <w:kern w:val="0"/>
          <w:sz w:val="30"/>
          <w:szCs w:val="30"/>
          <w:lang w:val="en-US" w:eastAsia="zh-CN" w:bidi="ar-SA"/>
        </w:rPr>
      </w:pPr>
      <w:r>
        <w:rPr>
          <w:rFonts w:hint="eastAsia" w:ascii="宋体" w:hAnsi="宋体" w:cs="宋体"/>
          <w:b/>
          <w:bCs/>
          <w:color w:val="auto"/>
          <w:kern w:val="0"/>
          <w:sz w:val="30"/>
          <w:szCs w:val="30"/>
          <w:lang w:val="en-US" w:eastAsia="zh-CN" w:bidi="ar-SA"/>
        </w:rPr>
        <w:t>包二、多功能监护仪（插件式）技术参数需求</w:t>
      </w:r>
    </w:p>
    <w:p w14:paraId="6818002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b/>
          <w:bCs/>
          <w:color w:val="auto"/>
        </w:rPr>
      </w:pPr>
      <w:r>
        <w:rPr>
          <w:rFonts w:hint="eastAsia" w:ascii="宋体" w:hAnsi="宋体" w:eastAsia="宋体"/>
          <w:b/>
          <w:bCs/>
          <w:color w:val="auto"/>
        </w:rPr>
        <w:t>监护仪结构</w:t>
      </w:r>
    </w:p>
    <w:p w14:paraId="3263E9B4">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模块化插件式床边监护仪，主机、显示屏和插件槽一体化设计，主机模块插槽数≥</w:t>
      </w:r>
      <w:r>
        <w:rPr>
          <w:rFonts w:ascii="宋体" w:hAnsi="宋体" w:eastAsia="宋体"/>
          <w:color w:val="auto"/>
        </w:rPr>
        <w:t>4个</w:t>
      </w:r>
    </w:p>
    <w:p w14:paraId="1108B73D">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w:t>
      </w:r>
      <w:r>
        <w:rPr>
          <w:rFonts w:ascii="宋体" w:hAnsi="宋体" w:eastAsia="宋体"/>
          <w:color w:val="auto"/>
        </w:rPr>
        <w:t>15英寸彩色电容触摸屏，高分辨率≥1920×1080像素，≥10通道显示，显示屏亮度自动调节，屏幕支持手势滑动操作，支持穿戴医用防护手套操作</w:t>
      </w:r>
    </w:p>
    <w:p w14:paraId="3C6BF614">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配置</w:t>
      </w:r>
      <w:r>
        <w:rPr>
          <w:rFonts w:ascii="宋体" w:hAnsi="宋体" w:eastAsia="宋体"/>
          <w:color w:val="auto"/>
        </w:rPr>
        <w:t>USB接口，支持遥控器等USB设备，提供说明书证明材料</w:t>
      </w:r>
    </w:p>
    <w:p w14:paraId="49F2E464">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监护仪清洁消毒维护支持的消毒剂≥35种，在厂家手册中清晰列举消毒剂的种类</w:t>
      </w:r>
    </w:p>
    <w:p w14:paraId="0A67C7D2">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监护仪支持内置NFC功能，提供说明书证明材料</w:t>
      </w:r>
    </w:p>
    <w:p w14:paraId="4432F89E">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hint="default" w:ascii="宋体" w:hAnsi="宋体" w:eastAsia="宋体"/>
          <w:color w:val="auto"/>
          <w:lang w:val="en-US"/>
        </w:rPr>
      </w:pPr>
      <w:r>
        <w:rPr>
          <w:rFonts w:hint="eastAsia" w:ascii="Times New Roman" w:hAnsi="Times New Roman" w:eastAsia="宋体" w:cs="Times New Roman"/>
          <w:color w:val="auto"/>
          <w:szCs w:val="21"/>
          <w:highlight w:val="none"/>
        </w:rPr>
        <w:t>▲</w:t>
      </w:r>
      <w:r>
        <w:rPr>
          <w:rFonts w:hint="eastAsia" w:ascii="宋体" w:hAnsi="宋体" w:eastAsia="宋体"/>
          <w:color w:val="auto"/>
          <w:lang w:val="en-US" w:eastAsia="zh-CN"/>
        </w:rPr>
        <w:t>支持语音智能控制，可以实现</w:t>
      </w:r>
      <w:r>
        <w:rPr>
          <w:rFonts w:hint="eastAsia" w:ascii="宋体" w:hAnsi="宋体" w:eastAsia="宋体"/>
          <w:color w:val="auto"/>
        </w:rPr>
        <w:t>监护仪的基础操作，都可通过语音唤醒一键完成，</w:t>
      </w:r>
      <w:r>
        <w:rPr>
          <w:rFonts w:hint="eastAsia" w:ascii="宋体" w:hAnsi="宋体" w:eastAsia="宋体"/>
          <w:color w:val="auto"/>
          <w:lang w:val="en-US" w:eastAsia="zh-CN"/>
        </w:rPr>
        <w:t>提高监测效率</w:t>
      </w:r>
    </w:p>
    <w:p w14:paraId="283BA3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olor w:val="auto"/>
          <w:lang w:val="en-US" w:eastAsia="zh-CN"/>
        </w:rPr>
      </w:pPr>
    </w:p>
    <w:p w14:paraId="1B80F2D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b/>
          <w:bCs/>
          <w:color w:val="auto"/>
        </w:rPr>
      </w:pPr>
      <w:r>
        <w:rPr>
          <w:rFonts w:hint="eastAsia" w:ascii="宋体" w:hAnsi="宋体" w:eastAsia="宋体"/>
          <w:b/>
          <w:bCs/>
          <w:color w:val="auto"/>
        </w:rPr>
        <w:t>监测参数：</w:t>
      </w:r>
    </w:p>
    <w:p w14:paraId="71AD2915">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基本功能模块支持心电，呼吸，心率，无创血压，血氧饱和度，脉搏，双通道体温和双通道有创血压的同时监测</w:t>
      </w:r>
    </w:p>
    <w:p w14:paraId="436A4961">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基本功能模块</w:t>
      </w:r>
      <w:r>
        <w:rPr>
          <w:rFonts w:hint="eastAsia" w:ascii="宋体" w:hAnsi="宋体" w:eastAsia="宋体"/>
          <w:color w:val="auto"/>
          <w:lang w:val="en-US" w:eastAsia="zh-CN"/>
        </w:rPr>
        <w:t>支持</w:t>
      </w:r>
      <w:r>
        <w:rPr>
          <w:rFonts w:hint="eastAsia" w:ascii="宋体" w:hAnsi="宋体" w:eastAsia="宋体"/>
          <w:color w:val="auto"/>
        </w:rPr>
        <w:t>与</w:t>
      </w:r>
      <w:r>
        <w:rPr>
          <w:rFonts w:ascii="宋体" w:hAnsi="宋体" w:eastAsia="宋体"/>
          <w:color w:val="auto"/>
        </w:rPr>
        <w:t>监护仪有线或无线通讯，无线通讯时，也支持实时参数监测功能，内置锂电池供电≥4小时，通过1.5米（6个面）抗跌落测试</w:t>
      </w:r>
    </w:p>
    <w:p w14:paraId="69797B92">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Times New Roman" w:hAnsi="Times New Roman" w:eastAsia="宋体" w:cs="Times New Roman"/>
          <w:color w:val="auto"/>
          <w:szCs w:val="21"/>
          <w:highlight w:val="none"/>
        </w:rPr>
        <w:t>▲</w:t>
      </w:r>
      <w:r>
        <w:rPr>
          <w:rFonts w:hint="eastAsia" w:ascii="宋体" w:hAnsi="宋体" w:eastAsia="宋体"/>
          <w:color w:val="auto"/>
          <w:lang w:val="en-US" w:eastAsia="zh-CN"/>
        </w:rPr>
        <w:t>标配转运监护仪</w:t>
      </w:r>
      <w:r>
        <w:rPr>
          <w:rFonts w:hint="eastAsia" w:ascii="宋体" w:hAnsi="宋体" w:eastAsia="宋体"/>
          <w:color w:val="auto"/>
        </w:rPr>
        <w:t>，</w:t>
      </w:r>
      <w:r>
        <w:rPr>
          <w:rFonts w:hint="eastAsia" w:ascii="宋体" w:hAnsi="宋体" w:eastAsia="宋体"/>
          <w:color w:val="auto"/>
          <w:lang w:val="en-US" w:eastAsia="zh-CN"/>
        </w:rPr>
        <w:t>可</w:t>
      </w:r>
      <w:r>
        <w:rPr>
          <w:rFonts w:hint="eastAsia" w:ascii="宋体" w:hAnsi="宋体" w:eastAsia="宋体"/>
          <w:color w:val="auto"/>
        </w:rPr>
        <w:t>插入监护仪模块插槽</w:t>
      </w:r>
      <w:r>
        <w:rPr>
          <w:rFonts w:hint="eastAsia" w:ascii="宋体" w:hAnsi="宋体" w:eastAsia="宋体"/>
          <w:color w:val="auto"/>
          <w:lang w:eastAsia="zh-CN"/>
        </w:rPr>
        <w:t>（</w:t>
      </w:r>
      <w:r>
        <w:rPr>
          <w:rFonts w:hint="eastAsia" w:ascii="宋体" w:hAnsi="宋体" w:eastAsia="宋体"/>
          <w:color w:val="auto"/>
          <w:lang w:val="en-US" w:eastAsia="zh-CN"/>
        </w:rPr>
        <w:t>非指定插槽）</w:t>
      </w:r>
      <w:r>
        <w:rPr>
          <w:rFonts w:hint="eastAsia" w:ascii="宋体" w:hAnsi="宋体" w:eastAsia="宋体"/>
          <w:color w:val="auto"/>
        </w:rPr>
        <w:t>作为主机模块，具有独立操作显示屏，屏幕尺寸≥</w:t>
      </w:r>
      <w:r>
        <w:rPr>
          <w:rFonts w:ascii="宋体" w:hAnsi="宋体" w:eastAsia="宋体"/>
          <w:color w:val="auto"/>
        </w:rPr>
        <w:t>5.5英寸，内置锂电池供电≥4小时，无风扇设计</w:t>
      </w:r>
    </w:p>
    <w:p w14:paraId="3C1D3215">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支持房室传导阻滞心律失常分析</w:t>
      </w:r>
    </w:p>
    <w:p w14:paraId="61F9DA29">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支持HRV（心率变异性）分析，可在监护仪上查看R-R 间期(ms)、SDNN(ms)、SDANN（ms)、SDNNIndex(ms)、Triangle Index、rMSSD(ms)、pNN50(%)、TP、VLF、LF、HF、LF/HF 比值、Lfnu、HFnu 等参数信息需提供产品界面</w:t>
      </w:r>
    </w:p>
    <w:p w14:paraId="178B0D49">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Times New Roman" w:hAnsi="Times New Roman" w:eastAsia="宋体" w:cs="Times New Roman"/>
          <w:color w:val="auto"/>
          <w:szCs w:val="21"/>
          <w:highlight w:val="none"/>
        </w:rPr>
        <w:t>▲</w:t>
      </w:r>
      <w:r>
        <w:rPr>
          <w:rFonts w:hint="eastAsia" w:ascii="宋体" w:hAnsi="宋体" w:eastAsia="宋体"/>
          <w:color w:val="auto"/>
        </w:rPr>
        <w:t>支持室上性心动过速和SVCs/min等室上性心律失常分析，提供产品说明书证明材料</w:t>
      </w:r>
    </w:p>
    <w:p w14:paraId="74800752">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NIBP支持快速测量，典型测量时间≤15秒</w:t>
      </w:r>
    </w:p>
    <w:p w14:paraId="0EBDE35F">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配置指套式血氧探头，支持浸泡清洁与消毒，防水等级IPX7</w:t>
      </w:r>
    </w:p>
    <w:p w14:paraId="0E3DD20E">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支持双通道有创压</w:t>
      </w:r>
      <w:r>
        <w:rPr>
          <w:rFonts w:ascii="宋体" w:hAnsi="宋体" w:eastAsia="宋体"/>
          <w:color w:val="auto"/>
        </w:rPr>
        <w:t>IBP监测，支持</w:t>
      </w:r>
      <w:r>
        <w:rPr>
          <w:rFonts w:hint="eastAsia" w:ascii="宋体" w:hAnsi="宋体" w:eastAsia="宋体"/>
          <w:color w:val="auto"/>
        </w:rPr>
        <w:t>选配</w:t>
      </w:r>
      <w:r>
        <w:rPr>
          <w:rFonts w:ascii="宋体" w:hAnsi="宋体" w:eastAsia="宋体"/>
          <w:color w:val="auto"/>
        </w:rPr>
        <w:t>多达8通道有创压监测</w:t>
      </w:r>
    </w:p>
    <w:p w14:paraId="424F24D9">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有创压适用于成人，小儿和新生儿，有创压测量范围：</w:t>
      </w:r>
      <w:r>
        <w:rPr>
          <w:rFonts w:ascii="宋体" w:hAnsi="宋体" w:eastAsia="宋体"/>
          <w:color w:val="auto"/>
        </w:rPr>
        <w:t>-50～370mmHg</w:t>
      </w:r>
    </w:p>
    <w:p w14:paraId="4D367EFE">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支持多达</w:t>
      </w:r>
      <w:r>
        <w:rPr>
          <w:rFonts w:ascii="宋体" w:hAnsi="宋体" w:eastAsia="宋体"/>
          <w:color w:val="auto"/>
        </w:rPr>
        <w:t>6道IBP波形叠加显示，满足临床对比查看和节约显示空间的需求</w:t>
      </w:r>
    </w:p>
    <w:p w14:paraId="0DC632EB">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有创压支持</w:t>
      </w:r>
      <w:r>
        <w:rPr>
          <w:rFonts w:ascii="宋体" w:hAnsi="宋体" w:eastAsia="宋体"/>
          <w:color w:val="auto"/>
        </w:rPr>
        <w:t>SPV(收缩压变异性），IAP（腹内压）, APP（腹内灌注压）监测</w:t>
      </w:r>
    </w:p>
    <w:p w14:paraId="599AC298">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lang w:val="en-US" w:eastAsia="zh-CN"/>
        </w:rPr>
        <w:t>▲</w:t>
      </w:r>
      <w:r>
        <w:rPr>
          <w:rFonts w:hint="eastAsia" w:ascii="宋体" w:hAnsi="宋体" w:eastAsia="宋体"/>
          <w:color w:val="auto"/>
        </w:rPr>
        <w:t>配置</w:t>
      </w:r>
      <w:r>
        <w:rPr>
          <w:rFonts w:ascii="宋体" w:hAnsi="宋体" w:eastAsia="宋体"/>
          <w:color w:val="auto"/>
        </w:rPr>
        <w:t>旁流EtCO2监测模块，旁流EtCO2监测模块支持升级顺磁氧监测技术进行氧气监测，水槽要求易用快速更换</w:t>
      </w:r>
    </w:p>
    <w:p w14:paraId="4F798D1A">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lang w:val="en-US" w:eastAsia="zh-CN"/>
        </w:rPr>
        <w:t>可升级</w:t>
      </w:r>
      <w:r>
        <w:rPr>
          <w:rFonts w:ascii="宋体" w:hAnsi="宋体" w:eastAsia="宋体"/>
          <w:color w:val="auto"/>
          <w:szCs w:val="21"/>
        </w:rPr>
        <w:t>PiCCO监测模块</w:t>
      </w:r>
      <w:r>
        <w:rPr>
          <w:rFonts w:hint="eastAsia" w:ascii="宋体" w:hAnsi="宋体" w:eastAsia="宋体"/>
          <w:color w:val="auto"/>
          <w:szCs w:val="21"/>
        </w:rPr>
        <w:t>非单机</w:t>
      </w:r>
      <w:r>
        <w:rPr>
          <w:rFonts w:ascii="宋体" w:hAnsi="宋体" w:eastAsia="宋体"/>
          <w:color w:val="auto"/>
          <w:szCs w:val="21"/>
        </w:rPr>
        <w:t>，</w:t>
      </w:r>
      <w:r>
        <w:rPr>
          <w:rFonts w:hint="eastAsia" w:ascii="宋体" w:hAnsi="宋体" w:eastAsia="宋体"/>
          <w:color w:val="auto"/>
          <w:szCs w:val="21"/>
        </w:rPr>
        <w:t>且模块可用于招标主体机型，</w:t>
      </w:r>
      <w:r>
        <w:rPr>
          <w:rFonts w:ascii="宋体" w:hAnsi="宋体" w:eastAsia="宋体"/>
          <w:color w:val="auto"/>
          <w:szCs w:val="21"/>
        </w:rPr>
        <w:t>非无创电阻抗法，具有更好的监测准确性，实现CCO连续心排量、SVV每搏变异量等血液动力学监测参数，直观观察病人的变化情况</w:t>
      </w:r>
      <w:r>
        <w:rPr>
          <w:rFonts w:hint="eastAsia" w:ascii="宋体" w:hAnsi="宋体" w:eastAsia="宋体"/>
          <w:color w:val="auto"/>
          <w:szCs w:val="21"/>
        </w:rPr>
        <w:t>。提供产品注册证证明</w:t>
      </w:r>
    </w:p>
    <w:p w14:paraId="22406E98">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可选配rSO2模块实现脑部血氧饱和度监测，适用于成人、小儿，最多支持四通道的 rSO2 测量</w:t>
      </w:r>
    </w:p>
    <w:p w14:paraId="25663B95">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lang w:val="en-US" w:eastAsia="zh-CN"/>
        </w:rPr>
        <w:t>支持语音控制监护仪，术中读出</w:t>
      </w:r>
    </w:p>
    <w:p w14:paraId="588E06C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rPr>
      </w:pPr>
    </w:p>
    <w:p w14:paraId="3F3D566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rPr>
      </w:pPr>
      <w:r>
        <w:rPr>
          <w:rFonts w:hint="eastAsia" w:ascii="宋体" w:hAnsi="宋体" w:eastAsia="宋体"/>
          <w:color w:val="auto"/>
        </w:rPr>
        <w:t>系统功能：</w:t>
      </w:r>
    </w:p>
    <w:p w14:paraId="4E2A0FC0">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具有特殊报警音，当监护仪在病人发生致命性参数报警时，发出特殊的报警音进行提示病人处于危急状态</w:t>
      </w:r>
    </w:p>
    <w:p w14:paraId="41FFEB5C">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具备多融合抗干扰技术</w:t>
      </w:r>
      <w:r>
        <w:rPr>
          <w:rFonts w:ascii="宋体" w:hAnsi="宋体" w:eastAsia="宋体"/>
          <w:color w:val="auto"/>
        </w:rPr>
        <w:t>，可根据同源的血氧和有创压信号纠正ECG分析结果，避免由于干扰引起的误报警</w:t>
      </w:r>
    </w:p>
    <w:p w14:paraId="050AE38C">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可选配具备早期恶化识别（</w:t>
      </w:r>
      <w:r>
        <w:rPr>
          <w:rFonts w:ascii="宋体" w:hAnsi="宋体" w:eastAsia="宋体"/>
          <w:color w:val="auto"/>
        </w:rPr>
        <w:t>EIA）功能，基于连续监测的高精度数据，综合分析心率、血压、血氧、呼吸率、体温和血流动力学参数等生命体征的趋势，识别病人早期恶化的风险，并提供声光图形化提示</w:t>
      </w:r>
    </w:p>
    <w:p w14:paraId="1BBD15DD">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可</w:t>
      </w:r>
      <w:r>
        <w:rPr>
          <w:rFonts w:hint="eastAsia" w:ascii="宋体" w:hAnsi="宋体" w:eastAsia="宋体"/>
          <w:color w:val="auto"/>
        </w:rPr>
        <w:t>升级具备</w:t>
      </w:r>
      <w:r>
        <w:rPr>
          <w:rFonts w:ascii="宋体" w:hAnsi="宋体" w:eastAsia="宋体"/>
          <w:color w:val="auto"/>
        </w:rPr>
        <w:t>血流动力学软件工具，显示完整血流动力学参数，并以图形化界面显示病人心脏收缩力，外周血管阻力等状态，提供电子化血流动力学实验记录，重点参数蛛网图显示评估病人相关参数变化</w:t>
      </w:r>
    </w:p>
    <w:p w14:paraId="25E39B0E">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支持在监护仪上查看手持超声实时图像和历史床旁超声图像和超声测量血流动力学参数，来源于超声的血流动力学数据可与监护仪上的连续流血动力学数据同屏按时间轴对齐显示</w:t>
      </w:r>
    </w:p>
    <w:p w14:paraId="05CDEA46">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可</w:t>
      </w:r>
      <w:r>
        <w:rPr>
          <w:rFonts w:hint="eastAsia" w:ascii="宋体" w:hAnsi="宋体" w:eastAsia="宋体"/>
          <w:color w:val="auto"/>
        </w:rPr>
        <w:t>升级具备</w:t>
      </w:r>
      <w:r>
        <w:rPr>
          <w:rFonts w:ascii="宋体" w:hAnsi="宋体" w:eastAsia="宋体"/>
          <w:color w:val="auto"/>
        </w:rPr>
        <w:t>输注泵用药信息回顾工具，可同时间轴显示病人生命体征参数及用药信息回顾，呈现病人生命体征变化趋势与药物输注流速变化之间的关系</w:t>
      </w:r>
    </w:p>
    <w:p w14:paraId="5D6C77AF">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Times New Roman" w:hAnsi="Times New Roman" w:eastAsia="宋体" w:cs="Times New Roman"/>
          <w:color w:val="auto"/>
          <w:szCs w:val="21"/>
          <w:highlight w:val="none"/>
        </w:rPr>
        <w:t>▲</w:t>
      </w:r>
      <w:r>
        <w:rPr>
          <w:rFonts w:hint="eastAsia" w:ascii="宋体" w:hAnsi="宋体" w:eastAsia="宋体"/>
          <w:color w:val="auto"/>
          <w:lang w:val="en-US" w:eastAsia="zh-CN"/>
        </w:rPr>
        <w:t>可与输注泵、超声、除颤仪、呼吸机、麻醉机、监护仪接入同一套中心监护系统，方便临床实时观察病人生命体征</w:t>
      </w:r>
    </w:p>
    <w:p w14:paraId="48144C0A">
      <w:pPr>
        <w:pStyle w:val="5"/>
        <w:numPr>
          <w:ilvl w:val="0"/>
          <w:numId w:val="9"/>
        </w:numPr>
        <w:ind w:firstLineChars="0"/>
        <w:rPr>
          <w:rFonts w:ascii="宋体" w:hAnsi="宋体" w:eastAsia="宋体"/>
          <w:color w:val="auto"/>
        </w:rPr>
      </w:pPr>
      <w:r>
        <w:rPr>
          <w:rFonts w:hint="eastAsia" w:ascii="Times New Roman" w:hAnsi="Times New Roman" w:eastAsia="宋体" w:cs="Times New Roman"/>
          <w:color w:val="auto"/>
          <w:szCs w:val="21"/>
          <w:highlight w:val="none"/>
        </w:rPr>
        <w:t>▲</w:t>
      </w:r>
      <w:r>
        <w:rPr>
          <w:rFonts w:hint="eastAsia" w:ascii="宋体" w:hAnsi="宋体" w:eastAsia="宋体"/>
          <w:color w:val="auto"/>
          <w:lang w:val="en-US" w:eastAsia="zh-CN"/>
        </w:rPr>
        <w:t>支持接入我院设备管理系统，方便设备科统一管理，提升设备使用效率</w:t>
      </w:r>
    </w:p>
    <w:p w14:paraId="30071238">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ascii="宋体" w:hAnsi="宋体" w:eastAsia="宋体"/>
          <w:color w:val="auto"/>
        </w:rPr>
        <w:t>支持≥120小时（分辨率1分钟）ST模板存储与回顾</w:t>
      </w:r>
    </w:p>
    <w:p w14:paraId="5FE9B86D">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产品通过国家</w:t>
      </w:r>
      <w:r>
        <w:rPr>
          <w:rFonts w:ascii="宋体" w:hAnsi="宋体" w:eastAsia="宋体"/>
          <w:color w:val="auto"/>
        </w:rPr>
        <w:t>III类注册</w:t>
      </w:r>
    </w:p>
    <w:p w14:paraId="0070D785">
      <w:pPr>
        <w:pStyle w:val="5"/>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Chars="0"/>
        <w:textAlignment w:val="auto"/>
        <w:rPr>
          <w:rFonts w:ascii="宋体" w:hAnsi="宋体" w:eastAsia="宋体"/>
          <w:color w:val="auto"/>
        </w:rPr>
      </w:pPr>
      <w:r>
        <w:rPr>
          <w:rFonts w:hint="eastAsia" w:ascii="宋体" w:hAnsi="宋体" w:eastAsia="宋体"/>
          <w:color w:val="auto"/>
        </w:rPr>
        <w:t>产品设计使用年限≥</w:t>
      </w:r>
      <w:r>
        <w:rPr>
          <w:rFonts w:ascii="宋体" w:hAnsi="宋体" w:eastAsia="宋体"/>
          <w:color w:val="auto"/>
        </w:rPr>
        <w:t>10年</w:t>
      </w:r>
    </w:p>
    <w:p w14:paraId="0B7A637E">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ascii="宋体" w:hAnsi="宋体" w:eastAsia="宋体"/>
          <w:color w:val="auto"/>
        </w:rPr>
      </w:pPr>
    </w:p>
    <w:p w14:paraId="224E1E31">
      <w:pPr>
        <w:keepNext w:val="0"/>
        <w:keepLines w:val="0"/>
        <w:pageBreakBefore w:val="0"/>
        <w:widowControl/>
        <w:kinsoku/>
        <w:wordWrap/>
        <w:overflowPunct/>
        <w:topLinePunct w:val="0"/>
        <w:autoSpaceDE/>
        <w:autoSpaceDN/>
        <w:bidi w:val="0"/>
        <w:spacing w:line="460" w:lineRule="exact"/>
        <w:jc w:val="left"/>
        <w:rPr>
          <w:rFonts w:ascii="宋体" w:hAnsi="宋体" w:eastAsia="宋体" w:cs="宋体"/>
          <w:b/>
          <w:bCs/>
          <w:color w:val="auto"/>
          <w:kern w:val="0"/>
          <w:sz w:val="21"/>
          <w:szCs w:val="21"/>
        </w:rPr>
      </w:pPr>
    </w:p>
    <w:p w14:paraId="6A6378CD">
      <w:pPr>
        <w:keepNext w:val="0"/>
        <w:keepLines w:val="0"/>
        <w:pageBreakBefore w:val="0"/>
        <w:widowControl/>
        <w:kinsoku/>
        <w:wordWrap/>
        <w:overflowPunct/>
        <w:topLinePunct w:val="0"/>
        <w:autoSpaceDE/>
        <w:autoSpaceDN/>
        <w:bidi w:val="0"/>
        <w:spacing w:line="460" w:lineRule="exact"/>
        <w:jc w:val="left"/>
        <w:rPr>
          <w:rFonts w:hint="eastAsia" w:ascii="宋体" w:hAnsi="宋体" w:eastAsia="宋体" w:cs="宋体"/>
          <w:b/>
          <w:bCs/>
          <w:color w:val="auto"/>
          <w:kern w:val="0"/>
          <w:sz w:val="21"/>
          <w:szCs w:val="21"/>
          <w:lang w:eastAsia="zh-CN"/>
        </w:rPr>
      </w:pPr>
      <w:r>
        <w:rPr>
          <w:rFonts w:ascii="宋体" w:hAnsi="宋体" w:eastAsia="宋体" w:cs="宋体"/>
          <w:b/>
          <w:bCs/>
          <w:color w:val="auto"/>
          <w:kern w:val="0"/>
          <w:sz w:val="21"/>
          <w:szCs w:val="21"/>
        </w:rPr>
        <w:t>备注</w:t>
      </w:r>
      <w:r>
        <w:rPr>
          <w:rFonts w:hint="eastAsia" w:ascii="宋体" w:hAnsi="宋体" w:eastAsia="宋体" w:cs="宋体"/>
          <w:b/>
          <w:bCs/>
          <w:color w:val="auto"/>
          <w:kern w:val="0"/>
          <w:sz w:val="21"/>
          <w:szCs w:val="21"/>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7FC8DC26">
      <w:pPr>
        <w:pStyle w:val="6"/>
        <w:widowControl/>
        <w:spacing w:line="360" w:lineRule="auto"/>
        <w:jc w:val="both"/>
        <w:rPr>
          <w:rStyle w:val="4"/>
          <w:rFonts w:hint="eastAsia" w:ascii="黑体" w:hAnsi="黑体" w:eastAsia="黑体" w:cs="黑体"/>
          <w:b/>
          <w:bCs/>
          <w:color w:val="auto"/>
          <w:spacing w:val="30"/>
          <w:kern w:val="0"/>
          <w:sz w:val="21"/>
          <w:szCs w:val="21"/>
          <w:lang w:val="en-US" w:eastAsia="zh-CN" w:bidi="ar-SA"/>
        </w:rPr>
      </w:pPr>
    </w:p>
    <w:p w14:paraId="2ECE29D3">
      <w:pPr>
        <w:pStyle w:val="6"/>
        <w:widowControl/>
        <w:jc w:val="both"/>
        <w:rPr>
          <w:rStyle w:val="4"/>
          <w:rFonts w:hint="eastAsia" w:ascii="黑体" w:hAnsi="黑体" w:eastAsia="黑体" w:cs="黑体"/>
          <w:b/>
          <w:bCs/>
          <w:color w:val="auto"/>
          <w:spacing w:val="30"/>
          <w:kern w:val="0"/>
          <w:sz w:val="28"/>
          <w:szCs w:val="28"/>
          <w:lang w:val="en-US" w:eastAsia="zh-CN" w:bidi="ar-SA"/>
        </w:rPr>
      </w:pPr>
    </w:p>
    <w:p w14:paraId="753ECA54">
      <w:pPr>
        <w:rPr>
          <w:rFonts w:hint="eastAsia" w:ascii="宋体" w:hAnsi="宋体" w:eastAsia="宋体" w:cs="宋体"/>
          <w:b/>
          <w:bCs/>
          <w:color w:val="auto"/>
          <w:kern w:val="0"/>
          <w:sz w:val="30"/>
          <w:szCs w:val="30"/>
          <w:lang w:val="en-US" w:eastAsia="zh-CN" w:bidi="ar-SA"/>
        </w:rPr>
      </w:pPr>
      <w:r>
        <w:rPr>
          <w:rFonts w:hint="eastAsia" w:ascii="宋体" w:hAnsi="宋体" w:eastAsia="宋体" w:cs="宋体"/>
          <w:b/>
          <w:bCs/>
          <w:color w:val="auto"/>
          <w:kern w:val="0"/>
          <w:sz w:val="30"/>
          <w:szCs w:val="30"/>
          <w:lang w:val="en-US" w:eastAsia="zh-CN" w:bidi="ar-SA"/>
        </w:rPr>
        <w:br w:type="page"/>
      </w:r>
    </w:p>
    <w:p w14:paraId="194D6EA8">
      <w:pPr>
        <w:widowControl w:val="0"/>
        <w:tabs>
          <w:tab w:val="left" w:pos="1342"/>
        </w:tabs>
        <w:spacing w:before="67" w:line="288" w:lineRule="auto"/>
        <w:ind w:left="241" w:firstLine="0" w:firstLineChars="0"/>
        <w:jc w:val="center"/>
        <w:textAlignment w:val="baseline"/>
        <w:outlineLvl w:val="1"/>
        <w:rPr>
          <w:rFonts w:hint="eastAsia" w:ascii="宋体" w:hAnsi="宋体" w:eastAsia="宋体" w:cs="宋体"/>
          <w:b/>
          <w:bCs/>
          <w:color w:val="auto"/>
          <w:kern w:val="0"/>
          <w:sz w:val="30"/>
          <w:szCs w:val="30"/>
          <w:lang w:val="en-US" w:eastAsia="zh-CN" w:bidi="ar-SA"/>
        </w:rPr>
      </w:pPr>
      <w:r>
        <w:rPr>
          <w:rFonts w:hint="eastAsia" w:ascii="宋体" w:hAnsi="宋体" w:eastAsia="宋体" w:cs="宋体"/>
          <w:b/>
          <w:bCs/>
          <w:color w:val="auto"/>
          <w:kern w:val="0"/>
          <w:sz w:val="30"/>
          <w:szCs w:val="30"/>
          <w:lang w:val="en-US" w:eastAsia="zh-CN" w:bidi="ar-SA"/>
        </w:rPr>
        <w:t>第三节 商务参数要求</w:t>
      </w:r>
    </w:p>
    <w:p w14:paraId="6659554B">
      <w:pPr>
        <w:keepNext w:val="0"/>
        <w:keepLines w:val="0"/>
        <w:pageBreakBefore w:val="0"/>
        <w:numPr>
          <w:ilvl w:val="0"/>
          <w:numId w:val="0"/>
        </w:numPr>
        <w:kinsoku/>
        <w:wordWrap/>
        <w:overflowPunct/>
        <w:topLinePunct w:val="0"/>
        <w:autoSpaceDE/>
        <w:autoSpaceDN/>
        <w:bidi w:val="0"/>
        <w:adjustRightInd w:val="0"/>
        <w:snapToGrid w:val="0"/>
        <w:spacing w:before="156" w:beforeLines="50" w:line="460" w:lineRule="exact"/>
        <w:ind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一</w:t>
      </w:r>
      <w:r>
        <w:rPr>
          <w:rFonts w:hint="eastAsia" w:ascii="宋体" w:hAnsi="宋体" w:eastAsia="宋体" w:cs="宋体"/>
          <w:b/>
          <w:color w:val="auto"/>
          <w:sz w:val="21"/>
          <w:szCs w:val="21"/>
        </w:rPr>
        <w:t>、验收标准和方法</w:t>
      </w:r>
    </w:p>
    <w:p w14:paraId="1EEFB1F9">
      <w:pPr>
        <w:keepNext w:val="0"/>
        <w:keepLines w:val="0"/>
        <w:pageBreakBefore w:val="0"/>
        <w:numPr>
          <w:ilvl w:val="0"/>
          <w:numId w:val="10"/>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项目验收国家有强制性规定的，按国家规定执行，验收报告做为申请付款的凭证之一。</w:t>
      </w:r>
    </w:p>
    <w:p w14:paraId="29DF570C">
      <w:pPr>
        <w:keepNext w:val="0"/>
        <w:keepLines w:val="0"/>
        <w:pageBreakBefore w:val="0"/>
        <w:numPr>
          <w:ilvl w:val="0"/>
          <w:numId w:val="10"/>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项目验收不合格，由中标供应商</w:t>
      </w:r>
      <w:r>
        <w:rPr>
          <w:rFonts w:hint="eastAsia" w:ascii="宋体" w:hAnsi="宋体" w:eastAsia="宋体" w:cs="宋体"/>
          <w:bCs/>
          <w:color w:val="auto"/>
          <w:sz w:val="21"/>
          <w:szCs w:val="21"/>
          <w:lang w:val="en-US" w:eastAsia="zh-CN"/>
        </w:rPr>
        <w:t>更换合格产品</w:t>
      </w:r>
      <w:r>
        <w:rPr>
          <w:rFonts w:hint="eastAsia" w:ascii="宋体" w:hAnsi="宋体" w:eastAsia="宋体" w:cs="宋体"/>
          <w:bCs/>
          <w:color w:val="auto"/>
          <w:sz w:val="21"/>
          <w:szCs w:val="21"/>
        </w:rPr>
        <w:t>，再行验收以及给采购人造成的损失等费用由中标供应商承担。连续两次项目验收不合格的，采购人可终止合同，另行按规定选择其他供应商采购，由此带来的一切损失由成交人承担。</w:t>
      </w:r>
    </w:p>
    <w:p w14:paraId="4DFF673F">
      <w:pPr>
        <w:keepNext w:val="0"/>
        <w:keepLines w:val="0"/>
        <w:pageBreakBefore w:val="0"/>
        <w:numPr>
          <w:ilvl w:val="0"/>
          <w:numId w:val="10"/>
        </w:numPr>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rPr>
        <w:t>采购人与中标供应商双方签署采购货物验收单</w:t>
      </w:r>
      <w:r>
        <w:rPr>
          <w:rFonts w:hint="eastAsia" w:ascii="宋体" w:hAnsi="宋体" w:eastAsia="宋体" w:cs="宋体"/>
          <w:bCs/>
          <w:color w:val="auto"/>
          <w:sz w:val="21"/>
          <w:szCs w:val="21"/>
          <w:highlight w:val="none"/>
          <w:lang w:val="en-US" w:eastAsia="zh-CN"/>
        </w:rPr>
        <w:t>并装机完成后运行十五个工作日才开始验收</w:t>
      </w:r>
      <w:r>
        <w:rPr>
          <w:rFonts w:hint="eastAsia" w:ascii="宋体" w:hAnsi="宋体" w:eastAsia="宋体" w:cs="宋体"/>
          <w:bCs/>
          <w:color w:val="auto"/>
          <w:sz w:val="21"/>
          <w:szCs w:val="21"/>
          <w:highlight w:val="none"/>
        </w:rPr>
        <w:t>，验收合格</w:t>
      </w:r>
      <w:r>
        <w:rPr>
          <w:rFonts w:hint="eastAsia" w:ascii="宋体" w:hAnsi="宋体" w:eastAsia="宋体" w:cs="宋体"/>
          <w:bCs/>
          <w:color w:val="auto"/>
          <w:sz w:val="21"/>
          <w:szCs w:val="21"/>
          <w:highlight w:val="none"/>
          <w:lang w:val="en-US" w:eastAsia="zh-CN"/>
        </w:rPr>
        <w:t>后</w:t>
      </w:r>
      <w:r>
        <w:rPr>
          <w:rFonts w:hint="eastAsia" w:ascii="宋体" w:hAnsi="宋体" w:eastAsia="宋体" w:cs="宋体"/>
          <w:bCs/>
          <w:color w:val="auto"/>
          <w:sz w:val="21"/>
          <w:szCs w:val="21"/>
          <w:highlight w:val="none"/>
        </w:rPr>
        <w:t>开始计算质量保证期。</w:t>
      </w:r>
    </w:p>
    <w:p w14:paraId="0943F35F">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、售后服务</w:t>
      </w:r>
    </w:p>
    <w:p w14:paraId="745A1314">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技术支持：</w:t>
      </w:r>
      <w:r>
        <w:rPr>
          <w:rFonts w:hint="eastAsia" w:ascii="宋体" w:hAnsi="宋体" w:eastAsia="宋体" w:cs="宋体"/>
          <w:iCs/>
          <w:color w:val="auto"/>
          <w:kern w:val="0"/>
          <w:sz w:val="21"/>
          <w:szCs w:val="21"/>
          <w:highlight w:val="none"/>
          <w:lang w:val="en-US" w:eastAsia="zh-CN"/>
        </w:rPr>
        <w:t>提供7*24小时电话、E-mail技术支持</w:t>
      </w:r>
      <w:r>
        <w:rPr>
          <w:rFonts w:hint="eastAsia" w:ascii="宋体" w:hAnsi="宋体" w:eastAsia="宋体" w:cs="宋体"/>
          <w:bCs/>
          <w:color w:val="auto"/>
          <w:sz w:val="21"/>
          <w:szCs w:val="21"/>
          <w:highlight w:val="none"/>
        </w:rPr>
        <w:t>。</w:t>
      </w:r>
    </w:p>
    <w:p w14:paraId="02A2252B">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故障响应：</w:t>
      </w:r>
      <w:r>
        <w:rPr>
          <w:rFonts w:hint="eastAsia" w:ascii="宋体" w:hAnsi="宋体" w:eastAsia="宋体" w:cs="宋体"/>
          <w:iCs/>
          <w:color w:val="auto"/>
          <w:kern w:val="0"/>
          <w:sz w:val="21"/>
          <w:szCs w:val="21"/>
          <w:highlight w:val="none"/>
          <w:lang w:val="en-US" w:eastAsia="zh-CN"/>
        </w:rPr>
        <w:t>一般性故障需在2小时内解决，重大故障需在12小时内解决，特别重大故障需在24小时内解决</w:t>
      </w:r>
      <w:r>
        <w:rPr>
          <w:rFonts w:hint="eastAsia" w:ascii="宋体" w:hAnsi="宋体" w:eastAsia="宋体" w:cs="宋体"/>
          <w:bCs/>
          <w:color w:val="auto"/>
          <w:sz w:val="21"/>
          <w:szCs w:val="21"/>
          <w:highlight w:val="none"/>
        </w:rPr>
        <w:t>。</w:t>
      </w:r>
    </w:p>
    <w:p w14:paraId="67027A95">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iCs/>
          <w:color w:val="auto"/>
          <w:kern w:val="0"/>
          <w:sz w:val="21"/>
          <w:szCs w:val="21"/>
          <w:highlight w:val="none"/>
          <w:lang w:val="en-US" w:eastAsia="zh-CN"/>
        </w:rPr>
        <w:t>质保期内，中标人对产品质量实行三包，负责维修或更换（含在投标总价中，采购人不再另行支付费用、人为因素或不可抗力造成事故除外）</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质保期满后，采购人有权选择自行维修保养或委托中标人继续维修保养，不管采取何种形式，</w:t>
      </w:r>
      <w:r>
        <w:rPr>
          <w:rFonts w:hint="eastAsia" w:ascii="宋体" w:hAnsi="宋体" w:eastAsia="宋体" w:cs="宋体"/>
          <w:b/>
          <w:bCs/>
          <w:color w:val="auto"/>
          <w:sz w:val="21"/>
          <w:szCs w:val="21"/>
          <w:highlight w:val="none"/>
          <w:lang w:val="en-US" w:eastAsia="zh-CN"/>
        </w:rPr>
        <w:t>中标人必须保证能及时、优惠地为采购人提供所需的零配件，并在售后服务方案中进行承诺</w:t>
      </w:r>
      <w:r>
        <w:rPr>
          <w:rFonts w:hint="eastAsia" w:ascii="宋体" w:hAnsi="宋体" w:eastAsia="宋体" w:cs="宋体"/>
          <w:color w:val="auto"/>
          <w:sz w:val="21"/>
          <w:szCs w:val="21"/>
          <w:highlight w:val="none"/>
        </w:rPr>
        <w:t>。</w:t>
      </w:r>
    </w:p>
    <w:p w14:paraId="483B3D6D">
      <w:pPr>
        <w:keepNext w:val="0"/>
        <w:keepLines w:val="0"/>
        <w:pageBreakBefore w:val="0"/>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4、备品备件：投标人应在投标文件中提供按出厂标准供应的备品备件清单（包括易损件）。</w:t>
      </w:r>
    </w:p>
    <w:p w14:paraId="00D929B0">
      <w:pPr>
        <w:keepNext w:val="0"/>
        <w:keepLines w:val="0"/>
        <w:pageBreakBefore w:val="0"/>
        <w:kinsoku/>
        <w:wordWrap/>
        <w:overflowPunct/>
        <w:topLinePunct w:val="0"/>
        <w:autoSpaceDE/>
        <w:autoSpaceDN/>
        <w:bidi w:val="0"/>
        <w:adjustRightInd w:val="0"/>
        <w:snapToGrid w:val="0"/>
        <w:spacing w:before="156" w:beforeLines="50"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5、特殊工具：投标人应向采购人提供安装、维修所需的特殊专用工具及清单，其费用应包括在投标价格内。</w:t>
      </w:r>
    </w:p>
    <w:p w14:paraId="419AECF1">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6、提供详细配置清单、易耗品清单及单价，提供所投产品厂方技术参数、图片。</w:t>
      </w:r>
    </w:p>
    <w:p w14:paraId="63D65218">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备件，资料及技术服务</w:t>
      </w:r>
    </w:p>
    <w:p w14:paraId="33CDAE5F">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7.1</w:t>
      </w:r>
      <w:r>
        <w:rPr>
          <w:rFonts w:hint="eastAsia" w:asciiTheme="minorEastAsia" w:hAnsiTheme="minorEastAsia" w:eastAsiaTheme="minorEastAsia" w:cstheme="minorEastAsia"/>
          <w:color w:val="auto"/>
          <w:sz w:val="21"/>
          <w:szCs w:val="21"/>
        </w:rPr>
        <w:t>为保证设备正常运行，卖方应在中国境内方便的地点设置备件库，存入所有必须的备件</w:t>
      </w:r>
    </w:p>
    <w:p w14:paraId="0EB610BF">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7.2</w:t>
      </w:r>
      <w:r>
        <w:rPr>
          <w:rFonts w:hint="eastAsia" w:asciiTheme="minorEastAsia" w:hAnsiTheme="minorEastAsia" w:eastAsiaTheme="minorEastAsia" w:cstheme="minorEastAsia"/>
          <w:color w:val="auto"/>
          <w:sz w:val="21"/>
          <w:szCs w:val="21"/>
        </w:rPr>
        <w:t>卖方须向买方提供操作手册一套。</w:t>
      </w:r>
    </w:p>
    <w:p w14:paraId="3CFFEA4E">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7.3</w:t>
      </w:r>
      <w:r>
        <w:rPr>
          <w:rFonts w:hint="eastAsia" w:asciiTheme="minorEastAsia" w:hAnsiTheme="minorEastAsia" w:eastAsiaTheme="minorEastAsia" w:cstheme="minorEastAsia"/>
          <w:color w:val="auto"/>
          <w:sz w:val="21"/>
          <w:szCs w:val="21"/>
        </w:rPr>
        <w:t>卖方须向买方提供设备的运行、安装、使用环境要求</w:t>
      </w:r>
    </w:p>
    <w:p w14:paraId="0C1B1816">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7.4</w:t>
      </w:r>
      <w:r>
        <w:rPr>
          <w:rFonts w:hint="eastAsia" w:asciiTheme="minorEastAsia" w:hAnsiTheme="minorEastAsia" w:eastAsiaTheme="minorEastAsia" w:cstheme="minorEastAsia"/>
          <w:color w:val="auto"/>
          <w:sz w:val="21"/>
          <w:szCs w:val="21"/>
        </w:rPr>
        <w:t>在货物到达使用单位后，卖方应在7天内派工程技术人员到达现场，在买方技术人员在场的情况下开箱清点货物，组织安装调试，并承担因此发生的一切费用。</w:t>
      </w:r>
    </w:p>
    <w:p w14:paraId="246A9059">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7.5</w:t>
      </w:r>
      <w:r>
        <w:rPr>
          <w:rFonts w:hint="eastAsia" w:asciiTheme="minorEastAsia" w:hAnsiTheme="minorEastAsia" w:eastAsiaTheme="minorEastAsia" w:cstheme="minorEastAsia"/>
          <w:color w:val="auto"/>
          <w:sz w:val="21"/>
          <w:szCs w:val="21"/>
        </w:rPr>
        <w:t>设备安装后，医院按国家标准及厂方标准进行质量验收。</w:t>
      </w:r>
    </w:p>
    <w:p w14:paraId="60B47927">
      <w:pPr>
        <w:pStyle w:val="5"/>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7.6</w:t>
      </w:r>
      <w:r>
        <w:rPr>
          <w:rFonts w:hint="eastAsia" w:asciiTheme="minorEastAsia" w:hAnsiTheme="minorEastAsia" w:eastAsiaTheme="minorEastAsia" w:cstheme="minorEastAsia"/>
          <w:color w:val="auto"/>
          <w:sz w:val="21"/>
          <w:szCs w:val="21"/>
        </w:rPr>
        <w:t>在中国境内有相应的零配件保税库和维修机构。</w:t>
      </w:r>
    </w:p>
    <w:p w14:paraId="31D67429">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firstLine="420" w:firstLineChars="200"/>
        <w:contextualSpacing/>
        <w:textAlignment w:val="auto"/>
        <w:rPr>
          <w:rFonts w:hint="eastAsia" w:asciiTheme="minorEastAsia" w:hAnsiTheme="minorEastAsia" w:eastAsiaTheme="minorEastAsia" w:cstheme="minorEastAsia"/>
          <w:color w:val="auto"/>
          <w:kern w:val="2"/>
          <w:sz w:val="21"/>
          <w:szCs w:val="21"/>
          <w:lang w:val="en-US" w:eastAsia="zh-CN" w:bidi="ar-SA"/>
          <w14:ligatures w14:val="standardContextual"/>
        </w:rPr>
      </w:pP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技术培训</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要求网络培训：具有专用的网址或公众号，在线提供高级临床应用直播及产品操作指导。</w:t>
      </w:r>
    </w:p>
    <w:p w14:paraId="46F0B10D">
      <w:pPr>
        <w:keepNext w:val="0"/>
        <w:keepLines w:val="0"/>
        <w:pageBreakBefore w:val="0"/>
        <w:widowControl w:val="0"/>
        <w:kinsoku/>
        <w:wordWrap/>
        <w:overflowPunct/>
        <w:topLinePunct w:val="0"/>
        <w:autoSpaceDE/>
        <w:autoSpaceDN/>
        <w:bidi w:val="0"/>
        <w:adjustRightInd w:val="0"/>
        <w:snapToGrid w:val="0"/>
        <w:spacing w:before="156" w:beforeLines="50" w:line="460" w:lineRule="exact"/>
        <w:ind w:left="0" w:leftChars="0" w:firstLine="420" w:firstLineChars="200"/>
        <w:jc w:val="both"/>
        <w:textAlignment w:val="auto"/>
        <w:rPr>
          <w:rFonts w:hint="eastAsia" w:ascii="宋体" w:hAnsi="宋体" w:eastAsia="宋体" w:cs="宋体"/>
          <w:bCs/>
          <w:color w:val="auto"/>
          <w:kern w:val="2"/>
          <w:sz w:val="21"/>
          <w:szCs w:val="21"/>
          <w:highlight w:val="none"/>
          <w:lang w:val="en-US" w:eastAsia="zh-CN" w:bidi="ar-SA"/>
        </w:rPr>
      </w:pPr>
    </w:p>
    <w:p w14:paraId="7F2C5574">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w:t>
      </w:r>
      <w:r>
        <w:rPr>
          <w:rFonts w:hint="eastAsia" w:ascii="宋体" w:hAnsi="宋体" w:eastAsia="宋体" w:cs="宋体"/>
          <w:b/>
          <w:bCs/>
          <w:iCs/>
          <w:color w:val="auto"/>
          <w:kern w:val="0"/>
          <w:sz w:val="21"/>
          <w:szCs w:val="21"/>
          <w:highlight w:val="none"/>
        </w:rPr>
        <w:t>质量保证和质保期（技术参数有规定的以参数内容为准）</w:t>
      </w:r>
    </w:p>
    <w:p w14:paraId="3702196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1、中标人提供的产品应是原装正品，符合国家质量检测标准，具有出厂合格证</w:t>
      </w:r>
      <w:r>
        <w:rPr>
          <w:rFonts w:hint="eastAsia" w:ascii="宋体" w:hAnsi="宋体" w:eastAsia="宋体" w:cs="宋体"/>
          <w:bCs/>
          <w:color w:val="auto"/>
          <w:sz w:val="21"/>
          <w:szCs w:val="21"/>
          <w:highlight w:val="none"/>
        </w:rPr>
        <w:t>或国家鉴定合格证；</w:t>
      </w:r>
    </w:p>
    <w:p w14:paraId="6E1E6503">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中标供应商所提供的设备及相关配套设备装置在送达采购人之时</w:t>
      </w:r>
      <w:r>
        <w:rPr>
          <w:rFonts w:hint="eastAsia" w:ascii="宋体" w:hAnsi="宋体" w:eastAsia="宋体" w:cs="宋体"/>
          <w:bCs/>
          <w:color w:val="auto"/>
          <w:sz w:val="21"/>
          <w:szCs w:val="21"/>
          <w:highlight w:val="none"/>
          <w:lang w:val="en-US" w:eastAsia="zh-CN"/>
        </w:rPr>
        <w:t>其</w:t>
      </w:r>
      <w:r>
        <w:rPr>
          <w:rFonts w:hint="eastAsia" w:ascii="宋体" w:hAnsi="宋体" w:eastAsia="宋体" w:cs="宋体"/>
          <w:bCs/>
          <w:color w:val="auto"/>
          <w:sz w:val="21"/>
          <w:szCs w:val="21"/>
          <w:highlight w:val="none"/>
          <w:lang w:eastAsia="zh-CN"/>
        </w:rPr>
        <w:t>国产产品生产日期不得超过</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个月，否则采购人有权要求中标供应商换货，若中标供应商不能提供国产产品生产日期在</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个月内的设备，采购人有权取消其中标资格。</w:t>
      </w:r>
    </w:p>
    <w:p w14:paraId="0A31CA3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bCs/>
          <w:color w:val="auto"/>
          <w:sz w:val="21"/>
          <w:szCs w:val="21"/>
          <w:highlight w:val="none"/>
          <w:lang w:val="en-US" w:eastAsia="zh-CN"/>
        </w:rPr>
        <w:t>3、需制造商提供原厂售后维保及技术支持的授权书（授权书格式自拟）。</w:t>
      </w:r>
    </w:p>
    <w:p w14:paraId="012EF160">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、整机质保期</w:t>
      </w:r>
      <w:r>
        <w:rPr>
          <w:rFonts w:hint="eastAsia" w:ascii="宋体" w:hAnsi="宋体" w:eastAsia="宋体" w:cs="宋体"/>
          <w:bCs/>
          <w:color w:val="auto"/>
          <w:sz w:val="21"/>
          <w:szCs w:val="21"/>
          <w:highlight w:val="none"/>
          <w:lang w:val="en-US" w:eastAsia="zh-CN"/>
        </w:rPr>
        <w:t>为</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生产厂家或中标人质保期优于招标文件规定的，按生产厂家或中标人的质保承诺提供质保服务</w:t>
      </w:r>
      <w:r>
        <w:rPr>
          <w:rFonts w:hint="eastAsia" w:ascii="宋体" w:hAnsi="宋体" w:eastAsia="宋体" w:cs="宋体"/>
          <w:bCs/>
          <w:color w:val="auto"/>
          <w:sz w:val="21"/>
          <w:szCs w:val="21"/>
          <w:highlight w:val="none"/>
        </w:rPr>
        <w:t>质保期内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质保期内，如货物故障导致停机时间连续超过三个工作日，则</w:t>
      </w:r>
      <w:r>
        <w:rPr>
          <w:rFonts w:hint="eastAsia" w:ascii="宋体" w:hAnsi="宋体" w:eastAsia="宋体" w:cs="宋体"/>
          <w:bCs/>
          <w:color w:val="auto"/>
          <w:sz w:val="21"/>
          <w:szCs w:val="21"/>
          <w:highlight w:val="none"/>
          <w:lang w:val="en-US" w:eastAsia="zh-CN"/>
        </w:rPr>
        <w:t>每超出一个停机工作日补偿采购保修期四日</w:t>
      </w:r>
      <w:r>
        <w:rPr>
          <w:rFonts w:hint="eastAsia" w:ascii="宋体" w:hAnsi="宋体" w:eastAsia="宋体" w:cs="宋体"/>
          <w:bCs/>
          <w:color w:val="auto"/>
          <w:sz w:val="21"/>
          <w:szCs w:val="21"/>
          <w:highlight w:val="none"/>
        </w:rPr>
        <w:t>。质保期内免费维修与更换有缺陷的货物或部件，质保期满后只收取投标时承诺的备品备件成本费用。每次维护维修后，应及时向采购人提供相关记录。</w:t>
      </w:r>
    </w:p>
    <w:p w14:paraId="34828CE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、质保期从最终验收合格之日起计算。质保期内所有设备维护等要求免费上门服务。</w:t>
      </w:r>
    </w:p>
    <w:p w14:paraId="0C89EB03">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、投标人提供的质保和售后要求超出厂家正常质保期限和要求的，中标人收到中标通知书后10天内提交有效证明确保能履行承诺。否则，投标无效，取消中标资格。</w:t>
      </w:r>
    </w:p>
    <w:p w14:paraId="548FEAD6">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四、人员培训</w:t>
      </w:r>
    </w:p>
    <w:p w14:paraId="7D66C0B8">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lang w:val="en-US" w:eastAsia="zh-CN" w:bidi="ar-SA"/>
        </w:rPr>
        <w:t>1</w:t>
      </w:r>
      <w:r>
        <w:rPr>
          <w:rFonts w:hint="eastAsia" w:ascii="宋体" w:hAnsi="宋体" w:eastAsia="宋体" w:cs="宋体"/>
          <w:iCs/>
          <w:color w:val="auto"/>
          <w:kern w:val="0"/>
          <w:sz w:val="21"/>
          <w:szCs w:val="21"/>
          <w:highlight w:val="none"/>
          <w:lang w:val="en-US" w:eastAsia="zh-CN" w:bidi="ar-SA"/>
        </w:rPr>
        <w:t>、</w:t>
      </w:r>
      <w:r>
        <w:rPr>
          <w:rFonts w:hint="eastAsia" w:ascii="宋体" w:hAnsi="宋体" w:eastAsia="宋体" w:cs="宋体"/>
          <w:iCs/>
          <w:color w:val="auto"/>
          <w:kern w:val="0"/>
          <w:sz w:val="21"/>
          <w:szCs w:val="21"/>
          <w:highlight w:val="none"/>
        </w:rPr>
        <w:t>卖方负责在现场向买方技术人员（包括医师、技师以及维修工程师）直接提供保修、维修、使用培训服务。设备人员专项进修的具体培训时间、地点另行协商，至买方技术人员能正常操作设备的各种功能、简单的故障排除为止，所需费用由卖方负责。</w:t>
      </w:r>
    </w:p>
    <w:p w14:paraId="630DB202">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iCs/>
          <w:color w:val="auto"/>
          <w:kern w:val="0"/>
          <w:sz w:val="21"/>
          <w:szCs w:val="21"/>
        </w:rPr>
      </w:pPr>
      <w:r>
        <w:rPr>
          <w:rFonts w:hint="eastAsia" w:ascii="宋体" w:hAnsi="宋体" w:eastAsia="宋体" w:cs="宋体"/>
          <w:iCs/>
          <w:color w:val="auto"/>
          <w:kern w:val="0"/>
          <w:sz w:val="21"/>
          <w:szCs w:val="21"/>
          <w:highlight w:val="none"/>
          <w:lang w:val="en-US" w:eastAsia="zh-CN"/>
        </w:rPr>
        <w:t>2、</w:t>
      </w:r>
      <w:r>
        <w:rPr>
          <w:rFonts w:hint="eastAsia" w:ascii="宋体" w:hAnsi="宋体" w:eastAsia="宋体" w:cs="宋体"/>
          <w:iCs/>
          <w:color w:val="auto"/>
          <w:kern w:val="0"/>
          <w:sz w:val="21"/>
          <w:szCs w:val="21"/>
          <w:highlight w:val="none"/>
        </w:rPr>
        <w:t>卖方在投标文</w:t>
      </w:r>
      <w:r>
        <w:rPr>
          <w:rFonts w:hint="eastAsia" w:ascii="宋体" w:hAnsi="宋体" w:eastAsia="宋体" w:cs="宋体"/>
          <w:iCs/>
          <w:color w:val="auto"/>
          <w:kern w:val="0"/>
          <w:sz w:val="21"/>
          <w:szCs w:val="21"/>
        </w:rPr>
        <w:t>件中提供详细的培训计划。</w:t>
      </w:r>
    </w:p>
    <w:p w14:paraId="7FC2F561">
      <w:pPr>
        <w:keepNext w:val="0"/>
        <w:keepLines w:val="0"/>
        <w:pageBreakBefore w:val="0"/>
        <w:widowControl/>
        <w:numPr>
          <w:ilvl w:val="1"/>
          <w:numId w:val="0"/>
        </w:numPr>
        <w:kinsoku/>
        <w:wordWrap/>
        <w:overflowPunct/>
        <w:topLinePunct w:val="0"/>
        <w:autoSpaceDE/>
        <w:autoSpaceDN/>
        <w:bidi w:val="0"/>
        <w:spacing w:line="460" w:lineRule="exact"/>
        <w:ind w:left="0" w:leftChars="0" w:firstLine="420" w:firstLineChars="200"/>
        <w:textAlignment w:val="auto"/>
        <w:rPr>
          <w:rFonts w:hint="eastAsia" w:ascii="宋体" w:hAnsi="宋体" w:eastAsia="宋体" w:cs="宋体"/>
          <w:bCs/>
          <w:color w:val="auto"/>
          <w:sz w:val="21"/>
          <w:szCs w:val="21"/>
          <w:lang w:val="en-US" w:eastAsia="zh-CN"/>
        </w:rPr>
      </w:pPr>
      <w:r>
        <w:rPr>
          <w:rFonts w:hint="eastAsia" w:ascii="宋体" w:hAnsi="宋体" w:eastAsia="宋体" w:cs="宋体"/>
          <w:iCs/>
          <w:color w:val="auto"/>
          <w:kern w:val="0"/>
          <w:sz w:val="21"/>
          <w:szCs w:val="21"/>
          <w:lang w:val="en-US" w:eastAsia="zh-CN" w:bidi="ar-SA"/>
        </w:rPr>
        <w:t>3、</w:t>
      </w:r>
      <w:r>
        <w:rPr>
          <w:rFonts w:hint="eastAsia" w:ascii="宋体" w:hAnsi="宋体" w:eastAsia="宋体" w:cs="宋体"/>
          <w:iCs/>
          <w:color w:val="auto"/>
          <w:kern w:val="0"/>
          <w:sz w:val="21"/>
          <w:szCs w:val="21"/>
        </w:rPr>
        <w:t>中标投标人应配置专业技术人员提供现场技术培训，保证使用人员能正常操作设备的各种功能；除现场培训外,在保修期内，厂方每年安排集中培训一次（含在投标总价中，采购人不再另行支付费用）。</w:t>
      </w:r>
    </w:p>
    <w:p w14:paraId="605334CA">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五、违约责任</w:t>
      </w:r>
    </w:p>
    <w:p w14:paraId="480D459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1、验收前如设备出现重大故障，导致更换整机，影响采购人项目开展或临床使用，由此引发的责任由中标人承担，采购人保留对中标人追究损失赔偿责任的权力。</w:t>
      </w:r>
    </w:p>
    <w:p w14:paraId="0000D461">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方退还采购人已经支付的一切费用，并应按上述规定向采购人支付违约金（按合同总额的30%计算）。</w:t>
      </w:r>
    </w:p>
    <w:p w14:paraId="1F21528C">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六</w:t>
      </w:r>
      <w:r>
        <w:rPr>
          <w:rFonts w:hint="eastAsia" w:ascii="宋体" w:hAnsi="宋体" w:eastAsia="宋体" w:cs="宋体"/>
          <w:b/>
          <w:color w:val="auto"/>
          <w:sz w:val="21"/>
          <w:szCs w:val="21"/>
        </w:rPr>
        <w:t>、</w:t>
      </w:r>
      <w:r>
        <w:rPr>
          <w:rFonts w:hint="eastAsia" w:ascii="宋体" w:hAnsi="宋体" w:eastAsia="宋体" w:cs="宋体"/>
          <w:b/>
          <w:bCs/>
          <w:iCs/>
          <w:color w:val="auto"/>
          <w:kern w:val="0"/>
          <w:sz w:val="21"/>
          <w:szCs w:val="21"/>
        </w:rPr>
        <w:t>交付时间、地点及</w:t>
      </w:r>
      <w:r>
        <w:rPr>
          <w:rFonts w:hint="eastAsia" w:ascii="宋体" w:hAnsi="宋体" w:eastAsia="宋体" w:cs="宋体"/>
          <w:b/>
          <w:bCs/>
          <w:iCs/>
          <w:color w:val="auto"/>
          <w:kern w:val="0"/>
          <w:sz w:val="21"/>
          <w:szCs w:val="21"/>
          <w:lang w:val="en-US" w:eastAsia="zh-CN"/>
        </w:rPr>
        <w:t>结算和付款</w:t>
      </w:r>
      <w:r>
        <w:rPr>
          <w:rFonts w:hint="eastAsia" w:ascii="宋体" w:hAnsi="宋体" w:eastAsia="宋体" w:cs="宋体"/>
          <w:b/>
          <w:bCs/>
          <w:iCs/>
          <w:color w:val="auto"/>
          <w:kern w:val="0"/>
          <w:sz w:val="21"/>
          <w:szCs w:val="21"/>
        </w:rPr>
        <w:t>方式</w:t>
      </w:r>
    </w:p>
    <w:p w14:paraId="6A28CE1C">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1、交货时间与地点</w:t>
      </w:r>
    </w:p>
    <w:p w14:paraId="53F7977D">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auto"/>
          <w:sz w:val="21"/>
          <w:szCs w:val="21"/>
        </w:rPr>
        <w:t>1.1交货时间：</w:t>
      </w:r>
      <w:r>
        <w:rPr>
          <w:rFonts w:hint="eastAsia" w:ascii="宋体" w:hAnsi="宋体" w:eastAsia="宋体" w:cs="宋体"/>
          <w:iCs/>
          <w:color w:val="auto"/>
          <w:kern w:val="0"/>
          <w:sz w:val="21"/>
          <w:szCs w:val="21"/>
        </w:rPr>
        <w:t>合同签订后，场地符合安装条件，收到采购人通知后发货，并在约定时间内到货并安装</w:t>
      </w:r>
      <w:r>
        <w:rPr>
          <w:rFonts w:hint="eastAsia" w:ascii="宋体" w:hAnsi="宋体" w:eastAsia="宋体" w:cs="宋体"/>
          <w:iCs/>
          <w:color w:val="auto"/>
          <w:kern w:val="0"/>
          <w:sz w:val="21"/>
          <w:szCs w:val="21"/>
          <w:highlight w:val="none"/>
        </w:rPr>
        <w:t>。交货时间为：</w:t>
      </w:r>
      <w:r>
        <w:rPr>
          <w:rFonts w:hint="default" w:ascii="宋体" w:hAnsi="宋体" w:cs="宋体"/>
          <w:iCs/>
          <w:color w:val="auto"/>
          <w:kern w:val="0"/>
          <w:sz w:val="21"/>
          <w:szCs w:val="21"/>
          <w:highlight w:val="none"/>
          <w:lang w:eastAsia="zh-CN"/>
        </w:rPr>
        <w:t>3</w:t>
      </w:r>
      <w:r>
        <w:rPr>
          <w:rFonts w:hint="eastAsia" w:ascii="宋体" w:hAnsi="宋体" w:eastAsia="宋体" w:cs="宋体"/>
          <w:iCs/>
          <w:color w:val="auto"/>
          <w:kern w:val="0"/>
          <w:sz w:val="21"/>
          <w:szCs w:val="21"/>
          <w:highlight w:val="none"/>
          <w:lang w:val="en-US" w:eastAsia="zh-CN"/>
        </w:rPr>
        <w:t>0</w:t>
      </w:r>
      <w:r>
        <w:rPr>
          <w:rFonts w:hint="eastAsia" w:ascii="宋体" w:hAnsi="宋体" w:eastAsia="宋体" w:cs="宋体"/>
          <w:iCs/>
          <w:color w:val="auto"/>
          <w:kern w:val="0"/>
          <w:sz w:val="21"/>
          <w:szCs w:val="21"/>
          <w:highlight w:val="none"/>
        </w:rPr>
        <w:t>日</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w:t>
      </w:r>
    </w:p>
    <w:p w14:paraId="1B2ECF58">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1.2交货地点：</w:t>
      </w:r>
      <w:r>
        <w:rPr>
          <w:rFonts w:hint="eastAsia" w:ascii="宋体" w:hAnsi="宋体" w:eastAsia="宋体" w:cs="宋体"/>
          <w:b w:val="0"/>
          <w:bCs w:val="0"/>
          <w:color w:val="auto"/>
          <w:sz w:val="21"/>
          <w:szCs w:val="21"/>
          <w:highlight w:val="none"/>
          <w:lang w:eastAsia="zh-CN"/>
        </w:rPr>
        <w:t>岳阳市人民医院</w:t>
      </w:r>
      <w:r>
        <w:rPr>
          <w:rFonts w:hint="eastAsia" w:ascii="宋体" w:hAnsi="宋体" w:eastAsia="宋体" w:cs="宋体"/>
          <w:b w:val="0"/>
          <w:bCs w:val="0"/>
          <w:color w:val="auto"/>
          <w:sz w:val="21"/>
          <w:szCs w:val="21"/>
          <w:highlight w:val="none"/>
        </w:rPr>
        <w:t>指定地点。</w:t>
      </w:r>
    </w:p>
    <w:p w14:paraId="57D41FFB">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1.3交货方式：</w:t>
      </w:r>
      <w:r>
        <w:rPr>
          <w:rFonts w:hint="eastAsia" w:ascii="宋体" w:hAnsi="宋体" w:eastAsia="宋体" w:cs="宋体"/>
          <w:color w:val="auto"/>
          <w:sz w:val="21"/>
          <w:szCs w:val="21"/>
          <w:highlight w:val="none"/>
        </w:rPr>
        <w:t>送货上门。运输、安装、调试由中标人负责承担,最终通过</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eastAsia="zh-CN"/>
        </w:rPr>
        <w:t>后</w:t>
      </w:r>
      <w:r>
        <w:rPr>
          <w:rFonts w:hint="eastAsia" w:ascii="宋体" w:hAnsi="宋体" w:eastAsia="宋体" w:cs="宋体"/>
          <w:color w:val="auto"/>
          <w:sz w:val="21"/>
          <w:szCs w:val="21"/>
          <w:highlight w:val="none"/>
        </w:rPr>
        <w:t xml:space="preserve">交付使用。 </w:t>
      </w:r>
    </w:p>
    <w:p w14:paraId="7944E9DF">
      <w:pPr>
        <w:keepNext w:val="0"/>
        <w:keepLines w:val="0"/>
        <w:pageBreakBefore w:val="0"/>
        <w:kinsoku/>
        <w:wordWrap/>
        <w:overflowPunct/>
        <w:topLinePunct w:val="0"/>
        <w:autoSpaceDE/>
        <w:autoSpaceDN/>
        <w:bidi w:val="0"/>
        <w:spacing w:line="460" w:lineRule="exact"/>
        <w:ind w:right="-248" w:rightChars="-118"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1.4、计量、检测费用（如须）：由中标人负责承担质检、计量费用。</w:t>
      </w:r>
    </w:p>
    <w:p w14:paraId="7D5A5057">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2、结算方法：</w:t>
      </w:r>
    </w:p>
    <w:p w14:paraId="660FEE02">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2.1付款人：</w:t>
      </w:r>
      <w:r>
        <w:rPr>
          <w:rFonts w:hint="eastAsia" w:ascii="宋体" w:hAnsi="宋体" w:eastAsia="宋体" w:cs="宋体"/>
          <w:b w:val="0"/>
          <w:bCs w:val="0"/>
          <w:color w:val="auto"/>
          <w:sz w:val="21"/>
          <w:szCs w:val="21"/>
          <w:highlight w:val="none"/>
          <w:lang w:eastAsia="zh-CN"/>
        </w:rPr>
        <w:t>岳阳市人民医院</w:t>
      </w:r>
      <w:r>
        <w:rPr>
          <w:rFonts w:hint="eastAsia" w:ascii="宋体" w:hAnsi="宋体" w:eastAsia="宋体" w:cs="宋体"/>
          <w:b w:val="0"/>
          <w:bCs w:val="0"/>
          <w:color w:val="auto"/>
          <w:sz w:val="21"/>
          <w:szCs w:val="21"/>
          <w:highlight w:val="none"/>
        </w:rPr>
        <w:t>。</w:t>
      </w:r>
    </w:p>
    <w:p w14:paraId="4AD1AD59">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highlight w:val="none"/>
        </w:rPr>
        <w:t>2.2付款方式：</w:t>
      </w:r>
      <w:r>
        <w:rPr>
          <w:rFonts w:hint="eastAsia" w:ascii="宋体" w:hAnsi="宋体" w:eastAsia="宋体" w:cs="宋体"/>
          <w:b w:val="0"/>
          <w:bCs w:val="0"/>
          <w:color w:val="auto"/>
          <w:sz w:val="21"/>
          <w:szCs w:val="21"/>
          <w:highlight w:val="none"/>
          <w:lang w:eastAsia="zh-CN"/>
        </w:rPr>
        <w:t xml:space="preserve">合同签订后，经甲方验收该系列设备合格、设备正常运行15个工作日并由设备会计做完付款计划后4个月内首付该设备款项的 </w:t>
      </w:r>
      <w:r>
        <w:rPr>
          <w:rFonts w:hint="eastAsia" w:ascii="宋体" w:hAnsi="宋体" w:eastAsia="宋体" w:cs="宋体"/>
          <w:b w:val="0"/>
          <w:bCs w:val="0"/>
          <w:color w:val="auto"/>
          <w:sz w:val="21"/>
          <w:szCs w:val="21"/>
          <w:highlight w:val="none"/>
          <w:lang w:val="en-US" w:eastAsia="zh-CN"/>
        </w:rPr>
        <w:t>90</w:t>
      </w:r>
      <w:r>
        <w:rPr>
          <w:rFonts w:hint="eastAsia" w:ascii="宋体" w:hAnsi="宋体" w:eastAsia="宋体" w:cs="宋体"/>
          <w:b w:val="0"/>
          <w:bCs w:val="0"/>
          <w:color w:val="auto"/>
          <w:sz w:val="21"/>
          <w:szCs w:val="21"/>
          <w:highlight w:val="none"/>
          <w:lang w:eastAsia="zh-CN"/>
        </w:rPr>
        <w:t>%，余款</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eastAsia="zh-CN"/>
        </w:rPr>
        <w:t>%则在项目验收之日起</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年后甲方支付给乙方。货款结清后，乙方依然需承担该设备的质保义务直至质保期满，否则甲方将终止与乙方的一切业务同时拒付双方业务往来中应付给乙方的其</w:t>
      </w:r>
      <w:r>
        <w:rPr>
          <w:rFonts w:hint="eastAsia" w:ascii="宋体" w:hAnsi="宋体" w:eastAsia="宋体" w:cs="宋体"/>
          <w:b w:val="0"/>
          <w:bCs w:val="0"/>
          <w:color w:val="auto"/>
          <w:sz w:val="21"/>
          <w:szCs w:val="21"/>
          <w:lang w:eastAsia="zh-CN"/>
        </w:rPr>
        <w:t>他所有款项，并保留维护自身权益的权利。甲方付款前,乙方应开具相应金额增值税普通发票。</w:t>
      </w:r>
    </w:p>
    <w:p w14:paraId="2CE5E60A">
      <w:pPr>
        <w:keepNext w:val="0"/>
        <w:keepLines w:val="0"/>
        <w:pageBreakBefore w:val="0"/>
        <w:kinsoku/>
        <w:wordWrap/>
        <w:overflowPunct/>
        <w:topLinePunct w:val="0"/>
        <w:autoSpaceDE/>
        <w:autoSpaceDN/>
        <w:bidi w:val="0"/>
        <w:adjustRightInd w:val="0"/>
        <w:snapToGrid w:val="0"/>
        <w:spacing w:line="46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七、</w:t>
      </w:r>
      <w:r>
        <w:rPr>
          <w:rFonts w:hint="eastAsia" w:ascii="宋体" w:hAnsi="宋体" w:eastAsia="宋体" w:cs="宋体"/>
          <w:b/>
          <w:bCs/>
          <w:color w:val="auto"/>
          <w:sz w:val="21"/>
          <w:szCs w:val="21"/>
        </w:rPr>
        <w:t>项目其他要求及说明</w:t>
      </w:r>
    </w:p>
    <w:p w14:paraId="31825C95">
      <w:pPr>
        <w:keepNext w:val="0"/>
        <w:keepLines w:val="0"/>
        <w:pageBreakBefore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本项目采用费用包干方式建设，投标人应根据项目要求和现场情况，详细列明项目所需的设备及材料购置，以及产品运输保险保管、项目安装调试、试运行测试通过验收、培训、质保期保修维护等所有人工、管理、财务等所有费用，如一旦中标，在项目实施中出现任何遗漏，均由中标人提供，采购人不再支付任何费用。</w:t>
      </w:r>
    </w:p>
    <w:p w14:paraId="7B562FBE">
      <w:pPr>
        <w:keepNext w:val="0"/>
        <w:keepLines w:val="0"/>
        <w:pageBreakBefore w:val="0"/>
        <w:widowControl/>
        <w:kinsoku/>
        <w:wordWrap/>
        <w:overflowPunct/>
        <w:topLinePunct w:val="0"/>
        <w:autoSpaceDE/>
        <w:autoSpaceDN/>
        <w:bidi w:val="0"/>
        <w:spacing w:beforeLines="0" w:afterLines="0" w:line="460" w:lineRule="exact"/>
        <w:ind w:firstLine="420" w:firstLineChars="200"/>
        <w:textAlignment w:val="auto"/>
        <w:rPr>
          <w:rFonts w:hint="eastAsia" w:ascii="宋体" w:hAnsi="宋体" w:eastAsia="宋体" w:cs="宋体"/>
          <w:color w:val="auto"/>
          <w:spacing w:val="-1"/>
          <w:sz w:val="21"/>
          <w:szCs w:val="21"/>
          <w:lang w:eastAsia="zh-CN"/>
        </w:rPr>
      </w:pP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color w:val="auto"/>
          <w:sz w:val="21"/>
          <w:szCs w:val="21"/>
        </w:rPr>
        <w:t>、对于上述项目要求，投标人应在投标文件中进行回应，作出承诺及说明</w:t>
      </w:r>
      <w:r>
        <w:rPr>
          <w:rFonts w:hint="eastAsia" w:ascii="宋体" w:hAnsi="宋体" w:eastAsia="宋体" w:cs="宋体"/>
          <w:b w:val="0"/>
          <w:bCs w:val="0"/>
          <w:color w:val="auto"/>
          <w:sz w:val="21"/>
          <w:szCs w:val="21"/>
          <w:lang w:eastAsia="zh-CN"/>
        </w:rPr>
        <w:t>。</w:t>
      </w:r>
    </w:p>
    <w:p w14:paraId="2FBA3145">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22" w:firstLineChars="200"/>
        <w:textAlignment w:val="auto"/>
        <w:rPr>
          <w:rFonts w:hint="eastAsia" w:ascii="宋体" w:hAnsi="宋体" w:eastAsia="宋体" w:cs="Times New Roman"/>
          <w:b/>
          <w:color w:val="auto"/>
          <w:kern w:val="2"/>
          <w:sz w:val="21"/>
          <w:szCs w:val="21"/>
          <w:lang w:val="en-US" w:eastAsia="zh-CN" w:bidi="ar-SA"/>
        </w:rPr>
      </w:pPr>
    </w:p>
    <w:p w14:paraId="7C077C32">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82" w:firstLineChars="200"/>
        <w:textAlignment w:val="auto"/>
        <w:rPr>
          <w:rFonts w:hint="eastAsia" w:ascii="宋体" w:hAnsi="宋体" w:eastAsia="宋体" w:cs="Times New Roman"/>
          <w:b/>
          <w:color w:val="auto"/>
          <w:kern w:val="2"/>
          <w:sz w:val="24"/>
          <w:szCs w:val="24"/>
          <w:lang w:val="en-US" w:eastAsia="zh-CN" w:bidi="ar-SA"/>
        </w:rPr>
      </w:pPr>
    </w:p>
    <w:p w14:paraId="204B6D9D">
      <w:pPr>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leftChars="0" w:firstLine="482" w:firstLineChars="200"/>
        <w:textAlignment w:val="auto"/>
        <w:rPr>
          <w:rFonts w:hint="eastAsia" w:ascii="宋体" w:hAnsi="宋体" w:eastAsia="宋体" w:cs="Times New Roman"/>
          <w:b/>
          <w:bCs/>
          <w:color w:val="auto"/>
          <w:kern w:val="2"/>
          <w:sz w:val="21"/>
          <w:szCs w:val="21"/>
          <w:lang w:val="en-US" w:eastAsia="zh-CN" w:bidi="ar-SA"/>
        </w:rPr>
      </w:pPr>
      <w:r>
        <w:rPr>
          <w:rFonts w:hint="eastAsia" w:ascii="宋体" w:hAnsi="宋体" w:eastAsia="宋体" w:cs="宋体"/>
          <w:b/>
          <w:bCs/>
          <w:color w:val="auto"/>
          <w:kern w:val="2"/>
          <w:sz w:val="24"/>
          <w:szCs w:val="24"/>
          <w:lang w:val="en-US" w:eastAsia="zh-CN" w:bidi="ar-SA"/>
        </w:rPr>
        <w:t>未尽事宜在合同中约定</w:t>
      </w:r>
    </w:p>
    <w:p w14:paraId="397623DD"/>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suff w:val="nothing"/>
      <w:lvlText w:val="%1、"/>
      <w:lvlJc w:val="left"/>
    </w:lvl>
  </w:abstractNum>
  <w:abstractNum w:abstractNumId="1">
    <w:nsid w:val="00AD17BD"/>
    <w:multiLevelType w:val="multilevel"/>
    <w:tmpl w:val="00AD17BD"/>
    <w:lvl w:ilvl="0" w:tentative="0">
      <w:start w:val="1"/>
      <w:numFmt w:val="decimal"/>
      <w:suff w:val="nothing"/>
      <w:lvlText w:val="3.6.%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9AA6454"/>
    <w:multiLevelType w:val="multilevel"/>
    <w:tmpl w:val="09AA6454"/>
    <w:lvl w:ilvl="0" w:tentative="0">
      <w:start w:val="1"/>
      <w:numFmt w:val="decimal"/>
      <w:suff w:val="nothing"/>
      <w:lvlText w:val="3.1.%1."/>
      <w:lvlJc w:val="left"/>
      <w:pPr>
        <w:ind w:left="360" w:hanging="360"/>
      </w:pPr>
      <w:rPr>
        <w:rFonts w:hint="default"/>
      </w:rPr>
    </w:lvl>
    <w:lvl w:ilvl="1" w:tentative="0">
      <w:start w:val="3"/>
      <w:numFmt w:val="bullet"/>
      <w:lvlText w:val="★"/>
      <w:lvlJc w:val="left"/>
      <w:pPr>
        <w:ind w:left="720" w:hanging="360"/>
      </w:pPr>
      <w:rPr>
        <w:rFonts w:hint="eastAsia" w:ascii="等线" w:hAnsi="等线" w:eastAsia="等线" w:cs="Arial"/>
      </w:r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3">
    <w:nsid w:val="19C717BE"/>
    <w:multiLevelType w:val="multilevel"/>
    <w:tmpl w:val="19C717BE"/>
    <w:lvl w:ilvl="0" w:tentative="0">
      <w:start w:val="1"/>
      <w:numFmt w:val="decimal"/>
      <w:lvlText w:val="%1."/>
      <w:lvlJc w:val="left"/>
      <w:pPr>
        <w:ind w:left="420" w:hanging="420"/>
      </w:pPr>
    </w:lvl>
    <w:lvl w:ilvl="1" w:tentative="0">
      <w:start w:val="0"/>
      <w:numFmt w:val="bullet"/>
      <w:lvlText w:val="★"/>
      <w:lvlJc w:val="left"/>
      <w:pPr>
        <w:ind w:left="780" w:hanging="360"/>
      </w:pPr>
      <w:rPr>
        <w:rFonts w:hint="eastAsia" w:ascii="宋体" w:hAnsi="宋体" w:eastAsia="宋体" w:cs="Times New Roman"/>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B9A304C"/>
    <w:multiLevelType w:val="multilevel"/>
    <w:tmpl w:val="3B9A304C"/>
    <w:lvl w:ilvl="0" w:tentative="0">
      <w:start w:val="1"/>
      <w:numFmt w:val="decimal"/>
      <w:suff w:val="nothing"/>
      <w:lvlText w:val="3.5.%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47E4FAA"/>
    <w:multiLevelType w:val="multilevel"/>
    <w:tmpl w:val="447E4FAA"/>
    <w:lvl w:ilvl="0" w:tentative="0">
      <w:start w:val="1"/>
      <w:numFmt w:val="decimal"/>
      <w:lvlText w:val="%1."/>
      <w:lvlJc w:val="left"/>
      <w:pPr>
        <w:ind w:left="360" w:hanging="360"/>
      </w:pPr>
      <w:rPr>
        <w:b/>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495D29DB"/>
    <w:multiLevelType w:val="multilevel"/>
    <w:tmpl w:val="495D29DB"/>
    <w:lvl w:ilvl="0" w:tentative="0">
      <w:start w:val="1"/>
      <w:numFmt w:val="decimal"/>
      <w:suff w:val="nothing"/>
      <w:lvlText w:val="3.2.%1."/>
      <w:lvlJc w:val="left"/>
      <w:pPr>
        <w:ind w:left="36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7">
    <w:nsid w:val="551E1D57"/>
    <w:multiLevelType w:val="multilevel"/>
    <w:tmpl w:val="551E1D57"/>
    <w:lvl w:ilvl="0" w:tentative="0">
      <w:start w:val="1"/>
      <w:numFmt w:val="decimal"/>
      <w:suff w:val="nothing"/>
      <w:lvlText w:val="4.%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C9B6CC8"/>
    <w:multiLevelType w:val="multilevel"/>
    <w:tmpl w:val="5C9B6CC8"/>
    <w:lvl w:ilvl="0" w:tentative="0">
      <w:start w:val="1"/>
      <w:numFmt w:val="decimal"/>
      <w:lvlText w:val="3.%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61635D21"/>
    <w:multiLevelType w:val="multilevel"/>
    <w:tmpl w:val="61635D21"/>
    <w:lvl w:ilvl="0" w:tentative="0">
      <w:start w:val="1"/>
      <w:numFmt w:val="decimal"/>
      <w:suff w:val="nothing"/>
      <w:lvlText w:val="3.4.%1."/>
      <w:lvlJc w:val="left"/>
      <w:pPr>
        <w:ind w:left="36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num w:numId="1">
    <w:abstractNumId w:val="5"/>
  </w:num>
  <w:num w:numId="2">
    <w:abstractNumId w:val="8"/>
  </w:num>
  <w:num w:numId="3">
    <w:abstractNumId w:val="2"/>
  </w:num>
  <w:num w:numId="4">
    <w:abstractNumId w:val="6"/>
  </w:num>
  <w:num w:numId="5">
    <w:abstractNumId w:val="9"/>
  </w:num>
  <w:num w:numId="6">
    <w:abstractNumId w:val="4"/>
  </w:num>
  <w:num w:numId="7">
    <w:abstractNumId w:val="1"/>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175467"/>
    <w:rsid w:val="5B175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autoRedefine/>
    <w:qFormat/>
    <w:uiPriority w:val="34"/>
    <w:pPr>
      <w:ind w:firstLine="420" w:firstLineChars="200"/>
    </w:pPr>
  </w:style>
  <w:style w:type="paragraph" w:customStyle="1" w:styleId="6">
    <w:name w:val="正文_2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2026-08-26T09:01:00Z</dcterms:created>
  <dc:creator>MonJa</dc:creator>
  <cp:lastModifiedBy>MonJa</cp:lastModifiedBy>
  <dcterms:modified xsi:type="dcterms:W3CDTF">2026-08-26T09:01:57Z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143C3F93284543BDB07CDF8EA7302FA1_11</vt:lpwstr>
  </property>
  <property fmtid="{D5CDD505-2E9C-101B-9397-08002B2CF9AE}" pid="4" name="KSOTemplateDocerSaveRecord">
    <vt:lpwstr>eyJoZGlkIjoiYTQ5NTliOWNhZDIyZmUxY2FkZmIxMTQ4MGM0YjBhNjkiLCJ1c2VySWQiOiI0MTA1NTc0NzQifQ==</vt:lpwstr>
  </property>
</Properties>
</file>