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4856010">
      <w:pPr>
        <w:pStyle w:val="2"/>
        <w:rPr>
          <w:rFonts w:hint="eastAsia"/>
          <w:color w:val="000000"/>
        </w:rPr>
      </w:pPr>
    </w:p>
    <w:p w14:paraId="10B65864">
      <w:pPr>
        <w:adjustRightInd w:val="0"/>
        <w:snapToGrid w:val="0"/>
        <w:spacing w:line="360" w:lineRule="auto"/>
        <w:jc w:val="center"/>
        <w:outlineLvl w:val="0"/>
        <w:rPr>
          <w:rFonts w:hint="eastAsia" w:ascii="宋体" w:hAnsi="宋体" w:eastAsia="宋体" w:cs="宋体"/>
          <w:b/>
          <w:bCs/>
          <w:color w:val="000000"/>
          <w:sz w:val="21"/>
          <w:szCs w:val="21"/>
          <w:lang w:eastAsia="zh-CN"/>
        </w:rPr>
      </w:pPr>
      <w:bookmarkStart w:id="0" w:name="_Toc25043"/>
      <w:r>
        <w:rPr>
          <w:rFonts w:hint="eastAsia" w:ascii="宋体" w:hAnsi="宋体" w:cs="宋体"/>
          <w:b/>
          <w:color w:val="000000"/>
          <w:kern w:val="0"/>
          <w:sz w:val="28"/>
          <w:szCs w:val="28"/>
        </w:rPr>
        <w:t>第四章 技术规格、参数与要求</w:t>
      </w:r>
      <w:bookmarkEnd w:id="0"/>
    </w:p>
    <w:p w14:paraId="2879089C">
      <w:pPr>
        <w:spacing w:line="360" w:lineRule="auto"/>
        <w:ind w:left="0" w:leftChars="0" w:firstLine="0" w:firstLineChars="0"/>
        <w:jc w:val="left"/>
        <w:rPr>
          <w:rFonts w:hint="eastAsia" w:ascii="宋体" w:hAnsi="宋体" w:eastAsia="宋体" w:cs="宋体"/>
          <w:b/>
          <w:bCs/>
          <w:color w:val="000000"/>
          <w:sz w:val="21"/>
          <w:szCs w:val="21"/>
          <w:lang w:eastAsia="zh-CN"/>
        </w:rPr>
      </w:pPr>
    </w:p>
    <w:p w14:paraId="7AB36A03">
      <w:pPr>
        <w:pStyle w:val="5"/>
        <w:tabs>
          <w:tab w:val="left" w:pos="1342"/>
        </w:tabs>
        <w:spacing w:before="67" w:line="288" w:lineRule="auto"/>
        <w:ind w:firstLine="0" w:firstLineChars="0"/>
        <w:jc w:val="center"/>
        <w:textAlignment w:val="baseline"/>
        <w:outlineLvl w:val="1"/>
        <w:rPr>
          <w:rFonts w:hint="eastAsia" w:ascii="宋体" w:hAnsi="宋体" w:cs="宋体"/>
          <w:b/>
          <w:bCs/>
          <w:color w:val="000000"/>
          <w:kern w:val="0"/>
          <w:sz w:val="24"/>
        </w:rPr>
      </w:pPr>
      <w:r>
        <w:rPr>
          <w:rFonts w:hint="eastAsia" w:ascii="宋体" w:hAnsi="宋体" w:cs="宋体"/>
          <w:b/>
          <w:bCs/>
          <w:color w:val="000000"/>
          <w:kern w:val="0"/>
          <w:sz w:val="24"/>
        </w:rPr>
        <w:t>第一节  采购清单一览表</w:t>
      </w:r>
    </w:p>
    <w:tbl>
      <w:tblPr>
        <w:tblStyle w:val="3"/>
        <w:tblW w:w="93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5"/>
        <w:gridCol w:w="2040"/>
        <w:gridCol w:w="931"/>
        <w:gridCol w:w="1400"/>
        <w:gridCol w:w="872"/>
        <w:gridCol w:w="1641"/>
        <w:gridCol w:w="1730"/>
      </w:tblGrid>
      <w:tr w14:paraId="2894D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jc w:val="center"/>
        </w:trPr>
        <w:tc>
          <w:tcPr>
            <w:tcW w:w="745" w:type="dxa"/>
            <w:noWrap w:val="0"/>
            <w:vAlign w:val="center"/>
          </w:tcPr>
          <w:p w14:paraId="60E17CC8">
            <w:pPr>
              <w:adjustRightInd w:val="0"/>
              <w:snapToGrid w:val="0"/>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包号</w:t>
            </w:r>
          </w:p>
        </w:tc>
        <w:tc>
          <w:tcPr>
            <w:tcW w:w="2040" w:type="dxa"/>
            <w:noWrap w:val="0"/>
            <w:vAlign w:val="center"/>
          </w:tcPr>
          <w:p w14:paraId="7BE3F98D">
            <w:pPr>
              <w:adjustRightInd w:val="0"/>
              <w:snapToGrid w:val="0"/>
              <w:jc w:val="center"/>
              <w:rPr>
                <w:rFonts w:ascii="宋体" w:hAnsi="宋体" w:cs="宋体"/>
                <w:color w:val="000000"/>
                <w:szCs w:val="21"/>
              </w:rPr>
            </w:pPr>
            <w:r>
              <w:rPr>
                <w:rFonts w:hint="eastAsia" w:ascii="宋体" w:hAnsi="宋体" w:cs="宋体"/>
                <w:color w:val="000000"/>
                <w:szCs w:val="21"/>
              </w:rPr>
              <w:t>标的名称</w:t>
            </w:r>
          </w:p>
        </w:tc>
        <w:tc>
          <w:tcPr>
            <w:tcW w:w="931" w:type="dxa"/>
            <w:noWrap w:val="0"/>
            <w:vAlign w:val="center"/>
          </w:tcPr>
          <w:p w14:paraId="66784814">
            <w:pPr>
              <w:adjustRightInd w:val="0"/>
              <w:snapToGrid w:val="0"/>
              <w:jc w:val="center"/>
              <w:rPr>
                <w:rFonts w:hint="eastAsia" w:ascii="宋体" w:hAnsi="宋体" w:cs="宋体"/>
                <w:color w:val="000000"/>
                <w:szCs w:val="21"/>
              </w:rPr>
            </w:pPr>
            <w:r>
              <w:rPr>
                <w:rFonts w:hint="eastAsia" w:ascii="宋体" w:hAnsi="宋体" w:cs="宋体"/>
                <w:color w:val="000000"/>
                <w:szCs w:val="21"/>
              </w:rPr>
              <w:t>数量</w:t>
            </w:r>
          </w:p>
        </w:tc>
        <w:tc>
          <w:tcPr>
            <w:tcW w:w="1400" w:type="dxa"/>
            <w:noWrap w:val="0"/>
            <w:vAlign w:val="center"/>
          </w:tcPr>
          <w:p w14:paraId="077A5BD6">
            <w:pPr>
              <w:adjustRightInd w:val="0"/>
              <w:snapToGrid w:val="0"/>
              <w:jc w:val="center"/>
              <w:rPr>
                <w:rFonts w:ascii="宋体" w:hAnsi="宋体" w:cs="宋体"/>
                <w:color w:val="000000"/>
                <w:szCs w:val="21"/>
              </w:rPr>
            </w:pPr>
            <w:r>
              <w:rPr>
                <w:rFonts w:hint="eastAsia" w:ascii="宋体" w:hAnsi="宋体" w:cs="宋体"/>
                <w:color w:val="000000"/>
                <w:szCs w:val="21"/>
              </w:rPr>
              <w:t>进口产品</w:t>
            </w:r>
          </w:p>
        </w:tc>
        <w:tc>
          <w:tcPr>
            <w:tcW w:w="872" w:type="dxa"/>
            <w:noWrap w:val="0"/>
            <w:vAlign w:val="center"/>
          </w:tcPr>
          <w:p w14:paraId="56ECCF38">
            <w:pPr>
              <w:adjustRightInd w:val="0"/>
              <w:snapToGrid w:val="0"/>
              <w:jc w:val="center"/>
              <w:rPr>
                <w:rFonts w:hint="eastAsia" w:ascii="宋体" w:hAnsi="宋体" w:cs="宋体"/>
                <w:color w:val="000000"/>
                <w:szCs w:val="21"/>
              </w:rPr>
            </w:pPr>
            <w:r>
              <w:rPr>
                <w:rFonts w:hint="eastAsia" w:ascii="宋体" w:hAnsi="宋体" w:cs="宋体"/>
                <w:color w:val="000000"/>
                <w:szCs w:val="21"/>
              </w:rPr>
              <w:t>单位</w:t>
            </w:r>
          </w:p>
        </w:tc>
        <w:tc>
          <w:tcPr>
            <w:tcW w:w="1641" w:type="dxa"/>
            <w:noWrap w:val="0"/>
            <w:vAlign w:val="center"/>
          </w:tcPr>
          <w:p w14:paraId="4CDCA11E">
            <w:pPr>
              <w:adjustRightInd w:val="0"/>
              <w:snapToGrid w:val="0"/>
              <w:jc w:val="center"/>
              <w:rPr>
                <w:rFonts w:hint="eastAsia" w:ascii="宋体" w:hAnsi="宋体" w:cs="宋体"/>
                <w:color w:val="000000"/>
                <w:szCs w:val="21"/>
              </w:rPr>
            </w:pPr>
            <w:r>
              <w:rPr>
                <w:rFonts w:hint="eastAsia" w:ascii="宋体" w:hAnsi="宋体" w:cs="宋体"/>
                <w:color w:val="000000"/>
                <w:szCs w:val="21"/>
              </w:rPr>
              <w:t>预算金额</w:t>
            </w:r>
          </w:p>
          <w:p w14:paraId="19643919">
            <w:pPr>
              <w:adjustRightInd w:val="0"/>
              <w:snapToGrid w:val="0"/>
              <w:jc w:val="center"/>
              <w:rPr>
                <w:rFonts w:hint="eastAsia" w:ascii="宋体" w:hAnsi="宋体" w:cs="宋体"/>
                <w:color w:val="000000"/>
                <w:szCs w:val="21"/>
              </w:rPr>
            </w:pPr>
            <w:r>
              <w:rPr>
                <w:rFonts w:hint="eastAsia" w:ascii="宋体" w:hAnsi="宋体" w:cs="宋体"/>
                <w:color w:val="000000"/>
                <w:szCs w:val="21"/>
              </w:rPr>
              <w:t>（元）</w:t>
            </w:r>
          </w:p>
        </w:tc>
        <w:tc>
          <w:tcPr>
            <w:tcW w:w="1730" w:type="dxa"/>
            <w:noWrap w:val="0"/>
            <w:vAlign w:val="center"/>
          </w:tcPr>
          <w:p w14:paraId="0970AC94">
            <w:pPr>
              <w:adjustRightInd w:val="0"/>
              <w:snapToGrid w:val="0"/>
              <w:jc w:val="center"/>
              <w:rPr>
                <w:rFonts w:hint="eastAsia" w:ascii="宋体" w:hAnsi="宋体" w:cs="宋体"/>
                <w:color w:val="000000"/>
                <w:szCs w:val="21"/>
              </w:rPr>
            </w:pPr>
            <w:r>
              <w:rPr>
                <w:rFonts w:hint="eastAsia" w:ascii="宋体" w:hAnsi="宋体" w:cs="宋体"/>
                <w:color w:val="000000"/>
                <w:szCs w:val="21"/>
              </w:rPr>
              <w:t>最高限价</w:t>
            </w:r>
          </w:p>
          <w:p w14:paraId="13E31A2A">
            <w:pPr>
              <w:adjustRightInd w:val="0"/>
              <w:snapToGrid w:val="0"/>
              <w:jc w:val="center"/>
              <w:rPr>
                <w:rFonts w:hint="eastAsia" w:ascii="宋体" w:hAnsi="宋体" w:cs="宋体"/>
                <w:color w:val="000000"/>
                <w:szCs w:val="21"/>
              </w:rPr>
            </w:pPr>
            <w:r>
              <w:rPr>
                <w:rFonts w:hint="eastAsia" w:ascii="宋体" w:hAnsi="宋体" w:cs="宋体"/>
                <w:color w:val="000000"/>
                <w:szCs w:val="21"/>
              </w:rPr>
              <w:t>（元）</w:t>
            </w:r>
          </w:p>
        </w:tc>
      </w:tr>
      <w:tr w14:paraId="7AE1B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45" w:type="dxa"/>
            <w:noWrap w:val="0"/>
            <w:vAlign w:val="center"/>
          </w:tcPr>
          <w:p w14:paraId="476552F5">
            <w:pPr>
              <w:adjustRightInd w:val="0"/>
              <w:snapToGrid w:val="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2040" w:type="dxa"/>
            <w:noWrap w:val="0"/>
            <w:vAlign w:val="center"/>
          </w:tcPr>
          <w:p w14:paraId="12121805">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转运系统</w:t>
            </w:r>
          </w:p>
        </w:tc>
        <w:tc>
          <w:tcPr>
            <w:tcW w:w="931" w:type="dxa"/>
            <w:noWrap w:val="0"/>
            <w:vAlign w:val="center"/>
          </w:tcPr>
          <w:p w14:paraId="349F0B51">
            <w:pPr>
              <w:adjustRightInd w:val="0"/>
              <w:snapToGrid w:val="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1400" w:type="dxa"/>
            <w:noWrap w:val="0"/>
            <w:vAlign w:val="center"/>
          </w:tcPr>
          <w:p w14:paraId="78AEB1BA">
            <w:pPr>
              <w:adjustRightInd w:val="0"/>
              <w:snapToGrid w:val="0"/>
              <w:jc w:val="center"/>
              <w:rPr>
                <w:rFonts w:hint="eastAsia" w:ascii="宋体" w:hAnsi="宋体" w:cs="宋体"/>
                <w:color w:val="000000"/>
                <w:szCs w:val="21"/>
                <w:lang w:eastAsia="zh-CN"/>
              </w:rPr>
            </w:pPr>
            <w:r>
              <w:rPr>
                <w:rFonts w:hint="eastAsia" w:ascii="宋体" w:hAnsi="宋体" w:cs="宋体"/>
                <w:color w:val="000000"/>
                <w:szCs w:val="21"/>
                <w:lang w:eastAsia="zh-CN"/>
              </w:rPr>
              <w:t>□</w:t>
            </w:r>
          </w:p>
        </w:tc>
        <w:tc>
          <w:tcPr>
            <w:tcW w:w="872" w:type="dxa"/>
            <w:noWrap w:val="0"/>
            <w:vAlign w:val="center"/>
          </w:tcPr>
          <w:p w14:paraId="6CFB3CB9">
            <w:pPr>
              <w:adjustRightInd w:val="0"/>
              <w:snapToGrid w:val="0"/>
              <w:jc w:val="center"/>
              <w:rPr>
                <w:rFonts w:hint="default" w:ascii="宋体" w:hAnsi="宋体" w:eastAsia="宋体" w:cs="宋体"/>
                <w:color w:val="000000"/>
                <w:szCs w:val="21"/>
                <w:lang w:val="en-US" w:eastAsia="zh-CN"/>
              </w:rPr>
            </w:pPr>
            <w:r>
              <w:rPr>
                <w:rFonts w:hint="eastAsia" w:ascii="宋体" w:hAnsi="宋体" w:eastAsia="宋体" w:cs="宋体"/>
                <w:color w:val="000000"/>
                <w:szCs w:val="21"/>
                <w:lang w:val="en-US" w:eastAsia="zh-CN"/>
              </w:rPr>
              <w:t>套</w:t>
            </w:r>
          </w:p>
        </w:tc>
        <w:tc>
          <w:tcPr>
            <w:tcW w:w="1641" w:type="dxa"/>
            <w:noWrap w:val="0"/>
            <w:vAlign w:val="center"/>
          </w:tcPr>
          <w:p w14:paraId="5F78A687">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1000000.00</w:t>
            </w:r>
          </w:p>
        </w:tc>
        <w:tc>
          <w:tcPr>
            <w:tcW w:w="1730" w:type="dxa"/>
            <w:noWrap w:val="0"/>
            <w:vAlign w:val="center"/>
          </w:tcPr>
          <w:p w14:paraId="6073CF17">
            <w:pPr>
              <w:adjustRightInd w:val="0"/>
              <w:snapToGrid w:val="0"/>
              <w:jc w:val="center"/>
              <w:rPr>
                <w:rFonts w:hint="default" w:ascii="宋体" w:hAnsi="宋体" w:cs="宋体"/>
                <w:color w:val="000000"/>
                <w:kern w:val="2"/>
                <w:sz w:val="21"/>
                <w:szCs w:val="21"/>
                <w:lang w:val="en-US" w:eastAsia="zh-CN" w:bidi="ar-SA"/>
              </w:rPr>
            </w:pPr>
            <w:r>
              <w:rPr>
                <w:rFonts w:hint="eastAsia" w:ascii="宋体" w:hAnsi="宋体" w:cs="宋体"/>
                <w:color w:val="000000"/>
                <w:szCs w:val="21"/>
                <w:lang w:val="en-US" w:eastAsia="zh-CN"/>
              </w:rPr>
              <w:t>1000000.00</w:t>
            </w:r>
          </w:p>
        </w:tc>
      </w:tr>
      <w:tr w14:paraId="2B7B6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0" w:hRule="atLeast"/>
          <w:jc w:val="center"/>
        </w:trPr>
        <w:tc>
          <w:tcPr>
            <w:tcW w:w="745" w:type="dxa"/>
            <w:noWrap w:val="0"/>
            <w:vAlign w:val="center"/>
          </w:tcPr>
          <w:p w14:paraId="4E4514C3">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2</w:t>
            </w:r>
          </w:p>
        </w:tc>
        <w:tc>
          <w:tcPr>
            <w:tcW w:w="2040" w:type="dxa"/>
            <w:noWrap w:val="0"/>
            <w:vAlign w:val="center"/>
          </w:tcPr>
          <w:p w14:paraId="54E2CD67">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监护仪</w:t>
            </w:r>
          </w:p>
        </w:tc>
        <w:tc>
          <w:tcPr>
            <w:tcW w:w="931" w:type="dxa"/>
            <w:noWrap w:val="0"/>
            <w:vAlign w:val="center"/>
          </w:tcPr>
          <w:p w14:paraId="6ED99DBA">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15</w:t>
            </w:r>
          </w:p>
        </w:tc>
        <w:tc>
          <w:tcPr>
            <w:tcW w:w="1400" w:type="dxa"/>
            <w:noWrap w:val="0"/>
            <w:vAlign w:val="center"/>
          </w:tcPr>
          <w:p w14:paraId="73A0E6C2">
            <w:pPr>
              <w:adjustRightInd w:val="0"/>
              <w:snapToGrid w:val="0"/>
              <w:jc w:val="center"/>
              <w:rPr>
                <w:rFonts w:hint="eastAsia" w:ascii="宋体" w:hAnsi="宋体" w:cs="宋体"/>
                <w:color w:val="000000"/>
                <w:szCs w:val="21"/>
                <w:lang w:eastAsia="zh-CN"/>
              </w:rPr>
            </w:pPr>
            <w:r>
              <w:rPr>
                <w:rFonts w:hint="eastAsia" w:ascii="宋体" w:hAnsi="宋体" w:cs="宋体"/>
                <w:color w:val="000000"/>
                <w:szCs w:val="21"/>
                <w:lang w:eastAsia="zh-CN"/>
              </w:rPr>
              <w:t>□</w:t>
            </w:r>
          </w:p>
        </w:tc>
        <w:tc>
          <w:tcPr>
            <w:tcW w:w="872" w:type="dxa"/>
            <w:noWrap w:val="0"/>
            <w:vAlign w:val="center"/>
          </w:tcPr>
          <w:p w14:paraId="1690EAF2">
            <w:pPr>
              <w:adjustRightInd w:val="0"/>
              <w:snapToGrid w:val="0"/>
              <w:jc w:val="center"/>
              <w:rPr>
                <w:rFonts w:hint="eastAsia" w:ascii="宋体" w:hAnsi="宋体" w:eastAsia="宋体" w:cs="宋体"/>
                <w:color w:val="000000"/>
                <w:szCs w:val="21"/>
                <w:lang w:val="en-US" w:eastAsia="zh-CN"/>
              </w:rPr>
            </w:pPr>
            <w:r>
              <w:rPr>
                <w:rFonts w:hint="eastAsia" w:ascii="宋体" w:hAnsi="宋体" w:eastAsia="宋体" w:cs="宋体"/>
                <w:color w:val="000000"/>
                <w:szCs w:val="21"/>
                <w:lang w:val="en-US" w:eastAsia="zh-CN"/>
              </w:rPr>
              <w:t>台</w:t>
            </w:r>
          </w:p>
        </w:tc>
        <w:tc>
          <w:tcPr>
            <w:tcW w:w="1641" w:type="dxa"/>
            <w:noWrap w:val="0"/>
            <w:vAlign w:val="center"/>
          </w:tcPr>
          <w:p w14:paraId="6C7371CD">
            <w:pPr>
              <w:adjustRightInd w:val="0"/>
              <w:snapToGrid w:val="0"/>
              <w:jc w:val="center"/>
              <w:rPr>
                <w:rFonts w:hint="default" w:ascii="宋体" w:hAnsi="宋体" w:cs="宋体"/>
                <w:color w:val="000000"/>
                <w:szCs w:val="21"/>
                <w:lang w:val="en-US" w:eastAsia="zh-CN"/>
              </w:rPr>
            </w:pPr>
            <w:r>
              <w:rPr>
                <w:rFonts w:hint="eastAsia" w:ascii="宋体" w:hAnsi="宋体" w:cs="宋体"/>
                <w:color w:val="000000"/>
                <w:szCs w:val="21"/>
                <w:lang w:val="en-US" w:eastAsia="zh-CN"/>
              </w:rPr>
              <w:t>1200000.00</w:t>
            </w:r>
          </w:p>
        </w:tc>
        <w:tc>
          <w:tcPr>
            <w:tcW w:w="1730" w:type="dxa"/>
            <w:noWrap w:val="0"/>
            <w:vAlign w:val="center"/>
          </w:tcPr>
          <w:p w14:paraId="1D084848">
            <w:pPr>
              <w:adjustRightInd w:val="0"/>
              <w:snapToGrid w:val="0"/>
              <w:jc w:val="center"/>
              <w:rPr>
                <w:rFonts w:hint="eastAsia" w:ascii="宋体" w:hAnsi="宋体" w:cs="宋体"/>
                <w:color w:val="000000"/>
                <w:kern w:val="2"/>
                <w:sz w:val="21"/>
                <w:szCs w:val="21"/>
                <w:lang w:val="en-US" w:eastAsia="zh-CN" w:bidi="ar-SA"/>
              </w:rPr>
            </w:pPr>
            <w:r>
              <w:rPr>
                <w:rFonts w:hint="eastAsia" w:ascii="宋体" w:hAnsi="宋体" w:cs="宋体"/>
                <w:color w:val="000000"/>
                <w:szCs w:val="21"/>
                <w:lang w:val="en-US" w:eastAsia="zh-CN"/>
              </w:rPr>
              <w:t>1200000.00</w:t>
            </w:r>
          </w:p>
        </w:tc>
      </w:tr>
    </w:tbl>
    <w:p w14:paraId="486ABF53">
      <w:pPr>
        <w:adjustRightInd w:val="0"/>
        <w:snapToGrid w:val="0"/>
        <w:spacing w:before="156" w:beforeLines="50" w:line="360" w:lineRule="auto"/>
        <w:ind w:firstLine="420" w:firstLineChars="200"/>
        <w:rPr>
          <w:rFonts w:ascii="宋体" w:hAnsi="宋体" w:cs="Arial"/>
          <w:color w:val="000000"/>
          <w:kern w:val="0"/>
          <w:szCs w:val="21"/>
        </w:rPr>
      </w:pPr>
      <w:r>
        <w:rPr>
          <w:rFonts w:hint="eastAsia" w:ascii="宋体" w:hAnsi="宋体" w:cs="Arial"/>
          <w:color w:val="000000"/>
          <w:kern w:val="0"/>
          <w:szCs w:val="21"/>
        </w:rPr>
        <w:t>注：1、</w:t>
      </w:r>
      <w:r>
        <w:rPr>
          <w:rFonts w:hint="eastAsia" w:ascii="宋体" w:hAnsi="宋体"/>
          <w:color w:val="000000"/>
          <w:szCs w:val="21"/>
        </w:rPr>
        <w:t>投标人必须对一个完整、独立的包进行投标，不得仅对一个包中的部分品目投标，否则</w:t>
      </w:r>
      <w:r>
        <w:rPr>
          <w:rFonts w:hint="eastAsia" w:ascii="宋体" w:hAnsi="宋体"/>
          <w:b/>
          <w:color w:val="000000"/>
          <w:szCs w:val="21"/>
        </w:rPr>
        <w:t>投标无效。</w:t>
      </w:r>
    </w:p>
    <w:p w14:paraId="7C3F9A3A">
      <w:pPr>
        <w:pStyle w:val="5"/>
        <w:tabs>
          <w:tab w:val="left" w:pos="1342"/>
        </w:tabs>
        <w:spacing w:before="67" w:line="288" w:lineRule="auto"/>
        <w:ind w:firstLine="840" w:firstLineChars="400"/>
        <w:jc w:val="left"/>
        <w:textAlignment w:val="baseline"/>
        <w:rPr>
          <w:rFonts w:ascii="宋体" w:hAnsi="宋体" w:cs="Arial"/>
          <w:color w:val="000000"/>
          <w:kern w:val="0"/>
          <w:szCs w:val="21"/>
        </w:rPr>
      </w:pPr>
      <w:r>
        <w:rPr>
          <w:rFonts w:hint="eastAsia" w:ascii="宋体" w:hAnsi="宋体" w:cs="Arial"/>
          <w:color w:val="000000"/>
          <w:kern w:val="0"/>
          <w:szCs w:val="21"/>
        </w:rPr>
        <w:t>2、投标人所投产品与采购清单产品名称不一致的，需在《开标一览表》单独注明。</w:t>
      </w:r>
    </w:p>
    <w:p w14:paraId="7115E2C2">
      <w:pPr>
        <w:adjustRightInd w:val="0"/>
        <w:snapToGrid w:val="0"/>
        <w:spacing w:before="156" w:beforeLines="50" w:line="360" w:lineRule="auto"/>
        <w:ind w:firstLine="840" w:firstLineChars="400"/>
        <w:rPr>
          <w:rFonts w:ascii="宋体" w:hAnsi="宋体" w:cs="宋体"/>
          <w:color w:val="000000"/>
          <w:kern w:val="0"/>
          <w:szCs w:val="21"/>
        </w:rPr>
      </w:pPr>
      <w:r>
        <w:rPr>
          <w:rFonts w:hint="eastAsia" w:ascii="宋体" w:hAnsi="宋体"/>
          <w:color w:val="000000"/>
          <w:szCs w:val="21"/>
        </w:rPr>
        <w:t>3、货物的主要技术参数或规格：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3AC8201B">
      <w:pPr>
        <w:pStyle w:val="5"/>
        <w:tabs>
          <w:tab w:val="left" w:pos="1342"/>
        </w:tabs>
        <w:spacing w:before="67" w:line="288" w:lineRule="auto"/>
        <w:ind w:firstLine="0" w:firstLineChars="0"/>
        <w:jc w:val="left"/>
        <w:textAlignment w:val="baseline"/>
        <w:rPr>
          <w:rFonts w:ascii="宋体" w:hAnsi="宋体" w:cs="宋体"/>
          <w:b/>
          <w:bCs/>
          <w:color w:val="000000"/>
          <w:sz w:val="22"/>
          <w:shd w:val="clear" w:color="auto" w:fill="FFFFFF"/>
        </w:rPr>
      </w:pPr>
    </w:p>
    <w:p w14:paraId="5BD0935C">
      <w:pPr>
        <w:pStyle w:val="5"/>
        <w:tabs>
          <w:tab w:val="left" w:pos="1342"/>
        </w:tabs>
        <w:spacing w:before="67" w:line="288" w:lineRule="auto"/>
        <w:ind w:firstLine="241" w:firstLineChars="100"/>
        <w:jc w:val="center"/>
        <w:textAlignment w:val="baseline"/>
        <w:outlineLvl w:val="1"/>
        <w:rPr>
          <w:rFonts w:ascii="宋体" w:hAnsi="宋体" w:cs="宋体"/>
          <w:b/>
          <w:bCs/>
          <w:color w:val="000000"/>
          <w:kern w:val="0"/>
          <w:sz w:val="24"/>
        </w:rPr>
      </w:pPr>
      <w:r>
        <w:rPr>
          <w:rFonts w:hint="eastAsia" w:ascii="宋体" w:hAnsi="宋体" w:cs="宋体"/>
          <w:b/>
          <w:bCs/>
          <w:color w:val="000000"/>
          <w:kern w:val="0"/>
          <w:sz w:val="24"/>
          <w:lang w:val="en-US" w:eastAsia="zh-CN"/>
        </w:rPr>
        <w:tab/>
      </w:r>
      <w:r>
        <w:rPr>
          <w:rFonts w:hint="eastAsia" w:ascii="宋体" w:hAnsi="宋体" w:cs="宋体"/>
          <w:b/>
          <w:bCs/>
          <w:color w:val="000000"/>
          <w:kern w:val="0"/>
          <w:sz w:val="24"/>
          <w:lang w:val="en-US" w:eastAsia="zh-CN"/>
        </w:rPr>
        <w:t xml:space="preserve"> </w:t>
      </w:r>
      <w:r>
        <w:rPr>
          <w:rFonts w:ascii="宋体" w:hAnsi="宋体" w:cs="宋体"/>
          <w:b/>
          <w:bCs/>
          <w:color w:val="000000"/>
          <w:kern w:val="0"/>
          <w:sz w:val="24"/>
        </w:rPr>
        <w:br w:type="page"/>
      </w:r>
    </w:p>
    <w:p w14:paraId="0FC4D904">
      <w:pPr>
        <w:pStyle w:val="5"/>
        <w:tabs>
          <w:tab w:val="left" w:pos="1342"/>
        </w:tabs>
        <w:spacing w:before="67" w:line="288" w:lineRule="auto"/>
        <w:ind w:firstLine="0" w:firstLineChars="0"/>
        <w:jc w:val="center"/>
        <w:textAlignment w:val="baseline"/>
        <w:outlineLvl w:val="1"/>
        <w:rPr>
          <w:rFonts w:hint="eastAsia" w:ascii="宋体" w:hAnsi="宋体" w:eastAsia="宋体" w:cs="宋体"/>
          <w:b/>
          <w:bCs/>
          <w:color w:val="000000"/>
          <w:kern w:val="0"/>
          <w:sz w:val="24"/>
        </w:rPr>
      </w:pPr>
      <w:r>
        <w:rPr>
          <w:rFonts w:hint="eastAsia" w:ascii="宋体" w:hAnsi="宋体" w:eastAsia="宋体" w:cs="宋体"/>
          <w:b/>
          <w:bCs/>
          <w:color w:val="000000"/>
          <w:kern w:val="0"/>
          <w:sz w:val="24"/>
        </w:rPr>
        <w:t>第二节  技术要求</w:t>
      </w:r>
    </w:p>
    <w:p w14:paraId="61EDE567">
      <w:pPr>
        <w:spacing w:line="360" w:lineRule="auto"/>
        <w:ind w:left="0" w:leftChars="0" w:firstLine="0" w:firstLineChars="0"/>
        <w:jc w:val="left"/>
        <w:rPr>
          <w:rFonts w:hint="eastAsia" w:ascii="宋体" w:hAnsi="宋体" w:eastAsia="宋体" w:cs="宋体"/>
          <w:b/>
          <w:bCs/>
          <w:color w:val="000000"/>
          <w:sz w:val="21"/>
          <w:szCs w:val="21"/>
          <w:lang w:eastAsia="zh-CN"/>
        </w:rPr>
      </w:pPr>
      <w:r>
        <w:rPr>
          <w:rFonts w:hint="eastAsia" w:ascii="宋体" w:hAnsi="宋体" w:eastAsia="宋体" w:cs="宋体"/>
          <w:b/>
          <w:bCs/>
          <w:color w:val="000000"/>
          <w:sz w:val="21"/>
          <w:lang w:val="en-US" w:eastAsia="zh-CN"/>
        </w:rPr>
        <w:t>★项目总体要求：（适用于本项目所有分包）</w:t>
      </w:r>
      <w:r>
        <w:rPr>
          <w:rFonts w:hint="eastAsia" w:ascii="宋体" w:hAnsi="宋体" w:eastAsia="宋体" w:cs="宋体"/>
          <w:b/>
          <w:bCs/>
          <w:color w:val="000000"/>
          <w:sz w:val="21"/>
        </w:rPr>
        <w:t>所投货物纳入医疗器械管理的，货物须具有有效的医疗器械注册证（或备案凭证）且在证件有效期内生产。</w:t>
      </w:r>
    </w:p>
    <w:p w14:paraId="7E455510">
      <w:pPr>
        <w:pStyle w:val="5"/>
        <w:numPr>
          <w:ilvl w:val="0"/>
          <w:numId w:val="0"/>
        </w:numPr>
        <w:spacing w:line="360" w:lineRule="auto"/>
        <w:ind w:left="0" w:leftChars="0" w:firstLine="0" w:firstLineChars="0"/>
        <w:rPr>
          <w:rFonts w:hint="default" w:ascii="宋体" w:hAnsi="宋体" w:eastAsia="宋体" w:cs="宋体"/>
          <w:bCs/>
          <w:color w:val="000000"/>
          <w:kern w:val="2"/>
          <w:sz w:val="21"/>
          <w:szCs w:val="21"/>
          <w:lang w:val="en-US" w:eastAsia="zh-CN" w:bidi="ar-SA"/>
        </w:rPr>
      </w:pPr>
    </w:p>
    <w:p w14:paraId="626EFCAD">
      <w:pPr>
        <w:pStyle w:val="5"/>
        <w:widowControl w:val="0"/>
        <w:numPr>
          <w:ilvl w:val="0"/>
          <w:numId w:val="0"/>
        </w:numPr>
        <w:tabs>
          <w:tab w:val="left" w:pos="1342"/>
        </w:tabs>
        <w:spacing w:before="67" w:line="288" w:lineRule="auto"/>
        <w:ind w:firstLine="210" w:firstLineChars="100"/>
        <w:jc w:val="left"/>
        <w:textAlignment w:val="baseline"/>
        <w:rPr>
          <w:rFonts w:hint="default"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包1  </w:t>
      </w:r>
      <w:r>
        <w:rPr>
          <w:rFonts w:hint="eastAsia" w:ascii="宋体" w:hAnsi="宋体" w:cs="宋体"/>
          <w:color w:val="000000"/>
          <w:szCs w:val="21"/>
          <w:lang w:val="en-US" w:eastAsia="zh-CN"/>
        </w:rPr>
        <w:t>转运系统 1套</w:t>
      </w:r>
    </w:p>
    <w:p w14:paraId="1BE65469">
      <w:pPr>
        <w:pStyle w:val="5"/>
        <w:widowControl w:val="0"/>
        <w:numPr>
          <w:ilvl w:val="0"/>
          <w:numId w:val="0"/>
        </w:numPr>
        <w:tabs>
          <w:tab w:val="left" w:pos="1342"/>
        </w:tabs>
        <w:spacing w:before="67" w:line="288" w:lineRule="auto"/>
        <w:ind w:firstLine="210" w:firstLineChars="100"/>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本系统由婴儿转运培养箱、转运呼吸机、一氧化碳治疗仪、转运监护仪、输注工作站、负压吸引器组成，其中核心产品为：婴儿转运培养箱。</w:t>
      </w:r>
    </w:p>
    <w:p w14:paraId="4C8D1FC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一、婴儿转运培养箱技术参数 数量1台</w:t>
      </w:r>
    </w:p>
    <w:p w14:paraId="5744DDB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1．轻便设计，整机重量≤30Kg (不包括转运、救护机架)</w:t>
      </w:r>
    </w:p>
    <w:p w14:paraId="58ECAEF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2．配备光纤照明灯，光照度二级可调；</w:t>
      </w:r>
    </w:p>
    <w:p w14:paraId="7575C46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3．≥5英寸彩色液晶显示触摸屏，屏幕亮度可调，支持飞梭旋钮操作；</w:t>
      </w:r>
    </w:p>
    <w:p w14:paraId="510EE9A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4．床垫尺寸达到≥60cm*32cm (长*宽)，具有婴儿约束限位装置设计；</w:t>
      </w:r>
    </w:p>
    <w:p w14:paraId="5D12AD7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5．支持交直流两用供电，内置电池，正常工作条件下单电池包续航≥3小时；</w:t>
      </w:r>
    </w:p>
    <w:p w14:paraId="547F3F4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6．支持救护车车载12V/24V电源输入；</w:t>
      </w:r>
    </w:p>
    <w:p w14:paraId="2054ABD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7．采用360度可视报警灯设计；</w:t>
      </w:r>
    </w:p>
    <w:p w14:paraId="3A9CB95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8．具有正门拉出式床体设计，床体承重≥10Kg;</w:t>
      </w:r>
    </w:p>
    <w:p w14:paraId="1B05446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▲9．具有床体减震装置；</w:t>
      </w:r>
    </w:p>
    <w:p w14:paraId="18D2670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10．具有缓降门板功能；</w:t>
      </w:r>
    </w:p>
    <w:p w14:paraId="4C15454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11．具有三级声光报警，报警音量可调；提供报警日志显示；</w:t>
      </w:r>
    </w:p>
    <w:p w14:paraId="17B7FD0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12．具有≥12小时的趋势图/趋势表记录设备运行数据；</w:t>
      </w:r>
    </w:p>
    <w:p w14:paraId="7B5D454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13．支持患者添加信息录入；</w:t>
      </w:r>
    </w:p>
    <w:p w14:paraId="42E50BF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14．配置院外手推车</w:t>
      </w:r>
    </w:p>
    <w:p w14:paraId="42E3B14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（1）手动推车的使用对象为体重≤10kg的幼儿。</w:t>
      </w:r>
    </w:p>
    <w:p w14:paraId="197AD5C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（2）手动推车由推车面板、支撑架和脚轮组成。产品为无源产品。</w:t>
      </w:r>
    </w:p>
    <w:p w14:paraId="3FB4F64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（3）手动推车整体高度≥ 4 档可调。</w:t>
      </w:r>
    </w:p>
    <w:p w14:paraId="2BC911B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（4）手动推车最大承载重量≥150kg</w:t>
      </w:r>
    </w:p>
    <w:p w14:paraId="01EFF36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15．配置推车平台</w:t>
      </w:r>
    </w:p>
    <w:p w14:paraId="57EA40A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（1）由担架面和支撑架组成，产品为无源产品。</w:t>
      </w:r>
    </w:p>
    <w:p w14:paraId="59A43E5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（2）根据平台设备定制</w:t>
      </w:r>
    </w:p>
    <w:p w14:paraId="39C3C18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（3）承重≥150kg</w:t>
      </w:r>
    </w:p>
    <w:p w14:paraId="36E3486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16．具有箱温控制功能，箱温控制范围25.0℃—39.0℃；</w:t>
      </w:r>
    </w:p>
    <w:p w14:paraId="7BDCD2A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17．升温时间不超过40min(根据行业标准检测条件)；</w:t>
      </w:r>
    </w:p>
    <w:p w14:paraId="3938358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18．箱温控制精度≤±1.0℃；</w:t>
      </w:r>
    </w:p>
    <w:p w14:paraId="380A210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▲19．配置肤温控制功能，肤温控制范围34.0℃—38.0℃；</w:t>
      </w:r>
    </w:p>
    <w:p w14:paraId="7952DCF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▲20．配置湿度控制功能，湿度的控制范围为：30%RH～90%RH，具有缺水报警。</w:t>
      </w:r>
    </w:p>
    <w:p w14:paraId="2DB97C8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21．具有脉搏血氧监测功能，a.SpO2 测量精度：在校准范围70%~100%内，无体动状态下：±3%b.PR 测量精度：在30 次/分（bpm）~240 次/分（bpm）内，无体动状态下：±3次/分（bpm）</w:t>
      </w:r>
    </w:p>
    <w:p w14:paraId="0D143F7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22．具有氧浓度监测功能，显示范围15%-100%，氧浓度的显示精度：25%及以下的显示精度为±2%；25%以上的显示精度为±3%；</w:t>
      </w:r>
    </w:p>
    <w:p w14:paraId="5A06CEE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23．正常工作过程中，婴儿舱内噪音:≤50dB(A)；</w:t>
      </w:r>
    </w:p>
    <w:p w14:paraId="22DCA4A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24．产品有效使用寿命:≥10年（提供所投产品的铭牌）；</w:t>
      </w:r>
    </w:p>
    <w:p w14:paraId="146F49A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6AC6A28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二、转运呼吸机技术参数 数量1台</w:t>
      </w:r>
    </w:p>
    <w:p w14:paraId="5510D8D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1.支持新生儿和小儿患者通气辅助及呼吸支持。</w:t>
      </w:r>
    </w:p>
    <w:p w14:paraId="2E98E8C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2.整机为电动电控设计，涡轮驱动产生空气气源。</w:t>
      </w:r>
    </w:p>
    <w:p w14:paraId="21464B8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3.电池续航时间≥5小时</w:t>
      </w:r>
    </w:p>
    <w:p w14:paraId="0DD25A6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4.高性能涡轮，峰值流速≥220L/min。</w:t>
      </w:r>
    </w:p>
    <w:p w14:paraId="1839381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5.提拿悬挂一体化多功能把手，灵活便携。</w:t>
      </w:r>
    </w:p>
    <w:p w14:paraId="72C607D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6.无消耗型氧传感器，无需校准和更换。</w:t>
      </w:r>
    </w:p>
    <w:p w14:paraId="13C68BE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7.支持高压氧气气源和低压氧气气源两种方式。</w:t>
      </w:r>
    </w:p>
    <w:p w14:paraId="2BE0158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8.高性能新生儿重复性使用湿化系统。</w:t>
      </w:r>
    </w:p>
    <w:p w14:paraId="5F3A8F4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9.配备快速插拔的氧气瓶减压阀，便于高效操作。</w:t>
      </w:r>
    </w:p>
    <w:p w14:paraId="28F218C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10.采用彩色电容触摸控制屏，分辨率≥1280*800像素，可同时显示波形和监测参数。</w:t>
      </w:r>
    </w:p>
    <w:p w14:paraId="2BEC464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11.具有屏幕亮度自动调节功能，根据环境光线强度自动调节屏幕亮度。</w:t>
      </w:r>
    </w:p>
    <w:p w14:paraId="44C4636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12.具有关机状态下电量显示功能，更加高效掌握机器剩余电量。</w:t>
      </w:r>
    </w:p>
    <w:p w14:paraId="1D6E55D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13.支持显示≥100小时的全部监测参数趋势图、表分析，≥7000条报警和操作日志记录。</w:t>
      </w:r>
    </w:p>
    <w:p w14:paraId="20558FD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14.具备截屏U盘导出功能，可缓存≥50张屏幕文件。</w:t>
      </w:r>
    </w:p>
    <w:p w14:paraId="0ECAB8D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15.防尘防水等级≥IP34，保证机器在复杂环境中的安全。</w:t>
      </w:r>
    </w:p>
    <w:p w14:paraId="59E9852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16.工作温度范围：-20 ~ 50 ℃，满足低温和高温环境下工作要求。</w:t>
      </w:r>
    </w:p>
    <w:p w14:paraId="0C8F379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17.具有自动海拔补偿功能和自动漏气补偿功能。</w:t>
      </w:r>
    </w:p>
    <w:p w14:paraId="438C403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标配模式：容量控制/辅助通气模式V-A/C和容量同步间歇指令通气模式V-SIMV；压力控制/辅助通气模式P-A/C和压力同步间歇指令通气模式P-SIMV；压力调节容量控制通气（如AUTOFLOW或PRVC等）、压力调节容量控制-同步间歇指令通气模式（PRVC-SIMV）、持续气道正压通气模式/压力支持通气模式CPAP/PSV、双水平气道正压通气模式（如BIPAP或DuoLevel或BiLevel）。</w:t>
      </w:r>
    </w:p>
    <w:p w14:paraId="397ABED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▲19.高级模式：气道压力释放通气APRV；容量支持通气VS；新生儿经鼻nCPAP；高流量氧疗。</w:t>
      </w:r>
    </w:p>
    <w:p w14:paraId="65E3D58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20.动态肺视图，能实时图形化动态显示患者气道阻抗、肺顺应性、通气量等力学参数变化。</w:t>
      </w:r>
    </w:p>
    <w:p w14:paraId="467797D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21.增氧、吸痰、手动呼吸、吸气保持功能。</w:t>
      </w:r>
    </w:p>
    <w:p w14:paraId="211E63A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22.配备新生儿管路、近病人流量传感器、氧疗鼻导管等附件。</w:t>
      </w:r>
    </w:p>
    <w:p w14:paraId="13F2302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▲23.潮气量：2ml—4000ml</w:t>
      </w:r>
    </w:p>
    <w:p w14:paraId="0E8E1E9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24.吸气压力：1—80 cmH2O</w:t>
      </w:r>
    </w:p>
    <w:p w14:paraId="1C52DBB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25.呼气末正压：0—50 cmH2O</w:t>
      </w:r>
    </w:p>
    <w:p w14:paraId="27FAD04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26.吸入氧浓度：21—100%</w:t>
      </w:r>
    </w:p>
    <w:p w14:paraId="5EFF195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27.吸气时间：0.1—10s  </w:t>
      </w:r>
    </w:p>
    <w:p w14:paraId="2E06F94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28.压力触发灵敏度：-20— - 0.5cmH2O，或 OFF  </w:t>
      </w:r>
    </w:p>
    <w:p w14:paraId="0CEC06A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29.流速触发灵敏度：0.1—20L/ min，或 OFF  </w:t>
      </w:r>
    </w:p>
    <w:p w14:paraId="055502E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30.呼气触发灵敏度：1—85%  </w:t>
      </w:r>
    </w:p>
    <w:p w14:paraId="1853F80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31.监测参数：氧浓度、分钟通气量、潮气量、气道压力、呼吸频率等关键参数。</w:t>
      </w:r>
    </w:p>
    <w:p w14:paraId="6C9518F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32.波形监测：压力—时间、流速—时间、容量—时间和CO2—时间波形。</w:t>
      </w:r>
    </w:p>
    <w:p w14:paraId="24793C5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33.报警：潮气量、通气量、压力、呼吸频率、窒息、氧浓度、氧气不足、电量不足、管路脱落、机器故障等。</w:t>
      </w:r>
    </w:p>
    <w:p w14:paraId="6E9D16A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34.信息互连：支持多种无线方式，灵活将呼吸机数据传输到远程终端，实现患者的远程实时监控，满足转运过程中的信息化的需求。</w:t>
      </w:r>
    </w:p>
    <w:p w14:paraId="4F8DD8F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  </w:t>
      </w:r>
    </w:p>
    <w:p w14:paraId="757DDC8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三、一氧化氮治疗仪技术参数 数量1台</w:t>
      </w:r>
    </w:p>
    <w:p w14:paraId="4D3CFAC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1.设备具备一氧化氮制气、配气和监测三大功能，该产品与呼吸机联合使用，用于辅助治疗肺动脉高压症。产品适用人群为小儿及成人。</w:t>
      </w:r>
    </w:p>
    <w:p w14:paraId="7E8C43C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2.设备所使用的钢瓶气体或设备生成的气体可提供第三方机构出具的气体成分检测报告或证明钢瓶内气体成分的材料。</w:t>
      </w:r>
    </w:p>
    <w:p w14:paraId="300D833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3.设备可适配一次性使用的一氧化氮气体管路(防止交叉感染)，且在设备注册证或说明书中明确标识可适用的成人或小儿一次性一氧化氮气体管路型号或类型。</w:t>
      </w:r>
    </w:p>
    <w:p w14:paraId="5FFB238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4.设备可与有创呼吸机及无创呼吸机联合使用时，需配置流量传感器以实现一氧化氮治疗仪与呼吸机的同步输送。需提供一氧化氮治疗仪与有创呼吸机及无创呼吸机的连接示意图，且在图中注明流量传感器位置。</w:t>
      </w:r>
    </w:p>
    <w:p w14:paraId="7009349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5.设备连接呼吸机正常进行吸入一氧化氮治疗时，无需关机或待机可直接更换过滤器或切换气瓶，不需要中断一氧化氮吸入治疗。</w:t>
      </w:r>
    </w:p>
    <w:p w14:paraId="5155827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6.设备内置气体监测模块，包含NO浓度传感器，NO2浓度传感器，O2浓度传感器。</w:t>
      </w:r>
    </w:p>
    <w:p w14:paraId="11A5817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7.NO浓度设置范围0ppm～80ppm，步长为1ppm，当NO输出浓度为0ppm时，代表输出关闭。</w:t>
      </w:r>
    </w:p>
    <w:p w14:paraId="31E6D02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8.NO浓度监测范围0ppm～100ppm，分辨率0.1ppm</w:t>
      </w:r>
    </w:p>
    <w:p w14:paraId="700478C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9.NO浓度监测精度：不超过读数的±4%或±1ppm（取较大者）</w:t>
      </w:r>
    </w:p>
    <w:p w14:paraId="05F5C0B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10.”NO浓度高”报警限设置范围：5ppm～98ppm</w:t>
      </w:r>
    </w:p>
    <w:p w14:paraId="069E4BC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11.NO2浓度监测范围：0ppm～30ppm，分辨率0.1ppm</w:t>
      </w:r>
    </w:p>
    <w:p w14:paraId="7910715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12.”NO2浓度高”报警限设置范围：1ppm~5ppm</w:t>
      </w:r>
    </w:p>
    <w:p w14:paraId="09DC8DE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13.氧浓度传感器监测范围: 18～100%，分辨率1%，监测误差不超过±3%</w:t>
      </w:r>
    </w:p>
    <w:p w14:paraId="6BABA9B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14.NO气体输出流量不超过2L/min</w:t>
      </w:r>
    </w:p>
    <w:p w14:paraId="28CF9A4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15.设备中须列明设备与呼吸机联用时NO注入对呼吸机氧浓度的稀释比例，当氧浓度设置为100%，NO浓度为80ppm时，对呼吸机氧浓度稀释比例需&lt;=10%</w:t>
      </w:r>
    </w:p>
    <w:p w14:paraId="1CC8876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设备根据报警发生时需要用户响应的速度及处理的紧急程度，将报警分为高、中、低三级报警，分别用不同的声音和颜色显示报警内容。高优先级报警表示需要操作者立即处置或者设备出现严重的技术问题；中优先级报警表示需要操作者即时响应；低优先级报警表示需要操作者加以注意。</w:t>
      </w:r>
    </w:p>
    <w:p w14:paraId="5537631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17.监测的一氧化氮气体浓度、二氧化氮气体浓度、氧气浓度的报警上下限可手动设置。</w:t>
      </w:r>
    </w:p>
    <w:p w14:paraId="6EC7FCF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18.设备具有触摸屏，屏幕尺寸≥12英寸，分辨率≥1280*800像素</w:t>
      </w:r>
    </w:p>
    <w:p w14:paraId="6665607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19.具有数据导出功能：使用SD卡或U盘可进行数据导出。</w:t>
      </w:r>
    </w:p>
    <w:p w14:paraId="7AC9E3A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2399E9E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1414EDF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四、转运监护仪技术参数 数量1台</w:t>
      </w:r>
    </w:p>
    <w:p w14:paraId="44CC548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1.适用于小儿、新生儿的监测。</w:t>
      </w:r>
    </w:p>
    <w:p w14:paraId="46EF642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2.≥5英寸彩色触摸显示屏，小巧便携。</w:t>
      </w:r>
    </w:p>
    <w:p w14:paraId="663521C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3.防尘防水等级≥IP44,易清洁和适用医院内外不同临床救治环境。</w:t>
      </w:r>
    </w:p>
    <w:p w14:paraId="3783AEE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4.整机无风扇设计。</w:t>
      </w:r>
    </w:p>
    <w:p w14:paraId="42339D8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5.可在交直流两种供电模式下使用，配备内置电池，支持≥5小时的持续监测。</w:t>
      </w:r>
    </w:p>
    <w:p w14:paraId="60EC04B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6.内置DC电源接口，可以进行车载充电。</w:t>
      </w:r>
    </w:p>
    <w:p w14:paraId="3ACED93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7.支持3/5导心电，血氧、无创血压. </w:t>
      </w:r>
    </w:p>
    <w:p w14:paraId="4AA9071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8.转运监护仪支持插入床旁监护仪插槽作为参数模块使用，即插即用。</w:t>
      </w:r>
    </w:p>
    <w:p w14:paraId="76E2889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9.具有多导心电监护算法 ，同步分析≥4通道心电波形，能够良好抗干扰。</w:t>
      </w:r>
    </w:p>
    <w:p w14:paraId="0ECC440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10.心率测量范围：成人15 -300 bpm，小儿/新生儿15 - 350 bpm。</w:t>
      </w:r>
    </w:p>
    <w:p w14:paraId="190863E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11.波速提供50mm/s，25 mm/s、12.5 mm/s、6.25 mm/s可选。</w:t>
      </w:r>
    </w:p>
    <w:p w14:paraId="0D1D113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12.滤波模式提供诊断模式（0.05 -150Hz），监护模式（0.5 -40Hz），ST模式（0.05 - 40Hz），手术模式（1-20Hz）。</w:t>
      </w:r>
    </w:p>
    <w:p w14:paraId="04D6994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13.提供≥25种心律失常事件的分析</w:t>
      </w:r>
    </w:p>
    <w:p w14:paraId="7E4A114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14.提供ST段分析，提供显示和存储ST值和每个ST的模板。</w:t>
      </w:r>
    </w:p>
    <w:p w14:paraId="61DD05E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15.可显示弱灌注指数（PI）。</w:t>
      </w:r>
    </w:p>
    <w:p w14:paraId="4279DB8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16.提供双通道体温测量，提供两通道体温测量差值显示。</w:t>
      </w:r>
    </w:p>
    <w:p w14:paraId="602C7B1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17.提供手动、自动间隔、连续、序列四种无创血压测量模式。</w:t>
      </w:r>
    </w:p>
    <w:p w14:paraId="5CA5E92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18.≥1000条事件回顾。每条报警事件至少能够存储32秒三道相关波形，以及报警触发时所有测量参数值。</w:t>
      </w:r>
    </w:p>
    <w:p w14:paraId="2625F00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19.≥1000条NIBP测量结果回顾。</w:t>
      </w:r>
    </w:p>
    <w:p w14:paraId="37FCEF4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20.≥48小时全息波形回顾。</w:t>
      </w:r>
    </w:p>
    <w:p w14:paraId="733AD98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21.≥120小时趋势数据回顾。</w:t>
      </w:r>
    </w:p>
    <w:p w14:paraId="130E8ED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22.产品设计使用年限≥8年（提供所投产品的铭牌）。</w:t>
      </w:r>
    </w:p>
    <w:p w14:paraId="38A0569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04B4AB5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五、输注工作站技术参数 数量1台</w:t>
      </w:r>
    </w:p>
    <w:p w14:paraId="07EF9F3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1.输液信息采集系统需通过NMPA三类注册证</w:t>
      </w:r>
    </w:p>
    <w:p w14:paraId="26D55D6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2.输注工作站配置4通道，每套配置1台输液泵3台注射泵，且输注采集系统以每2个通道为基本单位增减，泵即插即用，与系统数据无缝连接</w:t>
      </w:r>
    </w:p>
    <w:p w14:paraId="293D716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3.输液信息采集系统只需一根电源线，可为站内输液泵/注射泵模块集中供电</w:t>
      </w:r>
    </w:p>
    <w:p w14:paraId="15388B8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4.输液信息采集系统具有RJ45端口，支持有线联网；</w:t>
      </w:r>
    </w:p>
    <w:p w14:paraId="1A2DE96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5.输液信息采集系统任意输注模块之间具备联机功能，满足用户的连续输液功能需求；</w:t>
      </w:r>
    </w:p>
    <w:p w14:paraId="5887AFE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6.可通过有线网络直接接入监护仪中央站，实现监护仪和输注泵信息同屏查看</w:t>
      </w:r>
    </w:p>
    <w:p w14:paraId="1524E69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7.通过中央站可远程控制工作站内输液泵、注射泵，支持速度、预置量、快进等参数远程设置及更改</w:t>
      </w:r>
    </w:p>
    <w:p w14:paraId="7660B98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8.远程控制需要输入授权码才能控制，确保网络安全</w:t>
      </w:r>
    </w:p>
    <w:p w14:paraId="572E815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9.注射泵需通过NMPA三类注册证</w:t>
      </w:r>
    </w:p>
    <w:p w14:paraId="06BF7DB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10.注射精度≤±1.8%</w:t>
      </w:r>
    </w:p>
    <w:p w14:paraId="43DBC1D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11.速率范围：0.01-2300ml/h, 最小步进0.01ml/h</w:t>
      </w:r>
    </w:p>
    <w:p w14:paraId="4DDC6EA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12.预置输液总量范围：0.01-9999.99ml</w:t>
      </w:r>
    </w:p>
    <w:p w14:paraId="483F199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13.快进流速范围：0.01-2300ml/h，具有自动和手动快进可选；</w:t>
      </w:r>
    </w:p>
    <w:p w14:paraId="2F2F351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14.可自动统计四种累计量：24h累计量、最近累计量、自定义时间段累计量、定时间隔累计量</w:t>
      </w:r>
    </w:p>
    <w:p w14:paraId="2CFF8D9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15.支持注射器规格：1ml、2ml、3ml、5ml、10ml、20ml、30ml、50/60ml；</w:t>
      </w:r>
    </w:p>
    <w:p w14:paraId="723BB93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16.注射器安装后，推拉盒可自动定位并固定注射器尾夹，无需手动操作</w:t>
      </w:r>
    </w:p>
    <w:p w14:paraId="47C9CDB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17.无需额外工具或设备，可直接在注射泵上添加注射器品牌名称</w:t>
      </w:r>
    </w:p>
    <w:p w14:paraId="1FF994A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18.8种注射模式：速度模式、时间模式、体重模式、梯度模式、序列模式、剂量时间模式、间断给药模式、TIVA模式；具备联机功能</w:t>
      </w:r>
    </w:p>
    <w:p w14:paraId="4F73EDD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19.可选PCA模式，PCA模式支持病人自控镇痛</w:t>
      </w:r>
    </w:p>
    <w:p w14:paraId="0CC009A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20.不小于3.5英寸彩色显示屏，电容触摸屏技术，支持上下左右滑动操作</w:t>
      </w:r>
    </w:p>
    <w:p w14:paraId="6317620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21.全中文软件操作界面</w:t>
      </w:r>
    </w:p>
    <w:p w14:paraId="5719DBC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22.锁屏功能：支持自动锁屏，自动锁屏时间可调</w:t>
      </w:r>
    </w:p>
    <w:p w14:paraId="35563A1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23.支持药物库，可储存≥5000种药物信息</w:t>
      </w:r>
    </w:p>
    <w:p w14:paraId="590717D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24.支持药物色彩标识，选择不同类型药物时对应的药物色彩标识自动显示在屏幕上，支持4种以上颜色</w:t>
      </w:r>
    </w:p>
    <w:p w14:paraId="0EB6575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25.报警时可通过示意图片直观提示报警信息</w:t>
      </w:r>
    </w:p>
    <w:p w14:paraId="0F4179E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26.在线动态压力监测，可实时显示当前压力数值；</w:t>
      </w:r>
    </w:p>
    <w:p w14:paraId="4A83817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27.压力报警阈值至少15档可调</w:t>
      </w:r>
    </w:p>
    <w:p w14:paraId="3828EA8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28.具备阻塞前预警提示功能，当管路压力未触发阻塞报警时，泵可自动识别压力上升并在屏幕上进行提示</w:t>
      </w:r>
    </w:p>
    <w:p w14:paraId="213EC93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29.具备阻塞后自动重启输液功能，短暂性阻塞触发报警后，泵检测到阻塞压力缓解时，无需人为干预，泵自动重新启动输液</w:t>
      </w:r>
    </w:p>
    <w:p w14:paraId="664FBE1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30.信息储存：可存储≥3500条的历史记录</w:t>
      </w:r>
    </w:p>
    <w:p w14:paraId="47E00F1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31.电池工作时间≥5小时@5ml/h</w:t>
      </w:r>
    </w:p>
    <w:p w14:paraId="1863BA5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32.防尘防水等级≥IP33</w:t>
      </w:r>
    </w:p>
    <w:p w14:paraId="2F4FEDA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33.整机重量不超过1.7kg</w:t>
      </w:r>
    </w:p>
    <w:p w14:paraId="6930741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34.输液泵需通过NMPA三类注册证</w:t>
      </w:r>
    </w:p>
    <w:p w14:paraId="4BA9C3B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35.支持输血功能，并提供证明文件</w:t>
      </w:r>
    </w:p>
    <w:p w14:paraId="0B43760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36.支持临床常用输血管路，无需专用输血管路</w:t>
      </w:r>
    </w:p>
    <w:p w14:paraId="09F5731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37.可升级肠内营养液输液功能，并提供证明文件</w:t>
      </w:r>
    </w:p>
    <w:p w14:paraId="7BD70C55">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38.输液精度≤±5%</w:t>
      </w:r>
    </w:p>
    <w:p w14:paraId="2563CCD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39.速率范围：0.1-2300ml/h, 最小步进0.01ml/h</w:t>
      </w:r>
    </w:p>
    <w:p w14:paraId="61A307F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40.预置输液总量范围：0.1-9999.99ml</w:t>
      </w:r>
    </w:p>
    <w:p w14:paraId="45BB3A3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41.快进流速范围：0.1-2300ml/h，具有自动和手动快进可选；</w:t>
      </w:r>
    </w:p>
    <w:p w14:paraId="19316EB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42.可自动统计四种累计量：24h累计量、最近累计量、自定义时间段累计量、定时间隔累计量</w:t>
      </w:r>
    </w:p>
    <w:p w14:paraId="76A379A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43.泵门智能电动控制，可自动关闭或打开</w:t>
      </w:r>
    </w:p>
    <w:p w14:paraId="1A7C318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44.无需额外工具或设备，可直接在输液泵添加输液器品牌名称</w:t>
      </w:r>
    </w:p>
    <w:p w14:paraId="51CEF67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45.8种输液模式：速度模式、时间模式、体重模式、梯度模式、序列模式、剂量时间模式、点滴模式、和间断给药模式；具备联机功能</w:t>
      </w:r>
    </w:p>
    <w:p w14:paraId="67737B1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46.不小于3.5英寸彩色显示屏，电容触摸屏技术，支持上下左右滑动操作</w:t>
      </w:r>
    </w:p>
    <w:p w14:paraId="1A91AAA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47.全中文软件操作界面</w:t>
      </w:r>
    </w:p>
    <w:p w14:paraId="4108955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48.锁屏功能：支持自动锁屏，自动锁屏时间可调</w:t>
      </w:r>
    </w:p>
    <w:p w14:paraId="757555B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49.支持药物库，可储存≥5000种药物信息。</w:t>
      </w:r>
    </w:p>
    <w:p w14:paraId="6FF64D0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50.支持药物色彩标识，选择不同类型药物时对应的药物色彩标识自动显示在屏幕上，支持4种以上颜色</w:t>
      </w:r>
    </w:p>
    <w:p w14:paraId="4A8AD74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51.报警时可通过示意图片直观提示报警信息</w:t>
      </w:r>
    </w:p>
    <w:p w14:paraId="5ECA5DF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52.在线动态压力监测，可实时显示当前压力数值；</w:t>
      </w:r>
    </w:p>
    <w:p w14:paraId="2C3A7A6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53.压力报警阈值最低可设置50mmHg</w:t>
      </w:r>
    </w:p>
    <w:p w14:paraId="1F31D2A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54.具备阻塞前预警提示功能，当管路压力未触发阻塞报警时，泵可自动识别压力上升并在屏幕上进行提示</w:t>
      </w:r>
    </w:p>
    <w:p w14:paraId="5D32679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55.具备阻塞后自动重启输液功能，短暂性阻塞触发报警后，泵检测到阻塞压力缓解时，无需人为干预，泵自动重新启动输液</w:t>
      </w:r>
    </w:p>
    <w:p w14:paraId="748BCDE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56.具备双压力传感器，可检测管路上下端的压力变化</w:t>
      </w:r>
    </w:p>
    <w:p w14:paraId="386AB11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57.具备双超声气泡检测技术，双重保障，防止气泡漏检漏报问题</w:t>
      </w:r>
    </w:p>
    <w:p w14:paraId="22B55EA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58.具备单个气泡和累积气泡报警功能，支持最小20μL的单个气泡报警</w:t>
      </w:r>
    </w:p>
    <w:p w14:paraId="1615EA2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59.无需滴数传感器，泵可自动识别空瓶状态并报警</w:t>
      </w:r>
    </w:p>
    <w:p w14:paraId="1635F7A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60.信息储存：可存储≥3500条的历史记录</w:t>
      </w:r>
    </w:p>
    <w:p w14:paraId="601CD33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61.电池工作时间≥5小时@25ml/h</w:t>
      </w:r>
    </w:p>
    <w:p w14:paraId="7264511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62防尘防水等级≥IP33</w:t>
      </w:r>
    </w:p>
    <w:p w14:paraId="4924CD3D">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63.整机重量不超过1.85kg</w:t>
      </w:r>
    </w:p>
    <w:p w14:paraId="35FD205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4A1D131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六、负压吸引器技术参数  数量1台</w:t>
      </w:r>
    </w:p>
    <w:p w14:paraId="006C090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1.负压调节范围：应从2kpa至极限负压范围内任意调节</w:t>
      </w:r>
    </w:p>
    <w:p w14:paraId="60B0AAA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2.可达到的负压值：至少为22kpa</w:t>
      </w:r>
    </w:p>
    <w:p w14:paraId="462309F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3.瞬时抽气速率：不低于4.5L/min</w:t>
      </w:r>
    </w:p>
    <w:p w14:paraId="1D7E504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4.工作噪声：≤55dB（A）</w:t>
      </w:r>
    </w:p>
    <w:p w14:paraId="3AACF2A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5.吸引瓶容量：1000ml</w:t>
      </w:r>
    </w:p>
    <w:p w14:paraId="0338A05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6.含吸引泵，真空表，过滤器，负压调节阀，防倒流阀，储液瓶，抽气管，引液管和手控阀。</w:t>
      </w:r>
    </w:p>
    <w:p w14:paraId="0ACE15F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7.该设备具备防逆流功能。</w:t>
      </w:r>
    </w:p>
    <w:p w14:paraId="57BCC1D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p>
    <w:p w14:paraId="59B5BFC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包2 </w:t>
      </w:r>
      <w:r>
        <w:rPr>
          <w:rFonts w:hint="eastAsia" w:ascii="宋体" w:hAnsi="宋体" w:cs="宋体"/>
          <w:color w:val="000000"/>
          <w:szCs w:val="21"/>
          <w:lang w:val="en-US" w:eastAsia="zh-CN"/>
        </w:rPr>
        <w:t>监护仪  数量15台</w:t>
      </w:r>
    </w:p>
    <w:p w14:paraId="54E1317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1.模块化插件式床边监护仪，主机、显示屏和插件槽一体化设计，主机插槽数≥4个；</w:t>
      </w:r>
    </w:p>
    <w:p w14:paraId="64C61C1E">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2.≥12英寸LED高清液晶显示屏，要求电容屏非电阻屏，分辨率为≥1280×800像素；</w:t>
      </w:r>
    </w:p>
    <w:p w14:paraId="358E012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3.具有智能光感器，自动调节屏幕亮度，屏幕支持手势滑动操作，可快速切换界面，并支持穿戴医用防护手套操作；</w:t>
      </w:r>
    </w:p>
    <w:p w14:paraId="7712497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▲4.多参数监测模块要求为带屏幕的转运监测模块，支持机身前后双屏同时无遮挡显示与操作，小屏幕尺寸≥5英寸（提供机器实拍图片）；</w:t>
      </w:r>
    </w:p>
    <w:p w14:paraId="6C2D52B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5.支持3/5/6/12导心电，具有智能导联脱落，多导联心电同步分析功能；</w:t>
      </w:r>
    </w:p>
    <w:p w14:paraId="0283DC90">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6.具备监护模式、演示模式、待机模式、夜间模式、体外循环模式、隐私模式、插管模式；</w:t>
      </w:r>
    </w:p>
    <w:p w14:paraId="005CC82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7.可监测心电、血氧、脉博、无创血压、呼吸、体温、有创血压、呼末二氧化碳参数，可升级Masimo或Nellcor SPO2、C.O、AG、ICG、BIS、PICCO、EEG、aEEG等参数模块；</w:t>
      </w:r>
    </w:p>
    <w:p w14:paraId="3110982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▲8.支持≥25种心律失常分析；可识别不规则节律停止和房颤停止并报警；（提供产品检验报告或产品说明书证明）</w:t>
      </w:r>
    </w:p>
    <w:p w14:paraId="2A95E59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▲9.支持直流偏置电压≥±800mv，系统噪声≤25μv；（提供产品检验报告或产品说明书证明）</w:t>
      </w:r>
    </w:p>
    <w:p w14:paraId="2F07060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10.心率报警限范围：HR 高限：12bpm～295 bpm、HR 低限：11bpm～290 bpm；</w:t>
      </w:r>
    </w:p>
    <w:p w14:paraId="7DC8386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 xml:space="preserve">11.极度心动过速：65 bpm～300 bpm 、极度心动过缓：10bpm～115 bpm； </w:t>
      </w:r>
    </w:p>
    <w:p w14:paraId="2C410F1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▲12.血氧的测量范围为0％ ～100％；在70％～100％范围内，成人/儿童测量精度为±2％（非运动状态下）、±3％（运动状态下），新生儿为±3％（非运动状态和运动状态下）（需提供注册证或说明书）；</w:t>
      </w:r>
    </w:p>
    <w:p w14:paraId="13FF7916">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13.血氧可显示弱灌注指数（PI），PI弱灌注指数范围：0.02-20%；</w:t>
      </w:r>
    </w:p>
    <w:p w14:paraId="6C1E4F9A">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14.无创血压适用于成人，小儿和新生儿，无创血压提供手动、自动间隔、连续、序列、整点五种测量模式，具备双通道有创压IBP监测；</w:t>
      </w:r>
    </w:p>
    <w:p w14:paraId="63C1573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15.配备EtCO2监测模块，适用于成人至新生儿全年龄段病人，旁流采样率：≤50ml/min，旁流二氧化碳监测无需积水杯；</w:t>
      </w:r>
    </w:p>
    <w:p w14:paraId="18434B9B">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16.可提供每搏压力变异PPV实时显示，测量范围：0%～50%；分辨率≤1% ；</w:t>
      </w:r>
    </w:p>
    <w:p w14:paraId="11CA694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▲17.支持提供收缩压力变异SPV实时显示；测量范围：0 mmHg～50mmHg；分辨率≤1mmHg；（提供产品检验报告或产品说明书证明）。</w:t>
      </w:r>
    </w:p>
    <w:p w14:paraId="138F2A5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18.具备药物计算、肾功能计算、氧合计算、通气计算、血流动力学计算和滴定表功能；</w:t>
      </w:r>
    </w:p>
    <w:p w14:paraId="584853F3">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19.支持≥240小时趋势表数据和趋势图存储和回顾。支持≥3000组报警事件的存储与回顾功能。支持≥9600条NIBP血压列表数据存储与回顾功能。支持≥160小时ST片段数据的存储和回顾，分辨率≤1min。</w:t>
      </w:r>
    </w:p>
    <w:p w14:paraId="545435B4">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20.支持≥72小时全息波形的存储与回顾功能，≥48小时心律失常数据的存储与回顾功能。</w:t>
      </w:r>
    </w:p>
    <w:p w14:paraId="30BF167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21.要求为近3个月内生产的新设备，产品设计使用年限≥10年。</w:t>
      </w:r>
    </w:p>
    <w:p w14:paraId="4EE5CC9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22.要求整机质保≥5（提供厂家承诺书）年，免费开放端口，能与医院手麻系统及已有的信息管理系统兼容，便于信息的互联互通。</w:t>
      </w:r>
    </w:p>
    <w:p w14:paraId="20642F8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★23.配置要求：（以下配置要求视为1条技术要求，对任意子项的偏离均视为本项偏离）</w:t>
      </w:r>
    </w:p>
    <w:p w14:paraId="292F2F61">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23.1 每台监护仪配备带显示屏转运监测模块1个</w:t>
      </w:r>
    </w:p>
    <w:p w14:paraId="6A87AF6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23.2 每台监护仪配备呼末二氧化碳模块1个</w:t>
      </w:r>
    </w:p>
    <w:p w14:paraId="1B6C3A9F">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23.3 每台监护仪配备双通道有创血压模块1个</w:t>
      </w:r>
    </w:p>
    <w:p w14:paraId="553C9D19">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23.4 每台监护仪配备推车1个。</w:t>
      </w:r>
    </w:p>
    <w:p w14:paraId="34F64AA7">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24.配备5台同品牌普通监护仪。（以下配置要求为视为1条技术要求，对任意子项的偏离均视为本项偏离）</w:t>
      </w:r>
    </w:p>
    <w:p w14:paraId="4878C42C">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24.1显示屏：≥12英寸彩色触摸屏，分辨率≥1280×800,支持≥8道波形同屏显示。</w:t>
      </w:r>
    </w:p>
    <w:p w14:paraId="3CE60DE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24.2监测功能：标配心电（ECG）、呼吸（RESP）、无创血压（NIBP）、血氧饱和度（Sp02）、脉率（PR）、体温。</w:t>
      </w:r>
    </w:p>
    <w:p w14:paraId="429B2692">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24.3心电功能：支持3/5导联，具备智能导联脱落监测，多导同步分析，抗干扰能力。</w:t>
      </w:r>
    </w:p>
    <w:p w14:paraId="73669F58">
      <w:pPr>
        <w:pStyle w:val="5"/>
        <w:widowControl w:val="0"/>
        <w:numPr>
          <w:ilvl w:val="0"/>
          <w:numId w:val="0"/>
        </w:numPr>
        <w:tabs>
          <w:tab w:val="left" w:pos="1342"/>
        </w:tabs>
        <w:spacing w:before="67" w:line="288" w:lineRule="auto"/>
        <w:jc w:val="left"/>
        <w:textAlignment w:val="baseline"/>
        <w:rPr>
          <w:rFonts w:hint="eastAsia" w:ascii="宋体" w:hAnsi="宋体" w:eastAsia="宋体" w:cs="宋体"/>
          <w:bCs/>
          <w:color w:val="000000"/>
          <w:sz w:val="21"/>
          <w:szCs w:val="21"/>
          <w:lang w:val="en-US" w:eastAsia="zh-CN"/>
        </w:rPr>
      </w:pPr>
      <w:r>
        <w:rPr>
          <w:rFonts w:hint="eastAsia" w:ascii="宋体" w:hAnsi="宋体" w:eastAsia="宋体" w:cs="宋体"/>
          <w:bCs/>
          <w:color w:val="000000"/>
          <w:sz w:val="21"/>
          <w:szCs w:val="21"/>
          <w:lang w:val="en-US" w:eastAsia="zh-CN"/>
        </w:rPr>
        <w:t>24.4血氧技术：支持PI灌注指数监测，抗弱灌注和运动干扰。</w:t>
      </w:r>
    </w:p>
    <w:p w14:paraId="241F944E">
      <w:pPr>
        <w:pStyle w:val="5"/>
        <w:widowControl w:val="0"/>
        <w:numPr>
          <w:ilvl w:val="0"/>
          <w:numId w:val="0"/>
        </w:numPr>
        <w:tabs>
          <w:tab w:val="left" w:pos="1342"/>
        </w:tabs>
        <w:spacing w:before="67" w:line="288" w:lineRule="auto"/>
        <w:jc w:val="left"/>
        <w:textAlignment w:val="baseline"/>
        <w:rPr>
          <w:rFonts w:hint="default" w:ascii="宋体" w:hAnsi="宋体" w:cs="宋体"/>
          <w:b w:val="0"/>
          <w:bCs/>
          <w:color w:val="000000"/>
          <w:szCs w:val="21"/>
          <w:lang w:val="en-US" w:eastAsia="zh-CN"/>
        </w:rPr>
      </w:pPr>
      <w:r>
        <w:rPr>
          <w:rFonts w:hint="eastAsia" w:ascii="宋体" w:hAnsi="宋体" w:eastAsia="宋体" w:cs="宋体"/>
          <w:bCs/>
          <w:color w:val="000000"/>
          <w:sz w:val="21"/>
          <w:szCs w:val="21"/>
          <w:lang w:val="en-US" w:eastAsia="zh-CN"/>
        </w:rPr>
        <w:t>24.5无创血压：成人测量范围：收缩压25-290mmHg,舒张压10-200mmHg,支持手动/自动/连续模式。</w:t>
      </w:r>
    </w:p>
    <w:p w14:paraId="779C407F">
      <w:pPr>
        <w:pStyle w:val="5"/>
        <w:tabs>
          <w:tab w:val="left" w:pos="1342"/>
        </w:tabs>
        <w:spacing w:before="67" w:line="288" w:lineRule="auto"/>
        <w:ind w:firstLine="0" w:firstLineChars="0"/>
        <w:jc w:val="left"/>
        <w:textAlignment w:val="baseline"/>
        <w:rPr>
          <w:rFonts w:hint="eastAsia" w:ascii="宋体" w:hAnsi="宋体" w:cs="Arial"/>
          <w:color w:val="000000"/>
          <w:kern w:val="0"/>
          <w:szCs w:val="21"/>
        </w:rPr>
      </w:pPr>
    </w:p>
    <w:p w14:paraId="6D1B4736">
      <w:pPr>
        <w:widowControl/>
        <w:spacing w:line="360" w:lineRule="auto"/>
        <w:jc w:val="left"/>
        <w:rPr>
          <w:rFonts w:hint="eastAsia" w:ascii="宋体" w:hAnsi="宋体" w:eastAsia="宋体" w:cs="宋体"/>
          <w:b/>
          <w:bCs/>
          <w:color w:val="000000"/>
          <w:kern w:val="0"/>
          <w:lang w:eastAsia="zh-CN"/>
        </w:rPr>
      </w:pPr>
      <w:r>
        <w:rPr>
          <w:rFonts w:ascii="宋体" w:hAnsi="宋体" w:cs="宋体"/>
          <w:b/>
          <w:bCs/>
          <w:color w:val="000000"/>
          <w:kern w:val="0"/>
        </w:rPr>
        <w:t>备注</w:t>
      </w:r>
      <w:r>
        <w:rPr>
          <w:rFonts w:hint="eastAsia" w:ascii="宋体" w:hAnsi="宋体" w:cs="宋体"/>
          <w:b/>
          <w:bCs/>
          <w:color w:val="000000"/>
          <w:kern w:val="0"/>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74A19ACB">
      <w:pPr>
        <w:pStyle w:val="5"/>
        <w:tabs>
          <w:tab w:val="left" w:pos="1342"/>
        </w:tabs>
        <w:spacing w:before="67" w:line="288" w:lineRule="auto"/>
        <w:ind w:firstLine="0" w:firstLineChars="0"/>
        <w:textAlignment w:val="baseline"/>
        <w:outlineLvl w:val="1"/>
        <w:rPr>
          <w:rFonts w:hint="eastAsia" w:ascii="宋体" w:hAnsi="宋体" w:cs="宋体"/>
          <w:b/>
          <w:bCs/>
          <w:color w:val="000000"/>
          <w:kern w:val="0"/>
          <w:sz w:val="24"/>
        </w:rPr>
      </w:pPr>
    </w:p>
    <w:p w14:paraId="23D92BD3">
      <w:pPr>
        <w:pStyle w:val="5"/>
        <w:tabs>
          <w:tab w:val="left" w:pos="1342"/>
        </w:tabs>
        <w:spacing w:before="67" w:line="288" w:lineRule="auto"/>
        <w:ind w:firstLine="0" w:firstLineChars="0"/>
        <w:jc w:val="center"/>
        <w:textAlignment w:val="baseline"/>
        <w:outlineLvl w:val="1"/>
        <w:rPr>
          <w:rFonts w:hint="eastAsia" w:ascii="宋体" w:hAnsi="宋体" w:cs="宋体"/>
          <w:b/>
          <w:bCs/>
          <w:color w:val="000000"/>
          <w:kern w:val="0"/>
          <w:sz w:val="24"/>
        </w:rPr>
      </w:pPr>
      <w:r>
        <w:rPr>
          <w:rFonts w:ascii="宋体" w:hAnsi="宋体" w:cs="宋体"/>
          <w:b/>
          <w:bCs/>
          <w:color w:val="000000"/>
          <w:kern w:val="0"/>
          <w:sz w:val="24"/>
        </w:rPr>
        <w:br w:type="page"/>
      </w:r>
      <w:r>
        <w:rPr>
          <w:rFonts w:hint="eastAsia" w:ascii="宋体" w:hAnsi="宋体" w:eastAsia="宋体" w:cs="宋体"/>
          <w:b/>
          <w:bCs/>
          <w:color w:val="000000"/>
          <w:kern w:val="0"/>
          <w:sz w:val="24"/>
        </w:rPr>
        <w:t>第三节 商务参数要求</w:t>
      </w:r>
    </w:p>
    <w:p w14:paraId="4057406C">
      <w:pPr>
        <w:pStyle w:val="5"/>
        <w:tabs>
          <w:tab w:val="left" w:pos="1342"/>
        </w:tabs>
        <w:spacing w:before="67" w:line="288" w:lineRule="auto"/>
        <w:ind w:left="241" w:firstLine="0" w:firstLineChars="0"/>
        <w:jc w:val="center"/>
        <w:textAlignment w:val="baseline"/>
        <w:outlineLvl w:val="1"/>
        <w:rPr>
          <w:rFonts w:hint="eastAsia" w:ascii="宋体" w:hAnsi="宋体" w:eastAsia="宋体" w:cs="宋体"/>
          <w:b/>
          <w:bCs/>
          <w:color w:val="000000"/>
          <w:kern w:val="0"/>
          <w:sz w:val="24"/>
          <w:lang w:eastAsia="zh-CN"/>
        </w:rPr>
      </w:pPr>
      <w:r>
        <w:rPr>
          <w:rFonts w:hint="eastAsia" w:ascii="宋体" w:hAnsi="宋体" w:cs="宋体"/>
          <w:b/>
          <w:bCs/>
          <w:color w:val="000000"/>
          <w:kern w:val="0"/>
          <w:sz w:val="24"/>
          <w:lang w:eastAsia="zh-CN"/>
        </w:rPr>
        <w:t>（</w:t>
      </w:r>
      <w:r>
        <w:rPr>
          <w:rFonts w:hint="eastAsia" w:ascii="宋体" w:hAnsi="宋体" w:cs="宋体"/>
          <w:b/>
          <w:bCs/>
          <w:color w:val="000000"/>
          <w:kern w:val="0"/>
          <w:sz w:val="24"/>
          <w:lang w:val="en-US" w:eastAsia="zh-CN"/>
        </w:rPr>
        <w:t>适用于本项目所有分包</w:t>
      </w:r>
      <w:r>
        <w:rPr>
          <w:rFonts w:hint="eastAsia" w:ascii="宋体" w:hAnsi="宋体" w:cs="宋体"/>
          <w:b/>
          <w:bCs/>
          <w:color w:val="000000"/>
          <w:kern w:val="0"/>
          <w:sz w:val="24"/>
          <w:lang w:eastAsia="zh-CN"/>
        </w:rPr>
        <w:t>）</w:t>
      </w:r>
    </w:p>
    <w:p w14:paraId="725A8CFC">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1.</w:t>
      </w:r>
      <w:r>
        <w:rPr>
          <w:rFonts w:hint="eastAsia" w:ascii="宋体" w:hAnsi="宋体" w:cs="宋体"/>
          <w:b/>
          <w:bCs/>
          <w:iCs/>
          <w:color w:val="000000"/>
          <w:kern w:val="0"/>
          <w:szCs w:val="21"/>
        </w:rPr>
        <w:t>交付时间、地点及付款方式</w:t>
      </w:r>
    </w:p>
    <w:p w14:paraId="2D5C0629">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1.1.</w:t>
      </w:r>
      <w:r>
        <w:rPr>
          <w:rFonts w:hint="eastAsia" w:ascii="宋体" w:hAnsi="宋体" w:cs="宋体"/>
          <w:iCs/>
          <w:color w:val="000000"/>
          <w:kern w:val="0"/>
          <w:szCs w:val="21"/>
        </w:rPr>
        <w:t>项目现场：采购人指定地点。</w:t>
      </w:r>
    </w:p>
    <w:p w14:paraId="3D4F9505">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1.2.</w:t>
      </w:r>
      <w:r>
        <w:rPr>
          <w:rFonts w:hint="eastAsia" w:ascii="宋体" w:hAnsi="宋体" w:cs="宋体"/>
          <w:iCs/>
          <w:color w:val="000000"/>
          <w:kern w:val="0"/>
          <w:szCs w:val="21"/>
        </w:rPr>
        <w:t>交付时间及方式：合同签订后，场地符合安装条件，收到采购人通知后发货，并在约定时间内到货并安装。交货时间为：</w:t>
      </w:r>
      <w:r>
        <w:rPr>
          <w:rFonts w:hint="eastAsia" w:cs="宋体"/>
          <w:iCs/>
          <w:color w:val="000000"/>
          <w:kern w:val="0"/>
          <w:szCs w:val="21"/>
          <w:lang w:val="en-US" w:eastAsia="zh-CN"/>
        </w:rPr>
        <w:t>30</w:t>
      </w:r>
      <w:r>
        <w:rPr>
          <w:rFonts w:hint="eastAsia" w:ascii="宋体" w:hAnsi="宋体" w:cs="宋体"/>
          <w:iCs/>
          <w:color w:val="000000"/>
          <w:kern w:val="0"/>
          <w:szCs w:val="21"/>
        </w:rPr>
        <w:t>日内</w:t>
      </w:r>
    </w:p>
    <w:p w14:paraId="290781EE">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1.3.</w:t>
      </w:r>
      <w:r>
        <w:rPr>
          <w:rFonts w:hint="eastAsia" w:ascii="宋体" w:hAnsi="宋体" w:cs="宋体"/>
          <w:iCs/>
          <w:color w:val="000000"/>
          <w:kern w:val="0"/>
          <w:szCs w:val="21"/>
        </w:rPr>
        <w:t>付款方式：合同签订后，经甲方验收该系列设备合格、设备正常运行15个工作日并由设备会计做完付款计划后4个月内首付该设备款项的 9</w:t>
      </w:r>
      <w:r>
        <w:rPr>
          <w:rFonts w:hint="eastAsia" w:ascii="宋体" w:hAnsi="宋体" w:cs="宋体"/>
          <w:iCs/>
          <w:color w:val="000000"/>
          <w:kern w:val="0"/>
          <w:szCs w:val="21"/>
          <w:lang w:val="en-US" w:eastAsia="zh-CN"/>
        </w:rPr>
        <w:t>0</w:t>
      </w:r>
      <w:r>
        <w:rPr>
          <w:rFonts w:hint="eastAsia" w:ascii="宋体" w:hAnsi="宋体" w:cs="宋体"/>
          <w:iCs/>
          <w:color w:val="000000"/>
          <w:kern w:val="0"/>
          <w:szCs w:val="21"/>
        </w:rPr>
        <w:t xml:space="preserve"> %，余款 </w:t>
      </w:r>
      <w:r>
        <w:rPr>
          <w:rFonts w:hint="eastAsia" w:ascii="宋体" w:hAnsi="宋体" w:cs="宋体"/>
          <w:iCs/>
          <w:color w:val="000000"/>
          <w:kern w:val="0"/>
          <w:szCs w:val="21"/>
          <w:lang w:val="en-US" w:eastAsia="zh-CN"/>
        </w:rPr>
        <w:t>10</w:t>
      </w:r>
      <w:r>
        <w:rPr>
          <w:rFonts w:hint="eastAsia" w:ascii="宋体" w:hAnsi="宋体" w:cs="宋体"/>
          <w:iCs/>
          <w:color w:val="000000"/>
          <w:kern w:val="0"/>
          <w:szCs w:val="21"/>
        </w:rPr>
        <w:t xml:space="preserve"> %则在项目验收之日起</w:t>
      </w:r>
      <w:r>
        <w:rPr>
          <w:rFonts w:hint="eastAsia" w:ascii="宋体" w:hAnsi="宋体" w:cs="宋体"/>
          <w:iCs/>
          <w:color w:val="000000"/>
          <w:kern w:val="0"/>
          <w:szCs w:val="21"/>
          <w:lang w:val="en-US" w:eastAsia="zh-CN"/>
        </w:rPr>
        <w:t>3年</w:t>
      </w:r>
      <w:r>
        <w:rPr>
          <w:rFonts w:hint="eastAsia" w:ascii="宋体" w:hAnsi="宋体" w:cs="宋体"/>
          <w:iCs/>
          <w:color w:val="000000"/>
          <w:kern w:val="0"/>
          <w:szCs w:val="21"/>
        </w:rPr>
        <w:t>后</w:t>
      </w:r>
      <w:r>
        <w:rPr>
          <w:rFonts w:hint="eastAsia" w:ascii="宋体" w:hAnsi="宋体" w:cs="宋体"/>
          <w:iCs/>
          <w:color w:val="000000"/>
          <w:kern w:val="0"/>
          <w:szCs w:val="21"/>
          <w:lang w:val="en-US" w:eastAsia="zh-CN"/>
        </w:rPr>
        <w:t>且无纠纷的情况下</w:t>
      </w:r>
      <w:r>
        <w:rPr>
          <w:rFonts w:hint="eastAsia" w:ascii="宋体" w:hAnsi="宋体" w:cs="宋体"/>
          <w:iCs/>
          <w:color w:val="000000"/>
          <w:kern w:val="0"/>
          <w:szCs w:val="21"/>
        </w:rPr>
        <w:t>甲方支付给乙方。货款结清后，乙方依然需承担该设备的质保义务直至质保期满，否则甲方将终止与乙方的一切业务同时拒付双方业务往来中应付给乙方的其他所有款项，并保留维护自身权益的权利。甲方付款前,乙方应开具相应金额增值税普通发票。</w:t>
      </w:r>
    </w:p>
    <w:p w14:paraId="5EDDAB61">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2.</w:t>
      </w:r>
      <w:r>
        <w:rPr>
          <w:rFonts w:hint="eastAsia" w:ascii="宋体" w:hAnsi="宋体" w:cs="宋体"/>
          <w:b/>
          <w:bCs/>
          <w:iCs/>
          <w:color w:val="000000"/>
          <w:kern w:val="0"/>
          <w:szCs w:val="21"/>
        </w:rPr>
        <w:t>安装调试和验收</w:t>
      </w:r>
    </w:p>
    <w:p w14:paraId="102CD8AE">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2.1.</w:t>
      </w:r>
      <w:r>
        <w:rPr>
          <w:rFonts w:hint="eastAsia" w:ascii="宋体" w:hAnsi="宋体" w:cs="宋体"/>
          <w:iCs/>
          <w:color w:val="000000"/>
          <w:kern w:val="0"/>
          <w:szCs w:val="21"/>
        </w:rPr>
        <w:t>中标人配合和指导医院对货物储存、安装和使用场地的建设或改良（含配套设施及条件），确保货物达到规定的运行、安装、使用环境，保证使用条件安全。</w:t>
      </w:r>
    </w:p>
    <w:p w14:paraId="7714B04D">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2.2.</w:t>
      </w:r>
      <w:r>
        <w:rPr>
          <w:rFonts w:hint="eastAsia" w:ascii="宋体" w:hAnsi="宋体" w:cs="宋体"/>
          <w:iCs/>
          <w:color w:val="000000"/>
          <w:kern w:val="0"/>
          <w:szCs w:val="21"/>
        </w:rPr>
        <w:t>在货物到达使用单位，现场场地符合安装条件后，采购人将通知中标人派技术人员对所投设备全面进行安装调试。中标人应派制造商技术人员在7日内到达采购人指定安装地点，并在医院技术人员在场的情况下开箱清点货物，组织安装、调试所需费用包含在投标报价内。如中标人未在7日内到达采购人指定安装地点，采购人有权自行开箱安装调试。开箱如有缺货、错装、损坏或技术问题，中标人应承担全部责任。</w:t>
      </w:r>
    </w:p>
    <w:p w14:paraId="43788393">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2.3.</w:t>
      </w:r>
      <w:r>
        <w:rPr>
          <w:rFonts w:hint="eastAsia" w:ascii="宋体" w:hAnsi="宋体" w:cs="宋体"/>
          <w:iCs/>
          <w:color w:val="000000"/>
          <w:kern w:val="0"/>
          <w:szCs w:val="21"/>
        </w:rPr>
        <w:t>设备验收签字前如有任何质量问题，中标人必须无条件更换整机。</w:t>
      </w:r>
    </w:p>
    <w:p w14:paraId="31D4DC5B">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2.4.</w:t>
      </w:r>
      <w:r>
        <w:rPr>
          <w:rFonts w:hint="eastAsia" w:ascii="宋体" w:hAnsi="宋体" w:cs="宋体"/>
          <w:iCs/>
          <w:color w:val="000000"/>
          <w:kern w:val="0"/>
          <w:szCs w:val="21"/>
        </w:rPr>
        <w:t>中标人须承担货物验收前的财产保护责任，在验收前出现损坏由中标人负责。在安装运输过程中如出现人员伤亡及财产损坏由中标人承担赔偿责任。</w:t>
      </w:r>
    </w:p>
    <w:p w14:paraId="2D16420F">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2.5.</w:t>
      </w:r>
      <w:r>
        <w:rPr>
          <w:rFonts w:hint="eastAsia" w:ascii="宋体" w:hAnsi="宋体" w:cs="宋体"/>
          <w:iCs/>
          <w:color w:val="000000"/>
          <w:kern w:val="0"/>
          <w:szCs w:val="21"/>
        </w:rPr>
        <w:t>设备安装后，采购人按国际和国家标准、厂方标准、医院验收制度流程及合同要求如仪器设备需要特殊工作条件（如水、电源、磁场强度、温度、湿度、动强度等）进行验收。中标人应向采购人提供详细的验收标准，验收手册和部分验收专用仪器，所需费用包含在投标报价内。设备各项技术性能、指标必须达到合同和技术文件规定的要求。投标文件中提供详细的验收说明。</w:t>
      </w:r>
    </w:p>
    <w:p w14:paraId="77F7C89D">
      <w:pPr>
        <w:widowControl/>
        <w:numPr>
          <w:ilvl w:val="1"/>
          <w:numId w:val="0"/>
        </w:numPr>
        <w:spacing w:line="440" w:lineRule="exact"/>
        <w:ind w:left="0" w:leftChars="0" w:firstLine="0" w:firstLineChars="0"/>
        <w:rPr>
          <w:rFonts w:hint="eastAsia" w:ascii="宋体" w:hAnsi="宋体" w:cs="宋体"/>
          <w:b/>
          <w:bCs/>
          <w:iCs/>
          <w:color w:val="000000"/>
          <w:kern w:val="0"/>
          <w:szCs w:val="21"/>
          <w:highlight w:val="none"/>
        </w:rPr>
      </w:pPr>
      <w:r>
        <w:rPr>
          <w:rFonts w:hint="default" w:ascii="宋体" w:hAnsi="宋体" w:cs="宋体"/>
          <w:b/>
          <w:bCs/>
          <w:iCs/>
          <w:color w:val="000000"/>
          <w:kern w:val="0"/>
          <w:sz w:val="21"/>
          <w:szCs w:val="21"/>
          <w:lang w:val="en-US" w:eastAsia="zh-CN" w:bidi="ar-SA"/>
        </w:rPr>
        <w:t>2.6.</w:t>
      </w:r>
      <w:r>
        <w:rPr>
          <w:rFonts w:hint="eastAsia" w:ascii="宋体" w:hAnsi="宋体" w:cs="宋体"/>
          <w:iCs/>
          <w:color w:val="000000"/>
          <w:kern w:val="0"/>
          <w:szCs w:val="21"/>
        </w:rPr>
        <w:t>★</w:t>
      </w:r>
      <w:r>
        <w:rPr>
          <w:rFonts w:hint="eastAsia" w:cs="宋体"/>
          <w:iCs/>
          <w:color w:val="000000"/>
          <w:kern w:val="0"/>
          <w:szCs w:val="21"/>
        </w:rPr>
        <w:t>设备从安装到完成调试时间不超过2个月</w:t>
      </w:r>
      <w:r>
        <w:rPr>
          <w:rFonts w:hint="eastAsia" w:ascii="宋体" w:hAnsi="宋体" w:cs="宋体"/>
          <w:iCs/>
          <w:color w:val="000000"/>
          <w:kern w:val="0"/>
          <w:szCs w:val="21"/>
        </w:rPr>
        <w:t>，由此引发的后果由中标人自行承担</w:t>
      </w:r>
      <w:r>
        <w:rPr>
          <w:rFonts w:hint="eastAsia" w:ascii="宋体" w:hAnsi="宋体" w:cs="宋体"/>
          <w:b/>
          <w:bCs/>
          <w:iCs/>
          <w:color w:val="000000"/>
          <w:kern w:val="0"/>
          <w:szCs w:val="21"/>
        </w:rPr>
        <w:t>（须提供承诺函，格式自拟</w:t>
      </w:r>
      <w:r>
        <w:rPr>
          <w:rFonts w:hint="eastAsia" w:ascii="宋体" w:hAnsi="宋体" w:cs="宋体"/>
          <w:b/>
          <w:bCs/>
          <w:iCs/>
          <w:color w:val="000000"/>
          <w:kern w:val="0"/>
          <w:szCs w:val="21"/>
          <w:highlight w:val="none"/>
        </w:rPr>
        <w:t>）。</w:t>
      </w:r>
    </w:p>
    <w:p w14:paraId="410F0FD7">
      <w:pPr>
        <w:widowControl/>
        <w:numPr>
          <w:ilvl w:val="0"/>
          <w:numId w:val="0"/>
        </w:numPr>
        <w:spacing w:line="440" w:lineRule="exact"/>
        <w:ind w:left="0" w:leftChars="0" w:firstLine="0" w:firstLineChars="0"/>
        <w:rPr>
          <w:rFonts w:hint="eastAsia" w:ascii="宋体" w:hAnsi="宋体" w:cs="宋体"/>
          <w:b/>
          <w:bCs/>
          <w:iCs/>
          <w:color w:val="000000"/>
          <w:kern w:val="0"/>
          <w:szCs w:val="21"/>
          <w:highlight w:val="none"/>
        </w:rPr>
      </w:pPr>
      <w:r>
        <w:rPr>
          <w:rFonts w:hint="default" w:ascii="宋体" w:hAnsi="宋体" w:cs="宋体"/>
          <w:b/>
          <w:bCs/>
          <w:iCs/>
          <w:color w:val="000000"/>
          <w:kern w:val="0"/>
          <w:sz w:val="21"/>
          <w:szCs w:val="21"/>
          <w:highlight w:val="none"/>
          <w:lang w:val="en-US" w:eastAsia="zh-CN" w:bidi="ar-SA"/>
        </w:rPr>
        <w:t>3.</w:t>
      </w:r>
      <w:r>
        <w:rPr>
          <w:rFonts w:hint="eastAsia" w:ascii="宋体" w:hAnsi="宋体" w:cs="宋体"/>
          <w:b/>
          <w:bCs/>
          <w:iCs/>
          <w:color w:val="000000"/>
          <w:kern w:val="0"/>
          <w:szCs w:val="21"/>
          <w:highlight w:val="none"/>
        </w:rPr>
        <w:t>质量保证和质保期（技术参数有规定的以参数内容为准）</w:t>
      </w:r>
    </w:p>
    <w:p w14:paraId="0CD4AC51">
      <w:pPr>
        <w:widowControl/>
        <w:numPr>
          <w:ilvl w:val="0"/>
          <w:numId w:val="0"/>
        </w:numPr>
        <w:spacing w:line="440" w:lineRule="exact"/>
        <w:ind w:leftChars="0"/>
        <w:rPr>
          <w:rFonts w:hint="eastAsia" w:ascii="宋体" w:hAnsi="宋体" w:cs="宋体"/>
          <w:iCs/>
          <w:color w:val="000000"/>
          <w:kern w:val="0"/>
          <w:szCs w:val="21"/>
        </w:rPr>
      </w:pPr>
      <w:bookmarkStart w:id="1" w:name="OLE_LINK160"/>
      <w:r>
        <w:rPr>
          <w:rFonts w:hint="eastAsia" w:ascii="宋体" w:hAnsi="宋体" w:cs="宋体"/>
          <w:iCs/>
          <w:color w:val="000000"/>
          <w:kern w:val="0"/>
          <w:szCs w:val="21"/>
        </w:rPr>
        <w:t>★3.1.整机质保期不低于</w:t>
      </w:r>
      <w:r>
        <w:rPr>
          <w:rFonts w:hint="eastAsia" w:ascii="宋体" w:hAnsi="宋体" w:cs="宋体"/>
          <w:iCs/>
          <w:color w:val="000000"/>
          <w:kern w:val="0"/>
          <w:szCs w:val="21"/>
          <w:lang w:val="en-US" w:eastAsia="zh-CN"/>
        </w:rPr>
        <w:t>3</w:t>
      </w:r>
      <w:r>
        <w:rPr>
          <w:rFonts w:hint="eastAsia" w:ascii="宋体" w:hAnsi="宋体" w:cs="宋体"/>
          <w:iCs/>
          <w:color w:val="000000"/>
          <w:kern w:val="0"/>
          <w:szCs w:val="21"/>
        </w:rPr>
        <w:t>年。质保期内，如货物故障导致停机时间连续超过三个工作日，则每个超出的停机工作日获得补偿保修期四日。质保期内免费维修与更换有缺陷的货物或部件，质保期满后只收取投标时承诺的备品备件成本费用。每次维护维修后，应及时向采购人提供相关记录。质保期从最终验收合格之日起计算。</w:t>
      </w:r>
    </w:p>
    <w:p w14:paraId="730E3944">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3.</w:t>
      </w:r>
      <w:r>
        <w:rPr>
          <w:rFonts w:hint="eastAsia" w:ascii="宋体" w:hAnsi="宋体" w:cs="宋体"/>
          <w:iCs/>
          <w:color w:val="000000"/>
          <w:kern w:val="0"/>
          <w:sz w:val="21"/>
          <w:szCs w:val="21"/>
          <w:lang w:val="en-US" w:eastAsia="zh-CN" w:bidi="ar-SA"/>
        </w:rPr>
        <w:t>2</w:t>
      </w:r>
      <w:r>
        <w:rPr>
          <w:rFonts w:hint="default" w:ascii="宋体" w:hAnsi="宋体" w:cs="宋体"/>
          <w:iCs/>
          <w:color w:val="000000"/>
          <w:kern w:val="0"/>
          <w:sz w:val="21"/>
          <w:szCs w:val="21"/>
          <w:lang w:val="en-US" w:eastAsia="zh-CN" w:bidi="ar-SA"/>
        </w:rPr>
        <w:t>.</w:t>
      </w:r>
      <w:r>
        <w:rPr>
          <w:rFonts w:hint="eastAsia" w:ascii="宋体" w:hAnsi="宋体" w:cs="宋体"/>
          <w:iCs/>
          <w:color w:val="000000"/>
          <w:kern w:val="0"/>
          <w:szCs w:val="21"/>
        </w:rPr>
        <w:t>中标人应保证货物是全新的，未使用过的，手续合法，渠道正规，出厂时间少于一年。全部设备的规格型号、技术参数不但要与合同中的描述一致，还应该与随机资料说明一致。</w:t>
      </w:r>
      <w:bookmarkEnd w:id="1"/>
    </w:p>
    <w:p w14:paraId="738E5FEB">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3.</w:t>
      </w:r>
      <w:r>
        <w:rPr>
          <w:rFonts w:hint="eastAsia" w:ascii="宋体" w:hAnsi="宋体" w:cs="宋体"/>
          <w:iCs/>
          <w:color w:val="000000"/>
          <w:kern w:val="0"/>
          <w:sz w:val="21"/>
          <w:szCs w:val="21"/>
          <w:lang w:val="en-US" w:eastAsia="zh-CN" w:bidi="ar-SA"/>
        </w:rPr>
        <w:t>3</w:t>
      </w:r>
      <w:r>
        <w:rPr>
          <w:rFonts w:hint="default" w:ascii="宋体" w:hAnsi="宋体" w:cs="宋体"/>
          <w:iCs/>
          <w:color w:val="000000"/>
          <w:kern w:val="0"/>
          <w:sz w:val="21"/>
          <w:szCs w:val="21"/>
          <w:lang w:val="en-US" w:eastAsia="zh-CN" w:bidi="ar-SA"/>
        </w:rPr>
        <w:t>.</w:t>
      </w:r>
      <w:r>
        <w:rPr>
          <w:rFonts w:hint="eastAsia" w:ascii="宋体" w:hAnsi="宋体" w:cs="宋体"/>
          <w:iCs/>
          <w:color w:val="000000"/>
          <w:kern w:val="0"/>
          <w:szCs w:val="21"/>
        </w:rPr>
        <w:t>投标人除了报出维保价格外，还应提供制造商最低维保价格承诺书或提供承诺函承诺中标后提供相应的制造商盖章的承诺书。</w:t>
      </w:r>
    </w:p>
    <w:p w14:paraId="35A90E5D">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3.</w:t>
      </w:r>
      <w:r>
        <w:rPr>
          <w:rFonts w:hint="eastAsia" w:ascii="宋体" w:hAnsi="宋体" w:cs="宋体"/>
          <w:iCs/>
          <w:color w:val="000000"/>
          <w:kern w:val="0"/>
          <w:sz w:val="21"/>
          <w:szCs w:val="21"/>
          <w:lang w:val="en-US" w:eastAsia="zh-CN" w:bidi="ar-SA"/>
        </w:rPr>
        <w:t>4</w:t>
      </w:r>
      <w:r>
        <w:rPr>
          <w:rFonts w:hint="default" w:ascii="宋体" w:hAnsi="宋体" w:cs="宋体"/>
          <w:iCs/>
          <w:color w:val="000000"/>
          <w:kern w:val="0"/>
          <w:sz w:val="21"/>
          <w:szCs w:val="21"/>
          <w:lang w:val="en-US" w:eastAsia="zh-CN" w:bidi="ar-SA"/>
        </w:rPr>
        <w:t>.</w:t>
      </w:r>
      <w:r>
        <w:rPr>
          <w:rFonts w:hint="eastAsia" w:ascii="宋体" w:hAnsi="宋体" w:cs="宋体"/>
          <w:iCs/>
          <w:color w:val="000000"/>
          <w:kern w:val="0"/>
          <w:szCs w:val="21"/>
        </w:rPr>
        <w:t>投标人除了报出备品配件（提供本配置可能未列举的其它设备和部件含系统软件）的价格之外，还应对所投设备的备品配件保障期限做出承诺且保证5年内不涨价，</w:t>
      </w:r>
      <w:r>
        <w:rPr>
          <w:rFonts w:hint="eastAsia" w:ascii="宋体" w:hAnsi="宋体" w:cs="宋体"/>
          <w:iCs/>
          <w:color w:val="000000"/>
          <w:kern w:val="0"/>
          <w:szCs w:val="21"/>
          <w:lang w:val="en-US" w:eastAsia="zh-CN"/>
        </w:rPr>
        <w:t>且报价不得超过市场价格的90%，</w:t>
      </w:r>
      <w:r>
        <w:rPr>
          <w:rFonts w:hint="eastAsia" w:ascii="宋体" w:hAnsi="宋体" w:cs="宋体"/>
          <w:iCs/>
          <w:color w:val="000000"/>
          <w:kern w:val="0"/>
          <w:szCs w:val="21"/>
        </w:rPr>
        <w:t>并提供制造商盖章承诺书或提供承诺函承诺中标后提供相应的制造商盖章的承诺书。</w:t>
      </w:r>
    </w:p>
    <w:p w14:paraId="06327A2B">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4.</w:t>
      </w:r>
      <w:r>
        <w:rPr>
          <w:rFonts w:hint="eastAsia" w:ascii="宋体" w:hAnsi="宋体" w:cs="宋体"/>
          <w:b/>
          <w:bCs/>
          <w:iCs/>
          <w:color w:val="000000"/>
          <w:kern w:val="0"/>
          <w:szCs w:val="21"/>
        </w:rPr>
        <w:t>备品备件</w:t>
      </w:r>
    </w:p>
    <w:p w14:paraId="7C3AE4F2">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4.1.</w:t>
      </w:r>
      <w:r>
        <w:rPr>
          <w:rFonts w:hint="eastAsia" w:ascii="宋体" w:hAnsi="宋体" w:cs="宋体"/>
          <w:iCs/>
          <w:color w:val="000000"/>
          <w:kern w:val="0"/>
          <w:szCs w:val="21"/>
        </w:rPr>
        <w:t>中标人应向采购人随设备提供全套设备技术资料（技术资料非中文的，应译成中文），费用已包括在投标价格之内。</w:t>
      </w:r>
    </w:p>
    <w:p w14:paraId="7A604CE3">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设备安装图；</w:t>
      </w:r>
    </w:p>
    <w:p w14:paraId="29270499">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电气设备及系统原理图；</w:t>
      </w:r>
    </w:p>
    <w:p w14:paraId="40BAE5FB">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电气设备及系统安装线路图；</w:t>
      </w:r>
    </w:p>
    <w:p w14:paraId="16139923">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构件、机械安装图；</w:t>
      </w:r>
    </w:p>
    <w:p w14:paraId="50065FAE">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安装、操作手册；</w:t>
      </w:r>
    </w:p>
    <w:p w14:paraId="21192AF5">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故障代码表、维修密码（如有）；</w:t>
      </w:r>
    </w:p>
    <w:p w14:paraId="1D377E60">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维护和维修手册（包括电子版）；</w:t>
      </w:r>
    </w:p>
    <w:p w14:paraId="3FD3E5BC">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详细维修用的资料和图纸（包含产品内部主要机械结构与控制电路、管路原理图、控制面板布置图、接线图、装配示意图）；</w:t>
      </w:r>
    </w:p>
    <w:p w14:paraId="64C52748">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制造、安装标准含技术规范；</w:t>
      </w:r>
    </w:p>
    <w:p w14:paraId="0A3FF422">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出厂检验报告及合格证；</w:t>
      </w:r>
    </w:p>
    <w:p w14:paraId="744B853B">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安装和验收报告（包括验收数据资料）；</w:t>
      </w:r>
    </w:p>
    <w:p w14:paraId="61A92271">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易损件、零部件和备件清单；</w:t>
      </w:r>
    </w:p>
    <w:p w14:paraId="4C2CD273">
      <w:pPr>
        <w:widowControl/>
        <w:numPr>
          <w:ilvl w:val="2"/>
          <w:numId w:val="1"/>
        </w:numPr>
        <w:spacing w:line="440" w:lineRule="exact"/>
        <w:ind w:firstLine="0"/>
        <w:rPr>
          <w:rFonts w:hint="eastAsia" w:ascii="宋体" w:hAnsi="宋体" w:cs="宋体"/>
          <w:iCs/>
          <w:color w:val="000000"/>
          <w:kern w:val="0"/>
          <w:szCs w:val="21"/>
        </w:rPr>
      </w:pPr>
      <w:r>
        <w:rPr>
          <w:rFonts w:hint="eastAsia" w:ascii="宋体" w:hAnsi="宋体" w:cs="宋体"/>
          <w:iCs/>
          <w:color w:val="000000"/>
          <w:kern w:val="0"/>
          <w:szCs w:val="21"/>
        </w:rPr>
        <w:t>系统、软件备份硬盘。</w:t>
      </w:r>
    </w:p>
    <w:p w14:paraId="44B5F248">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5.</w:t>
      </w:r>
      <w:r>
        <w:rPr>
          <w:rFonts w:hint="eastAsia" w:ascii="宋体" w:hAnsi="宋体" w:cs="宋体"/>
          <w:b/>
          <w:bCs/>
          <w:iCs/>
          <w:color w:val="000000"/>
          <w:kern w:val="0"/>
          <w:szCs w:val="21"/>
        </w:rPr>
        <w:t>人员培训</w:t>
      </w:r>
    </w:p>
    <w:p w14:paraId="4D102A55">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5.1.</w:t>
      </w:r>
      <w:r>
        <w:rPr>
          <w:rFonts w:hint="eastAsia" w:ascii="宋体" w:hAnsi="宋体" w:cs="宋体"/>
          <w:iCs/>
          <w:color w:val="000000"/>
          <w:kern w:val="0"/>
          <w:szCs w:val="21"/>
        </w:rPr>
        <w:t>卖方负责在现场向买方技术人员（包括医师、技师以及维修工程师）直接提供保修、维修、使用培训服务。设备人员专项进修的具体培训时间、地点另行协商，至买方技术人员能正常操作设备的各种功能、简单的故障排除为止，所需费用由卖方负责。</w:t>
      </w:r>
    </w:p>
    <w:p w14:paraId="3C6EF112">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5.2.</w:t>
      </w:r>
      <w:r>
        <w:rPr>
          <w:rFonts w:hint="eastAsia" w:ascii="宋体" w:hAnsi="宋体" w:cs="宋体"/>
          <w:iCs/>
          <w:color w:val="000000"/>
          <w:kern w:val="0"/>
          <w:szCs w:val="21"/>
        </w:rPr>
        <w:t>卖方在投标文件中提供详细的培训计划。</w:t>
      </w:r>
    </w:p>
    <w:p w14:paraId="0B62C2DF">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5.3.</w:t>
      </w:r>
      <w:r>
        <w:rPr>
          <w:rFonts w:hint="eastAsia" w:ascii="宋体" w:hAnsi="宋体" w:cs="宋体"/>
          <w:iCs/>
          <w:color w:val="000000"/>
          <w:kern w:val="0"/>
          <w:szCs w:val="21"/>
        </w:rPr>
        <w:t>中标投标人应配置专业技术人员提供现场技术培训，保证使用人员能正常操作设备的各种功能；除现场培训外,在保修期内，厂方每年安排集中培训一次（含在投标总价中，采购人不再另行支付费用）。</w:t>
      </w:r>
    </w:p>
    <w:p w14:paraId="4F9B2BE9">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6.</w:t>
      </w:r>
      <w:r>
        <w:rPr>
          <w:rFonts w:hint="eastAsia" w:ascii="宋体" w:hAnsi="宋体" w:cs="宋体"/>
          <w:b/>
          <w:bCs/>
          <w:iCs/>
          <w:color w:val="000000"/>
          <w:kern w:val="0"/>
          <w:szCs w:val="21"/>
        </w:rPr>
        <w:t>售后服务（技术参数有规定的以参数内容为准）</w:t>
      </w:r>
    </w:p>
    <w:p w14:paraId="02039969">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6.1.</w:t>
      </w:r>
      <w:r>
        <w:rPr>
          <w:rFonts w:hint="eastAsia" w:ascii="宋体" w:hAnsi="宋体" w:cs="宋体"/>
          <w:iCs/>
          <w:color w:val="000000"/>
          <w:kern w:val="0"/>
          <w:szCs w:val="21"/>
        </w:rPr>
        <w:t>投标人应承诺由制造商负责保质期内的售后服务，并提供售后单位的名称、地址。联系电话等；售后服务单位名称、地址、联系电话撤销或者变更的，应当及时告知采购人；售后服务单位应当具有维修资质证书，维修人员应当具有执业资格，持证上岗。</w:t>
      </w:r>
    </w:p>
    <w:p w14:paraId="249D59A4">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6.2.</w:t>
      </w:r>
      <w:r>
        <w:rPr>
          <w:rFonts w:hint="eastAsia" w:ascii="宋体" w:hAnsi="宋体" w:cs="宋体"/>
          <w:iCs/>
          <w:color w:val="000000"/>
          <w:kern w:val="0"/>
          <w:szCs w:val="21"/>
        </w:rPr>
        <w:t>在质保期内，设备出现质量问题，应当由中标人负责修理或者更换新的主要部件（包括工时费和材料费）（含在投标总价中，采购人不再另行支付费用）。</w:t>
      </w:r>
    </w:p>
    <w:p w14:paraId="4A37474E">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6.3.</w:t>
      </w:r>
      <w:r>
        <w:rPr>
          <w:rFonts w:hint="eastAsia" w:ascii="宋体" w:hAnsi="宋体" w:cs="宋体"/>
          <w:iCs/>
          <w:color w:val="000000"/>
          <w:kern w:val="0"/>
          <w:szCs w:val="21"/>
        </w:rPr>
        <w:t>中标人应能保证充足的货源，在出现紧急情况时，能在48小时内解决设备故障。</w:t>
      </w:r>
    </w:p>
    <w:p w14:paraId="6DFD9311">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6.4.</w:t>
      </w:r>
      <w:r>
        <w:rPr>
          <w:rFonts w:hint="eastAsia" w:ascii="宋体" w:hAnsi="宋体" w:cs="宋体"/>
          <w:iCs/>
          <w:color w:val="000000"/>
          <w:kern w:val="0"/>
          <w:szCs w:val="21"/>
        </w:rPr>
        <w:t>质保期内，中标人对产品质量实行三包，负责维修或更换（人为因素或不可抗力造成事故除外）。（含在投标总价中，采购人不再另行支付费用）。</w:t>
      </w:r>
    </w:p>
    <w:p w14:paraId="0C65374E">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6.5.</w:t>
      </w:r>
      <w:r>
        <w:rPr>
          <w:rFonts w:hint="eastAsia" w:ascii="宋体" w:hAnsi="宋体" w:cs="宋体"/>
          <w:iCs/>
          <w:color w:val="000000"/>
          <w:kern w:val="0"/>
          <w:szCs w:val="21"/>
        </w:rPr>
        <w:t>质保期内投标人提供硬件维护和咨询等，并提供7*24小时电话、E-mail技术支持，一般性系统故障需在2小时内解决，重大系统故障需在12小时内解决，特别重大系统故障需在24小时内解决。</w:t>
      </w:r>
    </w:p>
    <w:p w14:paraId="29844AE2">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6.6.</w:t>
      </w:r>
      <w:r>
        <w:rPr>
          <w:rFonts w:hint="eastAsia" w:ascii="宋体" w:hAnsi="宋体" w:cs="宋体"/>
          <w:iCs/>
          <w:color w:val="000000"/>
          <w:kern w:val="0"/>
          <w:szCs w:val="21"/>
        </w:rPr>
        <w:t>中标人保证长期优质服务，定期提供例</w:t>
      </w:r>
      <w:r>
        <w:rPr>
          <w:rFonts w:hint="eastAsia" w:cs="宋体"/>
          <w:iCs/>
          <w:color w:val="000000"/>
          <w:kern w:val="0"/>
          <w:szCs w:val="21"/>
        </w:rPr>
        <w:t>行</w:t>
      </w:r>
      <w:r>
        <w:rPr>
          <w:rFonts w:hint="eastAsia" w:ascii="宋体" w:hAnsi="宋体" w:cs="宋体"/>
          <w:iCs/>
          <w:color w:val="000000"/>
          <w:kern w:val="0"/>
          <w:szCs w:val="21"/>
        </w:rPr>
        <w:t>检查，终身维护。</w:t>
      </w:r>
    </w:p>
    <w:p w14:paraId="114B942E">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6.7.</w:t>
      </w:r>
      <w:r>
        <w:rPr>
          <w:rFonts w:hint="eastAsia" w:ascii="宋体" w:hAnsi="宋体" w:cs="宋体"/>
          <w:iCs/>
          <w:color w:val="000000"/>
          <w:kern w:val="0"/>
          <w:szCs w:val="21"/>
        </w:rPr>
        <w:t>投标人在投标文件中提供详细的售后服务方案。</w:t>
      </w:r>
    </w:p>
    <w:p w14:paraId="3796C28D">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7.</w:t>
      </w:r>
      <w:r>
        <w:rPr>
          <w:rFonts w:hint="eastAsia" w:ascii="宋体" w:hAnsi="宋体" w:cs="宋体"/>
          <w:b/>
          <w:bCs/>
          <w:iCs/>
          <w:color w:val="000000"/>
          <w:kern w:val="0"/>
          <w:szCs w:val="21"/>
        </w:rPr>
        <w:t>履约验收</w:t>
      </w:r>
    </w:p>
    <w:p w14:paraId="3DB8D8E6">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7.1.</w:t>
      </w:r>
      <w:r>
        <w:rPr>
          <w:rFonts w:hint="eastAsia" w:ascii="宋体" w:hAnsi="宋体" w:cs="宋体"/>
          <w:iCs/>
          <w:color w:val="000000"/>
          <w:kern w:val="0"/>
          <w:szCs w:val="21"/>
        </w:rPr>
        <w:t>设备计量及防护检测：设备在使用前和质保期满后，卖方必须提供国家强制执行的年度计量检测报告，提供计量器具型式批准证书并负责相关费用及手续。如检测达不到国家标准，卖方应负责设备的整改和再次检测费用，直至检测达标；若为防护设备，设备在使用前卖方必须提供防护检测报告并办理相关手续，如检测达不到国家标准，卖方应负责设备的整改和再次检测费用，直至检测达标，</w:t>
      </w:r>
    </w:p>
    <w:p w14:paraId="1D18CAB0">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7.2.</w:t>
      </w:r>
      <w:r>
        <w:rPr>
          <w:rFonts w:hint="eastAsia" w:ascii="宋体" w:hAnsi="宋体" w:cs="宋体"/>
          <w:iCs/>
          <w:color w:val="000000"/>
          <w:kern w:val="0"/>
          <w:szCs w:val="21"/>
        </w:rPr>
        <w:t>项目验收时采购人或者其委托的采购代理机构组织对供应商履约的验收。大型设备或技术复杂的应当邀请国家认可的质量检测机构参加验收工作。验收方成员应当在验收书上签字，并承担相应的法律责任。验收所产生的费用由中标人承担</w:t>
      </w:r>
      <w:r>
        <w:rPr>
          <w:rFonts w:hint="eastAsia" w:cs="宋体"/>
          <w:iCs/>
          <w:color w:val="000000"/>
          <w:kern w:val="0"/>
          <w:szCs w:val="21"/>
        </w:rPr>
        <w:t>（费用应包含在投标报价内）</w:t>
      </w:r>
      <w:r>
        <w:rPr>
          <w:rFonts w:hint="eastAsia" w:ascii="宋体" w:hAnsi="宋体" w:cs="宋体"/>
          <w:iCs/>
          <w:color w:val="000000"/>
          <w:kern w:val="0"/>
          <w:szCs w:val="21"/>
        </w:rPr>
        <w:t>，采购人不再另行支付其他任何费用。</w:t>
      </w:r>
    </w:p>
    <w:p w14:paraId="5371CB46">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7.3.</w:t>
      </w:r>
      <w:r>
        <w:rPr>
          <w:rFonts w:hint="eastAsia" w:ascii="宋体" w:hAnsi="宋体" w:cs="宋体"/>
          <w:iCs/>
          <w:color w:val="000000"/>
          <w:kern w:val="0"/>
          <w:szCs w:val="21"/>
        </w:rPr>
        <w:t>中标人在项目验收阶段，须配合采购人进行履约验收，验收符合相关标准（如国家标准、行业标准、技术规范等），验收过程中，中标人须准备相关资料（投标文件、中标通知书、采购合同、验收单等），确保验收过程有序进行。如需要第三方参与验收的，所需费用包含在投标报价内，中标人无条件配合。</w:t>
      </w:r>
    </w:p>
    <w:p w14:paraId="557C75A3">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8.</w:t>
      </w:r>
      <w:r>
        <w:rPr>
          <w:rFonts w:hint="eastAsia" w:ascii="宋体" w:hAnsi="宋体" w:cs="宋体"/>
          <w:b/>
          <w:bCs/>
          <w:iCs/>
          <w:color w:val="000000"/>
          <w:kern w:val="0"/>
          <w:szCs w:val="21"/>
        </w:rPr>
        <w:t>其他要求</w:t>
      </w:r>
    </w:p>
    <w:p w14:paraId="21A3185D">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8.1.</w:t>
      </w:r>
      <w:r>
        <w:rPr>
          <w:rFonts w:hint="eastAsia" w:ascii="宋体" w:hAnsi="宋体" w:cs="宋体"/>
          <w:iCs/>
          <w:color w:val="000000"/>
          <w:kern w:val="0"/>
          <w:szCs w:val="21"/>
        </w:rPr>
        <w:t>本项目为交钥匙项目，采购人负责提供适合安装的场地。供应商提供场地的装修及防护方案</w:t>
      </w:r>
      <w:r>
        <w:rPr>
          <w:rFonts w:hint="eastAsia" w:cs="宋体"/>
          <w:iCs/>
          <w:color w:val="000000"/>
          <w:kern w:val="0"/>
          <w:szCs w:val="21"/>
        </w:rPr>
        <w:t>及实施</w:t>
      </w:r>
      <w:r>
        <w:rPr>
          <w:rFonts w:hint="eastAsia" w:ascii="宋体" w:hAnsi="宋体" w:cs="宋体"/>
          <w:iCs/>
          <w:color w:val="000000"/>
          <w:kern w:val="0"/>
          <w:szCs w:val="21"/>
        </w:rPr>
        <w:t>，供应商承诺负责设备进入安装场地所产生的防护装修费用（技术参数有规定的以参数内容为准）；投标总价包括但不</w:t>
      </w:r>
      <w:r>
        <w:rPr>
          <w:rFonts w:hint="eastAsia" w:cs="宋体"/>
          <w:iCs/>
          <w:color w:val="000000"/>
          <w:kern w:val="0"/>
          <w:szCs w:val="21"/>
        </w:rPr>
        <w:t>限于</w:t>
      </w:r>
      <w:r>
        <w:rPr>
          <w:rFonts w:hint="eastAsia" w:ascii="宋体" w:hAnsi="宋体" w:cs="宋体"/>
          <w:iCs/>
          <w:color w:val="000000"/>
          <w:kern w:val="0"/>
          <w:szCs w:val="21"/>
        </w:rPr>
        <w:t>装修、设备安装、调试等所有费用，采购人不再另行支付其他任何费用。</w:t>
      </w:r>
    </w:p>
    <w:p w14:paraId="68D5C0CF">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8.2.</w:t>
      </w:r>
      <w:r>
        <w:rPr>
          <w:rFonts w:hint="eastAsia" w:ascii="宋体" w:hAnsi="宋体" w:cs="宋体"/>
          <w:iCs/>
          <w:color w:val="000000"/>
          <w:kern w:val="0"/>
          <w:szCs w:val="21"/>
        </w:rPr>
        <w:t>投标人如进行现场踏勘，由此产生的费用及安全问题由投标人自行承担。</w:t>
      </w:r>
    </w:p>
    <w:p w14:paraId="36D67114">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8.3.</w:t>
      </w:r>
      <w:r>
        <w:rPr>
          <w:rFonts w:hint="eastAsia" w:ascii="宋体" w:hAnsi="宋体" w:cs="宋体"/>
          <w:iCs/>
          <w:color w:val="000000"/>
          <w:kern w:val="0"/>
          <w:szCs w:val="21"/>
        </w:rPr>
        <w:t>投标人负责提供设备软件的开放（质量保证期以内和超出质量保证期）及永久性维修密码的制造商盖章承诺书或提供承诺函承诺中标后提供相应的制造商盖章承诺书。</w:t>
      </w:r>
    </w:p>
    <w:p w14:paraId="27A6A0AF">
      <w:pPr>
        <w:widowControl/>
        <w:numPr>
          <w:ilvl w:val="0"/>
          <w:numId w:val="0"/>
        </w:numPr>
        <w:spacing w:line="440" w:lineRule="exact"/>
        <w:ind w:left="0" w:leftChars="0" w:firstLine="0" w:firstLineChars="0"/>
        <w:rPr>
          <w:rFonts w:hint="eastAsia" w:ascii="宋体" w:hAnsi="宋体" w:cs="宋体"/>
          <w:b/>
          <w:bCs/>
          <w:iCs/>
          <w:color w:val="000000"/>
          <w:kern w:val="0"/>
          <w:szCs w:val="21"/>
        </w:rPr>
      </w:pPr>
      <w:r>
        <w:rPr>
          <w:rFonts w:hint="default" w:ascii="宋体" w:hAnsi="宋体" w:cs="宋体"/>
          <w:b/>
          <w:bCs/>
          <w:iCs/>
          <w:color w:val="000000"/>
          <w:kern w:val="0"/>
          <w:sz w:val="21"/>
          <w:szCs w:val="21"/>
          <w:lang w:val="en-US" w:eastAsia="zh-CN" w:bidi="ar-SA"/>
        </w:rPr>
        <w:t>9.</w:t>
      </w:r>
      <w:r>
        <w:rPr>
          <w:rFonts w:hint="eastAsia" w:ascii="宋体" w:hAnsi="宋体" w:cs="宋体"/>
          <w:b/>
          <w:bCs/>
          <w:iCs/>
          <w:color w:val="000000"/>
          <w:kern w:val="0"/>
          <w:szCs w:val="21"/>
        </w:rPr>
        <w:t>违约责任</w:t>
      </w:r>
    </w:p>
    <w:p w14:paraId="7DEE96FB">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9.1.</w:t>
      </w:r>
      <w:r>
        <w:rPr>
          <w:rFonts w:hint="eastAsia" w:ascii="宋体" w:hAnsi="宋体" w:cs="宋体"/>
          <w:iCs/>
          <w:color w:val="000000"/>
          <w:kern w:val="0"/>
          <w:szCs w:val="21"/>
        </w:rPr>
        <w:t>验收前如设备出现重大故障，导致更换整机，影响采购人项目开展或临床使用，由此引发的责任由中标人承担，采购人保留对中标人追究损失赔偿责任的权力。</w:t>
      </w:r>
    </w:p>
    <w:p w14:paraId="2145E190">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9.2.</w:t>
      </w:r>
      <w:r>
        <w:rPr>
          <w:rFonts w:hint="eastAsia" w:ascii="宋体" w:hAnsi="宋体" w:cs="宋体"/>
          <w:iCs/>
          <w:color w:val="000000"/>
          <w:kern w:val="0"/>
          <w:szCs w:val="21"/>
        </w:rPr>
        <w:t>延期交货：如果卖方未能按合同规定的时间按期交货（不可抗力除外）卖方应向买方支付违约金，每延期一天，按合同总额0.5%交付违约金，最多不超过延期交付的货物总额的10%。违约金从合同款项中扣除，合同款项不足的，卖方应补足。如果卖方在买方书面同意的延期时间内仍不能交货，买方有权解除合同，卖方退还买方已经支付的一切费用，并应按上述规定向买方支付违约金（按合同总额的30%计算）。</w:t>
      </w:r>
    </w:p>
    <w:p w14:paraId="08C4B7F9">
      <w:pPr>
        <w:widowControl/>
        <w:numPr>
          <w:ilvl w:val="1"/>
          <w:numId w:val="0"/>
        </w:numPr>
        <w:spacing w:line="440" w:lineRule="exact"/>
        <w:ind w:left="0" w:leftChars="0" w:firstLine="0" w:firstLineChars="0"/>
        <w:rPr>
          <w:rFonts w:hint="eastAsia" w:ascii="宋体" w:hAnsi="宋体" w:cs="宋体"/>
          <w:iCs/>
          <w:color w:val="000000"/>
          <w:kern w:val="0"/>
          <w:szCs w:val="21"/>
        </w:rPr>
      </w:pPr>
      <w:r>
        <w:rPr>
          <w:rFonts w:hint="default" w:ascii="宋体" w:hAnsi="宋体" w:cs="宋体"/>
          <w:iCs/>
          <w:color w:val="000000"/>
          <w:kern w:val="0"/>
          <w:sz w:val="21"/>
          <w:szCs w:val="21"/>
          <w:lang w:val="en-US" w:eastAsia="zh-CN" w:bidi="ar-SA"/>
        </w:rPr>
        <w:t>9.3.</w:t>
      </w:r>
      <w:r>
        <w:rPr>
          <w:rFonts w:hint="eastAsia" w:ascii="宋体" w:hAnsi="宋体" w:cs="宋体"/>
          <w:iCs/>
          <w:color w:val="000000"/>
          <w:kern w:val="0"/>
          <w:szCs w:val="21"/>
        </w:rPr>
        <w:t>★如发现中标产品无法满足招标文件及投标文件所列示的技术参数要求，或者发现中标人的投标文件存在虚假响应的情况，采购人有权单方面解除合同，并要求中标人支付与解除合同相关的一切费用，责任由中标人承担。（本项需出具单独承诺函）</w:t>
      </w:r>
    </w:p>
    <w:p w14:paraId="1B071999">
      <w:pPr>
        <w:spacing w:line="360" w:lineRule="auto"/>
        <w:rPr>
          <w:rFonts w:ascii="宋体" w:hAnsi="宋体"/>
          <w:bCs/>
          <w:color w:val="000000"/>
          <w:kern w:val="0"/>
          <w:szCs w:val="21"/>
        </w:rPr>
      </w:pPr>
    </w:p>
    <w:p w14:paraId="799DB012">
      <w:r>
        <w:rPr>
          <w:rFonts w:ascii="宋体" w:hAnsi="宋体"/>
          <w:color w:val="000000"/>
          <w:szCs w:val="21"/>
        </w:rPr>
        <w:t>备注：以上“</w:t>
      </w:r>
      <w:r>
        <w:rPr>
          <w:rFonts w:hint="eastAsia" w:ascii="宋体" w:hAnsi="宋体"/>
          <w:color w:val="000000"/>
          <w:szCs w:val="21"/>
        </w:rPr>
        <w:t>1</w:t>
      </w:r>
      <w:r>
        <w:rPr>
          <w:rFonts w:ascii="宋体" w:hAnsi="宋体"/>
          <w:color w:val="000000"/>
          <w:szCs w:val="21"/>
        </w:rPr>
        <w:t>至</w:t>
      </w:r>
      <w:r>
        <w:rPr>
          <w:rFonts w:hint="eastAsia" w:ascii="宋体" w:hAnsi="宋体"/>
          <w:color w:val="000000"/>
          <w:szCs w:val="21"/>
        </w:rPr>
        <w:t>9</w:t>
      </w:r>
      <w:r>
        <w:rPr>
          <w:rFonts w:ascii="宋体" w:hAnsi="宋体"/>
          <w:color w:val="000000"/>
          <w:szCs w:val="21"/>
        </w:rPr>
        <w:t>”项商务要求的每一项均视为一项商务需求内容，对其中任意一项子项</w:t>
      </w:r>
      <w:r>
        <w:rPr>
          <w:rFonts w:hint="eastAsia" w:ascii="宋体" w:hAnsi="宋体"/>
          <w:color w:val="000000"/>
          <w:szCs w:val="21"/>
        </w:rPr>
        <w:t>（“★”条款除外）</w:t>
      </w:r>
      <w:r>
        <w:rPr>
          <w:rFonts w:ascii="宋体" w:hAnsi="宋体"/>
          <w:color w:val="000000"/>
          <w:szCs w:val="21"/>
        </w:rPr>
        <w:t>的偏离均视为对该项商务需求内容的偏离，予以扣除相应分数。</w:t>
      </w: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B7392D3"/>
    <w:multiLevelType w:val="multilevel"/>
    <w:tmpl w:val="2B7392D3"/>
    <w:lvl w:ilvl="0" w:tentative="0">
      <w:start w:val="1"/>
      <w:numFmt w:val="chineseCounting"/>
      <w:suff w:val="nothing"/>
      <w:lvlText w:val="（%1）"/>
      <w:lvlJc w:val="left"/>
      <w:pPr>
        <w:ind w:left="0" w:firstLine="400"/>
      </w:pPr>
      <w:rPr>
        <w:rFonts w:hint="eastAsia"/>
      </w:rPr>
    </w:lvl>
    <w:lvl w:ilvl="1" w:tentative="0">
      <w:start w:val="1"/>
      <w:numFmt w:val="decimal"/>
      <w:suff w:val="nothing"/>
      <w:lvlText w:val="%2．"/>
      <w:lvlJc w:val="left"/>
      <w:pPr>
        <w:ind w:left="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upp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2393AD6"/>
    <w:rsid w:val="12393A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line="360" w:lineRule="auto"/>
      <w:outlineLvl w:val="1"/>
    </w:pPr>
    <w:rPr>
      <w:rFonts w:ascii="Arial" w:hAnsi="Arial"/>
      <w:b/>
      <w:bCs/>
      <w:kern w:val="0"/>
      <w:sz w:val="24"/>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2026-09-16T07:18:00Z</dcterms:created>
  <dc:creator>WPS_1761008501</dc:creator>
  <cp:lastModifiedBy>WPS_1761008501</cp:lastModifiedBy>
  <dcterms:modified xsi:type="dcterms:W3CDTF">2026-09-16T07:18:50Z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4DD40EA2ECBF4AF595BFC399A9F5BEA2_11</vt:lpwstr>
  </property>
  <property fmtid="{D5CDD505-2E9C-101B-9397-08002B2CF9AE}" pid="4" name="KSOTemplateDocerSaveRecord">
    <vt:lpwstr>eyJoZGlkIjoiZGUyYzI1ODQ3ODQxNmE5MWUxOTAzNzFhODJmZDNkYzYiLCJ1c2VySWQiOiIxNzU3MTQwOTM0In0=</vt:lpwstr>
  </property>
</Properties>
</file>