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EB529">
      <w:pPr>
        <w:pStyle w:val="3"/>
        <w:numPr>
          <w:numId w:val="0"/>
        </w:numPr>
        <w:spacing w:line="360" w:lineRule="auto"/>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采购需求</w:t>
      </w:r>
    </w:p>
    <w:p w14:paraId="090C92EB">
      <w:pPr>
        <w:pStyle w:val="3"/>
        <w:numPr>
          <w:numId w:val="0"/>
        </w:numPr>
        <w:spacing w:line="360" w:lineRule="auto"/>
        <w:ind w:firstLine="422" w:firstLineChars="200"/>
        <w:rPr>
          <w:rFonts w:hint="eastAsia"/>
        </w:rPr>
      </w:pPr>
      <w:r>
        <w:rPr>
          <w:rFonts w:hint="eastAsia" w:ascii="宋体" w:hAnsi="宋体" w:cs="宋体"/>
          <w:b/>
          <w:bCs/>
          <w:szCs w:val="21"/>
          <w:lang w:val="en-US" w:eastAsia="zh-CN"/>
        </w:rPr>
        <w:t>一、</w:t>
      </w:r>
      <w:r>
        <w:rPr>
          <w:rFonts w:hint="eastAsia" w:ascii="宋体" w:hAnsi="宋体" w:cs="宋体"/>
          <w:b/>
          <w:bCs/>
          <w:szCs w:val="21"/>
        </w:rPr>
        <w:t>采购项目名称</w:t>
      </w:r>
      <w:r>
        <w:rPr>
          <w:rFonts w:hint="eastAsia" w:ascii="宋体" w:hAnsi="宋体" w:cs="宋体"/>
          <w:szCs w:val="21"/>
        </w:rPr>
        <w:t>：</w:t>
      </w:r>
      <w:r>
        <w:rPr>
          <w:rFonts w:hint="eastAsia" w:ascii="宋体" w:hAnsi="宋体" w:cs="宋体"/>
          <w:szCs w:val="21"/>
          <w:lang w:eastAsia="zh-CN"/>
        </w:rPr>
        <w:t>岳阳市非煤矿山安全生产专项技术核查项目</w:t>
      </w:r>
    </w:p>
    <w:p w14:paraId="71025765">
      <w:pPr>
        <w:pStyle w:val="3"/>
        <w:spacing w:line="360" w:lineRule="auto"/>
        <w:ind w:firstLine="416" w:firstLineChars="200"/>
        <w:rPr>
          <w:rFonts w:hint="default" w:ascii="宋体" w:hAnsi="宋体" w:eastAsia="宋体"/>
          <w:b/>
          <w:szCs w:val="21"/>
          <w:lang w:val="en-US" w:eastAsia="zh-CN"/>
        </w:rPr>
      </w:pPr>
      <w:r>
        <w:rPr>
          <w:spacing w:val="-1"/>
          <w:szCs w:val="21"/>
        </w:rPr>
        <w:t>二、</w:t>
      </w:r>
      <w:r>
        <w:rPr>
          <w:b/>
          <w:bCs/>
          <w:spacing w:val="-1"/>
          <w:szCs w:val="21"/>
        </w:rPr>
        <w:t>采购预算：</w:t>
      </w:r>
      <w:r>
        <w:rPr>
          <w:rFonts w:hint="eastAsia"/>
          <w:b/>
          <w:bCs/>
          <w:color w:val="0000FF"/>
          <w:spacing w:val="-1"/>
          <w:szCs w:val="21"/>
          <w:lang w:val="en-US" w:eastAsia="zh-CN"/>
        </w:rPr>
        <w:t>804180.61</w:t>
      </w:r>
      <w:r>
        <w:rPr>
          <w:color w:val="0000FF"/>
          <w:spacing w:val="-1"/>
          <w:szCs w:val="21"/>
        </w:rPr>
        <w:t>元</w:t>
      </w:r>
      <w:r>
        <w:rPr>
          <w:rFonts w:hint="eastAsia"/>
          <w:color w:val="0000FF"/>
          <w:spacing w:val="-1"/>
          <w:szCs w:val="21"/>
          <w:lang w:val="en-US" w:eastAsia="zh-CN"/>
        </w:rPr>
        <w:t xml:space="preserve">    最高限价：804180.61</w:t>
      </w:r>
    </w:p>
    <w:p w14:paraId="53E15EA3">
      <w:pPr>
        <w:pStyle w:val="2"/>
        <w:ind w:firstLine="422" w:firstLineChars="200"/>
        <w:jc w:val="both"/>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三、工作背景</w:t>
      </w:r>
    </w:p>
    <w:p w14:paraId="401685E1">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省委副书记、省长毛伟明和市委副书记、市长李挚分别指出要深入学习贯彻习近平总书记关于安全生产的重要论述和指示批示精神。毛伟明强调要以事故为警醒、以问题为导向，多措并举筑牢安全生产防线，以高水平安全护航高质量发展；李挚强调要坚持“事事落实到位”，政企联动全面排查重大事故安全隐患，特别要突出消防、矿山、危险化学品和烟花爆竹、燃气等重点领域开展专项整治行动。为切实提升我市矿山本质安全水平，以高水平矿山安全保障全市经济高质量发展，根据《中共中央办公厅国务院办公厅关于进一步加强矿山安全生产工作的意见》和《安全生产法》《煤矿安全生产条例》（国务院令第774号）《湖南省进一步加强矿山安全生产工作的若干措施》（湘政办发〔2024〕10号）等有关法律法规文件精神，结合矿山安全监管工作职责分工及岳阳市非煤矿山安全生产工作实际，制定本方案。</w:t>
      </w:r>
    </w:p>
    <w:p w14:paraId="1F26735B">
      <w:pPr>
        <w:pStyle w:val="2"/>
        <w:ind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四</w:t>
      </w:r>
      <w:r>
        <w:rPr>
          <w:rFonts w:hint="eastAsia" w:ascii="宋体" w:hAnsi="宋体" w:eastAsia="宋体" w:cs="宋体"/>
          <w:color w:val="auto"/>
          <w:sz w:val="21"/>
          <w:szCs w:val="21"/>
        </w:rPr>
        <w:t>、工作目标</w:t>
      </w:r>
    </w:p>
    <w:p w14:paraId="73174B43">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严格落实省、市安全生产治本攻坚三年行动及中央安全生产考核巡查新精神，充分吸取“3·4”湖南省澧县废弃石膏矿塌陷导致3.4级地震灾害安全事故教训，切实抓好我市矿山安全生产工作，确保全市安全生产形势稳定。</w:t>
      </w:r>
      <w:bookmarkStart w:id="0" w:name="_Hlk199517124"/>
      <w:bookmarkStart w:id="1" w:name="_Hlk199517136"/>
      <w:r>
        <w:rPr>
          <w:rFonts w:hint="eastAsia" w:ascii="宋体" w:hAnsi="宋体" w:eastAsia="宋体" w:cs="宋体"/>
          <w:sz w:val="21"/>
          <w:szCs w:val="21"/>
        </w:rPr>
        <w:t>一是充分发挥空-天-地一体化监测技术优势，融合无人机、三维激光扫描和InSAR监测等多种手段，实现超深越界“开采即发现”、地表形变“异常即报警”，为非煤矿山地质灾害风险提供早期识别与超前预警能力，推动监管模式由“事后追责”向“事前防控”转变</w:t>
      </w:r>
      <w:r>
        <w:rPr>
          <w:rFonts w:hint="eastAsia" w:ascii="宋体" w:hAnsi="宋体" w:eastAsia="宋体" w:cs="宋体"/>
          <w:sz w:val="21"/>
          <w:szCs w:val="21"/>
          <w:lang w:eastAsia="zh-CN"/>
        </w:rPr>
        <w:t>。</w:t>
      </w:r>
      <w:r>
        <w:rPr>
          <w:rFonts w:hint="eastAsia" w:ascii="宋体" w:hAnsi="宋体" w:eastAsia="宋体" w:cs="宋体"/>
          <w:sz w:val="21"/>
          <w:szCs w:val="21"/>
        </w:rPr>
        <w:t>二</w:t>
      </w:r>
      <w:bookmarkEnd w:id="0"/>
      <w:r>
        <w:rPr>
          <w:rFonts w:hint="eastAsia" w:ascii="宋体" w:hAnsi="宋体" w:eastAsia="宋体" w:cs="宋体"/>
          <w:sz w:val="21"/>
          <w:szCs w:val="21"/>
        </w:rPr>
        <w:t>是全面排查打击无证采矿、超过有效期限采矿、超深越界采矿、以生态修复整治为名行非法采矿之实等违法行为。三是对核查过程中发现的矿山</w:t>
      </w:r>
      <w:r>
        <w:rPr>
          <w:rFonts w:hint="eastAsia" w:ascii="宋体" w:hAnsi="宋体" w:eastAsia="宋体" w:cs="宋体"/>
          <w:sz w:val="21"/>
          <w:szCs w:val="21"/>
          <w:lang w:val="en-US" w:eastAsia="zh-CN"/>
        </w:rPr>
        <w:t>形变异常区</w:t>
      </w:r>
      <w:r>
        <w:rPr>
          <w:rFonts w:hint="eastAsia" w:ascii="宋体" w:hAnsi="宋体" w:eastAsia="宋体" w:cs="宋体"/>
          <w:sz w:val="21"/>
          <w:szCs w:val="21"/>
        </w:rPr>
        <w:t>、超深越界盗采矿产资源等情况问题，及时交办属地人民政府和相关监管职能部门进行查处。</w:t>
      </w:r>
    </w:p>
    <w:bookmarkEnd w:id="1"/>
    <w:p w14:paraId="7D1D9818">
      <w:pPr>
        <w:pStyle w:val="2"/>
        <w:ind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五</w:t>
      </w:r>
      <w:r>
        <w:rPr>
          <w:rFonts w:hint="eastAsia" w:ascii="宋体" w:hAnsi="宋体" w:eastAsia="宋体" w:cs="宋体"/>
          <w:color w:val="auto"/>
          <w:sz w:val="21"/>
          <w:szCs w:val="21"/>
        </w:rPr>
        <w:t>、政策依据</w:t>
      </w:r>
    </w:p>
    <w:p w14:paraId="64F5B26E">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依据下列法律法规及文件要求开展安全生产专项技术核查工作；</w:t>
      </w:r>
    </w:p>
    <w:p w14:paraId="5CA11C8D">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（一）《中华人民共和国矿产资源法》；</w:t>
      </w:r>
    </w:p>
    <w:p w14:paraId="0EB5515F">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（二）《中华人民共和国矿山安全法》；</w:t>
      </w:r>
    </w:p>
    <w:p w14:paraId="0C53003D">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（三）《自然资源部 生态环境部 公安部 应急管理部 国家市场监督管理总局 国家能源局 国家矿山安全监察局关于印发打击“洗洞”盗采金矿专项整治行动工作方案的通知》（自然资发〔2022〕61 号）；</w:t>
      </w:r>
    </w:p>
    <w:p w14:paraId="6D9F6AC8">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（四）湖南省自然资源厅《关于进一步做好自然资源领域安全防范工作的紧急通知》（湘自资办发〔2022〕36 号）；</w:t>
      </w:r>
    </w:p>
    <w:p w14:paraId="7A24177E">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（五）湖南省自然资源厅关于印发《湖南省自然资源领域安全生产大核查暨打非治违工作方案》的通知（湘自资办发〔2022〕38 号）；</w:t>
      </w:r>
    </w:p>
    <w:p w14:paraId="3399ED68">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（六）国家矿山安全监察局关于印发《关于加强非煤矿山安全生产工作的指导意见》的通知（2022）；</w:t>
      </w:r>
    </w:p>
    <w:p w14:paraId="79DFDEC8">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（七）岳阳市生态环境保护委员会办公室关于印发《全市防范化解重大生态环境风险隐患“利剑”行动方案》的通知（岳生环委办〔2022〕40 号）；</w:t>
      </w:r>
    </w:p>
    <w:p w14:paraId="74670EE2">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（八）中共中央办公厅《关于全面加强矿山安全生产工作的意见》（国发〔2023〕12号）；</w:t>
      </w:r>
    </w:p>
    <w:p w14:paraId="11655AD3">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（九）国务院安全生产委员会印发《关于防范遏制矿山领域重特大生产安全事故的硬措施》的通知（安委〔2024〕1号）；</w:t>
      </w:r>
    </w:p>
    <w:p w14:paraId="03F7AF2D">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（十）湖南省人民政府办公厅关于印发《湖南省进一步加强矿山安全生产工作的若干措施》的通知（湘政办发〔2024〕10号）。</w:t>
      </w:r>
    </w:p>
    <w:p w14:paraId="14298A5F">
      <w:pPr>
        <w:pStyle w:val="2"/>
        <w:ind w:firstLine="422" w:firstLineChars="200"/>
        <w:jc w:val="both"/>
        <w:rPr>
          <w:rFonts w:hint="eastAsia" w:ascii="宋体" w:hAnsi="宋体" w:eastAsia="宋体" w:cs="宋体"/>
          <w:color w:val="auto"/>
          <w:sz w:val="21"/>
          <w:szCs w:val="21"/>
        </w:rPr>
      </w:pPr>
      <w:bookmarkStart w:id="2" w:name="_Hlk199517176"/>
      <w:r>
        <w:rPr>
          <w:rFonts w:hint="eastAsia" w:ascii="宋体" w:hAnsi="宋体" w:eastAsia="宋体" w:cs="宋体"/>
          <w:color w:val="auto"/>
          <w:sz w:val="21"/>
          <w:szCs w:val="21"/>
          <w:lang w:val="en-US" w:eastAsia="zh-CN"/>
        </w:rPr>
        <w:t>六</w:t>
      </w:r>
      <w:r>
        <w:rPr>
          <w:rFonts w:hint="eastAsia" w:ascii="宋体" w:hAnsi="宋体" w:eastAsia="宋体" w:cs="宋体"/>
          <w:color w:val="auto"/>
          <w:sz w:val="21"/>
          <w:szCs w:val="21"/>
        </w:rPr>
        <w:t>、核查范围</w:t>
      </w:r>
    </w:p>
    <w:p w14:paraId="1EE4B253">
      <w:pPr>
        <w:spacing w:after="199" w:afterLines="64" w:line="600" w:lineRule="exact"/>
        <w:ind w:firstLine="420" w:firstLineChars="200"/>
        <w:contextualSpacing/>
        <w:rPr>
          <w:rFonts w:hint="eastAsia" w:ascii="宋体" w:hAnsi="宋体" w:eastAsia="宋体" w:cs="宋体"/>
          <w:b/>
          <w:bCs/>
          <w:sz w:val="21"/>
          <w:szCs w:val="21"/>
        </w:rPr>
      </w:pPr>
      <w:r>
        <w:rPr>
          <w:rFonts w:hint="eastAsia" w:ascii="宋体" w:hAnsi="宋体" w:eastAsia="宋体" w:cs="宋体"/>
          <w:sz w:val="21"/>
          <w:szCs w:val="21"/>
        </w:rPr>
        <w:t>本次核查范围及对象主要为岳阳市采矿许可证在有效期内的非煤矿山</w:t>
      </w:r>
      <w:bookmarkStart w:id="3" w:name="_Hlk214546344"/>
      <w:r>
        <w:rPr>
          <w:rFonts w:hint="eastAsia" w:ascii="宋体" w:hAnsi="宋体" w:eastAsia="宋体" w:cs="宋体"/>
          <w:sz w:val="21"/>
          <w:szCs w:val="21"/>
        </w:rPr>
        <w:t>（共计36个，其中在生产14个，建设期12个，未生产10个），同时对38个过期矿山进行安全隐患排查，准确掌握情况，及时发现问题并消除隐患。</w:t>
      </w:r>
      <w:bookmarkEnd w:id="3"/>
    </w:p>
    <w:bookmarkEnd w:id="2"/>
    <w:p w14:paraId="12B383E0">
      <w:pPr>
        <w:pStyle w:val="2"/>
        <w:ind w:firstLine="422" w:firstLineChars="200"/>
        <w:jc w:val="both"/>
        <w:rPr>
          <w:rFonts w:hint="eastAsia" w:ascii="宋体" w:hAnsi="宋体" w:eastAsia="宋体" w:cs="宋体"/>
          <w:color w:val="auto"/>
          <w:sz w:val="21"/>
          <w:szCs w:val="21"/>
        </w:rPr>
      </w:pPr>
      <w:bookmarkStart w:id="4" w:name="_Hlk199517184"/>
      <w:r>
        <w:rPr>
          <w:rFonts w:hint="eastAsia" w:ascii="宋体" w:hAnsi="宋体" w:eastAsia="宋体" w:cs="宋体"/>
          <w:color w:val="auto"/>
          <w:sz w:val="21"/>
          <w:szCs w:val="21"/>
          <w:lang w:val="en-US" w:eastAsia="zh-CN"/>
        </w:rPr>
        <w:t>七</w:t>
      </w:r>
      <w:r>
        <w:rPr>
          <w:rFonts w:hint="eastAsia" w:ascii="宋体" w:hAnsi="宋体" w:eastAsia="宋体" w:cs="宋体"/>
          <w:color w:val="auto"/>
          <w:sz w:val="21"/>
          <w:szCs w:val="21"/>
        </w:rPr>
        <w:t>、工作任务</w:t>
      </w:r>
    </w:p>
    <w:bookmarkEnd w:id="4"/>
    <w:p w14:paraId="466A6127">
      <w:pPr>
        <w:spacing w:after="40" w:afterLines="13" w:line="600" w:lineRule="exact"/>
        <w:ind w:firstLine="420" w:firstLineChars="200"/>
        <w:rPr>
          <w:rFonts w:hint="eastAsia" w:ascii="宋体" w:hAnsi="宋体" w:eastAsia="宋体" w:cs="宋体"/>
          <w:sz w:val="21"/>
          <w:szCs w:val="21"/>
        </w:rPr>
      </w:pPr>
      <w:bookmarkStart w:id="5" w:name="_Hlk199517198"/>
      <w:bookmarkStart w:id="6" w:name="OLE_LINK9"/>
      <w:r>
        <w:rPr>
          <w:rFonts w:hint="eastAsia" w:ascii="宋体" w:hAnsi="宋体" w:eastAsia="宋体" w:cs="宋体"/>
          <w:sz w:val="21"/>
          <w:szCs w:val="21"/>
        </w:rPr>
        <w:t>在2025年岳阳市非煤矿山安全生产专项技术核查中，重点开展以下三项内容：</w:t>
      </w:r>
    </w:p>
    <w:p w14:paraId="31663A9E">
      <w:pPr>
        <w:spacing w:after="40" w:afterLines="13"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（一）全面核查9个在生产非煤矿山（包括7个露天矿山和2个代表性地下矿山）安全生产状况，依法制止和查处无证勘查开采、以采代探、超深越界采矿等违法违规行为，并形成“一矿一档”技术报告。</w:t>
      </w:r>
    </w:p>
    <w:p w14:paraId="21E5CF10">
      <w:pPr>
        <w:spacing w:after="40" w:afterLines="13"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采用无人机倾斜摄影技术对7个露天矿山超深越界开展监测。通过搭载五镜头或多镜头相机，从垂直和倾斜多角度同步采集高分辨率影像，结合GNSS定位与IMU惯性测量单元，实现厘米级精度三维实景建模。露天矿山三维模型与采矿许可证核准矢量边界进行空间叠合分析，精准识别超深（开采深度超出许可）或越界（水平范围超出许可）行为，为执法取证提供可视化依据。</w:t>
      </w:r>
    </w:p>
    <w:p w14:paraId="7F666CD9">
      <w:pPr>
        <w:spacing w:after="40" w:afterLines="13"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运用三维激光扫描技术对2个地下矿山超深越界实施监测。在确保通风与安全前提下，采用地面式与手持式扫描仪对关键采掘面</w:t>
      </w:r>
      <w:r>
        <w:rPr>
          <w:rFonts w:hint="eastAsia" w:ascii="宋体" w:hAnsi="宋体" w:eastAsia="宋体" w:cs="宋体"/>
          <w:sz w:val="21"/>
          <w:szCs w:val="21"/>
          <w:lang w:val="en-US" w:eastAsia="zh-CN"/>
        </w:rPr>
        <w:t>等</w:t>
      </w:r>
      <w:r>
        <w:rPr>
          <w:rFonts w:hint="eastAsia" w:ascii="宋体" w:hAnsi="宋体" w:eastAsia="宋体" w:cs="宋体"/>
          <w:sz w:val="21"/>
          <w:szCs w:val="21"/>
        </w:rPr>
        <w:t>区域进行全面扫描，生成高精度三维网格模型，真实还原井下开采轮廓。模型与采矿权范围三维边界（基于勘探报告与开采设计图纸数字化）进行空间叠合分析，检测超深（如擅自下挖至未经批准层位）或越界（如穿层进入禁采区）等违规行为，输出可量化的越界距离、超深高程及违规体积，为隐蔽违规行为查处提供技术证据。</w:t>
      </w:r>
    </w:p>
    <w:p w14:paraId="5DD08A2A">
      <w:pPr>
        <w:spacing w:after="40" w:afterLines="13"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（二）开展正射影像核查过期矿山。采集38个目标矿区高分辨率正射影像，与采矿权数据库及许可证有效期信息叠加。重点核查</w:t>
      </w:r>
      <w:bookmarkStart w:id="7" w:name="_Hlk214555367"/>
      <w:r>
        <w:rPr>
          <w:rFonts w:hint="eastAsia" w:ascii="宋体" w:hAnsi="宋体" w:eastAsia="宋体" w:cs="宋体"/>
          <w:sz w:val="21"/>
          <w:szCs w:val="21"/>
        </w:rPr>
        <w:t>地表是否存在新鲜采掘面、矿石堆放、机械作业痕迹等开采活动迹象，准确判断是否</w:t>
      </w:r>
      <w:r>
        <w:rPr>
          <w:rFonts w:hint="eastAsia" w:ascii="宋体" w:hAnsi="宋体" w:eastAsia="宋体" w:cs="宋体"/>
          <w:sz w:val="21"/>
          <w:szCs w:val="21"/>
          <w:lang w:val="en-US" w:eastAsia="zh-CN"/>
        </w:rPr>
        <w:t>存</w:t>
      </w:r>
      <w:r>
        <w:rPr>
          <w:rFonts w:hint="eastAsia" w:ascii="宋体" w:hAnsi="宋体" w:eastAsia="宋体" w:cs="宋体"/>
          <w:sz w:val="21"/>
          <w:szCs w:val="21"/>
        </w:rPr>
        <w:t>在违规开采。</w:t>
      </w:r>
    </w:p>
    <w:bookmarkEnd w:id="5"/>
    <w:bookmarkEnd w:id="7"/>
    <w:p w14:paraId="7C21F247">
      <w:pPr>
        <w:spacing w:after="40" w:afterLines="13" w:line="60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（三）针对近年非煤矿山事故暴露的监管短板，在2022年专项技术核查工作基础上，拟引入InSAR技术对全市74个非煤矿山及周边敏感区域实施大范围、高频次地表形变监测，</w:t>
      </w:r>
      <w:r>
        <w:rPr>
          <w:rFonts w:hint="default" w:ascii="宋体" w:hAnsi="宋体" w:eastAsia="宋体" w:cs="宋体"/>
          <w:sz w:val="21"/>
          <w:szCs w:val="21"/>
        </w:rPr>
        <w:t>获取矿区及周边区域的地表形变速率图，圈定形变异常区，并据此编制《非煤矿山形变监测报告》，为地质灾害隐患的早期识别与风险管控提供技术依据，从而提升全市非煤矿山安全风险防控能力。</w:t>
      </w:r>
    </w:p>
    <w:bookmarkEnd w:id="6"/>
    <w:p w14:paraId="7564B9B2">
      <w:pPr>
        <w:pStyle w:val="2"/>
        <w:ind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八</w:t>
      </w:r>
      <w:r>
        <w:rPr>
          <w:rFonts w:hint="eastAsia" w:ascii="宋体" w:hAnsi="宋体" w:eastAsia="宋体" w:cs="宋体"/>
          <w:color w:val="auto"/>
          <w:sz w:val="21"/>
          <w:szCs w:val="21"/>
        </w:rPr>
        <w:t>、工作要求</w:t>
      </w:r>
    </w:p>
    <w:p w14:paraId="67EDB353">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（一）严格核查，摸清实情。</w:t>
      </w:r>
      <w:bookmarkStart w:id="8" w:name="_Hlk199517925"/>
      <w:r>
        <w:rPr>
          <w:rFonts w:hint="eastAsia" w:ascii="宋体" w:hAnsi="宋体" w:eastAsia="宋体" w:cs="宋体"/>
          <w:sz w:val="21"/>
          <w:szCs w:val="21"/>
        </w:rPr>
        <w:t>对全市非煤矿山违法违规行进行全面细致的核查，摸清矿山允许开采范围</w:t>
      </w:r>
      <w:bookmarkEnd w:id="8"/>
      <w:r>
        <w:rPr>
          <w:rFonts w:hint="eastAsia" w:ascii="宋体" w:hAnsi="宋体" w:eastAsia="宋体" w:cs="宋体"/>
          <w:sz w:val="21"/>
          <w:szCs w:val="21"/>
        </w:rPr>
        <w:t>，利用无人机倾斜摄影技术构建露天矿山的三维模型、三维激光扫描技术构建地下矿山的三维模型，以及利用InSAR监测技术，对超深越界和矿山</w:t>
      </w:r>
      <w:r>
        <w:rPr>
          <w:rFonts w:hint="eastAsia" w:ascii="宋体" w:hAnsi="宋体" w:eastAsia="宋体" w:cs="宋体"/>
          <w:sz w:val="21"/>
          <w:szCs w:val="21"/>
          <w:lang w:val="en-US" w:eastAsia="zh-CN"/>
        </w:rPr>
        <w:t>形变</w:t>
      </w:r>
      <w:r>
        <w:rPr>
          <w:rFonts w:hint="eastAsia" w:ascii="宋体" w:hAnsi="宋体" w:eastAsia="宋体" w:cs="宋体"/>
          <w:sz w:val="21"/>
          <w:szCs w:val="21"/>
        </w:rPr>
        <w:t>进行监测。同时对无证勘查开采、持过期采矿许可证开采、超深越界开采等违法违规行为进行核查。</w:t>
      </w:r>
    </w:p>
    <w:p w14:paraId="3144CFF3">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（二）突出重点，分类治理。在InSAR技术圈定的形变异常区基础上，依据形变等级、矿区周边环境敏感程度、开采技术条件及矿山实际开采进展等因素，实行差异化分级监测，明确重点治理矿山与优先治理区域。</w:t>
      </w:r>
    </w:p>
    <w:p w14:paraId="1AEC26B9">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（三）</w:t>
      </w:r>
      <w:bookmarkStart w:id="9" w:name="_Hlk199517963"/>
      <w:r>
        <w:rPr>
          <w:rFonts w:hint="eastAsia" w:ascii="宋体" w:hAnsi="宋体" w:eastAsia="宋体" w:cs="宋体"/>
          <w:sz w:val="21"/>
          <w:szCs w:val="21"/>
        </w:rPr>
        <w:t>加强监督，严格验收。对发现存在违法违规行为和具有重大地质灾害隐患未治理的非煤矿山，要依法严肃处理，及时总结经验，树立典型，认真研究和解决工作中遇到的问题，确保治理工作达到预期效果。</w:t>
      </w:r>
      <w:bookmarkEnd w:id="9"/>
    </w:p>
    <w:p w14:paraId="44D1F51B">
      <w:pPr>
        <w:pStyle w:val="2"/>
        <w:ind w:firstLine="422" w:firstLineChars="20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九</w:t>
      </w:r>
      <w:r>
        <w:rPr>
          <w:rFonts w:hint="eastAsia" w:ascii="宋体" w:hAnsi="宋体" w:eastAsia="宋体" w:cs="宋体"/>
          <w:color w:val="auto"/>
          <w:sz w:val="21"/>
          <w:szCs w:val="21"/>
        </w:rPr>
        <w:t>、工作安排</w:t>
      </w:r>
    </w:p>
    <w:p w14:paraId="38C2E689">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（一）走访调查。</w:t>
      </w:r>
      <w:bookmarkStart w:id="10" w:name="_Hlk199517976"/>
      <w:r>
        <w:rPr>
          <w:rFonts w:hint="eastAsia" w:ascii="宋体" w:hAnsi="宋体" w:eastAsia="宋体" w:cs="宋体"/>
          <w:sz w:val="21"/>
          <w:szCs w:val="21"/>
        </w:rPr>
        <w:t>收集非煤矿山档案、网络和信访举报资料</w:t>
      </w:r>
      <w:bookmarkEnd w:id="10"/>
      <w:r>
        <w:rPr>
          <w:rFonts w:hint="eastAsia" w:ascii="宋体" w:hAnsi="宋体" w:eastAsia="宋体" w:cs="宋体"/>
          <w:sz w:val="21"/>
          <w:szCs w:val="21"/>
        </w:rPr>
        <w:t>，全面调阅各矿山2023至2025年近三年内违法和处理记录。</w:t>
      </w:r>
      <w:bookmarkStart w:id="11" w:name="_Hlk199517996"/>
      <w:r>
        <w:rPr>
          <w:rFonts w:hint="eastAsia" w:ascii="宋体" w:hAnsi="宋体" w:eastAsia="宋体" w:cs="宋体"/>
          <w:sz w:val="21"/>
          <w:szCs w:val="21"/>
        </w:rPr>
        <w:t>重点核查矿业权人是否出现超深越界开采、是否存在以采代探等违法违规行为。将2025年岳阳市第二季度1m影像与矿山拐点坐标套合，列出重点核查矿山名单，现场实地走访调查。</w:t>
      </w:r>
    </w:p>
    <w:bookmarkEnd w:id="11"/>
    <w:p w14:paraId="45362AB6">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（二）数据收集与处理。根据现场实地走访调查情况，采集非煤矿山近一年的sentinel-1A SAR</w:t>
      </w:r>
      <w:r>
        <w:rPr>
          <w:rFonts w:hint="eastAsia" w:ascii="宋体" w:hAnsi="宋体" w:eastAsia="宋体" w:cs="宋体"/>
          <w:sz w:val="21"/>
          <w:szCs w:val="21"/>
          <w:lang w:val="en-US" w:eastAsia="zh-CN"/>
        </w:rPr>
        <w:t>数据</w:t>
      </w:r>
      <w:r>
        <w:rPr>
          <w:rFonts w:hint="eastAsia" w:ascii="宋体" w:hAnsi="宋体" w:eastAsia="宋体" w:cs="宋体"/>
          <w:sz w:val="21"/>
          <w:szCs w:val="21"/>
        </w:rPr>
        <w:t>、露天矿山的无人机倾斜摄影数据</w:t>
      </w:r>
      <w:r>
        <w:rPr>
          <w:rFonts w:hint="eastAsia" w:ascii="宋体" w:hAnsi="宋体" w:eastAsia="宋体" w:cs="宋体"/>
          <w:sz w:val="21"/>
          <w:szCs w:val="21"/>
          <w:lang w:val="en-US" w:eastAsia="zh-CN"/>
        </w:rPr>
        <w:t>以及</w:t>
      </w:r>
      <w:r>
        <w:rPr>
          <w:rFonts w:hint="eastAsia" w:ascii="宋体" w:hAnsi="宋体" w:eastAsia="宋体" w:cs="宋体"/>
          <w:sz w:val="21"/>
          <w:szCs w:val="21"/>
        </w:rPr>
        <w:t>地下矿山三维激光扫描</w:t>
      </w:r>
      <w:r>
        <w:rPr>
          <w:rFonts w:hint="eastAsia" w:ascii="宋体" w:hAnsi="宋体" w:eastAsia="宋体" w:cs="宋体"/>
          <w:sz w:val="21"/>
          <w:szCs w:val="21"/>
          <w:lang w:val="en-US" w:eastAsia="zh-CN"/>
        </w:rPr>
        <w:t>数据</w:t>
      </w:r>
      <w:r>
        <w:rPr>
          <w:rFonts w:hint="eastAsia" w:ascii="宋体" w:hAnsi="宋体" w:eastAsia="宋体" w:cs="宋体"/>
          <w:sz w:val="21"/>
          <w:szCs w:val="21"/>
        </w:rPr>
        <w:t>，</w:t>
      </w:r>
      <w:bookmarkStart w:id="12" w:name="_Hlk199518100"/>
      <w:r>
        <w:rPr>
          <w:rFonts w:hint="eastAsia" w:ascii="宋体" w:hAnsi="宋体" w:eastAsia="宋体" w:cs="宋体"/>
          <w:sz w:val="21"/>
          <w:szCs w:val="21"/>
        </w:rPr>
        <w:t>为后续超深越界测量和矿山</w:t>
      </w:r>
      <w:r>
        <w:rPr>
          <w:rFonts w:hint="eastAsia" w:ascii="宋体" w:hAnsi="宋体" w:eastAsia="宋体" w:cs="宋体"/>
          <w:sz w:val="21"/>
          <w:szCs w:val="21"/>
          <w:lang w:val="en-US" w:eastAsia="zh-CN"/>
        </w:rPr>
        <w:t>异常形变区</w:t>
      </w:r>
      <w:r>
        <w:rPr>
          <w:rFonts w:hint="eastAsia" w:ascii="宋体" w:hAnsi="宋体" w:eastAsia="宋体" w:cs="宋体"/>
          <w:sz w:val="21"/>
          <w:szCs w:val="21"/>
        </w:rPr>
        <w:t>识别提供原始数据。对SAR卫星影像采用时序InSAR技术获取形变量，评估非煤矿山的形变等级</w:t>
      </w:r>
      <w:bookmarkEnd w:id="12"/>
      <w:r>
        <w:rPr>
          <w:rFonts w:hint="eastAsia" w:ascii="宋体" w:hAnsi="宋体" w:eastAsia="宋体" w:cs="宋体"/>
          <w:sz w:val="21"/>
          <w:szCs w:val="21"/>
        </w:rPr>
        <w:t>。利用无人机倾斜摄影数据建立露天矿山的三维底座，为后续监测露天矿山超深越界行为提供依据。采用专门的点云处理软件对地下矿山三维激光扫描数据进行三维建模。</w:t>
      </w:r>
    </w:p>
    <w:p w14:paraId="4D37EF6D">
      <w:pPr>
        <w:spacing w:after="199" w:afterLines="64" w:line="600" w:lineRule="exact"/>
        <w:ind w:firstLine="420" w:firstLineChars="200"/>
        <w:contextualSpacing/>
        <w:rPr>
          <w:rFonts w:hint="eastAsia" w:ascii="宋体" w:hAnsi="宋体" w:eastAsia="宋体" w:cs="宋体"/>
          <w:sz w:val="21"/>
          <w:szCs w:val="21"/>
        </w:rPr>
      </w:pPr>
      <w:bookmarkStart w:id="13" w:name="_Hlk199518231"/>
      <w:r>
        <w:rPr>
          <w:rFonts w:hint="eastAsia" w:ascii="宋体" w:hAnsi="宋体" w:eastAsia="宋体" w:cs="宋体"/>
          <w:sz w:val="21"/>
          <w:szCs w:val="21"/>
        </w:rPr>
        <w:t>（三）现场核查。根据</w:t>
      </w:r>
      <w:r>
        <w:rPr>
          <w:rFonts w:hint="eastAsia" w:ascii="宋体" w:hAnsi="宋体" w:eastAsia="宋体" w:cs="宋体"/>
          <w:sz w:val="21"/>
          <w:szCs w:val="21"/>
          <w:lang w:val="en-US" w:eastAsia="zh-CN"/>
        </w:rPr>
        <w:t>非煤矿山超深越界核查情况和</w:t>
      </w:r>
      <w:r>
        <w:rPr>
          <w:rFonts w:hint="eastAsia" w:ascii="宋体" w:hAnsi="宋体" w:eastAsia="宋体" w:cs="宋体"/>
          <w:sz w:val="21"/>
          <w:szCs w:val="21"/>
        </w:rPr>
        <w:t>形变</w:t>
      </w:r>
      <w:r>
        <w:rPr>
          <w:rFonts w:hint="eastAsia" w:ascii="宋体" w:hAnsi="宋体" w:eastAsia="宋体" w:cs="宋体"/>
          <w:sz w:val="21"/>
          <w:szCs w:val="21"/>
          <w:lang w:val="en-US" w:eastAsia="zh-CN"/>
        </w:rPr>
        <w:t>异常区域</w:t>
      </w:r>
      <w:r>
        <w:rPr>
          <w:rFonts w:hint="eastAsia" w:ascii="宋体" w:hAnsi="宋体" w:eastAsia="宋体" w:cs="宋体"/>
          <w:sz w:val="21"/>
          <w:szCs w:val="21"/>
        </w:rPr>
        <w:t>，</w:t>
      </w:r>
      <w:r>
        <w:rPr>
          <w:rFonts w:hint="default" w:ascii="宋体" w:hAnsi="宋体" w:eastAsia="宋体" w:cs="宋体"/>
          <w:sz w:val="21"/>
          <w:szCs w:val="21"/>
        </w:rPr>
        <w:t>确定重点核查区域并开展逐点现场验证。</w:t>
      </w:r>
    </w:p>
    <w:bookmarkEnd w:id="13"/>
    <w:p w14:paraId="1E2DDE40">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（四）成果报告编制。在收集以往资料和本次专项核查工作的基础上开展技术报告编制。成果包括：1.7个露天矿山超深越界监测报告；2.2个地下矿山超深越界测量报告；</w:t>
      </w:r>
      <w:bookmarkStart w:id="14" w:name="_Hlk199518285"/>
      <w:r>
        <w:rPr>
          <w:rFonts w:hint="eastAsia" w:ascii="宋体" w:hAnsi="宋体" w:eastAsia="宋体" w:cs="宋体"/>
          <w:sz w:val="21"/>
          <w:szCs w:val="21"/>
        </w:rPr>
        <w:t>3.过期矿山基本核查报告；4.矿山形变监测报告</w:t>
      </w:r>
      <w:bookmarkEnd w:id="14"/>
      <w:r>
        <w:rPr>
          <w:rFonts w:hint="eastAsia" w:ascii="宋体" w:hAnsi="宋体" w:eastAsia="宋体" w:cs="宋体"/>
          <w:sz w:val="21"/>
          <w:szCs w:val="21"/>
        </w:rPr>
        <w:t>。</w:t>
      </w:r>
    </w:p>
    <w:p w14:paraId="04F28694">
      <w:pPr>
        <w:spacing w:after="199" w:afterLines="64" w:line="600" w:lineRule="exact"/>
        <w:ind w:firstLine="420" w:firstLineChars="200"/>
        <w:contextualSpacing/>
        <w:rPr>
          <w:rFonts w:hint="eastAsia" w:ascii="宋体" w:hAnsi="宋体" w:eastAsia="宋体" w:cs="宋体"/>
          <w:sz w:val="21"/>
          <w:szCs w:val="21"/>
        </w:rPr>
      </w:pPr>
      <w:r>
        <w:rPr>
          <w:rFonts w:hint="eastAsia" w:ascii="宋体" w:hAnsi="宋体" w:eastAsia="宋体" w:cs="宋体"/>
          <w:sz w:val="21"/>
          <w:szCs w:val="21"/>
        </w:rPr>
        <w:t>（五）成果资料审查备案。成果报告编制完成后，及时提交自然资源业务主管部门审查，审查通过后报市自然资源和规划局备案存档。</w:t>
      </w:r>
    </w:p>
    <w:p w14:paraId="0B684E66">
      <w:pPr>
        <w:autoSpaceDE w:val="0"/>
        <w:autoSpaceDN w:val="0"/>
        <w:spacing w:line="360" w:lineRule="auto"/>
        <w:ind w:firstLine="418" w:firstLineChars="200"/>
        <w:rPr>
          <w:rFonts w:hint="eastAsia" w:ascii="宋体" w:hAnsi="宋体" w:eastAsia="宋体" w:cs="宋体"/>
          <w:b/>
          <w:bCs/>
          <w:color w:val="000000"/>
          <w:spacing w:val="-2"/>
          <w:sz w:val="21"/>
          <w:szCs w:val="21"/>
        </w:rPr>
      </w:pPr>
      <w:r>
        <w:rPr>
          <w:rFonts w:hint="eastAsia" w:ascii="宋体" w:hAnsi="宋体" w:eastAsia="宋体" w:cs="宋体"/>
          <w:b/>
          <w:bCs/>
          <w:spacing w:val="-1"/>
          <w:sz w:val="21"/>
          <w:szCs w:val="21"/>
          <w:lang w:val="en-US" w:eastAsia="zh-CN"/>
        </w:rPr>
        <w:t>十</w:t>
      </w:r>
      <w:r>
        <w:rPr>
          <w:rFonts w:hint="eastAsia" w:ascii="宋体" w:hAnsi="宋体" w:eastAsia="宋体" w:cs="宋体"/>
          <w:b/>
          <w:bCs/>
          <w:spacing w:val="-1"/>
          <w:sz w:val="21"/>
          <w:szCs w:val="21"/>
        </w:rPr>
        <w:t>、工期及付款</w:t>
      </w:r>
    </w:p>
    <w:p w14:paraId="54FD0329">
      <w:pPr>
        <w:spacing w:after="199" w:afterLines="64" w:line="600" w:lineRule="exact"/>
        <w:ind w:firstLine="420" w:firstLineChars="200"/>
        <w:contextualSpacing/>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工期：</w:t>
      </w:r>
      <w:r>
        <w:rPr>
          <w:rFonts w:hint="eastAsia" w:ascii="宋体" w:hAnsi="宋体" w:eastAsia="宋体" w:cs="宋体"/>
          <w:sz w:val="21"/>
          <w:szCs w:val="21"/>
          <w:highlight w:val="none"/>
        </w:rPr>
        <w:t>合同签订后</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个月内完成。具体时间甲乙双方协商为准。</w:t>
      </w:r>
    </w:p>
    <w:p w14:paraId="02E00A47">
      <w:pPr>
        <w:spacing w:after="199" w:afterLines="64" w:line="600" w:lineRule="exact"/>
        <w:ind w:firstLine="420" w:firstLineChars="200"/>
        <w:contextualSpacing/>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付款方式：签订合同后，采购人向成交单位支付合同总金额的 30%预付款，成交单位完成全部外业工作并经采购人确认后支付至合同总金额的60%，待项目全部完工并经验收合格后支付至合同总金额的100%。</w:t>
      </w:r>
    </w:p>
    <w:p w14:paraId="43043D56">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097CEF"/>
    <w:rsid w:val="2C2E0A7D"/>
    <w:rsid w:val="411B0182"/>
    <w:rsid w:val="7B493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styleId="4">
    <w:name w:val="Body Text First Indent"/>
    <w:basedOn w:val="3"/>
    <w:qFormat/>
    <w:uiPriority w:val="0"/>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2026-08-27T07:59:40Z</dcterms:created>
  <dc:creator>Administrator</dc:creator>
  <cp:lastModifiedBy>鹿汲</cp:lastModifiedBy>
  <dcterms:modified xsi:type="dcterms:W3CDTF">2026-08-27T08:01:22Z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eyJoZGlkIjoiYjIyN2E5MzFkOGU3ZmIwZmUwMGJjZmIxNWNjN2E3ZjMiLCJ1c2VySWQiOiIzMDc4NDY0OTAifQ==</vt:lpwstr>
  </property>
  <property fmtid="{D5CDD505-2E9C-101B-9397-08002B2CF9AE}" pid="4" name="ICV">
    <vt:lpwstr>A29990F5DB8549CE84946E01077BEB61_12</vt:lpwstr>
  </property>
</Properties>
</file>