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BB3B6">
      <w:pPr>
        <w:pStyle w:val="2"/>
        <w:keepNext w:val="0"/>
        <w:numPr>
          <w:ilvl w:val="0"/>
          <w:numId w:val="0"/>
        </w:numPr>
        <w:adjustRightInd w:val="0"/>
        <w:snapToGrid w:val="0"/>
        <w:spacing w:before="156" w:beforeLines="50" w:line="360" w:lineRule="auto"/>
        <w:rPr>
          <w:rFonts w:hint="eastAsia" w:ascii="黑体" w:hAnsi="华文中宋" w:eastAsia="黑体"/>
          <w:color w:val="auto"/>
          <w:sz w:val="32"/>
          <w:szCs w:val="32"/>
          <w:highlight w:val="none"/>
        </w:rPr>
      </w:pPr>
      <w:bookmarkStart w:id="0" w:name="_Toc13737"/>
      <w:bookmarkStart w:id="1" w:name="_Toc2436"/>
      <w:r>
        <w:rPr>
          <w:rFonts w:hint="eastAsia" w:ascii="黑体" w:hAnsi="华文中宋" w:eastAsia="黑体"/>
          <w:b/>
          <w:bCs/>
          <w:color w:val="auto"/>
          <w:kern w:val="2"/>
          <w:sz w:val="32"/>
          <w:szCs w:val="32"/>
          <w:highlight w:val="none"/>
          <w:lang w:val="en-US" w:eastAsia="zh-CN" w:bidi="ar-SA"/>
        </w:rPr>
        <w:t xml:space="preserve">第五章 </w:t>
      </w:r>
      <w:r>
        <w:rPr>
          <w:rFonts w:hint="eastAsia" w:ascii="黑体" w:hAnsi="华文中宋" w:eastAsia="黑体"/>
          <w:color w:val="auto"/>
          <w:sz w:val="32"/>
          <w:szCs w:val="32"/>
          <w:highlight w:val="none"/>
        </w:rPr>
        <w:t>采购需求</w:t>
      </w:r>
      <w:bookmarkEnd w:id="0"/>
      <w:bookmarkEnd w:id="1"/>
    </w:p>
    <w:p w14:paraId="2170D541">
      <w:pPr>
        <w:pStyle w:val="3"/>
        <w:bidi w:val="0"/>
        <w:jc w:val="center"/>
        <w:rPr>
          <w:rFonts w:hint="eastAsia"/>
          <w:color w:val="auto"/>
          <w:highlight w:val="none"/>
        </w:rPr>
      </w:pPr>
      <w:bookmarkStart w:id="2" w:name="_Toc3207"/>
      <w:r>
        <w:rPr>
          <w:rFonts w:hint="eastAsia"/>
          <w:color w:val="auto"/>
          <w:highlight w:val="none"/>
        </w:rPr>
        <w:t>第一节 采购清单一览表</w:t>
      </w:r>
      <w:bookmarkEnd w:id="2"/>
    </w:p>
    <w:tbl>
      <w:tblPr>
        <w:tblStyle w:val="4"/>
        <w:tblW w:w="1046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11"/>
        <w:gridCol w:w="1771"/>
        <w:gridCol w:w="1771"/>
        <w:gridCol w:w="990"/>
        <w:gridCol w:w="812"/>
        <w:gridCol w:w="1299"/>
        <w:gridCol w:w="1299"/>
        <w:gridCol w:w="854"/>
        <w:gridCol w:w="854"/>
      </w:tblGrid>
      <w:tr w14:paraId="233E6F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817" w:type="dxa"/>
            <w:noWrap w:val="0"/>
            <w:vAlign w:val="center"/>
          </w:tcPr>
          <w:p w14:paraId="2672B7D5">
            <w:pPr>
              <w:widowControl/>
              <w:adjustRightInd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包号</w:t>
            </w:r>
          </w:p>
        </w:tc>
        <w:tc>
          <w:tcPr>
            <w:tcW w:w="0" w:type="auto"/>
            <w:noWrap w:val="0"/>
            <w:vAlign w:val="center"/>
          </w:tcPr>
          <w:p w14:paraId="4D0EA059">
            <w:pPr>
              <w:widowControl/>
              <w:adjustRightInd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包名称</w:t>
            </w:r>
          </w:p>
        </w:tc>
        <w:tc>
          <w:tcPr>
            <w:tcW w:w="0" w:type="auto"/>
            <w:noWrap w:val="0"/>
            <w:vAlign w:val="center"/>
          </w:tcPr>
          <w:p w14:paraId="091608E4">
            <w:pPr>
              <w:widowControl/>
              <w:adjustRightInd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标的名称</w:t>
            </w:r>
          </w:p>
        </w:tc>
        <w:tc>
          <w:tcPr>
            <w:tcW w:w="0" w:type="auto"/>
            <w:tcBorders>
              <w:left w:val="single" w:color="auto" w:sz="4" w:space="0"/>
            </w:tcBorders>
            <w:noWrap w:val="0"/>
            <w:vAlign w:val="center"/>
          </w:tcPr>
          <w:p w14:paraId="755BAF6F">
            <w:pPr>
              <w:widowControl/>
              <w:adjustRightInd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简要技术要求</w:t>
            </w:r>
          </w:p>
        </w:tc>
        <w:tc>
          <w:tcPr>
            <w:tcW w:w="817" w:type="dxa"/>
            <w:tcBorders>
              <w:left w:val="single" w:color="auto" w:sz="4" w:space="0"/>
            </w:tcBorders>
            <w:noWrap w:val="0"/>
            <w:vAlign w:val="center"/>
          </w:tcPr>
          <w:p w14:paraId="5B6493A3">
            <w:pPr>
              <w:widowControl/>
              <w:adjustRightInd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数量</w:t>
            </w:r>
          </w:p>
        </w:tc>
        <w:tc>
          <w:tcPr>
            <w:tcW w:w="1299" w:type="dxa"/>
            <w:noWrap w:val="0"/>
            <w:vAlign w:val="center"/>
          </w:tcPr>
          <w:p w14:paraId="484EAEF1">
            <w:pPr>
              <w:widowControl/>
              <w:adjustRightInd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标的预算</w:t>
            </w:r>
          </w:p>
        </w:tc>
        <w:tc>
          <w:tcPr>
            <w:tcW w:w="1299" w:type="dxa"/>
            <w:noWrap w:val="0"/>
            <w:vAlign w:val="center"/>
          </w:tcPr>
          <w:p w14:paraId="792D87F3">
            <w:pPr>
              <w:widowControl/>
              <w:adjustRightInd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最高限价</w:t>
            </w:r>
          </w:p>
        </w:tc>
        <w:tc>
          <w:tcPr>
            <w:tcW w:w="0" w:type="auto"/>
            <w:noWrap w:val="0"/>
            <w:vAlign w:val="center"/>
          </w:tcPr>
          <w:p w14:paraId="3A9A4184">
            <w:pPr>
              <w:widowControl/>
              <w:adjustRightInd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节能产品</w:t>
            </w:r>
          </w:p>
        </w:tc>
        <w:tc>
          <w:tcPr>
            <w:tcW w:w="860" w:type="dxa"/>
            <w:noWrap w:val="0"/>
            <w:vAlign w:val="center"/>
          </w:tcPr>
          <w:p w14:paraId="6BF5603F">
            <w:pPr>
              <w:widowControl/>
              <w:adjustRightInd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进口产品</w:t>
            </w:r>
          </w:p>
        </w:tc>
      </w:tr>
      <w:tr w14:paraId="738759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7" w:type="dxa"/>
            <w:noWrap w:val="0"/>
            <w:vAlign w:val="center"/>
          </w:tcPr>
          <w:p w14:paraId="1A6585B0">
            <w:pPr>
              <w:widowControl/>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790" w:type="dxa"/>
            <w:noWrap w:val="0"/>
            <w:vAlign w:val="center"/>
          </w:tcPr>
          <w:p w14:paraId="30680C30">
            <w:pPr>
              <w:widowControl/>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eastAsia="zh-CN"/>
              </w:rPr>
            </w:pPr>
            <w:r>
              <w:rPr>
                <w:rFonts w:hint="eastAsia" w:ascii="宋体" w:hAnsi="宋体" w:eastAsia="宋体" w:cs="Times New Roman"/>
                <w:color w:val="auto"/>
                <w:sz w:val="21"/>
                <w:szCs w:val="21"/>
                <w:highlight w:val="none"/>
                <w:lang w:eastAsia="zh-CN"/>
              </w:rPr>
              <w:t>郴州市第一人民医院采购一套电子支气管镜系统项目</w:t>
            </w:r>
          </w:p>
        </w:tc>
        <w:tc>
          <w:tcPr>
            <w:tcW w:w="1790" w:type="dxa"/>
            <w:noWrap w:val="0"/>
            <w:vAlign w:val="center"/>
          </w:tcPr>
          <w:p w14:paraId="0DB92298">
            <w:pPr>
              <w:widowControl/>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eastAsia="zh-CN"/>
              </w:rPr>
            </w:pPr>
            <w:r>
              <w:rPr>
                <w:rFonts w:hint="eastAsia" w:ascii="宋体" w:hAnsi="宋体" w:eastAsia="宋体" w:cs="Times New Roman"/>
                <w:color w:val="auto"/>
                <w:sz w:val="21"/>
                <w:szCs w:val="21"/>
                <w:highlight w:val="none"/>
                <w:lang w:eastAsia="zh-CN"/>
              </w:rPr>
              <w:t>郴州市第一人民医院采购一套电子支气管镜系统项目</w:t>
            </w:r>
          </w:p>
        </w:tc>
        <w:tc>
          <w:tcPr>
            <w:tcW w:w="998" w:type="dxa"/>
            <w:tcBorders>
              <w:left w:val="single" w:color="auto" w:sz="4" w:space="0"/>
            </w:tcBorders>
            <w:noWrap w:val="0"/>
            <w:vAlign w:val="center"/>
          </w:tcPr>
          <w:p w14:paraId="038CED32">
            <w:pPr>
              <w:widowControl/>
              <w:adjustRightInd w:val="0"/>
              <w:snapToGrid w:val="0"/>
              <w:spacing w:line="240" w:lineRule="auto"/>
              <w:ind w:left="0" w:leftChars="0" w:right="0" w:rightChars="0" w:firstLine="0" w:firstLineChars="0"/>
              <w:jc w:val="center"/>
              <w:rPr>
                <w:rFonts w:ascii="宋体" w:hAnsi="宋体" w:eastAsia="宋体" w:cs="宋体"/>
                <w:color w:val="auto"/>
                <w:kern w:val="0"/>
                <w:sz w:val="21"/>
                <w:szCs w:val="21"/>
                <w:highlight w:val="none"/>
              </w:rPr>
            </w:pPr>
            <w:r>
              <w:rPr>
                <w:rFonts w:hint="eastAsia" w:ascii="宋体" w:hAnsi="宋体" w:eastAsia="宋体" w:cs="Times New Roman"/>
                <w:color w:val="auto"/>
                <w:sz w:val="21"/>
                <w:szCs w:val="21"/>
                <w:highlight w:val="none"/>
                <w:lang w:val="en-US" w:eastAsia="zh-CN"/>
              </w:rPr>
              <w:t>详见采购需求</w:t>
            </w:r>
          </w:p>
        </w:tc>
        <w:tc>
          <w:tcPr>
            <w:tcW w:w="817" w:type="dxa"/>
            <w:tcBorders>
              <w:left w:val="single" w:color="auto" w:sz="4" w:space="0"/>
            </w:tcBorders>
            <w:noWrap w:val="0"/>
            <w:vAlign w:val="center"/>
          </w:tcPr>
          <w:p w14:paraId="5C59C8B3">
            <w:pPr>
              <w:widowControl/>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套</w:t>
            </w:r>
          </w:p>
        </w:tc>
        <w:tc>
          <w:tcPr>
            <w:tcW w:w="1299" w:type="dxa"/>
            <w:noWrap w:val="0"/>
            <w:vAlign w:val="center"/>
          </w:tcPr>
          <w:p w14:paraId="0B020AB2">
            <w:pPr>
              <w:widowControl/>
              <w:adjustRightInd w:val="0"/>
              <w:snapToGrid w:val="0"/>
              <w:spacing w:line="240" w:lineRule="auto"/>
              <w:ind w:left="0" w:leftChars="0" w:right="0" w:rightChars="0" w:firstLine="0" w:firstLineChars="0"/>
              <w:jc w:val="right"/>
              <w:rPr>
                <w:rFonts w:ascii="宋体" w:hAnsi="宋体" w:eastAsia="宋体" w:cs="宋体"/>
                <w:color w:val="auto"/>
                <w:kern w:val="0"/>
                <w:sz w:val="21"/>
                <w:szCs w:val="21"/>
                <w:highlight w:val="none"/>
                <w:u w:val="none"/>
              </w:rPr>
            </w:pPr>
            <w:r>
              <w:rPr>
                <w:rFonts w:hint="eastAsia" w:ascii="宋体" w:hAnsi="宋体" w:cs="Times New Roman"/>
                <w:color w:val="auto"/>
                <w:sz w:val="21"/>
                <w:szCs w:val="21"/>
                <w:highlight w:val="none"/>
                <w:u w:val="single"/>
                <w:lang w:val="en-US" w:eastAsia="zh-CN"/>
              </w:rPr>
              <w:t>2000000</w:t>
            </w:r>
            <w:r>
              <w:rPr>
                <w:rFonts w:hint="eastAsia" w:ascii="宋体" w:hAnsi="宋体" w:eastAsia="宋体" w:cs="Times New Roman"/>
                <w:color w:val="auto"/>
                <w:sz w:val="21"/>
                <w:szCs w:val="21"/>
                <w:highlight w:val="none"/>
                <w:u w:val="single"/>
                <w:lang w:val="en-US" w:eastAsia="zh-CN"/>
              </w:rPr>
              <w:t>.00</w:t>
            </w:r>
            <w:r>
              <w:rPr>
                <w:rFonts w:hint="eastAsia" w:ascii="宋体" w:hAnsi="宋体" w:eastAsia="宋体" w:cs="Times New Roman"/>
                <w:color w:val="auto"/>
                <w:sz w:val="21"/>
                <w:szCs w:val="21"/>
                <w:highlight w:val="none"/>
              </w:rPr>
              <w:t>元</w:t>
            </w:r>
          </w:p>
        </w:tc>
        <w:tc>
          <w:tcPr>
            <w:tcW w:w="1299" w:type="dxa"/>
            <w:noWrap w:val="0"/>
            <w:vAlign w:val="center"/>
          </w:tcPr>
          <w:p w14:paraId="079B1DAF">
            <w:pPr>
              <w:widowControl/>
              <w:adjustRightInd w:val="0"/>
              <w:snapToGrid w:val="0"/>
              <w:spacing w:line="240" w:lineRule="auto"/>
              <w:ind w:left="0" w:leftChars="0" w:right="0" w:rightChars="0" w:firstLine="0" w:firstLineChars="0"/>
              <w:jc w:val="right"/>
              <w:rPr>
                <w:rFonts w:hint="eastAsia" w:ascii="宋体" w:hAnsi="宋体" w:eastAsia="宋体" w:cs="宋体"/>
                <w:color w:val="auto"/>
                <w:kern w:val="0"/>
                <w:sz w:val="21"/>
                <w:szCs w:val="21"/>
                <w:highlight w:val="none"/>
                <w:u w:val="none"/>
              </w:rPr>
            </w:pPr>
            <w:r>
              <w:rPr>
                <w:rFonts w:hint="eastAsia" w:ascii="宋体" w:hAnsi="宋体" w:cs="Times New Roman"/>
                <w:color w:val="auto"/>
                <w:sz w:val="21"/>
                <w:szCs w:val="21"/>
                <w:highlight w:val="none"/>
                <w:u w:val="single"/>
                <w:lang w:val="en-US" w:eastAsia="zh-CN"/>
              </w:rPr>
              <w:t>2000000</w:t>
            </w:r>
            <w:r>
              <w:rPr>
                <w:rFonts w:hint="eastAsia" w:ascii="宋体" w:hAnsi="宋体" w:eastAsia="宋体" w:cs="Times New Roman"/>
                <w:color w:val="auto"/>
                <w:sz w:val="21"/>
                <w:szCs w:val="21"/>
                <w:highlight w:val="none"/>
                <w:u w:val="single"/>
                <w:lang w:val="en-US" w:eastAsia="zh-CN"/>
              </w:rPr>
              <w:t>.00</w:t>
            </w:r>
            <w:r>
              <w:rPr>
                <w:rFonts w:hint="eastAsia" w:ascii="宋体" w:hAnsi="宋体" w:eastAsia="宋体" w:cs="Times New Roman"/>
                <w:color w:val="auto"/>
                <w:sz w:val="21"/>
                <w:szCs w:val="21"/>
                <w:highlight w:val="none"/>
              </w:rPr>
              <w:t>元</w:t>
            </w:r>
          </w:p>
        </w:tc>
        <w:tc>
          <w:tcPr>
            <w:tcW w:w="860" w:type="dxa"/>
            <w:noWrap w:val="0"/>
            <w:vAlign w:val="center"/>
          </w:tcPr>
          <w:p w14:paraId="34CC3615">
            <w:pPr>
              <w:widowControl/>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FFFFFF"/>
              </w:rPr>
              <w:t>□</w:t>
            </w:r>
          </w:p>
        </w:tc>
        <w:tc>
          <w:tcPr>
            <w:tcW w:w="860" w:type="dxa"/>
            <w:noWrap w:val="0"/>
            <w:vAlign w:val="center"/>
          </w:tcPr>
          <w:p w14:paraId="20905703">
            <w:pPr>
              <w:widowControl/>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i w:val="0"/>
                <w:iCs w:val="0"/>
                <w:caps w:val="0"/>
                <w:color w:val="auto"/>
                <w:spacing w:val="0"/>
                <w:sz w:val="21"/>
                <w:szCs w:val="21"/>
                <w:highlight w:val="none"/>
                <w:shd w:val="clear" w:color="auto" w:fill="FFFFFF"/>
                <w:lang w:eastAsia="zh-CN"/>
              </w:rPr>
              <w:t>□</w:t>
            </w:r>
          </w:p>
        </w:tc>
      </w:tr>
    </w:tbl>
    <w:p w14:paraId="1D0FB8CA">
      <w:pPr>
        <w:adjustRightInd w:val="0"/>
        <w:snapToGrid w:val="0"/>
        <w:spacing w:line="500" w:lineRule="exact"/>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说明：</w:t>
      </w:r>
    </w:p>
    <w:p w14:paraId="5DECC87B">
      <w:pPr>
        <w:adjustRightInd w:val="0"/>
        <w:snapToGrid w:val="0"/>
        <w:spacing w:line="500" w:lineRule="exact"/>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1.节能产品实行强制采购的，需提供国家认证机构出具的、处于有效期内的节能产品证书。</w:t>
      </w:r>
    </w:p>
    <w:p w14:paraId="2569DBFC">
      <w:pPr>
        <w:adjustRightInd w:val="0"/>
        <w:snapToGrid w:val="0"/>
        <w:spacing w:line="500" w:lineRule="exact"/>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2.同意购买进口产品的，不限制满足采购需求的国内产品参与投标。</w:t>
      </w:r>
    </w:p>
    <w:p w14:paraId="69B1702A">
      <w:pPr>
        <w:pStyle w:val="3"/>
        <w:bidi w:val="0"/>
        <w:jc w:val="center"/>
        <w:rPr>
          <w:rFonts w:hint="eastAsia" w:ascii="Arial" w:hAnsi="Arial" w:eastAsia="宋体" w:cs="Times New Roman"/>
          <w:color w:val="auto"/>
          <w:sz w:val="32"/>
          <w:szCs w:val="32"/>
          <w:highlight w:val="none"/>
        </w:rPr>
      </w:pPr>
      <w:r>
        <w:rPr>
          <w:rFonts w:hint="eastAsia" w:ascii="黑体" w:hAnsi="黑体" w:eastAsia="黑体" w:cs="黑体"/>
          <w:b/>
          <w:bCs/>
          <w:color w:val="auto"/>
          <w:spacing w:val="30"/>
          <w:kern w:val="0"/>
          <w:sz w:val="28"/>
          <w:szCs w:val="28"/>
          <w:highlight w:val="none"/>
        </w:rPr>
        <w:br w:type="page"/>
      </w:r>
      <w:bookmarkStart w:id="3" w:name="_Toc3165"/>
      <w:r>
        <w:rPr>
          <w:rFonts w:hint="eastAsia" w:ascii="Arial" w:hAnsi="Arial" w:eastAsia="宋体" w:cs="Times New Roman"/>
          <w:color w:val="auto"/>
          <w:sz w:val="32"/>
          <w:szCs w:val="32"/>
          <w:highlight w:val="none"/>
        </w:rPr>
        <w:t>第</w:t>
      </w:r>
      <w:r>
        <w:rPr>
          <w:rFonts w:hint="eastAsia" w:ascii="Arial" w:hAnsi="Arial" w:eastAsia="宋体" w:cs="Times New Roman"/>
          <w:color w:val="auto"/>
          <w:sz w:val="32"/>
          <w:szCs w:val="32"/>
          <w:highlight w:val="none"/>
          <w:lang w:val="en-US" w:eastAsia="zh-CN"/>
        </w:rPr>
        <w:t>二</w:t>
      </w:r>
      <w:r>
        <w:rPr>
          <w:rFonts w:hint="eastAsia" w:ascii="Arial" w:hAnsi="Arial" w:eastAsia="宋体" w:cs="Times New Roman"/>
          <w:color w:val="auto"/>
          <w:sz w:val="32"/>
          <w:szCs w:val="32"/>
          <w:highlight w:val="none"/>
        </w:rPr>
        <w:t>节 技术要求</w:t>
      </w:r>
      <w:bookmarkEnd w:id="3"/>
    </w:p>
    <w:p w14:paraId="35F504CA">
      <w:pPr>
        <w:rPr>
          <w:rFonts w:hint="eastAsia"/>
          <w:color w:val="auto"/>
          <w:highlight w:val="none"/>
          <w:lang w:val="en-US" w:eastAsia="zh-CN"/>
        </w:rPr>
      </w:pPr>
    </w:p>
    <w:p w14:paraId="5F568ECA">
      <w:pPr>
        <w:pStyle w:val="3"/>
        <w:bidi w:val="0"/>
        <w:rPr>
          <w:rFonts w:hint="eastAsia"/>
          <w:color w:val="auto"/>
          <w:highlight w:val="none"/>
          <w:lang w:val="en-US" w:eastAsia="zh-CN"/>
        </w:rPr>
      </w:pPr>
      <w:r>
        <w:rPr>
          <w:rFonts w:hint="eastAsia"/>
          <w:color w:val="auto"/>
          <w:highlight w:val="none"/>
          <w:lang w:val="en-US" w:eastAsia="zh-CN"/>
        </w:rPr>
        <w:t>1.设备基本要求</w:t>
      </w:r>
    </w:p>
    <w:tbl>
      <w:tblPr>
        <w:tblStyle w:val="4"/>
        <w:tblW w:w="90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68"/>
        <w:gridCol w:w="5790"/>
        <w:gridCol w:w="867"/>
        <w:gridCol w:w="873"/>
      </w:tblGrid>
      <w:tr w14:paraId="6A950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568" w:type="dxa"/>
            <w:tcBorders>
              <w:top w:val="single" w:color="000000" w:sz="4" w:space="0"/>
              <w:left w:val="single" w:color="000000" w:sz="4" w:space="0"/>
              <w:bottom w:val="single" w:color="000000" w:sz="4" w:space="0"/>
              <w:right w:val="single" w:color="000000" w:sz="4" w:space="0"/>
            </w:tcBorders>
            <w:noWrap w:val="0"/>
            <w:vAlign w:val="center"/>
          </w:tcPr>
          <w:p w14:paraId="022BDA8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设备名称</w:t>
            </w:r>
          </w:p>
        </w:tc>
        <w:tc>
          <w:tcPr>
            <w:tcW w:w="5790" w:type="dxa"/>
            <w:tcBorders>
              <w:top w:val="single" w:color="000000" w:sz="4" w:space="0"/>
              <w:left w:val="single" w:color="000000" w:sz="4" w:space="0"/>
              <w:bottom w:val="single" w:color="000000" w:sz="4" w:space="0"/>
              <w:right w:val="single" w:color="000000" w:sz="4" w:space="0"/>
            </w:tcBorders>
            <w:noWrap w:val="0"/>
            <w:vAlign w:val="center"/>
          </w:tcPr>
          <w:p w14:paraId="27BD67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电子支气管镜系统</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2BB5B9C">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30ABB95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套</w:t>
            </w:r>
          </w:p>
        </w:tc>
      </w:tr>
      <w:tr w14:paraId="6B918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68" w:type="dxa"/>
            <w:tcBorders>
              <w:top w:val="single" w:color="000000" w:sz="4" w:space="0"/>
              <w:left w:val="single" w:color="000000" w:sz="4" w:space="0"/>
              <w:bottom w:val="single" w:color="000000" w:sz="4" w:space="0"/>
              <w:right w:val="single" w:color="000000" w:sz="4" w:space="0"/>
            </w:tcBorders>
            <w:noWrap w:val="0"/>
            <w:vAlign w:val="center"/>
          </w:tcPr>
          <w:p w14:paraId="4C143691">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应用范围</w:t>
            </w:r>
          </w:p>
        </w:tc>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288CB21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用于支气管的疾病检查和内镜治疗。</w:t>
            </w:r>
          </w:p>
        </w:tc>
      </w:tr>
      <w:tr w14:paraId="69428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 w:hRule="atLeast"/>
        </w:trPr>
        <w:tc>
          <w:tcPr>
            <w:tcW w:w="1568" w:type="dxa"/>
            <w:tcBorders>
              <w:top w:val="single" w:color="000000" w:sz="4" w:space="0"/>
              <w:left w:val="single" w:color="000000" w:sz="4" w:space="0"/>
              <w:bottom w:val="single" w:color="000000" w:sz="4" w:space="0"/>
              <w:right w:val="single" w:color="000000" w:sz="4" w:space="0"/>
            </w:tcBorders>
            <w:noWrap w:val="0"/>
            <w:vAlign w:val="center"/>
          </w:tcPr>
          <w:p w14:paraId="4A193A85">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安装场地</w:t>
            </w:r>
          </w:p>
        </w:tc>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1B5EA96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color w:val="auto"/>
                <w:sz w:val="21"/>
                <w:szCs w:val="21"/>
                <w:highlight w:val="none"/>
              </w:rPr>
              <w:t>郴州市第一人民医院中心医院内镜中心电子支气管镜诊疗室，具备稳定承重的地面、合适空间摆放设备及满足设备安装的水电接口，便于医护操作及患者转运、诊疗。</w:t>
            </w:r>
          </w:p>
        </w:tc>
      </w:tr>
      <w:tr w14:paraId="20CD2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68" w:type="dxa"/>
            <w:tcBorders>
              <w:top w:val="single" w:color="000000" w:sz="4" w:space="0"/>
              <w:left w:val="single" w:color="000000" w:sz="4" w:space="0"/>
              <w:bottom w:val="single" w:color="000000" w:sz="4" w:space="0"/>
              <w:right w:val="single" w:color="000000" w:sz="4" w:space="0"/>
            </w:tcBorders>
            <w:noWrap w:val="0"/>
            <w:vAlign w:val="center"/>
          </w:tcPr>
          <w:p w14:paraId="5DA51997">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环境要求</w:t>
            </w:r>
          </w:p>
        </w:tc>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3756FC03">
            <w:pPr>
              <w:keepNext w:val="0"/>
              <w:keepLines w:val="0"/>
              <w:widowControl/>
              <w:suppressLineNumbers w:val="0"/>
              <w:jc w:val="left"/>
              <w:textAlignment w:val="center"/>
              <w:rPr>
                <w:rFonts w:hint="eastAsia"/>
                <w:color w:val="auto"/>
                <w:sz w:val="21"/>
                <w:szCs w:val="21"/>
                <w:highlight w:val="none"/>
              </w:rPr>
            </w:pPr>
            <w:r>
              <w:rPr>
                <w:rFonts w:hint="eastAsia"/>
                <w:color w:val="auto"/>
                <w:sz w:val="21"/>
                <w:szCs w:val="21"/>
                <w:highlight w:val="none"/>
              </w:rPr>
              <w:t>温度18-25℃、湿度40%-60%；诊疗区达医院Ⅱ类环境洁净标准，配空气消毒设施；提供稳定220V/50Hz、接地良好电源，及合规给排水系统。</w:t>
            </w:r>
          </w:p>
        </w:tc>
      </w:tr>
      <w:tr w14:paraId="5B979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68" w:type="dxa"/>
            <w:tcBorders>
              <w:top w:val="single" w:color="000000" w:sz="4" w:space="0"/>
              <w:left w:val="single" w:color="000000" w:sz="4" w:space="0"/>
              <w:bottom w:val="single" w:color="000000" w:sz="4" w:space="0"/>
              <w:right w:val="single" w:color="000000" w:sz="4" w:space="0"/>
            </w:tcBorders>
            <w:noWrap w:val="0"/>
            <w:vAlign w:val="center"/>
          </w:tcPr>
          <w:p w14:paraId="4DFE51D8">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主要功能</w:t>
            </w:r>
          </w:p>
        </w:tc>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5894517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检查：直接看气管、支气管有无炎症、肿瘤、狭窄、出血。</w:t>
            </w:r>
          </w:p>
          <w:p w14:paraId="34DDF44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取样：取组织、刷片、灌洗，做病理和病原学化验。</w:t>
            </w:r>
          </w:p>
          <w:p w14:paraId="6F02A07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治疗：吸痰、取异物、止血、放支架、局部给药等。</w:t>
            </w:r>
          </w:p>
        </w:tc>
      </w:tr>
      <w:tr w14:paraId="6A2F4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8" w:type="dxa"/>
            <w:tcBorders>
              <w:top w:val="single" w:color="000000" w:sz="4" w:space="0"/>
              <w:left w:val="single" w:color="000000" w:sz="4" w:space="0"/>
              <w:bottom w:val="single" w:color="000000" w:sz="4" w:space="0"/>
              <w:right w:val="single" w:color="000000" w:sz="4" w:space="0"/>
            </w:tcBorders>
            <w:noWrap w:val="0"/>
            <w:vAlign w:val="center"/>
          </w:tcPr>
          <w:p w14:paraId="7FE288CA">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cs="宋体"/>
                <w:b/>
                <w:bCs/>
                <w:i w:val="0"/>
                <w:iCs w:val="0"/>
                <w:color w:val="auto"/>
                <w:kern w:val="0"/>
                <w:sz w:val="21"/>
                <w:szCs w:val="21"/>
                <w:highlight w:val="none"/>
                <w:u w:val="none"/>
                <w:lang w:val="en-US" w:eastAsia="zh-CN" w:bidi="ar"/>
              </w:rPr>
              <w:t>整机质保期限</w:t>
            </w:r>
          </w:p>
        </w:tc>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76A43BCA">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≥5年</w:t>
            </w:r>
          </w:p>
        </w:tc>
      </w:tr>
      <w:tr w14:paraId="79F8B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8" w:type="dxa"/>
            <w:tcBorders>
              <w:top w:val="single" w:color="000000" w:sz="4" w:space="0"/>
              <w:left w:val="single" w:color="000000" w:sz="4" w:space="0"/>
              <w:bottom w:val="single" w:color="000000" w:sz="4" w:space="0"/>
              <w:right w:val="single" w:color="000000" w:sz="4" w:space="0"/>
            </w:tcBorders>
            <w:noWrap w:val="0"/>
            <w:vAlign w:val="center"/>
          </w:tcPr>
          <w:p w14:paraId="699518A6">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其它</w:t>
            </w:r>
          </w:p>
        </w:tc>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016810D3">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1.安装调试：需派</w:t>
            </w:r>
            <w:r>
              <w:rPr>
                <w:rFonts w:hint="eastAsia" w:ascii="宋体" w:hAnsi="宋体" w:cs="宋体"/>
                <w:b/>
                <w:bCs/>
                <w:i w:val="0"/>
                <w:iCs w:val="0"/>
                <w:color w:val="auto"/>
                <w:kern w:val="0"/>
                <w:sz w:val="21"/>
                <w:szCs w:val="21"/>
                <w:highlight w:val="none"/>
                <w:u w:val="none"/>
                <w:lang w:val="en-US" w:eastAsia="zh-CN" w:bidi="ar"/>
              </w:rPr>
              <w:t>所投产品</w:t>
            </w:r>
            <w:r>
              <w:rPr>
                <w:rFonts w:hint="eastAsia" w:ascii="宋体" w:hAnsi="宋体" w:eastAsia="宋体" w:cs="宋体"/>
                <w:b/>
                <w:bCs/>
                <w:i w:val="0"/>
                <w:iCs w:val="0"/>
                <w:color w:val="auto"/>
                <w:kern w:val="0"/>
                <w:sz w:val="21"/>
                <w:szCs w:val="21"/>
                <w:highlight w:val="none"/>
                <w:u w:val="none"/>
                <w:lang w:val="en-US" w:eastAsia="zh-CN" w:bidi="ar"/>
              </w:rPr>
              <w:t>专业工程师上门，完成设备安装、校准，并对医护人员开展操作培训（含日常使用、维护、简单故障排查 ），确保熟练运用设备功能。</w:t>
            </w:r>
          </w:p>
          <w:p w14:paraId="0BFAFF93">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2.配件供应：在设备使用地或临近区域设配件储备点，常规耗材（如活检帽、清洗刷 ）及应急维修配件（如内镜密封圈、按键模块 ）供应及时，缩短设备故障停机时间 。</w:t>
            </w:r>
          </w:p>
        </w:tc>
      </w:tr>
    </w:tbl>
    <w:p w14:paraId="3F3B6023">
      <w:pPr>
        <w:rPr>
          <w:rFonts w:hint="eastAsia"/>
          <w:color w:val="auto"/>
          <w:highlight w:val="none"/>
          <w:lang w:val="en-US" w:eastAsia="zh-CN"/>
        </w:rPr>
      </w:pPr>
    </w:p>
    <w:p w14:paraId="3676B6C5">
      <w:pPr>
        <w:pStyle w:val="3"/>
        <w:bidi w:val="0"/>
        <w:rPr>
          <w:rFonts w:hint="eastAsia"/>
          <w:color w:val="auto"/>
          <w:highlight w:val="none"/>
          <w:lang w:val="en-US" w:eastAsia="zh-CN"/>
        </w:rPr>
      </w:pPr>
      <w:r>
        <w:rPr>
          <w:rFonts w:hint="eastAsia"/>
          <w:color w:val="auto"/>
          <w:highlight w:val="none"/>
          <w:lang w:val="en-US" w:eastAsia="zh-CN"/>
        </w:rPr>
        <w:t>2.设备配置清单</w:t>
      </w:r>
    </w:p>
    <w:tbl>
      <w:tblPr>
        <w:tblStyle w:val="4"/>
        <w:tblW w:w="87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1"/>
        <w:gridCol w:w="6041"/>
        <w:gridCol w:w="994"/>
        <w:gridCol w:w="842"/>
      </w:tblGrid>
      <w:tr w14:paraId="3402E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901" w:type="dxa"/>
            <w:tcBorders>
              <w:top w:val="single" w:color="000000" w:sz="4" w:space="0"/>
              <w:left w:val="single" w:color="000000" w:sz="4" w:space="0"/>
              <w:bottom w:val="single" w:color="000000" w:sz="4" w:space="0"/>
              <w:right w:val="single" w:color="000000" w:sz="4" w:space="0"/>
            </w:tcBorders>
            <w:noWrap w:val="0"/>
            <w:vAlign w:val="center"/>
          </w:tcPr>
          <w:p w14:paraId="66CE9B52">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6041" w:type="dxa"/>
            <w:tcBorders>
              <w:top w:val="single" w:color="000000" w:sz="4" w:space="0"/>
              <w:left w:val="single" w:color="000000" w:sz="4" w:space="0"/>
              <w:bottom w:val="single" w:color="000000" w:sz="4" w:space="0"/>
              <w:right w:val="single" w:color="000000" w:sz="4" w:space="0"/>
            </w:tcBorders>
            <w:noWrap w:val="0"/>
            <w:vAlign w:val="center"/>
          </w:tcPr>
          <w:p w14:paraId="08C63847">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主要配置或组件名称</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4B0F3401">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1A2BF04A">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6F113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901" w:type="dxa"/>
            <w:tcBorders>
              <w:top w:val="single" w:color="000000" w:sz="4" w:space="0"/>
              <w:left w:val="single" w:color="000000" w:sz="4" w:space="0"/>
              <w:bottom w:val="single" w:color="000000" w:sz="4" w:space="0"/>
              <w:right w:val="single" w:color="000000" w:sz="4" w:space="0"/>
            </w:tcBorders>
            <w:noWrap w:val="0"/>
            <w:vAlign w:val="center"/>
          </w:tcPr>
          <w:p w14:paraId="269F3A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6041" w:type="dxa"/>
            <w:tcBorders>
              <w:top w:val="single" w:color="000000" w:sz="4" w:space="0"/>
              <w:left w:val="single" w:color="000000" w:sz="4" w:space="0"/>
              <w:bottom w:val="single" w:color="000000" w:sz="4" w:space="0"/>
              <w:right w:val="single" w:color="000000" w:sz="4" w:space="0"/>
            </w:tcBorders>
            <w:noWrap w:val="0"/>
            <w:vAlign w:val="center"/>
          </w:tcPr>
          <w:p w14:paraId="7B4A5EF2">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图像处理装置</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1D1EA8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1套</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003B8E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r>
      <w:tr w14:paraId="1ED10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901" w:type="dxa"/>
            <w:tcBorders>
              <w:top w:val="single" w:color="000000" w:sz="4" w:space="0"/>
              <w:left w:val="single" w:color="000000" w:sz="4" w:space="0"/>
              <w:bottom w:val="single" w:color="000000" w:sz="4" w:space="0"/>
              <w:right w:val="single" w:color="000000" w:sz="4" w:space="0"/>
            </w:tcBorders>
            <w:noWrap w:val="0"/>
            <w:vAlign w:val="center"/>
          </w:tcPr>
          <w:p w14:paraId="161277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6041" w:type="dxa"/>
            <w:tcBorders>
              <w:top w:val="single" w:color="000000" w:sz="4" w:space="0"/>
              <w:left w:val="single" w:color="000000" w:sz="4" w:space="0"/>
              <w:bottom w:val="single" w:color="000000" w:sz="4" w:space="0"/>
              <w:right w:val="single" w:color="000000" w:sz="4" w:space="0"/>
            </w:tcBorders>
            <w:noWrap w:val="0"/>
            <w:vAlign w:val="center"/>
          </w:tcPr>
          <w:p w14:paraId="2A5159FC">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电子检查内窥镜</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4F56C0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1条</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4654A3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r>
      <w:tr w14:paraId="12BE4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901" w:type="dxa"/>
            <w:tcBorders>
              <w:top w:val="single" w:color="000000" w:sz="4" w:space="0"/>
              <w:left w:val="single" w:color="000000" w:sz="4" w:space="0"/>
              <w:bottom w:val="single" w:color="000000" w:sz="4" w:space="0"/>
              <w:right w:val="single" w:color="000000" w:sz="4" w:space="0"/>
            </w:tcBorders>
            <w:noWrap w:val="0"/>
            <w:vAlign w:val="center"/>
          </w:tcPr>
          <w:p w14:paraId="0A107E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6041" w:type="dxa"/>
            <w:tcBorders>
              <w:top w:val="single" w:color="000000" w:sz="4" w:space="0"/>
              <w:left w:val="single" w:color="000000" w:sz="4" w:space="0"/>
              <w:bottom w:val="single" w:color="000000" w:sz="4" w:space="0"/>
              <w:right w:val="single" w:color="000000" w:sz="4" w:space="0"/>
            </w:tcBorders>
            <w:noWrap w:val="0"/>
            <w:vAlign w:val="center"/>
          </w:tcPr>
          <w:p w14:paraId="6B584D3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电子治疗内窥镜</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4C2316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1条</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480C9F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r>
      <w:tr w14:paraId="645FC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901" w:type="dxa"/>
            <w:tcBorders>
              <w:top w:val="single" w:color="000000" w:sz="4" w:space="0"/>
              <w:left w:val="single" w:color="000000" w:sz="4" w:space="0"/>
              <w:bottom w:val="single" w:color="000000" w:sz="4" w:space="0"/>
              <w:right w:val="single" w:color="000000" w:sz="4" w:space="0"/>
            </w:tcBorders>
            <w:noWrap w:val="0"/>
            <w:vAlign w:val="center"/>
          </w:tcPr>
          <w:p w14:paraId="558605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6041" w:type="dxa"/>
            <w:tcBorders>
              <w:top w:val="single" w:color="000000" w:sz="4" w:space="0"/>
              <w:left w:val="single" w:color="000000" w:sz="4" w:space="0"/>
              <w:bottom w:val="single" w:color="000000" w:sz="4" w:space="0"/>
              <w:right w:val="single" w:color="000000" w:sz="4" w:space="0"/>
            </w:tcBorders>
            <w:noWrap w:val="0"/>
            <w:vAlign w:val="center"/>
          </w:tcPr>
          <w:p w14:paraId="40687777">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高清晰度监视器</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2F9536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1台</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6D1FDC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r>
      <w:tr w14:paraId="6F4A9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901" w:type="dxa"/>
            <w:tcBorders>
              <w:top w:val="single" w:color="000000" w:sz="4" w:space="0"/>
              <w:left w:val="single" w:color="000000" w:sz="4" w:space="0"/>
              <w:bottom w:val="single" w:color="000000" w:sz="4" w:space="0"/>
              <w:right w:val="single" w:color="000000" w:sz="4" w:space="0"/>
            </w:tcBorders>
            <w:noWrap w:val="0"/>
            <w:vAlign w:val="center"/>
          </w:tcPr>
          <w:p w14:paraId="14E87A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6041" w:type="dxa"/>
            <w:tcBorders>
              <w:top w:val="single" w:color="000000" w:sz="4" w:space="0"/>
              <w:left w:val="single" w:color="000000" w:sz="4" w:space="0"/>
              <w:bottom w:val="single" w:color="000000" w:sz="4" w:space="0"/>
              <w:right w:val="single" w:color="000000" w:sz="4" w:space="0"/>
            </w:tcBorders>
            <w:noWrap w:val="0"/>
            <w:vAlign w:val="center"/>
          </w:tcPr>
          <w:p w14:paraId="1525EE84">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内镜专用台车</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07A017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1台</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4425B1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r>
    </w:tbl>
    <w:p w14:paraId="1B1871DD">
      <w:pPr>
        <w:ind w:firstLine="420" w:firstLineChars="0"/>
        <w:rPr>
          <w:rFonts w:hint="eastAsia"/>
          <w:color w:val="auto"/>
          <w:highlight w:val="none"/>
          <w:lang w:val="en-US" w:eastAsia="zh-CN"/>
        </w:rPr>
      </w:pPr>
    </w:p>
    <w:p w14:paraId="406BE1BB">
      <w:pPr>
        <w:pStyle w:val="3"/>
        <w:bidi w:val="0"/>
        <w:rPr>
          <w:rFonts w:hint="eastAsia"/>
          <w:color w:val="auto"/>
          <w:highlight w:val="none"/>
          <w:lang w:val="en-US" w:eastAsia="zh-CN"/>
        </w:rPr>
      </w:pPr>
      <w:r>
        <w:rPr>
          <w:rFonts w:hint="eastAsia"/>
          <w:color w:val="auto"/>
          <w:highlight w:val="none"/>
          <w:lang w:val="en-US" w:eastAsia="zh-CN"/>
        </w:rPr>
        <w:t>3.设备技术参数要求</w:t>
      </w:r>
    </w:p>
    <w:tbl>
      <w:tblPr>
        <w:tblStyle w:val="4"/>
        <w:tblW w:w="91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0"/>
        <w:gridCol w:w="6909"/>
        <w:gridCol w:w="1260"/>
      </w:tblGrid>
      <w:tr w14:paraId="79932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D64C9C1">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6EA11184">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技术参数及要求</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2AE4008">
            <w:pPr>
              <w:keepNext w:val="0"/>
              <w:keepLines w:val="0"/>
              <w:widowControl/>
              <w:suppressLineNumbers w:val="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05368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316AF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一</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53964059">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 xml:space="preserve">图像处理装置 </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92485C0">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51035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1BC416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04ADAD8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▲光源与图像处理装置一体化设计（采用LED或同等长寿命光源技术）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ECB699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1FB0B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B676E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0E01192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兼容不同类型的内窥镜。</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DD896B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605C1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158D6D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60F2E41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支持16:9/4:3输出，兼容HDTV监视器，支持HD-SDI/3G-SDI/DVI等高清数字信号输出；可选12G-SDI输出</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150D40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76D42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106D91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5DAAFED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▲设备具备特殊光成像功能，光学数字成像方式，可高清显示黏膜表层下毛细血管，高对比度呈现腺管开口形态，辅助腺瘤及增生性病变诊断。</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010A3F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29C92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33822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1691990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内镜快速连接接口，免重复白平衡；操作面板具备图像预冻结等便捷功能；光源长寿命免频繁更换</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5ED704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4F573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7E0F1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3727632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具有色调调节功能，可进行以下色调调节。在白光观察模式和特殊光模式下，调整每张内镜图像的色调。可进行红色、蓝色多档调节。</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8608AF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29C5F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689E2E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2DE3D9C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具有自动增益控制，因内镜先端部距离目标太远而使光线不足时，图像信号可以电子增强 ，(高):暗的区域更暗，亮的区域更亮。(低):暗的区域更亮，亮的区域更暗。</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FC4F9B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2DF1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FB773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304A4D2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具备多种测光模式，适用不同场景要求。白平衡只需设置一次就被保存在内存中，无需再次调节。</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2AAAC3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68FAA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13EF6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212EFB5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具备在冻结操作和显示前的设置时间段里捕捉到的图像中选择模糊度最低的图像功能。具有构造强调设定、电子强调内镜图像中的图案和轮廓。</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7C5DAE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5E837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B363F7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二</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7226AC0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电子检查内窥镜</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90EEF6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506B6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98D72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06BBC53E">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镜体及连接接口防水，可配合洗消流程</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E3DC5C8">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4B870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D433E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2BBB010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视野110度，视野方向：0度，景深2-50mm</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346AEE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3B0AA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ACD70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12DA86B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▲先端部外径≤5.0mm,插入部外径≤5.0mm，钳子管道内径≥2.0mm；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弯曲角度:上≥210度，下≥130度；有效长度≥600mm</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9DB904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61046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A6173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130AADE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▲操作部可调节插入管左右旋转角度，便于病变定位</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844D73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4053E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F970C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三</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6A5ECF8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电子治疗内窥镜</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3A17A6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392CD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63337C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0F2823B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▲镜体及接口全防水，提升洗消耐用性</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C0FB6A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7C5D5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63FD8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6B7A365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视野110度，视野方向：0度，景深2-100mm</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A954F9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3FD14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9CBD8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09E1F2D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▲先端部外径≤6.0mm,插入部外径≤6.0mm，钳子管道内径≥3.0mm;弯曲角度:上≥180度，下≥130度；有效长度≥600mm</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E9AFD3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738B9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69E8D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23287A5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只需旋转内镜操作部上的环，即可将插入管向左或向右旋转120度</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986E54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27CFF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D8EE7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四</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4FADF1B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高清晰度监视器</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C81288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1F399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AC6D2DB">
            <w:pPr>
              <w:jc w:val="center"/>
              <w:rPr>
                <w:rFonts w:hint="eastAsia" w:ascii="宋体" w:hAnsi="宋体" w:eastAsia="宋体" w:cs="宋体"/>
                <w:i w:val="0"/>
                <w:iCs w:val="0"/>
                <w:color w:val="auto"/>
                <w:sz w:val="21"/>
                <w:szCs w:val="21"/>
                <w:highlight w:val="none"/>
                <w:u w:val="none"/>
              </w:rPr>
            </w:pP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477C3B5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显示器尺寸≥28寸；分辨率≥3840×2160像素；长宽高比16：9；≥8bit；可视视角≥178°</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F8CFBA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2B58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A74C8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五</w:t>
            </w: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73520C2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内镜专用台车</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C98662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195E8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BB53D04">
            <w:pPr>
              <w:jc w:val="center"/>
              <w:rPr>
                <w:rFonts w:hint="eastAsia" w:ascii="宋体" w:hAnsi="宋体" w:eastAsia="宋体" w:cs="宋体"/>
                <w:i w:val="0"/>
                <w:iCs w:val="0"/>
                <w:color w:val="auto"/>
                <w:sz w:val="21"/>
                <w:szCs w:val="21"/>
                <w:highlight w:val="none"/>
                <w:u w:val="none"/>
              </w:rPr>
            </w:pPr>
          </w:p>
        </w:tc>
        <w:tc>
          <w:tcPr>
            <w:tcW w:w="6909" w:type="dxa"/>
            <w:tcBorders>
              <w:top w:val="single" w:color="000000" w:sz="4" w:space="0"/>
              <w:left w:val="single" w:color="000000" w:sz="4" w:space="0"/>
              <w:bottom w:val="single" w:color="000000" w:sz="4" w:space="0"/>
              <w:right w:val="single" w:color="000000" w:sz="4" w:space="0"/>
            </w:tcBorders>
            <w:noWrap w:val="0"/>
            <w:vAlign w:val="center"/>
          </w:tcPr>
          <w:p w14:paraId="7E24DF5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设备多层设计，可兼容内镜周边各类设备；可搭载大尺寸监视器（≥</w:t>
            </w:r>
            <w:r>
              <w:rPr>
                <w:rStyle w:val="6"/>
                <w:rFonts w:eastAsia="宋体"/>
                <w:color w:val="auto"/>
                <w:sz w:val="21"/>
                <w:szCs w:val="21"/>
                <w:highlight w:val="none"/>
                <w:lang w:val="en-US" w:eastAsia="zh-CN" w:bidi="ar"/>
              </w:rPr>
              <w:t>26</w:t>
            </w:r>
            <w:r>
              <w:rPr>
                <w:rStyle w:val="7"/>
                <w:color w:val="auto"/>
                <w:sz w:val="21"/>
                <w:szCs w:val="21"/>
                <w:highlight w:val="none"/>
                <w:lang w:val="en-US" w:eastAsia="zh-CN" w:bidi="ar"/>
              </w:rPr>
              <w:t>英寸），有效收纳设备线缆，节省内镜室空间。</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80E513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bl>
    <w:p w14:paraId="38544291">
      <w:pPr>
        <w:rPr>
          <w:rFonts w:hint="eastAsia" w:ascii="黑体" w:hAnsi="华文中宋" w:eastAsia="黑体" w:cs="Times New Roman"/>
          <w:b/>
          <w:bCs/>
          <w:color w:val="auto"/>
          <w:kern w:val="2"/>
          <w:sz w:val="32"/>
          <w:szCs w:val="32"/>
          <w:highlight w:val="none"/>
          <w:lang w:val="en-US" w:eastAsia="zh-CN" w:bidi="ar-SA"/>
        </w:rPr>
      </w:pPr>
      <w:r>
        <w:rPr>
          <w:rFonts w:hint="eastAsia" w:ascii="黑体" w:hAnsi="华文中宋" w:eastAsia="黑体" w:cs="Times New Roman"/>
          <w:b/>
          <w:bCs/>
          <w:color w:val="auto"/>
          <w:kern w:val="2"/>
          <w:sz w:val="32"/>
          <w:szCs w:val="32"/>
          <w:highlight w:val="none"/>
          <w:lang w:val="en-US" w:eastAsia="zh-CN" w:bidi="ar-SA"/>
        </w:rPr>
        <w:br w:type="page"/>
      </w:r>
    </w:p>
    <w:p w14:paraId="51B4E61F">
      <w:pPr>
        <w:keepNext/>
        <w:keepLines/>
        <w:widowControl w:val="0"/>
        <w:bidi w:val="0"/>
        <w:spacing w:line="360" w:lineRule="auto"/>
        <w:jc w:val="center"/>
        <w:outlineLvl w:val="1"/>
        <w:rPr>
          <w:rFonts w:hint="eastAsia" w:ascii="Arial" w:hAnsi="Arial" w:eastAsia="宋体" w:cs="Times New Roman"/>
          <w:b/>
          <w:bCs/>
          <w:color w:val="auto"/>
          <w:kern w:val="2"/>
          <w:sz w:val="24"/>
          <w:szCs w:val="32"/>
          <w:highlight w:val="none"/>
          <w:lang w:val="en-US" w:eastAsia="zh-CN" w:bidi="ar-SA"/>
        </w:rPr>
      </w:pPr>
      <w:bookmarkStart w:id="4" w:name="_Toc9193"/>
      <w:r>
        <w:rPr>
          <w:rFonts w:hint="eastAsia" w:ascii="Arial" w:hAnsi="Arial" w:eastAsia="宋体" w:cs="Times New Roman"/>
          <w:b/>
          <w:bCs/>
          <w:color w:val="auto"/>
          <w:kern w:val="2"/>
          <w:sz w:val="24"/>
          <w:szCs w:val="32"/>
          <w:highlight w:val="none"/>
          <w:lang w:val="en-US" w:eastAsia="zh-CN" w:bidi="ar-SA"/>
        </w:rPr>
        <w:t>第三节、商务要求</w:t>
      </w:r>
      <w:bookmarkEnd w:id="4"/>
    </w:p>
    <w:p w14:paraId="7E335773">
      <w:pPr>
        <w:keepNext w:val="0"/>
        <w:keepLines w:val="0"/>
        <w:pageBreakBefore w:val="0"/>
        <w:widowControl/>
        <w:kinsoku/>
        <w:wordWrap/>
        <w:overflowPunct/>
        <w:topLinePunct w:val="0"/>
        <w:autoSpaceDE/>
        <w:autoSpaceDN/>
        <w:bidi w:val="0"/>
        <w:spacing w:line="560" w:lineRule="exact"/>
        <w:jc w:val="left"/>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 xml:space="preserve">一、验收要求、标准和方法 </w:t>
      </w:r>
    </w:p>
    <w:p w14:paraId="325C6550">
      <w:pPr>
        <w:keepNext w:val="0"/>
        <w:keepLines w:val="0"/>
        <w:pageBreakBefore w:val="0"/>
        <w:widowControl/>
        <w:kinsoku/>
        <w:wordWrap/>
        <w:overflowPunct/>
        <w:topLinePunct w:val="0"/>
        <w:autoSpaceDE/>
        <w:autoSpaceDN/>
        <w:bidi w:val="0"/>
        <w:spacing w:line="5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货物运抵采购人指定地点后，由采购人对到货产品的数量、型号、外观质量、随机备品备件、技术资料等进行检查，要求中标人提供验收方案（包括货物部分和工程部分），由采购人书面审定后实施，与采购人协商后确定。要求中标人在验收前向采购人提供汇集成册的全套技术文件及资料、具有法律效力的质量保证、保修维护文件，以及安装、验收报告等文档。 </w:t>
      </w:r>
    </w:p>
    <w:p w14:paraId="757580EA">
      <w:pPr>
        <w:keepNext w:val="0"/>
        <w:keepLines w:val="0"/>
        <w:pageBreakBefore w:val="0"/>
        <w:widowControl/>
        <w:kinsoku/>
        <w:wordWrap/>
        <w:overflowPunct/>
        <w:topLinePunct w:val="0"/>
        <w:autoSpaceDE/>
        <w:autoSpaceDN/>
        <w:bidi w:val="0"/>
        <w:spacing w:line="5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2.项目验收工作由采购人严格按照国家及行业相关标准进行验收，如需委托专家验收，验收费用由中标单位承担。验收报告作为申请付款的凭证之一。项目验收不合格，由中标人返工直至合格，有关返工、再行验收，以及给采购人造成的损失等费用由中标人承担。连续两次项目验收不合格的，采购人可终止合同，另行按规定选择其他供应商采购，由此带来的一切损失由中标人承担。 </w:t>
      </w:r>
    </w:p>
    <w:p w14:paraId="604B0A02">
      <w:pPr>
        <w:keepNext w:val="0"/>
        <w:keepLines w:val="0"/>
        <w:pageBreakBefore w:val="0"/>
        <w:widowControl/>
        <w:kinsoku/>
        <w:wordWrap/>
        <w:overflowPunct/>
        <w:topLinePunct w:val="0"/>
        <w:autoSpaceDE/>
        <w:autoSpaceDN/>
        <w:bidi w:val="0"/>
        <w:spacing w:line="5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3.验收地点：产品安装地。 </w:t>
      </w:r>
    </w:p>
    <w:p w14:paraId="738E3796">
      <w:pPr>
        <w:keepNext w:val="0"/>
        <w:keepLines w:val="0"/>
        <w:pageBreakBefore w:val="0"/>
        <w:widowControl/>
        <w:kinsoku/>
        <w:wordWrap/>
        <w:overflowPunct/>
        <w:topLinePunct w:val="0"/>
        <w:autoSpaceDE/>
        <w:autoSpaceDN/>
        <w:bidi w:val="0"/>
        <w:spacing w:line="5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4.因中标人所提供的产品出现质量问题而引起纠纷，则由具有资质的第三方质检机构进行检测，由此而发生的费用由中标人负责。</w:t>
      </w:r>
    </w:p>
    <w:p w14:paraId="70737F78">
      <w:pPr>
        <w:keepNext w:val="0"/>
        <w:keepLines w:val="0"/>
        <w:pageBreakBefore w:val="0"/>
        <w:widowControl/>
        <w:kinsoku/>
        <w:wordWrap/>
        <w:overflowPunct/>
        <w:topLinePunct w:val="0"/>
        <w:autoSpaceDE/>
        <w:autoSpaceDN/>
        <w:bidi w:val="0"/>
        <w:spacing w:line="560" w:lineRule="exact"/>
        <w:ind w:firstLine="42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1"/>
          <w:szCs w:val="21"/>
          <w:highlight w:val="none"/>
        </w:rPr>
        <w:t>5.验收之前须对该项目所有软硬件系统操作人员进行培训，确保系统操作人员能熟练使用，提交培训相关文档。</w:t>
      </w:r>
    </w:p>
    <w:p w14:paraId="3087446C">
      <w:pPr>
        <w:keepNext w:val="0"/>
        <w:keepLines w:val="0"/>
        <w:pageBreakBefore w:val="0"/>
        <w:widowControl/>
        <w:kinsoku/>
        <w:wordWrap/>
        <w:overflowPunct/>
        <w:topLinePunct w:val="0"/>
        <w:autoSpaceDE/>
        <w:autoSpaceDN/>
        <w:bidi w:val="0"/>
        <w:spacing w:line="560" w:lineRule="exact"/>
        <w:jc w:val="left"/>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 xml:space="preserve">二、项目实施要求 </w:t>
      </w:r>
    </w:p>
    <w:p w14:paraId="5136A9BB">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1.产品运输、保管及保险： </w:t>
      </w:r>
    </w:p>
    <w:p w14:paraId="12430EEB">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1.1 中标人负责产品到使用单位的全部运输，包括装卸及现场搬运等。 </w:t>
      </w:r>
    </w:p>
    <w:p w14:paraId="2AC86F07">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1.2 中标人负责设备在现场的保管，直至验收合格。 </w:t>
      </w:r>
    </w:p>
    <w:p w14:paraId="4971622C">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1.3 中标人负责其派出的施工人员的人身意外保险。 </w:t>
      </w:r>
    </w:p>
    <w:p w14:paraId="3D71FE08">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2.包装：原厂原包装送货，货到采购人指定地点，经采购人指定人员验证后方可开箱。 </w:t>
      </w:r>
    </w:p>
    <w:p w14:paraId="1B23DC24">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3.安装调试及施工等： </w:t>
      </w:r>
    </w:p>
    <w:p w14:paraId="2781E6EC">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3.1 本项目的安装由中标人负责，中标人应对产品和系统安装提供全面的技术服务与支持，为顺利安装运行提供完全技术保证。 </w:t>
      </w:r>
    </w:p>
    <w:p w14:paraId="7407389A">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3.2 中标人须加强设备安装的组织管理，所有安装人员须遵守文明安全施工的有关规章制度，持证上岗。 </w:t>
      </w:r>
    </w:p>
    <w:p w14:paraId="1B91DA20">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3.3 项目完成后，中标人应将项目有关的全部资料，包括设备资料、技术文档、使用说明书等，移交采购人。 </w:t>
      </w:r>
    </w:p>
    <w:p w14:paraId="2635FEA4">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3.4 本项目采用费用包干方式建设，投标人应根据项目技术要求、验收要求和现场情况等， </w:t>
      </w:r>
    </w:p>
    <w:p w14:paraId="4426A78C">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详细列明项目所需的设备、材料、配件、辅材，以及运输、安装、网络接口、系统升级、调试、验收等人工、管理等全过程所有费用，如一旦中标，在项目实施中出现任何遗漏，均由中标人免费提供，采购人不再支付任何费用。</w:t>
      </w:r>
    </w:p>
    <w:p w14:paraId="02F3F508">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调试：调试由中标人负责，中标人为运行调试提供技术和产品的必要条件。并应向采购人有关人员讲解产品和系统结构与计划调试方法，包括系统的性能、技术特点、调试技巧等有关技术原理、方法，解决调试过程中出现的技术问题。 </w:t>
      </w:r>
    </w:p>
    <w:p w14:paraId="3DDA84BD">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人员培训要求：中标人应科学制定相配套的培训计划，对采购人的使用操作人员进行切实有效的培训，确保产品能良好地运作。培训内容至少包括：对使用操作人员提供的正常使用和简单维护培训，应提供系统的培训教材，保证培训质量。 培训产生的费用全部由中标人承担。培训实施具体细节由中标人和采购人共同商定。</w:t>
      </w:r>
    </w:p>
    <w:p w14:paraId="658F620F">
      <w:pPr>
        <w:keepNext w:val="0"/>
        <w:keepLines w:val="0"/>
        <w:pageBreakBefore w:val="0"/>
        <w:widowControl/>
        <w:kinsoku/>
        <w:wordWrap/>
        <w:overflowPunct/>
        <w:topLinePunct w:val="0"/>
        <w:autoSpaceDE/>
        <w:autoSpaceDN/>
        <w:bidi w:val="0"/>
        <w:spacing w:line="560" w:lineRule="exact"/>
        <w:jc w:val="left"/>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 xml:space="preserve">三、质量保证 </w:t>
      </w:r>
    </w:p>
    <w:p w14:paraId="6745DB35">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中标人须保证所供应的设备、配件及配套软件均为原厂全新未拆封原装正品，所投产品为签订合同时出厂近6个月全新未使用过的产品，各项指标符合国家质量检测标准及产品出厂技术标准；所涉全部软件（含设备预装操作系统）须拥有完整合法正版授权。供货产品须附带出厂合格证或国家鉴定合格证明，中标后还应向采购人提交制造商出具的出厂证明等佐证资料。若所供产品达不到上述约定标准，采购人有权予以拒收并解除合同，由此造成的一切经济损失与相关责任，均由中标人全部承担。</w:t>
      </w:r>
    </w:p>
    <w:p w14:paraId="1AE85122">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2、中标人必须严格遵守《产品质量法》，在投标书中对产品质量保证体系做出说明，并完整地履行质保期内的免费现场维修服务承诺。</w:t>
      </w:r>
    </w:p>
    <w:p w14:paraId="05591312">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3、软硬件授权不受使用期限限制，未经业主同意不得锁定、停机或停止授权。</w:t>
      </w:r>
    </w:p>
    <w:p w14:paraId="4D9B9808">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eastAsia="宋体"/>
          <w:color w:val="auto"/>
          <w:highlight w:val="none"/>
          <w:lang w:eastAsia="zh-CN"/>
        </w:rPr>
      </w:pPr>
      <w:r>
        <w:rPr>
          <w:rFonts w:hint="eastAsia" w:ascii="宋体" w:hAnsi="宋体" w:eastAsia="宋体" w:cs="宋体"/>
          <w:color w:val="auto"/>
          <w:kern w:val="2"/>
          <w:sz w:val="21"/>
          <w:szCs w:val="21"/>
          <w:highlight w:val="none"/>
          <w:lang w:val="en-US" w:eastAsia="zh-CN" w:bidi="ar-SA"/>
        </w:rPr>
        <w:t>4.需与医院现有信息系统对接，因对接所产生的所有（含第三方）费用包含在本次报价中</w:t>
      </w:r>
      <w:r>
        <w:rPr>
          <w:rFonts w:hint="eastAsia" w:ascii="宋体" w:hAnsi="宋体" w:cs="宋体"/>
          <w:color w:val="auto"/>
          <w:kern w:val="2"/>
          <w:sz w:val="21"/>
          <w:szCs w:val="21"/>
          <w:highlight w:val="none"/>
          <w:lang w:val="en-US" w:eastAsia="zh-CN" w:bidi="ar-SA"/>
        </w:rPr>
        <w:t>。</w:t>
      </w:r>
    </w:p>
    <w:p w14:paraId="15E823CC">
      <w:pPr>
        <w:keepNext w:val="0"/>
        <w:keepLines w:val="0"/>
        <w:pageBreakBefore w:val="0"/>
        <w:widowControl/>
        <w:kinsoku/>
        <w:wordWrap/>
        <w:overflowPunct/>
        <w:topLinePunct w:val="0"/>
        <w:autoSpaceDE/>
        <w:autoSpaceDN/>
        <w:bidi w:val="0"/>
        <w:spacing w:line="560" w:lineRule="exact"/>
        <w:ind w:left="210"/>
        <w:jc w:val="left"/>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四、售后服务要求</w:t>
      </w:r>
    </w:p>
    <w:p w14:paraId="640DCAE3">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1、本项目整体项目免费质保期≥5 年（起算日期为验收通过之日）。投标人必须承诺提供生产制造商原厂质保服务，中标后须向采购人提交加盖原厂公章的质保承诺函（格式自拟）。质保期内所有软硬件设备的维护、巡检（每年不得低于 4 次）、维修均提供免费上门服务并留存完整检修记录，全部费用免收。质保期满后设备故障更换配件，仅收取零配件成本费用，不得另行收取人工费、工时费、差旅费等其他费用；零配件结算单价不得高于本项目投标文件《分项报价明细表》《设备清单、配件清单、易损件清单分项列表》中对应零配件填报单价，免收其他一切费用。</w:t>
      </w:r>
    </w:p>
    <w:p w14:paraId="546E5E2C">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2、在质保期内中标人对产品质量实行三包，因设备配置、设备或零部件制造质量问题而引起的故障，中标人应立即免费维修或更换，保证设备及时恢复正常，由此引起的一切费用由中标人承担。 </w:t>
      </w:r>
    </w:p>
    <w:p w14:paraId="69E7C704">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3、在质保期内免费提供零件及服务，并应及时有效。质保期后应提供长期优质服务。在使用寿命期内，中标人应保证对设备的零配件、易损件的供应。 </w:t>
      </w:r>
    </w:p>
    <w:p w14:paraId="67E12155">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4、响应时间：中标人应能保证设备使用运行所需的备件和具备相关技术保障机制，并保证质保期内每周 7×24 小时技术支持，2 小时响应，8 小时内到达现场，12 小时内将设备故障排除完毕；故障 12 小时不能修复，提供备用机保障临床使用；无法提供备用机的，可协商延长质保期或更换故障部件；确系主机严重故障无法修复的予以更换主机，不强制无条件直接整台换新。</w:t>
      </w:r>
    </w:p>
    <w:p w14:paraId="150B50F6">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质保期外维修或提供配件：投标文件中已列明的备件、配件、易损件，更换时结算单价不得高于投标填报的对应分项单价；未在分项报价表列明的零配件按成本价计取，且不得高于同期市场公允价格。具体措施需在响应文件中注明。一般问题要求 1 个工作日内解决问题，特殊问题应采用替换法保证买方的正常工作，如不能及时赶到，用户方委托其它单位维修，其费用由卖方承担。</w:t>
      </w:r>
    </w:p>
    <w:p w14:paraId="212EF5F3">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6、投标单位所投产品的制造厂商或代理机构不能因为设备停产而拒绝提供备品备件，应提供相应的解决方案和同类档次规格的设备。 </w:t>
      </w:r>
    </w:p>
    <w:p w14:paraId="1EF6B0A8">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7、中标人应提供售后服务机构的名称、联系方法等。中标人的售后服务机构名称、联系方法等如有变化，应及时通知采购人。中标人不及时通知采购人，由此而造成的损失由中标人负责。 </w:t>
      </w:r>
    </w:p>
    <w:p w14:paraId="79EA02EB">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8、中标人售后服务机构不履行本合同质量和售后服务有关规定，由中标人承担一切责任。 </w:t>
      </w:r>
    </w:p>
    <w:p w14:paraId="611327BA">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9、投标人必须根据本次招标文件所制定的目标和范围，提出相应的技术及售后服务方案，明确指出技术支持服务提供者，并作为投标文件的一部分提交。只有经安装调试并且技术性能达到用户需求书所述的技术要求后，采购方才能接受全部货物。 </w:t>
      </w:r>
    </w:p>
    <w:p w14:paraId="78EA6AE0">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10、自验收合格之日起，中标人所提供产品的质保期应满足清单中要求的质保时间，并保证长期提供系统正常工作所需的备品备件。 </w:t>
      </w:r>
    </w:p>
    <w:p w14:paraId="3FF74039">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11、中标人应按采购人要求对项目进行设备维护人员培训，达到熟练掌握设备性能，并能及时排除一般故障的程度。  </w:t>
      </w:r>
    </w:p>
    <w:p w14:paraId="5AFC022C">
      <w:pPr>
        <w:keepNext w:val="0"/>
        <w:keepLines w:val="0"/>
        <w:pageBreakBefore w:val="0"/>
        <w:widowControl/>
        <w:kinsoku/>
        <w:wordWrap/>
        <w:overflowPunct/>
        <w:topLinePunct w:val="0"/>
        <w:autoSpaceDE/>
        <w:autoSpaceDN/>
        <w:bidi w:val="0"/>
        <w:adjustRightInd/>
        <w:snapToGrid/>
        <w:spacing w:before="0" w:beforeLines="0" w:after="0" w:afterLines="0" w:line="360" w:lineRule="auto"/>
        <w:ind w:firstLine="0" w:firstLineChars="0"/>
        <w:jc w:val="left"/>
        <w:textAlignment w:val="auto"/>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 xml:space="preserve">五、其他要求及说明 </w:t>
      </w:r>
    </w:p>
    <w:p w14:paraId="78D350D9">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1．交货时间及地点 </w:t>
      </w:r>
    </w:p>
    <w:p w14:paraId="7EE1D185">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 交货时间：在正式合同签订之日起</w:t>
      </w:r>
      <w:r>
        <w:rPr>
          <w:rFonts w:hint="eastAsia" w:ascii="宋体" w:hAnsi="宋体" w:cs="宋体"/>
          <w:color w:val="auto"/>
          <w:kern w:val="2"/>
          <w:sz w:val="21"/>
          <w:szCs w:val="21"/>
          <w:highlight w:val="none"/>
          <w:lang w:val="en-US" w:eastAsia="zh-CN" w:bidi="ar-SA"/>
        </w:rPr>
        <w:t>30</w:t>
      </w:r>
      <w:r>
        <w:rPr>
          <w:rFonts w:hint="eastAsia" w:ascii="宋体" w:hAnsi="宋体" w:eastAsia="宋体" w:cs="宋体"/>
          <w:color w:val="auto"/>
          <w:kern w:val="2"/>
          <w:sz w:val="21"/>
          <w:szCs w:val="21"/>
          <w:highlight w:val="none"/>
          <w:lang w:val="en-US" w:eastAsia="zh-CN" w:bidi="ar-SA"/>
        </w:rPr>
        <w:t xml:space="preserve">天内按采购人指定地点完成设备的供货、安装、调试、检测运行及验收工作并交付采购人正常使用。 </w:t>
      </w:r>
    </w:p>
    <w:p w14:paraId="6BD41496">
      <w:pPr>
        <w:keepNext w:val="0"/>
        <w:keepLines w:val="0"/>
        <w:pageBreakBefore w:val="0"/>
        <w:widowControl w:val="0"/>
        <w:kinsoku/>
        <w:wordWrap/>
        <w:overflowPunct/>
        <w:topLinePunct w:val="0"/>
        <w:autoSpaceDE/>
        <w:autoSpaceDN/>
        <w:bidi w:val="0"/>
        <w:spacing w:line="5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1.2 交货地点：采购单位指定地点。 </w:t>
      </w:r>
    </w:p>
    <w:p w14:paraId="57267B00">
      <w:pPr>
        <w:keepNext w:val="0"/>
        <w:keepLines w:val="0"/>
        <w:pageBreakBefore w:val="0"/>
        <w:widowControl w:val="0"/>
        <w:kinsoku/>
        <w:wordWrap/>
        <w:overflowPunct/>
        <w:topLinePunct w:val="0"/>
        <w:autoSpaceDE/>
        <w:autoSpaceDN/>
        <w:bidi w:val="0"/>
        <w:spacing w:line="560" w:lineRule="exact"/>
        <w:ind w:firstLine="420" w:firstLineChars="200"/>
        <w:jc w:val="both"/>
        <w:rPr>
          <w:rFonts w:ascii="Times New Roman" w:hAnsi="Times New Roman" w:eastAsia="宋体" w:cs="Times New Roman"/>
          <w:color w:val="auto"/>
          <w:sz w:val="21"/>
          <w:szCs w:val="21"/>
          <w:highlight w:val="none"/>
        </w:rPr>
      </w:pPr>
      <w:r>
        <w:rPr>
          <w:rFonts w:hint="eastAsia" w:ascii="宋体" w:hAnsi="宋体" w:eastAsia="宋体" w:cs="宋体"/>
          <w:color w:val="auto"/>
          <w:kern w:val="2"/>
          <w:sz w:val="21"/>
          <w:szCs w:val="21"/>
          <w:highlight w:val="none"/>
          <w:lang w:val="en-US" w:eastAsia="zh-CN" w:bidi="ar-SA"/>
        </w:rPr>
        <w:t>2.项目完成后，中标人应将项目有关的全部资料，包括设备资料、技术文档、使用说明书等，移交采购人。</w:t>
      </w:r>
      <w:r>
        <w:rPr>
          <w:rFonts w:hint="eastAsia" w:ascii="宋体" w:hAnsi="宋体" w:eastAsia="宋体" w:cs="宋体"/>
          <w:color w:val="auto"/>
          <w:kern w:val="0"/>
          <w:sz w:val="21"/>
          <w:szCs w:val="21"/>
          <w:highlight w:val="none"/>
        </w:rPr>
        <w:t xml:space="preserve"> </w:t>
      </w:r>
    </w:p>
    <w:p w14:paraId="2FCA5D11">
      <w:pPr>
        <w:keepNext w:val="0"/>
        <w:keepLines w:val="0"/>
        <w:pageBreakBefore w:val="0"/>
        <w:widowControl/>
        <w:kinsoku/>
        <w:wordWrap/>
        <w:overflowPunct/>
        <w:topLinePunct w:val="0"/>
        <w:autoSpaceDE/>
        <w:autoSpaceDN/>
        <w:bidi w:val="0"/>
        <w:adjustRightInd/>
        <w:snapToGrid/>
        <w:spacing w:before="0" w:beforeLines="0" w:after="0" w:afterLines="0" w:line="360" w:lineRule="auto"/>
        <w:ind w:firstLine="0" w:firstLineChars="0"/>
        <w:jc w:val="left"/>
        <w:textAlignment w:val="auto"/>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六、付款方式和条件</w:t>
      </w:r>
    </w:p>
    <w:p w14:paraId="5FB86383">
      <w:pPr>
        <w:keepNext w:val="0"/>
        <w:keepLines w:val="0"/>
        <w:pageBreakBefore w:val="0"/>
        <w:widowControl w:val="0"/>
        <w:kinsoku/>
        <w:wordWrap/>
        <w:overflowPunct/>
        <w:topLinePunct w:val="0"/>
        <w:autoSpaceDE/>
        <w:autoSpaceDN/>
        <w:bidi w:val="0"/>
        <w:spacing w:line="560" w:lineRule="exact"/>
        <w:ind w:firstLine="422"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b/>
          <w:bCs/>
          <w:color w:val="auto"/>
          <w:kern w:val="2"/>
          <w:sz w:val="21"/>
          <w:szCs w:val="21"/>
          <w:highlight w:val="none"/>
          <w:lang w:val="en-US" w:eastAsia="zh-CN" w:bidi="ar-SA"/>
        </w:rPr>
        <w:t>合同价款支付</w:t>
      </w:r>
      <w:r>
        <w:rPr>
          <w:rFonts w:hint="eastAsia" w:ascii="宋体" w:hAnsi="宋体" w:eastAsia="宋体" w:cs="宋体"/>
          <w:b/>
          <w:bCs/>
          <w:color w:val="auto"/>
          <w:kern w:val="2"/>
          <w:sz w:val="21"/>
          <w:szCs w:val="21"/>
          <w:highlight w:val="none"/>
          <w:lang w:val="en-US" w:eastAsia="zh-CN" w:bidi="ar-SA"/>
        </w:rPr>
        <w:t>方式：</w:t>
      </w:r>
      <w:r>
        <w:rPr>
          <w:rFonts w:hint="eastAsia" w:ascii="宋体" w:hAnsi="宋体" w:eastAsia="宋体" w:cs="宋体"/>
          <w:color w:val="auto"/>
          <w:kern w:val="2"/>
          <w:sz w:val="21"/>
          <w:szCs w:val="21"/>
          <w:highlight w:val="none"/>
          <w:lang w:val="en-US" w:eastAsia="zh-CN" w:bidi="ar-SA"/>
        </w:rPr>
        <w:t>货物到达采购人指定地点及所有产品安装调试完成并经采购人验收完成后，2个月内全额支付完毕。</w:t>
      </w:r>
    </w:p>
    <w:p w14:paraId="64EC5166">
      <w:pPr>
        <w:keepNext w:val="0"/>
        <w:keepLines w:val="0"/>
        <w:pageBreakBefore w:val="0"/>
        <w:widowControl/>
        <w:kinsoku/>
        <w:wordWrap/>
        <w:overflowPunct/>
        <w:topLinePunct w:val="0"/>
        <w:autoSpaceDE/>
        <w:autoSpaceDN/>
        <w:bidi w:val="0"/>
        <w:adjustRightInd/>
        <w:snapToGrid/>
        <w:spacing w:before="0" w:beforeLines="0" w:after="0" w:afterLines="0" w:line="360" w:lineRule="auto"/>
        <w:ind w:firstLine="0" w:firstLineChars="0"/>
        <w:jc w:val="left"/>
        <w:textAlignment w:val="auto"/>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七、项目实施的其他要求</w:t>
      </w:r>
    </w:p>
    <w:p w14:paraId="0B1D3E0D">
      <w:pPr>
        <w:keepNext w:val="0"/>
        <w:keepLines w:val="0"/>
        <w:pageBreakBefore w:val="0"/>
        <w:widowControl w:val="0"/>
        <w:kinsoku/>
        <w:wordWrap/>
        <w:overflowPunct/>
        <w:topLinePunct w:val="0"/>
        <w:autoSpaceDE/>
        <w:autoSpaceDN/>
        <w:bidi w:val="0"/>
        <w:adjustRightInd w:val="0"/>
        <w:snapToGrid w:val="0"/>
        <w:spacing w:before="0" w:beforeLines="0" w:after="0" w:afterLines="0" w:line="500" w:lineRule="exact"/>
        <w:ind w:firstLine="442" w:firstLineChars="200"/>
        <w:jc w:val="both"/>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投标人在投标文件中有隐瞒事实、弄虚作假的行为，或有不按招标文件的要求如实提供有关情况、文件、证明等资料的行为，或有所提供的有关情况、文件、证明等资料与经查实的事实不符的行为，且上述行为对该投标人有利的，按照不合格投标人处理。已被列为中标候选人的，取消其中标候选人</w:t>
      </w:r>
      <w:bookmarkStart w:id="5" w:name="_GoBack"/>
      <w:bookmarkEnd w:id="5"/>
      <w:r>
        <w:rPr>
          <w:rFonts w:hint="eastAsia" w:ascii="宋体" w:hAnsi="宋体" w:eastAsia="宋体" w:cs="宋体"/>
          <w:b/>
          <w:bCs/>
          <w:color w:val="auto"/>
          <w:kern w:val="2"/>
          <w:sz w:val="22"/>
          <w:szCs w:val="22"/>
          <w:highlight w:val="none"/>
          <w:lang w:val="en-US" w:eastAsia="zh-CN" w:bidi="ar-SA"/>
        </w:rPr>
        <w:t>资格。已中标的，取消其中标资格，并送财政监管部门依法追究其法律责任。</w:t>
      </w:r>
    </w:p>
    <w:p w14:paraId="4C0694F1">
      <w:pPr>
        <w:ind w:firstLine="44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2"/>
          <w:szCs w:val="22"/>
          <w:highlight w:val="none"/>
          <w:lang w:val="en-US" w:eastAsia="zh-CN" w:bidi="ar-SA"/>
        </w:rPr>
        <w:t>★对于上述商务要求，投标人不得偏离，应在投标文件中进行回应，作出承诺，未作出承诺的为无效投标</w:t>
      </w:r>
      <w:r>
        <w:rPr>
          <w:rFonts w:hint="eastAsia" w:ascii="宋体" w:hAnsi="宋体" w:eastAsia="宋体" w:cs="宋体"/>
          <w:b/>
          <w:bCs/>
          <w:color w:val="auto"/>
          <w:sz w:val="21"/>
          <w:szCs w:val="21"/>
          <w:highlight w:val="none"/>
          <w:lang w:val="en-US" w:eastAsia="zh-CN"/>
        </w:rPr>
        <w:t>。</w:t>
      </w:r>
    </w:p>
    <w:p w14:paraId="123353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047EDB"/>
    <w:rsid w:val="1D047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customStyle="1" w:styleId="6">
    <w:name w:val="font91"/>
    <w:basedOn w:val="5"/>
    <w:qFormat/>
    <w:uiPriority w:val="0"/>
    <w:rPr>
      <w:rFonts w:hint="default" w:ascii="Times New Roman" w:hAnsi="Times New Roman" w:cs="Times New Roman"/>
      <w:color w:val="000000"/>
      <w:sz w:val="21"/>
      <w:szCs w:val="21"/>
      <w:u w:val="none"/>
    </w:rPr>
  </w:style>
  <w:style w:type="character" w:customStyle="1" w:styleId="7">
    <w:name w:val="font81"/>
    <w:basedOn w:val="5"/>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2026-10-29T03:11:00Z</dcterms:created>
  <dc:creator>Administrator</dc:creator>
  <cp:lastModifiedBy>Administrator</cp:lastModifiedBy>
  <dcterms:modified xsi:type="dcterms:W3CDTF">2026-10-29T03:13:24Z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C47643D7A0534F028C999F925079A9C1_11</vt:lpwstr>
  </property>
  <property fmtid="{D5CDD505-2E9C-101B-9397-08002B2CF9AE}" pid="4" name="KSOTemplateDocerSaveRecord">
    <vt:lpwstr>eyJoZGlkIjoiNmZhNDI2NmE2ZDMzMGZiM2Y2MzJiOWMxMzk4NzM5NGMiLCJ1c2VySWQiOiIzNDIwMTYzODUifQ==</vt:lpwstr>
  </property>
</Properties>
</file>