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6CE8F">
      <w:pPr>
        <w:pStyle w:val="4"/>
        <w:bidi w:val="0"/>
        <w:rPr>
          <w:color w:val="auto"/>
        </w:rPr>
      </w:pPr>
      <w:r>
        <w:rPr>
          <w:color w:val="auto"/>
        </w:rPr>
        <w:t>采购需求</w:t>
      </w:r>
    </w:p>
    <w:p w14:paraId="52C8C503">
      <w:pPr>
        <w:spacing w:before="236" w:line="221" w:lineRule="auto"/>
        <w:ind w:left="3508"/>
        <w:rPr>
          <w:rFonts w:hint="eastAsia" w:asciiTheme="minorEastAsia" w:hAnsiTheme="minorEastAsia" w:eastAsiaTheme="minorEastAsia" w:cstheme="minorEastAsia"/>
          <w:b/>
          <w:bCs/>
          <w:color w:val="auto"/>
          <w:spacing w:val="-10"/>
          <w:sz w:val="24"/>
          <w:szCs w:val="24"/>
        </w:rPr>
      </w:pPr>
      <w:r>
        <w:rPr>
          <w:rFonts w:hint="eastAsia" w:asciiTheme="minorEastAsia" w:hAnsiTheme="minorEastAsia" w:eastAsiaTheme="minorEastAsia" w:cstheme="minorEastAsia"/>
          <w:b/>
          <w:bCs/>
          <w:color w:val="auto"/>
          <w:spacing w:val="-10"/>
          <w:sz w:val="24"/>
          <w:szCs w:val="24"/>
        </w:rPr>
        <w:t>第 一 节  技 术 要 求</w:t>
      </w:r>
    </w:p>
    <w:tbl>
      <w:tblPr>
        <w:tblStyle w:val="12"/>
        <w:tblW w:w="93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9"/>
        <w:gridCol w:w="1618"/>
        <w:gridCol w:w="675"/>
        <w:gridCol w:w="660"/>
        <w:gridCol w:w="4965"/>
        <w:gridCol w:w="631"/>
      </w:tblGrid>
      <w:tr w14:paraId="2659C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6C9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序号</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9FC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品名</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776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数量</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7B9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单位</w:t>
            </w:r>
          </w:p>
        </w:tc>
        <w:tc>
          <w:tcPr>
            <w:tcW w:w="4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341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65B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备注</w:t>
            </w:r>
          </w:p>
        </w:tc>
      </w:tr>
      <w:tr w14:paraId="604B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7D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DC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b w:val="0"/>
                <w:bCs w:val="0"/>
                <w:color w:val="auto"/>
                <w:sz w:val="24"/>
                <w:szCs w:val="24"/>
                <w:lang w:val="en-US" w:eastAsia="zh-CN"/>
              </w:rPr>
              <w:t>多用途货车（环境监测用）或环境监测车</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31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D9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辆</w:t>
            </w:r>
          </w:p>
        </w:tc>
        <w:tc>
          <w:tcPr>
            <w:tcW w:w="4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1EBB">
            <w:pPr>
              <w:pStyle w:val="2"/>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1、整车外形尺寸长宽高（mm）：≥5500*1900*1800</w:t>
            </w:r>
          </w:p>
          <w:p w14:paraId="3F2297DE">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2、轴距（mm）：≥3300</w:t>
            </w:r>
          </w:p>
          <w:p w14:paraId="187D4124">
            <w:pPr>
              <w:pStyle w:val="2"/>
              <w:rPr>
                <w:rFonts w:hint="eastAsia" w:ascii="宋体" w:hAnsi="宋体" w:eastAsia="宋体" w:cs="宋体"/>
                <w:b/>
                <w:bCs/>
                <w:sz w:val="24"/>
                <w:szCs w:val="24"/>
                <w:lang w:val="en-US" w:eastAsia="zh-CN"/>
              </w:rPr>
            </w:pPr>
            <w:r>
              <w:rPr>
                <w:rFonts w:hint="eastAsia" w:ascii="仿宋" w:hAnsi="仿宋" w:eastAsia="仿宋" w:cs="仿宋"/>
                <w:b/>
                <w:bCs/>
                <w:sz w:val="24"/>
                <w:szCs w:val="24"/>
                <w:lang w:val="en-US" w:eastAsia="zh-CN"/>
              </w:rPr>
              <w:t>★</w:t>
            </w:r>
            <w:r>
              <w:rPr>
                <w:rFonts w:hint="eastAsia" w:ascii="宋体" w:hAnsi="宋体" w:eastAsia="宋体" w:cs="宋体"/>
                <w:b/>
                <w:bCs/>
                <w:sz w:val="24"/>
                <w:szCs w:val="24"/>
                <w:lang w:val="en-US" w:eastAsia="zh-CN"/>
              </w:rPr>
              <w:t>以上参数需提供国家工信部公告参数页截图</w:t>
            </w:r>
          </w:p>
          <w:p w14:paraId="7CDD4291">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3、悬架系统（前）：双叉臂独立悬架</w:t>
            </w:r>
          </w:p>
          <w:p w14:paraId="4B56A874">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4、悬架系统（后）：钢板弹簧非独立悬架</w:t>
            </w:r>
          </w:p>
          <w:p w14:paraId="7EC3A6DB">
            <w:pPr>
              <w:pStyle w:val="2"/>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5、动力性能：新能源类型增程</w:t>
            </w:r>
          </w:p>
          <w:p w14:paraId="74898BEB">
            <w:pPr>
              <w:pStyle w:val="2"/>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6、发动机最大功率（kW）：≥115</w:t>
            </w:r>
          </w:p>
          <w:p w14:paraId="69EA309D">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7、动力电池类型：磷酸铁锂电池</w:t>
            </w:r>
          </w:p>
          <w:p w14:paraId="5E79CB36">
            <w:pPr>
              <w:pStyle w:val="2"/>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8、动力电池容量（KWh）：≥25</w:t>
            </w:r>
          </w:p>
          <w:p w14:paraId="17F65A5C">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9、电机型式双电机</w:t>
            </w:r>
          </w:p>
          <w:p w14:paraId="13087A3E">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10、驱动形式电机四驱</w:t>
            </w:r>
          </w:p>
          <w:p w14:paraId="1FBF6122">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11、NEDC纯电续航里程(km)≥120</w:t>
            </w:r>
          </w:p>
          <w:p w14:paraId="25825989">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12、快充时间（h）≦0.5</w:t>
            </w:r>
          </w:p>
          <w:p w14:paraId="6CA22DE5">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13、配备车载扩音器和喇叭。</w:t>
            </w:r>
          </w:p>
          <w:p w14:paraId="5776BD63">
            <w:pPr>
              <w:pStyle w:val="2"/>
              <w:rPr>
                <w:rFonts w:hint="eastAsia"/>
              </w:rPr>
            </w:pPr>
            <w:r>
              <w:rPr>
                <w:rFonts w:hint="eastAsia" w:ascii="宋体" w:hAnsi="宋体" w:eastAsia="宋体" w:cs="宋体"/>
                <w:sz w:val="24"/>
                <w:szCs w:val="24"/>
                <w:lang w:val="en-US" w:eastAsia="zh-CN"/>
              </w:rPr>
              <w:t>14、车身颜色为红色（消防红）</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61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14:paraId="05AAE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AD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39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塑料垃圾桶（240L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F1B4">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5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个</w:t>
            </w:r>
          </w:p>
        </w:tc>
        <w:tc>
          <w:tcPr>
            <w:tcW w:w="4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8CDC">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1、垃圾桶容量（L）：≥240；</w:t>
            </w:r>
          </w:p>
          <w:p w14:paraId="6FC53BE1">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2、垃圾桶尺寸为（mm）：≥L700*W580*H1000；</w:t>
            </w:r>
          </w:p>
          <w:p w14:paraId="42F5A87B">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3、单桶体重量（kg）≥9；</w:t>
            </w:r>
          </w:p>
          <w:p w14:paraId="374F592F">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4、产品使用高密度聚乙烯全新料（HDPE）一次性注模成型。</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9DA2">
            <w:pPr>
              <w:jc w:val="center"/>
              <w:rPr>
                <w:rFonts w:hint="eastAsia" w:ascii="宋体" w:hAnsi="宋体" w:eastAsia="宋体" w:cs="宋体"/>
                <w:i w:val="0"/>
                <w:iCs w:val="0"/>
                <w:color w:val="000000"/>
                <w:sz w:val="22"/>
                <w:szCs w:val="22"/>
                <w:highlight w:val="none"/>
                <w:u w:val="none"/>
              </w:rPr>
            </w:pPr>
          </w:p>
        </w:tc>
      </w:tr>
      <w:tr w14:paraId="4C480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6B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85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rPr>
              <w:t>勾臂式垃圾箱</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FF84">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15</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39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个</w:t>
            </w:r>
          </w:p>
        </w:tc>
        <w:tc>
          <w:tcPr>
            <w:tcW w:w="4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A1DA">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1、尺寸（长宽高 mm）:≥2450*1450*1230；</w:t>
            </w:r>
          </w:p>
          <w:p w14:paraId="62192A40">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2、底板厚度（mm）:≥3.0；</w:t>
            </w:r>
          </w:p>
          <w:p w14:paraId="2AFA3F3F">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3、侧板厚度（mm）:≥2.0；</w:t>
            </w:r>
          </w:p>
          <w:p w14:paraId="31B35A85">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4、箱体总成：由钩环总成、前后轮，底架总成、箱体总成、投料门总成、后门总成、后门锁紧总成组成；</w:t>
            </w:r>
          </w:p>
          <w:p w14:paraId="131A2252">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技术特点要求：箱体采用高强度碳钢制作而成，保证常年使用不锈蚀、不发生变形，外型美观，耐腐蚀，使用寿命长；两侧门采用向上举升开启并具有自锁功能，操作轻便、安全可靠；箱体后门加装密封装置，内侧防腐，并且后门密封胶条为耐油、耐腐蚀，耐老化，无污水泄漏；后门框和后门具有足够的刚度，确保正常使用中不会出现变形，后门密封胶条，使用寿命3年以上。</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F946">
            <w:pPr>
              <w:jc w:val="center"/>
              <w:rPr>
                <w:rFonts w:hint="eastAsia" w:ascii="宋体" w:hAnsi="宋体" w:eastAsia="宋体" w:cs="宋体"/>
                <w:i w:val="0"/>
                <w:iCs w:val="0"/>
                <w:color w:val="000000"/>
                <w:sz w:val="22"/>
                <w:szCs w:val="22"/>
                <w:highlight w:val="none"/>
                <w:u w:val="none"/>
              </w:rPr>
            </w:pPr>
          </w:p>
        </w:tc>
      </w:tr>
    </w:tbl>
    <w:p w14:paraId="0C779F78">
      <w:pPr>
        <w:pStyle w:val="2"/>
        <w:rPr>
          <w:rFonts w:hint="eastAsia" w:asciiTheme="minorEastAsia" w:hAnsiTheme="minorEastAsia" w:eastAsiaTheme="minorEastAsia" w:cstheme="minorEastAsia"/>
          <w:b/>
          <w:bCs/>
          <w:color w:val="auto"/>
          <w:spacing w:val="-10"/>
          <w:sz w:val="24"/>
          <w:szCs w:val="24"/>
        </w:rPr>
      </w:pPr>
    </w:p>
    <w:p w14:paraId="350EEDD0">
      <w:pPr>
        <w:pStyle w:val="3"/>
        <w:rPr>
          <w:rFonts w:hint="eastAsia"/>
        </w:rPr>
      </w:pPr>
    </w:p>
    <w:p w14:paraId="3F09E5D1">
      <w:pPr>
        <w:jc w:val="center"/>
        <w:rPr>
          <w:rFonts w:hint="eastAsia" w:asciiTheme="minorEastAsia" w:hAnsiTheme="minorEastAsia" w:eastAsiaTheme="minorEastAsia" w:cstheme="minorEastAsia"/>
          <w:b/>
          <w:bCs/>
          <w:color w:val="auto"/>
          <w:spacing w:val="-10"/>
          <w:sz w:val="24"/>
          <w:szCs w:val="24"/>
        </w:rPr>
      </w:pPr>
      <w:r>
        <w:rPr>
          <w:rFonts w:hint="eastAsia" w:asciiTheme="minorEastAsia" w:hAnsiTheme="minorEastAsia" w:eastAsiaTheme="minorEastAsia" w:cstheme="minorEastAsia"/>
          <w:b/>
          <w:bCs/>
          <w:color w:val="auto"/>
          <w:spacing w:val="-10"/>
          <w:sz w:val="24"/>
          <w:szCs w:val="24"/>
        </w:rPr>
        <w:t>第</w:t>
      </w:r>
      <w:r>
        <w:rPr>
          <w:rFonts w:hint="eastAsia" w:asciiTheme="minorEastAsia" w:hAnsiTheme="minorEastAsia" w:eastAsiaTheme="minorEastAsia" w:cstheme="minorEastAsia"/>
          <w:b/>
          <w:bCs/>
          <w:color w:val="auto"/>
          <w:spacing w:val="-10"/>
          <w:sz w:val="24"/>
          <w:szCs w:val="24"/>
          <w:lang w:eastAsia="zh-CN"/>
        </w:rPr>
        <w:t>二</w:t>
      </w:r>
      <w:r>
        <w:rPr>
          <w:rFonts w:hint="eastAsia" w:asciiTheme="minorEastAsia" w:hAnsiTheme="minorEastAsia" w:eastAsiaTheme="minorEastAsia" w:cstheme="minorEastAsia"/>
          <w:b/>
          <w:bCs/>
          <w:color w:val="auto"/>
          <w:spacing w:val="-10"/>
          <w:sz w:val="24"/>
          <w:szCs w:val="24"/>
        </w:rPr>
        <w:t>节</w:t>
      </w:r>
      <w:r>
        <w:rPr>
          <w:rFonts w:hint="eastAsia" w:asciiTheme="minorEastAsia" w:hAnsiTheme="minorEastAsia" w:eastAsiaTheme="minorEastAsia" w:cstheme="minorEastAsia"/>
          <w:b/>
          <w:bCs/>
          <w:color w:val="auto"/>
          <w:spacing w:val="-10"/>
          <w:sz w:val="24"/>
          <w:szCs w:val="24"/>
          <w:lang w:eastAsia="zh-CN"/>
        </w:rPr>
        <w:t>商务</w:t>
      </w:r>
      <w:r>
        <w:rPr>
          <w:rFonts w:hint="eastAsia" w:asciiTheme="minorEastAsia" w:hAnsiTheme="minorEastAsia" w:eastAsiaTheme="minorEastAsia" w:cstheme="minorEastAsia"/>
          <w:b/>
          <w:bCs/>
          <w:color w:val="auto"/>
          <w:spacing w:val="-10"/>
          <w:sz w:val="24"/>
          <w:szCs w:val="24"/>
        </w:rPr>
        <w:t>要求</w:t>
      </w:r>
    </w:p>
    <w:p w14:paraId="5957191D">
      <w:pPr>
        <w:pStyle w:val="2"/>
        <w:keepNext w:val="0"/>
        <w:keepLines w:val="0"/>
        <w:pageBreakBefore w:val="0"/>
        <w:wordWrap/>
        <w:overflowPunct/>
        <w:topLinePunct w:val="0"/>
        <w:bidi w:val="0"/>
        <w:spacing w:before="219" w:line="360" w:lineRule="auto"/>
        <w:ind w:left="5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lang w:eastAsia="zh-CN"/>
        </w:rPr>
        <w:t>一</w:t>
      </w:r>
      <w:r>
        <w:rPr>
          <w:rFonts w:hint="eastAsia" w:asciiTheme="minorEastAsia" w:hAnsiTheme="minorEastAsia" w:eastAsiaTheme="minorEastAsia" w:cstheme="minorEastAsia"/>
          <w:b/>
          <w:bCs/>
          <w:color w:val="auto"/>
          <w:spacing w:val="-6"/>
          <w:sz w:val="24"/>
          <w:szCs w:val="24"/>
        </w:rPr>
        <w:t>、报价说明</w:t>
      </w:r>
    </w:p>
    <w:p w14:paraId="39CAF58B">
      <w:pPr>
        <w:pStyle w:val="2"/>
        <w:keepNext w:val="0"/>
        <w:keepLines w:val="0"/>
        <w:pageBreakBefore w:val="0"/>
        <w:wordWrap/>
        <w:overflowPunct/>
        <w:topLinePunct w:val="0"/>
        <w:bidi w:val="0"/>
        <w:spacing w:before="154" w:line="360" w:lineRule="auto"/>
        <w:ind w:left="43" w:right="70" w:firstLine="491"/>
        <w:rPr>
          <w:rFonts w:hint="eastAsia" w:asciiTheme="minorEastAsia" w:hAnsiTheme="minorEastAsia" w:eastAsiaTheme="minorEastAsia" w:cstheme="minorEastAsia"/>
          <w:color w:val="auto"/>
          <w:spacing w:val="-8"/>
          <w:sz w:val="24"/>
          <w:szCs w:val="24"/>
          <w:lang w:eastAsia="zh-CN"/>
        </w:rPr>
      </w:pPr>
      <w:r>
        <w:rPr>
          <w:rFonts w:hint="eastAsia" w:asciiTheme="minorEastAsia" w:hAnsiTheme="minorEastAsia" w:eastAsiaTheme="minorEastAsia" w:cstheme="minorEastAsia"/>
          <w:color w:val="auto"/>
          <w:spacing w:val="-1"/>
          <w:sz w:val="24"/>
          <w:szCs w:val="24"/>
          <w:lang w:eastAsia="zh-CN"/>
        </w:rPr>
        <w:t>1、投标人必须对本项目所投所有采购内容进行投标报价响应，不得只对部分内容投标报价响应，投标人对本项目所投</w:t>
      </w:r>
      <w:r>
        <w:rPr>
          <w:rFonts w:hint="eastAsia" w:asciiTheme="minorEastAsia" w:hAnsiTheme="minorEastAsia" w:eastAsiaTheme="minorEastAsia" w:cstheme="minorEastAsia"/>
          <w:color w:val="auto"/>
          <w:spacing w:val="-2"/>
          <w:sz w:val="24"/>
          <w:szCs w:val="24"/>
          <w:lang w:eastAsia="zh-CN"/>
        </w:rPr>
        <w:t>的投标报价不得超过采购预算，否则</w:t>
      </w:r>
      <w:r>
        <w:rPr>
          <w:rFonts w:hint="eastAsia" w:asciiTheme="minorEastAsia" w:hAnsiTheme="minorEastAsia" w:eastAsiaTheme="minorEastAsia" w:cstheme="minorEastAsia"/>
          <w:color w:val="auto"/>
          <w:spacing w:val="-8"/>
          <w:sz w:val="24"/>
          <w:szCs w:val="24"/>
          <w:lang w:eastAsia="zh-CN"/>
        </w:rPr>
        <w:t>投标无效。</w:t>
      </w:r>
    </w:p>
    <w:p w14:paraId="04CBC7B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lang w:eastAsia="zh-CN"/>
        </w:rPr>
      </w:pPr>
      <w:bookmarkStart w:id="0" w:name="_Toc14262"/>
      <w:r>
        <w:rPr>
          <w:rFonts w:hint="eastAsia" w:asciiTheme="minorEastAsia" w:hAnsiTheme="minorEastAsia" w:eastAsiaTheme="minorEastAsia" w:cstheme="minorEastAsia"/>
          <w:color w:val="auto"/>
          <w:kern w:val="2"/>
          <w:sz w:val="24"/>
          <w:szCs w:val="24"/>
          <w:lang w:eastAsia="zh-CN"/>
        </w:rPr>
        <w:t>2.</w:t>
      </w:r>
      <w:r>
        <w:rPr>
          <w:rFonts w:hint="eastAsia" w:asciiTheme="minorEastAsia" w:hAnsiTheme="minorEastAsia" w:eastAsiaTheme="minorEastAsia" w:cstheme="minorEastAsia"/>
          <w:color w:val="auto"/>
          <w:sz w:val="24"/>
          <w:szCs w:val="24"/>
          <w:lang w:eastAsia="zh-CN"/>
        </w:rPr>
        <w:t>投标人的报价应包含为完成本招标文件提出的货物生产制造费、运输、安装、调试、检测、售后服务以及车辆交付后上牌、检测、购买交强险等全部相关工作所有可能发生的费用，即所需的一切人工、物耗、工具、设备、用水、用电、保险和调研、咨询、测试、验收、培训、税金等所有可能发生的一切费用，即投标总报价为“交钥匙”价。对在合同实施过程中可能发生的其他费用（如：增加耗材、材料涨价、人工、运输成本增加等因素），采购人概不负责。本文件所要求内容应视为保证产品运行所需最低要求，如有遗漏，投标人应予补充。</w:t>
      </w:r>
    </w:p>
    <w:p w14:paraId="52197A5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outlineLvl w:val="0"/>
        <w:rPr>
          <w:rFonts w:hint="eastAsia" w:asciiTheme="minorEastAsia" w:hAnsiTheme="minorEastAsia" w:eastAsiaTheme="minorEastAsia" w:cstheme="minorEastAsia"/>
          <w:color w:val="auto"/>
          <w:spacing w:val="-8"/>
          <w:sz w:val="24"/>
          <w:szCs w:val="24"/>
          <w:lang w:eastAsia="zh-CN"/>
        </w:rPr>
      </w:pPr>
      <w:bookmarkStart w:id="1" w:name="_Toc14104"/>
      <w:bookmarkStart w:id="2" w:name="_Toc21430"/>
      <w:r>
        <w:rPr>
          <w:rFonts w:hint="eastAsia" w:asciiTheme="minorEastAsia" w:hAnsiTheme="minorEastAsia" w:eastAsiaTheme="minorEastAsia" w:cstheme="minorEastAsia"/>
          <w:color w:val="auto"/>
          <w:sz w:val="24"/>
          <w:szCs w:val="24"/>
          <w:lang w:eastAsia="zh-CN"/>
        </w:rPr>
        <w:t>3.对本文件未列明，而投标人认为必需的费用也需列入投标总报价。在合同实施时，采购人将不予支付中标人没有列入的项目费用，并认为此项目的费用已包含在投标总报价中</w:t>
      </w:r>
      <w:r>
        <w:rPr>
          <w:rFonts w:hint="eastAsia" w:asciiTheme="minorEastAsia" w:hAnsiTheme="minorEastAsia" w:eastAsiaTheme="minorEastAsia" w:cstheme="minorEastAsia"/>
          <w:color w:val="auto"/>
          <w:kern w:val="2"/>
          <w:sz w:val="24"/>
          <w:szCs w:val="24"/>
          <w:lang w:eastAsia="zh-CN"/>
        </w:rPr>
        <w:t>。</w:t>
      </w:r>
      <w:bookmarkEnd w:id="0"/>
      <w:bookmarkEnd w:id="1"/>
      <w:bookmarkEnd w:id="2"/>
    </w:p>
    <w:p w14:paraId="563CEBC3">
      <w:pPr>
        <w:pStyle w:val="2"/>
        <w:keepNext w:val="0"/>
        <w:keepLines w:val="0"/>
        <w:pageBreakBefore w:val="0"/>
        <w:wordWrap/>
        <w:overflowPunct/>
        <w:topLinePunct w:val="0"/>
        <w:bidi w:val="0"/>
        <w:spacing w:before="153" w:line="360" w:lineRule="auto"/>
        <w:ind w:left="5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5"/>
          <w:sz w:val="24"/>
          <w:szCs w:val="24"/>
          <w:lang w:eastAsia="zh-CN"/>
        </w:rPr>
        <w:t>二、交货及验收要求</w:t>
      </w:r>
    </w:p>
    <w:p w14:paraId="048BB095">
      <w:pPr>
        <w:pStyle w:val="2"/>
        <w:keepNext w:val="0"/>
        <w:keepLines w:val="0"/>
        <w:pageBreakBefore w:val="0"/>
        <w:wordWrap/>
        <w:overflowPunct/>
        <w:topLinePunct w:val="0"/>
        <w:bidi w:val="0"/>
        <w:spacing w:before="158" w:line="360" w:lineRule="auto"/>
        <w:ind w:left="53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1"/>
          <w:sz w:val="24"/>
          <w:szCs w:val="24"/>
          <w:lang w:eastAsia="zh-CN"/>
        </w:rPr>
        <w:t>1、交货时间：</w:t>
      </w:r>
    </w:p>
    <w:p w14:paraId="2F3E4BFA">
      <w:pPr>
        <w:pStyle w:val="2"/>
        <w:keepNext w:val="0"/>
        <w:keepLines w:val="0"/>
        <w:pageBreakBefore w:val="0"/>
        <w:wordWrap/>
        <w:overflowPunct/>
        <w:topLinePunct w:val="0"/>
        <w:bidi w:val="0"/>
        <w:spacing w:before="129" w:line="360" w:lineRule="auto"/>
        <w:ind w:firstLine="476"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合同签订之日起</w:t>
      </w:r>
      <w:r>
        <w:rPr>
          <w:rFonts w:hint="eastAsia" w:asciiTheme="minorEastAsia" w:hAnsiTheme="minorEastAsia" w:eastAsiaTheme="minorEastAsia" w:cstheme="minorEastAsia"/>
          <w:color w:val="auto"/>
          <w:spacing w:val="-1"/>
          <w:sz w:val="24"/>
          <w:szCs w:val="24"/>
          <w:lang w:val="en-US" w:eastAsia="zh-CN"/>
        </w:rPr>
        <w:t>30个日历天</w:t>
      </w:r>
      <w:r>
        <w:rPr>
          <w:rFonts w:hint="eastAsia" w:asciiTheme="minorEastAsia" w:hAnsiTheme="minorEastAsia" w:eastAsiaTheme="minorEastAsia" w:cstheme="minorEastAsia"/>
          <w:color w:val="auto"/>
          <w:spacing w:val="-1"/>
          <w:sz w:val="24"/>
          <w:szCs w:val="24"/>
          <w:lang w:eastAsia="zh-CN"/>
        </w:rPr>
        <w:t>内完成交付及验收；</w:t>
      </w:r>
    </w:p>
    <w:p w14:paraId="4E187B40">
      <w:pPr>
        <w:pStyle w:val="2"/>
        <w:keepNext w:val="0"/>
        <w:keepLines w:val="0"/>
        <w:pageBreakBefore w:val="0"/>
        <w:wordWrap/>
        <w:overflowPunct/>
        <w:topLinePunct w:val="0"/>
        <w:bidi w:val="0"/>
        <w:spacing w:before="190" w:line="360" w:lineRule="auto"/>
        <w:ind w:left="5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4"/>
          <w:sz w:val="24"/>
          <w:szCs w:val="24"/>
          <w:lang w:eastAsia="zh-CN"/>
        </w:rPr>
        <w:t>2、交货地点：采购人指定地点；</w:t>
      </w:r>
    </w:p>
    <w:p w14:paraId="73F91D9C">
      <w:pPr>
        <w:pStyle w:val="2"/>
        <w:keepNext w:val="0"/>
        <w:keepLines w:val="0"/>
        <w:pageBreakBefore w:val="0"/>
        <w:wordWrap/>
        <w:overflowPunct/>
        <w:topLinePunct w:val="0"/>
        <w:bidi w:val="0"/>
        <w:spacing w:before="181" w:line="360" w:lineRule="auto"/>
        <w:ind w:left="52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3、产品运输、保管及保险</w:t>
      </w:r>
    </w:p>
    <w:p w14:paraId="538562CD">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3.1、中标人负责产品在没有任何损坏的情况下安全运抵采购人指定的交货地点，中标人应承担由于其包装或防护措施不当而引起的产品损坏和丢失的责任或费用；</w:t>
      </w:r>
    </w:p>
    <w:p w14:paraId="77CF994F">
      <w:pPr>
        <w:pStyle w:val="2"/>
        <w:keepNext w:val="0"/>
        <w:keepLines w:val="0"/>
        <w:pageBreakBefore w:val="0"/>
        <w:wordWrap/>
        <w:overflowPunct/>
        <w:topLinePunct w:val="0"/>
        <w:bidi w:val="0"/>
        <w:spacing w:before="191" w:line="360" w:lineRule="auto"/>
        <w:ind w:left="52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3.2、中标人负责</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2"/>
          <w:sz w:val="24"/>
          <w:szCs w:val="24"/>
          <w:lang w:eastAsia="zh-CN"/>
        </w:rPr>
        <w:t>在交货地点的保管，直至</w:t>
      </w:r>
      <w:r>
        <w:rPr>
          <w:rFonts w:hint="eastAsia" w:asciiTheme="minorEastAsia" w:hAnsiTheme="minorEastAsia" w:eastAsiaTheme="minorEastAsia" w:cstheme="minorEastAsia"/>
          <w:color w:val="auto"/>
          <w:spacing w:val="-3"/>
          <w:sz w:val="24"/>
          <w:szCs w:val="24"/>
          <w:lang w:eastAsia="zh-CN"/>
        </w:rPr>
        <w:t>项目验收合格；</w:t>
      </w:r>
    </w:p>
    <w:p w14:paraId="26E824FD">
      <w:pPr>
        <w:pStyle w:val="2"/>
        <w:keepNext w:val="0"/>
        <w:keepLines w:val="0"/>
        <w:pageBreakBefore w:val="0"/>
        <w:wordWrap/>
        <w:overflowPunct/>
        <w:topLinePunct w:val="0"/>
        <w:bidi w:val="0"/>
        <w:spacing w:before="186" w:line="360" w:lineRule="auto"/>
        <w:ind w:left="44" w:right="91" w:firstLine="47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3.3、中标人应对交付的</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1"/>
          <w:sz w:val="24"/>
          <w:szCs w:val="24"/>
          <w:lang w:eastAsia="zh-CN"/>
        </w:rPr>
        <w:t>在运输、存放及交货过程中的毁损或丢失负全部责</w:t>
      </w:r>
      <w:r>
        <w:rPr>
          <w:rFonts w:hint="eastAsia" w:asciiTheme="minorEastAsia" w:hAnsiTheme="minorEastAsia" w:eastAsiaTheme="minorEastAsia" w:cstheme="minorEastAsia"/>
          <w:color w:val="auto"/>
          <w:spacing w:val="-4"/>
          <w:sz w:val="24"/>
          <w:szCs w:val="24"/>
          <w:lang w:eastAsia="zh-CN"/>
        </w:rPr>
        <w:t>任，负责其派出的交货人员的人身意外保险；</w:t>
      </w:r>
    </w:p>
    <w:p w14:paraId="62E79953">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3.4、项目交付完成后，中标人应将项目有关的全部资料，包括产品资料、技术文档等，移交给采购人。上述资料文件应编辑正确、内容充实、容易理解， 详尽描述所供产品的性能、原理、结构和尺寸， 并包括部件的型号、规格、技术参数等，保证采购人能够正确进行操作和使用。</w:t>
      </w:r>
    </w:p>
    <w:p w14:paraId="5FF7E3B7">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4、产品验收</w:t>
      </w:r>
    </w:p>
    <w:p w14:paraId="269AFBF4">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4.1、项目验收按国家、行业或企业标准等执行， 国家有强制性规定的，按国家规定执行；</w:t>
      </w:r>
    </w:p>
    <w:p w14:paraId="67027FAD">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4.2、项目验收费用由中标人承担，验收报告作为申请付款的凭证之一；</w:t>
      </w:r>
    </w:p>
    <w:p w14:paraId="23A74DF3">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4.3、验收过程中产生纠纷的， 由质量技术监督部门认定的检测机构检测,如为中标人原因造成的，由中标人承担检测费用；否则，由采购人承担；</w:t>
      </w:r>
    </w:p>
    <w:p w14:paraId="090EC681">
      <w:pPr>
        <w:pStyle w:val="2"/>
        <w:keepNext w:val="0"/>
        <w:keepLines w:val="0"/>
        <w:pageBreakBefore w:val="0"/>
        <w:wordWrap/>
        <w:overflowPunct/>
        <w:topLinePunct w:val="0"/>
        <w:bidi w:val="0"/>
        <w:spacing w:before="189" w:line="360" w:lineRule="auto"/>
        <w:ind w:left="75" w:firstLine="446"/>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4.4、项目验收不合格，由中标人负责更换等直至合格，有关更换、再行验收，以及给采购人造成的损失等费用由中标人承担。连续两次项目验收不合格的， 采购人可终止合同，由此带来的一切损失由中标人承担。</w:t>
      </w:r>
    </w:p>
    <w:p w14:paraId="252DBB13">
      <w:pPr>
        <w:pStyle w:val="2"/>
        <w:keepNext w:val="0"/>
        <w:keepLines w:val="0"/>
        <w:pageBreakBefore w:val="0"/>
        <w:wordWrap/>
        <w:overflowPunct/>
        <w:topLinePunct w:val="0"/>
        <w:bidi w:val="0"/>
        <w:spacing w:before="213" w:line="360" w:lineRule="auto"/>
        <w:ind w:left="72"/>
        <w:rPr>
          <w:rFonts w:hint="eastAsia"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三、货款支付</w:t>
      </w:r>
    </w:p>
    <w:p w14:paraId="68549001">
      <w:pPr>
        <w:pStyle w:val="9"/>
        <w:keepNext w:val="0"/>
        <w:keepLines w:val="0"/>
        <w:pageBreakBefore w:val="0"/>
        <w:kinsoku/>
        <w:wordWrap/>
        <w:overflowPunct/>
        <w:topLinePunct w:val="0"/>
        <w:autoSpaceDE/>
        <w:autoSpaceDN/>
        <w:bidi w:val="0"/>
        <w:adjustRightInd/>
        <w:snapToGrid/>
        <w:spacing w:before="0" w:beforeAutospacing="0" w:after="200" w:afterAutospacing="0" w:line="360" w:lineRule="auto"/>
        <w:ind w:firstLine="420"/>
        <w:textAlignment w:val="auto"/>
        <w:rPr>
          <w:rFonts w:hint="eastAsia" w:asciiTheme="minorEastAsia" w:hAnsiTheme="minorEastAsia" w:eastAsiaTheme="minorEastAsia" w:cstheme="minorEastAsia"/>
          <w:color w:val="auto"/>
          <w:spacing w:val="2"/>
          <w:szCs w:val="24"/>
        </w:rPr>
      </w:pPr>
      <w:r>
        <w:rPr>
          <w:rFonts w:hint="eastAsia" w:asciiTheme="minorEastAsia" w:hAnsiTheme="minorEastAsia" w:eastAsiaTheme="minorEastAsia" w:cstheme="minorEastAsia"/>
          <w:color w:val="auto"/>
          <w:spacing w:val="2"/>
          <w:szCs w:val="24"/>
        </w:rPr>
        <w:t>中标人签订合同后15个工作日内支付合同总额的20%后发货，货到验收合格之日起30个工作日内付清。</w:t>
      </w:r>
    </w:p>
    <w:p w14:paraId="4A7437E5">
      <w:pPr>
        <w:pStyle w:val="2"/>
        <w:keepNext w:val="0"/>
        <w:keepLines w:val="0"/>
        <w:pageBreakBefore w:val="0"/>
        <w:wordWrap/>
        <w:overflowPunct/>
        <w:topLinePunct w:val="0"/>
        <w:bidi w:val="0"/>
        <w:spacing w:before="213" w:line="360" w:lineRule="auto"/>
        <w:ind w:left="7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8"/>
          <w:sz w:val="24"/>
          <w:szCs w:val="24"/>
          <w:lang w:eastAsia="zh-CN"/>
        </w:rPr>
        <w:t>四、售后服务要求</w:t>
      </w:r>
    </w:p>
    <w:p w14:paraId="01164186">
      <w:pPr>
        <w:pStyle w:val="2"/>
        <w:keepNext w:val="0"/>
        <w:keepLines w:val="0"/>
        <w:pageBreakBefore w:val="0"/>
        <w:wordWrap/>
        <w:overflowPunct/>
        <w:topLinePunct w:val="0"/>
        <w:bidi w:val="0"/>
        <w:spacing w:before="130" w:line="360" w:lineRule="auto"/>
        <w:ind w:left="45" w:right="29" w:firstLine="48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1、投标人应提供及时周到的售后服务，并负</w:t>
      </w:r>
      <w:r>
        <w:rPr>
          <w:rFonts w:hint="eastAsia" w:asciiTheme="minorEastAsia" w:hAnsiTheme="minorEastAsia" w:eastAsiaTheme="minorEastAsia" w:cstheme="minorEastAsia"/>
          <w:color w:val="auto"/>
          <w:spacing w:val="1"/>
          <w:sz w:val="24"/>
          <w:szCs w:val="24"/>
          <w:lang w:eastAsia="zh-CN"/>
        </w:rPr>
        <w:t>责对使用人员、维护人员等进行相</w:t>
      </w:r>
      <w:r>
        <w:rPr>
          <w:rFonts w:hint="eastAsia" w:asciiTheme="minorEastAsia" w:hAnsiTheme="minorEastAsia" w:eastAsiaTheme="minorEastAsia" w:cstheme="minorEastAsia"/>
          <w:color w:val="auto"/>
          <w:spacing w:val="-2"/>
          <w:sz w:val="24"/>
          <w:szCs w:val="24"/>
          <w:lang w:eastAsia="zh-CN"/>
        </w:rPr>
        <w:t>关培训。若产品出现任何质量问题，中标人须在1小时内作出响应，4小时内到达现场并解决问题，不能在规定时间内修好的要免费提供备品（机）备件。</w:t>
      </w:r>
    </w:p>
    <w:p w14:paraId="11880274">
      <w:pPr>
        <w:pStyle w:val="2"/>
        <w:keepNext w:val="0"/>
        <w:keepLines w:val="0"/>
        <w:pageBreakBefore w:val="0"/>
        <w:wordWrap/>
        <w:overflowPunct/>
        <w:topLinePunct w:val="0"/>
        <w:bidi w:val="0"/>
        <w:spacing w:before="216" w:line="360" w:lineRule="auto"/>
        <w:ind w:left="46" w:right="113" w:firstLine="474"/>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2、对于一些重大故障，如中标人不能在承诺的时</w:t>
      </w:r>
      <w:r>
        <w:rPr>
          <w:rFonts w:hint="eastAsia" w:asciiTheme="minorEastAsia" w:hAnsiTheme="minorEastAsia" w:eastAsiaTheme="minorEastAsia" w:cstheme="minorEastAsia"/>
          <w:color w:val="auto"/>
          <w:spacing w:val="-1"/>
          <w:sz w:val="24"/>
          <w:szCs w:val="24"/>
          <w:lang w:eastAsia="zh-CN"/>
        </w:rPr>
        <w:t>间内修复故障，采购人有权请</w:t>
      </w:r>
      <w:r>
        <w:rPr>
          <w:rFonts w:hint="eastAsia" w:asciiTheme="minorEastAsia" w:hAnsiTheme="minorEastAsia" w:eastAsiaTheme="minorEastAsia" w:cstheme="minorEastAsia"/>
          <w:color w:val="auto"/>
          <w:spacing w:val="-2"/>
          <w:sz w:val="24"/>
          <w:szCs w:val="24"/>
          <w:lang w:eastAsia="zh-CN"/>
        </w:rPr>
        <w:t>其他第三方专业服务公司进行维修，该费用由中标人承担。</w:t>
      </w:r>
    </w:p>
    <w:p w14:paraId="00F11E37">
      <w:pPr>
        <w:pStyle w:val="2"/>
        <w:keepNext w:val="0"/>
        <w:keepLines w:val="0"/>
        <w:pageBreakBefore w:val="0"/>
        <w:wordWrap/>
        <w:overflowPunct/>
        <w:topLinePunct w:val="0"/>
        <w:bidi w:val="0"/>
        <w:spacing w:before="159" w:line="360" w:lineRule="auto"/>
        <w:ind w:left="43" w:right="131" w:firstLine="478"/>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3、质保期：质保期为一年。质保期按国家三包法的规定为准。质保期内，整车和所有配件的维</w:t>
      </w:r>
      <w:r>
        <w:rPr>
          <w:rFonts w:hint="eastAsia" w:asciiTheme="minorEastAsia" w:hAnsiTheme="minorEastAsia" w:eastAsiaTheme="minorEastAsia" w:cstheme="minorEastAsia"/>
          <w:color w:val="auto"/>
          <w:spacing w:val="-3"/>
          <w:sz w:val="24"/>
          <w:szCs w:val="24"/>
          <w:lang w:eastAsia="zh-CN"/>
        </w:rPr>
        <w:t>修、维护服务不得收取任何额外的费用。</w:t>
      </w:r>
    </w:p>
    <w:p w14:paraId="460223A5">
      <w:pPr>
        <w:pStyle w:val="2"/>
        <w:keepNext w:val="0"/>
        <w:keepLines w:val="0"/>
        <w:pageBreakBefore w:val="0"/>
        <w:wordWrap/>
        <w:overflowPunct/>
        <w:topLinePunct w:val="0"/>
        <w:bidi w:val="0"/>
        <w:spacing w:before="160" w:line="360" w:lineRule="auto"/>
        <w:ind w:left="48"/>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6"/>
          <w:sz w:val="24"/>
          <w:szCs w:val="24"/>
          <w:lang w:eastAsia="zh-CN"/>
        </w:rPr>
        <w:t>五、质量要求</w:t>
      </w:r>
    </w:p>
    <w:p w14:paraId="1BAB90BA">
      <w:pPr>
        <w:pStyle w:val="2"/>
        <w:keepNext w:val="0"/>
        <w:keepLines w:val="0"/>
        <w:pageBreakBefore w:val="0"/>
        <w:wordWrap/>
        <w:overflowPunct/>
        <w:topLinePunct w:val="0"/>
        <w:bidi w:val="0"/>
        <w:spacing w:before="153" w:line="360" w:lineRule="auto"/>
        <w:ind w:left="46" w:right="131" w:firstLine="488"/>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1、中标人应保证合同项目下所供</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1"/>
          <w:sz w:val="24"/>
          <w:szCs w:val="24"/>
          <w:lang w:eastAsia="zh-CN"/>
        </w:rPr>
        <w:t>是全新的、未使用</w:t>
      </w:r>
      <w:r>
        <w:rPr>
          <w:rFonts w:hint="eastAsia" w:asciiTheme="minorEastAsia" w:hAnsiTheme="minorEastAsia" w:eastAsiaTheme="minorEastAsia" w:cstheme="minorEastAsia"/>
          <w:color w:val="auto"/>
          <w:spacing w:val="-2"/>
          <w:sz w:val="24"/>
          <w:szCs w:val="24"/>
          <w:lang w:eastAsia="zh-CN"/>
        </w:rPr>
        <w:t>过的，并完全符合国家相关标准和合同规定的质量、规格、性能和技术规范等的要求，</w:t>
      </w:r>
      <w:r>
        <w:rPr>
          <w:rFonts w:hint="eastAsia" w:asciiTheme="minorEastAsia" w:hAnsiTheme="minorEastAsia" w:eastAsiaTheme="minorEastAsia" w:cstheme="minorEastAsia"/>
          <w:color w:val="auto"/>
          <w:spacing w:val="-2"/>
          <w:sz w:val="24"/>
          <w:szCs w:val="24"/>
          <w:lang w:val="en-US" w:eastAsia="zh-CN"/>
        </w:rPr>
        <w:t>具有合格证书</w:t>
      </w:r>
      <w:r>
        <w:rPr>
          <w:rFonts w:hint="eastAsia" w:asciiTheme="minorEastAsia" w:hAnsiTheme="minorEastAsia" w:eastAsiaTheme="minorEastAsia" w:cstheme="minorEastAsia"/>
          <w:color w:val="auto"/>
          <w:spacing w:val="-2"/>
          <w:sz w:val="24"/>
          <w:szCs w:val="24"/>
          <w:lang w:eastAsia="zh-CN"/>
        </w:rPr>
        <w:t>。</w:t>
      </w:r>
    </w:p>
    <w:p w14:paraId="611EF059">
      <w:pPr>
        <w:pStyle w:val="2"/>
        <w:keepNext w:val="0"/>
        <w:keepLines w:val="0"/>
        <w:pageBreakBefore w:val="0"/>
        <w:wordWrap/>
        <w:overflowPunct/>
        <w:topLinePunct w:val="0"/>
        <w:bidi w:val="0"/>
        <w:spacing w:before="159" w:line="360" w:lineRule="auto"/>
        <w:ind w:left="44" w:right="27" w:firstLine="47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2、中标人所提供的</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1"/>
          <w:sz w:val="24"/>
          <w:szCs w:val="24"/>
          <w:lang w:eastAsia="zh-CN"/>
        </w:rPr>
        <w:t>送达现场后，如采购人发现有任何问题（如外观有损伤</w:t>
      </w:r>
      <w:r>
        <w:rPr>
          <w:rFonts w:hint="eastAsia" w:asciiTheme="minorEastAsia" w:hAnsiTheme="minorEastAsia" w:eastAsiaTheme="minorEastAsia" w:cstheme="minorEastAsia"/>
          <w:color w:val="auto"/>
          <w:spacing w:val="-2"/>
          <w:sz w:val="24"/>
          <w:szCs w:val="24"/>
          <w:lang w:eastAsia="zh-CN"/>
        </w:rPr>
        <w:t>等</w:t>
      </w:r>
      <w:r>
        <w:rPr>
          <w:rFonts w:hint="eastAsia" w:asciiTheme="minorEastAsia" w:hAnsiTheme="minorEastAsia" w:eastAsiaTheme="minorEastAsia" w:cstheme="minorEastAsia"/>
          <w:color w:val="auto"/>
          <w:spacing w:val="9"/>
          <w:sz w:val="24"/>
          <w:szCs w:val="24"/>
          <w:lang w:eastAsia="zh-CN"/>
        </w:rPr>
        <w:t>），</w:t>
      </w:r>
      <w:r>
        <w:rPr>
          <w:rFonts w:hint="eastAsia" w:asciiTheme="minorEastAsia" w:hAnsiTheme="minorEastAsia" w:eastAsiaTheme="minorEastAsia" w:cstheme="minorEastAsia"/>
          <w:color w:val="auto"/>
          <w:spacing w:val="-2"/>
          <w:sz w:val="24"/>
          <w:szCs w:val="24"/>
          <w:lang w:eastAsia="zh-CN"/>
        </w:rPr>
        <w:t>中标人必须立即以同样型号的</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2"/>
          <w:sz w:val="24"/>
          <w:szCs w:val="24"/>
          <w:lang w:eastAsia="zh-CN"/>
        </w:rPr>
        <w:t>在采购人规定的时间内更换，确保其正常使</w:t>
      </w:r>
      <w:r>
        <w:rPr>
          <w:rFonts w:hint="eastAsia" w:asciiTheme="minorEastAsia" w:hAnsiTheme="minorEastAsia" w:eastAsiaTheme="minorEastAsia" w:cstheme="minorEastAsia"/>
          <w:color w:val="auto"/>
          <w:spacing w:val="-12"/>
          <w:sz w:val="24"/>
          <w:szCs w:val="24"/>
          <w:lang w:eastAsia="zh-CN"/>
        </w:rPr>
        <w:t>用。</w:t>
      </w:r>
    </w:p>
    <w:p w14:paraId="7558A005">
      <w:pPr>
        <w:pStyle w:val="2"/>
        <w:keepNext w:val="0"/>
        <w:keepLines w:val="0"/>
        <w:pageBreakBefore w:val="0"/>
        <w:wordWrap/>
        <w:overflowPunct/>
        <w:topLinePunct w:val="0"/>
        <w:bidi w:val="0"/>
        <w:spacing w:before="157" w:line="360" w:lineRule="auto"/>
        <w:ind w:left="52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3、所有</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2"/>
          <w:sz w:val="24"/>
          <w:szCs w:val="24"/>
          <w:lang w:eastAsia="zh-CN"/>
        </w:rPr>
        <w:t>须满足国家及行业对节能、环保、质量方面的要求。</w:t>
      </w:r>
    </w:p>
    <w:p w14:paraId="178EBED3">
      <w:pPr>
        <w:pStyle w:val="2"/>
        <w:keepNext w:val="0"/>
        <w:keepLines w:val="0"/>
        <w:pageBreakBefore w:val="0"/>
        <w:numPr>
          <w:ilvl w:val="0"/>
          <w:numId w:val="1"/>
        </w:numPr>
        <w:wordWrap/>
        <w:overflowPunct/>
        <w:topLinePunct w:val="0"/>
        <w:bidi w:val="0"/>
        <w:spacing w:before="78" w:line="360" w:lineRule="auto"/>
        <w:ind w:left="46" w:right="27" w:firstLine="470"/>
        <w:jc w:val="both"/>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1"/>
          <w:sz w:val="24"/>
          <w:szCs w:val="24"/>
          <w:lang w:eastAsia="zh-CN"/>
        </w:rPr>
        <w:t>中标人须保障采购人在使用该</w:t>
      </w:r>
      <w:r>
        <w:rPr>
          <w:rFonts w:hint="eastAsia" w:asciiTheme="minorEastAsia" w:hAnsiTheme="minorEastAsia" w:eastAsiaTheme="minorEastAsia" w:cstheme="minorEastAsia"/>
          <w:color w:val="auto"/>
          <w:spacing w:val="-3"/>
          <w:sz w:val="24"/>
          <w:szCs w:val="24"/>
          <w:lang w:eastAsia="zh-CN"/>
        </w:rPr>
        <w:t>产品</w:t>
      </w:r>
      <w:r>
        <w:rPr>
          <w:rFonts w:hint="eastAsia" w:asciiTheme="minorEastAsia" w:hAnsiTheme="minorEastAsia" w:eastAsiaTheme="minorEastAsia" w:cstheme="minorEastAsia"/>
          <w:color w:val="auto"/>
          <w:spacing w:val="-1"/>
          <w:sz w:val="24"/>
          <w:szCs w:val="24"/>
          <w:lang w:eastAsia="zh-CN"/>
        </w:rPr>
        <w:t>时不受到第三方关于侵犯专利权、商标权</w:t>
      </w:r>
      <w:r>
        <w:rPr>
          <w:rFonts w:hint="eastAsia" w:asciiTheme="minorEastAsia" w:hAnsiTheme="minorEastAsia" w:eastAsiaTheme="minorEastAsia" w:cstheme="minorEastAsia"/>
          <w:color w:val="auto"/>
          <w:spacing w:val="-7"/>
          <w:sz w:val="24"/>
          <w:szCs w:val="24"/>
          <w:lang w:eastAsia="zh-CN"/>
        </w:rPr>
        <w:t>或工业设计权的指控。如果任何第三方提出侵权指控，中标人须与第三方交涉，并承</w:t>
      </w:r>
      <w:r>
        <w:rPr>
          <w:rFonts w:hint="eastAsia" w:asciiTheme="minorEastAsia" w:hAnsiTheme="minorEastAsia" w:eastAsiaTheme="minorEastAsia" w:cstheme="minorEastAsia"/>
          <w:color w:val="auto"/>
          <w:spacing w:val="-1"/>
          <w:sz w:val="24"/>
          <w:szCs w:val="24"/>
          <w:lang w:eastAsia="zh-CN"/>
        </w:rPr>
        <w:t>担由此而产生的索赔、损失、损害、支出等一切</w:t>
      </w:r>
      <w:r>
        <w:rPr>
          <w:rFonts w:hint="eastAsia" w:asciiTheme="minorEastAsia" w:hAnsiTheme="minorEastAsia" w:eastAsiaTheme="minorEastAsia" w:cstheme="minorEastAsia"/>
          <w:color w:val="auto"/>
          <w:spacing w:val="-2"/>
          <w:sz w:val="24"/>
          <w:szCs w:val="24"/>
          <w:lang w:eastAsia="zh-CN"/>
        </w:rPr>
        <w:t>费用（含律师费）。如采购人因此而</w:t>
      </w:r>
      <w:r>
        <w:rPr>
          <w:rFonts w:hint="eastAsia" w:asciiTheme="minorEastAsia" w:hAnsiTheme="minorEastAsia" w:eastAsiaTheme="minorEastAsia" w:cstheme="minorEastAsia"/>
          <w:color w:val="auto"/>
          <w:spacing w:val="-3"/>
          <w:sz w:val="24"/>
          <w:szCs w:val="24"/>
          <w:lang w:eastAsia="zh-CN"/>
        </w:rPr>
        <w:t>遭致损失的，中标人应赔偿该损失。</w:t>
      </w:r>
    </w:p>
    <w:p w14:paraId="60CA8B34">
      <w:pPr>
        <w:pStyle w:val="2"/>
        <w:keepNext w:val="0"/>
        <w:keepLines w:val="0"/>
        <w:pageBreakBefore w:val="0"/>
        <w:wordWrap/>
        <w:overflowPunct/>
        <w:topLinePunct w:val="0"/>
        <w:bidi w:val="0"/>
        <w:spacing w:before="160" w:line="360" w:lineRule="auto"/>
        <w:ind w:left="48"/>
        <w:rPr>
          <w:rFonts w:hint="eastAsia" w:asciiTheme="minorEastAsia" w:hAnsiTheme="minorEastAsia" w:eastAsiaTheme="minorEastAsia" w:cstheme="minorEastAsia"/>
          <w:b/>
          <w:bCs/>
          <w:color w:val="auto"/>
          <w:spacing w:val="-6"/>
          <w:sz w:val="24"/>
          <w:szCs w:val="24"/>
          <w:lang w:eastAsia="zh-CN"/>
        </w:rPr>
      </w:pPr>
      <w:r>
        <w:rPr>
          <w:rFonts w:hint="eastAsia" w:asciiTheme="minorEastAsia" w:hAnsiTheme="minorEastAsia" w:eastAsiaTheme="minorEastAsia" w:cstheme="minorEastAsia"/>
          <w:b/>
          <w:bCs/>
          <w:color w:val="auto"/>
          <w:spacing w:val="-6"/>
          <w:sz w:val="24"/>
          <w:szCs w:val="24"/>
          <w:lang w:eastAsia="zh-CN"/>
        </w:rPr>
        <w:t>六、履约担保</w:t>
      </w:r>
    </w:p>
    <w:p w14:paraId="3047980A">
      <w:pPr>
        <w:pStyle w:val="2"/>
        <w:keepNext w:val="0"/>
        <w:keepLines w:val="0"/>
        <w:pageBreakBefore w:val="0"/>
        <w:wordWrap/>
        <w:overflowPunct/>
        <w:topLinePunct w:val="0"/>
        <w:bidi w:val="0"/>
        <w:spacing w:before="78" w:line="360" w:lineRule="auto"/>
        <w:ind w:right="27"/>
        <w:jc w:val="both"/>
        <w:rPr>
          <w:rFonts w:hint="eastAsia" w:asciiTheme="minorEastAsia" w:hAnsiTheme="minorEastAsia" w:eastAsiaTheme="minorEastAsia" w:cstheme="minorEastAsia"/>
          <w:color w:val="FF0000"/>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 xml:space="preserve">    中标人应在签订合同后10日内提供合同金额10%的履约保证金，履约保证金形式可以是现金或转账，也可用保函、电子增信替代履约担保。</w:t>
      </w:r>
    </w:p>
    <w:p w14:paraId="1F100F4C">
      <w:pPr>
        <w:pStyle w:val="2"/>
        <w:keepNext w:val="0"/>
        <w:keepLines w:val="0"/>
        <w:pageBreakBefore w:val="0"/>
        <w:wordWrap/>
        <w:overflowPunct/>
        <w:topLinePunct w:val="0"/>
        <w:bidi w:val="0"/>
        <w:spacing w:line="360" w:lineRule="auto"/>
        <w:ind w:left="46"/>
        <w:rPr>
          <w:rFonts w:hint="eastAsia"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b/>
          <w:bCs/>
          <w:color w:val="auto"/>
          <w:spacing w:val="-4"/>
          <w:sz w:val="24"/>
          <w:szCs w:val="24"/>
          <w:lang w:eastAsia="zh-CN"/>
        </w:rPr>
        <w:t>七、其他要求及说明</w:t>
      </w:r>
    </w:p>
    <w:p w14:paraId="7EB2D00A">
      <w:pPr>
        <w:pStyle w:val="2"/>
        <w:keepNext w:val="0"/>
        <w:keepLines w:val="0"/>
        <w:pageBreakBefore w:val="0"/>
        <w:wordWrap/>
        <w:overflowPunct/>
        <w:topLinePunct w:val="0"/>
        <w:bidi w:val="0"/>
        <w:spacing w:before="78" w:line="360" w:lineRule="auto"/>
        <w:ind w:left="46" w:right="27" w:firstLine="470"/>
        <w:jc w:val="both"/>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1、投标人在投标时须明确所投车辆的生产厂家、品牌、型号、规格、尺寸及一些必须说明的技术参数及图片资料（仅需2张正面、侧面外观照片），并提供详细的技术参数、性能说明书或整车检验报告。</w:t>
      </w:r>
    </w:p>
    <w:p w14:paraId="67C876BC">
      <w:pPr>
        <w:pStyle w:val="2"/>
        <w:keepNext w:val="0"/>
        <w:keepLines w:val="0"/>
        <w:pageBreakBefore w:val="0"/>
        <w:wordWrap/>
        <w:overflowPunct/>
        <w:topLinePunct w:val="0"/>
        <w:bidi w:val="0"/>
        <w:spacing w:before="78" w:line="360" w:lineRule="auto"/>
        <w:ind w:left="46" w:right="27" w:firstLine="470"/>
        <w:jc w:val="both"/>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2、投标人承诺能够提供公安和车辆管理部门落户上牌所需要的一切资料，确保所投车辆能够在使用地上牌。</w:t>
      </w:r>
    </w:p>
    <w:p w14:paraId="62A01ECB">
      <w:bookmarkStart w:id="3" w:name="_GoBack"/>
      <w:bookmarkEnd w:id="3"/>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5CE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055082"/>
    <w:multiLevelType w:val="singleLevel"/>
    <w:tmpl w:val="64055082"/>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5251D"/>
    <w:rsid w:val="383E701F"/>
    <w:rsid w:val="3E1A1FDF"/>
    <w:rsid w:val="42670FE7"/>
    <w:rsid w:val="59C05B2B"/>
    <w:rsid w:val="5B36198A"/>
    <w:rsid w:val="6C3878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0"/>
    <w:pPr>
      <w:keepNext/>
      <w:keepLines/>
      <w:spacing w:before="120" w:beforeLines="0" w:beforeAutospacing="0" w:after="120" w:afterLines="0" w:afterAutospacing="0" w:line="360" w:lineRule="auto"/>
      <w:jc w:val="center"/>
      <w:outlineLvl w:val="0"/>
    </w:pPr>
    <w:rPr>
      <w:rFonts w:ascii="Arial" w:hAnsi="Arial" w:eastAsia="宋体"/>
      <w:b/>
      <w:kern w:val="44"/>
      <w:sz w:val="36"/>
    </w:rPr>
  </w:style>
  <w:style w:type="paragraph" w:styleId="5">
    <w:name w:val="heading 2"/>
    <w:basedOn w:val="1"/>
    <w:next w:val="1"/>
    <w:unhideWhenUsed/>
    <w:qFormat/>
    <w:uiPriority w:val="0"/>
    <w:pPr>
      <w:keepNext/>
      <w:keepLines/>
      <w:spacing w:before="140" w:beforeLines="0" w:beforeAutospacing="0" w:after="140" w:afterLines="0" w:afterAutospacing="0" w:line="360" w:lineRule="auto"/>
      <w:jc w:val="center"/>
      <w:outlineLvl w:val="1"/>
    </w:pPr>
    <w:rPr>
      <w:rFonts w:ascii="Arial" w:hAnsi="Arial" w:eastAsia="宋体"/>
      <w:b/>
      <w:sz w:val="30"/>
    </w:rPr>
  </w:style>
  <w:style w:type="paragraph" w:styleId="6">
    <w:name w:val="heading 3"/>
    <w:basedOn w:val="1"/>
    <w:next w:val="1"/>
    <w:unhideWhenUsed/>
    <w:qFormat/>
    <w:uiPriority w:val="0"/>
    <w:pPr>
      <w:keepNext/>
      <w:keepLines/>
      <w:spacing w:before="140" w:beforeLines="0" w:beforeAutospacing="0" w:after="140" w:afterLines="0" w:afterAutospacing="0" w:line="360" w:lineRule="auto"/>
      <w:outlineLvl w:val="2"/>
    </w:pPr>
    <w:rPr>
      <w:rFonts w:ascii="Arial" w:hAnsi="Arial" w:eastAsia="宋体"/>
      <w:b/>
      <w:sz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2"/>
      <w:szCs w:val="32"/>
      <w:lang w:val="en-US" w:eastAsia="en-US" w:bidi="ar-SA"/>
    </w:rPr>
  </w:style>
  <w:style w:type="paragraph" w:styleId="3">
    <w:name w:val="Body Text 2"/>
    <w:basedOn w:val="1"/>
    <w:qFormat/>
    <w:uiPriority w:val="0"/>
    <w:pPr>
      <w:spacing w:after="120" w:line="480" w:lineRule="auto"/>
    </w:p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eastAsia="宋体"/>
      <w:kern w:val="0"/>
      <w:sz w:val="20"/>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2"/>
    <w:next w:val="11"/>
    <w:qFormat/>
    <w:uiPriority w:val="0"/>
    <w:pPr>
      <w:tabs>
        <w:tab w:val="left" w:pos="567"/>
      </w:tabs>
      <w:spacing w:before="0" w:after="120" w:line="240" w:lineRule="auto"/>
      <w:ind w:firstLine="420" w:firstLineChars="100"/>
    </w:pPr>
    <w:rPr>
      <w:rFonts w:ascii="Times New Roman" w:hAnsi="Times New Roman"/>
      <w:sz w:val="21"/>
    </w:rPr>
  </w:style>
  <w:style w:type="paragraph" w:styleId="11">
    <w:name w:val="Body Text First Indent 2"/>
    <w:basedOn w:val="7"/>
    <w:qFormat/>
    <w:uiPriority w:val="0"/>
    <w:pPr>
      <w:spacing w:after="120" w:line="240" w:lineRule="auto"/>
      <w:ind w:left="420" w:leftChars="200" w:firstLine="420" w:firstLineChars="200"/>
    </w:pPr>
    <w:rPr>
      <w:sz w:val="21"/>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2066</Words>
  <Characters>2522</Characters>
  <Lines>0</Lines>
  <Paragraphs>0</Paragraphs>
  <TotalTime>0</TotalTime>
  <ScaleCrop>false</ScaleCrop>
  <LinksUpToDate>false</LinksUpToDate>
  <CharactersWithSpaces>2575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dcterms:modified xsi:type="dcterms:W3CDTF">2026-09-03T06:59:19Z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eyJoZGlkIjoiNDZkMDUzMmJkOTA0MWIwM2FmNGJjZjcyMjk4NzU2NjEiLCJ1c2VySWQiOiI5NDQwNTA0NTEifQ==</vt:lpwstr>
  </property>
  <property fmtid="{D5CDD505-2E9C-101B-9397-08002B2CF9AE}" pid="4" name="ICV">
    <vt:lpwstr>864B69D512A94EEDBC22FBB3408B7A0C_12</vt:lpwstr>
  </property>
</Properties>
</file>