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9BF216">
      <w:pPr>
        <w:pStyle w:val="2"/>
        <w:spacing w:before="120" w:beforeLines="50" w:after="120" w:afterLines="50" w:line="360" w:lineRule="auto"/>
        <w:rPr>
          <w:rFonts w:hint="eastAsia" w:ascii="宋体" w:hAnsi="宋体" w:eastAsia="宋体" w:cs="宋体"/>
          <w:color w:val="auto"/>
          <w:sz w:val="32"/>
          <w:szCs w:val="32"/>
        </w:rPr>
      </w:pPr>
      <w:r>
        <w:rPr>
          <w:rFonts w:hint="eastAsia" w:ascii="宋体" w:hAnsi="宋体" w:eastAsia="宋体" w:cs="宋体"/>
          <w:color w:val="auto"/>
          <w:sz w:val="32"/>
          <w:szCs w:val="22"/>
          <w:highlight w:val="white"/>
        </w:rPr>
        <w:t>采购需求</w:t>
      </w:r>
    </w:p>
    <w:p w14:paraId="2C4FFD9C">
      <w:pPr>
        <w:pStyle w:val="6"/>
        <w:widowControl/>
        <w:spacing w:before="120" w:beforeLines="50" w:after="120" w:afterLines="50" w:line="360" w:lineRule="auto"/>
        <w:jc w:val="center"/>
        <w:rPr>
          <w:rStyle w:val="5"/>
          <w:rFonts w:hint="eastAsia" w:ascii="宋体" w:hAnsi="宋体" w:eastAsia="宋体" w:cs="宋体"/>
          <w:b/>
          <w:bCs/>
          <w:color w:val="auto"/>
          <w:kern w:val="0"/>
          <w:sz w:val="28"/>
          <w:szCs w:val="28"/>
        </w:rPr>
      </w:pPr>
      <w:r>
        <w:rPr>
          <w:rStyle w:val="5"/>
          <w:rFonts w:hint="eastAsia" w:ascii="宋体" w:hAnsi="宋体" w:eastAsia="宋体" w:cs="宋体"/>
          <w:b/>
          <w:bCs/>
          <w:color w:val="auto"/>
          <w:spacing w:val="30"/>
          <w:kern w:val="0"/>
          <w:sz w:val="28"/>
          <w:szCs w:val="28"/>
        </w:rPr>
        <w:t>第一节 技术要求</w:t>
      </w:r>
    </w:p>
    <w:p w14:paraId="38D7CE5B">
      <w:pPr>
        <w:pStyle w:val="6"/>
        <w:keepNext w:val="0"/>
        <w:keepLines w:val="0"/>
        <w:pageBreakBefore w:val="0"/>
        <w:widowControl w:val="0"/>
        <w:numPr>
          <w:ilvl w:val="0"/>
          <w:numId w:val="0"/>
        </w:numPr>
        <w:kinsoku/>
        <w:wordWrap w:val="0"/>
        <w:overflowPunct w:val="0"/>
        <w:topLinePunct w:val="0"/>
        <w:autoSpaceDE/>
        <w:autoSpaceDN/>
        <w:bidi w:val="0"/>
        <w:adjustRightInd/>
        <w:snapToGrid/>
        <w:spacing w:line="360" w:lineRule="auto"/>
        <w:jc w:val="left"/>
        <w:textAlignment w:val="auto"/>
        <w:rPr>
          <w:rStyle w:val="8"/>
          <w:rFonts w:hint="eastAsia" w:ascii="宋体" w:hAnsi="宋体" w:eastAsia="宋体" w:cs="宋体"/>
          <w:b w:val="0"/>
          <w:bCs w:val="0"/>
          <w:color w:val="auto"/>
          <w:sz w:val="21"/>
          <w:szCs w:val="21"/>
        </w:rPr>
      </w:pPr>
      <w:r>
        <w:rPr>
          <w:rStyle w:val="8"/>
          <w:rFonts w:hint="eastAsia" w:ascii="宋体" w:hAnsi="宋体" w:eastAsia="宋体" w:cs="宋体"/>
          <w:b w:val="0"/>
          <w:bCs w:val="0"/>
          <w:color w:val="auto"/>
          <w:sz w:val="21"/>
          <w:szCs w:val="21"/>
          <w:lang w:val="en-US" w:eastAsia="zh-CN"/>
        </w:rPr>
        <w:t>一、</w:t>
      </w:r>
      <w:r>
        <w:rPr>
          <w:rStyle w:val="8"/>
          <w:rFonts w:hint="eastAsia" w:ascii="宋体" w:hAnsi="宋体" w:eastAsia="宋体" w:cs="宋体"/>
          <w:b w:val="0"/>
          <w:bCs w:val="0"/>
          <w:color w:val="auto"/>
          <w:sz w:val="21"/>
          <w:szCs w:val="21"/>
        </w:rPr>
        <w:t>采购项目名称：</w:t>
      </w:r>
      <w:r>
        <w:rPr>
          <w:rStyle w:val="8"/>
          <w:rFonts w:hint="eastAsia" w:ascii="宋体" w:hAnsi="宋体" w:eastAsia="宋体" w:cs="宋体"/>
          <w:b w:val="0"/>
          <w:bCs w:val="0"/>
          <w:color w:val="auto"/>
          <w:sz w:val="21"/>
          <w:szCs w:val="21"/>
          <w:lang w:eastAsia="zh-CN"/>
        </w:rPr>
        <w:t>雁峰区天马山小型消防站建设项目</w:t>
      </w:r>
    </w:p>
    <w:p w14:paraId="5A7DEC9C">
      <w:pPr>
        <w:pStyle w:val="6"/>
        <w:keepNext w:val="0"/>
        <w:keepLines w:val="0"/>
        <w:pageBreakBefore w:val="0"/>
        <w:widowControl w:val="0"/>
        <w:numPr>
          <w:ilvl w:val="0"/>
          <w:numId w:val="0"/>
        </w:numPr>
        <w:kinsoku/>
        <w:wordWrap w:val="0"/>
        <w:overflowPunct w:val="0"/>
        <w:topLinePunct w:val="0"/>
        <w:autoSpaceDE/>
        <w:autoSpaceDN/>
        <w:bidi w:val="0"/>
        <w:adjustRightInd/>
        <w:snapToGrid/>
        <w:spacing w:line="360" w:lineRule="auto"/>
        <w:textAlignment w:val="auto"/>
        <w:rPr>
          <w:rStyle w:val="5"/>
          <w:rFonts w:hint="eastAsia" w:ascii="宋体" w:hAnsi="宋体" w:eastAsia="宋体" w:cs="宋体"/>
          <w:b w:val="0"/>
          <w:bCs w:val="0"/>
          <w:color w:val="auto"/>
          <w:sz w:val="21"/>
          <w:szCs w:val="21"/>
          <w:lang w:val="en-US" w:eastAsia="zh-CN"/>
        </w:rPr>
      </w:pPr>
      <w:r>
        <w:rPr>
          <w:rStyle w:val="8"/>
          <w:rFonts w:hint="eastAsia" w:ascii="宋体" w:hAnsi="宋体" w:eastAsia="宋体" w:cs="宋体"/>
          <w:b w:val="0"/>
          <w:bCs w:val="0"/>
          <w:color w:val="auto"/>
          <w:sz w:val="21"/>
          <w:szCs w:val="21"/>
          <w:lang w:val="en-US" w:eastAsia="zh-CN"/>
        </w:rPr>
        <w:t>二、</w:t>
      </w:r>
      <w:r>
        <w:rPr>
          <w:rStyle w:val="8"/>
          <w:rFonts w:hint="eastAsia" w:ascii="宋体" w:hAnsi="宋体" w:eastAsia="宋体" w:cs="宋体"/>
          <w:b w:val="0"/>
          <w:bCs w:val="0"/>
          <w:color w:val="auto"/>
          <w:sz w:val="21"/>
          <w:szCs w:val="21"/>
        </w:rPr>
        <w:t>采购</w:t>
      </w:r>
      <w:r>
        <w:rPr>
          <w:rStyle w:val="8"/>
          <w:rFonts w:hint="eastAsia" w:ascii="宋体" w:hAnsi="宋体" w:eastAsia="宋体" w:cs="宋体"/>
          <w:b w:val="0"/>
          <w:bCs w:val="0"/>
          <w:color w:val="auto"/>
          <w:sz w:val="21"/>
          <w:szCs w:val="21"/>
          <w:lang w:eastAsia="zh-CN"/>
        </w:rPr>
        <w:t>预算</w:t>
      </w:r>
      <w:r>
        <w:rPr>
          <w:rStyle w:val="8"/>
          <w:rFonts w:hint="eastAsia" w:ascii="宋体" w:hAnsi="宋体" w:eastAsia="宋体" w:cs="宋体"/>
          <w:b w:val="0"/>
          <w:bCs w:val="0"/>
          <w:color w:val="auto"/>
          <w:sz w:val="21"/>
          <w:szCs w:val="21"/>
        </w:rPr>
        <w:t>：</w:t>
      </w:r>
      <w:r>
        <w:rPr>
          <w:rStyle w:val="5"/>
          <w:rFonts w:hint="eastAsia" w:ascii="宋体" w:hAnsi="宋体" w:eastAsia="宋体" w:cs="宋体"/>
          <w:b w:val="0"/>
          <w:bCs/>
          <w:color w:val="auto"/>
          <w:sz w:val="21"/>
          <w:szCs w:val="21"/>
          <w:lang w:val="en-US" w:eastAsia="zh-CN"/>
        </w:rPr>
        <w:t>2362656.44元</w:t>
      </w:r>
    </w:p>
    <w:p w14:paraId="3A9BAA61">
      <w:pPr>
        <w:pStyle w:val="6"/>
        <w:keepNext w:val="0"/>
        <w:keepLines w:val="0"/>
        <w:pageBreakBefore w:val="0"/>
        <w:widowControl w:val="0"/>
        <w:kinsoku/>
        <w:wordWrap w:val="0"/>
        <w:overflowPunct w:val="0"/>
        <w:topLinePunct w:val="0"/>
        <w:autoSpaceDE/>
        <w:autoSpaceDN/>
        <w:bidi w:val="0"/>
        <w:adjustRightInd/>
        <w:snapToGrid/>
        <w:spacing w:line="360" w:lineRule="auto"/>
        <w:textAlignment w:val="auto"/>
        <w:rPr>
          <w:rStyle w:val="8"/>
          <w:rFonts w:hint="eastAsia" w:ascii="宋体" w:hAnsi="宋体" w:eastAsia="宋体" w:cs="宋体"/>
          <w:b w:val="0"/>
          <w:bCs w:val="0"/>
          <w:color w:val="auto"/>
          <w:sz w:val="21"/>
          <w:szCs w:val="21"/>
          <w:lang w:eastAsia="zh-CN"/>
        </w:rPr>
      </w:pPr>
      <w:r>
        <w:rPr>
          <w:rStyle w:val="8"/>
          <w:rFonts w:hint="eastAsia" w:ascii="宋体" w:hAnsi="宋体" w:eastAsia="宋体" w:cs="宋体"/>
          <w:b w:val="0"/>
          <w:bCs w:val="0"/>
          <w:color w:val="auto"/>
          <w:sz w:val="21"/>
          <w:szCs w:val="21"/>
          <w:lang w:eastAsia="zh-CN"/>
        </w:rPr>
        <w:t>三、</w:t>
      </w:r>
      <w:r>
        <w:rPr>
          <w:rStyle w:val="8"/>
          <w:rFonts w:hint="eastAsia" w:ascii="宋体" w:hAnsi="宋体" w:eastAsia="宋体" w:cs="宋体"/>
          <w:b w:val="0"/>
          <w:bCs w:val="0"/>
          <w:color w:val="auto"/>
          <w:sz w:val="21"/>
          <w:szCs w:val="21"/>
        </w:rPr>
        <w:t>主要建设规模和内容：本项目租赁中核二十五公司一栋5层闲置建筑进行装修改造，装修改造一层和二层面积合计460平方米，新建一二层室外连接钢结构楼梯1座、钢结构车库100平方米：原有硬化地面破除黑化面积850平方米，修复市政道路花坛20米，移栽乔木3棵，乔木修剪4棵，拆除原有通透式围墙35米，新建2.5米高通透式围墙32米，以及室外照明、排水等配套工程。配置房屋空调、窗帘、成品储物与衣柜、办公家具、会议室家具、健身器材、厨房设备、床、图书室书架与图书等附属工程及消防设施设备，并搭建消防站信息化系统。</w:t>
      </w:r>
      <w:r>
        <w:rPr>
          <w:rStyle w:val="8"/>
          <w:rFonts w:hint="eastAsia" w:ascii="宋体" w:hAnsi="宋体" w:eastAsia="宋体" w:cs="宋体"/>
          <w:b w:val="0"/>
          <w:bCs w:val="0"/>
          <w:color w:val="auto"/>
          <w:sz w:val="21"/>
          <w:szCs w:val="21"/>
          <w:lang w:eastAsia="zh-CN"/>
        </w:rPr>
        <w:t>（具体内容详见工程量清单及图纸）</w:t>
      </w:r>
    </w:p>
    <w:p w14:paraId="7A334694">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eastAsia="zh-CN"/>
        </w:rPr>
      </w:pPr>
      <w:r>
        <w:rPr>
          <w:rStyle w:val="5"/>
          <w:rFonts w:hint="eastAsia" w:ascii="宋体" w:hAnsi="宋体" w:eastAsia="宋体" w:cs="宋体"/>
          <w:bCs/>
          <w:color w:val="auto"/>
          <w:sz w:val="21"/>
          <w:szCs w:val="21"/>
          <w:lang w:eastAsia="zh-CN"/>
        </w:rPr>
        <w:t>四、</w:t>
      </w:r>
      <w:r>
        <w:rPr>
          <w:rStyle w:val="5"/>
          <w:rFonts w:hint="eastAsia" w:ascii="宋体" w:hAnsi="宋体" w:eastAsia="宋体" w:cs="宋体"/>
          <w:color w:val="auto"/>
          <w:sz w:val="21"/>
          <w:szCs w:val="21"/>
          <w:lang w:eastAsia="zh-CN"/>
        </w:rPr>
        <w:t>项目实施要求</w:t>
      </w:r>
    </w:p>
    <w:p w14:paraId="0306B697">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eastAsia="zh-CN"/>
        </w:rPr>
      </w:pPr>
      <w:r>
        <w:rPr>
          <w:rStyle w:val="5"/>
          <w:rFonts w:hint="eastAsia" w:ascii="宋体" w:hAnsi="宋体" w:eastAsia="宋体" w:cs="宋体"/>
          <w:color w:val="auto"/>
          <w:sz w:val="21"/>
          <w:szCs w:val="21"/>
          <w:lang w:eastAsia="zh-CN"/>
        </w:rPr>
        <w:t>1、材料使用要求</w:t>
      </w:r>
    </w:p>
    <w:p w14:paraId="6D9FACF5">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eastAsia="zh-CN"/>
        </w:rPr>
      </w:pPr>
      <w:r>
        <w:rPr>
          <w:rStyle w:val="5"/>
          <w:rFonts w:hint="eastAsia" w:ascii="宋体" w:hAnsi="宋体" w:eastAsia="宋体" w:cs="宋体"/>
          <w:color w:val="auto"/>
          <w:sz w:val="21"/>
          <w:szCs w:val="21"/>
          <w:lang w:eastAsia="zh-CN"/>
        </w:rPr>
        <w:t>1.1材料符合合格标准，进场前须报验，经采购人同意后方可使用。</w:t>
      </w:r>
    </w:p>
    <w:p w14:paraId="55B5C15A">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eastAsia="zh-CN"/>
        </w:rPr>
      </w:pPr>
      <w:r>
        <w:rPr>
          <w:rStyle w:val="5"/>
          <w:rFonts w:hint="eastAsia" w:ascii="宋体" w:hAnsi="宋体" w:eastAsia="宋体" w:cs="宋体"/>
          <w:color w:val="auto"/>
          <w:sz w:val="21"/>
          <w:szCs w:val="21"/>
          <w:lang w:eastAsia="zh-CN"/>
        </w:rPr>
        <w:t>1.2施工单位负责材料在施工地点的保管，直至项目验收合格。</w:t>
      </w:r>
    </w:p>
    <w:p w14:paraId="185107C6">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eastAsia="zh-CN"/>
        </w:rPr>
      </w:pPr>
      <w:r>
        <w:rPr>
          <w:rStyle w:val="5"/>
          <w:rFonts w:hint="eastAsia" w:ascii="宋体" w:hAnsi="宋体" w:eastAsia="宋体" w:cs="宋体"/>
          <w:color w:val="auto"/>
          <w:sz w:val="21"/>
          <w:szCs w:val="21"/>
          <w:lang w:eastAsia="zh-CN"/>
        </w:rPr>
        <w:t>2、施工要求</w:t>
      </w:r>
    </w:p>
    <w:p w14:paraId="1177AF22">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eastAsia="zh-CN"/>
        </w:rPr>
      </w:pPr>
      <w:r>
        <w:rPr>
          <w:rStyle w:val="5"/>
          <w:rFonts w:hint="eastAsia" w:ascii="宋体" w:hAnsi="宋体" w:eastAsia="宋体" w:cs="宋体"/>
          <w:color w:val="auto"/>
          <w:sz w:val="21"/>
          <w:szCs w:val="21"/>
          <w:lang w:eastAsia="zh-CN"/>
        </w:rPr>
        <w:t>2.1</w:t>
      </w:r>
      <w:r>
        <w:rPr>
          <w:rStyle w:val="5"/>
          <w:rFonts w:hint="eastAsia" w:ascii="宋体" w:hAnsi="宋体" w:eastAsia="宋体" w:cs="宋体"/>
          <w:color w:val="auto"/>
          <w:sz w:val="21"/>
          <w:szCs w:val="21"/>
          <w:lang w:val="en-US" w:eastAsia="zh-CN"/>
        </w:rPr>
        <w:t>施工前期：完善施工许可、安全报备、高空作业备案等手续，不得影响居民正常生活；因施工引发投诉、处罚、索赔，全部责任与费用由成交人承担；</w:t>
      </w:r>
    </w:p>
    <w:p w14:paraId="59DDF044">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eastAsia="zh-CN"/>
        </w:rPr>
      </w:pPr>
      <w:r>
        <w:rPr>
          <w:rStyle w:val="5"/>
          <w:rFonts w:hint="eastAsia" w:ascii="宋体" w:hAnsi="宋体" w:eastAsia="宋体" w:cs="宋体"/>
          <w:color w:val="auto"/>
          <w:sz w:val="21"/>
          <w:szCs w:val="21"/>
          <w:lang w:val="en-US" w:eastAsia="zh-CN"/>
        </w:rPr>
        <w:t>2.2</w:t>
      </w:r>
      <w:r>
        <w:rPr>
          <w:rStyle w:val="5"/>
          <w:rFonts w:hint="eastAsia" w:ascii="宋体" w:hAnsi="宋体" w:eastAsia="宋体" w:cs="宋体"/>
          <w:color w:val="auto"/>
          <w:sz w:val="21"/>
          <w:szCs w:val="21"/>
          <w:lang w:eastAsia="zh-CN"/>
        </w:rPr>
        <w:t>施工单位须加强施工的文明组织管理，所有施工人员须遵守文明安全施工的有关规章制度，持证上岗。</w:t>
      </w:r>
    </w:p>
    <w:p w14:paraId="0FAC379C">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eastAsia="zh-CN"/>
        </w:rPr>
        <w:t>2.</w:t>
      </w:r>
      <w:r>
        <w:rPr>
          <w:rStyle w:val="5"/>
          <w:rFonts w:hint="eastAsia" w:ascii="宋体" w:hAnsi="宋体" w:eastAsia="宋体" w:cs="宋体"/>
          <w:color w:val="auto"/>
          <w:sz w:val="21"/>
          <w:szCs w:val="21"/>
          <w:lang w:val="en-US" w:eastAsia="zh-CN"/>
        </w:rPr>
        <w:t>3</w:t>
      </w:r>
      <w:r>
        <w:rPr>
          <w:rStyle w:val="5"/>
          <w:rFonts w:hint="eastAsia" w:ascii="宋体" w:hAnsi="宋体" w:eastAsia="宋体" w:cs="宋体"/>
          <w:color w:val="auto"/>
          <w:sz w:val="21"/>
          <w:szCs w:val="21"/>
          <w:lang w:eastAsia="zh-CN"/>
        </w:rPr>
        <w:t>施工单位</w:t>
      </w:r>
      <w:r>
        <w:rPr>
          <w:rStyle w:val="5"/>
          <w:rFonts w:hint="eastAsia" w:ascii="宋体" w:hAnsi="宋体" w:eastAsia="宋体" w:cs="宋体"/>
          <w:color w:val="auto"/>
          <w:sz w:val="21"/>
          <w:szCs w:val="21"/>
          <w:lang w:val="en-US" w:eastAsia="zh-CN"/>
        </w:rPr>
        <w:t>按要求配备项目负责人、施工员、安全员等关键岗位人员，驻场履职，不得擅自脱岗、更换；具备高空作业资质人员、专用设备与安全防护措施，确保高空作业安全。</w:t>
      </w:r>
    </w:p>
    <w:p w14:paraId="0C288A4A">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2.4</w:t>
      </w:r>
      <w:r>
        <w:rPr>
          <w:rStyle w:val="5"/>
          <w:rFonts w:hint="eastAsia" w:ascii="宋体" w:hAnsi="宋体" w:eastAsia="宋体" w:cs="宋体"/>
          <w:color w:val="auto"/>
          <w:sz w:val="21"/>
          <w:szCs w:val="21"/>
          <w:lang w:eastAsia="zh-CN"/>
        </w:rPr>
        <w:t>施工单位应严格按图施工，未经审批，严禁变更；</w:t>
      </w:r>
    </w:p>
    <w:p w14:paraId="4618ACBB">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eastAsia="zh-CN"/>
        </w:rPr>
      </w:pPr>
      <w:r>
        <w:rPr>
          <w:rStyle w:val="5"/>
          <w:rFonts w:hint="eastAsia" w:ascii="宋体" w:hAnsi="宋体" w:eastAsia="宋体" w:cs="宋体"/>
          <w:color w:val="auto"/>
          <w:sz w:val="21"/>
          <w:szCs w:val="21"/>
          <w:lang w:eastAsia="zh-CN"/>
        </w:rPr>
        <w:t>2.</w:t>
      </w:r>
      <w:r>
        <w:rPr>
          <w:rStyle w:val="5"/>
          <w:rFonts w:hint="eastAsia" w:ascii="宋体" w:hAnsi="宋体" w:eastAsia="宋体" w:cs="宋体"/>
          <w:color w:val="auto"/>
          <w:sz w:val="21"/>
          <w:szCs w:val="21"/>
          <w:lang w:val="en-US" w:eastAsia="zh-CN"/>
        </w:rPr>
        <w:t>5</w:t>
      </w:r>
      <w:r>
        <w:rPr>
          <w:rStyle w:val="5"/>
          <w:rFonts w:hint="eastAsia" w:ascii="宋体" w:hAnsi="宋体" w:eastAsia="宋体" w:cs="宋体"/>
          <w:color w:val="auto"/>
          <w:sz w:val="21"/>
          <w:szCs w:val="21"/>
          <w:lang w:eastAsia="zh-CN"/>
        </w:rPr>
        <w:t>施工单位进场人员须办理人身意外保险，其人员、财产的安全由施工单位负责。</w:t>
      </w:r>
    </w:p>
    <w:p w14:paraId="4AD77516">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rPr>
      </w:pPr>
      <w:r>
        <w:rPr>
          <w:rStyle w:val="5"/>
          <w:rFonts w:hint="eastAsia" w:ascii="宋体" w:hAnsi="宋体" w:eastAsia="宋体" w:cs="宋体"/>
          <w:color w:val="auto"/>
          <w:sz w:val="21"/>
          <w:szCs w:val="21"/>
          <w:lang w:eastAsia="zh-CN"/>
        </w:rPr>
        <w:t>2.</w:t>
      </w:r>
      <w:r>
        <w:rPr>
          <w:rStyle w:val="5"/>
          <w:rFonts w:hint="eastAsia" w:ascii="宋体" w:hAnsi="宋体" w:eastAsia="宋体" w:cs="宋体"/>
          <w:color w:val="auto"/>
          <w:sz w:val="21"/>
          <w:szCs w:val="21"/>
          <w:lang w:val="en-US" w:eastAsia="zh-CN"/>
        </w:rPr>
        <w:t>6</w:t>
      </w:r>
      <w:r>
        <w:rPr>
          <w:rStyle w:val="5"/>
          <w:rFonts w:hint="eastAsia" w:ascii="宋体" w:hAnsi="宋体" w:eastAsia="宋体" w:cs="宋体"/>
          <w:color w:val="auto"/>
          <w:sz w:val="21"/>
          <w:szCs w:val="21"/>
          <w:lang w:eastAsia="zh-CN"/>
        </w:rPr>
        <w:t>施工单位应组织好安全文明施工，须遵守社区安全文</w:t>
      </w:r>
      <w:r>
        <w:rPr>
          <w:rStyle w:val="5"/>
          <w:rFonts w:hint="eastAsia" w:ascii="宋体" w:hAnsi="宋体" w:eastAsia="宋体" w:cs="宋体"/>
          <w:color w:val="auto"/>
          <w:sz w:val="21"/>
          <w:szCs w:val="21"/>
        </w:rPr>
        <w:t>明管理的规定。</w:t>
      </w:r>
    </w:p>
    <w:p w14:paraId="14F45DB7">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2.7施工场地按净地标准交付与移交，完工后彻底清理建筑垃圾、残渣、材料废料，恢复场地原貌，经采购人验收合格后方可退场；</w:t>
      </w:r>
    </w:p>
    <w:p w14:paraId="1EE93E1C">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3、现场施工特殊要求</w:t>
      </w:r>
    </w:p>
    <w:p w14:paraId="70701FCA">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3.1 严禁上班、午休时间进行噪声很大的项目施工；</w:t>
      </w:r>
    </w:p>
    <w:p w14:paraId="725681E7">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3.2 严禁国家节假日施工；</w:t>
      </w:r>
    </w:p>
    <w:p w14:paraId="12A4A3F6">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3.3 施工过程中所需的水、电改造和水、电费用由施工单位自行承担；</w:t>
      </w:r>
    </w:p>
    <w:p w14:paraId="7F934B36">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3.4 供应商的相关工作人员工作过程中要严格遵守安全操作规程，高处作业应由高空作业人员及配套高空作业设备联合作业，做好安全防护措施，施工工作过程的任何安全责任、纠纷及费用均由成交供应商自行负责，采购人不承担任何连带责任。</w:t>
      </w:r>
    </w:p>
    <w:p w14:paraId="5C987EFB">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3.5成交供应商负责与施工现场周边单位、居民及相关利害关系人的沟通协调，妥善处理场地使用、噪音控制、扬尘治理等引发的各类争议，因协调不力导致施工延误、第三方投诉或损失的，由成交供应商承担全部责任（包括但不限于工期延误违约金、赔偿第三方损失等），采购人不承担任何连带责任。</w:t>
      </w:r>
    </w:p>
    <w:p w14:paraId="12DBE2EF">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rPr>
      </w:pPr>
      <w:r>
        <w:rPr>
          <w:rStyle w:val="5"/>
          <w:rFonts w:hint="eastAsia" w:ascii="宋体" w:hAnsi="宋体" w:eastAsia="宋体" w:cs="宋体"/>
          <w:color w:val="auto"/>
          <w:sz w:val="21"/>
          <w:szCs w:val="21"/>
          <w:lang w:val="en-US" w:eastAsia="zh-CN"/>
        </w:rPr>
        <w:t>4</w:t>
      </w:r>
      <w:r>
        <w:rPr>
          <w:rStyle w:val="5"/>
          <w:rFonts w:hint="eastAsia" w:ascii="宋体" w:hAnsi="宋体" w:eastAsia="宋体" w:cs="宋体"/>
          <w:color w:val="auto"/>
          <w:sz w:val="21"/>
          <w:szCs w:val="21"/>
        </w:rPr>
        <w:t>、验收要求</w:t>
      </w:r>
    </w:p>
    <w:p w14:paraId="24DC06CB">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en-US"/>
        </w:rPr>
      </w:pPr>
      <w:r>
        <w:rPr>
          <w:rStyle w:val="5"/>
          <w:rFonts w:hint="eastAsia" w:ascii="宋体" w:hAnsi="宋体" w:eastAsia="宋体" w:cs="宋体"/>
          <w:color w:val="auto"/>
          <w:sz w:val="21"/>
          <w:szCs w:val="21"/>
          <w:lang w:val="en-US" w:eastAsia="zh-CN"/>
        </w:rPr>
        <w:t>4.1</w:t>
      </w:r>
      <w:r>
        <w:rPr>
          <w:rStyle w:val="5"/>
          <w:rFonts w:hint="eastAsia" w:ascii="宋体" w:hAnsi="宋体" w:eastAsia="宋体" w:cs="宋体"/>
          <w:color w:val="auto"/>
          <w:sz w:val="21"/>
          <w:szCs w:val="21"/>
          <w:lang w:val="en-US" w:eastAsia="en-US"/>
        </w:rPr>
        <w:t>验收由采购单位组织有关专业人员，按相关磋商文件技术要求提供的性能指标、国家及行业相关标准进行验收；</w:t>
      </w:r>
    </w:p>
    <w:p w14:paraId="1E15BC05">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en-US"/>
        </w:rPr>
      </w:pPr>
      <w:r>
        <w:rPr>
          <w:rStyle w:val="5"/>
          <w:rFonts w:hint="eastAsia" w:ascii="宋体" w:hAnsi="宋体" w:eastAsia="宋体" w:cs="宋体"/>
          <w:color w:val="auto"/>
          <w:sz w:val="21"/>
          <w:szCs w:val="21"/>
          <w:lang w:val="en-US" w:eastAsia="zh-CN"/>
        </w:rPr>
        <w:t>4.2</w:t>
      </w:r>
      <w:r>
        <w:rPr>
          <w:rStyle w:val="5"/>
          <w:rFonts w:hint="eastAsia" w:ascii="宋体" w:hAnsi="宋体" w:eastAsia="宋体" w:cs="宋体"/>
          <w:color w:val="auto"/>
          <w:sz w:val="21"/>
          <w:szCs w:val="21"/>
          <w:lang w:val="en-US" w:eastAsia="en-US"/>
        </w:rPr>
        <w:t>验收过程中产生纠纷的，由质量技术监督部门认定的检测机构检测,如为成交供应商原因造成的，由成交供应商承担检测费用；否则，由采购人承担；</w:t>
      </w:r>
    </w:p>
    <w:p w14:paraId="7EA19A45">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en-US"/>
        </w:rPr>
      </w:pPr>
      <w:r>
        <w:rPr>
          <w:rStyle w:val="5"/>
          <w:rFonts w:hint="eastAsia" w:ascii="宋体" w:hAnsi="宋体" w:eastAsia="宋体" w:cs="宋体"/>
          <w:color w:val="auto"/>
          <w:sz w:val="21"/>
          <w:szCs w:val="21"/>
          <w:lang w:val="en-US" w:eastAsia="zh-CN"/>
        </w:rPr>
        <w:t>4.3</w:t>
      </w:r>
      <w:r>
        <w:rPr>
          <w:rStyle w:val="5"/>
          <w:rFonts w:hint="eastAsia" w:ascii="宋体" w:hAnsi="宋体" w:eastAsia="宋体" w:cs="宋体"/>
          <w:color w:val="auto"/>
          <w:sz w:val="21"/>
          <w:szCs w:val="21"/>
          <w:lang w:val="en-US" w:eastAsia="en-US"/>
        </w:rPr>
        <w:t>项目验收不合格，由成交供应商返工直至合格，有关返工、再行验收，以及给采购人造成的损失等费用由成交供应商承担。连续两次项目验收不合格的，采购人可终止合同，另行按规定选择其他供应商采购，由此带来的一切损失由成交供应商承担；</w:t>
      </w:r>
    </w:p>
    <w:p w14:paraId="5A22C45E">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en-US"/>
        </w:rPr>
      </w:pPr>
      <w:r>
        <w:rPr>
          <w:rStyle w:val="5"/>
          <w:rFonts w:hint="eastAsia" w:ascii="宋体" w:hAnsi="宋体" w:eastAsia="宋体" w:cs="宋体"/>
          <w:color w:val="auto"/>
          <w:sz w:val="21"/>
          <w:szCs w:val="21"/>
          <w:lang w:val="en-US" w:eastAsia="zh-CN"/>
        </w:rPr>
        <w:t>4.4</w:t>
      </w:r>
      <w:r>
        <w:rPr>
          <w:rStyle w:val="5"/>
          <w:rFonts w:hint="eastAsia" w:ascii="宋体" w:hAnsi="宋体" w:eastAsia="宋体" w:cs="宋体"/>
          <w:color w:val="auto"/>
          <w:sz w:val="21"/>
          <w:szCs w:val="21"/>
          <w:lang w:val="en-US" w:eastAsia="en-US"/>
        </w:rPr>
        <w:t>项目完成后，成交供应商应将项目有关的全部资料，包括技术文档、施工图纸等，移交采购人。</w:t>
      </w:r>
    </w:p>
    <w:p w14:paraId="6F2348BE">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rPr>
      </w:pPr>
      <w:r>
        <w:rPr>
          <w:rStyle w:val="5"/>
          <w:rFonts w:hint="eastAsia" w:ascii="宋体" w:hAnsi="宋体" w:eastAsia="宋体" w:cs="宋体"/>
          <w:color w:val="auto"/>
          <w:sz w:val="21"/>
          <w:szCs w:val="21"/>
          <w:lang w:val="en-US" w:eastAsia="zh-CN"/>
        </w:rPr>
        <w:t>5、</w:t>
      </w:r>
      <w:r>
        <w:rPr>
          <w:rStyle w:val="5"/>
          <w:rFonts w:hint="eastAsia" w:ascii="宋体" w:hAnsi="宋体" w:eastAsia="宋体" w:cs="宋体"/>
          <w:color w:val="auto"/>
          <w:sz w:val="21"/>
          <w:szCs w:val="21"/>
        </w:rPr>
        <w:t>质量保证</w:t>
      </w:r>
    </w:p>
    <w:p w14:paraId="514D3A50">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成交供应商应设立现场项目部，作为本项目的现场指挥机构。驻场项目负责人全权处理整个工程中的各项工作，接受采购人下达的工作要求及其他指令，并严格执行，统筹安全施工生产，保证工程进度，按计划竣工。项目部必须做好以下工作：</w:t>
      </w:r>
    </w:p>
    <w:p w14:paraId="57C23D4E">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5.1严格按照有关规定、规范，工程合同的要求组织施工；</w:t>
      </w:r>
    </w:p>
    <w:p w14:paraId="4888467E">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5.2岗位职责明确，各岗位人员必须严格履行各自的岗位职责，对项目负责，确保实现项目部的各种施工任务；</w:t>
      </w:r>
    </w:p>
    <w:p w14:paraId="02880D98">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5.3组织有关人员对工程进度、工程质量、文明施工、安全生产、治安保卫等进行检查；</w:t>
      </w:r>
    </w:p>
    <w:p w14:paraId="232E7B56">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5.4确保文明施工的技术组织要求：</w:t>
      </w:r>
    </w:p>
    <w:p w14:paraId="11CE384E">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(1)施工现场文明施工管理执行场容管理规定，文明施工负责管理；</w:t>
      </w:r>
    </w:p>
    <w:p w14:paraId="373B853E">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(2)操作地点周围要做到整洁；</w:t>
      </w:r>
    </w:p>
    <w:p w14:paraId="62FB53AD">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(3)加强现场文明施工，坚决贯彻“安全第一，预防为主”的方针，严格执行安全施工六大纪律等有关安全规章制度；</w:t>
      </w:r>
    </w:p>
    <w:p w14:paraId="760F9988">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(4)施工现场堆放的材料要整齐，以免影响地区周边环境；</w:t>
      </w:r>
    </w:p>
    <w:p w14:paraId="19E82724">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(5)施工机械须符合使用安全规程，非专业人员不得随意操作；</w:t>
      </w:r>
    </w:p>
    <w:p w14:paraId="75D96147">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(6)确保施工现场的临时用电安全，确保夜间施工照明，严禁乱接乱搭，严格漏电保护装置设置；</w:t>
      </w:r>
    </w:p>
    <w:p w14:paraId="1D83FEF5">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(7)加强施工现场治安综合治理，做到目标管理、制度落实、责任到人。施工现场治安防范措施有力，重点要害部位防范设施有效到位；</w:t>
      </w:r>
    </w:p>
    <w:p w14:paraId="67871AEB">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(8)成交供应商须加强施工的组织管理，制定切实可行的施工方案及专项方案并报采购人进行审批，所有施工人员须遵守施工规范和安全文明施工的有关规章制度，做到持证上岗，专职安全员应履职到岗，组织指挥现场施工安全。</w:t>
      </w:r>
    </w:p>
    <w:p w14:paraId="01393878">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5.5为确保所投产品质量的真实性及与当前市场流通产品质量标准的一致性，成交供应商须在合同签订前向采购人提供磋商文件要求提供的证明材料原件。如不能提供或提供的资料存在虚假，采购人可取消其成交资格，投标人需在响应文件中提供承诺函，格式自拟。</w:t>
      </w:r>
    </w:p>
    <w:p w14:paraId="1FA0D971">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6、安全文明施工管理措施</w:t>
      </w:r>
    </w:p>
    <w:p w14:paraId="5CBD2576">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6.1设立安全警示范围，设置护栏围档，防止其它无关人员进入施工现场。建立由项目负责人领导的安全生产管理网络，对安全实行重点横向到边，纵向到底的层层管理，做到安全责任落实到人；</w:t>
      </w:r>
    </w:p>
    <w:p w14:paraId="6C66DAC0">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6.2做好安全警示标牌、标志、警示灯光等。对项目施工地的安全管理及形势进行全面分析，确定安全关键性节点及薄弱环节进行重点监督和管理，形成点面结合的管理模式；</w:t>
      </w:r>
    </w:p>
    <w:p w14:paraId="385F142D">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6.3加强对施工现场作业人员的安全思想教育， 自觉进行安全操作规程和安全防护知识的学习。建立巡防制度，对安全文明施工及施工现场安全警示工作进行巡防，及时发现问题，杜绝安全风险；</w:t>
      </w:r>
    </w:p>
    <w:p w14:paraId="3E621CBB">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6.4场内设立的安全生产警示牌用横幅或条幅的形式开展现场安全生产及安全教育宣传；</w:t>
      </w:r>
    </w:p>
    <w:p w14:paraId="4EDB9083">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6.5执行安全生产责任制、安全检查制、安全交底制、安全上岗制、事故报告制度；</w:t>
      </w:r>
    </w:p>
    <w:p w14:paraId="15008E38">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6.6注意施工现场及周边的用电线路、市政管线、管道安全，要对施工周边的线路及用电设施、管线管道，燃气管道等重要市政公用设施进行摸底排查，设立警示部位标识，确保用电及其他管线、管道安全；</w:t>
      </w:r>
    </w:p>
    <w:p w14:paraId="0C97C136">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6.7对重要部位、重点地段的分部分项工程要进行安全技术交底，交底者履行签字手续；</w:t>
      </w:r>
    </w:p>
    <w:p w14:paraId="7F5DBEE3">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6.8特种工应持证上岗，特种作业人员必须培训考试合格后持证上岗；</w:t>
      </w:r>
    </w:p>
    <w:p w14:paraId="5BB45570">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6.9项目部应对派出的施工人及从事危险作业的施工人员购买人身意外保险；</w:t>
      </w:r>
    </w:p>
    <w:p w14:paraId="4B4182DF">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6.10严禁违章指挥、违章作业；</w:t>
      </w:r>
    </w:p>
    <w:p w14:paraId="5B5848A3">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6.11施工单位应当在施工现场显著位置设置施工单位告示牌、房屋拆除安全生产和文明施工牌，标明工程项目名称、建设单位、施工单位和项目负责人等内容；</w:t>
      </w:r>
    </w:p>
    <w:p w14:paraId="2DDB476E">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6.12施工单位应当划定施工危险区域，在危险部位设置明显的安全警告标志，做好安全防护工作。夜间施工应加强施工管理，安全第一，设置警示灯光及警示范围，采取必要的安全防护措施；</w:t>
      </w:r>
    </w:p>
    <w:p w14:paraId="2470F7B2">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6.13成交供应商负责协调施工周边环境，做到不扰民、不影响周边群众的正常生产生活，施工过程中应做到防尘降噪。</w:t>
      </w:r>
    </w:p>
    <w:p w14:paraId="3B86A138">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7、确保工期的技术组织要求</w:t>
      </w:r>
    </w:p>
    <w:p w14:paraId="58A87F09">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7.1进场准备：精准组织人员、机械车辆，合理规划安排作业区域及地段；</w:t>
      </w:r>
    </w:p>
    <w:p w14:paraId="4ACA83F8">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7.2进场后，根据具体情况及采购人的整体项目推进计划展开施工任务；</w:t>
      </w:r>
    </w:p>
    <w:p w14:paraId="19F1F1FC">
      <w:pPr>
        <w:pStyle w:val="9"/>
        <w:keepNext w:val="0"/>
        <w:keepLines w:val="0"/>
        <w:pageBreakBefore w:val="0"/>
        <w:kinsoku/>
        <w:topLinePunct w:val="0"/>
        <w:autoSpaceDE/>
        <w:autoSpaceDN/>
        <w:bidi w:val="0"/>
        <w:adjustRightInd/>
        <w:snapToGrid/>
        <w:spacing w:line="360" w:lineRule="auto"/>
        <w:textAlignment w:val="auto"/>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lang w:val="en-US" w:eastAsia="zh-CN"/>
        </w:rPr>
        <w:t>7.3所有施工中产生的渣土由施工方负责清运，且必须运至指定的场地。</w:t>
      </w:r>
    </w:p>
    <w:p w14:paraId="65404F7F">
      <w:pPr>
        <w:jc w:val="left"/>
        <w:rPr>
          <w:rFonts w:hint="eastAsia" w:ascii="宋体" w:hAnsi="宋体" w:eastAsia="宋体" w:cs="宋体"/>
          <w:b w:val="0"/>
          <w:bCs w:val="0"/>
          <w:color w:val="auto"/>
          <w:sz w:val="21"/>
          <w:szCs w:val="21"/>
          <w:vertAlign w:val="baseline"/>
          <w:lang w:val="en-US" w:eastAsia="zh-CN"/>
        </w:rPr>
      </w:pPr>
      <w:r>
        <w:rPr>
          <w:rStyle w:val="5"/>
          <w:rFonts w:hint="eastAsia" w:ascii="宋体" w:hAnsi="宋体" w:cs="宋体"/>
          <w:b/>
          <w:bCs/>
          <w:color w:val="auto"/>
          <w:sz w:val="21"/>
          <w:szCs w:val="21"/>
          <w:lang w:val="en-US" w:eastAsia="zh-CN"/>
        </w:rPr>
        <w:t>五</w:t>
      </w:r>
      <w:r>
        <w:rPr>
          <w:rStyle w:val="5"/>
          <w:rFonts w:hint="eastAsia" w:ascii="宋体" w:hAnsi="宋体" w:eastAsia="宋体" w:cs="宋体"/>
          <w:b/>
          <w:bCs/>
          <w:color w:val="auto"/>
          <w:sz w:val="21"/>
          <w:szCs w:val="21"/>
          <w:lang w:val="en-US" w:eastAsia="zh-CN"/>
        </w:rPr>
        <w:t>、</w:t>
      </w:r>
      <w:r>
        <w:rPr>
          <w:rFonts w:hint="eastAsia" w:ascii="宋体" w:hAnsi="宋体" w:eastAsia="宋体" w:cs="宋体"/>
          <w:b/>
          <w:bCs/>
          <w:color w:val="auto"/>
          <w:sz w:val="21"/>
          <w:szCs w:val="21"/>
        </w:rPr>
        <w:t>主要</w:t>
      </w:r>
      <w:r>
        <w:rPr>
          <w:rFonts w:hint="eastAsia" w:ascii="宋体" w:hAnsi="宋体" w:eastAsia="宋体" w:cs="宋体"/>
          <w:b w:val="0"/>
          <w:bCs w:val="0"/>
          <w:color w:val="auto"/>
          <w:sz w:val="21"/>
          <w:szCs w:val="21"/>
          <w:vertAlign w:val="baseline"/>
          <w:lang w:val="en-US" w:eastAsia="zh-CN"/>
        </w:rPr>
        <w:t>材料必须逐项注明计划使用的材料品牌，提供货物说明一览表。</w:t>
      </w:r>
    </w:p>
    <w:p w14:paraId="6FAB3007">
      <w:pPr>
        <w:pStyle w:val="2"/>
        <w:numPr>
          <w:ilvl w:val="0"/>
          <w:numId w:val="0"/>
        </w:numPr>
        <w:spacing w:before="0" w:after="0" w:line="240" w:lineRule="auto"/>
        <w:ind w:leftChars="0"/>
        <w:jc w:val="center"/>
        <w:rPr>
          <w:rFonts w:hint="eastAsia"/>
          <w:color w:val="auto"/>
          <w:lang w:val="en-US" w:eastAsia="zh-CN"/>
        </w:rPr>
      </w:pPr>
      <w:r>
        <w:rPr>
          <w:rFonts w:hint="eastAsia" w:ascii="宋体" w:hAnsi="宋体" w:eastAsia="宋体" w:cs="宋体"/>
          <w:b w:val="0"/>
          <w:bCs w:val="0"/>
          <w:color w:val="auto"/>
          <w:sz w:val="21"/>
          <w:szCs w:val="21"/>
          <w:vertAlign w:val="baseline"/>
          <w:lang w:val="en-US" w:eastAsia="zh-CN"/>
        </w:rPr>
        <w:t>货物说明一览表</w:t>
      </w:r>
    </w:p>
    <w:tbl>
      <w:tblPr>
        <w:tblStyle w:val="3"/>
        <w:tblW w:w="863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30"/>
        <w:gridCol w:w="1692"/>
        <w:gridCol w:w="2316"/>
        <w:gridCol w:w="3600"/>
      </w:tblGrid>
      <w:tr w14:paraId="66628C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1030" w:type="dxa"/>
            <w:noWrap w:val="0"/>
            <w:vAlign w:val="center"/>
          </w:tcPr>
          <w:p w14:paraId="6555A752">
            <w:pPr>
              <w:widowControl/>
              <w:adjustRightInd w:val="0"/>
              <w:snapToGri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1692" w:type="dxa"/>
            <w:noWrap w:val="0"/>
            <w:vAlign w:val="center"/>
          </w:tcPr>
          <w:p w14:paraId="49369ED0">
            <w:pPr>
              <w:widowControl/>
              <w:adjustRightInd w:val="0"/>
              <w:snapToGri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货物名称</w:t>
            </w:r>
          </w:p>
        </w:tc>
        <w:tc>
          <w:tcPr>
            <w:tcW w:w="2316" w:type="dxa"/>
            <w:tcBorders>
              <w:right w:val="single" w:color="auto" w:sz="4" w:space="0"/>
            </w:tcBorders>
            <w:noWrap w:val="0"/>
            <w:vAlign w:val="center"/>
          </w:tcPr>
          <w:p w14:paraId="34792892">
            <w:pPr>
              <w:widowControl/>
              <w:adjustRightInd w:val="0"/>
              <w:snapToGrid w:val="0"/>
              <w:spacing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规格型号</w:t>
            </w:r>
          </w:p>
        </w:tc>
        <w:tc>
          <w:tcPr>
            <w:tcW w:w="3600" w:type="dxa"/>
            <w:noWrap w:val="0"/>
            <w:vAlign w:val="center"/>
          </w:tcPr>
          <w:p w14:paraId="1BC35EC3">
            <w:pPr>
              <w:widowControl/>
              <w:adjustRightInd w:val="0"/>
              <w:snapToGrid w:val="0"/>
              <w:spacing w:line="360" w:lineRule="auto"/>
              <w:jc w:val="center"/>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rPr>
              <w:t>货物制造商名称</w:t>
            </w:r>
            <w:r>
              <w:rPr>
                <w:rFonts w:hint="eastAsia" w:ascii="宋体" w:hAnsi="宋体" w:eastAsia="宋体" w:cs="宋体"/>
                <w:color w:val="auto"/>
                <w:kern w:val="0"/>
                <w:szCs w:val="21"/>
                <w:lang w:val="en-US" w:eastAsia="zh-CN"/>
              </w:rPr>
              <w:t>/品牌</w:t>
            </w:r>
          </w:p>
        </w:tc>
      </w:tr>
      <w:tr w14:paraId="093B29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1030" w:type="dxa"/>
            <w:noWrap w:val="0"/>
            <w:vAlign w:val="center"/>
          </w:tcPr>
          <w:p w14:paraId="0BF70521">
            <w:pPr>
              <w:widowControl/>
              <w:adjustRightInd w:val="0"/>
              <w:snapToGrid w:val="0"/>
              <w:spacing w:line="360" w:lineRule="auto"/>
              <w:jc w:val="center"/>
              <w:rPr>
                <w:rFonts w:hint="eastAsia" w:ascii="宋体" w:hAnsi="宋体" w:eastAsia="宋体" w:cs="宋体"/>
                <w:color w:val="auto"/>
                <w:kern w:val="0"/>
                <w:szCs w:val="21"/>
              </w:rPr>
            </w:pPr>
          </w:p>
        </w:tc>
        <w:tc>
          <w:tcPr>
            <w:tcW w:w="1692" w:type="dxa"/>
            <w:noWrap w:val="0"/>
            <w:vAlign w:val="center"/>
          </w:tcPr>
          <w:p w14:paraId="184B40BA">
            <w:pPr>
              <w:widowControl/>
              <w:adjustRightInd w:val="0"/>
              <w:snapToGrid w:val="0"/>
              <w:spacing w:line="360" w:lineRule="auto"/>
              <w:jc w:val="center"/>
              <w:rPr>
                <w:rFonts w:hint="eastAsia" w:ascii="宋体" w:hAnsi="宋体" w:eastAsia="宋体" w:cs="宋体"/>
                <w:color w:val="auto"/>
                <w:kern w:val="0"/>
                <w:szCs w:val="21"/>
              </w:rPr>
            </w:pPr>
          </w:p>
        </w:tc>
        <w:tc>
          <w:tcPr>
            <w:tcW w:w="2316" w:type="dxa"/>
            <w:tcBorders>
              <w:right w:val="single" w:color="auto" w:sz="4" w:space="0"/>
            </w:tcBorders>
            <w:noWrap w:val="0"/>
            <w:vAlign w:val="center"/>
          </w:tcPr>
          <w:p w14:paraId="2D7037CF">
            <w:pPr>
              <w:widowControl/>
              <w:adjustRightInd w:val="0"/>
              <w:snapToGrid w:val="0"/>
              <w:spacing w:line="360" w:lineRule="auto"/>
              <w:jc w:val="center"/>
              <w:rPr>
                <w:rFonts w:hint="eastAsia" w:ascii="宋体" w:hAnsi="宋体" w:eastAsia="宋体" w:cs="宋体"/>
                <w:color w:val="auto"/>
                <w:kern w:val="0"/>
                <w:szCs w:val="21"/>
              </w:rPr>
            </w:pPr>
          </w:p>
        </w:tc>
        <w:tc>
          <w:tcPr>
            <w:tcW w:w="3600" w:type="dxa"/>
            <w:noWrap w:val="0"/>
            <w:vAlign w:val="center"/>
          </w:tcPr>
          <w:p w14:paraId="0DF591B1">
            <w:pPr>
              <w:widowControl/>
              <w:adjustRightInd w:val="0"/>
              <w:snapToGrid w:val="0"/>
              <w:spacing w:line="360" w:lineRule="auto"/>
              <w:jc w:val="center"/>
              <w:rPr>
                <w:rFonts w:hint="eastAsia" w:ascii="宋体" w:hAnsi="宋体" w:eastAsia="宋体" w:cs="宋体"/>
                <w:color w:val="auto"/>
                <w:kern w:val="0"/>
                <w:szCs w:val="21"/>
              </w:rPr>
            </w:pPr>
          </w:p>
        </w:tc>
      </w:tr>
      <w:tr w14:paraId="3A8988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9" w:hRule="atLeast"/>
        </w:trPr>
        <w:tc>
          <w:tcPr>
            <w:tcW w:w="1030" w:type="dxa"/>
            <w:noWrap w:val="0"/>
            <w:vAlign w:val="center"/>
          </w:tcPr>
          <w:p w14:paraId="58ED64F6">
            <w:pPr>
              <w:widowControl/>
              <w:adjustRightInd w:val="0"/>
              <w:snapToGrid w:val="0"/>
              <w:spacing w:line="360" w:lineRule="auto"/>
              <w:jc w:val="center"/>
              <w:rPr>
                <w:rFonts w:hint="eastAsia" w:ascii="宋体" w:hAnsi="宋体" w:eastAsia="宋体" w:cs="宋体"/>
                <w:color w:val="auto"/>
                <w:kern w:val="0"/>
                <w:szCs w:val="21"/>
              </w:rPr>
            </w:pPr>
          </w:p>
        </w:tc>
        <w:tc>
          <w:tcPr>
            <w:tcW w:w="1692" w:type="dxa"/>
            <w:noWrap w:val="0"/>
            <w:vAlign w:val="center"/>
          </w:tcPr>
          <w:p w14:paraId="67BEA263">
            <w:pPr>
              <w:widowControl/>
              <w:adjustRightInd w:val="0"/>
              <w:snapToGrid w:val="0"/>
              <w:spacing w:line="360" w:lineRule="auto"/>
              <w:jc w:val="center"/>
              <w:rPr>
                <w:rFonts w:hint="eastAsia" w:ascii="宋体" w:hAnsi="宋体" w:eastAsia="宋体" w:cs="宋体"/>
                <w:color w:val="auto"/>
                <w:kern w:val="0"/>
                <w:szCs w:val="21"/>
              </w:rPr>
            </w:pPr>
          </w:p>
        </w:tc>
        <w:tc>
          <w:tcPr>
            <w:tcW w:w="2316" w:type="dxa"/>
            <w:tcBorders>
              <w:right w:val="single" w:color="auto" w:sz="4" w:space="0"/>
            </w:tcBorders>
            <w:noWrap w:val="0"/>
            <w:vAlign w:val="center"/>
          </w:tcPr>
          <w:p w14:paraId="11CE5F99">
            <w:pPr>
              <w:widowControl/>
              <w:adjustRightInd w:val="0"/>
              <w:snapToGrid w:val="0"/>
              <w:spacing w:line="360" w:lineRule="auto"/>
              <w:jc w:val="center"/>
              <w:rPr>
                <w:rFonts w:hint="eastAsia" w:ascii="宋体" w:hAnsi="宋体" w:eastAsia="宋体" w:cs="宋体"/>
                <w:color w:val="auto"/>
                <w:kern w:val="0"/>
                <w:szCs w:val="21"/>
              </w:rPr>
            </w:pPr>
          </w:p>
        </w:tc>
        <w:tc>
          <w:tcPr>
            <w:tcW w:w="3600" w:type="dxa"/>
            <w:noWrap w:val="0"/>
            <w:vAlign w:val="center"/>
          </w:tcPr>
          <w:p w14:paraId="127DF189">
            <w:pPr>
              <w:widowControl/>
              <w:adjustRightInd w:val="0"/>
              <w:snapToGrid w:val="0"/>
              <w:spacing w:line="360" w:lineRule="auto"/>
              <w:jc w:val="center"/>
              <w:rPr>
                <w:rFonts w:hint="eastAsia" w:ascii="宋体" w:hAnsi="宋体" w:eastAsia="宋体" w:cs="宋体"/>
                <w:color w:val="auto"/>
                <w:kern w:val="0"/>
                <w:szCs w:val="21"/>
              </w:rPr>
            </w:pPr>
          </w:p>
        </w:tc>
      </w:tr>
    </w:tbl>
    <w:p w14:paraId="2A39FFA2">
      <w:pPr>
        <w:pStyle w:val="6"/>
        <w:keepNext w:val="0"/>
        <w:keepLines w:val="0"/>
        <w:pageBreakBefore w:val="0"/>
        <w:widowControl/>
        <w:numPr>
          <w:numId w:val="0"/>
        </w:numPr>
        <w:suppressLineNumbers w:val="0"/>
        <w:kinsoku/>
        <w:topLinePunct w:val="0"/>
        <w:autoSpaceDE/>
        <w:autoSpaceDN/>
        <w:bidi w:val="0"/>
        <w:adjustRightInd/>
        <w:snapToGrid/>
        <w:spacing w:line="360" w:lineRule="auto"/>
        <w:jc w:val="left"/>
        <w:textAlignment w:val="auto"/>
        <w:rPr>
          <w:rStyle w:val="5"/>
          <w:rFonts w:hint="eastAsia" w:ascii="宋体" w:hAnsi="宋体" w:eastAsia="宋体" w:cs="宋体"/>
          <w:b/>
          <w:bCs/>
          <w:color w:val="auto"/>
          <w:spacing w:val="30"/>
          <w:kern w:val="0"/>
          <w:szCs w:val="21"/>
        </w:rPr>
      </w:pPr>
      <w:r>
        <w:rPr>
          <w:rStyle w:val="5"/>
          <w:rFonts w:hint="eastAsia" w:ascii="宋体" w:hAnsi="宋体" w:cs="宋体"/>
          <w:b/>
          <w:bCs/>
          <w:color w:val="auto"/>
          <w:sz w:val="21"/>
          <w:szCs w:val="21"/>
          <w:lang w:val="en-US" w:eastAsia="zh-CN"/>
        </w:rPr>
        <w:t>六、主要材料表、</w:t>
      </w:r>
      <w:r>
        <w:rPr>
          <w:rStyle w:val="5"/>
          <w:rFonts w:hint="eastAsia" w:ascii="宋体" w:hAnsi="宋体" w:eastAsia="宋体" w:cs="宋体"/>
          <w:b/>
          <w:bCs/>
          <w:color w:val="auto"/>
          <w:sz w:val="21"/>
          <w:szCs w:val="21"/>
          <w:lang w:val="en-US" w:eastAsia="zh-CN"/>
        </w:rPr>
        <w:t>工程量清单及图纸：另附，请各投标人自行下载。</w:t>
      </w:r>
    </w:p>
    <w:p w14:paraId="7C69693D">
      <w:pPr>
        <w:pStyle w:val="6"/>
        <w:keepNext w:val="0"/>
        <w:keepLines w:val="0"/>
        <w:pageBreakBefore w:val="0"/>
        <w:widowControl/>
        <w:numPr>
          <w:ilvl w:val="0"/>
          <w:numId w:val="0"/>
        </w:numPr>
        <w:suppressLineNumbers w:val="0"/>
        <w:kinsoku/>
        <w:topLinePunct w:val="0"/>
        <w:autoSpaceDE/>
        <w:autoSpaceDN/>
        <w:bidi w:val="0"/>
        <w:adjustRightInd/>
        <w:snapToGrid/>
        <w:spacing w:line="360" w:lineRule="auto"/>
        <w:jc w:val="center"/>
        <w:textAlignment w:val="auto"/>
        <w:rPr>
          <w:rStyle w:val="5"/>
          <w:rFonts w:hint="eastAsia" w:ascii="宋体" w:hAnsi="宋体" w:eastAsia="宋体" w:cs="宋体"/>
          <w:b/>
          <w:bCs/>
          <w:color w:val="auto"/>
          <w:spacing w:val="30"/>
          <w:kern w:val="0"/>
          <w:sz w:val="28"/>
          <w:szCs w:val="28"/>
        </w:rPr>
      </w:pPr>
      <w:bookmarkStart w:id="0" w:name="_GoBack"/>
      <w:bookmarkEnd w:id="0"/>
    </w:p>
    <w:p w14:paraId="0E5D078A">
      <w:pPr>
        <w:pStyle w:val="6"/>
        <w:keepNext w:val="0"/>
        <w:keepLines w:val="0"/>
        <w:pageBreakBefore w:val="0"/>
        <w:widowControl/>
        <w:numPr>
          <w:ilvl w:val="0"/>
          <w:numId w:val="0"/>
        </w:numPr>
        <w:suppressLineNumbers w:val="0"/>
        <w:kinsoku/>
        <w:topLinePunct w:val="0"/>
        <w:autoSpaceDE/>
        <w:autoSpaceDN/>
        <w:bidi w:val="0"/>
        <w:adjustRightInd/>
        <w:snapToGrid/>
        <w:spacing w:line="360" w:lineRule="auto"/>
        <w:jc w:val="center"/>
        <w:textAlignment w:val="auto"/>
        <w:rPr>
          <w:rStyle w:val="5"/>
          <w:rFonts w:hint="eastAsia" w:ascii="宋体" w:hAnsi="宋体" w:eastAsia="宋体" w:cs="宋体"/>
          <w:b/>
          <w:bCs/>
          <w:color w:val="auto"/>
          <w:spacing w:val="30"/>
          <w:kern w:val="0"/>
          <w:szCs w:val="21"/>
        </w:rPr>
      </w:pPr>
      <w:r>
        <w:rPr>
          <w:rStyle w:val="5"/>
          <w:rFonts w:hint="eastAsia" w:ascii="宋体" w:hAnsi="宋体" w:eastAsia="宋体" w:cs="宋体"/>
          <w:b/>
          <w:bCs/>
          <w:color w:val="auto"/>
          <w:spacing w:val="30"/>
          <w:kern w:val="0"/>
          <w:sz w:val="28"/>
          <w:szCs w:val="28"/>
        </w:rPr>
        <w:t>第二节 商务要求</w:t>
      </w:r>
    </w:p>
    <w:p w14:paraId="58733B78">
      <w:pPr>
        <w:pStyle w:val="6"/>
        <w:widowControl/>
        <w:spacing w:after="120" w:afterLines="50" w:line="360" w:lineRule="auto"/>
        <w:rPr>
          <w:rStyle w:val="5"/>
          <w:rFonts w:hint="eastAsia" w:ascii="宋体" w:hAnsi="宋体" w:eastAsia="宋体" w:cs="宋体"/>
          <w:b/>
          <w:bCs/>
          <w:color w:val="auto"/>
          <w:kern w:val="0"/>
          <w:sz w:val="21"/>
          <w:szCs w:val="21"/>
        </w:rPr>
      </w:pPr>
      <w:r>
        <w:rPr>
          <w:rStyle w:val="5"/>
          <w:rFonts w:hint="eastAsia" w:ascii="宋体" w:hAnsi="宋体" w:eastAsia="宋体" w:cs="宋体"/>
          <w:b/>
          <w:bCs/>
          <w:color w:val="auto"/>
          <w:spacing w:val="30"/>
          <w:kern w:val="0"/>
          <w:sz w:val="21"/>
          <w:szCs w:val="21"/>
        </w:rPr>
        <w:t xml:space="preserve">一、主要商务要求 </w:t>
      </w:r>
    </w:p>
    <w:tbl>
      <w:tblPr>
        <w:tblStyle w:val="3"/>
        <w:tblW w:w="7885" w:type="dxa"/>
        <w:tblInd w:w="74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2091"/>
        <w:gridCol w:w="5794"/>
      </w:tblGrid>
      <w:tr w14:paraId="2D5C2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80" w:hRule="atLeast"/>
        </w:trPr>
        <w:tc>
          <w:tcPr>
            <w:tcW w:w="2091" w:type="dxa"/>
            <w:noWrap w:val="0"/>
            <w:tcMar>
              <w:top w:w="0" w:type="dxa"/>
              <w:left w:w="108" w:type="dxa"/>
              <w:bottom w:w="0" w:type="dxa"/>
              <w:right w:w="108" w:type="dxa"/>
            </w:tcMar>
            <w:vAlign w:val="center"/>
          </w:tcPr>
          <w:p w14:paraId="5424B97C">
            <w:pPr>
              <w:pStyle w:val="6"/>
              <w:pageBreakBefore w:val="0"/>
              <w:widowControl/>
              <w:kinsoku/>
              <w:wordWrap w:val="0"/>
              <w:overflowPunct w:val="0"/>
              <w:topLinePunct w:val="0"/>
              <w:bidi w:val="0"/>
              <w:jc w:val="center"/>
              <w:textAlignment w:val="auto"/>
              <w:rPr>
                <w:rStyle w:val="5"/>
                <w:rFonts w:hint="eastAsia" w:ascii="宋体" w:hAnsi="宋体" w:eastAsia="宋体" w:cs="宋体"/>
                <w:color w:val="auto"/>
                <w:kern w:val="0"/>
                <w:sz w:val="21"/>
                <w:szCs w:val="21"/>
              </w:rPr>
            </w:pPr>
            <w:r>
              <w:rPr>
                <w:rStyle w:val="5"/>
                <w:rFonts w:hint="eastAsia" w:ascii="宋体" w:hAnsi="宋体" w:eastAsia="宋体" w:cs="宋体"/>
                <w:color w:val="auto"/>
                <w:kern w:val="0"/>
                <w:sz w:val="21"/>
                <w:szCs w:val="21"/>
              </w:rPr>
              <w:t>履行合同的时间、地点及方式</w:t>
            </w:r>
          </w:p>
        </w:tc>
        <w:tc>
          <w:tcPr>
            <w:tcW w:w="5794" w:type="dxa"/>
            <w:noWrap w:val="0"/>
            <w:tcMar>
              <w:top w:w="0" w:type="dxa"/>
              <w:left w:w="108" w:type="dxa"/>
              <w:bottom w:w="0" w:type="dxa"/>
              <w:right w:w="108" w:type="dxa"/>
            </w:tcMar>
            <w:vAlign w:val="center"/>
          </w:tcPr>
          <w:p w14:paraId="0EA808C8">
            <w:pPr>
              <w:pStyle w:val="6"/>
              <w:pageBreakBefore w:val="0"/>
              <w:kinsoku/>
              <w:wordWrap w:val="0"/>
              <w:overflowPunct w:val="0"/>
              <w:topLinePunct w:val="0"/>
              <w:bidi w:val="0"/>
              <w:spacing w:line="360" w:lineRule="auto"/>
              <w:textAlignment w:val="auto"/>
              <w:rPr>
                <w:rStyle w:val="5"/>
                <w:rFonts w:hint="eastAsia" w:ascii="宋体" w:hAnsi="宋体" w:eastAsia="宋体" w:cs="宋体"/>
                <w:iCs/>
                <w:color w:val="auto"/>
                <w:sz w:val="21"/>
                <w:szCs w:val="21"/>
                <w:lang w:val="en-US" w:eastAsia="zh-CN"/>
              </w:rPr>
            </w:pPr>
            <w:r>
              <w:rPr>
                <w:rStyle w:val="5"/>
                <w:rFonts w:hint="eastAsia" w:ascii="宋体" w:hAnsi="宋体" w:eastAsia="宋体" w:cs="宋体"/>
                <w:color w:val="auto"/>
                <w:kern w:val="0"/>
                <w:sz w:val="21"/>
                <w:szCs w:val="21"/>
              </w:rPr>
              <w:t>履行合同的时间：</w:t>
            </w:r>
            <w:r>
              <w:rPr>
                <w:rStyle w:val="5"/>
                <w:rFonts w:hint="eastAsia" w:ascii="宋体" w:hAnsi="宋体" w:eastAsia="宋体" w:cs="宋体"/>
                <w:color w:val="auto"/>
                <w:kern w:val="0"/>
                <w:sz w:val="21"/>
                <w:szCs w:val="21"/>
                <w:lang w:val="en-US" w:eastAsia="en-US"/>
              </w:rPr>
              <w:t>合同签订后</w:t>
            </w:r>
            <w:r>
              <w:rPr>
                <w:rStyle w:val="5"/>
                <w:rFonts w:hint="eastAsia" w:ascii="宋体" w:hAnsi="宋体" w:eastAsia="宋体" w:cs="宋体"/>
                <w:color w:val="auto"/>
                <w:kern w:val="0"/>
                <w:sz w:val="21"/>
                <w:szCs w:val="21"/>
                <w:u w:val="single"/>
                <w:lang w:val="en-US" w:eastAsia="en-US"/>
              </w:rPr>
              <w:t xml:space="preserve"> </w:t>
            </w:r>
            <w:r>
              <w:rPr>
                <w:rStyle w:val="5"/>
                <w:rFonts w:hint="eastAsia" w:ascii="宋体" w:hAnsi="宋体" w:eastAsia="宋体" w:cs="宋体"/>
                <w:color w:val="auto"/>
                <w:kern w:val="0"/>
                <w:sz w:val="21"/>
                <w:szCs w:val="21"/>
                <w:u w:val="single"/>
                <w:lang w:val="en-US" w:eastAsia="zh-CN"/>
              </w:rPr>
              <w:t xml:space="preserve">90 </w:t>
            </w:r>
            <w:r>
              <w:rPr>
                <w:rStyle w:val="5"/>
                <w:rFonts w:hint="eastAsia" w:ascii="宋体" w:hAnsi="宋体" w:eastAsia="宋体" w:cs="宋体"/>
                <w:color w:val="auto"/>
                <w:kern w:val="0"/>
                <w:sz w:val="21"/>
                <w:szCs w:val="21"/>
                <w:lang w:val="en-US" w:eastAsia="en-US"/>
              </w:rPr>
              <w:t>日历日内完工</w:t>
            </w:r>
          </w:p>
          <w:p w14:paraId="56C49B53">
            <w:pPr>
              <w:pStyle w:val="6"/>
              <w:pageBreakBefore w:val="0"/>
              <w:kinsoku/>
              <w:wordWrap w:val="0"/>
              <w:overflowPunct w:val="0"/>
              <w:topLinePunct w:val="0"/>
              <w:bidi w:val="0"/>
              <w:spacing w:line="360" w:lineRule="auto"/>
              <w:textAlignment w:val="auto"/>
              <w:rPr>
                <w:rStyle w:val="5"/>
                <w:rFonts w:hint="eastAsia" w:ascii="宋体" w:hAnsi="宋体" w:eastAsia="宋体" w:cs="宋体"/>
                <w:color w:val="auto"/>
                <w:kern w:val="0"/>
                <w:sz w:val="21"/>
                <w:szCs w:val="21"/>
                <w:lang w:eastAsia="zh-CN"/>
              </w:rPr>
            </w:pPr>
            <w:r>
              <w:rPr>
                <w:rStyle w:val="5"/>
                <w:rFonts w:hint="eastAsia" w:ascii="宋体" w:hAnsi="宋体" w:eastAsia="宋体" w:cs="宋体"/>
                <w:color w:val="auto"/>
                <w:kern w:val="0"/>
                <w:sz w:val="21"/>
                <w:szCs w:val="21"/>
                <w:lang w:eastAsia="zh-CN"/>
              </w:rPr>
              <w:t>施工</w:t>
            </w:r>
            <w:r>
              <w:rPr>
                <w:rStyle w:val="5"/>
                <w:rFonts w:hint="eastAsia" w:ascii="宋体" w:hAnsi="宋体" w:eastAsia="宋体" w:cs="宋体"/>
                <w:color w:val="auto"/>
                <w:kern w:val="0"/>
                <w:sz w:val="21"/>
                <w:szCs w:val="21"/>
              </w:rPr>
              <w:t>地点：</w:t>
            </w:r>
            <w:r>
              <w:rPr>
                <w:rStyle w:val="5"/>
                <w:rFonts w:hint="eastAsia" w:ascii="宋体" w:hAnsi="宋体" w:eastAsia="宋体" w:cs="宋体"/>
                <w:color w:val="auto"/>
                <w:kern w:val="0"/>
                <w:sz w:val="21"/>
                <w:szCs w:val="21"/>
                <w:lang w:eastAsia="zh-CN"/>
              </w:rPr>
              <w:t>雁峰区天马山街道</w:t>
            </w:r>
            <w:r>
              <w:rPr>
                <w:rStyle w:val="5"/>
                <w:rFonts w:hint="eastAsia" w:ascii="宋体" w:hAnsi="宋体" w:eastAsia="宋体" w:cs="宋体"/>
                <w:color w:val="auto"/>
                <w:kern w:val="0"/>
                <w:sz w:val="21"/>
                <w:szCs w:val="21"/>
              </w:rPr>
              <w:t>中核二十五公司</w:t>
            </w:r>
            <w:r>
              <w:rPr>
                <w:rStyle w:val="5"/>
                <w:rFonts w:hint="eastAsia" w:ascii="宋体" w:hAnsi="宋体" w:eastAsia="宋体" w:cs="宋体"/>
                <w:color w:val="auto"/>
                <w:kern w:val="0"/>
                <w:sz w:val="21"/>
                <w:szCs w:val="21"/>
                <w:lang w:eastAsia="zh-CN"/>
              </w:rPr>
              <w:t>院内</w:t>
            </w:r>
          </w:p>
          <w:p w14:paraId="342AA575">
            <w:pPr>
              <w:pStyle w:val="6"/>
              <w:pageBreakBefore w:val="0"/>
              <w:kinsoku/>
              <w:wordWrap w:val="0"/>
              <w:overflowPunct w:val="0"/>
              <w:topLinePunct w:val="0"/>
              <w:bidi w:val="0"/>
              <w:spacing w:line="360" w:lineRule="auto"/>
              <w:textAlignment w:val="auto"/>
              <w:rPr>
                <w:rStyle w:val="13"/>
                <w:rFonts w:hint="eastAsia" w:ascii="宋体" w:hAnsi="宋体" w:eastAsia="宋体" w:cs="宋体"/>
                <w:color w:val="auto"/>
                <w:kern w:val="0"/>
                <w:sz w:val="21"/>
                <w:szCs w:val="21"/>
              </w:rPr>
            </w:pPr>
            <w:r>
              <w:rPr>
                <w:rStyle w:val="5"/>
                <w:rFonts w:hint="eastAsia" w:ascii="宋体" w:hAnsi="宋体" w:eastAsia="宋体" w:cs="宋体"/>
                <w:color w:val="auto"/>
                <w:kern w:val="0"/>
                <w:sz w:val="21"/>
                <w:szCs w:val="21"/>
              </w:rPr>
              <w:t>履约方式：现场执行服务</w:t>
            </w:r>
          </w:p>
        </w:tc>
      </w:tr>
      <w:tr w14:paraId="17045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80" w:hRule="atLeast"/>
        </w:trPr>
        <w:tc>
          <w:tcPr>
            <w:tcW w:w="2091" w:type="dxa"/>
            <w:noWrap w:val="0"/>
            <w:tcMar>
              <w:top w:w="0" w:type="dxa"/>
              <w:left w:w="108" w:type="dxa"/>
              <w:bottom w:w="0" w:type="dxa"/>
              <w:right w:w="108" w:type="dxa"/>
            </w:tcMar>
            <w:vAlign w:val="center"/>
          </w:tcPr>
          <w:p w14:paraId="3B961DD6">
            <w:pPr>
              <w:pStyle w:val="6"/>
              <w:pageBreakBefore w:val="0"/>
              <w:widowControl/>
              <w:kinsoku/>
              <w:wordWrap w:val="0"/>
              <w:overflowPunct w:val="0"/>
              <w:topLinePunct w:val="0"/>
              <w:bidi w:val="0"/>
              <w:jc w:val="center"/>
              <w:textAlignment w:val="auto"/>
              <w:rPr>
                <w:rStyle w:val="5"/>
                <w:rFonts w:hint="eastAsia" w:ascii="宋体" w:hAnsi="宋体" w:eastAsia="宋体" w:cs="宋体"/>
                <w:color w:val="auto"/>
                <w:kern w:val="0"/>
                <w:sz w:val="21"/>
                <w:szCs w:val="21"/>
                <w:lang w:eastAsia="zh-CN"/>
              </w:rPr>
            </w:pPr>
            <w:r>
              <w:rPr>
                <w:rStyle w:val="5"/>
                <w:rFonts w:hint="eastAsia" w:ascii="宋体" w:hAnsi="宋体" w:eastAsia="宋体" w:cs="宋体"/>
                <w:color w:val="auto"/>
                <w:kern w:val="0"/>
                <w:sz w:val="21"/>
                <w:szCs w:val="21"/>
                <w:lang w:eastAsia="zh-CN"/>
              </w:rPr>
              <w:t>工期</w:t>
            </w:r>
          </w:p>
        </w:tc>
        <w:tc>
          <w:tcPr>
            <w:tcW w:w="5794" w:type="dxa"/>
            <w:noWrap w:val="0"/>
            <w:tcMar>
              <w:top w:w="0" w:type="dxa"/>
              <w:left w:w="108" w:type="dxa"/>
              <w:bottom w:w="0" w:type="dxa"/>
              <w:right w:w="108" w:type="dxa"/>
            </w:tcMar>
            <w:vAlign w:val="center"/>
          </w:tcPr>
          <w:p w14:paraId="26786D08">
            <w:pPr>
              <w:pStyle w:val="6"/>
              <w:pageBreakBefore w:val="0"/>
              <w:widowControl/>
              <w:kinsoku/>
              <w:wordWrap w:val="0"/>
              <w:overflowPunct w:val="0"/>
              <w:topLinePunct w:val="0"/>
              <w:bidi w:val="0"/>
              <w:jc w:val="both"/>
              <w:textAlignment w:val="auto"/>
              <w:rPr>
                <w:rStyle w:val="5"/>
                <w:rFonts w:hint="eastAsia" w:ascii="宋体" w:hAnsi="宋体" w:eastAsia="宋体" w:cs="宋体"/>
                <w:color w:val="auto"/>
                <w:kern w:val="0"/>
                <w:sz w:val="21"/>
                <w:szCs w:val="21"/>
                <w:lang w:val="en-US"/>
              </w:rPr>
            </w:pPr>
            <w:r>
              <w:rPr>
                <w:rStyle w:val="5"/>
                <w:rFonts w:hint="eastAsia" w:ascii="宋体" w:hAnsi="宋体" w:eastAsia="宋体" w:cs="宋体"/>
                <w:color w:val="auto"/>
                <w:kern w:val="0"/>
                <w:sz w:val="21"/>
                <w:szCs w:val="21"/>
                <w:lang w:val="en-US" w:eastAsia="en-US"/>
              </w:rPr>
              <w:t>合同签订后</w:t>
            </w:r>
            <w:r>
              <w:rPr>
                <w:rStyle w:val="5"/>
                <w:rFonts w:hint="eastAsia" w:ascii="宋体" w:hAnsi="宋体" w:eastAsia="宋体" w:cs="宋体"/>
                <w:color w:val="auto"/>
                <w:kern w:val="0"/>
                <w:sz w:val="21"/>
                <w:szCs w:val="21"/>
                <w:u w:val="single"/>
                <w:lang w:val="en-US" w:eastAsia="zh-CN"/>
              </w:rPr>
              <w:t xml:space="preserve"> 90 </w:t>
            </w:r>
            <w:r>
              <w:rPr>
                <w:rStyle w:val="5"/>
                <w:rFonts w:hint="eastAsia" w:ascii="宋体" w:hAnsi="宋体" w:eastAsia="宋体" w:cs="宋体"/>
                <w:color w:val="auto"/>
                <w:kern w:val="0"/>
                <w:sz w:val="21"/>
                <w:szCs w:val="21"/>
                <w:lang w:val="en-US" w:eastAsia="en-US"/>
              </w:rPr>
              <w:t>日历日内完工</w:t>
            </w:r>
          </w:p>
        </w:tc>
      </w:tr>
      <w:tr w14:paraId="3C722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80" w:hRule="atLeast"/>
        </w:trPr>
        <w:tc>
          <w:tcPr>
            <w:tcW w:w="2091" w:type="dxa"/>
            <w:noWrap w:val="0"/>
            <w:tcMar>
              <w:top w:w="0" w:type="dxa"/>
              <w:left w:w="108" w:type="dxa"/>
              <w:bottom w:w="0" w:type="dxa"/>
              <w:right w:w="108" w:type="dxa"/>
            </w:tcMar>
            <w:vAlign w:val="center"/>
          </w:tcPr>
          <w:p w14:paraId="76D178C6">
            <w:pPr>
              <w:pStyle w:val="6"/>
              <w:pageBreakBefore w:val="0"/>
              <w:widowControl/>
              <w:kinsoku/>
              <w:wordWrap w:val="0"/>
              <w:overflowPunct w:val="0"/>
              <w:topLinePunct w:val="0"/>
              <w:bidi w:val="0"/>
              <w:jc w:val="center"/>
              <w:textAlignment w:val="auto"/>
              <w:rPr>
                <w:rStyle w:val="5"/>
                <w:rFonts w:hint="eastAsia" w:ascii="宋体" w:hAnsi="宋体" w:eastAsia="宋体" w:cs="宋体"/>
                <w:color w:val="auto"/>
                <w:kern w:val="0"/>
                <w:sz w:val="21"/>
                <w:szCs w:val="21"/>
              </w:rPr>
            </w:pPr>
            <w:r>
              <w:rPr>
                <w:rStyle w:val="5"/>
                <w:rFonts w:hint="eastAsia" w:ascii="宋体" w:hAnsi="宋体" w:eastAsia="宋体" w:cs="宋体"/>
                <w:color w:val="auto"/>
                <w:kern w:val="0"/>
                <w:sz w:val="21"/>
                <w:szCs w:val="21"/>
              </w:rPr>
              <w:t>响应时间</w:t>
            </w:r>
          </w:p>
        </w:tc>
        <w:tc>
          <w:tcPr>
            <w:tcW w:w="5794" w:type="dxa"/>
            <w:noWrap w:val="0"/>
            <w:tcMar>
              <w:top w:w="0" w:type="dxa"/>
              <w:left w:w="108" w:type="dxa"/>
              <w:bottom w:w="0" w:type="dxa"/>
              <w:right w:w="108" w:type="dxa"/>
            </w:tcMar>
            <w:vAlign w:val="center"/>
          </w:tcPr>
          <w:p w14:paraId="3223BB98">
            <w:pPr>
              <w:pStyle w:val="6"/>
              <w:pageBreakBefore w:val="0"/>
              <w:widowControl/>
              <w:kinsoku/>
              <w:wordWrap w:val="0"/>
              <w:overflowPunct w:val="0"/>
              <w:topLinePunct w:val="0"/>
              <w:bidi w:val="0"/>
              <w:jc w:val="both"/>
              <w:textAlignment w:val="auto"/>
              <w:rPr>
                <w:rStyle w:val="5"/>
                <w:rFonts w:hint="eastAsia" w:ascii="宋体" w:hAnsi="宋体" w:eastAsia="宋体" w:cs="宋体"/>
                <w:color w:val="auto"/>
                <w:kern w:val="0"/>
                <w:sz w:val="21"/>
                <w:szCs w:val="21"/>
                <w:lang w:val="en-US" w:eastAsia="zh-CN"/>
              </w:rPr>
            </w:pPr>
            <w:r>
              <w:rPr>
                <w:rStyle w:val="5"/>
                <w:rFonts w:hint="eastAsia" w:ascii="宋体" w:hAnsi="宋体" w:eastAsia="宋体" w:cs="宋体"/>
                <w:color w:val="auto"/>
                <w:kern w:val="0"/>
                <w:sz w:val="21"/>
                <w:szCs w:val="21"/>
                <w:lang w:eastAsia="zh-CN"/>
              </w:rPr>
              <w:t>接到采购人通知</w:t>
            </w:r>
            <w:r>
              <w:rPr>
                <w:rStyle w:val="5"/>
                <w:rFonts w:hint="eastAsia" w:ascii="宋体" w:hAnsi="宋体" w:eastAsia="宋体" w:cs="宋体"/>
                <w:color w:val="auto"/>
                <w:kern w:val="0"/>
                <w:sz w:val="21"/>
                <w:szCs w:val="21"/>
                <w:lang w:val="en-US" w:eastAsia="zh-CN"/>
              </w:rPr>
              <w:t>2小时内响应，24小时内到达现场。</w:t>
            </w:r>
          </w:p>
        </w:tc>
      </w:tr>
      <w:tr w14:paraId="0CB4B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80" w:hRule="atLeast"/>
        </w:trPr>
        <w:tc>
          <w:tcPr>
            <w:tcW w:w="2091" w:type="dxa"/>
            <w:noWrap w:val="0"/>
            <w:tcMar>
              <w:top w:w="0" w:type="dxa"/>
              <w:left w:w="108" w:type="dxa"/>
              <w:bottom w:w="0" w:type="dxa"/>
              <w:right w:w="108" w:type="dxa"/>
            </w:tcMar>
            <w:vAlign w:val="center"/>
          </w:tcPr>
          <w:p w14:paraId="57C78769">
            <w:pPr>
              <w:pStyle w:val="6"/>
              <w:pageBreakBefore w:val="0"/>
              <w:widowControl/>
              <w:kinsoku/>
              <w:wordWrap w:val="0"/>
              <w:overflowPunct w:val="0"/>
              <w:topLinePunct w:val="0"/>
              <w:bidi w:val="0"/>
              <w:jc w:val="center"/>
              <w:textAlignment w:val="auto"/>
              <w:rPr>
                <w:rStyle w:val="5"/>
                <w:rFonts w:hint="eastAsia" w:ascii="宋体" w:hAnsi="宋体" w:eastAsia="宋体" w:cs="宋体"/>
                <w:color w:val="auto"/>
                <w:kern w:val="0"/>
                <w:sz w:val="21"/>
                <w:szCs w:val="21"/>
                <w:lang w:eastAsia="zh-CN"/>
              </w:rPr>
            </w:pPr>
            <w:r>
              <w:rPr>
                <w:rStyle w:val="5"/>
                <w:rFonts w:hint="eastAsia" w:ascii="宋体" w:hAnsi="宋体" w:eastAsia="宋体" w:cs="宋体"/>
                <w:color w:val="auto"/>
                <w:kern w:val="0"/>
                <w:sz w:val="21"/>
                <w:szCs w:val="21"/>
                <w:lang w:eastAsia="zh-CN"/>
              </w:rPr>
              <w:t>质量要求</w:t>
            </w:r>
          </w:p>
        </w:tc>
        <w:tc>
          <w:tcPr>
            <w:tcW w:w="5794" w:type="dxa"/>
            <w:noWrap w:val="0"/>
            <w:tcMar>
              <w:top w:w="0" w:type="dxa"/>
              <w:left w:w="108" w:type="dxa"/>
              <w:bottom w:w="0" w:type="dxa"/>
              <w:right w:w="108" w:type="dxa"/>
            </w:tcMar>
            <w:vAlign w:val="center"/>
          </w:tcPr>
          <w:p w14:paraId="6B62D723">
            <w:pPr>
              <w:pStyle w:val="6"/>
              <w:pageBreakBefore w:val="0"/>
              <w:widowControl/>
              <w:kinsoku/>
              <w:wordWrap w:val="0"/>
              <w:overflowPunct w:val="0"/>
              <w:topLinePunct w:val="0"/>
              <w:bidi w:val="0"/>
              <w:jc w:val="both"/>
              <w:textAlignment w:val="auto"/>
              <w:rPr>
                <w:rStyle w:val="5"/>
                <w:rFonts w:hint="eastAsia" w:ascii="宋体" w:hAnsi="宋体" w:eastAsia="宋体" w:cs="宋体"/>
                <w:color w:val="auto"/>
                <w:kern w:val="0"/>
                <w:sz w:val="21"/>
                <w:szCs w:val="21"/>
                <w:lang w:eastAsia="zh-CN"/>
              </w:rPr>
            </w:pPr>
            <w:r>
              <w:rPr>
                <w:rStyle w:val="5"/>
                <w:rFonts w:hint="eastAsia" w:ascii="宋体" w:hAnsi="宋体" w:eastAsia="宋体" w:cs="宋体"/>
                <w:color w:val="auto"/>
                <w:kern w:val="0"/>
                <w:sz w:val="21"/>
                <w:szCs w:val="21"/>
                <w:lang w:eastAsia="zh-CN"/>
              </w:rPr>
              <w:t>符合国家《建设工程施工质量验收统一标准》(GB50300-2001)以及相关工程质量验收规范的合格等级。</w:t>
            </w:r>
          </w:p>
        </w:tc>
      </w:tr>
      <w:tr w14:paraId="2D830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80" w:hRule="atLeast"/>
        </w:trPr>
        <w:tc>
          <w:tcPr>
            <w:tcW w:w="2091" w:type="dxa"/>
            <w:noWrap w:val="0"/>
            <w:tcMar>
              <w:top w:w="0" w:type="dxa"/>
              <w:left w:w="108" w:type="dxa"/>
              <w:bottom w:w="0" w:type="dxa"/>
              <w:right w:w="108" w:type="dxa"/>
            </w:tcMar>
            <w:vAlign w:val="center"/>
          </w:tcPr>
          <w:p w14:paraId="22A69C7F">
            <w:pPr>
              <w:pStyle w:val="6"/>
              <w:pageBreakBefore w:val="0"/>
              <w:widowControl/>
              <w:kinsoku/>
              <w:wordWrap w:val="0"/>
              <w:overflowPunct w:val="0"/>
              <w:topLinePunct w:val="0"/>
              <w:bidi w:val="0"/>
              <w:jc w:val="center"/>
              <w:textAlignment w:val="auto"/>
              <w:rPr>
                <w:rStyle w:val="5"/>
                <w:rFonts w:hint="eastAsia" w:ascii="宋体" w:hAnsi="宋体" w:eastAsia="宋体" w:cs="宋体"/>
                <w:color w:val="auto"/>
                <w:kern w:val="0"/>
                <w:sz w:val="21"/>
                <w:szCs w:val="21"/>
                <w:lang w:eastAsia="zh-CN"/>
              </w:rPr>
            </w:pPr>
            <w:r>
              <w:rPr>
                <w:rStyle w:val="5"/>
                <w:rFonts w:hint="eastAsia" w:ascii="宋体" w:hAnsi="宋体" w:eastAsia="宋体" w:cs="宋体"/>
                <w:color w:val="auto"/>
                <w:kern w:val="0"/>
                <w:sz w:val="21"/>
                <w:szCs w:val="21"/>
                <w:lang w:eastAsia="zh-CN"/>
              </w:rPr>
              <w:t>保修要求</w:t>
            </w:r>
          </w:p>
        </w:tc>
        <w:tc>
          <w:tcPr>
            <w:tcW w:w="5794" w:type="dxa"/>
            <w:noWrap w:val="0"/>
            <w:tcMar>
              <w:top w:w="0" w:type="dxa"/>
              <w:left w:w="108" w:type="dxa"/>
              <w:bottom w:w="0" w:type="dxa"/>
              <w:right w:w="108" w:type="dxa"/>
            </w:tcMar>
            <w:vAlign w:val="center"/>
          </w:tcPr>
          <w:p w14:paraId="2E8ECE68">
            <w:pPr>
              <w:pStyle w:val="6"/>
              <w:pageBreakBefore w:val="0"/>
              <w:widowControl/>
              <w:kinsoku/>
              <w:wordWrap w:val="0"/>
              <w:overflowPunct w:val="0"/>
              <w:topLinePunct w:val="0"/>
              <w:bidi w:val="0"/>
              <w:jc w:val="left"/>
              <w:textAlignment w:val="auto"/>
              <w:rPr>
                <w:rStyle w:val="5"/>
                <w:rFonts w:hint="eastAsia" w:ascii="宋体" w:hAnsi="宋体" w:eastAsia="宋体" w:cs="宋体"/>
                <w:color w:val="auto"/>
                <w:kern w:val="0"/>
                <w:sz w:val="21"/>
                <w:szCs w:val="21"/>
                <w:lang w:val="en-US" w:eastAsia="zh-CN"/>
              </w:rPr>
            </w:pPr>
            <w:r>
              <w:rPr>
                <w:rStyle w:val="5"/>
                <w:rFonts w:hint="eastAsia" w:ascii="宋体" w:hAnsi="宋体" w:eastAsia="宋体" w:cs="宋体"/>
                <w:color w:val="auto"/>
                <w:kern w:val="0"/>
                <w:sz w:val="21"/>
                <w:szCs w:val="21"/>
                <w:lang w:val="en-US" w:eastAsia="zh-CN"/>
              </w:rPr>
              <w:t>按《房屋建筑工程质量保修办法》（建设部 2000 年第 80 号令）执行</w:t>
            </w:r>
          </w:p>
        </w:tc>
      </w:tr>
      <w:tr w14:paraId="2B0E7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80" w:hRule="atLeast"/>
        </w:trPr>
        <w:tc>
          <w:tcPr>
            <w:tcW w:w="2091" w:type="dxa"/>
            <w:noWrap w:val="0"/>
            <w:tcMar>
              <w:top w:w="0" w:type="dxa"/>
              <w:left w:w="108" w:type="dxa"/>
              <w:bottom w:w="0" w:type="dxa"/>
              <w:right w:w="108" w:type="dxa"/>
            </w:tcMar>
            <w:vAlign w:val="center"/>
          </w:tcPr>
          <w:p w14:paraId="39D869C9">
            <w:pPr>
              <w:pStyle w:val="6"/>
              <w:pageBreakBefore w:val="0"/>
              <w:widowControl/>
              <w:kinsoku/>
              <w:wordWrap w:val="0"/>
              <w:overflowPunct w:val="0"/>
              <w:topLinePunct w:val="0"/>
              <w:bidi w:val="0"/>
              <w:jc w:val="center"/>
              <w:textAlignment w:val="auto"/>
              <w:rPr>
                <w:rStyle w:val="5"/>
                <w:rFonts w:hint="eastAsia" w:ascii="宋体" w:hAnsi="宋体" w:eastAsia="宋体" w:cs="宋体"/>
                <w:color w:val="auto"/>
                <w:kern w:val="0"/>
                <w:sz w:val="21"/>
                <w:szCs w:val="21"/>
              </w:rPr>
            </w:pPr>
            <w:r>
              <w:rPr>
                <w:rStyle w:val="5"/>
                <w:rFonts w:hint="eastAsia" w:ascii="宋体" w:hAnsi="宋体" w:eastAsia="宋体" w:cs="宋体"/>
                <w:color w:val="auto"/>
                <w:kern w:val="0"/>
                <w:sz w:val="21"/>
                <w:szCs w:val="21"/>
              </w:rPr>
              <w:t>合同价款支付方式和条件</w:t>
            </w:r>
          </w:p>
        </w:tc>
        <w:tc>
          <w:tcPr>
            <w:tcW w:w="5794" w:type="dxa"/>
            <w:noWrap w:val="0"/>
            <w:tcMar>
              <w:top w:w="0" w:type="dxa"/>
              <w:left w:w="108" w:type="dxa"/>
              <w:bottom w:w="0" w:type="dxa"/>
              <w:right w:w="108" w:type="dxa"/>
            </w:tcMar>
            <w:vAlign w:val="center"/>
          </w:tcPr>
          <w:p w14:paraId="71C73F81">
            <w:pPr>
              <w:pStyle w:val="6"/>
              <w:pageBreakBefore w:val="0"/>
              <w:widowControl/>
              <w:kinsoku/>
              <w:wordWrap w:val="0"/>
              <w:overflowPunct w:val="0"/>
              <w:topLinePunct w:val="0"/>
              <w:bidi w:val="0"/>
              <w:jc w:val="left"/>
              <w:textAlignment w:val="auto"/>
              <w:rPr>
                <w:rStyle w:val="5"/>
                <w:rFonts w:hint="eastAsia" w:ascii="宋体" w:hAnsi="宋体" w:eastAsia="宋体" w:cs="宋体"/>
                <w:color w:val="auto"/>
                <w:kern w:val="0"/>
                <w:sz w:val="21"/>
                <w:szCs w:val="21"/>
              </w:rPr>
            </w:pPr>
            <w:r>
              <w:rPr>
                <w:rStyle w:val="5"/>
                <w:rFonts w:hint="eastAsia" w:ascii="宋体" w:hAnsi="宋体" w:eastAsia="宋体" w:cs="宋体"/>
                <w:color w:val="auto"/>
                <w:kern w:val="0"/>
                <w:sz w:val="21"/>
                <w:szCs w:val="21"/>
                <w:lang w:val="en-US" w:eastAsia="zh-CN"/>
              </w:rPr>
              <w:t>合同签订后付合同总额的30%预付款，再按工程进度付款，当完成本项目工程量的70%时，支付合同总价的60%，结算审计终审后付至合同总价的97%，剩余3%为工程质量保证金，满一年后无质量问题一次性无息付清。</w:t>
            </w:r>
          </w:p>
        </w:tc>
      </w:tr>
      <w:tr w14:paraId="60B4C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680" w:hRule="atLeast"/>
        </w:trPr>
        <w:tc>
          <w:tcPr>
            <w:tcW w:w="2091" w:type="dxa"/>
            <w:noWrap w:val="0"/>
            <w:tcMar>
              <w:top w:w="0" w:type="dxa"/>
              <w:left w:w="108" w:type="dxa"/>
              <w:bottom w:w="0" w:type="dxa"/>
              <w:right w:w="108" w:type="dxa"/>
            </w:tcMar>
            <w:vAlign w:val="center"/>
          </w:tcPr>
          <w:p w14:paraId="05CC4FA4">
            <w:pPr>
              <w:pStyle w:val="6"/>
              <w:pageBreakBefore w:val="0"/>
              <w:widowControl/>
              <w:kinsoku/>
              <w:wordWrap w:val="0"/>
              <w:overflowPunct w:val="0"/>
              <w:topLinePunct w:val="0"/>
              <w:bidi w:val="0"/>
              <w:spacing w:before="210" w:after="210" w:line="360" w:lineRule="auto"/>
              <w:jc w:val="center"/>
              <w:textAlignment w:val="auto"/>
              <w:rPr>
                <w:rStyle w:val="5"/>
                <w:rFonts w:hint="eastAsia" w:ascii="宋体" w:hAnsi="宋体" w:eastAsia="宋体" w:cs="宋体"/>
                <w:color w:val="auto"/>
                <w:spacing w:val="30"/>
                <w:kern w:val="0"/>
                <w:sz w:val="21"/>
                <w:szCs w:val="21"/>
                <w:lang w:val="en-US" w:eastAsia="zh-CN" w:bidi="ar-SA"/>
              </w:rPr>
            </w:pPr>
            <w:r>
              <w:rPr>
                <w:rStyle w:val="5"/>
                <w:rFonts w:hint="eastAsia" w:ascii="宋体" w:hAnsi="宋体" w:eastAsia="宋体" w:cs="宋体"/>
                <w:color w:val="auto"/>
                <w:spacing w:val="30"/>
                <w:kern w:val="0"/>
                <w:sz w:val="21"/>
                <w:szCs w:val="21"/>
                <w:lang w:val="en-US" w:eastAsia="zh-CN" w:bidi="ar-SA"/>
              </w:rPr>
              <w:t>解决争议的方式</w:t>
            </w:r>
          </w:p>
        </w:tc>
        <w:tc>
          <w:tcPr>
            <w:tcW w:w="5794" w:type="dxa"/>
            <w:noWrap w:val="0"/>
            <w:tcMar>
              <w:top w:w="0" w:type="dxa"/>
              <w:left w:w="108" w:type="dxa"/>
              <w:bottom w:w="0" w:type="dxa"/>
              <w:right w:w="108" w:type="dxa"/>
            </w:tcMar>
            <w:vAlign w:val="center"/>
          </w:tcPr>
          <w:p w14:paraId="3247554B">
            <w:pPr>
              <w:pStyle w:val="6"/>
              <w:pageBreakBefore w:val="0"/>
              <w:widowControl/>
              <w:kinsoku/>
              <w:wordWrap w:val="0"/>
              <w:overflowPunct w:val="0"/>
              <w:topLinePunct w:val="0"/>
              <w:bidi w:val="0"/>
              <w:spacing w:before="210" w:after="210" w:line="360" w:lineRule="auto"/>
              <w:jc w:val="left"/>
              <w:textAlignment w:val="auto"/>
              <w:rPr>
                <w:rStyle w:val="5"/>
                <w:rFonts w:hint="eastAsia" w:ascii="宋体" w:hAnsi="宋体" w:eastAsia="宋体" w:cs="宋体"/>
                <w:color w:val="auto"/>
                <w:spacing w:val="30"/>
                <w:kern w:val="0"/>
                <w:sz w:val="21"/>
                <w:szCs w:val="21"/>
                <w:lang w:val="en-US" w:eastAsia="zh-CN" w:bidi="ar-SA"/>
              </w:rPr>
            </w:pPr>
            <w:r>
              <w:rPr>
                <w:rStyle w:val="5"/>
                <w:rFonts w:hint="eastAsia" w:ascii="宋体" w:hAnsi="宋体" w:eastAsia="宋体" w:cs="宋体"/>
                <w:bCs/>
                <w:color w:val="auto"/>
                <w:kern w:val="0"/>
                <w:sz w:val="21"/>
                <w:szCs w:val="21"/>
                <w:lang w:val="en-US" w:eastAsia="zh-CN" w:bidi="ar-SA"/>
              </w:rPr>
              <w:t>□</w:t>
            </w:r>
            <w:r>
              <w:rPr>
                <w:rStyle w:val="5"/>
                <w:rFonts w:hint="eastAsia" w:ascii="宋体" w:hAnsi="宋体" w:eastAsia="宋体" w:cs="宋体"/>
                <w:color w:val="auto"/>
                <w:kern w:val="2"/>
                <w:sz w:val="21"/>
                <w:szCs w:val="21"/>
                <w:lang w:val="en-US" w:eastAsia="zh-CN" w:bidi="ar-SA"/>
              </w:rPr>
              <w:t>仲裁</w:t>
            </w:r>
            <w:r>
              <w:rPr>
                <w:rStyle w:val="5"/>
                <w:rFonts w:hint="eastAsia" w:ascii="宋体" w:hAnsi="宋体" w:eastAsia="宋体" w:cs="宋体"/>
                <w:bCs/>
                <w:color w:val="auto"/>
                <w:kern w:val="0"/>
                <w:sz w:val="21"/>
                <w:szCs w:val="21"/>
                <w:lang w:val="en-US" w:eastAsia="zh-CN" w:bidi="ar-SA"/>
              </w:rPr>
              <w:t>☑</w:t>
            </w:r>
            <w:r>
              <w:rPr>
                <w:rStyle w:val="5"/>
                <w:rFonts w:hint="eastAsia" w:ascii="宋体" w:hAnsi="宋体" w:eastAsia="宋体" w:cs="宋体"/>
                <w:color w:val="auto"/>
                <w:kern w:val="2"/>
                <w:sz w:val="21"/>
                <w:szCs w:val="21"/>
                <w:lang w:val="en-US" w:eastAsia="zh-CN" w:bidi="ar-SA"/>
              </w:rPr>
              <w:t>诉讼</w:t>
            </w:r>
          </w:p>
        </w:tc>
      </w:tr>
    </w:tbl>
    <w:p w14:paraId="5E429002">
      <w:pPr>
        <w:pStyle w:val="6"/>
        <w:pageBreakBefore w:val="0"/>
        <w:widowControl/>
        <w:numPr>
          <w:ilvl w:val="0"/>
          <w:numId w:val="1"/>
        </w:numPr>
        <w:kinsoku/>
        <w:wordWrap w:val="0"/>
        <w:overflowPunct w:val="0"/>
        <w:topLinePunct w:val="0"/>
        <w:bidi w:val="0"/>
        <w:spacing w:line="360" w:lineRule="auto"/>
        <w:jc w:val="left"/>
        <w:textAlignment w:val="auto"/>
        <w:rPr>
          <w:rStyle w:val="5"/>
          <w:rFonts w:hint="eastAsia" w:ascii="宋体" w:hAnsi="宋体" w:eastAsia="宋体" w:cs="宋体"/>
          <w:b w:val="0"/>
          <w:bCs w:val="0"/>
          <w:color w:val="auto"/>
          <w:spacing w:val="30"/>
          <w:kern w:val="0"/>
          <w:sz w:val="21"/>
          <w:szCs w:val="21"/>
          <w:lang w:val="en-US" w:eastAsia="zh-CN" w:bidi="ar-SA"/>
        </w:rPr>
      </w:pPr>
      <w:r>
        <w:rPr>
          <w:rStyle w:val="5"/>
          <w:rFonts w:hint="eastAsia" w:ascii="宋体" w:hAnsi="宋体" w:eastAsia="宋体" w:cs="宋体"/>
          <w:b/>
          <w:bCs/>
          <w:color w:val="auto"/>
          <w:spacing w:val="30"/>
          <w:kern w:val="0"/>
          <w:sz w:val="21"/>
          <w:szCs w:val="21"/>
          <w:lang w:val="en-US" w:eastAsia="zh-CN" w:bidi="ar-SA"/>
        </w:rPr>
        <w:t>其他要求：</w:t>
      </w:r>
      <w:r>
        <w:rPr>
          <w:rStyle w:val="5"/>
          <w:rFonts w:hint="eastAsia" w:ascii="宋体" w:hAnsi="宋体" w:eastAsia="宋体" w:cs="宋体"/>
          <w:color w:val="auto"/>
          <w:sz w:val="21"/>
          <w:szCs w:val="21"/>
          <w:lang w:val="en-US" w:eastAsia="zh-CN"/>
        </w:rPr>
        <w:t>投标人按采购需求编制报价文件，根据工程量清单进行报价。报价文件由投标人自行编制的，应当由在本企业的造价工程师签字并加盖注册造价师执业专用章；投标人委托他人编制投标报价文件的，应当委托具有相应资质的工程造价咨询机构编制并在响应文件中附有委托合同，同时由被委托人的注册造价工程师签字并加盖注册造价工程师执业专用章。未按本规定提供的投标报价文件无效，作为无效投标处理。工程造价咨询机构在同一招标项目中，只能接受一个投标人的委托编制投标报价文件，否则其编制的投标报价文件无效，作为无效投标处理。</w:t>
      </w:r>
    </w:p>
    <w:p w14:paraId="4A762000">
      <w:pPr>
        <w:pStyle w:val="9"/>
        <w:numPr>
          <w:ilvl w:val="0"/>
          <w:numId w:val="1"/>
        </w:numPr>
        <w:rPr>
          <w:rStyle w:val="5"/>
          <w:rFonts w:hint="eastAsia" w:ascii="宋体" w:hAnsi="宋体" w:eastAsia="宋体" w:cs="宋体"/>
          <w:color w:val="auto"/>
          <w:sz w:val="21"/>
          <w:szCs w:val="21"/>
          <w:lang w:val="en-US" w:eastAsia="zh-CN"/>
        </w:rPr>
      </w:pPr>
      <w:r>
        <w:rPr>
          <w:rStyle w:val="5"/>
          <w:rFonts w:hint="eastAsia" w:ascii="宋体" w:hAnsi="宋体" w:eastAsia="宋体" w:cs="宋体"/>
          <w:color w:val="auto"/>
          <w:sz w:val="21"/>
          <w:szCs w:val="21"/>
        </w:rPr>
        <w:t>踏勘</w:t>
      </w:r>
    </w:p>
    <w:p w14:paraId="053B0A8D">
      <w:pPr>
        <w:pStyle w:val="6"/>
        <w:rPr>
          <w:rStyle w:val="5"/>
          <w:rFonts w:hint="eastAsia" w:ascii="宋体" w:hAnsi="宋体" w:eastAsia="宋体" w:cs="宋体"/>
          <w:color w:val="auto"/>
          <w:sz w:val="21"/>
          <w:szCs w:val="21"/>
        </w:rPr>
      </w:pPr>
      <w:r>
        <w:rPr>
          <w:rStyle w:val="5"/>
          <w:rFonts w:hint="eastAsia" w:ascii="宋体" w:hAnsi="宋体" w:eastAsia="宋体" w:cs="宋体"/>
          <w:color w:val="auto"/>
          <w:sz w:val="21"/>
          <w:szCs w:val="21"/>
        </w:rPr>
        <w:t>投标人在投标前，采购人不统一组织踏勘现场。投标人自行到甲方项目现场进行实地勘察，有关费用自理，踏勘期间发生的意外自负。</w:t>
      </w:r>
    </w:p>
    <w:p w14:paraId="1E07D4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8B20C9"/>
    <w:multiLevelType w:val="singleLevel"/>
    <w:tmpl w:val="7D8B20C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881E3C"/>
    <w:rsid w:val="04B50E5E"/>
    <w:rsid w:val="26881E3C"/>
    <w:rsid w:val="3B882DB9"/>
    <w:rsid w:val="580B3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b/>
      <w:bCs/>
      <w:kern w:val="44"/>
      <w:sz w:val="44"/>
      <w:szCs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正文_17"/>
    <w:next w:val="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
    <w:name w:val="页眉_0"/>
    <w:basedOn w:val="6"/>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NormalCharacter"/>
    <w:qFormat/>
    <w:uiPriority w:val="0"/>
  </w:style>
  <w:style w:type="paragraph" w:customStyle="1" w:styleId="9">
    <w:name w:val="正文1"/>
    <w:basedOn w:val="6"/>
    <w:qFormat/>
    <w:uiPriority w:val="0"/>
    <w:pPr>
      <w:widowControl/>
      <w:spacing w:before="120" w:after="120"/>
      <w:jc w:val="left"/>
    </w:pPr>
    <w:rPr>
      <w:rFonts w:ascii="Arial" w:hAnsi="Arial" w:cs="Arial"/>
      <w:kern w:val="0"/>
      <w:sz w:val="24"/>
    </w:rPr>
  </w:style>
  <w:style w:type="character" w:customStyle="1" w:styleId="10">
    <w:name w:val="font21"/>
    <w:basedOn w:val="5"/>
    <w:qFormat/>
    <w:uiPriority w:val="0"/>
    <w:rPr>
      <w:rFonts w:hint="eastAsia" w:ascii="宋体" w:hAnsi="宋体" w:eastAsia="宋体" w:cs="宋体"/>
      <w:color w:val="000000"/>
      <w:sz w:val="18"/>
      <w:szCs w:val="18"/>
      <w:u w:val="none"/>
    </w:rPr>
  </w:style>
  <w:style w:type="character" w:customStyle="1" w:styleId="11">
    <w:name w:val="font31"/>
    <w:basedOn w:val="5"/>
    <w:qFormat/>
    <w:uiPriority w:val="0"/>
    <w:rPr>
      <w:rFonts w:hint="default" w:ascii="Times New Roman" w:hAnsi="Times New Roman" w:cs="Times New Roman"/>
      <w:color w:val="000000"/>
      <w:sz w:val="18"/>
      <w:szCs w:val="18"/>
      <w:u w:val="none"/>
    </w:rPr>
  </w:style>
  <w:style w:type="character" w:customStyle="1" w:styleId="12">
    <w:name w:val="font11"/>
    <w:basedOn w:val="5"/>
    <w:qFormat/>
    <w:uiPriority w:val="0"/>
    <w:rPr>
      <w:rFonts w:hint="eastAsia" w:ascii="宋体" w:hAnsi="宋体" w:eastAsia="宋体" w:cs="宋体"/>
      <w:color w:val="000000"/>
      <w:sz w:val="18"/>
      <w:szCs w:val="18"/>
      <w:u w:val="none"/>
    </w:rPr>
  </w:style>
  <w:style w:type="character" w:customStyle="1" w:styleId="13">
    <w:name w:val="15"/>
    <w:qFormat/>
    <w:uiPriority w:val="0"/>
    <w:rPr>
      <w:rFonts w:hint="default" w:ascii="Calibri" w:hAnsi="Calibri"/>
      <w:color w:val="00000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33588</Words>
  <Characters>38920</Characters>
  <Lines>0</Lines>
  <Paragraphs>0</Paragraphs>
  <TotalTime>1</TotalTime>
  <ScaleCrop>false</ScaleCrop>
  <LinksUpToDate>false</LinksUpToDate>
  <CharactersWithSpaces>39758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2026-09-09T02:10:00Z</dcterms:created>
  <dc:creator>朵朵</dc:creator>
  <cp:lastModifiedBy>admin</cp:lastModifiedBy>
  <dcterms:modified xsi:type="dcterms:W3CDTF">2026-09-10T03:17:11Z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C6DE0AF71FA041A093DC13218FD101B4_11</vt:lpwstr>
  </property>
  <property fmtid="{D5CDD505-2E9C-101B-9397-08002B2CF9AE}" pid="4" name="KSOTemplateDocerSaveRecord">
    <vt:lpwstr>eyJoZGlkIjoiMTI5MmYxNTQ0ZTRhYjc1ZDIzZDE5ZTEyYTdjYjY1MWEifQ==</vt:lpwstr>
  </property>
</Properties>
</file>