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51410">
      <w:pPr>
        <w:pStyle w:val="24"/>
        <w:adjustRightInd w:val="0"/>
        <w:snapToGrid w:val="0"/>
        <w:spacing w:line="240" w:lineRule="atLeast"/>
        <w:rPr>
          <w:rFonts w:hAnsi="宋体"/>
          <w:color w:val="auto"/>
          <w:sz w:val="44"/>
        </w:rPr>
      </w:pPr>
    </w:p>
    <w:p w14:paraId="7EF8A0C7">
      <w:pPr>
        <w:pStyle w:val="24"/>
        <w:adjustRightInd w:val="0"/>
        <w:snapToGrid w:val="0"/>
        <w:spacing w:line="240" w:lineRule="atLeast"/>
        <w:rPr>
          <w:rFonts w:hAnsi="宋体"/>
          <w:color w:val="auto"/>
          <w:sz w:val="44"/>
        </w:rPr>
      </w:pPr>
    </w:p>
    <w:p w14:paraId="47411A0B">
      <w:pPr>
        <w:pStyle w:val="24"/>
        <w:adjustRightInd w:val="0"/>
        <w:snapToGrid w:val="0"/>
        <w:spacing w:line="240" w:lineRule="atLeast"/>
        <w:rPr>
          <w:rFonts w:hAnsi="宋体"/>
          <w:color w:val="auto"/>
          <w:sz w:val="44"/>
        </w:rPr>
      </w:pPr>
    </w:p>
    <w:p w14:paraId="485891D8">
      <w:pPr>
        <w:pStyle w:val="24"/>
        <w:adjustRightInd w:val="0"/>
        <w:snapToGrid w:val="0"/>
        <w:spacing w:line="240" w:lineRule="atLeast"/>
        <w:jc w:val="center"/>
        <w:rPr>
          <w:rFonts w:ascii="华文中宋" w:hAnsi="华文中宋" w:eastAsia="华文中宋"/>
          <w:b/>
          <w:bCs/>
          <w:color w:val="auto"/>
          <w:sz w:val="84"/>
          <w:szCs w:val="84"/>
        </w:rPr>
      </w:pPr>
      <w:r>
        <w:rPr>
          <w:rFonts w:hint="eastAsia" w:ascii="华文中宋" w:hAnsi="华文中宋" w:eastAsia="华文中宋"/>
          <w:b/>
          <w:bCs/>
          <w:color w:val="auto"/>
          <w:sz w:val="84"/>
          <w:szCs w:val="84"/>
        </w:rPr>
        <w:t>政府采购</w:t>
      </w:r>
    </w:p>
    <w:p w14:paraId="4BD58BD1">
      <w:pPr>
        <w:pStyle w:val="24"/>
        <w:adjustRightInd w:val="0"/>
        <w:snapToGrid w:val="0"/>
        <w:spacing w:line="240" w:lineRule="atLeast"/>
        <w:jc w:val="center"/>
        <w:rPr>
          <w:rFonts w:ascii="华文中宋" w:hAnsi="华文中宋" w:eastAsia="华文中宋"/>
          <w:b/>
          <w:bCs/>
          <w:color w:val="auto"/>
          <w:sz w:val="84"/>
          <w:szCs w:val="84"/>
        </w:rPr>
      </w:pPr>
      <w:r>
        <w:rPr>
          <w:rFonts w:hint="eastAsia" w:ascii="华文中宋" w:hAnsi="华文中宋" w:eastAsia="华文中宋"/>
          <w:b/>
          <w:bCs/>
          <w:color w:val="auto"/>
          <w:sz w:val="84"/>
          <w:szCs w:val="84"/>
        </w:rPr>
        <w:t>货物项目招标文件</w:t>
      </w:r>
    </w:p>
    <w:p w14:paraId="680164B6">
      <w:pPr>
        <w:pStyle w:val="24"/>
        <w:adjustRightInd w:val="0"/>
        <w:snapToGrid w:val="0"/>
        <w:spacing w:line="240" w:lineRule="atLeast"/>
        <w:jc w:val="center"/>
        <w:rPr>
          <w:rFonts w:ascii="华文中宋" w:hAnsi="华文中宋" w:eastAsia="华文中宋"/>
          <w:b/>
          <w:bCs/>
          <w:color w:val="auto"/>
          <w:sz w:val="44"/>
          <w:szCs w:val="44"/>
        </w:rPr>
      </w:pPr>
    </w:p>
    <w:p w14:paraId="0B519CCD">
      <w:pPr>
        <w:pStyle w:val="24"/>
        <w:adjustRightInd w:val="0"/>
        <w:snapToGrid w:val="0"/>
        <w:spacing w:line="240" w:lineRule="atLeast"/>
        <w:rPr>
          <w:rFonts w:ascii="华文中宋" w:hAnsi="华文中宋" w:eastAsia="华文中宋"/>
          <w:b/>
          <w:bCs/>
          <w:color w:val="auto"/>
          <w:sz w:val="21"/>
        </w:rPr>
      </w:pPr>
    </w:p>
    <w:p w14:paraId="7217E1A3">
      <w:pPr>
        <w:pStyle w:val="24"/>
        <w:adjustRightInd w:val="0"/>
        <w:snapToGrid w:val="0"/>
        <w:spacing w:line="240" w:lineRule="atLeast"/>
        <w:jc w:val="center"/>
        <w:rPr>
          <w:rFonts w:ascii="华文中宋" w:hAnsi="华文中宋" w:eastAsia="华文中宋"/>
          <w:b/>
          <w:bCs/>
          <w:color w:val="auto"/>
          <w:sz w:val="44"/>
          <w:szCs w:val="44"/>
        </w:rPr>
      </w:pPr>
    </w:p>
    <w:p w14:paraId="623944D6">
      <w:pPr>
        <w:pStyle w:val="24"/>
        <w:adjustRightInd w:val="0"/>
        <w:snapToGrid w:val="0"/>
        <w:spacing w:line="240" w:lineRule="atLeast"/>
        <w:jc w:val="center"/>
        <w:rPr>
          <w:rFonts w:ascii="华文中宋" w:hAnsi="华文中宋" w:eastAsia="华文中宋"/>
          <w:b/>
          <w:bCs/>
          <w:color w:val="auto"/>
          <w:sz w:val="44"/>
          <w:szCs w:val="44"/>
        </w:rPr>
      </w:pPr>
    </w:p>
    <w:p w14:paraId="417360DC">
      <w:pPr>
        <w:pStyle w:val="24"/>
        <w:adjustRightInd w:val="0"/>
        <w:snapToGrid w:val="0"/>
        <w:spacing w:line="240" w:lineRule="atLeast"/>
        <w:jc w:val="center"/>
        <w:rPr>
          <w:rFonts w:ascii="华文中宋" w:hAnsi="华文中宋" w:eastAsia="华文中宋"/>
          <w:b/>
          <w:bCs/>
          <w:color w:val="auto"/>
          <w:sz w:val="44"/>
          <w:szCs w:val="44"/>
        </w:rPr>
      </w:pPr>
    </w:p>
    <w:p w14:paraId="2FB8BDD5">
      <w:pPr>
        <w:pStyle w:val="24"/>
        <w:adjustRightInd w:val="0"/>
        <w:snapToGrid w:val="0"/>
        <w:spacing w:line="240" w:lineRule="atLeast"/>
        <w:jc w:val="center"/>
        <w:rPr>
          <w:rFonts w:ascii="华文中宋" w:hAnsi="华文中宋" w:eastAsia="华文中宋"/>
          <w:bCs/>
          <w:color w:val="auto"/>
        </w:rPr>
      </w:pPr>
    </w:p>
    <w:p w14:paraId="2BB50CA5">
      <w:pPr>
        <w:adjustRightInd w:val="0"/>
        <w:snapToGrid w:val="0"/>
        <w:spacing w:line="360" w:lineRule="auto"/>
        <w:ind w:left="3207" w:leftChars="456" w:hanging="2249" w:hangingChars="700"/>
        <w:rPr>
          <w:rFonts w:hint="eastAsia" w:hAnsi="宋体" w:eastAsia="宋体"/>
          <w:b/>
          <w:color w:val="auto"/>
          <w:sz w:val="32"/>
          <w:szCs w:val="32"/>
          <w:lang w:eastAsia="zh-CN"/>
        </w:rPr>
      </w:pPr>
      <w:r>
        <w:rPr>
          <w:rFonts w:hint="eastAsia" w:hAnsi="宋体"/>
          <w:b/>
          <w:color w:val="auto"/>
          <w:sz w:val="32"/>
          <w:szCs w:val="32"/>
        </w:rPr>
        <w:t>采购项目名称：</w:t>
      </w:r>
      <w:r>
        <w:rPr>
          <w:rFonts w:hint="eastAsia" w:hAnsi="宋体"/>
          <w:b/>
          <w:color w:val="auto"/>
          <w:sz w:val="32"/>
          <w:szCs w:val="32"/>
          <w:u w:val="single"/>
          <w:lang w:val="en-US" w:eastAsia="zh-CN"/>
        </w:rPr>
        <w:t>新化县第十一中学新校区设备采购</w:t>
      </w:r>
    </w:p>
    <w:p w14:paraId="22128AFF">
      <w:pPr>
        <w:adjustRightInd w:val="0"/>
        <w:snapToGrid w:val="0"/>
        <w:spacing w:line="360" w:lineRule="auto"/>
        <w:ind w:firstLine="1124" w:firstLineChars="350"/>
        <w:rPr>
          <w:rFonts w:hint="default" w:hAnsi="宋体"/>
          <w:b/>
          <w:color w:val="auto"/>
          <w:sz w:val="32"/>
          <w:szCs w:val="32"/>
          <w:highlight w:val="red"/>
          <w:lang w:val="en-US"/>
        </w:rPr>
      </w:pPr>
      <w:r>
        <w:rPr>
          <w:rFonts w:hint="eastAsia" w:hAnsi="宋体"/>
          <w:b/>
          <w:color w:val="auto"/>
          <w:sz w:val="32"/>
          <w:szCs w:val="32"/>
        </w:rPr>
        <w:t>政府采购计划编号：</w:t>
      </w:r>
      <w:r>
        <w:rPr>
          <w:rFonts w:hint="eastAsia" w:hAnsi="宋体" w:cs="Times New Roman"/>
          <w:bCs/>
          <w:color w:val="auto"/>
          <w:sz w:val="32"/>
          <w:szCs w:val="32"/>
          <w:u w:val="single"/>
          <w:lang w:val="en-US" w:eastAsia="zh-CN"/>
        </w:rPr>
        <w:t>（</w:t>
      </w:r>
      <w:r>
        <w:rPr>
          <w:rFonts w:hint="eastAsia" w:ascii="Times New Roman" w:hAnsi="宋体" w:eastAsia="宋体" w:cs="Times New Roman"/>
          <w:bCs/>
          <w:color w:val="auto"/>
          <w:sz w:val="32"/>
          <w:szCs w:val="32"/>
          <w:u w:val="single"/>
          <w:lang w:val="en-US" w:eastAsia="zh-CN"/>
        </w:rPr>
        <w:t>2026</w:t>
      </w:r>
      <w:r>
        <w:rPr>
          <w:rFonts w:hint="eastAsia" w:hAnsi="宋体" w:cs="Times New Roman"/>
          <w:bCs/>
          <w:color w:val="auto"/>
          <w:sz w:val="32"/>
          <w:szCs w:val="32"/>
          <w:u w:val="single"/>
          <w:lang w:val="en-US" w:eastAsia="zh-CN"/>
        </w:rPr>
        <w:t>）</w:t>
      </w:r>
      <w:bookmarkStart w:id="1525" w:name="_GoBack"/>
      <w:bookmarkEnd w:id="1525"/>
      <w:r>
        <w:rPr>
          <w:rFonts w:hint="eastAsia" w:ascii="Times New Roman" w:hAnsi="宋体" w:eastAsia="宋体" w:cs="Times New Roman"/>
          <w:bCs/>
          <w:color w:val="auto"/>
          <w:sz w:val="32"/>
          <w:szCs w:val="32"/>
          <w:u w:val="single"/>
          <w:lang w:val="en-US" w:eastAsia="zh-CN"/>
        </w:rPr>
        <w:t>431322000012</w:t>
      </w:r>
      <w:r>
        <w:rPr>
          <w:rFonts w:hint="eastAsia" w:hAnsi="宋体" w:cs="Times New Roman"/>
          <w:bCs/>
          <w:color w:val="auto"/>
          <w:sz w:val="32"/>
          <w:szCs w:val="32"/>
          <w:u w:val="single"/>
          <w:lang w:val="en-US" w:eastAsia="zh-CN"/>
        </w:rPr>
        <w:t>-1</w:t>
      </w:r>
      <w:r>
        <w:rPr>
          <w:rFonts w:hint="eastAsia" w:ascii="Times New Roman" w:hAnsi="宋体" w:eastAsia="宋体" w:cs="Times New Roman"/>
          <w:bCs/>
          <w:color w:val="auto"/>
          <w:sz w:val="32"/>
          <w:szCs w:val="32"/>
          <w:u w:val="single"/>
          <w:lang w:val="en-US" w:eastAsia="zh-CN"/>
        </w:rPr>
        <w:t xml:space="preserve">  </w:t>
      </w:r>
    </w:p>
    <w:p w14:paraId="0D49ABA3">
      <w:pPr>
        <w:adjustRightInd w:val="0"/>
        <w:snapToGrid w:val="0"/>
        <w:spacing w:line="360" w:lineRule="auto"/>
        <w:ind w:firstLine="1124" w:firstLineChars="350"/>
        <w:rPr>
          <w:rFonts w:hint="default" w:hAnsi="宋体" w:eastAsia="宋体"/>
          <w:bCs/>
          <w:color w:val="auto"/>
          <w:sz w:val="32"/>
          <w:szCs w:val="32"/>
          <w:u w:val="single"/>
          <w:lang w:val="en-US" w:eastAsia="zh-CN"/>
        </w:rPr>
      </w:pPr>
      <w:r>
        <w:rPr>
          <w:rFonts w:hint="eastAsia" w:hAnsi="宋体"/>
          <w:b/>
          <w:color w:val="auto"/>
          <w:sz w:val="32"/>
          <w:szCs w:val="32"/>
        </w:rPr>
        <w:t>委托代理编号：</w:t>
      </w:r>
      <w:r>
        <w:rPr>
          <w:rFonts w:hint="eastAsia" w:hAnsi="宋体"/>
          <w:bCs/>
          <w:color w:val="auto"/>
          <w:sz w:val="32"/>
          <w:szCs w:val="32"/>
          <w:u w:val="single"/>
          <w:lang w:eastAsia="zh-CN"/>
        </w:rPr>
        <w:t>LDZC-202</w:t>
      </w:r>
      <w:r>
        <w:rPr>
          <w:rFonts w:hint="eastAsia" w:hAnsi="宋体"/>
          <w:bCs/>
          <w:color w:val="auto"/>
          <w:sz w:val="32"/>
          <w:szCs w:val="32"/>
          <w:u w:val="single"/>
          <w:lang w:val="en-US" w:eastAsia="zh-CN"/>
        </w:rPr>
        <w:t>6</w:t>
      </w:r>
      <w:r>
        <w:rPr>
          <w:rFonts w:hint="eastAsia" w:hAnsi="宋体"/>
          <w:bCs/>
          <w:color w:val="auto"/>
          <w:sz w:val="32"/>
          <w:szCs w:val="32"/>
          <w:u w:val="single"/>
          <w:lang w:eastAsia="zh-CN"/>
        </w:rPr>
        <w:t>GK00</w:t>
      </w:r>
      <w:r>
        <w:rPr>
          <w:rFonts w:hint="eastAsia" w:hAnsi="宋体"/>
          <w:bCs/>
          <w:color w:val="auto"/>
          <w:sz w:val="32"/>
          <w:szCs w:val="32"/>
          <w:u w:val="single"/>
          <w:lang w:val="en-US" w:eastAsia="zh-CN"/>
        </w:rPr>
        <w:t xml:space="preserve">70   </w:t>
      </w:r>
      <w:r>
        <w:rPr>
          <w:rFonts w:hint="eastAsia" w:hAnsi="宋体"/>
          <w:bCs/>
          <w:color w:val="auto"/>
          <w:sz w:val="32"/>
          <w:szCs w:val="32"/>
          <w:u w:val="single"/>
          <w:lang w:eastAsia="zh-CN"/>
        </w:rPr>
        <w:t xml:space="preserve"> </w:t>
      </w:r>
      <w:r>
        <w:rPr>
          <w:rFonts w:hint="eastAsia" w:hAnsi="宋体"/>
          <w:bCs/>
          <w:color w:val="auto"/>
          <w:sz w:val="32"/>
          <w:szCs w:val="32"/>
          <w:u w:val="single"/>
          <w:lang w:val="en-US" w:eastAsia="zh-CN"/>
        </w:rPr>
        <w:t xml:space="preserve">    </w:t>
      </w:r>
    </w:p>
    <w:p w14:paraId="7FD2C147">
      <w:pPr>
        <w:adjustRightInd w:val="0"/>
        <w:snapToGrid w:val="0"/>
        <w:spacing w:line="360" w:lineRule="auto"/>
        <w:ind w:firstLine="1124" w:firstLineChars="350"/>
        <w:rPr>
          <w:rFonts w:hint="eastAsia" w:hAnsi="宋体"/>
          <w:b/>
          <w:color w:val="auto"/>
          <w:sz w:val="32"/>
          <w:szCs w:val="32"/>
          <w:u w:val="single"/>
          <w:lang w:eastAsia="zh-CN"/>
        </w:rPr>
      </w:pPr>
      <w:r>
        <w:rPr>
          <w:rFonts w:hint="eastAsia" w:hAnsi="宋体"/>
          <w:b/>
          <w:color w:val="auto"/>
          <w:sz w:val="32"/>
          <w:szCs w:val="32"/>
        </w:rPr>
        <w:t>采   购   人：</w:t>
      </w:r>
      <w:r>
        <w:rPr>
          <w:rFonts w:hint="eastAsia" w:hAnsi="宋体"/>
          <w:b/>
          <w:color w:val="auto"/>
          <w:sz w:val="32"/>
          <w:szCs w:val="32"/>
          <w:u w:val="single"/>
          <w:lang w:eastAsia="zh-CN"/>
        </w:rPr>
        <w:t>新化县田坪镇中心学校</w:t>
      </w:r>
    </w:p>
    <w:p w14:paraId="5161E2BD">
      <w:pPr>
        <w:adjustRightInd w:val="0"/>
        <w:snapToGrid w:val="0"/>
        <w:spacing w:line="360" w:lineRule="auto"/>
        <w:ind w:firstLine="1124" w:firstLineChars="350"/>
        <w:rPr>
          <w:rFonts w:ascii="宋体"/>
          <w:b/>
          <w:color w:val="auto"/>
          <w:sz w:val="32"/>
          <w:szCs w:val="21"/>
        </w:rPr>
      </w:pPr>
      <w:r>
        <w:rPr>
          <w:rFonts w:hint="eastAsia" w:ascii="宋体"/>
          <w:b/>
          <w:color w:val="auto"/>
          <w:sz w:val="32"/>
          <w:szCs w:val="21"/>
        </w:rPr>
        <w:t>采购代理机构：</w:t>
      </w:r>
      <w:r>
        <w:rPr>
          <w:rFonts w:hint="eastAsia" w:ascii="宋体"/>
          <w:b/>
          <w:color w:val="auto"/>
          <w:sz w:val="32"/>
          <w:szCs w:val="21"/>
          <w:u w:val="single"/>
        </w:rPr>
        <w:t>娄底市政府采购中心</w:t>
      </w:r>
    </w:p>
    <w:p w14:paraId="34711B38">
      <w:pPr>
        <w:pStyle w:val="24"/>
        <w:adjustRightInd w:val="0"/>
        <w:snapToGrid w:val="0"/>
        <w:spacing w:line="360" w:lineRule="auto"/>
        <w:jc w:val="center"/>
        <w:rPr>
          <w:rFonts w:hAnsi="宋体"/>
          <w:bCs/>
          <w:color w:val="auto"/>
          <w:sz w:val="32"/>
          <w:szCs w:val="32"/>
        </w:rPr>
      </w:pPr>
    </w:p>
    <w:p w14:paraId="7D451DF5">
      <w:pPr>
        <w:pStyle w:val="24"/>
        <w:adjustRightInd w:val="0"/>
        <w:snapToGrid w:val="0"/>
        <w:spacing w:line="240" w:lineRule="atLeast"/>
        <w:jc w:val="center"/>
        <w:rPr>
          <w:rFonts w:hAnsi="宋体"/>
          <w:bCs/>
          <w:color w:val="auto"/>
          <w:sz w:val="32"/>
          <w:szCs w:val="32"/>
        </w:rPr>
      </w:pPr>
    </w:p>
    <w:p w14:paraId="246662FA">
      <w:pPr>
        <w:pStyle w:val="24"/>
        <w:adjustRightInd w:val="0"/>
        <w:snapToGrid w:val="0"/>
        <w:spacing w:line="240" w:lineRule="atLeast"/>
        <w:jc w:val="center"/>
        <w:rPr>
          <w:rFonts w:hAnsi="宋体"/>
          <w:bCs/>
          <w:color w:val="auto"/>
          <w:sz w:val="30"/>
          <w:szCs w:val="30"/>
        </w:rPr>
      </w:pPr>
    </w:p>
    <w:p w14:paraId="5ACCDDDF">
      <w:pPr>
        <w:pStyle w:val="24"/>
        <w:adjustRightInd w:val="0"/>
        <w:snapToGrid w:val="0"/>
        <w:spacing w:line="240" w:lineRule="atLeast"/>
        <w:ind w:firstLine="3534" w:firstLineChars="1100"/>
        <w:jc w:val="both"/>
        <w:rPr>
          <w:rFonts w:ascii="华文中宋" w:hAnsi="华文中宋" w:eastAsia="华文中宋"/>
          <w:b/>
          <w:color w:val="auto"/>
          <w:spacing w:val="160"/>
          <w:sz w:val="36"/>
          <w:szCs w:val="36"/>
        </w:rPr>
      </w:pPr>
      <w:r>
        <w:rPr>
          <w:rFonts w:hint="eastAsia" w:hAnsi="宋体"/>
          <w:b/>
          <w:color w:val="auto"/>
          <w:sz w:val="32"/>
        </w:rPr>
        <w:t>202</w:t>
      </w:r>
      <w:r>
        <w:rPr>
          <w:rFonts w:hint="eastAsia" w:hAnsi="宋体"/>
          <w:b/>
          <w:color w:val="auto"/>
          <w:sz w:val="32"/>
          <w:lang w:val="en-US" w:eastAsia="zh-CN"/>
        </w:rPr>
        <w:t>6</w:t>
      </w:r>
      <w:r>
        <w:rPr>
          <w:rFonts w:hint="eastAsia" w:hAnsi="宋体"/>
          <w:b/>
          <w:color w:val="auto"/>
          <w:sz w:val="32"/>
        </w:rPr>
        <w:t>年</w:t>
      </w:r>
      <w:r>
        <w:rPr>
          <w:rFonts w:hint="eastAsia" w:hAnsi="宋体"/>
          <w:b/>
          <w:color w:val="auto"/>
          <w:sz w:val="32"/>
          <w:lang w:val="en-US" w:eastAsia="zh-CN"/>
        </w:rPr>
        <w:t>9</w:t>
      </w:r>
      <w:r>
        <w:rPr>
          <w:rFonts w:hint="eastAsia" w:hAnsi="宋体"/>
          <w:b/>
          <w:color w:val="auto"/>
          <w:sz w:val="32"/>
        </w:rPr>
        <w:t>月</w:t>
      </w:r>
      <w:r>
        <w:rPr>
          <w:rFonts w:hint="eastAsia" w:ascii="华文中宋" w:hAnsi="华文中宋" w:eastAsia="华文中宋"/>
          <w:b/>
          <w:color w:val="auto"/>
          <w:spacing w:val="160"/>
          <w:sz w:val="36"/>
          <w:szCs w:val="36"/>
        </w:rPr>
        <w:br w:type="page"/>
      </w:r>
    </w:p>
    <w:p w14:paraId="77C4DC7C">
      <w:pPr>
        <w:pStyle w:val="24"/>
        <w:adjustRightInd w:val="0"/>
        <w:snapToGrid w:val="0"/>
        <w:spacing w:line="360" w:lineRule="auto"/>
        <w:jc w:val="center"/>
        <w:rPr>
          <w:rFonts w:ascii="华文中宋" w:hAnsi="华文中宋" w:eastAsia="华文中宋"/>
          <w:b/>
          <w:color w:val="auto"/>
          <w:spacing w:val="160"/>
          <w:sz w:val="36"/>
          <w:szCs w:val="36"/>
        </w:rPr>
      </w:pPr>
      <w:r>
        <w:rPr>
          <w:rFonts w:hint="eastAsia" w:ascii="华文中宋" w:hAnsi="华文中宋" w:eastAsia="华文中宋"/>
          <w:b/>
          <w:color w:val="auto"/>
          <w:spacing w:val="160"/>
          <w:sz w:val="36"/>
          <w:szCs w:val="36"/>
        </w:rPr>
        <w:t>目录</w:t>
      </w:r>
    </w:p>
    <w:p w14:paraId="4110A1D8">
      <w:pPr>
        <w:pStyle w:val="31"/>
        <w:tabs>
          <w:tab w:val="right" w:leader="dot" w:pos="8844"/>
          <w:tab w:val="clear" w:pos="1680"/>
          <w:tab w:val="clear" w:pos="8834"/>
        </w:tabs>
        <w:rPr>
          <w:rFonts w:hint="eastAsia" w:eastAsia="宋体"/>
          <w:color w:val="auto"/>
          <w:lang w:val="en-US" w:eastAsia="zh-CN"/>
        </w:rPr>
      </w:pPr>
      <w:bookmarkStart w:id="0" w:name="_Toc20988241"/>
      <w:bookmarkStart w:id="1" w:name="_Toc35421027"/>
      <w:bookmarkStart w:id="2" w:name="_Toc20642243"/>
      <w:bookmarkStart w:id="3" w:name="_Toc53472201"/>
      <w:bookmarkStart w:id="4" w:name="_Toc21001314"/>
      <w:bookmarkStart w:id="5" w:name="_Toc20816073"/>
      <w:bookmarkStart w:id="6" w:name="_Toc34720698"/>
      <w:bookmarkStart w:id="7" w:name="_Toc21000471"/>
      <w:r>
        <w:rPr>
          <w:rFonts w:hint="eastAsia"/>
          <w:color w:val="auto"/>
          <w:lang w:val="en-US" w:eastAsia="zh-CN"/>
        </w:rPr>
        <w:t>第一章 投标邀请（公开招标）</w:t>
      </w:r>
      <w:r>
        <w:tab/>
      </w:r>
      <w:r>
        <w:rPr>
          <w:rFonts w:hint="eastAsia"/>
          <w:lang w:val="en-US" w:eastAsia="zh-CN"/>
        </w:rPr>
        <w:t>5</w:t>
      </w:r>
    </w:p>
    <w:p w14:paraId="14F46747">
      <w:pPr>
        <w:pStyle w:val="31"/>
        <w:tabs>
          <w:tab w:val="right" w:leader="dot" w:pos="8844"/>
          <w:tab w:val="clear" w:pos="1680"/>
          <w:tab w:val="clear" w:pos="8834"/>
        </w:tabs>
      </w:pPr>
      <w:r>
        <w:rPr>
          <w:color w:val="auto"/>
        </w:rPr>
        <w:fldChar w:fldCharType="begin"/>
      </w:r>
      <w:r>
        <w:rPr>
          <w:color w:val="auto"/>
        </w:rPr>
        <w:instrText xml:space="preserve">TOC \o "1-3" \h \u </w:instrText>
      </w:r>
      <w:r>
        <w:rPr>
          <w:color w:val="auto"/>
        </w:rPr>
        <w:fldChar w:fldCharType="separate"/>
      </w:r>
      <w:r>
        <w:rPr>
          <w:color w:val="auto"/>
        </w:rPr>
        <w:fldChar w:fldCharType="begin"/>
      </w:r>
      <w:r>
        <w:instrText xml:space="preserve"> HYPERLINK \l _Toc4684 </w:instrText>
      </w:r>
      <w:r>
        <w:fldChar w:fldCharType="separate"/>
      </w:r>
      <w:r>
        <w:rPr>
          <w:rFonts w:hint="eastAsia" w:ascii="黑体" w:hAnsi="华文中宋" w:eastAsia="黑体"/>
          <w:szCs w:val="32"/>
        </w:rPr>
        <w:t>第二章 投标须知</w:t>
      </w:r>
      <w:r>
        <w:tab/>
      </w:r>
      <w:r>
        <w:fldChar w:fldCharType="begin"/>
      </w:r>
      <w:r>
        <w:instrText xml:space="preserve"> PAGEREF _Toc4684 \h </w:instrText>
      </w:r>
      <w:r>
        <w:fldChar w:fldCharType="separate"/>
      </w:r>
      <w:r>
        <w:t>9</w:t>
      </w:r>
      <w:r>
        <w:fldChar w:fldCharType="end"/>
      </w:r>
      <w:r>
        <w:rPr>
          <w:color w:val="auto"/>
        </w:rPr>
        <w:fldChar w:fldCharType="end"/>
      </w:r>
    </w:p>
    <w:p w14:paraId="5B059D06">
      <w:pPr>
        <w:pStyle w:val="37"/>
        <w:tabs>
          <w:tab w:val="right" w:leader="dot" w:pos="8844"/>
        </w:tabs>
      </w:pPr>
      <w:r>
        <w:rPr>
          <w:color w:val="auto"/>
        </w:rPr>
        <w:fldChar w:fldCharType="begin"/>
      </w:r>
      <w:r>
        <w:instrText xml:space="preserve"> HYPERLINK \l _Toc21523 </w:instrText>
      </w:r>
      <w:r>
        <w:fldChar w:fldCharType="separate"/>
      </w:r>
      <w:r>
        <w:rPr>
          <w:rFonts w:hint="eastAsia" w:ascii="黑体" w:hAnsi="华文中宋" w:eastAsia="黑体"/>
          <w:szCs w:val="28"/>
        </w:rPr>
        <w:t>第一节  投标须知前附表</w:t>
      </w:r>
      <w:r>
        <w:tab/>
      </w:r>
      <w:r>
        <w:fldChar w:fldCharType="begin"/>
      </w:r>
      <w:r>
        <w:instrText xml:space="preserve"> PAGEREF _Toc21523 \h </w:instrText>
      </w:r>
      <w:r>
        <w:fldChar w:fldCharType="separate"/>
      </w:r>
      <w:r>
        <w:t>9</w:t>
      </w:r>
      <w:r>
        <w:fldChar w:fldCharType="end"/>
      </w:r>
      <w:r>
        <w:rPr>
          <w:color w:val="auto"/>
        </w:rPr>
        <w:fldChar w:fldCharType="end"/>
      </w:r>
    </w:p>
    <w:p w14:paraId="16078A25">
      <w:pPr>
        <w:pStyle w:val="37"/>
        <w:tabs>
          <w:tab w:val="right" w:leader="dot" w:pos="8844"/>
        </w:tabs>
      </w:pPr>
      <w:r>
        <w:rPr>
          <w:color w:val="auto"/>
        </w:rPr>
        <w:fldChar w:fldCharType="begin"/>
      </w:r>
      <w:r>
        <w:instrText xml:space="preserve"> HYPERLINK \l _Toc11564 </w:instrText>
      </w:r>
      <w:r>
        <w:fldChar w:fldCharType="separate"/>
      </w:r>
      <w:r>
        <w:rPr>
          <w:rFonts w:hint="eastAsia" w:ascii="黑体" w:hAnsi="黑体" w:eastAsia="黑体"/>
          <w:szCs w:val="28"/>
        </w:rPr>
        <w:t>第二节投标须知正文</w:t>
      </w:r>
      <w:r>
        <w:tab/>
      </w:r>
      <w:r>
        <w:fldChar w:fldCharType="begin"/>
      </w:r>
      <w:r>
        <w:instrText xml:space="preserve"> PAGEREF _Toc11564 \h </w:instrText>
      </w:r>
      <w:r>
        <w:fldChar w:fldCharType="separate"/>
      </w:r>
      <w:r>
        <w:t>14</w:t>
      </w:r>
      <w:r>
        <w:fldChar w:fldCharType="end"/>
      </w:r>
      <w:r>
        <w:rPr>
          <w:color w:val="auto"/>
        </w:rPr>
        <w:fldChar w:fldCharType="end"/>
      </w:r>
    </w:p>
    <w:p w14:paraId="09BB4C63">
      <w:pPr>
        <w:pStyle w:val="23"/>
        <w:tabs>
          <w:tab w:val="right" w:leader="dot" w:pos="8844"/>
        </w:tabs>
      </w:pPr>
      <w:r>
        <w:rPr>
          <w:color w:val="auto"/>
        </w:rPr>
        <w:fldChar w:fldCharType="begin"/>
      </w:r>
      <w:r>
        <w:instrText xml:space="preserve"> HYPERLINK \l _Toc968 </w:instrText>
      </w:r>
      <w:r>
        <w:fldChar w:fldCharType="separate"/>
      </w:r>
      <w:r>
        <w:rPr>
          <w:rFonts w:hint="eastAsia" w:ascii="黑体" w:hAnsi="黑体" w:eastAsia="黑体"/>
          <w:szCs w:val="28"/>
        </w:rPr>
        <w:t>一、总则</w:t>
      </w:r>
      <w:r>
        <w:tab/>
      </w:r>
      <w:r>
        <w:fldChar w:fldCharType="begin"/>
      </w:r>
      <w:r>
        <w:instrText xml:space="preserve"> PAGEREF _Toc968 \h </w:instrText>
      </w:r>
      <w:r>
        <w:fldChar w:fldCharType="separate"/>
      </w:r>
      <w:r>
        <w:t>14</w:t>
      </w:r>
      <w:r>
        <w:fldChar w:fldCharType="end"/>
      </w:r>
      <w:r>
        <w:rPr>
          <w:color w:val="auto"/>
        </w:rPr>
        <w:fldChar w:fldCharType="end"/>
      </w:r>
    </w:p>
    <w:p w14:paraId="0D9C0629">
      <w:pPr>
        <w:pStyle w:val="23"/>
        <w:tabs>
          <w:tab w:val="right" w:leader="dot" w:pos="8844"/>
        </w:tabs>
      </w:pPr>
      <w:r>
        <w:rPr>
          <w:color w:val="auto"/>
        </w:rPr>
        <w:fldChar w:fldCharType="begin"/>
      </w:r>
      <w:r>
        <w:instrText xml:space="preserve"> HYPERLINK \l _Toc25262 </w:instrText>
      </w:r>
      <w:r>
        <w:fldChar w:fldCharType="separate"/>
      </w:r>
      <w:r>
        <w:rPr>
          <w:rFonts w:hint="eastAsia" w:ascii="黑体" w:hAnsi="黑体" w:eastAsia="黑体"/>
          <w:szCs w:val="28"/>
        </w:rPr>
        <w:t>二、招标文件</w:t>
      </w:r>
      <w:r>
        <w:tab/>
      </w:r>
      <w:r>
        <w:fldChar w:fldCharType="begin"/>
      </w:r>
      <w:r>
        <w:instrText xml:space="preserve"> PAGEREF _Toc25262 \h </w:instrText>
      </w:r>
      <w:r>
        <w:fldChar w:fldCharType="separate"/>
      </w:r>
      <w:r>
        <w:t>15</w:t>
      </w:r>
      <w:r>
        <w:fldChar w:fldCharType="end"/>
      </w:r>
      <w:r>
        <w:rPr>
          <w:color w:val="auto"/>
        </w:rPr>
        <w:fldChar w:fldCharType="end"/>
      </w:r>
    </w:p>
    <w:p w14:paraId="4A4D489F">
      <w:pPr>
        <w:pStyle w:val="23"/>
        <w:tabs>
          <w:tab w:val="right" w:leader="dot" w:pos="8844"/>
        </w:tabs>
      </w:pPr>
      <w:r>
        <w:rPr>
          <w:color w:val="auto"/>
        </w:rPr>
        <w:fldChar w:fldCharType="begin"/>
      </w:r>
      <w:r>
        <w:instrText xml:space="preserve"> HYPERLINK \l _Toc17532 </w:instrText>
      </w:r>
      <w:r>
        <w:fldChar w:fldCharType="separate"/>
      </w:r>
      <w:r>
        <w:rPr>
          <w:rFonts w:hint="eastAsia" w:ascii="黑体" w:hAnsi="黑体" w:eastAsia="黑体"/>
          <w:szCs w:val="28"/>
        </w:rPr>
        <w:t>三、投标文件</w:t>
      </w:r>
      <w:r>
        <w:tab/>
      </w:r>
      <w:r>
        <w:fldChar w:fldCharType="begin"/>
      </w:r>
      <w:r>
        <w:instrText xml:space="preserve"> PAGEREF _Toc17532 \h </w:instrText>
      </w:r>
      <w:r>
        <w:fldChar w:fldCharType="separate"/>
      </w:r>
      <w:r>
        <w:t>16</w:t>
      </w:r>
      <w:r>
        <w:fldChar w:fldCharType="end"/>
      </w:r>
      <w:r>
        <w:rPr>
          <w:color w:val="auto"/>
        </w:rPr>
        <w:fldChar w:fldCharType="end"/>
      </w:r>
    </w:p>
    <w:p w14:paraId="24440EB0">
      <w:pPr>
        <w:pStyle w:val="23"/>
        <w:tabs>
          <w:tab w:val="right" w:leader="dot" w:pos="8844"/>
        </w:tabs>
      </w:pPr>
      <w:r>
        <w:rPr>
          <w:color w:val="auto"/>
        </w:rPr>
        <w:fldChar w:fldCharType="begin"/>
      </w:r>
      <w:r>
        <w:instrText xml:space="preserve"> HYPERLINK \l _Toc28541 </w:instrText>
      </w:r>
      <w:r>
        <w:fldChar w:fldCharType="separate"/>
      </w:r>
      <w:r>
        <w:rPr>
          <w:rFonts w:hint="eastAsia" w:ascii="黑体" w:hAnsi="黑体" w:eastAsia="黑体"/>
          <w:szCs w:val="28"/>
        </w:rPr>
        <w:t>四、投标</w:t>
      </w:r>
      <w:r>
        <w:tab/>
      </w:r>
      <w:r>
        <w:fldChar w:fldCharType="begin"/>
      </w:r>
      <w:r>
        <w:instrText xml:space="preserve"> PAGEREF _Toc28541 \h </w:instrText>
      </w:r>
      <w:r>
        <w:fldChar w:fldCharType="separate"/>
      </w:r>
      <w:r>
        <w:t>18</w:t>
      </w:r>
      <w:r>
        <w:fldChar w:fldCharType="end"/>
      </w:r>
      <w:r>
        <w:rPr>
          <w:color w:val="auto"/>
        </w:rPr>
        <w:fldChar w:fldCharType="end"/>
      </w:r>
    </w:p>
    <w:p w14:paraId="22164FA1">
      <w:pPr>
        <w:pStyle w:val="23"/>
        <w:tabs>
          <w:tab w:val="right" w:leader="dot" w:pos="8844"/>
        </w:tabs>
      </w:pPr>
      <w:r>
        <w:rPr>
          <w:color w:val="auto"/>
        </w:rPr>
        <w:fldChar w:fldCharType="begin"/>
      </w:r>
      <w:r>
        <w:instrText xml:space="preserve"> HYPERLINK \l _Toc22895 </w:instrText>
      </w:r>
      <w:r>
        <w:fldChar w:fldCharType="separate"/>
      </w:r>
      <w:r>
        <w:rPr>
          <w:rFonts w:hint="eastAsia" w:ascii="黑体" w:hAnsi="黑体" w:eastAsia="黑体"/>
          <w:szCs w:val="28"/>
        </w:rPr>
        <w:t>五、开标，资格审查和评标</w:t>
      </w:r>
      <w:r>
        <w:tab/>
      </w:r>
      <w:r>
        <w:fldChar w:fldCharType="begin"/>
      </w:r>
      <w:r>
        <w:instrText xml:space="preserve"> PAGEREF _Toc22895 \h </w:instrText>
      </w:r>
      <w:r>
        <w:fldChar w:fldCharType="separate"/>
      </w:r>
      <w:r>
        <w:t>19</w:t>
      </w:r>
      <w:r>
        <w:fldChar w:fldCharType="end"/>
      </w:r>
      <w:r>
        <w:rPr>
          <w:color w:val="auto"/>
        </w:rPr>
        <w:fldChar w:fldCharType="end"/>
      </w:r>
    </w:p>
    <w:p w14:paraId="7AA202C9">
      <w:pPr>
        <w:pStyle w:val="23"/>
        <w:tabs>
          <w:tab w:val="right" w:leader="dot" w:pos="8844"/>
        </w:tabs>
      </w:pPr>
      <w:r>
        <w:rPr>
          <w:color w:val="auto"/>
        </w:rPr>
        <w:fldChar w:fldCharType="begin"/>
      </w:r>
      <w:r>
        <w:instrText xml:space="preserve"> HYPERLINK \l _Toc1580 </w:instrText>
      </w:r>
      <w:r>
        <w:fldChar w:fldCharType="separate"/>
      </w:r>
      <w:r>
        <w:rPr>
          <w:rFonts w:hint="eastAsia" w:ascii="黑体" w:hAnsi="黑体" w:eastAsia="黑体"/>
          <w:szCs w:val="28"/>
        </w:rPr>
        <w:t>六、中标信息公布</w:t>
      </w:r>
      <w:r>
        <w:tab/>
      </w:r>
      <w:r>
        <w:fldChar w:fldCharType="begin"/>
      </w:r>
      <w:r>
        <w:instrText xml:space="preserve"> PAGEREF _Toc1580 \h </w:instrText>
      </w:r>
      <w:r>
        <w:fldChar w:fldCharType="separate"/>
      </w:r>
      <w:r>
        <w:t>20</w:t>
      </w:r>
      <w:r>
        <w:fldChar w:fldCharType="end"/>
      </w:r>
      <w:r>
        <w:rPr>
          <w:color w:val="auto"/>
        </w:rPr>
        <w:fldChar w:fldCharType="end"/>
      </w:r>
    </w:p>
    <w:p w14:paraId="1B84C317">
      <w:pPr>
        <w:pStyle w:val="23"/>
        <w:tabs>
          <w:tab w:val="right" w:leader="dot" w:pos="8844"/>
        </w:tabs>
      </w:pPr>
      <w:r>
        <w:rPr>
          <w:color w:val="auto"/>
        </w:rPr>
        <w:fldChar w:fldCharType="begin"/>
      </w:r>
      <w:r>
        <w:instrText xml:space="preserve"> HYPERLINK \l _Toc32235 </w:instrText>
      </w:r>
      <w:r>
        <w:fldChar w:fldCharType="separate"/>
      </w:r>
      <w:r>
        <w:rPr>
          <w:rFonts w:hint="eastAsia" w:ascii="黑体" w:hAnsi="黑体" w:eastAsia="黑体"/>
          <w:szCs w:val="28"/>
        </w:rPr>
        <w:t>七、合同签订</w:t>
      </w:r>
      <w:r>
        <w:tab/>
      </w:r>
      <w:r>
        <w:fldChar w:fldCharType="begin"/>
      </w:r>
      <w:r>
        <w:instrText xml:space="preserve"> PAGEREF _Toc32235 \h </w:instrText>
      </w:r>
      <w:r>
        <w:fldChar w:fldCharType="separate"/>
      </w:r>
      <w:r>
        <w:t>21</w:t>
      </w:r>
      <w:r>
        <w:fldChar w:fldCharType="end"/>
      </w:r>
      <w:r>
        <w:rPr>
          <w:color w:val="auto"/>
        </w:rPr>
        <w:fldChar w:fldCharType="end"/>
      </w:r>
    </w:p>
    <w:p w14:paraId="38D66834">
      <w:pPr>
        <w:pStyle w:val="23"/>
        <w:tabs>
          <w:tab w:val="right" w:leader="dot" w:pos="8844"/>
        </w:tabs>
      </w:pPr>
      <w:r>
        <w:rPr>
          <w:color w:val="auto"/>
        </w:rPr>
        <w:fldChar w:fldCharType="begin"/>
      </w:r>
      <w:r>
        <w:instrText xml:space="preserve"> HYPERLINK \l _Toc9150 </w:instrText>
      </w:r>
      <w:r>
        <w:fldChar w:fldCharType="separate"/>
      </w:r>
      <w:r>
        <w:rPr>
          <w:rFonts w:hint="eastAsia" w:ascii="黑体" w:hAnsi="黑体" w:eastAsia="黑体"/>
          <w:szCs w:val="28"/>
        </w:rPr>
        <w:t>八、政府采购政策</w:t>
      </w:r>
      <w:r>
        <w:tab/>
      </w:r>
      <w:r>
        <w:fldChar w:fldCharType="begin"/>
      </w:r>
      <w:r>
        <w:instrText xml:space="preserve"> PAGEREF _Toc9150 \h </w:instrText>
      </w:r>
      <w:r>
        <w:fldChar w:fldCharType="separate"/>
      </w:r>
      <w:r>
        <w:t>22</w:t>
      </w:r>
      <w:r>
        <w:fldChar w:fldCharType="end"/>
      </w:r>
      <w:r>
        <w:rPr>
          <w:color w:val="auto"/>
        </w:rPr>
        <w:fldChar w:fldCharType="end"/>
      </w:r>
    </w:p>
    <w:p w14:paraId="0A8C93C1">
      <w:pPr>
        <w:pStyle w:val="23"/>
        <w:tabs>
          <w:tab w:val="right" w:leader="dot" w:pos="8844"/>
        </w:tabs>
      </w:pPr>
      <w:r>
        <w:rPr>
          <w:color w:val="auto"/>
        </w:rPr>
        <w:fldChar w:fldCharType="begin"/>
      </w:r>
      <w:r>
        <w:instrText xml:space="preserve"> HYPERLINK \l _Toc13888 </w:instrText>
      </w:r>
      <w:r>
        <w:fldChar w:fldCharType="separate"/>
      </w:r>
      <w:r>
        <w:rPr>
          <w:rFonts w:hint="eastAsia" w:ascii="黑体" w:hAnsi="黑体" w:eastAsia="黑体"/>
          <w:szCs w:val="28"/>
        </w:rPr>
        <w:t>九、其他规定</w:t>
      </w:r>
      <w:r>
        <w:tab/>
      </w:r>
      <w:r>
        <w:fldChar w:fldCharType="begin"/>
      </w:r>
      <w:r>
        <w:instrText xml:space="preserve"> PAGEREF _Toc13888 \h </w:instrText>
      </w:r>
      <w:r>
        <w:fldChar w:fldCharType="separate"/>
      </w:r>
      <w:r>
        <w:t>24</w:t>
      </w:r>
      <w:r>
        <w:fldChar w:fldCharType="end"/>
      </w:r>
      <w:r>
        <w:rPr>
          <w:color w:val="auto"/>
        </w:rPr>
        <w:fldChar w:fldCharType="end"/>
      </w:r>
    </w:p>
    <w:p w14:paraId="46B6527E">
      <w:pPr>
        <w:pStyle w:val="31"/>
        <w:tabs>
          <w:tab w:val="right" w:leader="dot" w:pos="8844"/>
          <w:tab w:val="clear" w:pos="1680"/>
          <w:tab w:val="clear" w:pos="8834"/>
        </w:tabs>
      </w:pPr>
      <w:r>
        <w:rPr>
          <w:color w:val="auto"/>
        </w:rPr>
        <w:fldChar w:fldCharType="begin"/>
      </w:r>
      <w:r>
        <w:instrText xml:space="preserve"> HYPERLINK \l _Toc12597 </w:instrText>
      </w:r>
      <w:r>
        <w:fldChar w:fldCharType="separate"/>
      </w:r>
      <w:r>
        <w:rPr>
          <w:rFonts w:hint="eastAsia" w:ascii="黑体" w:hAnsi="黑体" w:eastAsia="黑体"/>
          <w:szCs w:val="32"/>
        </w:rPr>
        <w:t>第三章 资格审查</w:t>
      </w:r>
      <w:r>
        <w:tab/>
      </w:r>
      <w:r>
        <w:fldChar w:fldCharType="begin"/>
      </w:r>
      <w:r>
        <w:instrText xml:space="preserve"> PAGEREF _Toc12597 \h </w:instrText>
      </w:r>
      <w:r>
        <w:fldChar w:fldCharType="separate"/>
      </w:r>
      <w:r>
        <w:t>25</w:t>
      </w:r>
      <w:r>
        <w:fldChar w:fldCharType="end"/>
      </w:r>
      <w:r>
        <w:rPr>
          <w:color w:val="auto"/>
        </w:rPr>
        <w:fldChar w:fldCharType="end"/>
      </w:r>
    </w:p>
    <w:p w14:paraId="22CBC233">
      <w:pPr>
        <w:pStyle w:val="23"/>
        <w:tabs>
          <w:tab w:val="right" w:leader="dot" w:pos="8844"/>
        </w:tabs>
      </w:pPr>
      <w:r>
        <w:rPr>
          <w:color w:val="auto"/>
        </w:rPr>
        <w:fldChar w:fldCharType="begin"/>
      </w:r>
      <w:r>
        <w:instrText xml:space="preserve"> HYPERLINK \l _Toc11674 </w:instrText>
      </w:r>
      <w:r>
        <w:fldChar w:fldCharType="separate"/>
      </w:r>
      <w:r>
        <w:rPr>
          <w:rFonts w:hint="eastAsia" w:ascii="黑体" w:hAnsi="黑体" w:eastAsia="黑体"/>
          <w:szCs w:val="24"/>
        </w:rPr>
        <w:t>1．</w:t>
      </w:r>
      <w:r>
        <w:rPr>
          <w:rFonts w:hint="eastAsia" w:ascii="宋体" w:hAnsi="宋体"/>
          <w:szCs w:val="24"/>
        </w:rPr>
        <w:t>资格审查主体</w:t>
      </w:r>
      <w:r>
        <w:tab/>
      </w:r>
      <w:r>
        <w:fldChar w:fldCharType="begin"/>
      </w:r>
      <w:r>
        <w:instrText xml:space="preserve"> PAGEREF _Toc11674 \h </w:instrText>
      </w:r>
      <w:r>
        <w:fldChar w:fldCharType="separate"/>
      </w:r>
      <w:r>
        <w:t>25</w:t>
      </w:r>
      <w:r>
        <w:fldChar w:fldCharType="end"/>
      </w:r>
      <w:r>
        <w:rPr>
          <w:color w:val="auto"/>
        </w:rPr>
        <w:fldChar w:fldCharType="end"/>
      </w:r>
    </w:p>
    <w:p w14:paraId="115637F5">
      <w:pPr>
        <w:pStyle w:val="23"/>
        <w:tabs>
          <w:tab w:val="right" w:leader="dot" w:pos="8844"/>
        </w:tabs>
      </w:pPr>
      <w:r>
        <w:rPr>
          <w:color w:val="auto"/>
        </w:rPr>
        <w:fldChar w:fldCharType="begin"/>
      </w:r>
      <w:r>
        <w:instrText xml:space="preserve"> HYPERLINK \l _Toc8846 </w:instrText>
      </w:r>
      <w:r>
        <w:fldChar w:fldCharType="separate"/>
      </w:r>
      <w:r>
        <w:rPr>
          <w:rFonts w:hint="eastAsia" w:ascii="宋体" w:hAnsi="宋体"/>
          <w:szCs w:val="24"/>
        </w:rPr>
        <w:t>2．资格审查</w:t>
      </w:r>
      <w:r>
        <w:tab/>
      </w:r>
      <w:r>
        <w:fldChar w:fldCharType="begin"/>
      </w:r>
      <w:r>
        <w:instrText xml:space="preserve"> PAGEREF _Toc8846 \h </w:instrText>
      </w:r>
      <w:r>
        <w:fldChar w:fldCharType="separate"/>
      </w:r>
      <w:r>
        <w:t>26</w:t>
      </w:r>
      <w:r>
        <w:fldChar w:fldCharType="end"/>
      </w:r>
      <w:r>
        <w:rPr>
          <w:color w:val="auto"/>
        </w:rPr>
        <w:fldChar w:fldCharType="end"/>
      </w:r>
    </w:p>
    <w:p w14:paraId="4A02B5E9">
      <w:pPr>
        <w:pStyle w:val="23"/>
        <w:tabs>
          <w:tab w:val="right" w:leader="dot" w:pos="8844"/>
        </w:tabs>
      </w:pPr>
      <w:r>
        <w:rPr>
          <w:color w:val="auto"/>
        </w:rPr>
        <w:fldChar w:fldCharType="begin"/>
      </w:r>
      <w:r>
        <w:instrText xml:space="preserve"> HYPERLINK \l _Toc12149 </w:instrText>
      </w:r>
      <w:r>
        <w:fldChar w:fldCharType="separate"/>
      </w:r>
      <w:r>
        <w:rPr>
          <w:rFonts w:hint="eastAsia" w:ascii="宋体" w:hAnsi="宋体"/>
          <w:szCs w:val="24"/>
        </w:rPr>
        <w:t>3．资格审查结果</w:t>
      </w:r>
      <w:r>
        <w:tab/>
      </w:r>
      <w:r>
        <w:fldChar w:fldCharType="begin"/>
      </w:r>
      <w:r>
        <w:instrText xml:space="preserve"> PAGEREF _Toc12149 \h </w:instrText>
      </w:r>
      <w:r>
        <w:fldChar w:fldCharType="separate"/>
      </w:r>
      <w:r>
        <w:t>26</w:t>
      </w:r>
      <w:r>
        <w:fldChar w:fldCharType="end"/>
      </w:r>
      <w:r>
        <w:rPr>
          <w:color w:val="auto"/>
        </w:rPr>
        <w:fldChar w:fldCharType="end"/>
      </w:r>
    </w:p>
    <w:p w14:paraId="726B0C70">
      <w:pPr>
        <w:pStyle w:val="37"/>
        <w:tabs>
          <w:tab w:val="right" w:leader="dot" w:pos="8844"/>
        </w:tabs>
      </w:pPr>
      <w:r>
        <w:rPr>
          <w:color w:val="auto"/>
        </w:rPr>
        <w:fldChar w:fldCharType="begin"/>
      </w:r>
      <w:r>
        <w:instrText xml:space="preserve"> HYPERLINK \l _Toc1770 </w:instrText>
      </w:r>
      <w:r>
        <w:fldChar w:fldCharType="separate"/>
      </w:r>
      <w:r>
        <w:rPr>
          <w:rFonts w:hint="eastAsia" w:ascii="黑体" w:hAnsi="黑体" w:eastAsia="黑体"/>
          <w:szCs w:val="28"/>
        </w:rPr>
        <w:t>资格审查结果一览表</w:t>
      </w:r>
      <w:r>
        <w:tab/>
      </w:r>
      <w:r>
        <w:fldChar w:fldCharType="begin"/>
      </w:r>
      <w:r>
        <w:instrText xml:space="preserve"> PAGEREF _Toc1770 \h </w:instrText>
      </w:r>
      <w:r>
        <w:fldChar w:fldCharType="separate"/>
      </w:r>
      <w:r>
        <w:t>28</w:t>
      </w:r>
      <w:r>
        <w:fldChar w:fldCharType="end"/>
      </w:r>
      <w:r>
        <w:rPr>
          <w:color w:val="auto"/>
        </w:rPr>
        <w:fldChar w:fldCharType="end"/>
      </w:r>
    </w:p>
    <w:p w14:paraId="582894A0">
      <w:pPr>
        <w:pStyle w:val="37"/>
        <w:tabs>
          <w:tab w:val="right" w:leader="dot" w:pos="8844"/>
        </w:tabs>
      </w:pPr>
      <w:r>
        <w:rPr>
          <w:color w:val="auto"/>
        </w:rPr>
        <w:fldChar w:fldCharType="begin"/>
      </w:r>
      <w:r>
        <w:instrText xml:space="preserve"> HYPERLINK \l _Toc441 </w:instrText>
      </w:r>
      <w:r>
        <w:fldChar w:fldCharType="separate"/>
      </w:r>
      <w:r>
        <w:rPr>
          <w:rFonts w:hint="eastAsia" w:ascii="黑体" w:hAnsi="黑体" w:eastAsia="黑体"/>
          <w:szCs w:val="28"/>
        </w:rPr>
        <w:t>资格审查合格投标人名单</w:t>
      </w:r>
      <w:r>
        <w:tab/>
      </w:r>
      <w:r>
        <w:fldChar w:fldCharType="begin"/>
      </w:r>
      <w:r>
        <w:instrText xml:space="preserve"> PAGEREF _Toc441 \h </w:instrText>
      </w:r>
      <w:r>
        <w:fldChar w:fldCharType="separate"/>
      </w:r>
      <w:r>
        <w:t>29</w:t>
      </w:r>
      <w:r>
        <w:fldChar w:fldCharType="end"/>
      </w:r>
      <w:r>
        <w:rPr>
          <w:color w:val="auto"/>
        </w:rPr>
        <w:fldChar w:fldCharType="end"/>
      </w:r>
    </w:p>
    <w:p w14:paraId="233F20D7">
      <w:pPr>
        <w:pStyle w:val="31"/>
        <w:tabs>
          <w:tab w:val="right" w:leader="dot" w:pos="8844"/>
          <w:tab w:val="clear" w:pos="1680"/>
          <w:tab w:val="clear" w:pos="8834"/>
        </w:tabs>
      </w:pPr>
      <w:r>
        <w:rPr>
          <w:color w:val="auto"/>
        </w:rPr>
        <w:fldChar w:fldCharType="begin"/>
      </w:r>
      <w:r>
        <w:instrText xml:space="preserve"> HYPERLINK \l _Toc23217 </w:instrText>
      </w:r>
      <w:r>
        <w:fldChar w:fldCharType="separate"/>
      </w:r>
      <w:r>
        <w:rPr>
          <w:rFonts w:hint="eastAsia" w:ascii="黑体" w:hAnsi="华文中宋" w:eastAsia="黑体"/>
          <w:szCs w:val="32"/>
        </w:rPr>
        <w:t>第四章  评标方法及标准</w:t>
      </w:r>
      <w:r>
        <w:tab/>
      </w:r>
      <w:r>
        <w:fldChar w:fldCharType="begin"/>
      </w:r>
      <w:r>
        <w:instrText xml:space="preserve"> PAGEREF _Toc23217 \h </w:instrText>
      </w:r>
      <w:r>
        <w:fldChar w:fldCharType="separate"/>
      </w:r>
      <w:r>
        <w:t>30</w:t>
      </w:r>
      <w:r>
        <w:fldChar w:fldCharType="end"/>
      </w:r>
      <w:r>
        <w:rPr>
          <w:color w:val="auto"/>
        </w:rPr>
        <w:fldChar w:fldCharType="end"/>
      </w:r>
    </w:p>
    <w:p w14:paraId="228E18B4">
      <w:pPr>
        <w:pStyle w:val="37"/>
        <w:tabs>
          <w:tab w:val="right" w:leader="dot" w:pos="8844"/>
        </w:tabs>
      </w:pPr>
      <w:r>
        <w:rPr>
          <w:color w:val="auto"/>
        </w:rPr>
        <w:fldChar w:fldCharType="begin"/>
      </w:r>
      <w:r>
        <w:instrText xml:space="preserve"> HYPERLINK \l _Toc19661 </w:instrText>
      </w:r>
      <w:r>
        <w:fldChar w:fldCharType="separate"/>
      </w:r>
      <w:r>
        <w:rPr>
          <w:rFonts w:hint="eastAsia" w:ascii="黑体" w:hAnsi="华文中宋" w:eastAsia="黑体"/>
          <w:bCs w:val="0"/>
          <w:szCs w:val="28"/>
        </w:rPr>
        <w:t>第一</w:t>
      </w:r>
      <w:r>
        <w:rPr>
          <w:rFonts w:hint="eastAsia" w:ascii="黑体" w:hAnsi="华文中宋" w:eastAsia="黑体"/>
          <w:szCs w:val="28"/>
        </w:rPr>
        <w:t>节  评标方法及标准前附表</w:t>
      </w:r>
      <w:r>
        <w:tab/>
      </w:r>
      <w:r>
        <w:fldChar w:fldCharType="begin"/>
      </w:r>
      <w:r>
        <w:instrText xml:space="preserve"> PAGEREF _Toc19661 \h </w:instrText>
      </w:r>
      <w:r>
        <w:fldChar w:fldCharType="separate"/>
      </w:r>
      <w:r>
        <w:t>30</w:t>
      </w:r>
      <w:r>
        <w:fldChar w:fldCharType="end"/>
      </w:r>
      <w:r>
        <w:rPr>
          <w:color w:val="auto"/>
        </w:rPr>
        <w:fldChar w:fldCharType="end"/>
      </w:r>
    </w:p>
    <w:p w14:paraId="25AF2F74">
      <w:pPr>
        <w:pStyle w:val="37"/>
        <w:tabs>
          <w:tab w:val="right" w:leader="dot" w:pos="8844"/>
        </w:tabs>
      </w:pPr>
      <w:r>
        <w:rPr>
          <w:color w:val="auto"/>
        </w:rPr>
        <w:fldChar w:fldCharType="begin"/>
      </w:r>
      <w:r>
        <w:instrText xml:space="preserve"> HYPERLINK \l _Toc13281 </w:instrText>
      </w:r>
      <w:r>
        <w:fldChar w:fldCharType="separate"/>
      </w:r>
      <w:r>
        <w:rPr>
          <w:rFonts w:hint="eastAsia" w:ascii="黑体" w:hAnsi="黑体" w:eastAsia="黑体"/>
          <w:szCs w:val="28"/>
        </w:rPr>
        <w:t>第二节  评标方法及标准</w:t>
      </w:r>
      <w:r>
        <w:tab/>
      </w:r>
      <w:r>
        <w:fldChar w:fldCharType="begin"/>
      </w:r>
      <w:r>
        <w:instrText xml:space="preserve"> PAGEREF _Toc13281 \h </w:instrText>
      </w:r>
      <w:r>
        <w:fldChar w:fldCharType="separate"/>
      </w:r>
      <w:r>
        <w:t>32</w:t>
      </w:r>
      <w:r>
        <w:fldChar w:fldCharType="end"/>
      </w:r>
      <w:r>
        <w:rPr>
          <w:color w:val="auto"/>
        </w:rPr>
        <w:fldChar w:fldCharType="end"/>
      </w:r>
    </w:p>
    <w:p w14:paraId="72824B6B">
      <w:pPr>
        <w:pStyle w:val="23"/>
        <w:tabs>
          <w:tab w:val="right" w:leader="dot" w:pos="8844"/>
        </w:tabs>
      </w:pPr>
      <w:r>
        <w:rPr>
          <w:color w:val="auto"/>
        </w:rPr>
        <w:fldChar w:fldCharType="begin"/>
      </w:r>
      <w:r>
        <w:instrText xml:space="preserve"> HYPERLINK \l _Toc26908 </w:instrText>
      </w:r>
      <w:r>
        <w:fldChar w:fldCharType="separate"/>
      </w:r>
      <w:r>
        <w:rPr>
          <w:rFonts w:hint="eastAsia" w:ascii="宋体" w:hAnsi="宋体"/>
          <w:szCs w:val="24"/>
        </w:rPr>
        <w:t>1．评标方法</w:t>
      </w:r>
      <w:r>
        <w:tab/>
      </w:r>
      <w:r>
        <w:fldChar w:fldCharType="begin"/>
      </w:r>
      <w:r>
        <w:instrText xml:space="preserve"> PAGEREF _Toc26908 \h </w:instrText>
      </w:r>
      <w:r>
        <w:fldChar w:fldCharType="separate"/>
      </w:r>
      <w:r>
        <w:t>32</w:t>
      </w:r>
      <w:r>
        <w:fldChar w:fldCharType="end"/>
      </w:r>
      <w:r>
        <w:rPr>
          <w:color w:val="auto"/>
        </w:rPr>
        <w:fldChar w:fldCharType="end"/>
      </w:r>
    </w:p>
    <w:p w14:paraId="073C1F92">
      <w:pPr>
        <w:pStyle w:val="23"/>
        <w:tabs>
          <w:tab w:val="right" w:leader="dot" w:pos="8844"/>
        </w:tabs>
      </w:pPr>
      <w:r>
        <w:rPr>
          <w:color w:val="auto"/>
        </w:rPr>
        <w:fldChar w:fldCharType="begin"/>
      </w:r>
      <w:r>
        <w:instrText xml:space="preserve"> HYPERLINK \l _Toc25082 </w:instrText>
      </w:r>
      <w:r>
        <w:fldChar w:fldCharType="separate"/>
      </w:r>
      <w:r>
        <w:rPr>
          <w:rFonts w:hint="eastAsia" w:ascii="宋体" w:hAnsi="宋体"/>
          <w:bCs w:val="0"/>
          <w:szCs w:val="24"/>
        </w:rPr>
        <w:t>2．评标程序</w:t>
      </w:r>
      <w:r>
        <w:tab/>
      </w:r>
      <w:r>
        <w:fldChar w:fldCharType="begin"/>
      </w:r>
      <w:r>
        <w:instrText xml:space="preserve"> PAGEREF _Toc25082 \h </w:instrText>
      </w:r>
      <w:r>
        <w:fldChar w:fldCharType="separate"/>
      </w:r>
      <w:r>
        <w:t>32</w:t>
      </w:r>
      <w:r>
        <w:fldChar w:fldCharType="end"/>
      </w:r>
      <w:r>
        <w:rPr>
          <w:color w:val="auto"/>
        </w:rPr>
        <w:fldChar w:fldCharType="end"/>
      </w:r>
    </w:p>
    <w:p w14:paraId="06A5F81F">
      <w:pPr>
        <w:pStyle w:val="23"/>
        <w:tabs>
          <w:tab w:val="right" w:leader="dot" w:pos="8844"/>
        </w:tabs>
      </w:pPr>
      <w:r>
        <w:rPr>
          <w:color w:val="auto"/>
        </w:rPr>
        <w:fldChar w:fldCharType="begin"/>
      </w:r>
      <w:r>
        <w:instrText xml:space="preserve"> HYPERLINK \l _Toc26079 </w:instrText>
      </w:r>
      <w:r>
        <w:fldChar w:fldCharType="separate"/>
      </w:r>
      <w:r>
        <w:rPr>
          <w:rFonts w:hint="eastAsia" w:ascii="宋体" w:hAnsi="宋体"/>
          <w:bCs w:val="0"/>
          <w:szCs w:val="24"/>
        </w:rPr>
        <w:t>3．投标文件符合性审查</w:t>
      </w:r>
      <w:r>
        <w:tab/>
      </w:r>
      <w:r>
        <w:fldChar w:fldCharType="begin"/>
      </w:r>
      <w:r>
        <w:instrText xml:space="preserve"> PAGEREF _Toc26079 \h </w:instrText>
      </w:r>
      <w:r>
        <w:fldChar w:fldCharType="separate"/>
      </w:r>
      <w:r>
        <w:t>32</w:t>
      </w:r>
      <w:r>
        <w:fldChar w:fldCharType="end"/>
      </w:r>
      <w:r>
        <w:rPr>
          <w:color w:val="auto"/>
        </w:rPr>
        <w:fldChar w:fldCharType="end"/>
      </w:r>
    </w:p>
    <w:p w14:paraId="2B9AF602">
      <w:pPr>
        <w:pStyle w:val="23"/>
        <w:tabs>
          <w:tab w:val="right" w:leader="dot" w:pos="8844"/>
        </w:tabs>
      </w:pPr>
      <w:r>
        <w:rPr>
          <w:color w:val="auto"/>
        </w:rPr>
        <w:fldChar w:fldCharType="begin"/>
      </w:r>
      <w:r>
        <w:instrText xml:space="preserve"> HYPERLINK \l _Toc9762 </w:instrText>
      </w:r>
      <w:r>
        <w:fldChar w:fldCharType="separate"/>
      </w:r>
      <w:r>
        <w:rPr>
          <w:rFonts w:hint="eastAsia" w:ascii="宋体" w:hAnsi="宋体"/>
          <w:bCs w:val="0"/>
          <w:szCs w:val="24"/>
        </w:rPr>
        <w:t>4．投标文件的澄清</w:t>
      </w:r>
      <w:r>
        <w:tab/>
      </w:r>
      <w:r>
        <w:fldChar w:fldCharType="begin"/>
      </w:r>
      <w:r>
        <w:instrText xml:space="preserve"> PAGEREF _Toc9762 \h </w:instrText>
      </w:r>
      <w:r>
        <w:fldChar w:fldCharType="separate"/>
      </w:r>
      <w:r>
        <w:t>32</w:t>
      </w:r>
      <w:r>
        <w:fldChar w:fldCharType="end"/>
      </w:r>
      <w:r>
        <w:rPr>
          <w:color w:val="auto"/>
        </w:rPr>
        <w:fldChar w:fldCharType="end"/>
      </w:r>
    </w:p>
    <w:p w14:paraId="6A5462B7">
      <w:pPr>
        <w:pStyle w:val="23"/>
        <w:tabs>
          <w:tab w:val="right" w:leader="dot" w:pos="8844"/>
        </w:tabs>
      </w:pPr>
      <w:r>
        <w:rPr>
          <w:color w:val="auto"/>
        </w:rPr>
        <w:fldChar w:fldCharType="begin"/>
      </w:r>
      <w:r>
        <w:instrText xml:space="preserve"> HYPERLINK \l _Toc31537 </w:instrText>
      </w:r>
      <w:r>
        <w:fldChar w:fldCharType="separate"/>
      </w:r>
      <w:r>
        <w:rPr>
          <w:rFonts w:hint="eastAsia" w:ascii="宋体" w:hAnsi="宋体"/>
          <w:bCs w:val="0"/>
          <w:szCs w:val="24"/>
        </w:rPr>
        <w:t>5．投标文件的比较与评价</w:t>
      </w:r>
      <w:r>
        <w:tab/>
      </w:r>
      <w:r>
        <w:fldChar w:fldCharType="begin"/>
      </w:r>
      <w:r>
        <w:instrText xml:space="preserve"> PAGEREF _Toc31537 \h </w:instrText>
      </w:r>
      <w:r>
        <w:fldChar w:fldCharType="separate"/>
      </w:r>
      <w:r>
        <w:t>33</w:t>
      </w:r>
      <w:r>
        <w:fldChar w:fldCharType="end"/>
      </w:r>
      <w:r>
        <w:rPr>
          <w:color w:val="auto"/>
        </w:rPr>
        <w:fldChar w:fldCharType="end"/>
      </w:r>
    </w:p>
    <w:p w14:paraId="7C7AA427">
      <w:pPr>
        <w:pStyle w:val="23"/>
        <w:tabs>
          <w:tab w:val="right" w:leader="dot" w:pos="8844"/>
        </w:tabs>
      </w:pPr>
      <w:r>
        <w:rPr>
          <w:color w:val="auto"/>
        </w:rPr>
        <w:fldChar w:fldCharType="begin"/>
      </w:r>
      <w:r>
        <w:instrText xml:space="preserve"> HYPERLINK \l _Toc3438 </w:instrText>
      </w:r>
      <w:r>
        <w:fldChar w:fldCharType="separate"/>
      </w:r>
      <w:r>
        <w:rPr>
          <w:rFonts w:hint="eastAsia" w:ascii="宋体" w:hAnsi="宋体"/>
          <w:bCs w:val="0"/>
          <w:szCs w:val="24"/>
        </w:rPr>
        <w:t>6．</w:t>
      </w:r>
      <w:r>
        <w:rPr>
          <w:rFonts w:hint="eastAsia" w:ascii="黑体" w:hAnsi="黑体" w:eastAsia="黑体"/>
          <w:szCs w:val="24"/>
        </w:rPr>
        <w:t>推荐中标候选人</w:t>
      </w:r>
      <w:r>
        <w:tab/>
      </w:r>
      <w:r>
        <w:fldChar w:fldCharType="begin"/>
      </w:r>
      <w:r>
        <w:instrText xml:space="preserve"> PAGEREF _Toc3438 \h </w:instrText>
      </w:r>
      <w:r>
        <w:fldChar w:fldCharType="separate"/>
      </w:r>
      <w:r>
        <w:t>33</w:t>
      </w:r>
      <w:r>
        <w:fldChar w:fldCharType="end"/>
      </w:r>
      <w:r>
        <w:rPr>
          <w:color w:val="auto"/>
        </w:rPr>
        <w:fldChar w:fldCharType="end"/>
      </w:r>
    </w:p>
    <w:p w14:paraId="4DF2BB9F">
      <w:pPr>
        <w:pStyle w:val="23"/>
        <w:tabs>
          <w:tab w:val="right" w:leader="dot" w:pos="8844"/>
        </w:tabs>
      </w:pPr>
      <w:r>
        <w:rPr>
          <w:color w:val="auto"/>
        </w:rPr>
        <w:fldChar w:fldCharType="begin"/>
      </w:r>
      <w:r>
        <w:instrText xml:space="preserve"> HYPERLINK \l _Toc27054 </w:instrText>
      </w:r>
      <w:r>
        <w:fldChar w:fldCharType="separate"/>
      </w:r>
      <w:r>
        <w:rPr>
          <w:rFonts w:hint="eastAsia" w:ascii="宋体" w:hAnsi="宋体"/>
          <w:bCs w:val="0"/>
          <w:szCs w:val="24"/>
        </w:rPr>
        <w:t>7．</w:t>
      </w:r>
      <w:r>
        <w:rPr>
          <w:rFonts w:hint="eastAsia" w:ascii="宋体" w:hAnsi="宋体"/>
          <w:szCs w:val="24"/>
        </w:rPr>
        <w:t>编写评标报告</w:t>
      </w:r>
      <w:r>
        <w:tab/>
      </w:r>
      <w:r>
        <w:fldChar w:fldCharType="begin"/>
      </w:r>
      <w:r>
        <w:instrText xml:space="preserve"> PAGEREF _Toc27054 \h </w:instrText>
      </w:r>
      <w:r>
        <w:fldChar w:fldCharType="separate"/>
      </w:r>
      <w:r>
        <w:t>33</w:t>
      </w:r>
      <w:r>
        <w:fldChar w:fldCharType="end"/>
      </w:r>
      <w:r>
        <w:rPr>
          <w:color w:val="auto"/>
        </w:rPr>
        <w:fldChar w:fldCharType="end"/>
      </w:r>
    </w:p>
    <w:p w14:paraId="5CB7F44B">
      <w:pPr>
        <w:pStyle w:val="23"/>
        <w:tabs>
          <w:tab w:val="right" w:leader="dot" w:pos="8844"/>
        </w:tabs>
      </w:pPr>
      <w:r>
        <w:rPr>
          <w:color w:val="auto"/>
        </w:rPr>
        <w:fldChar w:fldCharType="begin"/>
      </w:r>
      <w:r>
        <w:instrText xml:space="preserve"> HYPERLINK \l _Toc1654 </w:instrText>
      </w:r>
      <w:r>
        <w:fldChar w:fldCharType="separate"/>
      </w:r>
      <w:r>
        <w:rPr>
          <w:rFonts w:hint="eastAsia" w:ascii="宋体" w:hAnsi="宋体"/>
          <w:bCs w:val="0"/>
          <w:szCs w:val="24"/>
        </w:rPr>
        <w:t>8．</w:t>
      </w:r>
      <w:r>
        <w:rPr>
          <w:rFonts w:hint="eastAsia" w:ascii="宋体" w:hAnsi="宋体"/>
          <w:szCs w:val="24"/>
        </w:rPr>
        <w:t>评标报告</w:t>
      </w:r>
      <w:r>
        <w:rPr>
          <w:rFonts w:hint="eastAsia" w:ascii="宋体" w:hAnsi="宋体"/>
          <w:bCs w:val="0"/>
          <w:szCs w:val="24"/>
        </w:rPr>
        <w:t>复核</w:t>
      </w:r>
      <w:r>
        <w:tab/>
      </w:r>
      <w:r>
        <w:fldChar w:fldCharType="begin"/>
      </w:r>
      <w:r>
        <w:instrText xml:space="preserve"> PAGEREF _Toc1654 \h </w:instrText>
      </w:r>
      <w:r>
        <w:fldChar w:fldCharType="separate"/>
      </w:r>
      <w:r>
        <w:t>33</w:t>
      </w:r>
      <w:r>
        <w:fldChar w:fldCharType="end"/>
      </w:r>
      <w:r>
        <w:rPr>
          <w:color w:val="auto"/>
        </w:rPr>
        <w:fldChar w:fldCharType="end"/>
      </w:r>
    </w:p>
    <w:p w14:paraId="1319FF6D">
      <w:pPr>
        <w:pStyle w:val="23"/>
        <w:tabs>
          <w:tab w:val="right" w:leader="dot" w:pos="8844"/>
        </w:tabs>
      </w:pPr>
      <w:r>
        <w:rPr>
          <w:color w:val="auto"/>
        </w:rPr>
        <w:fldChar w:fldCharType="begin"/>
      </w:r>
      <w:r>
        <w:instrText xml:space="preserve"> HYPERLINK \l _Toc7220 </w:instrText>
      </w:r>
      <w:r>
        <w:fldChar w:fldCharType="separate"/>
      </w:r>
      <w:r>
        <w:rPr>
          <w:rFonts w:hint="eastAsia" w:ascii="宋体" w:hAnsi="宋体"/>
          <w:szCs w:val="24"/>
        </w:rPr>
        <w:t>9．</w:t>
      </w:r>
      <w:r>
        <w:rPr>
          <w:rFonts w:hint="eastAsia" w:ascii="宋体" w:hAnsi="宋体"/>
          <w:bCs w:val="0"/>
          <w:szCs w:val="24"/>
        </w:rPr>
        <w:t>停止评标</w:t>
      </w:r>
      <w:r>
        <w:tab/>
      </w:r>
      <w:r>
        <w:fldChar w:fldCharType="begin"/>
      </w:r>
      <w:r>
        <w:instrText xml:space="preserve"> PAGEREF _Toc7220 \h </w:instrText>
      </w:r>
      <w:r>
        <w:fldChar w:fldCharType="separate"/>
      </w:r>
      <w:r>
        <w:t>34</w:t>
      </w:r>
      <w:r>
        <w:fldChar w:fldCharType="end"/>
      </w:r>
      <w:r>
        <w:rPr>
          <w:color w:val="auto"/>
        </w:rPr>
        <w:fldChar w:fldCharType="end"/>
      </w:r>
    </w:p>
    <w:p w14:paraId="1D0361C7">
      <w:pPr>
        <w:pStyle w:val="23"/>
        <w:tabs>
          <w:tab w:val="right" w:leader="dot" w:pos="8844"/>
        </w:tabs>
      </w:pPr>
      <w:r>
        <w:rPr>
          <w:color w:val="auto"/>
        </w:rPr>
        <w:fldChar w:fldCharType="begin"/>
      </w:r>
      <w:r>
        <w:instrText xml:space="preserve"> HYPERLINK \l _Toc21670 </w:instrText>
      </w:r>
      <w:r>
        <w:fldChar w:fldCharType="separate"/>
      </w:r>
      <w:r>
        <w:rPr>
          <w:rFonts w:hint="eastAsia" w:ascii="宋体" w:hAnsi="宋体"/>
          <w:szCs w:val="24"/>
        </w:rPr>
        <w:t>10.废标</w:t>
      </w:r>
      <w:r>
        <w:tab/>
      </w:r>
      <w:r>
        <w:fldChar w:fldCharType="begin"/>
      </w:r>
      <w:r>
        <w:instrText xml:space="preserve"> PAGEREF _Toc21670 \h </w:instrText>
      </w:r>
      <w:r>
        <w:fldChar w:fldCharType="separate"/>
      </w:r>
      <w:r>
        <w:t>34</w:t>
      </w:r>
      <w:r>
        <w:fldChar w:fldCharType="end"/>
      </w:r>
      <w:r>
        <w:rPr>
          <w:color w:val="auto"/>
        </w:rPr>
        <w:fldChar w:fldCharType="end"/>
      </w:r>
    </w:p>
    <w:p w14:paraId="57C54F23">
      <w:pPr>
        <w:pStyle w:val="23"/>
        <w:tabs>
          <w:tab w:val="right" w:leader="dot" w:pos="8844"/>
        </w:tabs>
      </w:pPr>
      <w:r>
        <w:rPr>
          <w:color w:val="auto"/>
        </w:rPr>
        <w:fldChar w:fldCharType="begin"/>
      </w:r>
      <w:r>
        <w:instrText xml:space="preserve"> HYPERLINK \l _Toc17533 </w:instrText>
      </w:r>
      <w:r>
        <w:fldChar w:fldCharType="separate"/>
      </w:r>
      <w:r>
        <w:rPr>
          <w:rFonts w:hint="eastAsia" w:ascii="宋体" w:hAnsi="宋体" w:cs="宋体"/>
          <w:szCs w:val="24"/>
        </w:rPr>
        <w:t>11．重新组建评标委员会进行评标</w:t>
      </w:r>
      <w:r>
        <w:tab/>
      </w:r>
      <w:r>
        <w:fldChar w:fldCharType="begin"/>
      </w:r>
      <w:r>
        <w:instrText xml:space="preserve"> PAGEREF _Toc17533 \h </w:instrText>
      </w:r>
      <w:r>
        <w:fldChar w:fldCharType="separate"/>
      </w:r>
      <w:r>
        <w:t>34</w:t>
      </w:r>
      <w:r>
        <w:fldChar w:fldCharType="end"/>
      </w:r>
      <w:r>
        <w:rPr>
          <w:color w:val="auto"/>
        </w:rPr>
        <w:fldChar w:fldCharType="end"/>
      </w:r>
    </w:p>
    <w:p w14:paraId="18F37208">
      <w:pPr>
        <w:pStyle w:val="37"/>
        <w:tabs>
          <w:tab w:val="right" w:leader="dot" w:pos="8844"/>
        </w:tabs>
      </w:pPr>
      <w:r>
        <w:rPr>
          <w:color w:val="auto"/>
        </w:rPr>
        <w:fldChar w:fldCharType="begin"/>
      </w:r>
      <w:r>
        <w:instrText xml:space="preserve"> HYPERLINK \l _Toc22242 </w:instrText>
      </w:r>
      <w:r>
        <w:fldChar w:fldCharType="separate"/>
      </w:r>
      <w:r>
        <w:rPr>
          <w:rFonts w:hint="eastAsia" w:ascii="黑体" w:hAnsi="华文中宋" w:eastAsia="黑体"/>
          <w:szCs w:val="28"/>
        </w:rPr>
        <w:t>第三节 投标文件的符合性审查</w:t>
      </w:r>
      <w:r>
        <w:tab/>
      </w:r>
      <w:r>
        <w:fldChar w:fldCharType="begin"/>
      </w:r>
      <w:r>
        <w:instrText xml:space="preserve"> PAGEREF _Toc22242 \h </w:instrText>
      </w:r>
      <w:r>
        <w:fldChar w:fldCharType="separate"/>
      </w:r>
      <w:r>
        <w:t>35</w:t>
      </w:r>
      <w:r>
        <w:fldChar w:fldCharType="end"/>
      </w:r>
      <w:r>
        <w:rPr>
          <w:color w:val="auto"/>
        </w:rPr>
        <w:fldChar w:fldCharType="end"/>
      </w:r>
    </w:p>
    <w:p w14:paraId="3FDA86EF">
      <w:pPr>
        <w:pStyle w:val="23"/>
        <w:tabs>
          <w:tab w:val="right" w:leader="dot" w:pos="8844"/>
        </w:tabs>
      </w:pPr>
      <w:r>
        <w:rPr>
          <w:color w:val="auto"/>
        </w:rPr>
        <w:fldChar w:fldCharType="begin"/>
      </w:r>
      <w:r>
        <w:instrText xml:space="preserve"> HYPERLINK \l _Toc12710 </w:instrText>
      </w:r>
      <w:r>
        <w:fldChar w:fldCharType="separate"/>
      </w:r>
      <w:r>
        <w:rPr>
          <w:rFonts w:hint="eastAsia"/>
          <w:szCs w:val="21"/>
        </w:rPr>
        <w:t>附表1 符合性审查表</w:t>
      </w:r>
      <w:r>
        <w:tab/>
      </w:r>
      <w:r>
        <w:fldChar w:fldCharType="begin"/>
      </w:r>
      <w:r>
        <w:instrText xml:space="preserve"> PAGEREF _Toc12710 \h </w:instrText>
      </w:r>
      <w:r>
        <w:fldChar w:fldCharType="separate"/>
      </w:r>
      <w:r>
        <w:t>36</w:t>
      </w:r>
      <w:r>
        <w:fldChar w:fldCharType="end"/>
      </w:r>
      <w:r>
        <w:rPr>
          <w:color w:val="auto"/>
        </w:rPr>
        <w:fldChar w:fldCharType="end"/>
      </w:r>
    </w:p>
    <w:p w14:paraId="1D325436">
      <w:pPr>
        <w:pStyle w:val="23"/>
        <w:tabs>
          <w:tab w:val="right" w:leader="dot" w:pos="8844"/>
        </w:tabs>
      </w:pPr>
      <w:r>
        <w:rPr>
          <w:color w:val="auto"/>
        </w:rPr>
        <w:fldChar w:fldCharType="begin"/>
      </w:r>
      <w:r>
        <w:instrText xml:space="preserve"> HYPERLINK \l _Toc1141 </w:instrText>
      </w:r>
      <w:r>
        <w:fldChar w:fldCharType="separate"/>
      </w:r>
      <w:r>
        <w:rPr>
          <w:rFonts w:hint="eastAsia" w:ascii="黑体" w:hAnsi="黑体" w:eastAsia="黑体"/>
          <w:szCs w:val="28"/>
        </w:rPr>
        <w:t>符合性审查结果一览表</w:t>
      </w:r>
      <w:r>
        <w:tab/>
      </w:r>
      <w:r>
        <w:fldChar w:fldCharType="begin"/>
      </w:r>
      <w:r>
        <w:instrText xml:space="preserve"> PAGEREF _Toc1141 \h </w:instrText>
      </w:r>
      <w:r>
        <w:fldChar w:fldCharType="separate"/>
      </w:r>
      <w:r>
        <w:t>37</w:t>
      </w:r>
      <w:r>
        <w:fldChar w:fldCharType="end"/>
      </w:r>
      <w:r>
        <w:rPr>
          <w:color w:val="auto"/>
        </w:rPr>
        <w:fldChar w:fldCharType="end"/>
      </w:r>
    </w:p>
    <w:p w14:paraId="60866895">
      <w:pPr>
        <w:pStyle w:val="23"/>
        <w:tabs>
          <w:tab w:val="right" w:leader="dot" w:pos="8844"/>
        </w:tabs>
      </w:pPr>
      <w:r>
        <w:rPr>
          <w:color w:val="auto"/>
        </w:rPr>
        <w:fldChar w:fldCharType="begin"/>
      </w:r>
      <w:r>
        <w:instrText xml:space="preserve"> HYPERLINK \l _Toc22501 </w:instrText>
      </w:r>
      <w:r>
        <w:fldChar w:fldCharType="separate"/>
      </w:r>
      <w:r>
        <w:rPr>
          <w:rFonts w:hint="eastAsia" w:ascii="黑体" w:hAnsi="黑体" w:eastAsia="黑体"/>
          <w:szCs w:val="28"/>
        </w:rPr>
        <w:t>符合性审查合格投标人名单</w:t>
      </w:r>
      <w:r>
        <w:tab/>
      </w:r>
      <w:r>
        <w:fldChar w:fldCharType="begin"/>
      </w:r>
      <w:r>
        <w:instrText xml:space="preserve"> PAGEREF _Toc22501 \h </w:instrText>
      </w:r>
      <w:r>
        <w:fldChar w:fldCharType="separate"/>
      </w:r>
      <w:r>
        <w:t>38</w:t>
      </w:r>
      <w:r>
        <w:fldChar w:fldCharType="end"/>
      </w:r>
      <w:r>
        <w:rPr>
          <w:color w:val="auto"/>
        </w:rPr>
        <w:fldChar w:fldCharType="end"/>
      </w:r>
    </w:p>
    <w:p w14:paraId="33E6BF41">
      <w:pPr>
        <w:pStyle w:val="37"/>
        <w:tabs>
          <w:tab w:val="right" w:leader="dot" w:pos="8844"/>
        </w:tabs>
      </w:pPr>
      <w:r>
        <w:rPr>
          <w:color w:val="auto"/>
        </w:rPr>
        <w:fldChar w:fldCharType="begin"/>
      </w:r>
      <w:r>
        <w:instrText xml:space="preserve"> HYPERLINK \l _Toc23150 </w:instrText>
      </w:r>
      <w:r>
        <w:fldChar w:fldCharType="separate"/>
      </w:r>
      <w:r>
        <w:rPr>
          <w:rFonts w:hint="eastAsia" w:ascii="黑体" w:hAnsi="华文中宋" w:eastAsia="黑体"/>
          <w:szCs w:val="28"/>
        </w:rPr>
        <w:t>第四节 投标文件的比较与评价（综合评分法）</w:t>
      </w:r>
      <w:r>
        <w:tab/>
      </w:r>
      <w:r>
        <w:fldChar w:fldCharType="begin"/>
      </w:r>
      <w:r>
        <w:instrText xml:space="preserve"> PAGEREF _Toc23150 \h </w:instrText>
      </w:r>
      <w:r>
        <w:fldChar w:fldCharType="separate"/>
      </w:r>
      <w:r>
        <w:t>39</w:t>
      </w:r>
      <w:r>
        <w:fldChar w:fldCharType="end"/>
      </w:r>
      <w:r>
        <w:rPr>
          <w:color w:val="auto"/>
        </w:rPr>
        <w:fldChar w:fldCharType="end"/>
      </w:r>
    </w:p>
    <w:p w14:paraId="2353C1EA">
      <w:pPr>
        <w:pStyle w:val="31"/>
        <w:tabs>
          <w:tab w:val="right" w:leader="dot" w:pos="8844"/>
          <w:tab w:val="clear" w:pos="1680"/>
          <w:tab w:val="clear" w:pos="8834"/>
        </w:tabs>
      </w:pPr>
      <w:r>
        <w:rPr>
          <w:color w:val="auto"/>
        </w:rPr>
        <w:fldChar w:fldCharType="begin"/>
      </w:r>
      <w:r>
        <w:instrText xml:space="preserve"> HYPERLINK \l _Toc31483 </w:instrText>
      </w:r>
      <w:r>
        <w:fldChar w:fldCharType="separate"/>
      </w:r>
      <w:r>
        <w:rPr>
          <w:rFonts w:hint="eastAsia" w:ascii="宋体" w:hAnsi="宋体" w:eastAsia="宋体" w:cs="宋体"/>
          <w:szCs w:val="32"/>
        </w:rPr>
        <w:t>第五章 采购需求</w:t>
      </w:r>
      <w:r>
        <w:tab/>
      </w:r>
      <w:r>
        <w:fldChar w:fldCharType="begin"/>
      </w:r>
      <w:r>
        <w:instrText xml:space="preserve"> PAGEREF _Toc31483 \h </w:instrText>
      </w:r>
      <w:r>
        <w:fldChar w:fldCharType="separate"/>
      </w:r>
      <w:r>
        <w:t>46</w:t>
      </w:r>
      <w:r>
        <w:fldChar w:fldCharType="end"/>
      </w:r>
      <w:r>
        <w:rPr>
          <w:color w:val="auto"/>
        </w:rPr>
        <w:fldChar w:fldCharType="end"/>
      </w:r>
    </w:p>
    <w:p w14:paraId="783E6F1E">
      <w:pPr>
        <w:pStyle w:val="37"/>
        <w:tabs>
          <w:tab w:val="right" w:leader="dot" w:pos="8844"/>
        </w:tabs>
      </w:pPr>
      <w:r>
        <w:rPr>
          <w:color w:val="auto"/>
        </w:rPr>
        <w:fldChar w:fldCharType="begin"/>
      </w:r>
      <w:r>
        <w:instrText xml:space="preserve"> HYPERLINK \l _Toc1227 </w:instrText>
      </w:r>
      <w:r>
        <w:fldChar w:fldCharType="separate"/>
      </w:r>
      <w:r>
        <w:rPr>
          <w:rFonts w:hint="eastAsia" w:ascii="宋体" w:hAnsi="宋体" w:eastAsia="宋体" w:cs="宋体"/>
          <w:szCs w:val="28"/>
        </w:rPr>
        <w:t>第一节 采购清单一览表</w:t>
      </w:r>
      <w:r>
        <w:tab/>
      </w:r>
      <w:r>
        <w:fldChar w:fldCharType="begin"/>
      </w:r>
      <w:r>
        <w:instrText xml:space="preserve"> PAGEREF _Toc1227 \h </w:instrText>
      </w:r>
      <w:r>
        <w:fldChar w:fldCharType="separate"/>
      </w:r>
      <w:r>
        <w:t>46</w:t>
      </w:r>
      <w:r>
        <w:fldChar w:fldCharType="end"/>
      </w:r>
      <w:r>
        <w:rPr>
          <w:color w:val="auto"/>
        </w:rPr>
        <w:fldChar w:fldCharType="end"/>
      </w:r>
    </w:p>
    <w:p w14:paraId="776A3C89">
      <w:pPr>
        <w:pStyle w:val="37"/>
        <w:tabs>
          <w:tab w:val="right" w:leader="dot" w:pos="8844"/>
        </w:tabs>
      </w:pPr>
      <w:r>
        <w:rPr>
          <w:color w:val="auto"/>
        </w:rPr>
        <w:fldChar w:fldCharType="begin"/>
      </w:r>
      <w:r>
        <w:instrText xml:space="preserve"> HYPERLINK \l _Toc14628 </w:instrText>
      </w:r>
      <w:r>
        <w:fldChar w:fldCharType="separate"/>
      </w:r>
      <w:r>
        <w:rPr>
          <w:rFonts w:hint="eastAsia" w:ascii="宋体" w:hAnsi="宋体" w:eastAsia="宋体" w:cs="宋体"/>
          <w:szCs w:val="28"/>
          <w:highlight w:val="none"/>
        </w:rPr>
        <w:t>第三节 商务要求</w:t>
      </w:r>
      <w:r>
        <w:tab/>
      </w:r>
      <w:r>
        <w:fldChar w:fldCharType="begin"/>
      </w:r>
      <w:r>
        <w:instrText xml:space="preserve"> PAGEREF _Toc14628 \h </w:instrText>
      </w:r>
      <w:r>
        <w:fldChar w:fldCharType="separate"/>
      </w:r>
      <w:r>
        <w:t>56</w:t>
      </w:r>
      <w:r>
        <w:fldChar w:fldCharType="end"/>
      </w:r>
      <w:r>
        <w:rPr>
          <w:color w:val="auto"/>
        </w:rPr>
        <w:fldChar w:fldCharType="end"/>
      </w:r>
    </w:p>
    <w:p w14:paraId="31B6B95B">
      <w:pPr>
        <w:pStyle w:val="31"/>
        <w:tabs>
          <w:tab w:val="right" w:leader="dot" w:pos="8844"/>
          <w:tab w:val="clear" w:pos="1680"/>
          <w:tab w:val="clear" w:pos="8834"/>
        </w:tabs>
      </w:pPr>
      <w:r>
        <w:rPr>
          <w:color w:val="auto"/>
        </w:rPr>
        <w:fldChar w:fldCharType="begin"/>
      </w:r>
      <w:r>
        <w:instrText xml:space="preserve"> HYPERLINK \l _Toc10794 </w:instrText>
      </w:r>
      <w:r>
        <w:fldChar w:fldCharType="separate"/>
      </w:r>
      <w:r>
        <w:rPr>
          <w:rFonts w:hint="eastAsia" w:ascii="黑体" w:hAnsi="华文中宋" w:eastAsia="黑体"/>
          <w:szCs w:val="32"/>
        </w:rPr>
        <w:t>第六章 政府采购合同</w:t>
      </w:r>
      <w:r>
        <w:tab/>
      </w:r>
      <w:r>
        <w:fldChar w:fldCharType="begin"/>
      </w:r>
      <w:r>
        <w:instrText xml:space="preserve"> PAGEREF _Toc10794 \h </w:instrText>
      </w:r>
      <w:r>
        <w:fldChar w:fldCharType="separate"/>
      </w:r>
      <w:r>
        <w:t>58</w:t>
      </w:r>
      <w:r>
        <w:fldChar w:fldCharType="end"/>
      </w:r>
      <w:r>
        <w:rPr>
          <w:color w:val="auto"/>
        </w:rPr>
        <w:fldChar w:fldCharType="end"/>
      </w:r>
    </w:p>
    <w:p w14:paraId="4271455C">
      <w:pPr>
        <w:pStyle w:val="37"/>
        <w:tabs>
          <w:tab w:val="right" w:leader="dot" w:pos="8844"/>
        </w:tabs>
      </w:pPr>
      <w:r>
        <w:rPr>
          <w:color w:val="auto"/>
        </w:rPr>
        <w:fldChar w:fldCharType="begin"/>
      </w:r>
      <w:r>
        <w:instrText xml:space="preserve"> HYPERLINK \l _Toc25235 </w:instrText>
      </w:r>
      <w:r>
        <w:fldChar w:fldCharType="separate"/>
      </w:r>
      <w:r>
        <w:rPr>
          <w:rFonts w:hint="eastAsia" w:ascii="黑体" w:hAnsi="华文中宋" w:eastAsia="黑体"/>
          <w:szCs w:val="28"/>
        </w:rPr>
        <w:t xml:space="preserve">第一节 </w:t>
      </w:r>
      <w:r>
        <w:rPr>
          <w:rFonts w:hint="eastAsia" w:ascii="宋体" w:hAnsi="宋体" w:cs="黑体"/>
        </w:rPr>
        <w:t xml:space="preserve"> 政府采购合同协议书</w:t>
      </w:r>
      <w:r>
        <w:tab/>
      </w:r>
      <w:r>
        <w:fldChar w:fldCharType="begin"/>
      </w:r>
      <w:r>
        <w:instrText xml:space="preserve"> PAGEREF _Toc25235 \h </w:instrText>
      </w:r>
      <w:r>
        <w:fldChar w:fldCharType="separate"/>
      </w:r>
      <w:r>
        <w:t>58</w:t>
      </w:r>
      <w:r>
        <w:fldChar w:fldCharType="end"/>
      </w:r>
      <w:r>
        <w:rPr>
          <w:color w:val="auto"/>
        </w:rPr>
        <w:fldChar w:fldCharType="end"/>
      </w:r>
    </w:p>
    <w:p w14:paraId="5607E5D8">
      <w:pPr>
        <w:pStyle w:val="37"/>
        <w:tabs>
          <w:tab w:val="right" w:leader="dot" w:pos="8844"/>
        </w:tabs>
      </w:pPr>
      <w:r>
        <w:rPr>
          <w:color w:val="auto"/>
        </w:rPr>
        <w:fldChar w:fldCharType="begin"/>
      </w:r>
      <w:r>
        <w:instrText xml:space="preserve"> HYPERLINK \l _Toc32301 </w:instrText>
      </w:r>
      <w:r>
        <w:fldChar w:fldCharType="separate"/>
      </w:r>
      <w:r>
        <w:rPr>
          <w:rFonts w:hint="eastAsia" w:ascii="黑体" w:hAnsi="黑体" w:eastAsia="黑体"/>
          <w:szCs w:val="28"/>
        </w:rPr>
        <w:t>第二节 政府采购合同通用条款</w:t>
      </w:r>
      <w:r>
        <w:tab/>
      </w:r>
      <w:r>
        <w:fldChar w:fldCharType="begin"/>
      </w:r>
      <w:r>
        <w:instrText xml:space="preserve"> PAGEREF _Toc32301 \h </w:instrText>
      </w:r>
      <w:r>
        <w:fldChar w:fldCharType="separate"/>
      </w:r>
      <w:r>
        <w:t>61</w:t>
      </w:r>
      <w:r>
        <w:fldChar w:fldCharType="end"/>
      </w:r>
      <w:r>
        <w:rPr>
          <w:color w:val="auto"/>
        </w:rPr>
        <w:fldChar w:fldCharType="end"/>
      </w:r>
    </w:p>
    <w:p w14:paraId="77559248">
      <w:pPr>
        <w:pStyle w:val="37"/>
        <w:tabs>
          <w:tab w:val="right" w:leader="dot" w:pos="8844"/>
        </w:tabs>
      </w:pPr>
      <w:r>
        <w:rPr>
          <w:color w:val="auto"/>
        </w:rPr>
        <w:fldChar w:fldCharType="begin"/>
      </w:r>
      <w:r>
        <w:instrText xml:space="preserve"> HYPERLINK \l _Toc23411 </w:instrText>
      </w:r>
      <w:r>
        <w:fldChar w:fldCharType="separate"/>
      </w:r>
      <w:r>
        <w:rPr>
          <w:rFonts w:hint="eastAsia" w:ascii="黑体" w:hAnsi="华文中宋" w:eastAsia="黑体"/>
          <w:szCs w:val="28"/>
        </w:rPr>
        <w:t>第三节 政府采购合同专用条款</w:t>
      </w:r>
      <w:r>
        <w:tab/>
      </w:r>
      <w:r>
        <w:fldChar w:fldCharType="begin"/>
      </w:r>
      <w:r>
        <w:instrText xml:space="preserve"> PAGEREF _Toc23411 \h </w:instrText>
      </w:r>
      <w:r>
        <w:fldChar w:fldCharType="separate"/>
      </w:r>
      <w:r>
        <w:t>68</w:t>
      </w:r>
      <w:r>
        <w:fldChar w:fldCharType="end"/>
      </w:r>
      <w:r>
        <w:rPr>
          <w:color w:val="auto"/>
        </w:rPr>
        <w:fldChar w:fldCharType="end"/>
      </w:r>
    </w:p>
    <w:p w14:paraId="2956221D">
      <w:pPr>
        <w:pStyle w:val="31"/>
        <w:tabs>
          <w:tab w:val="right" w:leader="dot" w:pos="8844"/>
          <w:tab w:val="clear" w:pos="1680"/>
          <w:tab w:val="clear" w:pos="8834"/>
        </w:tabs>
      </w:pPr>
      <w:r>
        <w:rPr>
          <w:color w:val="auto"/>
        </w:rPr>
        <w:fldChar w:fldCharType="begin"/>
      </w:r>
      <w:r>
        <w:instrText xml:space="preserve"> HYPERLINK \l _Toc7189 </w:instrText>
      </w:r>
      <w:r>
        <w:fldChar w:fldCharType="separate"/>
      </w:r>
      <w:r>
        <w:rPr>
          <w:rFonts w:hint="eastAsia" w:ascii="黑体" w:hAnsi="华文中宋" w:eastAsia="黑体"/>
          <w:szCs w:val="32"/>
        </w:rPr>
        <w:t>第七章 投标文件的组成</w:t>
      </w:r>
      <w:r>
        <w:tab/>
      </w:r>
      <w:r>
        <w:fldChar w:fldCharType="begin"/>
      </w:r>
      <w:r>
        <w:instrText xml:space="preserve"> PAGEREF _Toc7189 \h </w:instrText>
      </w:r>
      <w:r>
        <w:fldChar w:fldCharType="separate"/>
      </w:r>
      <w:r>
        <w:t>69</w:t>
      </w:r>
      <w:r>
        <w:fldChar w:fldCharType="end"/>
      </w:r>
      <w:r>
        <w:rPr>
          <w:color w:val="auto"/>
        </w:rPr>
        <w:fldChar w:fldCharType="end"/>
      </w:r>
    </w:p>
    <w:p w14:paraId="5EBF6ED7">
      <w:pPr>
        <w:pStyle w:val="37"/>
        <w:tabs>
          <w:tab w:val="right" w:leader="dot" w:pos="8844"/>
        </w:tabs>
      </w:pPr>
      <w:r>
        <w:rPr>
          <w:color w:val="auto"/>
        </w:rPr>
        <w:fldChar w:fldCharType="begin"/>
      </w:r>
      <w:r>
        <w:instrText xml:space="preserve"> HYPERLINK \l _Toc13762 </w:instrText>
      </w:r>
      <w:r>
        <w:fldChar w:fldCharType="separate"/>
      </w:r>
      <w:r>
        <w:rPr>
          <w:rFonts w:hint="eastAsia" w:ascii="黑体" w:hAnsi="黑体" w:eastAsia="黑体"/>
          <w:szCs w:val="44"/>
        </w:rPr>
        <w:t>第一部分 资格证明文件</w:t>
      </w:r>
      <w:r>
        <w:tab/>
      </w:r>
      <w:r>
        <w:fldChar w:fldCharType="begin"/>
      </w:r>
      <w:r>
        <w:instrText xml:space="preserve"> PAGEREF _Toc13762 \h </w:instrText>
      </w:r>
      <w:r>
        <w:fldChar w:fldCharType="separate"/>
      </w:r>
      <w:r>
        <w:t>70</w:t>
      </w:r>
      <w:r>
        <w:fldChar w:fldCharType="end"/>
      </w:r>
      <w:r>
        <w:rPr>
          <w:color w:val="auto"/>
        </w:rPr>
        <w:fldChar w:fldCharType="end"/>
      </w:r>
    </w:p>
    <w:p w14:paraId="46C3B886">
      <w:pPr>
        <w:pStyle w:val="37"/>
        <w:tabs>
          <w:tab w:val="right" w:leader="dot" w:pos="8844"/>
        </w:tabs>
      </w:pPr>
      <w:r>
        <w:rPr>
          <w:color w:val="auto"/>
        </w:rPr>
        <w:fldChar w:fldCharType="begin"/>
      </w:r>
      <w:r>
        <w:instrText xml:space="preserve"> HYPERLINK \l _Toc26419 </w:instrText>
      </w:r>
      <w:r>
        <w:fldChar w:fldCharType="separate"/>
      </w:r>
      <w:r>
        <w:rPr>
          <w:rFonts w:hint="eastAsia" w:ascii="黑体" w:hAnsi="宋体" w:eastAsia="黑体"/>
          <w:szCs w:val="28"/>
        </w:rPr>
        <w:t>一、开标一览表</w:t>
      </w:r>
      <w:r>
        <w:tab/>
      </w:r>
      <w:r>
        <w:fldChar w:fldCharType="begin"/>
      </w:r>
      <w:r>
        <w:instrText xml:space="preserve"> PAGEREF _Toc26419 \h </w:instrText>
      </w:r>
      <w:r>
        <w:fldChar w:fldCharType="separate"/>
      </w:r>
      <w:r>
        <w:t>71</w:t>
      </w:r>
      <w:r>
        <w:fldChar w:fldCharType="end"/>
      </w:r>
      <w:r>
        <w:rPr>
          <w:color w:val="auto"/>
        </w:rPr>
        <w:fldChar w:fldCharType="end"/>
      </w:r>
    </w:p>
    <w:p w14:paraId="1F5DB0ED">
      <w:pPr>
        <w:pStyle w:val="37"/>
        <w:tabs>
          <w:tab w:val="right" w:leader="dot" w:pos="8844"/>
        </w:tabs>
      </w:pPr>
      <w:r>
        <w:rPr>
          <w:color w:val="auto"/>
        </w:rPr>
        <w:fldChar w:fldCharType="begin"/>
      </w:r>
      <w:r>
        <w:instrText xml:space="preserve"> HYPERLINK \l _Toc25575 </w:instrText>
      </w:r>
      <w:r>
        <w:fldChar w:fldCharType="separate"/>
      </w:r>
      <w:r>
        <w:rPr>
          <w:rFonts w:hint="eastAsia" w:ascii="黑体" w:hAnsi="黑体" w:eastAsia="黑体"/>
          <w:szCs w:val="28"/>
        </w:rPr>
        <w:t>二、投标保证金</w:t>
      </w:r>
      <w:r>
        <w:tab/>
      </w:r>
      <w:r>
        <w:fldChar w:fldCharType="begin"/>
      </w:r>
      <w:r>
        <w:instrText xml:space="preserve"> PAGEREF _Toc25575 \h </w:instrText>
      </w:r>
      <w:r>
        <w:fldChar w:fldCharType="separate"/>
      </w:r>
      <w:r>
        <w:t>72</w:t>
      </w:r>
      <w:r>
        <w:fldChar w:fldCharType="end"/>
      </w:r>
      <w:r>
        <w:rPr>
          <w:color w:val="auto"/>
        </w:rPr>
        <w:fldChar w:fldCharType="end"/>
      </w:r>
    </w:p>
    <w:p w14:paraId="4BF689C1">
      <w:pPr>
        <w:pStyle w:val="23"/>
        <w:tabs>
          <w:tab w:val="right" w:leader="dot" w:pos="8844"/>
        </w:tabs>
      </w:pPr>
      <w:r>
        <w:rPr>
          <w:color w:val="auto"/>
        </w:rPr>
        <w:fldChar w:fldCharType="begin"/>
      </w:r>
      <w:r>
        <w:instrText xml:space="preserve"> HYPERLINK \l _Toc21861 </w:instrText>
      </w:r>
      <w:r>
        <w:fldChar w:fldCharType="separate"/>
      </w:r>
      <w:r>
        <w:rPr>
          <w:rFonts w:hint="eastAsia" w:ascii="黑体" w:hAnsi="宋体" w:eastAsia="黑体"/>
          <w:szCs w:val="28"/>
        </w:rPr>
        <w:t>三、</w:t>
      </w:r>
      <w:r>
        <w:rPr>
          <w:rFonts w:hint="eastAsia" w:ascii="黑体" w:hAnsi="宋体" w:eastAsia="黑体"/>
          <w:bCs/>
          <w:szCs w:val="28"/>
        </w:rPr>
        <w:t>授权委托书</w:t>
      </w:r>
      <w:r>
        <w:tab/>
      </w:r>
      <w:r>
        <w:fldChar w:fldCharType="begin"/>
      </w:r>
      <w:r>
        <w:instrText xml:space="preserve"> PAGEREF _Toc21861 \h </w:instrText>
      </w:r>
      <w:r>
        <w:fldChar w:fldCharType="separate"/>
      </w:r>
      <w:r>
        <w:t>73</w:t>
      </w:r>
      <w:r>
        <w:fldChar w:fldCharType="end"/>
      </w:r>
      <w:r>
        <w:rPr>
          <w:color w:val="auto"/>
        </w:rPr>
        <w:fldChar w:fldCharType="end"/>
      </w:r>
    </w:p>
    <w:p w14:paraId="230994CF">
      <w:pPr>
        <w:pStyle w:val="37"/>
        <w:tabs>
          <w:tab w:val="right" w:leader="dot" w:pos="8844"/>
        </w:tabs>
      </w:pPr>
      <w:r>
        <w:rPr>
          <w:color w:val="auto"/>
        </w:rPr>
        <w:fldChar w:fldCharType="begin"/>
      </w:r>
      <w:r>
        <w:instrText xml:space="preserve"> HYPERLINK \l _Toc14857 </w:instrText>
      </w:r>
      <w:r>
        <w:fldChar w:fldCharType="separate"/>
      </w:r>
      <w:r>
        <w:rPr>
          <w:rFonts w:hint="eastAsia" w:ascii="黑体" w:hAnsi="宋体" w:eastAsia="黑体"/>
          <w:szCs w:val="28"/>
        </w:rPr>
        <w:t>四、投标人提供的资格证明文件</w:t>
      </w:r>
      <w:r>
        <w:tab/>
      </w:r>
      <w:r>
        <w:fldChar w:fldCharType="begin"/>
      </w:r>
      <w:r>
        <w:instrText xml:space="preserve"> PAGEREF _Toc14857 \h </w:instrText>
      </w:r>
      <w:r>
        <w:fldChar w:fldCharType="separate"/>
      </w:r>
      <w:r>
        <w:t>75</w:t>
      </w:r>
      <w:r>
        <w:fldChar w:fldCharType="end"/>
      </w:r>
      <w:r>
        <w:rPr>
          <w:color w:val="auto"/>
        </w:rPr>
        <w:fldChar w:fldCharType="end"/>
      </w:r>
    </w:p>
    <w:p w14:paraId="1CDE1476">
      <w:pPr>
        <w:pStyle w:val="23"/>
        <w:tabs>
          <w:tab w:val="right" w:leader="dot" w:pos="8844"/>
        </w:tabs>
      </w:pPr>
      <w:r>
        <w:rPr>
          <w:color w:val="auto"/>
        </w:rPr>
        <w:fldChar w:fldCharType="begin"/>
      </w:r>
      <w:r>
        <w:instrText xml:space="preserve"> HYPERLINK \l _Toc20723 </w:instrText>
      </w:r>
      <w:r>
        <w:fldChar w:fldCharType="separate"/>
      </w:r>
      <w:r>
        <w:rPr>
          <w:rFonts w:hint="eastAsia" w:ascii="宋体" w:hAnsi="宋体" w:eastAsia="宋体" w:cs="宋体"/>
          <w:szCs w:val="24"/>
        </w:rPr>
        <w:t>附件4-1 法人或者其他组织的营业执照等主体资格证明文件，自然人的身份证明</w:t>
      </w:r>
      <w:r>
        <w:tab/>
      </w:r>
      <w:r>
        <w:fldChar w:fldCharType="begin"/>
      </w:r>
      <w:r>
        <w:instrText xml:space="preserve"> PAGEREF _Toc20723 \h </w:instrText>
      </w:r>
      <w:r>
        <w:fldChar w:fldCharType="separate"/>
      </w:r>
      <w:r>
        <w:t>76</w:t>
      </w:r>
      <w:r>
        <w:fldChar w:fldCharType="end"/>
      </w:r>
      <w:r>
        <w:rPr>
          <w:color w:val="auto"/>
        </w:rPr>
        <w:fldChar w:fldCharType="end"/>
      </w:r>
    </w:p>
    <w:p w14:paraId="18C037D1">
      <w:pPr>
        <w:pStyle w:val="23"/>
        <w:tabs>
          <w:tab w:val="right" w:leader="dot" w:pos="8844"/>
        </w:tabs>
      </w:pPr>
      <w:r>
        <w:rPr>
          <w:color w:val="auto"/>
        </w:rPr>
        <w:fldChar w:fldCharType="begin"/>
      </w:r>
      <w:r>
        <w:instrText xml:space="preserve"> HYPERLINK \l _Toc10094 </w:instrText>
      </w:r>
      <w:r>
        <w:fldChar w:fldCharType="separate"/>
      </w:r>
      <w:r>
        <w:rPr>
          <w:rFonts w:hint="eastAsia" w:ascii="宋体" w:hAnsi="宋体" w:eastAsia="宋体" w:cs="宋体"/>
          <w:szCs w:val="24"/>
        </w:rPr>
        <w:t>附件4-2 湖南省政府采购供应商资格承诺函(格式)</w:t>
      </w:r>
      <w:r>
        <w:tab/>
      </w:r>
      <w:r>
        <w:fldChar w:fldCharType="begin"/>
      </w:r>
      <w:r>
        <w:instrText xml:space="preserve"> PAGEREF _Toc10094 \h </w:instrText>
      </w:r>
      <w:r>
        <w:fldChar w:fldCharType="separate"/>
      </w:r>
      <w:r>
        <w:t>77</w:t>
      </w:r>
      <w:r>
        <w:fldChar w:fldCharType="end"/>
      </w:r>
      <w:r>
        <w:rPr>
          <w:color w:val="auto"/>
        </w:rPr>
        <w:fldChar w:fldCharType="end"/>
      </w:r>
    </w:p>
    <w:p w14:paraId="09B5D394">
      <w:pPr>
        <w:pStyle w:val="23"/>
        <w:tabs>
          <w:tab w:val="right" w:leader="dot" w:pos="8844"/>
        </w:tabs>
      </w:pPr>
      <w:r>
        <w:rPr>
          <w:color w:val="auto"/>
        </w:rPr>
        <w:fldChar w:fldCharType="begin"/>
      </w:r>
      <w:r>
        <w:instrText xml:space="preserve"> HYPERLINK \l _Toc30442 </w:instrText>
      </w:r>
      <w:r>
        <w:fldChar w:fldCharType="separate"/>
      </w:r>
      <w:r>
        <w:rPr>
          <w:rFonts w:hint="eastAsia" w:ascii="宋体" w:hAnsi="宋体" w:eastAsia="宋体" w:cs="宋体"/>
          <w:szCs w:val="24"/>
        </w:rPr>
        <w:t>附件4-3 符合特定资格条件证明材料</w:t>
      </w:r>
      <w:r>
        <w:rPr>
          <w:rFonts w:hint="eastAsia" w:ascii="宋体" w:hAnsi="宋体" w:eastAsia="宋体" w:cs="宋体"/>
          <w:szCs w:val="24"/>
          <w:lang w:eastAsia="zh-CN"/>
        </w:rPr>
        <w:t>扫描件</w:t>
      </w:r>
      <w:r>
        <w:rPr>
          <w:rFonts w:hint="eastAsia" w:ascii="宋体" w:hAnsi="宋体" w:eastAsia="宋体" w:cs="宋体"/>
          <w:szCs w:val="24"/>
        </w:rPr>
        <w:t>或者情况说明</w:t>
      </w:r>
      <w:r>
        <w:tab/>
      </w:r>
      <w:r>
        <w:fldChar w:fldCharType="begin"/>
      </w:r>
      <w:r>
        <w:instrText xml:space="preserve"> PAGEREF _Toc30442 \h </w:instrText>
      </w:r>
      <w:r>
        <w:fldChar w:fldCharType="separate"/>
      </w:r>
      <w:r>
        <w:t>78</w:t>
      </w:r>
      <w:r>
        <w:fldChar w:fldCharType="end"/>
      </w:r>
      <w:r>
        <w:rPr>
          <w:color w:val="auto"/>
        </w:rPr>
        <w:fldChar w:fldCharType="end"/>
      </w:r>
    </w:p>
    <w:p w14:paraId="76C235D9">
      <w:pPr>
        <w:pStyle w:val="23"/>
        <w:tabs>
          <w:tab w:val="right" w:leader="dot" w:pos="8844"/>
        </w:tabs>
      </w:pPr>
      <w:r>
        <w:rPr>
          <w:color w:val="auto"/>
        </w:rPr>
        <w:fldChar w:fldCharType="begin"/>
      </w:r>
      <w:r>
        <w:instrText xml:space="preserve"> HYPERLINK \l _Toc19619 </w:instrText>
      </w:r>
      <w:r>
        <w:fldChar w:fldCharType="separate"/>
      </w:r>
      <w:r>
        <w:rPr>
          <w:rFonts w:hint="eastAsia" w:ascii="宋体" w:hAnsi="宋体" w:eastAsia="宋体" w:cs="宋体"/>
          <w:szCs w:val="24"/>
        </w:rPr>
        <w:t>附件4-4 联合体协议书（格式）</w:t>
      </w:r>
      <w:r>
        <w:tab/>
      </w:r>
      <w:r>
        <w:fldChar w:fldCharType="begin"/>
      </w:r>
      <w:r>
        <w:instrText xml:space="preserve"> PAGEREF _Toc19619 \h </w:instrText>
      </w:r>
      <w:r>
        <w:fldChar w:fldCharType="separate"/>
      </w:r>
      <w:r>
        <w:t>79</w:t>
      </w:r>
      <w:r>
        <w:fldChar w:fldCharType="end"/>
      </w:r>
      <w:r>
        <w:rPr>
          <w:color w:val="auto"/>
        </w:rPr>
        <w:fldChar w:fldCharType="end"/>
      </w:r>
    </w:p>
    <w:p w14:paraId="3DD0BF54">
      <w:pPr>
        <w:pStyle w:val="23"/>
        <w:tabs>
          <w:tab w:val="right" w:leader="dot" w:pos="8844"/>
        </w:tabs>
      </w:pPr>
      <w:r>
        <w:rPr>
          <w:color w:val="auto"/>
        </w:rPr>
        <w:fldChar w:fldCharType="begin"/>
      </w:r>
      <w:r>
        <w:instrText xml:space="preserve"> HYPERLINK \l _Toc16733 </w:instrText>
      </w:r>
      <w:r>
        <w:fldChar w:fldCharType="separate"/>
      </w:r>
      <w:r>
        <w:rPr>
          <w:rFonts w:hint="eastAsia" w:ascii="宋体" w:hAnsi="宋体" w:eastAsia="宋体" w:cs="宋体"/>
          <w:szCs w:val="24"/>
        </w:rPr>
        <w:t>附件4-5   投标人资格声明(格式)</w:t>
      </w:r>
      <w:r>
        <w:tab/>
      </w:r>
      <w:r>
        <w:fldChar w:fldCharType="begin"/>
      </w:r>
      <w:r>
        <w:instrText xml:space="preserve"> PAGEREF _Toc16733 \h </w:instrText>
      </w:r>
      <w:r>
        <w:fldChar w:fldCharType="separate"/>
      </w:r>
      <w:r>
        <w:t>80</w:t>
      </w:r>
      <w:r>
        <w:fldChar w:fldCharType="end"/>
      </w:r>
      <w:r>
        <w:rPr>
          <w:color w:val="auto"/>
        </w:rPr>
        <w:fldChar w:fldCharType="end"/>
      </w:r>
    </w:p>
    <w:p w14:paraId="28D7259E">
      <w:pPr>
        <w:pStyle w:val="23"/>
        <w:tabs>
          <w:tab w:val="right" w:leader="dot" w:pos="8844"/>
        </w:tabs>
      </w:pPr>
      <w:r>
        <w:rPr>
          <w:color w:val="auto"/>
        </w:rPr>
        <w:fldChar w:fldCharType="begin"/>
      </w:r>
      <w:r>
        <w:instrText xml:space="preserve"> HYPERLINK \l _Toc31276 </w:instrText>
      </w:r>
      <w:r>
        <w:fldChar w:fldCharType="separate"/>
      </w:r>
      <w:r>
        <w:rPr>
          <w:rFonts w:hint="eastAsia" w:ascii="宋体" w:hAnsi="宋体" w:eastAsia="宋体" w:cs="宋体"/>
          <w:szCs w:val="24"/>
        </w:rPr>
        <w:t>附件4-6 信用查询记录</w:t>
      </w:r>
      <w:r>
        <w:tab/>
      </w:r>
      <w:r>
        <w:fldChar w:fldCharType="begin"/>
      </w:r>
      <w:r>
        <w:instrText xml:space="preserve"> PAGEREF _Toc31276 \h </w:instrText>
      </w:r>
      <w:r>
        <w:fldChar w:fldCharType="separate"/>
      </w:r>
      <w:r>
        <w:t>82</w:t>
      </w:r>
      <w:r>
        <w:fldChar w:fldCharType="end"/>
      </w:r>
      <w:r>
        <w:rPr>
          <w:color w:val="auto"/>
        </w:rPr>
        <w:fldChar w:fldCharType="end"/>
      </w:r>
    </w:p>
    <w:p w14:paraId="381E4970">
      <w:pPr>
        <w:pStyle w:val="37"/>
        <w:tabs>
          <w:tab w:val="right" w:leader="dot" w:pos="8844"/>
        </w:tabs>
      </w:pPr>
      <w:r>
        <w:rPr>
          <w:color w:val="auto"/>
        </w:rPr>
        <w:fldChar w:fldCharType="begin"/>
      </w:r>
      <w:r>
        <w:instrText xml:space="preserve"> HYPERLINK \l _Toc24760 </w:instrText>
      </w:r>
      <w:r>
        <w:fldChar w:fldCharType="separate"/>
      </w:r>
      <w:r>
        <w:rPr>
          <w:rFonts w:hint="eastAsia" w:ascii="宋体" w:hAnsi="宋体" w:eastAsia="宋体" w:cs="宋体"/>
          <w:szCs w:val="44"/>
        </w:rPr>
        <w:t>第二部分 商务技术文件</w:t>
      </w:r>
      <w:r>
        <w:tab/>
      </w:r>
      <w:r>
        <w:fldChar w:fldCharType="begin"/>
      </w:r>
      <w:r>
        <w:instrText xml:space="preserve"> PAGEREF _Toc24760 \h </w:instrText>
      </w:r>
      <w:r>
        <w:fldChar w:fldCharType="separate"/>
      </w:r>
      <w:r>
        <w:t>84</w:t>
      </w:r>
      <w:r>
        <w:fldChar w:fldCharType="end"/>
      </w:r>
      <w:r>
        <w:rPr>
          <w:color w:val="auto"/>
        </w:rPr>
        <w:fldChar w:fldCharType="end"/>
      </w:r>
    </w:p>
    <w:p w14:paraId="0F577E9F">
      <w:pPr>
        <w:pStyle w:val="23"/>
        <w:tabs>
          <w:tab w:val="right" w:leader="dot" w:pos="8844"/>
        </w:tabs>
      </w:pPr>
      <w:r>
        <w:rPr>
          <w:color w:val="auto"/>
        </w:rPr>
        <w:fldChar w:fldCharType="begin"/>
      </w:r>
      <w:r>
        <w:instrText xml:space="preserve"> HYPERLINK \l _Toc14424 </w:instrText>
      </w:r>
      <w:r>
        <w:fldChar w:fldCharType="separate"/>
      </w:r>
      <w:r>
        <w:rPr>
          <w:rFonts w:hint="eastAsia" w:ascii="宋体" w:hAnsi="宋体" w:eastAsia="宋体" w:cs="宋体"/>
          <w:szCs w:val="28"/>
        </w:rPr>
        <w:t>五、投标函</w:t>
      </w:r>
      <w:r>
        <w:tab/>
      </w:r>
      <w:r>
        <w:fldChar w:fldCharType="begin"/>
      </w:r>
      <w:r>
        <w:instrText xml:space="preserve"> PAGEREF _Toc14424 \h </w:instrText>
      </w:r>
      <w:r>
        <w:fldChar w:fldCharType="separate"/>
      </w:r>
      <w:r>
        <w:t>85</w:t>
      </w:r>
      <w:r>
        <w:fldChar w:fldCharType="end"/>
      </w:r>
      <w:r>
        <w:rPr>
          <w:color w:val="auto"/>
        </w:rPr>
        <w:fldChar w:fldCharType="end"/>
      </w:r>
    </w:p>
    <w:p w14:paraId="40266F07">
      <w:pPr>
        <w:pStyle w:val="23"/>
        <w:tabs>
          <w:tab w:val="right" w:leader="dot" w:pos="8844"/>
        </w:tabs>
      </w:pPr>
      <w:r>
        <w:rPr>
          <w:color w:val="auto"/>
        </w:rPr>
        <w:fldChar w:fldCharType="begin"/>
      </w:r>
      <w:r>
        <w:instrText xml:space="preserve"> HYPERLINK \l _Toc5407 </w:instrText>
      </w:r>
      <w:r>
        <w:fldChar w:fldCharType="separate"/>
      </w:r>
      <w:r>
        <w:rPr>
          <w:rFonts w:hint="eastAsia" w:ascii="宋体" w:hAnsi="宋体" w:eastAsia="宋体" w:cs="宋体"/>
          <w:szCs w:val="28"/>
        </w:rPr>
        <w:t>六、分项报价</w:t>
      </w:r>
      <w:r>
        <w:tab/>
      </w:r>
      <w:r>
        <w:fldChar w:fldCharType="begin"/>
      </w:r>
      <w:r>
        <w:instrText xml:space="preserve"> PAGEREF _Toc5407 \h </w:instrText>
      </w:r>
      <w:r>
        <w:fldChar w:fldCharType="separate"/>
      </w:r>
      <w:r>
        <w:t>87</w:t>
      </w:r>
      <w:r>
        <w:fldChar w:fldCharType="end"/>
      </w:r>
      <w:r>
        <w:rPr>
          <w:color w:val="auto"/>
        </w:rPr>
        <w:fldChar w:fldCharType="end"/>
      </w:r>
    </w:p>
    <w:p w14:paraId="35D21C50">
      <w:pPr>
        <w:pStyle w:val="23"/>
        <w:tabs>
          <w:tab w:val="right" w:leader="dot" w:pos="8844"/>
        </w:tabs>
      </w:pPr>
      <w:r>
        <w:rPr>
          <w:color w:val="auto"/>
        </w:rPr>
        <w:fldChar w:fldCharType="begin"/>
      </w:r>
      <w:r>
        <w:instrText xml:space="preserve"> HYPERLINK \l _Toc899 </w:instrText>
      </w:r>
      <w:r>
        <w:fldChar w:fldCharType="separate"/>
      </w:r>
      <w:r>
        <w:rPr>
          <w:rFonts w:hint="eastAsia" w:ascii="宋体" w:hAnsi="宋体" w:eastAsia="宋体" w:cs="宋体"/>
          <w:szCs w:val="28"/>
        </w:rPr>
        <w:t>七、采购需求响应</w:t>
      </w:r>
      <w:r>
        <w:tab/>
      </w:r>
      <w:r>
        <w:fldChar w:fldCharType="begin"/>
      </w:r>
      <w:r>
        <w:instrText xml:space="preserve"> PAGEREF _Toc899 \h </w:instrText>
      </w:r>
      <w:r>
        <w:fldChar w:fldCharType="separate"/>
      </w:r>
      <w:r>
        <w:t>88</w:t>
      </w:r>
      <w:r>
        <w:fldChar w:fldCharType="end"/>
      </w:r>
      <w:r>
        <w:rPr>
          <w:color w:val="auto"/>
        </w:rPr>
        <w:fldChar w:fldCharType="end"/>
      </w:r>
    </w:p>
    <w:p w14:paraId="6A698994">
      <w:pPr>
        <w:pStyle w:val="23"/>
        <w:tabs>
          <w:tab w:val="right" w:leader="dot" w:pos="8844"/>
        </w:tabs>
      </w:pPr>
      <w:r>
        <w:rPr>
          <w:color w:val="auto"/>
        </w:rPr>
        <w:fldChar w:fldCharType="begin"/>
      </w:r>
      <w:r>
        <w:instrText xml:space="preserve"> HYPERLINK \l _Toc23328 </w:instrText>
      </w:r>
      <w:r>
        <w:fldChar w:fldCharType="separate"/>
      </w:r>
      <w:r>
        <w:rPr>
          <w:rFonts w:hint="eastAsia" w:ascii="宋体" w:hAnsi="宋体" w:eastAsia="宋体" w:cs="宋体"/>
          <w:szCs w:val="28"/>
        </w:rPr>
        <w:t>八、合同条款偏离表</w:t>
      </w:r>
      <w:r>
        <w:tab/>
      </w:r>
      <w:r>
        <w:fldChar w:fldCharType="begin"/>
      </w:r>
      <w:r>
        <w:instrText xml:space="preserve"> PAGEREF _Toc23328 \h </w:instrText>
      </w:r>
      <w:r>
        <w:fldChar w:fldCharType="separate"/>
      </w:r>
      <w:r>
        <w:t>89</w:t>
      </w:r>
      <w:r>
        <w:fldChar w:fldCharType="end"/>
      </w:r>
      <w:r>
        <w:rPr>
          <w:color w:val="auto"/>
        </w:rPr>
        <w:fldChar w:fldCharType="end"/>
      </w:r>
    </w:p>
    <w:p w14:paraId="4F2FFEDD">
      <w:pPr>
        <w:pStyle w:val="23"/>
        <w:tabs>
          <w:tab w:val="right" w:leader="dot" w:pos="8844"/>
        </w:tabs>
      </w:pPr>
      <w:r>
        <w:rPr>
          <w:color w:val="auto"/>
        </w:rPr>
        <w:fldChar w:fldCharType="begin"/>
      </w:r>
      <w:r>
        <w:instrText xml:space="preserve"> HYPERLINK \l _Toc6428 </w:instrText>
      </w:r>
      <w:r>
        <w:fldChar w:fldCharType="separate"/>
      </w:r>
      <w:r>
        <w:rPr>
          <w:rFonts w:hint="eastAsia" w:ascii="宋体" w:hAnsi="宋体" w:eastAsia="宋体" w:cs="宋体"/>
          <w:szCs w:val="28"/>
        </w:rPr>
        <w:t>九、采购需求偏离表</w:t>
      </w:r>
      <w:r>
        <w:tab/>
      </w:r>
      <w:r>
        <w:fldChar w:fldCharType="begin"/>
      </w:r>
      <w:r>
        <w:instrText xml:space="preserve"> PAGEREF _Toc6428 \h </w:instrText>
      </w:r>
      <w:r>
        <w:fldChar w:fldCharType="separate"/>
      </w:r>
      <w:r>
        <w:t>90</w:t>
      </w:r>
      <w:r>
        <w:fldChar w:fldCharType="end"/>
      </w:r>
      <w:r>
        <w:rPr>
          <w:color w:val="auto"/>
        </w:rPr>
        <w:fldChar w:fldCharType="end"/>
      </w:r>
    </w:p>
    <w:p w14:paraId="411381D5">
      <w:pPr>
        <w:pStyle w:val="23"/>
        <w:tabs>
          <w:tab w:val="right" w:leader="dot" w:pos="8844"/>
        </w:tabs>
      </w:pPr>
      <w:r>
        <w:rPr>
          <w:color w:val="auto"/>
        </w:rPr>
        <w:fldChar w:fldCharType="begin"/>
      </w:r>
      <w:r>
        <w:instrText xml:space="preserve"> HYPERLINK \l _Toc18717 </w:instrText>
      </w:r>
      <w:r>
        <w:fldChar w:fldCharType="separate"/>
      </w:r>
      <w:r>
        <w:rPr>
          <w:rFonts w:hint="eastAsia" w:ascii="宋体" w:hAnsi="宋体" w:eastAsia="宋体" w:cs="宋体"/>
          <w:szCs w:val="21"/>
        </w:rPr>
        <w:t>十</w:t>
      </w:r>
      <w:r>
        <w:rPr>
          <w:rFonts w:hint="eastAsia" w:ascii="宋体" w:hAnsi="宋体" w:eastAsia="宋体" w:cs="宋体"/>
          <w:szCs w:val="28"/>
        </w:rPr>
        <w:t>、享受政府采购政策优惠的证明资料</w:t>
      </w:r>
      <w:r>
        <w:tab/>
      </w:r>
      <w:r>
        <w:fldChar w:fldCharType="begin"/>
      </w:r>
      <w:r>
        <w:instrText xml:space="preserve"> PAGEREF _Toc18717 \h </w:instrText>
      </w:r>
      <w:r>
        <w:fldChar w:fldCharType="separate"/>
      </w:r>
      <w:r>
        <w:t>91</w:t>
      </w:r>
      <w:r>
        <w:fldChar w:fldCharType="end"/>
      </w:r>
      <w:r>
        <w:rPr>
          <w:color w:val="auto"/>
        </w:rPr>
        <w:fldChar w:fldCharType="end"/>
      </w:r>
    </w:p>
    <w:p w14:paraId="2CE0F88A">
      <w:pPr>
        <w:pStyle w:val="23"/>
        <w:tabs>
          <w:tab w:val="right" w:leader="dot" w:pos="8844"/>
        </w:tabs>
      </w:pPr>
      <w:r>
        <w:rPr>
          <w:color w:val="auto"/>
        </w:rPr>
        <w:fldChar w:fldCharType="begin"/>
      </w:r>
      <w:r>
        <w:instrText xml:space="preserve"> HYPERLINK \l _Toc4584 </w:instrText>
      </w:r>
      <w:r>
        <w:fldChar w:fldCharType="separate"/>
      </w:r>
      <w:r>
        <w:rPr>
          <w:rFonts w:hint="eastAsia" w:ascii="宋体" w:hAnsi="宋体" w:eastAsia="宋体" w:cs="宋体"/>
          <w:szCs w:val="28"/>
        </w:rPr>
        <w:t>十一、投标货物符合招标文件规定的证明文件</w:t>
      </w:r>
      <w:r>
        <w:tab/>
      </w:r>
      <w:r>
        <w:fldChar w:fldCharType="begin"/>
      </w:r>
      <w:r>
        <w:instrText xml:space="preserve"> PAGEREF _Toc4584 \h </w:instrText>
      </w:r>
      <w:r>
        <w:fldChar w:fldCharType="separate"/>
      </w:r>
      <w:r>
        <w:t>96</w:t>
      </w:r>
      <w:r>
        <w:fldChar w:fldCharType="end"/>
      </w:r>
      <w:r>
        <w:rPr>
          <w:color w:val="auto"/>
        </w:rPr>
        <w:fldChar w:fldCharType="end"/>
      </w:r>
    </w:p>
    <w:p w14:paraId="02FE7CE9">
      <w:pPr>
        <w:pStyle w:val="23"/>
        <w:tabs>
          <w:tab w:val="right" w:leader="dot" w:pos="8844"/>
        </w:tabs>
      </w:pPr>
      <w:r>
        <w:rPr>
          <w:color w:val="auto"/>
        </w:rPr>
        <w:fldChar w:fldCharType="begin"/>
      </w:r>
      <w:r>
        <w:instrText xml:space="preserve"> HYPERLINK \l _Toc10508 </w:instrText>
      </w:r>
      <w:r>
        <w:fldChar w:fldCharType="separate"/>
      </w:r>
      <w:r>
        <w:rPr>
          <w:rFonts w:hint="eastAsia" w:ascii="宋体" w:hAnsi="宋体" w:eastAsia="宋体" w:cs="宋体"/>
          <w:szCs w:val="28"/>
        </w:rPr>
        <w:t>十二、投标人认为需提供的其他资料</w:t>
      </w:r>
      <w:r>
        <w:tab/>
      </w:r>
      <w:r>
        <w:fldChar w:fldCharType="begin"/>
      </w:r>
      <w:r>
        <w:instrText xml:space="preserve"> PAGEREF _Toc10508 \h </w:instrText>
      </w:r>
      <w:r>
        <w:fldChar w:fldCharType="separate"/>
      </w:r>
      <w:r>
        <w:t>97</w:t>
      </w:r>
      <w:r>
        <w:fldChar w:fldCharType="end"/>
      </w:r>
      <w:r>
        <w:rPr>
          <w:color w:val="auto"/>
        </w:rPr>
        <w:fldChar w:fldCharType="end"/>
      </w:r>
    </w:p>
    <w:p w14:paraId="4D0827BD">
      <w:pPr>
        <w:pStyle w:val="3"/>
        <w:rPr>
          <w:color w:val="auto"/>
        </w:rPr>
        <w:sectPr>
          <w:headerReference r:id="rId3" w:type="default"/>
          <w:footerReference r:id="rId4" w:type="default"/>
          <w:pgSz w:w="11906" w:h="16838"/>
          <w:pgMar w:top="1474" w:right="1474" w:bottom="1474" w:left="1588" w:header="851" w:footer="992" w:gutter="0"/>
          <w:pgBorders>
            <w:top w:val="none" w:sz="0" w:space="0"/>
            <w:left w:val="none" w:sz="0" w:space="0"/>
            <w:bottom w:val="none" w:sz="0" w:space="0"/>
            <w:right w:val="none" w:sz="0" w:space="0"/>
          </w:pgBorders>
          <w:pgNumType w:start="1"/>
          <w:cols w:space="720" w:num="1"/>
          <w:docGrid w:type="lines" w:linePitch="312" w:charSpace="0"/>
        </w:sectPr>
      </w:pPr>
      <w:r>
        <w:rPr>
          <w:color w:val="auto"/>
        </w:rPr>
        <w:fldChar w:fldCharType="end"/>
      </w:r>
    </w:p>
    <w:p w14:paraId="7117185E">
      <w:pPr>
        <w:pStyle w:val="102"/>
        <w:numPr>
          <w:ilvl w:val="0"/>
          <w:numId w:val="2"/>
        </w:numPr>
        <w:ind w:firstLine="640"/>
        <w:jc w:val="center"/>
        <w:rPr>
          <w:rFonts w:ascii="黑体" w:hAnsi="华文中宋" w:eastAsia="黑体"/>
          <w:color w:val="auto"/>
          <w:sz w:val="32"/>
          <w:szCs w:val="32"/>
        </w:rPr>
      </w:pPr>
      <w:r>
        <w:rPr>
          <w:rFonts w:hint="eastAsia" w:ascii="黑体" w:hAnsi="华文中宋" w:eastAsia="黑体"/>
          <w:color w:val="auto"/>
          <w:sz w:val="32"/>
          <w:szCs w:val="32"/>
        </w:rPr>
        <w:t xml:space="preserve"> 投标邀请（公开招标）</w:t>
      </w:r>
    </w:p>
    <w:p w14:paraId="17E767DD">
      <w:pPr>
        <w:pStyle w:val="102"/>
        <w:ind w:firstLine="0" w:firstLineChars="0"/>
        <w:rPr>
          <w:rFonts w:ascii="黑体" w:hAnsi="华文中宋" w:eastAsia="黑体"/>
          <w:color w:val="auto"/>
          <w:sz w:val="32"/>
          <w:szCs w:val="32"/>
        </w:rPr>
      </w:pPr>
    </w:p>
    <w:p w14:paraId="0870EEA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u w:val="single"/>
          <w:lang w:eastAsia="zh-CN"/>
        </w:rPr>
        <w:t>新化县田坪镇中心学校</w:t>
      </w:r>
      <w:r>
        <w:rPr>
          <w:rFonts w:hint="eastAsia" w:ascii="宋体" w:hAnsi="宋体"/>
          <w:color w:val="auto"/>
          <w:szCs w:val="21"/>
          <w:u w:val="single"/>
        </w:rPr>
        <w:t>（采购人名称）</w:t>
      </w:r>
      <w:r>
        <w:rPr>
          <w:rFonts w:hint="eastAsia" w:ascii="宋体" w:hAnsi="宋体"/>
          <w:color w:val="auto"/>
          <w:szCs w:val="21"/>
        </w:rPr>
        <w:t>的</w:t>
      </w:r>
      <w:r>
        <w:rPr>
          <w:rFonts w:hint="eastAsia" w:ascii="宋体" w:hAnsi="宋体"/>
          <w:color w:val="auto"/>
          <w:szCs w:val="21"/>
          <w:u w:val="single"/>
          <w:lang w:eastAsia="zh-CN"/>
        </w:rPr>
        <w:t>新化县第十一中学新校区设备采购</w:t>
      </w:r>
      <w:r>
        <w:rPr>
          <w:rFonts w:hint="eastAsia" w:ascii="宋体" w:hAnsi="宋体"/>
          <w:color w:val="auto"/>
          <w:szCs w:val="21"/>
        </w:rPr>
        <w:t>进行公开招标采购，现邀请合格投标人参加投标。</w:t>
      </w:r>
    </w:p>
    <w:p w14:paraId="2BE0AA46">
      <w:pPr>
        <w:adjustRightInd w:val="0"/>
        <w:snapToGrid w:val="0"/>
        <w:spacing w:line="360" w:lineRule="auto"/>
        <w:ind w:firstLine="361" w:firstLineChars="200"/>
        <w:rPr>
          <w:rFonts w:ascii="宋体" w:hAnsi="宋体"/>
          <w:b/>
          <w:color w:val="auto"/>
          <w:sz w:val="18"/>
          <w:szCs w:val="18"/>
        </w:rPr>
      </w:pPr>
      <w:r>
        <w:rPr>
          <w:rFonts w:hint="eastAsia" w:ascii="宋体" w:hAnsi="宋体"/>
          <w:b/>
          <w:color w:val="auto"/>
          <w:sz w:val="18"/>
          <w:szCs w:val="18"/>
        </w:rPr>
        <w:t>一、采购项目基本信息</w:t>
      </w:r>
    </w:p>
    <w:p w14:paraId="598B052F">
      <w:pPr>
        <w:adjustRightInd w:val="0"/>
        <w:snapToGrid w:val="0"/>
        <w:spacing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1、采购项目名称：</w:t>
      </w:r>
      <w:r>
        <w:rPr>
          <w:rFonts w:hint="eastAsia" w:ascii="宋体" w:hAnsi="宋体"/>
          <w:color w:val="auto"/>
          <w:szCs w:val="21"/>
          <w:u w:val="single"/>
          <w:lang w:eastAsia="zh-CN"/>
        </w:rPr>
        <w:t>新化县第十一中学新校区设备采购</w:t>
      </w:r>
    </w:p>
    <w:p w14:paraId="29CB870E">
      <w:pPr>
        <w:adjustRightInd w:val="0"/>
        <w:snapToGrid w:val="0"/>
        <w:spacing w:line="360" w:lineRule="auto"/>
        <w:ind w:firstLine="420" w:firstLineChars="200"/>
        <w:rPr>
          <w:rFonts w:hint="default" w:ascii="宋体" w:hAnsi="宋体"/>
          <w:color w:val="auto"/>
          <w:szCs w:val="21"/>
          <w:lang w:val="en-US"/>
        </w:rPr>
      </w:pPr>
      <w:r>
        <w:rPr>
          <w:rFonts w:hint="eastAsia" w:ascii="宋体" w:hAnsi="宋体"/>
          <w:color w:val="auto"/>
          <w:szCs w:val="21"/>
        </w:rPr>
        <w:t>2、政府采购计划编号：</w:t>
      </w:r>
      <w:r>
        <w:rPr>
          <w:rFonts w:hint="eastAsia" w:ascii="宋体" w:hAnsi="宋体"/>
          <w:color w:val="auto"/>
          <w:szCs w:val="21"/>
          <w:lang w:eastAsia="zh-CN"/>
        </w:rPr>
        <w:t>（</w:t>
      </w:r>
      <w:r>
        <w:rPr>
          <w:rFonts w:hint="eastAsia" w:ascii="宋体" w:hAnsi="宋体"/>
          <w:color w:val="auto"/>
          <w:szCs w:val="21"/>
          <w:u w:val="single"/>
          <w:lang w:val="en-US" w:eastAsia="zh-CN"/>
        </w:rPr>
        <w:t xml:space="preserve">2026）431322000012-1  </w:t>
      </w:r>
    </w:p>
    <w:p w14:paraId="12D69FAC">
      <w:pPr>
        <w:adjustRightInd w:val="0"/>
        <w:snapToGrid w:val="0"/>
        <w:spacing w:line="360" w:lineRule="auto"/>
        <w:ind w:firstLine="420" w:firstLineChars="200"/>
        <w:rPr>
          <w:rFonts w:hint="default" w:ascii="宋体" w:hAnsi="宋体" w:eastAsia="宋体"/>
          <w:color w:val="auto"/>
          <w:szCs w:val="21"/>
          <w:u w:val="single"/>
          <w:lang w:val="en-US" w:eastAsia="zh-CN"/>
        </w:rPr>
      </w:pPr>
      <w:r>
        <w:rPr>
          <w:rFonts w:hint="eastAsia" w:ascii="宋体" w:hAnsi="宋体"/>
          <w:color w:val="auto"/>
          <w:szCs w:val="21"/>
        </w:rPr>
        <w:t>3、委托代理编号：</w:t>
      </w:r>
      <w:r>
        <w:rPr>
          <w:rFonts w:hint="eastAsia" w:ascii="宋体" w:hAnsi="宋体"/>
          <w:color w:val="auto"/>
          <w:szCs w:val="21"/>
          <w:u w:val="single"/>
          <w:lang w:eastAsia="zh-CN"/>
        </w:rPr>
        <w:t>LDZC-202</w:t>
      </w:r>
      <w:r>
        <w:rPr>
          <w:rFonts w:hint="eastAsia" w:ascii="宋体" w:hAnsi="宋体"/>
          <w:color w:val="auto"/>
          <w:szCs w:val="21"/>
          <w:u w:val="single"/>
          <w:lang w:val="en-US" w:eastAsia="zh-CN"/>
        </w:rPr>
        <w:t>6</w:t>
      </w:r>
      <w:r>
        <w:rPr>
          <w:rFonts w:hint="eastAsia" w:ascii="宋体" w:hAnsi="宋体"/>
          <w:color w:val="auto"/>
          <w:szCs w:val="21"/>
          <w:u w:val="single"/>
          <w:lang w:eastAsia="zh-CN"/>
        </w:rPr>
        <w:t>GK0</w:t>
      </w:r>
      <w:r>
        <w:rPr>
          <w:rFonts w:hint="eastAsia" w:ascii="宋体" w:hAnsi="宋体"/>
          <w:color w:val="auto"/>
          <w:szCs w:val="21"/>
          <w:u w:val="single"/>
          <w:lang w:val="en-US" w:eastAsia="zh-CN"/>
        </w:rPr>
        <w:t xml:space="preserve">070        </w:t>
      </w:r>
    </w:p>
    <w:p w14:paraId="31D306F9">
      <w:pPr>
        <w:adjustRightInd w:val="0"/>
        <w:snapToGrid w:val="0"/>
        <w:spacing w:line="360" w:lineRule="auto"/>
        <w:ind w:firstLine="420" w:firstLineChars="200"/>
        <w:rPr>
          <w:rFonts w:ascii="宋体" w:hAnsi="宋体" w:cs="宋体"/>
          <w:color w:val="auto"/>
          <w:kern w:val="0"/>
          <w:szCs w:val="21"/>
          <w:u w:val="single"/>
        </w:rPr>
      </w:pPr>
      <w:r>
        <w:rPr>
          <w:rFonts w:hint="eastAsia" w:ascii="宋体" w:hAnsi="宋体"/>
          <w:color w:val="auto"/>
          <w:szCs w:val="21"/>
        </w:rPr>
        <w:t>4、采购项目预算</w:t>
      </w:r>
      <w:r>
        <w:rPr>
          <w:rFonts w:hint="eastAsia" w:ascii="宋体" w:hAnsi="宋体" w:eastAsia="宋体"/>
          <w:color w:val="auto"/>
          <w:szCs w:val="21"/>
        </w:rPr>
        <w:t>：</w:t>
      </w:r>
      <w:r>
        <w:rPr>
          <w:rFonts w:hint="eastAsia" w:ascii="宋体" w:hAnsi="宋体"/>
          <w:color w:val="auto"/>
          <w:szCs w:val="21"/>
          <w:u w:val="single"/>
          <w:lang w:val="en-US" w:eastAsia="zh-CN"/>
        </w:rPr>
        <w:t>692800.00</w:t>
      </w:r>
      <w:r>
        <w:rPr>
          <w:rFonts w:hint="eastAsia" w:ascii="宋体" w:hAnsi="宋体" w:eastAsia="宋体"/>
          <w:color w:val="auto"/>
          <w:szCs w:val="21"/>
          <w:u w:val="single"/>
        </w:rPr>
        <w:t>元</w:t>
      </w:r>
    </w:p>
    <w:p w14:paraId="20566B7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支持预付款，预付比例：</w:t>
      </w:r>
      <w:r>
        <w:rPr>
          <w:rFonts w:hint="eastAsia" w:ascii="宋体" w:hAnsi="宋体"/>
          <w:color w:val="auto"/>
          <w:szCs w:val="21"/>
          <w:u w:val="single"/>
        </w:rPr>
        <w:t xml:space="preserve">  /  </w:t>
      </w:r>
    </w:p>
    <w:p w14:paraId="2BB8BB1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5、本项目对应的中小企业划分标准所属行业：</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工业  </w:t>
      </w:r>
      <w:r>
        <w:rPr>
          <w:rFonts w:hint="eastAsia" w:ascii="宋体" w:hAnsi="宋体"/>
          <w:color w:val="auto"/>
          <w:szCs w:val="21"/>
          <w:u w:val="single"/>
        </w:rPr>
        <w:t xml:space="preserve"> </w:t>
      </w:r>
    </w:p>
    <w:p w14:paraId="3456410B">
      <w:pPr>
        <w:adjustRightInd w:val="0"/>
        <w:snapToGrid w:val="0"/>
        <w:spacing w:line="360" w:lineRule="auto"/>
        <w:ind w:firstLine="420" w:firstLineChars="200"/>
        <w:rPr>
          <w:rFonts w:ascii="宋体" w:hAnsi="宋体"/>
          <w:bCs/>
          <w:color w:val="auto"/>
          <w:szCs w:val="21"/>
          <w:u w:val="single"/>
        </w:rPr>
      </w:pPr>
      <w:r>
        <w:rPr>
          <w:rFonts w:hint="eastAsia" w:ascii="宋体" w:hAnsi="宋体"/>
          <w:bCs/>
          <w:color w:val="auto"/>
          <w:szCs w:val="21"/>
        </w:rPr>
        <w:t>6、评标方法：</w:t>
      </w:r>
      <w:r>
        <w:rPr>
          <w:rFonts w:hint="eastAsia" w:ascii="宋体" w:hAnsi="宋体"/>
          <w:color w:val="auto"/>
          <w:szCs w:val="21"/>
        </w:rPr>
        <w:sym w:font="Wingdings" w:char="00FE"/>
      </w:r>
      <w:r>
        <w:rPr>
          <w:rFonts w:hint="eastAsia" w:ascii="宋体" w:hAnsi="宋体"/>
          <w:iCs/>
          <w:color w:val="auto"/>
          <w:szCs w:val="21"/>
        </w:rPr>
        <w:t xml:space="preserve">综合评分法  </w:t>
      </w:r>
      <w:r>
        <w:rPr>
          <w:rFonts w:hint="eastAsia" w:ascii="宋体" w:hAnsi="宋体"/>
          <w:iCs/>
          <w:color w:val="auto"/>
          <w:szCs w:val="21"/>
        </w:rPr>
        <w:sym w:font="Wingdings" w:char="00A8"/>
      </w:r>
      <w:r>
        <w:rPr>
          <w:rFonts w:hint="eastAsia" w:ascii="宋体" w:hAnsi="宋体"/>
          <w:iCs/>
          <w:color w:val="auto"/>
          <w:szCs w:val="21"/>
        </w:rPr>
        <w:t>最低价法</w:t>
      </w:r>
    </w:p>
    <w:p w14:paraId="45268AE9">
      <w:pPr>
        <w:adjustRightInd w:val="0"/>
        <w:snapToGrid w:val="0"/>
        <w:spacing w:line="360" w:lineRule="auto"/>
        <w:ind w:firstLine="420" w:firstLineChars="200"/>
        <w:rPr>
          <w:rFonts w:hint="eastAsia" w:ascii="宋体" w:hAnsi="宋体"/>
          <w:iCs/>
          <w:color w:val="auto"/>
          <w:szCs w:val="21"/>
        </w:rPr>
      </w:pPr>
      <w:r>
        <w:rPr>
          <w:rFonts w:hint="eastAsia" w:ascii="宋体" w:hAnsi="宋体"/>
          <w:iCs/>
          <w:color w:val="auto"/>
          <w:szCs w:val="21"/>
        </w:rPr>
        <w:t>7、合同定价方式：</w:t>
      </w:r>
      <w:r>
        <w:rPr>
          <w:rFonts w:hint="eastAsia" w:ascii="宋体" w:hAnsi="宋体"/>
          <w:iCs/>
          <w:color w:val="auto"/>
          <w:szCs w:val="21"/>
        </w:rPr>
        <w:sym w:font="Wingdings" w:char="00FE"/>
      </w:r>
      <w:r>
        <w:rPr>
          <w:rFonts w:hint="eastAsia" w:ascii="宋体" w:hAnsi="宋体"/>
          <w:iCs/>
          <w:color w:val="auto"/>
          <w:szCs w:val="21"/>
        </w:rPr>
        <w:t xml:space="preserve">固定总价  </w:t>
      </w:r>
      <w:r>
        <w:rPr>
          <w:rFonts w:hint="eastAsia" w:ascii="宋体" w:hAnsi="宋体"/>
          <w:iCs/>
          <w:color w:val="auto"/>
          <w:szCs w:val="21"/>
        </w:rPr>
        <w:sym w:font="Wingdings" w:char="00A8"/>
      </w:r>
      <w:r>
        <w:rPr>
          <w:rFonts w:hint="eastAsia" w:ascii="宋体" w:hAnsi="宋体"/>
          <w:iCs/>
          <w:color w:val="auto"/>
          <w:szCs w:val="21"/>
        </w:rPr>
        <w:t xml:space="preserve">固定单价  </w:t>
      </w:r>
      <w:r>
        <w:rPr>
          <w:rFonts w:hint="eastAsia" w:ascii="宋体" w:hAnsi="宋体"/>
          <w:iCs/>
          <w:color w:val="auto"/>
          <w:szCs w:val="21"/>
        </w:rPr>
        <w:sym w:font="Wingdings" w:char="00A8"/>
      </w:r>
      <w:r>
        <w:rPr>
          <w:rFonts w:hint="eastAsia" w:ascii="宋体" w:hAnsi="宋体"/>
          <w:iCs/>
          <w:color w:val="auto"/>
          <w:szCs w:val="21"/>
        </w:rPr>
        <w:t xml:space="preserve">成本补偿  </w:t>
      </w:r>
      <w:r>
        <w:rPr>
          <w:rFonts w:hint="eastAsia" w:ascii="宋体" w:hAnsi="宋体"/>
          <w:iCs/>
          <w:color w:val="auto"/>
          <w:szCs w:val="21"/>
        </w:rPr>
        <w:sym w:font="Wingdings" w:char="00A8"/>
      </w:r>
      <w:r>
        <w:rPr>
          <w:rFonts w:hint="eastAsia" w:ascii="宋体" w:hAnsi="宋体"/>
          <w:iCs/>
          <w:color w:val="auto"/>
          <w:szCs w:val="21"/>
        </w:rPr>
        <w:t>绩效激励</w:t>
      </w:r>
    </w:p>
    <w:p w14:paraId="6A0BDC64">
      <w:pPr>
        <w:adjustRightInd w:val="0"/>
        <w:snapToGrid w:val="0"/>
        <w:spacing w:line="360" w:lineRule="auto"/>
        <w:ind w:firstLine="420" w:firstLineChars="200"/>
        <w:rPr>
          <w:rFonts w:hint="eastAsia" w:ascii="宋体" w:hAnsi="宋体" w:eastAsia="宋体" w:cs="Times New Roman"/>
          <w:color w:val="auto"/>
          <w:szCs w:val="21"/>
          <w:lang w:val="en-US" w:eastAsia="zh-CN"/>
        </w:rPr>
      </w:pPr>
      <w:r>
        <w:rPr>
          <w:rFonts w:hint="eastAsia" w:ascii="宋体" w:hAnsi="宋体" w:eastAsia="宋体" w:cs="Times New Roman"/>
          <w:color w:val="auto"/>
          <w:szCs w:val="21"/>
        </w:rPr>
        <w:t>8、合同履行期限：</w:t>
      </w:r>
      <w:r>
        <w:rPr>
          <w:rFonts w:hint="eastAsia" w:ascii="宋体" w:hAnsi="宋体" w:eastAsia="宋体" w:cs="宋体"/>
          <w:color w:val="auto"/>
          <w:szCs w:val="21"/>
          <w:highlight w:val="none"/>
          <w:u w:val="single"/>
          <w:lang w:eastAsia="zh-CN"/>
        </w:rPr>
        <w:t>合同签订后</w:t>
      </w:r>
      <w:r>
        <w:rPr>
          <w:rFonts w:hint="eastAsia" w:ascii="宋体" w:hAnsi="宋体" w:eastAsia="宋体" w:cs="宋体"/>
          <w:color w:val="auto"/>
          <w:szCs w:val="21"/>
          <w:highlight w:val="none"/>
          <w:u w:val="single"/>
          <w:lang w:val="en-US" w:eastAsia="zh-CN"/>
        </w:rPr>
        <w:t>35</w:t>
      </w:r>
      <w:r>
        <w:rPr>
          <w:rFonts w:hint="eastAsia" w:ascii="宋体" w:hAnsi="宋体" w:eastAsia="宋体" w:cs="宋体"/>
          <w:color w:val="auto"/>
          <w:szCs w:val="21"/>
          <w:highlight w:val="none"/>
          <w:u w:val="single"/>
          <w:lang w:eastAsia="zh-CN"/>
        </w:rPr>
        <w:t>天内交货，并安装调试验收合格交付使用</w:t>
      </w:r>
      <w:r>
        <w:rPr>
          <w:rFonts w:hint="eastAsia" w:ascii="宋体" w:hAnsi="宋体" w:cs="Times New Roman"/>
          <w:color w:val="auto"/>
          <w:szCs w:val="21"/>
          <w:u w:val="single"/>
          <w:lang w:eastAsia="zh-CN"/>
        </w:rPr>
        <w:t>。</w:t>
      </w:r>
    </w:p>
    <w:p w14:paraId="15640A1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9、本项目分阶段要求投标人提供以下保证：</w:t>
      </w:r>
    </w:p>
    <w:p w14:paraId="26102ED7">
      <w:pPr>
        <w:adjustRightInd w:val="0"/>
        <w:snapToGrid w:val="0"/>
        <w:spacing w:line="360" w:lineRule="auto"/>
        <w:ind w:firstLine="630" w:firstLineChars="3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 xml:space="preserve">投标保证金：采购项目预算的 </w:t>
      </w:r>
      <w:r>
        <w:rPr>
          <w:rFonts w:hint="eastAsia" w:ascii="宋体" w:hAnsi="宋体"/>
          <w:color w:val="auto"/>
          <w:szCs w:val="21"/>
          <w:u w:val="single"/>
        </w:rPr>
        <w:t xml:space="preserve"> / </w:t>
      </w:r>
      <w:r>
        <w:rPr>
          <w:rFonts w:hint="eastAsia" w:ascii="宋体" w:hAnsi="宋体"/>
          <w:color w:val="auto"/>
          <w:szCs w:val="21"/>
        </w:rPr>
        <w:t>%</w:t>
      </w:r>
    </w:p>
    <w:p w14:paraId="57A0C6FA">
      <w:pPr>
        <w:adjustRightInd w:val="0"/>
        <w:snapToGrid w:val="0"/>
        <w:spacing w:line="360" w:lineRule="auto"/>
        <w:ind w:firstLine="630" w:firstLineChars="300"/>
        <w:rPr>
          <w:rFonts w:ascii="宋体" w:hAnsi="宋体"/>
          <w:color w:val="auto"/>
          <w:szCs w:val="21"/>
        </w:rPr>
      </w:pPr>
      <w:r>
        <w:rPr>
          <w:rFonts w:hint="eastAsia" w:ascii="宋体" w:hAnsi="宋体"/>
          <w:color w:val="auto"/>
          <w:szCs w:val="21"/>
        </w:rPr>
        <w:sym w:font="Wingdings" w:char="00A8"/>
      </w:r>
      <w:r>
        <w:rPr>
          <w:rFonts w:hint="eastAsia" w:ascii="宋体" w:hAnsi="宋体"/>
          <w:color w:val="auto"/>
          <w:szCs w:val="21"/>
        </w:rPr>
        <w:t xml:space="preserve">履约保证金：中标金额的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 </w:t>
      </w:r>
      <w:r>
        <w:rPr>
          <w:rFonts w:hint="eastAsia" w:ascii="宋体" w:hAnsi="宋体"/>
          <w:color w:val="auto"/>
          <w:szCs w:val="21"/>
        </w:rPr>
        <w:t xml:space="preserve"> %</w:t>
      </w:r>
    </w:p>
    <w:p w14:paraId="13A0EC71">
      <w:pPr>
        <w:pStyle w:val="102"/>
        <w:spacing w:line="360" w:lineRule="auto"/>
        <w:ind w:firstLine="630" w:firstLineChars="300"/>
        <w:rPr>
          <w:rFonts w:hint="eastAsia" w:ascii="宋体" w:hAnsi="宋体"/>
          <w:color w:val="auto"/>
          <w:sz w:val="21"/>
          <w:szCs w:val="21"/>
        </w:rPr>
      </w:pPr>
      <w:r>
        <w:rPr>
          <w:rFonts w:hint="eastAsia" w:ascii="宋体" w:hAnsi="宋体"/>
          <w:iCs/>
          <w:color w:val="auto"/>
          <w:sz w:val="21"/>
          <w:szCs w:val="21"/>
        </w:rPr>
        <w:sym w:font="Wingdings" w:char="00A8"/>
      </w:r>
      <w:r>
        <w:rPr>
          <w:rFonts w:hint="eastAsia" w:ascii="宋体" w:hAnsi="宋体"/>
          <w:color w:val="auto"/>
          <w:sz w:val="21"/>
          <w:szCs w:val="21"/>
        </w:rPr>
        <w:t>预付款保证金：预付款的</w:t>
      </w:r>
      <w:r>
        <w:rPr>
          <w:rFonts w:hint="eastAsia" w:ascii="宋体" w:hAnsi="宋体"/>
          <w:color w:val="auto"/>
          <w:sz w:val="21"/>
          <w:szCs w:val="21"/>
          <w:u w:val="single"/>
        </w:rPr>
        <w:t xml:space="preserve">  /  </w:t>
      </w:r>
      <w:r>
        <w:rPr>
          <w:rFonts w:hint="eastAsia" w:ascii="宋体" w:hAnsi="宋体"/>
          <w:color w:val="auto"/>
          <w:sz w:val="21"/>
          <w:szCs w:val="21"/>
        </w:rPr>
        <w:t>%</w:t>
      </w:r>
    </w:p>
    <w:p w14:paraId="309AE94A">
      <w:pPr>
        <w:pStyle w:val="102"/>
        <w:spacing w:line="360" w:lineRule="auto"/>
        <w:ind w:firstLine="630" w:firstLineChars="300"/>
        <w:rPr>
          <w:rFonts w:hint="eastAsia" w:ascii="宋体" w:hAnsi="宋体"/>
          <w:color w:val="auto"/>
          <w:sz w:val="21"/>
          <w:szCs w:val="21"/>
        </w:rPr>
      </w:pPr>
      <w:r>
        <w:rPr>
          <w:rFonts w:hint="eastAsia" w:ascii="宋体" w:hAnsi="宋体"/>
          <w:iCs/>
          <w:color w:val="auto"/>
          <w:sz w:val="21"/>
          <w:szCs w:val="21"/>
        </w:rPr>
        <w:sym w:font="Wingdings" w:char="00A8"/>
      </w:r>
      <w:r>
        <w:rPr>
          <w:rFonts w:hint="eastAsia" w:ascii="宋体" w:hAnsi="宋体"/>
          <w:color w:val="auto"/>
          <w:sz w:val="21"/>
          <w:szCs w:val="21"/>
        </w:rPr>
        <w:t>质量保证金：</w:t>
      </w:r>
      <w:r>
        <w:rPr>
          <w:rFonts w:hint="eastAsia" w:ascii="宋体" w:hAnsi="宋体"/>
          <w:iCs/>
          <w:color w:val="auto"/>
          <w:sz w:val="21"/>
          <w:szCs w:val="21"/>
        </w:rPr>
        <w:t>中标金额的</w:t>
      </w:r>
      <w:r>
        <w:rPr>
          <w:rFonts w:hint="eastAsia" w:ascii="宋体" w:hAnsi="宋体"/>
          <w:iCs/>
          <w:color w:val="auto"/>
          <w:sz w:val="21"/>
          <w:szCs w:val="21"/>
          <w:u w:val="single"/>
        </w:rPr>
        <w:t xml:space="preserve">   /  </w:t>
      </w:r>
      <w:r>
        <w:rPr>
          <w:rFonts w:hint="eastAsia" w:ascii="宋体" w:hAnsi="宋体"/>
          <w:iCs/>
          <w:color w:val="auto"/>
          <w:sz w:val="21"/>
          <w:szCs w:val="21"/>
        </w:rPr>
        <w:t>%</w:t>
      </w:r>
      <w:r>
        <w:rPr>
          <w:rFonts w:hint="eastAsia" w:ascii="宋体" w:hAnsi="宋体"/>
          <w:color w:val="auto"/>
          <w:sz w:val="21"/>
          <w:szCs w:val="21"/>
        </w:rPr>
        <w:t>；</w:t>
      </w:r>
    </w:p>
    <w:p w14:paraId="25D877BD">
      <w:pPr>
        <w:numPr>
          <w:ilvl w:val="0"/>
          <w:numId w:val="0"/>
        </w:numPr>
        <w:adjustRightInd w:val="0"/>
        <w:snapToGrid w:val="0"/>
        <w:spacing w:line="360" w:lineRule="auto"/>
        <w:rPr>
          <w:rFonts w:hint="eastAsia" w:ascii="宋体" w:hAnsi="宋体"/>
          <w:b/>
          <w:color w:val="auto"/>
          <w:szCs w:val="21"/>
        </w:rPr>
      </w:pPr>
      <w:r>
        <w:rPr>
          <w:rFonts w:hint="eastAsia" w:ascii="宋体" w:hAnsi="宋体"/>
          <w:b/>
          <w:color w:val="auto"/>
          <w:szCs w:val="21"/>
          <w:lang w:val="en-US" w:eastAsia="zh-CN"/>
        </w:rPr>
        <w:t>二、</w:t>
      </w:r>
      <w:r>
        <w:rPr>
          <w:rFonts w:hint="eastAsia" w:ascii="宋体" w:hAnsi="宋体"/>
          <w:b/>
          <w:color w:val="auto"/>
          <w:szCs w:val="21"/>
        </w:rPr>
        <w:t>采购人的采购需求</w:t>
      </w:r>
    </w:p>
    <w:tbl>
      <w:tblPr>
        <w:tblStyle w:val="47"/>
        <w:tblW w:w="8740" w:type="dxa"/>
        <w:jc w:val="center"/>
        <w:tblLayout w:type="fixed"/>
        <w:tblCellMar>
          <w:top w:w="0" w:type="dxa"/>
          <w:left w:w="0" w:type="dxa"/>
          <w:bottom w:w="0" w:type="dxa"/>
          <w:right w:w="0" w:type="dxa"/>
        </w:tblCellMar>
      </w:tblPr>
      <w:tblGrid>
        <w:gridCol w:w="688"/>
        <w:gridCol w:w="1005"/>
        <w:gridCol w:w="1890"/>
        <w:gridCol w:w="900"/>
        <w:gridCol w:w="3066"/>
        <w:gridCol w:w="624"/>
        <w:gridCol w:w="567"/>
      </w:tblGrid>
      <w:tr w14:paraId="1D0FA145">
        <w:tblPrEx>
          <w:tblCellMar>
            <w:top w:w="0" w:type="dxa"/>
            <w:left w:w="0" w:type="dxa"/>
            <w:bottom w:w="0" w:type="dxa"/>
            <w:right w:w="0" w:type="dxa"/>
          </w:tblCellMar>
        </w:tblPrEx>
        <w:trPr>
          <w:trHeight w:val="436" w:hRule="atLeast"/>
          <w:jc w:val="center"/>
        </w:trPr>
        <w:tc>
          <w:tcPr>
            <w:tcW w:w="688" w:type="dxa"/>
            <w:tcBorders>
              <w:top w:val="single" w:color="000000" w:sz="8" w:space="0"/>
              <w:left w:val="single" w:color="000000" w:sz="8" w:space="0"/>
              <w:bottom w:val="single" w:color="auto" w:sz="4" w:space="0"/>
              <w:right w:val="single" w:color="auto" w:sz="4" w:space="0"/>
            </w:tcBorders>
            <w:shd w:val="clear" w:color="auto" w:fill="FFFFFF"/>
            <w:tcMar>
              <w:top w:w="0" w:type="dxa"/>
              <w:left w:w="108" w:type="dxa"/>
              <w:bottom w:w="0" w:type="dxa"/>
              <w:right w:w="108" w:type="dxa"/>
            </w:tcMar>
            <w:vAlign w:val="center"/>
          </w:tcPr>
          <w:p w14:paraId="72B78C30">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包号</w:t>
            </w:r>
          </w:p>
        </w:tc>
        <w:tc>
          <w:tcPr>
            <w:tcW w:w="1005" w:type="dxa"/>
            <w:tcBorders>
              <w:top w:val="single" w:color="000000" w:sz="8" w:space="0"/>
              <w:left w:val="single" w:color="auto" w:sz="4" w:space="0"/>
              <w:bottom w:val="single" w:color="auto" w:sz="4" w:space="0"/>
              <w:right w:val="single" w:color="auto" w:sz="4" w:space="0"/>
            </w:tcBorders>
            <w:shd w:val="clear" w:color="auto" w:fill="FFFFFF"/>
            <w:vAlign w:val="center"/>
          </w:tcPr>
          <w:p w14:paraId="626F720D">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包名称</w:t>
            </w:r>
          </w:p>
        </w:tc>
        <w:tc>
          <w:tcPr>
            <w:tcW w:w="1890" w:type="dxa"/>
            <w:tcBorders>
              <w:top w:val="single" w:color="000000" w:sz="8" w:space="0"/>
              <w:left w:val="single" w:color="auto" w:sz="4" w:space="0"/>
              <w:bottom w:val="single" w:color="auto" w:sz="4" w:space="0"/>
              <w:right w:val="single" w:color="auto" w:sz="4" w:space="0"/>
            </w:tcBorders>
            <w:shd w:val="clear" w:color="auto" w:fill="FFFFFF"/>
            <w:vAlign w:val="center"/>
          </w:tcPr>
          <w:p w14:paraId="76AA8536">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标的名称</w:t>
            </w:r>
          </w:p>
        </w:tc>
        <w:tc>
          <w:tcPr>
            <w:tcW w:w="900" w:type="dxa"/>
            <w:tcBorders>
              <w:top w:val="single" w:color="000000" w:sz="8" w:space="0"/>
              <w:left w:val="single" w:color="auto" w:sz="4" w:space="0"/>
              <w:bottom w:val="single" w:color="auto" w:sz="4" w:space="0"/>
              <w:right w:val="single" w:color="auto" w:sz="4" w:space="0"/>
            </w:tcBorders>
            <w:shd w:val="clear" w:color="auto" w:fill="FFFFFF"/>
            <w:vAlign w:val="center"/>
          </w:tcPr>
          <w:p w14:paraId="012AA1FA">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数量</w:t>
            </w:r>
          </w:p>
        </w:tc>
        <w:tc>
          <w:tcPr>
            <w:tcW w:w="3066" w:type="dxa"/>
            <w:tcBorders>
              <w:top w:val="single" w:color="000000" w:sz="8" w:space="0"/>
              <w:left w:val="single" w:color="auto" w:sz="4" w:space="0"/>
              <w:bottom w:val="single" w:color="auto" w:sz="4" w:space="0"/>
              <w:right w:val="single" w:color="auto" w:sz="4" w:space="0"/>
            </w:tcBorders>
            <w:shd w:val="clear" w:color="auto" w:fill="FFFFFF"/>
            <w:vAlign w:val="center"/>
          </w:tcPr>
          <w:p w14:paraId="5F5FF3AC">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简要技术要求</w:t>
            </w:r>
          </w:p>
        </w:tc>
        <w:tc>
          <w:tcPr>
            <w:tcW w:w="624" w:type="dxa"/>
            <w:tcBorders>
              <w:top w:val="single" w:color="000000" w:sz="8" w:space="0"/>
              <w:left w:val="single" w:color="auto" w:sz="4" w:space="0"/>
              <w:bottom w:val="single" w:color="auto" w:sz="4" w:space="0"/>
              <w:right w:val="single" w:color="auto" w:sz="4" w:space="0"/>
            </w:tcBorders>
            <w:shd w:val="clear" w:color="auto" w:fill="FFFFFF"/>
            <w:vAlign w:val="center"/>
          </w:tcPr>
          <w:p w14:paraId="50B22254">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节能产品</w:t>
            </w:r>
          </w:p>
        </w:tc>
        <w:tc>
          <w:tcPr>
            <w:tcW w:w="567" w:type="dxa"/>
            <w:tcBorders>
              <w:top w:val="single" w:color="000000" w:sz="8" w:space="0"/>
              <w:left w:val="single" w:color="auto" w:sz="4" w:space="0"/>
              <w:bottom w:val="single" w:color="auto" w:sz="4" w:space="0"/>
              <w:right w:val="single" w:color="auto" w:sz="8" w:space="0"/>
            </w:tcBorders>
            <w:shd w:val="clear" w:color="auto" w:fill="FFFFFF"/>
            <w:vAlign w:val="center"/>
          </w:tcPr>
          <w:p w14:paraId="071BAEE3">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进口产品</w:t>
            </w:r>
          </w:p>
        </w:tc>
      </w:tr>
      <w:tr w14:paraId="4D5D74F8">
        <w:tblPrEx>
          <w:tblCellMar>
            <w:top w:w="0" w:type="dxa"/>
            <w:left w:w="0" w:type="dxa"/>
            <w:bottom w:w="0" w:type="dxa"/>
            <w:right w:w="0" w:type="dxa"/>
          </w:tblCellMar>
        </w:tblPrEx>
        <w:trPr>
          <w:trHeight w:val="562" w:hRule="atLeast"/>
          <w:jc w:val="center"/>
        </w:trPr>
        <w:tc>
          <w:tcPr>
            <w:tcW w:w="688" w:type="dxa"/>
            <w:tcBorders>
              <w:top w:val="single" w:color="auto" w:sz="4" w:space="0"/>
              <w:left w:val="single" w:color="000000" w:sz="8" w:space="0"/>
              <w:bottom w:val="single" w:color="auto" w:sz="4" w:space="0"/>
              <w:right w:val="single" w:color="auto" w:sz="4" w:space="0"/>
            </w:tcBorders>
            <w:shd w:val="clear" w:color="auto" w:fill="FFFFFF"/>
            <w:tcMar>
              <w:top w:w="0" w:type="dxa"/>
              <w:left w:w="108" w:type="dxa"/>
              <w:bottom w:w="0" w:type="dxa"/>
              <w:right w:w="108" w:type="dxa"/>
            </w:tcMar>
            <w:vAlign w:val="center"/>
          </w:tcPr>
          <w:p w14:paraId="05CBE56A">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01</w:t>
            </w:r>
          </w:p>
        </w:tc>
        <w:tc>
          <w:tcPr>
            <w:tcW w:w="1005" w:type="dxa"/>
            <w:tcBorders>
              <w:top w:val="single" w:color="auto" w:sz="4" w:space="0"/>
              <w:left w:val="single" w:color="auto" w:sz="4" w:space="0"/>
              <w:bottom w:val="single" w:color="auto" w:sz="4" w:space="0"/>
              <w:right w:val="single" w:color="auto" w:sz="4" w:space="0"/>
            </w:tcBorders>
            <w:shd w:val="clear" w:color="auto" w:fill="FFFFFF"/>
            <w:vAlign w:val="center"/>
          </w:tcPr>
          <w:p w14:paraId="671CCBE6">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t>包1</w:t>
            </w:r>
          </w:p>
        </w:tc>
        <w:tc>
          <w:tcPr>
            <w:tcW w:w="1890" w:type="dxa"/>
            <w:tcBorders>
              <w:top w:val="single" w:color="auto" w:sz="4" w:space="0"/>
              <w:left w:val="single" w:color="auto" w:sz="4" w:space="0"/>
              <w:bottom w:val="single" w:color="auto" w:sz="4" w:space="0"/>
              <w:right w:val="single" w:color="auto" w:sz="4" w:space="0"/>
            </w:tcBorders>
            <w:shd w:val="clear" w:color="auto" w:fill="FFFFFF"/>
            <w:vAlign w:val="center"/>
          </w:tcPr>
          <w:p w14:paraId="0A6D06A6">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新化县第十一中学新校区设备采购</w:t>
            </w:r>
          </w:p>
        </w:tc>
        <w:tc>
          <w:tcPr>
            <w:tcW w:w="900" w:type="dxa"/>
            <w:tcBorders>
              <w:top w:val="single" w:color="auto" w:sz="4" w:space="0"/>
              <w:left w:val="single" w:color="auto" w:sz="4" w:space="0"/>
              <w:bottom w:val="single" w:color="auto" w:sz="4" w:space="0"/>
              <w:right w:val="single" w:color="auto" w:sz="4" w:space="0"/>
            </w:tcBorders>
            <w:shd w:val="clear" w:color="auto" w:fill="FFFFFF"/>
            <w:vAlign w:val="center"/>
          </w:tcPr>
          <w:p w14:paraId="488F3B29">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highlight w:val="none"/>
                <w:lang w:val="en-US" w:eastAsia="zh-CN"/>
              </w:rPr>
            </w:pPr>
            <w:r>
              <w:rPr>
                <w:rFonts w:hint="eastAsia" w:ascii="宋体" w:hAnsi="宋体" w:eastAsia="宋体" w:cs="宋体"/>
                <w:color w:val="auto"/>
                <w:kern w:val="0"/>
                <w:highlight w:val="none"/>
                <w:lang w:val="en-US" w:eastAsia="zh-CN"/>
              </w:rPr>
              <w:t>1批</w:t>
            </w:r>
          </w:p>
        </w:tc>
        <w:tc>
          <w:tcPr>
            <w:tcW w:w="3066" w:type="dxa"/>
            <w:tcBorders>
              <w:top w:val="single" w:color="auto" w:sz="4" w:space="0"/>
              <w:left w:val="single" w:color="auto" w:sz="4" w:space="0"/>
              <w:bottom w:val="single" w:color="auto" w:sz="4" w:space="0"/>
              <w:right w:val="single" w:color="auto" w:sz="4" w:space="0"/>
            </w:tcBorders>
            <w:shd w:val="clear" w:color="auto" w:fill="FFFFFF"/>
            <w:vAlign w:val="center"/>
          </w:tcPr>
          <w:p w14:paraId="4136BBA7">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highlight w:val="none"/>
                <w:lang w:val="en-US" w:eastAsia="zh-CN"/>
              </w:rPr>
            </w:pPr>
            <w:r>
              <w:rPr>
                <w:rFonts w:hint="eastAsia" w:ascii="宋体" w:hAnsi="宋体" w:eastAsia="宋体" w:cs="宋体"/>
                <w:color w:val="auto"/>
                <w:kern w:val="0"/>
                <w:highlight w:val="none"/>
                <w:lang w:val="en-US" w:eastAsia="zh-CN"/>
              </w:rPr>
              <w:t>课桌:600套；电子白板:15块；教师床:40张；办公桌:40张；资料柜:40个；办公椅:40条；办公室电脑15台；食堂就餐桌:160套。</w:t>
            </w:r>
          </w:p>
        </w:tc>
        <w:tc>
          <w:tcPr>
            <w:tcW w:w="624" w:type="dxa"/>
            <w:tcBorders>
              <w:top w:val="single" w:color="auto" w:sz="4" w:space="0"/>
              <w:left w:val="single" w:color="auto" w:sz="4" w:space="0"/>
              <w:bottom w:val="single" w:color="auto" w:sz="4" w:space="0"/>
              <w:right w:val="single" w:color="auto" w:sz="4" w:space="0"/>
            </w:tcBorders>
            <w:shd w:val="clear" w:color="auto" w:fill="FFFFFF"/>
            <w:vAlign w:val="center"/>
          </w:tcPr>
          <w:p w14:paraId="1A1D0120">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highlight w:val="none"/>
              </w:rPr>
            </w:pPr>
            <w:r>
              <w:rPr>
                <w:rFonts w:hint="eastAsia" w:ascii="宋体" w:hAnsi="宋体" w:eastAsia="宋体" w:cs="宋体"/>
                <w:color w:val="auto"/>
                <w:kern w:val="0"/>
                <w:highlight w:val="none"/>
              </w:rPr>
              <w:sym w:font="Wingdings" w:char="00FE"/>
            </w:r>
          </w:p>
        </w:tc>
        <w:tc>
          <w:tcPr>
            <w:tcW w:w="567" w:type="dxa"/>
            <w:tcBorders>
              <w:top w:val="single" w:color="auto" w:sz="4" w:space="0"/>
              <w:left w:val="single" w:color="auto" w:sz="4" w:space="0"/>
              <w:bottom w:val="single" w:color="auto" w:sz="4" w:space="0"/>
              <w:right w:val="single" w:color="auto" w:sz="8" w:space="0"/>
            </w:tcBorders>
            <w:shd w:val="clear" w:color="auto" w:fill="FFFFFF"/>
            <w:vAlign w:val="center"/>
          </w:tcPr>
          <w:p w14:paraId="6C5C99F1">
            <w:pPr>
              <w:keepNext w:val="0"/>
              <w:keepLines w:val="0"/>
              <w:pageBreakBefore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0"/>
                <w:highlight w:val="none"/>
              </w:rPr>
            </w:pPr>
            <w:r>
              <w:rPr>
                <w:rFonts w:hint="eastAsia" w:ascii="宋体" w:hAnsi="宋体" w:eastAsia="宋体" w:cs="宋体"/>
                <w:iCs/>
                <w:color w:val="auto"/>
                <w:highlight w:val="none"/>
              </w:rPr>
              <w:sym w:font="Wingdings" w:char="00A8"/>
            </w:r>
          </w:p>
        </w:tc>
      </w:tr>
    </w:tbl>
    <w:p w14:paraId="184056AF">
      <w:pPr>
        <w:numPr>
          <w:ilvl w:val="0"/>
          <w:numId w:val="0"/>
        </w:numPr>
        <w:adjustRightInd w:val="0"/>
        <w:snapToGrid w:val="0"/>
        <w:spacing w:line="360" w:lineRule="auto"/>
        <w:rPr>
          <w:rFonts w:hint="eastAsia" w:ascii="宋体" w:hAnsi="宋体"/>
          <w:b/>
          <w:color w:val="auto"/>
          <w:szCs w:val="21"/>
        </w:rPr>
      </w:pPr>
    </w:p>
    <w:p w14:paraId="33C97BFA">
      <w:pPr>
        <w:adjustRightInd w:val="0"/>
        <w:snapToGrid w:val="0"/>
        <w:spacing w:line="360" w:lineRule="auto"/>
        <w:ind w:right="-199" w:rightChars="-95"/>
        <w:rPr>
          <w:rFonts w:ascii="宋体" w:hAnsi="宋体"/>
          <w:color w:val="auto"/>
          <w:szCs w:val="21"/>
        </w:rPr>
      </w:pPr>
      <w:r>
        <w:rPr>
          <w:rFonts w:hint="eastAsia" w:ascii="宋体" w:hAnsi="宋体"/>
          <w:color w:val="auto"/>
          <w:szCs w:val="21"/>
        </w:rPr>
        <w:t>说明：1.节能产品实行</w:t>
      </w:r>
      <w:r>
        <w:rPr>
          <w:rFonts w:hint="eastAsia" w:ascii="宋体" w:hAnsi="宋体"/>
          <w:iCs/>
          <w:color w:val="auto"/>
          <w:szCs w:val="21"/>
        </w:rPr>
        <w:t>强制采购的</w:t>
      </w:r>
      <w:r>
        <w:rPr>
          <w:rFonts w:hint="eastAsia" w:ascii="宋体" w:hAnsi="宋体"/>
          <w:color w:val="auto"/>
          <w:szCs w:val="21"/>
        </w:rPr>
        <w:t>，需提供国家认证机构出具的、处于有效期内的节能产品证书。</w:t>
      </w:r>
    </w:p>
    <w:p w14:paraId="7EE47B30">
      <w:pPr>
        <w:tabs>
          <w:tab w:val="left" w:pos="312"/>
        </w:tabs>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2.同意购买进口产品的，不限制满足采购需求的国内产品参与投标。</w:t>
      </w:r>
    </w:p>
    <w:p w14:paraId="0223F418">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三、采购项目需要落实的政府采购政策：</w:t>
      </w:r>
    </w:p>
    <w:p w14:paraId="3FF476B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1.优先采购：节能产品、环境标志产品享受加分或价格折扣。</w:t>
      </w:r>
    </w:p>
    <w:p w14:paraId="1C6F954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2.支持中小企业：中小企业享受预留采购份额或价格折扣。</w:t>
      </w:r>
    </w:p>
    <w:p w14:paraId="6E5B4353">
      <w:pPr>
        <w:adjustRightInd w:val="0"/>
        <w:snapToGrid w:val="0"/>
        <w:spacing w:line="360" w:lineRule="auto"/>
        <w:ind w:firstLine="422" w:firstLineChars="200"/>
        <w:rPr>
          <w:rFonts w:ascii="宋体" w:hAnsi="宋体"/>
          <w:color w:val="auto"/>
          <w:szCs w:val="21"/>
        </w:rPr>
      </w:pPr>
      <w:r>
        <w:rPr>
          <w:rFonts w:hint="eastAsia" w:ascii="宋体" w:hAnsi="宋体"/>
          <w:b/>
          <w:color w:val="auto"/>
          <w:szCs w:val="21"/>
        </w:rPr>
        <w:t>四、投标人的资格要求</w:t>
      </w:r>
      <w:r>
        <w:rPr>
          <w:rFonts w:hint="eastAsia" w:ascii="宋体" w:hAnsi="宋体"/>
          <w:color w:val="auto"/>
          <w:szCs w:val="21"/>
        </w:rPr>
        <w:t>：</w:t>
      </w:r>
    </w:p>
    <w:p w14:paraId="6E87F5C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1、投标人基本资格条件：投标人必须是在中华人民共和国境内注册登记的法人、其他组织或者自然人，且应当符合《政府采购法》第二十二条第一款的规定。</w:t>
      </w:r>
    </w:p>
    <w:p w14:paraId="47BAC50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（1）具有独立承担民事责任的能力； </w:t>
      </w:r>
    </w:p>
    <w:p w14:paraId="08A071F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（2）具有良好的商业信誉和健全的财务会计制度； </w:t>
      </w:r>
    </w:p>
    <w:p w14:paraId="70F35C4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（3）具有履行合同所必需的设备和专业技术能力； </w:t>
      </w:r>
    </w:p>
    <w:p w14:paraId="5FE7BA8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（4）有依法缴纳税收和社会保障资金的良好记录； </w:t>
      </w:r>
    </w:p>
    <w:p w14:paraId="0B7B23E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（5）参加政府采购活动前三年内，在经营活动中没有重大违法记录； </w:t>
      </w:r>
    </w:p>
    <w:p w14:paraId="27719AB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（6）法律、行政法规规定的其他条件。</w:t>
      </w:r>
    </w:p>
    <w:p w14:paraId="2CCA964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2、落实政府采购政策需满足的资格要求：</w:t>
      </w:r>
    </w:p>
    <w:p w14:paraId="089EA891">
      <w:pPr>
        <w:adjustRightInd w:val="0"/>
        <w:snapToGrid w:val="0"/>
        <w:spacing w:line="360" w:lineRule="auto"/>
        <w:ind w:firstLine="420" w:firstLineChars="200"/>
        <w:rPr>
          <w:rFonts w:ascii="宋体" w:hAnsi="宋体"/>
          <w:color w:val="auto"/>
          <w:szCs w:val="21"/>
        </w:rPr>
      </w:pPr>
      <w:r>
        <w:rPr>
          <w:rFonts w:hint="eastAsia" w:ascii="宋体" w:hAnsi="宋体"/>
          <w:iCs/>
          <w:color w:val="auto"/>
          <w:szCs w:val="21"/>
        </w:rPr>
        <w:sym w:font="Wingdings" w:char="00A8"/>
      </w:r>
      <w:r>
        <w:rPr>
          <w:rFonts w:hint="eastAsia" w:ascii="宋体" w:hAnsi="宋体"/>
          <w:iCs/>
          <w:color w:val="auto"/>
          <w:szCs w:val="21"/>
        </w:rPr>
        <w:t>专门面向</w:t>
      </w:r>
      <w:r>
        <w:rPr>
          <w:rFonts w:hint="eastAsia" w:ascii="宋体" w:hAnsi="宋体"/>
          <w:bCs/>
          <w:color w:val="auto"/>
          <w:szCs w:val="21"/>
        </w:rPr>
        <w:t>：</w:t>
      </w:r>
      <w:r>
        <w:rPr>
          <w:rFonts w:hint="eastAsia" w:ascii="宋体" w:hAnsi="宋体"/>
          <w:iCs/>
          <w:color w:val="auto"/>
          <w:szCs w:val="21"/>
        </w:rPr>
        <w:sym w:font="Wingdings" w:char="00A8"/>
      </w:r>
      <w:r>
        <w:rPr>
          <w:rFonts w:hint="eastAsia" w:ascii="宋体" w:hAnsi="宋体"/>
          <w:iCs/>
          <w:color w:val="auto"/>
          <w:szCs w:val="21"/>
        </w:rPr>
        <w:t xml:space="preserve">中小企业   </w:t>
      </w:r>
      <w:r>
        <w:rPr>
          <w:rFonts w:hint="eastAsia" w:ascii="宋体" w:hAnsi="宋体"/>
          <w:iCs/>
          <w:color w:val="auto"/>
          <w:szCs w:val="21"/>
        </w:rPr>
        <w:sym w:font="Wingdings" w:char="00A8"/>
      </w:r>
      <w:r>
        <w:rPr>
          <w:rFonts w:hint="eastAsia" w:ascii="宋体" w:hAnsi="宋体"/>
          <w:iCs/>
          <w:color w:val="auto"/>
          <w:szCs w:val="21"/>
        </w:rPr>
        <w:t xml:space="preserve">小微企业   </w:t>
      </w:r>
      <w:r>
        <w:rPr>
          <w:rFonts w:hint="eastAsia" w:ascii="宋体" w:hAnsi="宋体"/>
          <w:iCs/>
          <w:color w:val="auto"/>
          <w:szCs w:val="21"/>
        </w:rPr>
        <w:sym w:font="Wingdings" w:char="00A8"/>
      </w:r>
      <w:r>
        <w:rPr>
          <w:rFonts w:hint="eastAsia" w:ascii="宋体" w:hAnsi="宋体"/>
          <w:iCs/>
          <w:color w:val="auto"/>
          <w:szCs w:val="21"/>
        </w:rPr>
        <w:t xml:space="preserve">监狱企业   </w:t>
      </w:r>
      <w:r>
        <w:rPr>
          <w:rFonts w:hint="eastAsia" w:ascii="宋体" w:hAnsi="宋体"/>
          <w:iCs/>
          <w:color w:val="auto"/>
          <w:szCs w:val="21"/>
        </w:rPr>
        <w:sym w:font="Wingdings" w:char="00A8"/>
      </w:r>
      <w:r>
        <w:rPr>
          <w:rFonts w:hint="eastAsia" w:ascii="宋体" w:hAnsi="宋体"/>
          <w:iCs/>
          <w:color w:val="auto"/>
          <w:szCs w:val="21"/>
        </w:rPr>
        <w:t>福利性单位。</w:t>
      </w:r>
    </w:p>
    <w:p w14:paraId="249FF171">
      <w:pPr>
        <w:adjustRightInd w:val="0"/>
        <w:snapToGrid w:val="0"/>
        <w:spacing w:line="360" w:lineRule="auto"/>
        <w:ind w:firstLine="420" w:firstLineChars="200"/>
        <w:rPr>
          <w:rFonts w:ascii="宋体" w:hAnsi="宋体"/>
          <w:color w:val="auto"/>
          <w:szCs w:val="21"/>
        </w:rPr>
      </w:pPr>
      <w:r>
        <w:rPr>
          <w:rFonts w:hint="eastAsia" w:ascii="宋体" w:hAnsi="宋体"/>
          <w:iCs/>
          <w:color w:val="auto"/>
          <w:szCs w:val="21"/>
        </w:rPr>
        <w:sym w:font="Wingdings" w:char="00A8"/>
      </w:r>
      <w:r>
        <w:rPr>
          <w:rFonts w:hint="eastAsia" w:ascii="宋体" w:hAnsi="宋体"/>
          <w:iCs/>
          <w:color w:val="auto"/>
          <w:szCs w:val="21"/>
        </w:rPr>
        <w:t>强制</w:t>
      </w:r>
      <w:r>
        <w:rPr>
          <w:rFonts w:hint="eastAsia" w:ascii="宋体" w:hAnsi="宋体"/>
          <w:bCs/>
          <w:color w:val="auto"/>
          <w:szCs w:val="21"/>
        </w:rPr>
        <w:t>分包：大型企业应将采购份额的</w:t>
      </w:r>
      <w:r>
        <w:rPr>
          <w:rFonts w:hint="eastAsia" w:ascii="宋体" w:hAnsi="宋体"/>
          <w:bCs/>
          <w:color w:val="auto"/>
          <w:szCs w:val="21"/>
          <w:u w:val="single"/>
        </w:rPr>
        <w:t xml:space="preserve">  /  </w:t>
      </w:r>
      <w:r>
        <w:rPr>
          <w:rFonts w:hint="eastAsia" w:ascii="宋体" w:hAnsi="宋体"/>
          <w:bCs/>
          <w:color w:val="auto"/>
          <w:szCs w:val="21"/>
        </w:rPr>
        <w:t>%分包给中小企业。</w:t>
      </w:r>
    </w:p>
    <w:p w14:paraId="10D5AA7A">
      <w:pPr>
        <w:adjustRightInd w:val="0"/>
        <w:snapToGrid w:val="0"/>
        <w:spacing w:line="360" w:lineRule="auto"/>
        <w:ind w:firstLine="420" w:firstLineChars="200"/>
        <w:rPr>
          <w:rFonts w:hint="eastAsia" w:ascii="宋体" w:hAnsi="宋体" w:eastAsia="宋体"/>
          <w:color w:val="auto"/>
          <w:szCs w:val="21"/>
          <w:lang w:val="en-US" w:eastAsia="zh-CN"/>
        </w:rPr>
      </w:pPr>
      <w:r>
        <w:rPr>
          <w:rFonts w:hint="eastAsia" w:ascii="宋体" w:hAnsi="宋体"/>
          <w:color w:val="auto"/>
          <w:szCs w:val="21"/>
          <w:lang w:val="en-US" w:eastAsia="zh-CN"/>
        </w:rPr>
        <w:t>3、</w:t>
      </w:r>
      <w:r>
        <w:rPr>
          <w:rFonts w:hint="eastAsia" w:ascii="宋体" w:hAnsi="宋体"/>
          <w:color w:val="auto"/>
          <w:szCs w:val="21"/>
        </w:rPr>
        <w:t>采购项目的特定资格条件：</w:t>
      </w:r>
      <w:r>
        <w:rPr>
          <w:rFonts w:hint="eastAsia" w:ascii="宋体" w:hAnsi="宋体"/>
          <w:color w:val="auto"/>
          <w:sz w:val="21"/>
          <w:szCs w:val="21"/>
          <w:u w:val="single"/>
        </w:rPr>
        <w:t xml:space="preserve">  / </w:t>
      </w:r>
    </w:p>
    <w:p w14:paraId="2244DA1F">
      <w:pPr>
        <w:adjustRightInd w:val="0"/>
        <w:snapToGrid w:val="0"/>
        <w:spacing w:line="360" w:lineRule="auto"/>
        <w:ind w:left="420" w:leftChars="200" w:firstLine="0" w:firstLineChars="0"/>
        <w:rPr>
          <w:rFonts w:ascii="宋体" w:hAnsi="宋体"/>
          <w:color w:val="auto"/>
          <w:szCs w:val="21"/>
        </w:rPr>
      </w:pPr>
      <w:r>
        <w:rPr>
          <w:rFonts w:hint="eastAsia" w:ascii="宋体" w:hAnsi="宋体"/>
          <w:color w:val="auto"/>
          <w:szCs w:val="21"/>
        </w:rPr>
        <w:t>4、单位负责人为同一人或者存在直接控股、管理关系的不同投标人，不得参加同一合同项下的政府采购活动。</w:t>
      </w:r>
    </w:p>
    <w:p w14:paraId="3BEA6EF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5、为本采购项目提供整体设计、规范编制或者项目管理、监理、检测等服务的，不得再参加此项目的其他采购活动。</w:t>
      </w:r>
    </w:p>
    <w:p w14:paraId="40DBAF2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6、列入失信被执行人、重大税收违法失信主体名单，列入政府采购严重违法失信行为记录名单的，拒绝其参与政府采购活动。</w:t>
      </w:r>
    </w:p>
    <w:p w14:paraId="081B49A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7、联合体投标。本次招标不接受联合体投标。</w:t>
      </w:r>
    </w:p>
    <w:p w14:paraId="263BA690">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五、获取招标文件的时间、期限、地点及方式</w:t>
      </w:r>
    </w:p>
    <w:p w14:paraId="6CCA5A6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有意参加投标者，请于即日起至投标文件递交的截止时间止，在娄底市公共资源交易网（http://ldggzy.hnloudi.gov.cn/）用湖南CA证书登录后获取电子版招标文件。</w:t>
      </w:r>
    </w:p>
    <w:p w14:paraId="2828B2C0">
      <w:pPr>
        <w:adjustRightInd w:val="0"/>
        <w:snapToGrid w:val="0"/>
        <w:spacing w:line="360" w:lineRule="auto"/>
        <w:ind w:firstLine="420" w:firstLineChars="200"/>
        <w:rPr>
          <w:rFonts w:ascii="宋体" w:hAnsi="宋体"/>
          <w:color w:val="auto"/>
          <w:szCs w:val="21"/>
        </w:rPr>
      </w:pPr>
      <w:r>
        <w:rPr>
          <w:rFonts w:hint="eastAsia" w:ascii="宋体" w:hAnsi="宋体"/>
          <w:iCs/>
          <w:color w:val="auto"/>
          <w:szCs w:val="21"/>
        </w:rPr>
        <w:sym w:font="Wingdings" w:char="00FE"/>
      </w:r>
      <w:r>
        <w:rPr>
          <w:rFonts w:hint="eastAsia" w:ascii="宋体" w:hAnsi="宋体"/>
          <w:color w:val="auto"/>
          <w:szCs w:val="21"/>
        </w:rPr>
        <w:t>本项目实行电子交易，有意参加投标者，在娄底市公共资源交易网（http://ldggzy.hnloudi.gov.cn/）用湖南CA证书登录后获取电子版招标文件。</w:t>
      </w:r>
    </w:p>
    <w:p w14:paraId="6A500101">
      <w:pPr>
        <w:adjustRightInd w:val="0"/>
        <w:snapToGrid w:val="0"/>
        <w:spacing w:line="360" w:lineRule="auto"/>
        <w:ind w:firstLine="420" w:firstLineChars="200"/>
        <w:rPr>
          <w:rFonts w:ascii="宋体" w:hAnsi="宋体"/>
          <w:color w:val="auto"/>
          <w:szCs w:val="21"/>
        </w:rPr>
      </w:pPr>
      <w:r>
        <w:rPr>
          <w:rFonts w:hint="eastAsia" w:ascii="宋体" w:hAnsi="宋体"/>
          <w:iCs/>
          <w:color w:val="auto"/>
          <w:szCs w:val="21"/>
        </w:rPr>
        <w:sym w:font="Wingdings" w:char="00A8"/>
      </w:r>
      <w:r>
        <w:rPr>
          <w:rFonts w:hint="eastAsia" w:ascii="宋体" w:hAnsi="宋体"/>
          <w:color w:val="auto"/>
          <w:szCs w:val="21"/>
        </w:rPr>
        <w:t>本项目进行资格预审，招标文件将向所有通过资格预审的供应商提供；</w:t>
      </w:r>
    </w:p>
    <w:p w14:paraId="1B419459">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六、投标截止时间、开标时间及地点</w:t>
      </w:r>
    </w:p>
    <w:p w14:paraId="4982258B">
      <w:pPr>
        <w:adjustRightInd w:val="0"/>
        <w:snapToGrid w:val="0"/>
        <w:spacing w:line="360" w:lineRule="auto"/>
        <w:ind w:firstLine="420" w:firstLineChars="200"/>
        <w:rPr>
          <w:rFonts w:ascii="宋体" w:hAnsi="宋体"/>
          <w:b/>
          <w:color w:val="auto"/>
          <w:szCs w:val="21"/>
        </w:rPr>
      </w:pPr>
      <w:r>
        <w:rPr>
          <w:rFonts w:hint="eastAsia"/>
          <w:color w:val="auto"/>
          <w:szCs w:val="21"/>
          <w:shd w:val="clear" w:color="auto" w:fill="FFFFFF"/>
        </w:rPr>
        <w:t>1、提交投标文件的截止时间及开标时间：</w:t>
      </w:r>
      <w:r>
        <w:rPr>
          <w:rFonts w:hint="eastAsia"/>
          <w:color w:val="auto"/>
          <w:szCs w:val="21"/>
          <w:u w:val="single"/>
          <w:shd w:val="clear" w:color="auto" w:fill="FFFFFF"/>
        </w:rPr>
        <w:t>202</w:t>
      </w:r>
      <w:r>
        <w:rPr>
          <w:rFonts w:hint="eastAsia"/>
          <w:color w:val="auto"/>
          <w:szCs w:val="21"/>
          <w:u w:val="single"/>
          <w:shd w:val="clear" w:color="auto" w:fill="FFFFFF"/>
          <w:lang w:val="en-US" w:eastAsia="zh-CN"/>
        </w:rPr>
        <w:t>6</w:t>
      </w:r>
      <w:r>
        <w:rPr>
          <w:rFonts w:hint="eastAsia"/>
          <w:color w:val="auto"/>
          <w:szCs w:val="21"/>
          <w:u w:val="single"/>
          <w:shd w:val="clear" w:color="auto" w:fill="FFFFFF"/>
        </w:rPr>
        <w:t>年</w:t>
      </w:r>
      <w:r>
        <w:rPr>
          <w:rFonts w:hint="eastAsia"/>
          <w:color w:val="auto"/>
          <w:szCs w:val="21"/>
          <w:u w:val="single"/>
          <w:shd w:val="clear" w:color="auto" w:fill="FFFFFF"/>
          <w:lang w:val="en-US" w:eastAsia="zh-CN"/>
        </w:rPr>
        <w:t xml:space="preserve">10 </w:t>
      </w:r>
      <w:r>
        <w:rPr>
          <w:rFonts w:hint="eastAsia"/>
          <w:color w:val="auto"/>
          <w:szCs w:val="21"/>
          <w:u w:val="single"/>
          <w:shd w:val="clear" w:color="auto" w:fill="FFFFFF"/>
        </w:rPr>
        <w:t>月</w:t>
      </w:r>
      <w:r>
        <w:rPr>
          <w:rFonts w:hint="eastAsia"/>
          <w:color w:val="auto"/>
          <w:szCs w:val="21"/>
          <w:u w:val="single"/>
          <w:shd w:val="clear" w:color="auto" w:fill="FFFFFF"/>
          <w:lang w:val="en-US" w:eastAsia="zh-CN"/>
        </w:rPr>
        <w:t xml:space="preserve"> 14 </w:t>
      </w:r>
      <w:r>
        <w:rPr>
          <w:rFonts w:hint="eastAsia"/>
          <w:color w:val="auto"/>
          <w:szCs w:val="21"/>
          <w:u w:val="single"/>
          <w:shd w:val="clear" w:color="auto" w:fill="FFFFFF"/>
        </w:rPr>
        <w:t>日</w:t>
      </w:r>
      <w:r>
        <w:rPr>
          <w:rFonts w:hint="eastAsia"/>
          <w:color w:val="auto"/>
          <w:szCs w:val="21"/>
          <w:u w:val="single"/>
          <w:shd w:val="clear" w:color="auto" w:fill="FFFFFF"/>
          <w:lang w:val="en-US" w:eastAsia="zh-CN"/>
        </w:rPr>
        <w:t xml:space="preserve"> 9</w:t>
      </w:r>
      <w:r>
        <w:rPr>
          <w:rFonts w:hint="eastAsia"/>
          <w:color w:val="auto"/>
          <w:szCs w:val="21"/>
          <w:u w:val="single"/>
          <w:shd w:val="clear" w:color="auto" w:fill="FFFFFF"/>
        </w:rPr>
        <w:t>:00（北京时间）</w:t>
      </w:r>
    </w:p>
    <w:p w14:paraId="0586FF75">
      <w:pPr>
        <w:adjustRightInd w:val="0"/>
        <w:snapToGrid w:val="0"/>
        <w:spacing w:line="360" w:lineRule="auto"/>
        <w:ind w:firstLine="420" w:firstLineChars="200"/>
        <w:rPr>
          <w:rFonts w:ascii="宋体" w:hAnsi="宋体"/>
          <w:b/>
          <w:color w:val="auto"/>
          <w:szCs w:val="21"/>
        </w:rPr>
      </w:pPr>
      <w:r>
        <w:rPr>
          <w:rFonts w:hint="eastAsia"/>
          <w:color w:val="auto"/>
          <w:szCs w:val="21"/>
          <w:shd w:val="clear" w:color="auto" w:fill="FFFFFF"/>
        </w:rPr>
        <w:t>2、提交投标文件地点：娄底市公共资源交易中心（http://ldggzy.hnloudi.gov.cn/）。</w:t>
      </w:r>
    </w:p>
    <w:p w14:paraId="61D2BDAB">
      <w:pPr>
        <w:adjustRightInd w:val="0"/>
        <w:snapToGrid w:val="0"/>
        <w:spacing w:line="360" w:lineRule="auto"/>
        <w:ind w:firstLine="420" w:firstLineChars="200"/>
        <w:rPr>
          <w:rFonts w:ascii="宋体" w:hAnsi="宋体"/>
          <w:b/>
          <w:color w:val="auto"/>
          <w:szCs w:val="21"/>
        </w:rPr>
      </w:pPr>
      <w:r>
        <w:rPr>
          <w:rFonts w:hint="eastAsia"/>
          <w:color w:val="auto"/>
          <w:szCs w:val="21"/>
          <w:shd w:val="clear" w:color="auto" w:fill="FFFFFF"/>
        </w:rPr>
        <w:t>3、解密截止时间：</w:t>
      </w:r>
      <w:r>
        <w:rPr>
          <w:rFonts w:hint="eastAsia"/>
          <w:color w:val="auto"/>
          <w:szCs w:val="21"/>
          <w:u w:val="single"/>
          <w:shd w:val="clear" w:color="auto" w:fill="FFFFFF"/>
        </w:rPr>
        <w:t>202</w:t>
      </w:r>
      <w:r>
        <w:rPr>
          <w:rFonts w:hint="eastAsia"/>
          <w:color w:val="auto"/>
          <w:szCs w:val="21"/>
          <w:u w:val="single"/>
          <w:shd w:val="clear" w:color="auto" w:fill="FFFFFF"/>
          <w:lang w:val="en-US" w:eastAsia="zh-CN"/>
        </w:rPr>
        <w:t>6</w:t>
      </w:r>
      <w:r>
        <w:rPr>
          <w:rFonts w:hint="eastAsia"/>
          <w:color w:val="auto"/>
          <w:szCs w:val="21"/>
          <w:u w:val="single"/>
          <w:shd w:val="clear" w:color="auto" w:fill="FFFFFF"/>
        </w:rPr>
        <w:t>年</w:t>
      </w:r>
      <w:r>
        <w:rPr>
          <w:rFonts w:hint="eastAsia"/>
          <w:color w:val="auto"/>
          <w:szCs w:val="21"/>
          <w:u w:val="single"/>
          <w:shd w:val="clear" w:color="auto" w:fill="FFFFFF"/>
          <w:lang w:val="en-US" w:eastAsia="zh-CN"/>
        </w:rPr>
        <w:t xml:space="preserve"> 10 </w:t>
      </w:r>
      <w:r>
        <w:rPr>
          <w:rFonts w:hint="eastAsia"/>
          <w:color w:val="auto"/>
          <w:szCs w:val="21"/>
          <w:u w:val="single"/>
          <w:shd w:val="clear" w:color="auto" w:fill="FFFFFF"/>
        </w:rPr>
        <w:t>月</w:t>
      </w:r>
      <w:r>
        <w:rPr>
          <w:rFonts w:hint="eastAsia"/>
          <w:color w:val="auto"/>
          <w:szCs w:val="21"/>
          <w:u w:val="single"/>
          <w:shd w:val="clear" w:color="auto" w:fill="FFFFFF"/>
          <w:lang w:val="en-US" w:eastAsia="zh-CN"/>
        </w:rPr>
        <w:t xml:space="preserve">  14  </w:t>
      </w:r>
      <w:r>
        <w:rPr>
          <w:rFonts w:hint="eastAsia"/>
          <w:color w:val="auto"/>
          <w:szCs w:val="21"/>
          <w:u w:val="single"/>
          <w:shd w:val="clear" w:color="auto" w:fill="FFFFFF"/>
        </w:rPr>
        <w:t>日</w:t>
      </w:r>
      <w:r>
        <w:rPr>
          <w:rFonts w:hint="eastAsia"/>
          <w:color w:val="auto"/>
          <w:szCs w:val="21"/>
          <w:u w:val="single"/>
          <w:shd w:val="clear" w:color="auto" w:fill="FFFFFF"/>
          <w:lang w:val="en-US" w:eastAsia="zh-CN"/>
        </w:rPr>
        <w:t xml:space="preserve">9 </w:t>
      </w:r>
      <w:r>
        <w:rPr>
          <w:rFonts w:hint="eastAsia"/>
          <w:color w:val="auto"/>
          <w:szCs w:val="21"/>
          <w:u w:val="single"/>
          <w:shd w:val="clear" w:color="auto" w:fill="FFFFFF"/>
        </w:rPr>
        <w:t>时 30 分</w:t>
      </w:r>
      <w:r>
        <w:rPr>
          <w:rFonts w:hint="eastAsia"/>
          <w:color w:val="auto"/>
          <w:szCs w:val="21"/>
          <w:shd w:val="clear" w:color="auto" w:fill="FFFFFF"/>
        </w:rPr>
        <w:t>（投标截止时间后30分钟）,请投标人确保投标文件如期解密。</w:t>
      </w:r>
    </w:p>
    <w:p w14:paraId="6B71F2A4">
      <w:pPr>
        <w:adjustRightInd w:val="0"/>
        <w:snapToGrid w:val="0"/>
        <w:spacing w:line="360" w:lineRule="auto"/>
        <w:ind w:firstLine="420" w:firstLineChars="200"/>
        <w:rPr>
          <w:rFonts w:ascii="宋体" w:hAnsi="宋体"/>
          <w:b/>
          <w:color w:val="auto"/>
          <w:szCs w:val="21"/>
        </w:rPr>
      </w:pPr>
      <w:r>
        <w:rPr>
          <w:rFonts w:hint="eastAsia"/>
          <w:color w:val="auto"/>
          <w:szCs w:val="21"/>
          <w:shd w:val="clear" w:color="auto" w:fill="FFFFFF"/>
        </w:rPr>
        <w:t>4、开标地点：娄底市公共资源交易中心四楼（详见当天电子显示屏的安排）</w:t>
      </w:r>
      <w:r>
        <w:rPr>
          <w:rStyle w:val="112"/>
          <w:color w:val="auto"/>
          <w:szCs w:val="21"/>
        </w:rPr>
        <w:t>。</w:t>
      </w:r>
    </w:p>
    <w:p w14:paraId="5AAD2B5F">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七、公告期限</w:t>
      </w:r>
      <w:r>
        <w:rPr>
          <w:rFonts w:hint="eastAsia" w:ascii="宋体" w:hAnsi="宋体"/>
          <w:color w:val="auto"/>
          <w:szCs w:val="21"/>
        </w:rPr>
        <w:t>：</w:t>
      </w:r>
    </w:p>
    <w:p w14:paraId="67C7F96D">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1、本招标公告在中国湖南政府采购网（www.ccgp-hunan.gov.cn）和娄底市公共资源交易网（http://ldggzy.hnloudi.gov.cn/）发布。公告期限从本招标公告发布之日起5个工作日。</w:t>
      </w:r>
    </w:p>
    <w:p w14:paraId="4DA86CB0">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2、在其他媒体发布的招标公告，公告内容以本招标公告指定媒体发布的公告为准；公告期限自本招标公告指定媒体最先发布公告之日起算。</w:t>
      </w:r>
    </w:p>
    <w:p w14:paraId="5F466DED">
      <w:pPr>
        <w:adjustRightInd w:val="0"/>
        <w:snapToGrid w:val="0"/>
        <w:spacing w:line="360" w:lineRule="auto"/>
        <w:ind w:firstLine="422" w:firstLineChars="200"/>
        <w:rPr>
          <w:rFonts w:ascii="宋体" w:hAnsi="宋体"/>
          <w:color w:val="auto"/>
          <w:szCs w:val="21"/>
        </w:rPr>
      </w:pPr>
      <w:r>
        <w:rPr>
          <w:rFonts w:hint="eastAsia" w:ascii="宋体" w:hAnsi="宋体"/>
          <w:b/>
          <w:color w:val="auto"/>
          <w:szCs w:val="21"/>
        </w:rPr>
        <w:t>八、询问及质疑</w:t>
      </w:r>
      <w:r>
        <w:rPr>
          <w:rFonts w:hint="eastAsia" w:ascii="宋体" w:hAnsi="宋体"/>
          <w:color w:val="auto"/>
          <w:szCs w:val="21"/>
        </w:rPr>
        <w:t>：</w:t>
      </w:r>
    </w:p>
    <w:p w14:paraId="01E2B02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1、投标人对政府采购活动事项如有疑问的，可以向采购人、采购代理机构提出询问。采购人、采购代理机构将在3个工作日内作出答复。</w:t>
      </w:r>
    </w:p>
    <w:p w14:paraId="61B138F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2投标人对电子交易平台办理CA证书、操作等如有疑问，请咨询电子交易平台服务机构。</w:t>
      </w:r>
    </w:p>
    <w:p w14:paraId="6161AFC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潜在投标人认为招标文件或招标公告使自己的合法权益受到损害的，可以在收到招标文件之日或招标公告期限届满之日起7个工作日内，按《湖南省财政厅关于印发＜政府采购质疑答复和投诉处理操作规程＞的通知》(湘财购〔2024〕67号)规定，以纸质书面形式向采购人、采购代理机构提出质疑。</w:t>
      </w:r>
    </w:p>
    <w:p w14:paraId="524EAD30">
      <w:pPr>
        <w:adjustRightInd w:val="0"/>
        <w:snapToGrid w:val="0"/>
        <w:spacing w:line="360" w:lineRule="auto"/>
        <w:ind w:firstLine="422" w:firstLineChars="200"/>
        <w:rPr>
          <w:rFonts w:ascii="宋体" w:hAnsi="宋体"/>
          <w:b/>
          <w:color w:val="auto"/>
          <w:szCs w:val="21"/>
        </w:rPr>
      </w:pPr>
      <w:r>
        <w:rPr>
          <w:rFonts w:hint="eastAsia" w:ascii="宋体" w:hAnsi="宋体"/>
          <w:b/>
          <w:bCs/>
          <w:color w:val="auto"/>
          <w:szCs w:val="21"/>
        </w:rPr>
        <w:t>九、</w:t>
      </w:r>
      <w:r>
        <w:rPr>
          <w:rFonts w:hint="eastAsia" w:ascii="宋体" w:hAnsi="宋体"/>
          <w:b/>
          <w:color w:val="auto"/>
          <w:szCs w:val="21"/>
        </w:rPr>
        <w:t>投标说明</w:t>
      </w:r>
      <w:r>
        <w:rPr>
          <w:rFonts w:hint="eastAsia" w:ascii="宋体" w:hAnsi="宋体"/>
          <w:color w:val="auto"/>
          <w:szCs w:val="21"/>
        </w:rPr>
        <w:t>：</w:t>
      </w:r>
    </w:p>
    <w:p w14:paraId="11308BD9">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ascii="宋体" w:hAnsi="宋体"/>
          <w:color w:val="auto"/>
          <w:szCs w:val="21"/>
        </w:rPr>
      </w:pPr>
      <w:r>
        <w:rPr>
          <w:rFonts w:hint="eastAsia" w:ascii="宋体" w:hAnsi="宋体"/>
          <w:color w:val="auto"/>
          <w:szCs w:val="21"/>
        </w:rPr>
        <w:t>1、本公告选项：</w:t>
      </w:r>
      <w:r>
        <w:rPr>
          <w:rFonts w:hint="eastAsia" w:ascii="宋体" w:hAnsi="宋体"/>
          <w:color w:val="auto"/>
          <w:szCs w:val="21"/>
        </w:rPr>
        <w:sym w:font="Wingdings" w:char="00FE"/>
      </w:r>
      <w:r>
        <w:rPr>
          <w:rFonts w:hint="eastAsia" w:ascii="宋体" w:hAnsi="宋体"/>
          <w:color w:val="auto"/>
          <w:szCs w:val="21"/>
        </w:rPr>
        <w:t>表示选择，</w:t>
      </w:r>
      <w:r>
        <w:rPr>
          <w:rFonts w:hint="eastAsia" w:ascii="宋体" w:hAnsi="宋体"/>
          <w:color w:val="auto"/>
          <w:szCs w:val="21"/>
        </w:rPr>
        <w:sym w:font="Wingdings" w:char="00A8"/>
      </w:r>
      <w:r>
        <w:rPr>
          <w:rFonts w:hint="eastAsia" w:ascii="宋体" w:hAnsi="宋体"/>
          <w:color w:val="auto"/>
          <w:szCs w:val="21"/>
        </w:rPr>
        <w:t>表示未选择。</w:t>
      </w:r>
    </w:p>
    <w:p w14:paraId="578374C2">
      <w:pPr>
        <w:adjustRightInd w:val="0"/>
        <w:snapToGrid w:val="0"/>
        <w:spacing w:line="360" w:lineRule="auto"/>
        <w:ind w:firstLine="420" w:firstLineChars="200"/>
        <w:rPr>
          <w:rFonts w:ascii="宋体" w:hAnsi="宋体"/>
          <w:b/>
          <w:bCs/>
          <w:color w:val="auto"/>
          <w:szCs w:val="21"/>
        </w:rPr>
      </w:pPr>
      <w:r>
        <w:rPr>
          <w:rFonts w:hint="eastAsia" w:ascii="宋体" w:hAnsi="宋体"/>
          <w:color w:val="auto"/>
          <w:szCs w:val="21"/>
        </w:rPr>
        <w:t>2、投标人参与政府采购活动，无需向采购人、代理机构、交易平台缴纳任何费用。</w:t>
      </w:r>
    </w:p>
    <w:p w14:paraId="7E4372CC">
      <w:pPr>
        <w:adjustRightInd w:val="0"/>
        <w:snapToGrid w:val="0"/>
        <w:spacing w:line="360" w:lineRule="auto"/>
        <w:ind w:firstLine="422" w:firstLineChars="200"/>
        <w:rPr>
          <w:rFonts w:ascii="宋体" w:hAnsi="宋体"/>
          <w:b/>
          <w:bCs/>
          <w:color w:val="auto"/>
          <w:szCs w:val="21"/>
        </w:rPr>
      </w:pPr>
      <w:r>
        <w:rPr>
          <w:rFonts w:hint="eastAsia" w:ascii="宋体" w:hAnsi="宋体"/>
          <w:b/>
          <w:bCs/>
          <w:color w:val="auto"/>
          <w:szCs w:val="21"/>
        </w:rPr>
        <w:t>十、其他补充事宜</w:t>
      </w:r>
    </w:p>
    <w:p w14:paraId="4F47F8C7">
      <w:pPr>
        <w:adjustRightInd w:val="0"/>
        <w:snapToGrid w:val="0"/>
        <w:spacing w:line="360" w:lineRule="auto"/>
        <w:ind w:firstLine="420" w:firstLineChars="200"/>
        <w:rPr>
          <w:rFonts w:ascii="宋体" w:hAnsi="宋体"/>
          <w:b/>
          <w:bCs/>
          <w:color w:val="auto"/>
          <w:szCs w:val="21"/>
        </w:rPr>
      </w:pPr>
      <w:r>
        <w:rPr>
          <w:rFonts w:hint="eastAsia" w:ascii="宋体" w:hAnsi="宋体"/>
          <w:color w:val="auto"/>
          <w:szCs w:val="21"/>
        </w:rPr>
        <w:t>1、</w:t>
      </w:r>
      <w:r>
        <w:rPr>
          <w:rFonts w:hint="eastAsia" w:ascii="宋体" w:hAnsi="宋体" w:cs="宋体"/>
          <w:color w:val="auto"/>
          <w:szCs w:val="21"/>
          <w:shd w:val="clear" w:color="auto" w:fill="FFFFFF"/>
        </w:rPr>
        <w:t>本项目采用电子化招标，请各潜在投标人在投标函中提供真实有效的联系人及联系电话，以便联系。评标委员会按投标人提交的电子投标文件进行评审，资料的真实性、合法性由投标人负责，如有虚假，已中标的将取消中标资格，并依法追究相应责任</w:t>
      </w:r>
      <w:r>
        <w:rPr>
          <w:rFonts w:hint="eastAsia" w:ascii="宋体" w:hAnsi="宋体"/>
          <w:color w:val="auto"/>
          <w:szCs w:val="21"/>
        </w:rPr>
        <w:t>。</w:t>
      </w:r>
    </w:p>
    <w:p w14:paraId="0F806A4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澄清说明：专家在评标室对需要进行澄清说明的单位进行提问，投标单位收到短信后在规定时间内在交易平台进行澄清说明（快捷导航-澄清说明-选择进行澄清说明的项目），查看问题并上传附件（澄清说明附件以PDF格式上传至交易系统）；</w:t>
      </w:r>
    </w:p>
    <w:p w14:paraId="44DD70BE">
      <w:pPr>
        <w:adjustRightInd w:val="0"/>
        <w:snapToGrid w:val="0"/>
        <w:spacing w:line="360" w:lineRule="auto"/>
        <w:ind w:firstLine="422" w:firstLineChars="200"/>
        <w:rPr>
          <w:rFonts w:ascii="宋体" w:hAnsi="宋体"/>
          <w:b/>
          <w:color w:val="auto"/>
          <w:szCs w:val="21"/>
        </w:rPr>
      </w:pPr>
      <w:r>
        <w:rPr>
          <w:rFonts w:hint="eastAsia" w:ascii="宋体" w:hAnsi="宋体"/>
          <w:b/>
          <w:bCs/>
          <w:color w:val="auto"/>
          <w:szCs w:val="21"/>
        </w:rPr>
        <w:t>十一</w:t>
      </w:r>
      <w:r>
        <w:rPr>
          <w:rFonts w:hint="eastAsia" w:ascii="宋体" w:hAnsi="宋体"/>
          <w:color w:val="auto"/>
          <w:szCs w:val="21"/>
        </w:rPr>
        <w:t>、</w:t>
      </w:r>
      <w:r>
        <w:rPr>
          <w:rFonts w:hint="eastAsia" w:ascii="宋体" w:hAnsi="宋体"/>
          <w:b/>
          <w:color w:val="auto"/>
          <w:szCs w:val="21"/>
        </w:rPr>
        <w:t>采购项目联系人姓名和电话</w:t>
      </w:r>
    </w:p>
    <w:p w14:paraId="71E3E74A">
      <w:pPr>
        <w:adjustRightInd w:val="0"/>
        <w:snapToGrid w:val="0"/>
        <w:spacing w:line="360" w:lineRule="auto"/>
        <w:ind w:firstLine="420" w:firstLineChars="200"/>
        <w:rPr>
          <w:rFonts w:hint="default" w:ascii="宋体" w:hAnsi="宋体" w:eastAsia="宋体"/>
          <w:color w:val="auto"/>
          <w:szCs w:val="21"/>
          <w:lang w:val="en-US" w:eastAsia="zh-CN"/>
        </w:rPr>
      </w:pPr>
      <w:r>
        <w:rPr>
          <w:rFonts w:hint="eastAsia" w:ascii="宋体" w:hAnsi="宋体"/>
          <w:color w:val="auto"/>
          <w:szCs w:val="21"/>
        </w:rPr>
        <w:t>1、联系人姓名：</w:t>
      </w:r>
      <w:r>
        <w:rPr>
          <w:rFonts w:hint="eastAsia" w:ascii="宋体" w:hAnsi="宋体"/>
          <w:color w:val="auto"/>
          <w:szCs w:val="21"/>
          <w:lang w:val="en-US" w:eastAsia="zh-CN"/>
        </w:rPr>
        <w:t>康明光</w:t>
      </w:r>
    </w:p>
    <w:p w14:paraId="2A3C5B0B">
      <w:pPr>
        <w:adjustRightInd w:val="0"/>
        <w:snapToGrid w:val="0"/>
        <w:spacing w:line="360" w:lineRule="auto"/>
        <w:ind w:firstLine="420" w:firstLineChars="200"/>
        <w:rPr>
          <w:rFonts w:hint="default" w:ascii="宋体" w:hAnsi="宋体" w:eastAsia="宋体" w:cs="宋体"/>
          <w:color w:val="auto"/>
          <w:szCs w:val="21"/>
          <w:lang w:val="en-US" w:eastAsia="zh-CN"/>
        </w:rPr>
      </w:pPr>
      <w:r>
        <w:rPr>
          <w:rFonts w:hint="eastAsia" w:ascii="宋体" w:hAnsi="宋体" w:cs="宋体"/>
          <w:color w:val="auto"/>
          <w:szCs w:val="21"/>
        </w:rPr>
        <w:t>2、电话：</w:t>
      </w:r>
      <w:r>
        <w:rPr>
          <w:rFonts w:hint="eastAsia" w:ascii="宋体" w:hAnsi="宋体" w:cs="宋体"/>
          <w:color w:val="auto"/>
          <w:szCs w:val="21"/>
          <w:lang w:val="en-US" w:eastAsia="zh-CN"/>
        </w:rPr>
        <w:t xml:space="preserve"> 13786812186</w:t>
      </w:r>
    </w:p>
    <w:p w14:paraId="0E222C36">
      <w:pPr>
        <w:adjustRightInd w:val="0"/>
        <w:snapToGrid w:val="0"/>
        <w:spacing w:line="360" w:lineRule="auto"/>
        <w:ind w:firstLine="413" w:firstLineChars="196"/>
        <w:rPr>
          <w:rFonts w:ascii="宋体" w:hAnsi="宋体"/>
          <w:b/>
          <w:bCs/>
          <w:color w:val="auto"/>
          <w:szCs w:val="21"/>
        </w:rPr>
      </w:pPr>
      <w:r>
        <w:rPr>
          <w:rFonts w:hint="eastAsia" w:ascii="宋体" w:hAnsi="宋体"/>
          <w:b/>
          <w:bCs/>
          <w:color w:val="auto"/>
          <w:szCs w:val="21"/>
        </w:rPr>
        <w:t>十二、采购人、采购代理机构的名称、地址和联系方法</w:t>
      </w:r>
    </w:p>
    <w:p w14:paraId="63CA0EED">
      <w:pPr>
        <w:adjustRightInd w:val="0"/>
        <w:snapToGrid w:val="0"/>
        <w:spacing w:line="360" w:lineRule="auto"/>
        <w:ind w:firstLine="413" w:firstLineChars="196"/>
        <w:rPr>
          <w:rFonts w:ascii="宋体" w:hAnsi="宋体"/>
          <w:b/>
          <w:bCs/>
          <w:color w:val="auto"/>
          <w:szCs w:val="21"/>
        </w:rPr>
      </w:pPr>
      <w:r>
        <w:rPr>
          <w:rFonts w:hint="eastAsia" w:ascii="宋体" w:hAnsi="宋体"/>
          <w:b/>
          <w:bCs/>
          <w:color w:val="auto"/>
          <w:szCs w:val="21"/>
        </w:rPr>
        <w:t>1</w:t>
      </w:r>
      <w:r>
        <w:rPr>
          <w:rFonts w:hint="eastAsia" w:ascii="宋体" w:hAnsi="宋体"/>
          <w:color w:val="auto"/>
          <w:szCs w:val="21"/>
        </w:rPr>
        <w:t>、</w:t>
      </w:r>
      <w:r>
        <w:rPr>
          <w:rFonts w:hint="eastAsia" w:ascii="宋体" w:hAnsi="宋体"/>
          <w:b/>
          <w:bCs/>
          <w:color w:val="auto"/>
          <w:szCs w:val="21"/>
        </w:rPr>
        <w:t>采购人信息</w:t>
      </w:r>
    </w:p>
    <w:p w14:paraId="3BED93EF">
      <w:pPr>
        <w:adjustRightInd w:val="0"/>
        <w:snapToGrid w:val="0"/>
        <w:spacing w:line="360" w:lineRule="auto"/>
        <w:ind w:firstLine="420" w:firstLineChars="200"/>
        <w:rPr>
          <w:rFonts w:hint="eastAsia" w:ascii="宋体" w:hAnsi="宋体"/>
          <w:color w:val="auto"/>
          <w:szCs w:val="21"/>
          <w:lang w:eastAsia="zh-CN"/>
        </w:rPr>
      </w:pPr>
      <w:r>
        <w:rPr>
          <w:rFonts w:hint="eastAsia" w:ascii="宋体" w:hAnsi="宋体"/>
          <w:color w:val="auto"/>
          <w:szCs w:val="21"/>
        </w:rPr>
        <w:t>（1）名 称：</w:t>
      </w:r>
      <w:r>
        <w:rPr>
          <w:rFonts w:hint="eastAsia" w:ascii="宋体" w:hAnsi="宋体"/>
          <w:color w:val="auto"/>
          <w:szCs w:val="21"/>
          <w:lang w:eastAsia="zh-CN"/>
        </w:rPr>
        <w:t>新化县田坪镇中心学校</w:t>
      </w:r>
    </w:p>
    <w:p w14:paraId="0BCC63C7">
      <w:pPr>
        <w:adjustRightInd w:val="0"/>
        <w:snapToGrid w:val="0"/>
        <w:spacing w:line="360" w:lineRule="auto"/>
        <w:ind w:firstLine="420" w:firstLineChars="200"/>
        <w:rPr>
          <w:rFonts w:hint="eastAsia" w:ascii="宋体" w:hAnsi="宋体" w:eastAsia="宋体"/>
          <w:color w:val="auto"/>
          <w:szCs w:val="21"/>
          <w:u w:val="single"/>
          <w:lang w:eastAsia="zh-CN"/>
        </w:rPr>
      </w:pPr>
      <w:r>
        <w:rPr>
          <w:rFonts w:hint="eastAsia" w:ascii="宋体" w:hAnsi="宋体"/>
          <w:color w:val="auto"/>
          <w:szCs w:val="21"/>
        </w:rPr>
        <w:t>（2）地  址：</w:t>
      </w:r>
      <w:r>
        <w:rPr>
          <w:rFonts w:hint="eastAsia" w:ascii="宋体" w:hAnsi="宋体"/>
          <w:color w:val="auto"/>
          <w:szCs w:val="21"/>
          <w:lang w:val="en-US" w:eastAsia="zh-CN"/>
        </w:rPr>
        <w:t xml:space="preserve">新化县田坪镇田坪村  </w:t>
      </w:r>
    </w:p>
    <w:p w14:paraId="499B57E3">
      <w:pPr>
        <w:adjustRightInd w:val="0"/>
        <w:snapToGrid w:val="0"/>
        <w:spacing w:line="360" w:lineRule="auto"/>
        <w:ind w:firstLine="411" w:firstLineChars="196"/>
        <w:rPr>
          <w:rFonts w:hint="eastAsia" w:ascii="宋体" w:hAnsi="宋体" w:eastAsia="宋体"/>
          <w:color w:val="auto"/>
          <w:szCs w:val="21"/>
          <w:lang w:eastAsia="zh-CN"/>
        </w:rPr>
      </w:pPr>
      <w:r>
        <w:rPr>
          <w:rFonts w:hint="eastAsia" w:ascii="宋体" w:hAnsi="宋体"/>
          <w:color w:val="auto"/>
          <w:szCs w:val="21"/>
        </w:rPr>
        <w:t>（3）联系人：</w:t>
      </w:r>
      <w:r>
        <w:rPr>
          <w:rFonts w:hint="eastAsia" w:ascii="宋体" w:hAnsi="宋体"/>
          <w:color w:val="auto"/>
          <w:szCs w:val="21"/>
          <w:lang w:val="en-US" w:eastAsia="zh-CN"/>
        </w:rPr>
        <w:t xml:space="preserve">康明光 </w:t>
      </w:r>
    </w:p>
    <w:p w14:paraId="38DE0626">
      <w:pPr>
        <w:adjustRightInd w:val="0"/>
        <w:snapToGrid w:val="0"/>
        <w:spacing w:line="360" w:lineRule="auto"/>
        <w:ind w:firstLine="420" w:firstLineChars="200"/>
        <w:rPr>
          <w:rFonts w:hint="eastAsia" w:ascii="宋体" w:hAnsi="宋体" w:cs="宋体"/>
          <w:color w:val="auto"/>
          <w:szCs w:val="21"/>
          <w:shd w:val="clear" w:color="auto" w:fill="FFFFFF"/>
          <w:lang w:val="en-US" w:eastAsia="zh-CN"/>
        </w:rPr>
      </w:pPr>
      <w:r>
        <w:rPr>
          <w:rFonts w:hint="eastAsia" w:ascii="宋体" w:hAnsi="宋体"/>
          <w:color w:val="auto"/>
          <w:szCs w:val="21"/>
        </w:rPr>
        <w:t>（4）</w:t>
      </w:r>
      <w:r>
        <w:rPr>
          <w:rFonts w:hint="eastAsia" w:ascii="宋体" w:hAnsi="宋体" w:cs="宋体"/>
          <w:color w:val="auto"/>
          <w:szCs w:val="21"/>
          <w:shd w:val="clear" w:color="auto" w:fill="FFFFFF"/>
        </w:rPr>
        <w:t>邮编：</w:t>
      </w:r>
      <w:r>
        <w:rPr>
          <w:rFonts w:hint="eastAsia" w:ascii="宋体" w:hAnsi="宋体" w:cs="宋体"/>
          <w:color w:val="auto"/>
          <w:szCs w:val="21"/>
          <w:shd w:val="clear" w:color="auto" w:fill="FFFFFF"/>
          <w:lang w:val="en-US" w:eastAsia="zh-CN"/>
        </w:rPr>
        <w:t xml:space="preserve">417600 </w:t>
      </w:r>
    </w:p>
    <w:p w14:paraId="5D5FC6ED">
      <w:pPr>
        <w:adjustRightInd w:val="0"/>
        <w:snapToGrid w:val="0"/>
        <w:spacing w:line="360" w:lineRule="auto"/>
        <w:ind w:firstLine="420" w:firstLineChars="200"/>
        <w:rPr>
          <w:rFonts w:hint="eastAsia" w:ascii="宋体" w:hAnsi="宋体" w:eastAsia="宋体" w:cs="宋体"/>
          <w:color w:val="auto"/>
          <w:szCs w:val="21"/>
          <w:lang w:val="en-US" w:eastAsia="zh-CN"/>
        </w:rPr>
      </w:pPr>
      <w:r>
        <w:rPr>
          <w:rFonts w:hint="eastAsia" w:ascii="宋体" w:hAnsi="宋体"/>
          <w:color w:val="auto"/>
          <w:szCs w:val="21"/>
        </w:rPr>
        <w:t>（5）电话：</w:t>
      </w:r>
      <w:r>
        <w:rPr>
          <w:rFonts w:hint="eastAsia" w:ascii="宋体" w:hAnsi="宋体" w:cs="宋体"/>
          <w:color w:val="auto"/>
          <w:szCs w:val="21"/>
          <w:lang w:val="en-US" w:eastAsia="zh-CN"/>
        </w:rPr>
        <w:t>13786812186</w:t>
      </w:r>
      <w:r>
        <w:rPr>
          <w:rFonts w:hint="eastAsia" w:ascii="宋体" w:hAnsi="宋体"/>
          <w:color w:val="auto"/>
          <w:szCs w:val="21"/>
          <w:lang w:val="en-US" w:eastAsia="zh-CN"/>
        </w:rPr>
        <w:t xml:space="preserve"> </w:t>
      </w:r>
    </w:p>
    <w:p w14:paraId="0D309DBB">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shd w:val="clear" w:color="auto" w:fill="FFFFFF"/>
        </w:rPr>
        <w:t>（6）电子邮箱：/</w:t>
      </w:r>
    </w:p>
    <w:p w14:paraId="45B7164C">
      <w:pPr>
        <w:adjustRightInd w:val="0"/>
        <w:snapToGrid w:val="0"/>
        <w:spacing w:line="360" w:lineRule="auto"/>
        <w:ind w:firstLine="422" w:firstLineChars="200"/>
        <w:rPr>
          <w:rFonts w:ascii="宋体" w:hAnsi="宋体"/>
          <w:b/>
          <w:bCs/>
          <w:color w:val="auto"/>
          <w:szCs w:val="21"/>
        </w:rPr>
      </w:pPr>
      <w:r>
        <w:rPr>
          <w:rFonts w:hint="eastAsia" w:ascii="宋体" w:hAnsi="宋体"/>
          <w:b/>
          <w:bCs/>
          <w:color w:val="auto"/>
          <w:szCs w:val="21"/>
        </w:rPr>
        <w:t>2</w:t>
      </w:r>
      <w:r>
        <w:rPr>
          <w:rFonts w:hint="eastAsia" w:ascii="宋体" w:hAnsi="宋体"/>
          <w:color w:val="auto"/>
          <w:szCs w:val="21"/>
        </w:rPr>
        <w:t>、</w:t>
      </w:r>
      <w:r>
        <w:rPr>
          <w:rFonts w:hint="eastAsia" w:ascii="宋体" w:hAnsi="宋体"/>
          <w:b/>
          <w:bCs/>
          <w:color w:val="auto"/>
          <w:szCs w:val="21"/>
        </w:rPr>
        <w:t>采购代理机构信息</w:t>
      </w:r>
    </w:p>
    <w:p w14:paraId="458ABA6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（1）名称：娄底市政府采购中心</w:t>
      </w:r>
    </w:p>
    <w:p w14:paraId="547EF84A">
      <w:pPr>
        <w:adjustRightInd w:val="0"/>
        <w:snapToGrid w:val="0"/>
        <w:spacing w:line="360" w:lineRule="auto"/>
        <w:ind w:firstLine="420" w:firstLineChars="200"/>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2）地址：娄底市娄星区勤政街36号</w:t>
      </w:r>
    </w:p>
    <w:p w14:paraId="44C46373">
      <w:pPr>
        <w:adjustRightInd w:val="0"/>
        <w:snapToGrid w:val="0"/>
        <w:spacing w:line="360" w:lineRule="auto"/>
        <w:ind w:firstLine="420" w:firstLineChars="200"/>
        <w:rPr>
          <w:rFonts w:hint="eastAsia" w:ascii="宋体" w:hAnsi="宋体" w:eastAsia="宋体" w:cs="宋体"/>
          <w:color w:val="auto"/>
          <w:szCs w:val="21"/>
          <w:lang w:val="en-US" w:eastAsia="zh-CN"/>
        </w:rPr>
      </w:pPr>
      <w:r>
        <w:rPr>
          <w:rFonts w:hint="eastAsia" w:ascii="宋体" w:hAnsi="宋体" w:cs="宋体"/>
          <w:color w:val="auto"/>
          <w:szCs w:val="21"/>
        </w:rPr>
        <w:t>（3）联系人：罗</w:t>
      </w:r>
      <w:r>
        <w:rPr>
          <w:rFonts w:hint="eastAsia" w:ascii="宋体" w:hAnsi="宋体" w:cs="宋体"/>
          <w:color w:val="auto"/>
          <w:szCs w:val="21"/>
          <w:lang w:val="en-US" w:eastAsia="zh-CN"/>
        </w:rPr>
        <w:t>女士</w:t>
      </w:r>
    </w:p>
    <w:p w14:paraId="137753CE">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（4）邮编：417000</w:t>
      </w:r>
    </w:p>
    <w:p w14:paraId="57C2F8F5">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（5）电话：0738-6371181</w:t>
      </w:r>
    </w:p>
    <w:p w14:paraId="6E9871F3">
      <w:pPr>
        <w:adjustRightInd w:val="0"/>
        <w:snapToGrid w:val="0"/>
        <w:spacing w:line="360" w:lineRule="auto"/>
        <w:ind w:firstLine="420" w:firstLineChars="200"/>
        <w:rPr>
          <w:rFonts w:ascii="宋体" w:hAnsi="宋体" w:cs="宋体"/>
          <w:color w:val="auto"/>
          <w:szCs w:val="21"/>
        </w:rPr>
      </w:pPr>
      <w:r>
        <w:rPr>
          <w:rFonts w:hint="eastAsia" w:ascii="宋体" w:hAnsi="宋体" w:cs="宋体"/>
          <w:color w:val="auto"/>
          <w:szCs w:val="21"/>
        </w:rPr>
        <w:t>（6）电子邮箱：/</w:t>
      </w:r>
    </w:p>
    <w:p w14:paraId="7045181B">
      <w:pPr>
        <w:adjustRightInd w:val="0"/>
        <w:snapToGrid w:val="0"/>
        <w:spacing w:line="360" w:lineRule="auto"/>
        <w:ind w:firstLine="422" w:firstLineChars="200"/>
        <w:rPr>
          <w:rFonts w:ascii="宋体" w:hAnsi="宋体"/>
          <w:color w:val="auto"/>
          <w:szCs w:val="21"/>
        </w:rPr>
      </w:pPr>
      <w:r>
        <w:rPr>
          <w:rFonts w:hint="eastAsia" w:ascii="宋体" w:hAnsi="宋体"/>
          <w:b/>
          <w:bCs/>
          <w:color w:val="auto"/>
          <w:szCs w:val="21"/>
        </w:rPr>
        <w:t>3、电子交易平台服务机构信息</w:t>
      </w:r>
    </w:p>
    <w:p w14:paraId="01C185F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1</w:t>
      </w:r>
      <w:r>
        <w:rPr>
          <w:rFonts w:hint="eastAsia" w:ascii="宋体" w:hAnsi="宋体"/>
          <w:color w:val="auto"/>
          <w:szCs w:val="21"/>
        </w:rPr>
        <w:t>）联系人：金润软件 </w:t>
      </w:r>
    </w:p>
    <w:p w14:paraId="5E846E7F">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2</w:t>
      </w:r>
      <w:r>
        <w:rPr>
          <w:rFonts w:hint="eastAsia" w:ascii="宋体" w:hAnsi="宋体"/>
          <w:color w:val="auto"/>
          <w:szCs w:val="21"/>
        </w:rPr>
        <w:t>）电 话：</w:t>
      </w:r>
      <w:r>
        <w:rPr>
          <w:rFonts w:hint="eastAsia" w:ascii="宋体" w:hAnsi="宋体"/>
          <w:color w:val="auto"/>
          <w:szCs w:val="21"/>
          <w:lang w:val="en-US" w:eastAsia="zh-CN"/>
        </w:rPr>
        <w:t xml:space="preserve"> </w:t>
      </w:r>
      <w:r>
        <w:rPr>
          <w:rFonts w:hint="eastAsia" w:ascii="宋体" w:hAnsi="宋体"/>
          <w:color w:val="auto"/>
          <w:szCs w:val="21"/>
        </w:rPr>
        <w:t>400-926-9966</w:t>
      </w:r>
    </w:p>
    <w:p w14:paraId="14DB96D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3</w:t>
      </w:r>
      <w:r>
        <w:rPr>
          <w:rFonts w:hint="eastAsia" w:ascii="宋体" w:hAnsi="宋体"/>
          <w:color w:val="auto"/>
          <w:szCs w:val="21"/>
        </w:rPr>
        <w:t>）电子邮箱：2159511823@qq.com</w:t>
      </w:r>
    </w:p>
    <w:p w14:paraId="0E33D13A">
      <w:pPr>
        <w:adjustRightInd w:val="0"/>
        <w:snapToGrid w:val="0"/>
        <w:spacing w:line="360" w:lineRule="auto"/>
        <w:ind w:firstLine="411" w:firstLineChars="196"/>
        <w:rPr>
          <w:rFonts w:ascii="宋体" w:hAnsi="宋体"/>
          <w:color w:val="auto"/>
          <w:szCs w:val="21"/>
        </w:rPr>
      </w:pPr>
    </w:p>
    <w:p w14:paraId="75A41649">
      <w:pPr>
        <w:pStyle w:val="3"/>
        <w:rPr>
          <w:rFonts w:ascii="黑体" w:hAnsi="华文中宋" w:eastAsia="黑体"/>
          <w:b w:val="0"/>
          <w:color w:val="auto"/>
          <w:spacing w:val="100"/>
          <w:sz w:val="32"/>
          <w:szCs w:val="32"/>
        </w:rPr>
      </w:pPr>
      <w:r>
        <w:rPr>
          <w:color w:val="auto"/>
        </w:rPr>
        <w:br w:type="page"/>
      </w:r>
      <w:bookmarkStart w:id="8" w:name="_Toc85972929"/>
      <w:bookmarkStart w:id="9" w:name="_Toc75289547"/>
      <w:bookmarkStart w:id="10" w:name="_Toc7263"/>
      <w:bookmarkStart w:id="11" w:name="_Toc15888484"/>
      <w:bookmarkStart w:id="12" w:name="_Toc192951212"/>
      <w:bookmarkStart w:id="13" w:name="_Toc15746"/>
      <w:bookmarkStart w:id="14" w:name="_Toc78449954"/>
      <w:bookmarkStart w:id="15" w:name="_Toc192949602"/>
      <w:bookmarkStart w:id="16" w:name="_Toc192949701"/>
      <w:bookmarkStart w:id="17" w:name="_Toc26481"/>
      <w:bookmarkStart w:id="18" w:name="_Toc77676465"/>
      <w:bookmarkStart w:id="19" w:name="_Toc100670667"/>
      <w:bookmarkStart w:id="20" w:name="_Toc25857"/>
      <w:bookmarkStart w:id="21" w:name="_Toc78314261"/>
      <w:bookmarkStart w:id="22" w:name="_Toc114036711"/>
      <w:bookmarkStart w:id="23" w:name="_Toc100670420"/>
      <w:bookmarkStart w:id="24" w:name="_Toc108341936"/>
      <w:bookmarkStart w:id="25" w:name="_Toc154428389"/>
      <w:bookmarkStart w:id="26" w:name="_Toc22038"/>
      <w:bookmarkStart w:id="27" w:name="_Toc112704932"/>
      <w:bookmarkStart w:id="28" w:name="_Toc94367879"/>
      <w:bookmarkStart w:id="29" w:name="_Toc9187"/>
      <w:bookmarkStart w:id="30" w:name="_Toc171273670"/>
      <w:bookmarkStart w:id="31" w:name="_Toc95601364"/>
      <w:bookmarkStart w:id="32" w:name="_Toc75289225"/>
      <w:bookmarkStart w:id="33" w:name="_Toc23473"/>
      <w:bookmarkStart w:id="34" w:name="_Toc4684"/>
      <w:bookmarkStart w:id="35" w:name="_Toc12115"/>
      <w:bookmarkStart w:id="36" w:name="_Toc77199398"/>
      <w:bookmarkStart w:id="37" w:name="_Toc117192447"/>
      <w:r>
        <w:rPr>
          <w:rFonts w:hint="eastAsia" w:ascii="黑体" w:hAnsi="华文中宋" w:eastAsia="黑体"/>
          <w:b w:val="0"/>
          <w:color w:val="auto"/>
          <w:sz w:val="32"/>
          <w:szCs w:val="32"/>
        </w:rPr>
        <w:t>第二章 投标须知</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6F62C715">
      <w:pPr>
        <w:pStyle w:val="4"/>
        <w:adjustRightInd w:val="0"/>
        <w:snapToGrid w:val="0"/>
        <w:spacing w:line="240" w:lineRule="auto"/>
        <w:jc w:val="center"/>
        <w:rPr>
          <w:rFonts w:ascii="黑体" w:hAnsi="华文中宋" w:eastAsia="黑体"/>
          <w:color w:val="auto"/>
          <w:spacing w:val="100"/>
          <w:sz w:val="28"/>
          <w:szCs w:val="28"/>
        </w:rPr>
      </w:pPr>
      <w:bookmarkStart w:id="38" w:name="_Toc4205"/>
      <w:bookmarkStart w:id="39" w:name="_Toc192951213"/>
      <w:bookmarkStart w:id="40" w:name="_Toc85972930"/>
      <w:bookmarkStart w:id="41" w:name="_Toc11230"/>
      <w:bookmarkStart w:id="42" w:name="_Toc15888485"/>
      <w:bookmarkStart w:id="43" w:name="_Toc100670668"/>
      <w:bookmarkStart w:id="44" w:name="_Toc117192448"/>
      <w:bookmarkStart w:id="45" w:name="_Toc75289226"/>
      <w:bookmarkStart w:id="46" w:name="_Toc78449955"/>
      <w:bookmarkStart w:id="47" w:name="_Toc24209"/>
      <w:bookmarkStart w:id="48" w:name="_Toc108341937"/>
      <w:bookmarkStart w:id="49" w:name="_Toc112704933"/>
      <w:bookmarkStart w:id="50" w:name="_Toc100670421"/>
      <w:bookmarkStart w:id="51" w:name="_Toc171273671"/>
      <w:bookmarkStart w:id="52" w:name="_Toc94367880"/>
      <w:bookmarkStart w:id="53" w:name="_Toc75289548"/>
      <w:bookmarkStart w:id="54" w:name="_Toc21523"/>
      <w:bookmarkStart w:id="55" w:name="_Toc77199399"/>
      <w:bookmarkStart w:id="56" w:name="_Toc24994"/>
      <w:bookmarkStart w:id="57" w:name="_Toc95601365"/>
      <w:bookmarkStart w:id="58" w:name="_Toc114036712"/>
      <w:bookmarkStart w:id="59" w:name="_Toc78314262"/>
      <w:bookmarkStart w:id="60" w:name="_Toc154428390"/>
      <w:bookmarkStart w:id="61" w:name="_Toc18363"/>
      <w:bookmarkStart w:id="62" w:name="_Toc192949603"/>
      <w:bookmarkStart w:id="63" w:name="_Toc20609"/>
      <w:bookmarkStart w:id="64" w:name="_Toc3731"/>
      <w:bookmarkStart w:id="65" w:name="_Toc1532"/>
      <w:bookmarkStart w:id="66" w:name="_Toc192949702"/>
      <w:bookmarkStart w:id="67" w:name="_Toc77676466"/>
      <w:r>
        <w:rPr>
          <w:rFonts w:hint="eastAsia" w:ascii="黑体" w:hAnsi="华文中宋" w:eastAsia="黑体"/>
          <w:color w:val="auto"/>
          <w:sz w:val="28"/>
          <w:szCs w:val="28"/>
        </w:rPr>
        <w:t>第一节  投标须知前附表</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5220615A">
      <w:pPr>
        <w:adjustRightInd w:val="0"/>
        <w:snapToGrid w:val="0"/>
        <w:jc w:val="right"/>
        <w:rPr>
          <w:rFonts w:ascii="宋体" w:hAnsi="宋体"/>
          <w:color w:val="auto"/>
          <w:szCs w:val="21"/>
        </w:rPr>
      </w:pPr>
      <w:r>
        <w:rPr>
          <w:rFonts w:hint="eastAsia" w:ascii="宋体" w:hAnsi="宋体"/>
          <w:color w:val="auto"/>
          <w:szCs w:val="21"/>
        </w:rPr>
        <w:t>注：本项目启用的条款在“编列内容规定”栏内以“</w:t>
      </w:r>
      <w:r>
        <w:rPr>
          <w:rFonts w:hint="eastAsia" w:ascii="宋体" w:hAnsi="宋体"/>
          <w:color w:val="auto"/>
          <w:szCs w:val="21"/>
        </w:rPr>
        <w:sym w:font="Wingdings" w:char="00FE"/>
      </w:r>
      <w:r>
        <w:rPr>
          <w:rFonts w:hint="eastAsia" w:ascii="宋体" w:hAnsi="宋体"/>
          <w:color w:val="auto"/>
          <w:szCs w:val="21"/>
        </w:rPr>
        <w:t>”标注。</w:t>
      </w:r>
    </w:p>
    <w:tbl>
      <w:tblPr>
        <w:tblStyle w:val="47"/>
        <w:tblW w:w="888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42"/>
        <w:gridCol w:w="2340"/>
        <w:gridCol w:w="5303"/>
      </w:tblGrid>
      <w:tr w14:paraId="4AD305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4" w:hRule="atLeast"/>
          <w:tblHeader/>
          <w:jc w:val="center"/>
        </w:trPr>
        <w:tc>
          <w:tcPr>
            <w:tcW w:w="1242" w:type="dxa"/>
            <w:vAlign w:val="center"/>
          </w:tcPr>
          <w:p w14:paraId="28404AD9">
            <w:pPr>
              <w:adjustRightInd w:val="0"/>
              <w:snapToGrid w:val="0"/>
              <w:spacing w:line="360" w:lineRule="exact"/>
              <w:jc w:val="center"/>
              <w:rPr>
                <w:rFonts w:ascii="宋体" w:hAnsi="宋体"/>
                <w:b/>
                <w:color w:val="auto"/>
                <w:szCs w:val="21"/>
              </w:rPr>
            </w:pPr>
            <w:r>
              <w:rPr>
                <w:rFonts w:hint="eastAsia" w:ascii="宋体" w:hAnsi="宋体"/>
                <w:b/>
                <w:color w:val="auto"/>
                <w:szCs w:val="21"/>
              </w:rPr>
              <w:t>条款号</w:t>
            </w:r>
          </w:p>
        </w:tc>
        <w:tc>
          <w:tcPr>
            <w:tcW w:w="2340" w:type="dxa"/>
            <w:vAlign w:val="center"/>
          </w:tcPr>
          <w:p w14:paraId="0B1BC784">
            <w:pPr>
              <w:adjustRightInd w:val="0"/>
              <w:snapToGrid w:val="0"/>
              <w:spacing w:line="360" w:lineRule="exact"/>
              <w:jc w:val="center"/>
              <w:rPr>
                <w:rFonts w:ascii="宋体" w:hAnsi="宋体"/>
                <w:b/>
                <w:color w:val="auto"/>
                <w:szCs w:val="21"/>
              </w:rPr>
            </w:pPr>
            <w:r>
              <w:rPr>
                <w:rFonts w:hint="eastAsia" w:ascii="宋体" w:hAnsi="宋体"/>
                <w:b/>
                <w:color w:val="auto"/>
                <w:szCs w:val="21"/>
              </w:rPr>
              <w:t>条款名称</w:t>
            </w:r>
          </w:p>
        </w:tc>
        <w:tc>
          <w:tcPr>
            <w:tcW w:w="5303" w:type="dxa"/>
            <w:vAlign w:val="center"/>
          </w:tcPr>
          <w:p w14:paraId="2DEE3AA1">
            <w:pPr>
              <w:adjustRightInd w:val="0"/>
              <w:snapToGrid w:val="0"/>
              <w:spacing w:line="360" w:lineRule="exact"/>
              <w:jc w:val="center"/>
              <w:rPr>
                <w:rFonts w:ascii="宋体" w:hAnsi="宋体"/>
                <w:b/>
                <w:color w:val="auto"/>
                <w:szCs w:val="21"/>
              </w:rPr>
            </w:pPr>
            <w:r>
              <w:rPr>
                <w:rFonts w:hint="eastAsia" w:ascii="宋体" w:hAnsi="宋体"/>
                <w:b/>
                <w:color w:val="auto"/>
                <w:szCs w:val="21"/>
              </w:rPr>
              <w:t>编列内容规定</w:t>
            </w:r>
          </w:p>
        </w:tc>
      </w:tr>
      <w:tr w14:paraId="357856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6" w:hRule="atLeast"/>
          <w:jc w:val="center"/>
        </w:trPr>
        <w:tc>
          <w:tcPr>
            <w:tcW w:w="8885" w:type="dxa"/>
            <w:gridSpan w:val="3"/>
            <w:vAlign w:val="center"/>
          </w:tcPr>
          <w:p w14:paraId="20BD5413">
            <w:pPr>
              <w:adjustRightInd w:val="0"/>
              <w:snapToGrid w:val="0"/>
              <w:spacing w:line="360" w:lineRule="exact"/>
              <w:rPr>
                <w:rFonts w:ascii="宋体" w:hAnsi="宋体"/>
                <w:color w:val="auto"/>
                <w:szCs w:val="21"/>
              </w:rPr>
            </w:pPr>
            <w:r>
              <w:rPr>
                <w:rFonts w:hint="eastAsia" w:ascii="宋体" w:hAnsi="宋体"/>
                <w:b/>
                <w:color w:val="auto"/>
                <w:szCs w:val="21"/>
              </w:rPr>
              <w:t>一、说明</w:t>
            </w:r>
          </w:p>
        </w:tc>
      </w:tr>
      <w:tr w14:paraId="5D0D04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1242" w:type="dxa"/>
            <w:vAlign w:val="center"/>
          </w:tcPr>
          <w:p w14:paraId="18E528F0">
            <w:pPr>
              <w:adjustRightInd w:val="0"/>
              <w:snapToGrid w:val="0"/>
              <w:spacing w:line="360" w:lineRule="exact"/>
              <w:jc w:val="center"/>
              <w:rPr>
                <w:rFonts w:ascii="宋体" w:hAnsi="宋体"/>
                <w:color w:val="auto"/>
                <w:szCs w:val="21"/>
              </w:rPr>
            </w:pPr>
            <w:r>
              <w:rPr>
                <w:rFonts w:hint="eastAsia" w:ascii="宋体" w:hAnsi="宋体"/>
                <w:color w:val="auto"/>
                <w:szCs w:val="21"/>
              </w:rPr>
              <w:t>第1.1款</w:t>
            </w:r>
          </w:p>
        </w:tc>
        <w:tc>
          <w:tcPr>
            <w:tcW w:w="2340" w:type="dxa"/>
            <w:vAlign w:val="center"/>
          </w:tcPr>
          <w:p w14:paraId="442C5111">
            <w:pPr>
              <w:adjustRightInd w:val="0"/>
              <w:snapToGrid w:val="0"/>
              <w:spacing w:line="360" w:lineRule="exact"/>
              <w:jc w:val="center"/>
              <w:rPr>
                <w:rFonts w:ascii="宋体" w:hAnsi="宋体"/>
                <w:color w:val="auto"/>
                <w:szCs w:val="21"/>
              </w:rPr>
            </w:pPr>
            <w:r>
              <w:rPr>
                <w:rFonts w:hint="eastAsia" w:ascii="宋体" w:hAnsi="宋体"/>
                <w:color w:val="auto"/>
                <w:szCs w:val="21"/>
              </w:rPr>
              <w:t>采购项目</w:t>
            </w:r>
          </w:p>
        </w:tc>
        <w:tc>
          <w:tcPr>
            <w:tcW w:w="5303" w:type="dxa"/>
            <w:vAlign w:val="center"/>
          </w:tcPr>
          <w:p w14:paraId="5A5805E9">
            <w:pPr>
              <w:adjustRightInd w:val="0"/>
              <w:snapToGrid w:val="0"/>
              <w:spacing w:line="360" w:lineRule="exact"/>
              <w:rPr>
                <w:rFonts w:hint="eastAsia" w:ascii="宋体" w:hAnsi="宋体" w:eastAsia="宋体"/>
                <w:color w:val="auto"/>
                <w:szCs w:val="21"/>
                <w:lang w:eastAsia="zh-CN"/>
              </w:rPr>
            </w:pPr>
            <w:r>
              <w:rPr>
                <w:rFonts w:hint="eastAsia" w:ascii="宋体" w:hAnsi="宋体"/>
                <w:color w:val="auto"/>
                <w:szCs w:val="21"/>
                <w:lang w:eastAsia="zh-CN"/>
              </w:rPr>
              <w:t>新化县第十一中学新校区设备采购</w:t>
            </w:r>
          </w:p>
        </w:tc>
      </w:tr>
      <w:tr w14:paraId="1924E7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1242" w:type="dxa"/>
            <w:vAlign w:val="center"/>
          </w:tcPr>
          <w:p w14:paraId="4D466639">
            <w:pPr>
              <w:adjustRightInd w:val="0"/>
              <w:snapToGrid w:val="0"/>
              <w:spacing w:line="360" w:lineRule="exact"/>
              <w:jc w:val="center"/>
              <w:rPr>
                <w:rFonts w:ascii="宋体" w:hAnsi="宋体"/>
                <w:color w:val="auto"/>
                <w:szCs w:val="21"/>
              </w:rPr>
            </w:pPr>
            <w:r>
              <w:rPr>
                <w:rFonts w:hint="eastAsia" w:ascii="宋体" w:hAnsi="宋体"/>
                <w:color w:val="auto"/>
                <w:szCs w:val="21"/>
              </w:rPr>
              <w:t>第1.2款</w:t>
            </w:r>
          </w:p>
        </w:tc>
        <w:tc>
          <w:tcPr>
            <w:tcW w:w="2340" w:type="dxa"/>
            <w:vAlign w:val="center"/>
          </w:tcPr>
          <w:p w14:paraId="448DAE6F">
            <w:pPr>
              <w:adjustRightInd w:val="0"/>
              <w:snapToGrid w:val="0"/>
              <w:spacing w:line="360" w:lineRule="exact"/>
              <w:jc w:val="center"/>
              <w:rPr>
                <w:rFonts w:ascii="宋体" w:hAnsi="宋体"/>
                <w:color w:val="auto"/>
                <w:szCs w:val="21"/>
              </w:rPr>
            </w:pPr>
            <w:r>
              <w:rPr>
                <w:rFonts w:hint="eastAsia" w:ascii="宋体" w:hAnsi="宋体"/>
                <w:color w:val="auto"/>
                <w:szCs w:val="21"/>
              </w:rPr>
              <w:t>是否预留采购份额</w:t>
            </w:r>
          </w:p>
        </w:tc>
        <w:tc>
          <w:tcPr>
            <w:tcW w:w="5303" w:type="dxa"/>
            <w:vAlign w:val="center"/>
          </w:tcPr>
          <w:p w14:paraId="045F2358">
            <w:pPr>
              <w:adjustRightInd w:val="0"/>
              <w:snapToGrid w:val="0"/>
              <w:spacing w:line="360" w:lineRule="exact"/>
              <w:rPr>
                <w:rFonts w:ascii="宋体" w:hAnsi="宋体"/>
                <w:color w:val="auto"/>
                <w:szCs w:val="21"/>
              </w:rPr>
            </w:pPr>
            <w:r>
              <w:rPr>
                <w:rFonts w:hint="eastAsia" w:ascii="宋体" w:hAnsi="宋体"/>
                <w:color w:val="auto"/>
                <w:szCs w:val="21"/>
              </w:rPr>
              <w:t>否</w:t>
            </w:r>
          </w:p>
        </w:tc>
      </w:tr>
      <w:tr w14:paraId="5FC466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5" w:hRule="atLeast"/>
          <w:jc w:val="center"/>
        </w:trPr>
        <w:tc>
          <w:tcPr>
            <w:tcW w:w="1242" w:type="dxa"/>
            <w:vAlign w:val="center"/>
          </w:tcPr>
          <w:p w14:paraId="2525B71A">
            <w:pPr>
              <w:adjustRightInd w:val="0"/>
              <w:snapToGrid w:val="0"/>
              <w:spacing w:line="360" w:lineRule="exact"/>
              <w:jc w:val="center"/>
              <w:rPr>
                <w:rFonts w:ascii="宋体" w:hAnsi="宋体"/>
                <w:color w:val="auto"/>
                <w:szCs w:val="21"/>
              </w:rPr>
            </w:pPr>
            <w:r>
              <w:rPr>
                <w:rFonts w:hint="eastAsia" w:ascii="宋体" w:hAnsi="宋体"/>
                <w:color w:val="auto"/>
                <w:szCs w:val="21"/>
              </w:rPr>
              <w:t>第2.1款</w:t>
            </w:r>
          </w:p>
        </w:tc>
        <w:tc>
          <w:tcPr>
            <w:tcW w:w="2340" w:type="dxa"/>
            <w:vAlign w:val="center"/>
          </w:tcPr>
          <w:p w14:paraId="584A3279">
            <w:pPr>
              <w:adjustRightInd w:val="0"/>
              <w:snapToGrid w:val="0"/>
              <w:spacing w:line="360" w:lineRule="exact"/>
              <w:jc w:val="center"/>
              <w:rPr>
                <w:rFonts w:hAnsi="宋体"/>
                <w:color w:val="auto"/>
                <w:szCs w:val="21"/>
              </w:rPr>
            </w:pPr>
            <w:r>
              <w:rPr>
                <w:rFonts w:hint="eastAsia" w:hAnsi="宋体"/>
                <w:color w:val="auto"/>
                <w:szCs w:val="21"/>
              </w:rPr>
              <w:t>采购项目联系人</w:t>
            </w:r>
          </w:p>
          <w:p w14:paraId="5F7EAC66">
            <w:pPr>
              <w:adjustRightInd w:val="0"/>
              <w:snapToGrid w:val="0"/>
              <w:spacing w:line="360" w:lineRule="exact"/>
              <w:jc w:val="center"/>
              <w:rPr>
                <w:rFonts w:ascii="宋体" w:hAnsi="宋体"/>
                <w:color w:val="auto"/>
                <w:szCs w:val="21"/>
              </w:rPr>
            </w:pPr>
            <w:r>
              <w:rPr>
                <w:rFonts w:hint="eastAsia" w:hAnsi="宋体"/>
                <w:color w:val="auto"/>
                <w:szCs w:val="21"/>
              </w:rPr>
              <w:t>姓名和电话</w:t>
            </w:r>
          </w:p>
        </w:tc>
        <w:tc>
          <w:tcPr>
            <w:tcW w:w="5303" w:type="dxa"/>
            <w:vAlign w:val="center"/>
          </w:tcPr>
          <w:p w14:paraId="181AE794">
            <w:pPr>
              <w:adjustRightInd w:val="0"/>
              <w:snapToGrid w:val="0"/>
              <w:spacing w:line="360" w:lineRule="exact"/>
              <w:rPr>
                <w:rFonts w:hint="eastAsia" w:ascii="宋体" w:hAnsi="宋体" w:eastAsia="宋体"/>
                <w:color w:val="auto"/>
                <w:szCs w:val="21"/>
                <w:lang w:eastAsia="zh-CN"/>
              </w:rPr>
            </w:pPr>
            <w:r>
              <w:rPr>
                <w:rFonts w:hint="eastAsia" w:ascii="宋体" w:hAnsi="宋体"/>
                <w:color w:val="auto"/>
                <w:szCs w:val="21"/>
              </w:rPr>
              <w:t>联系人姓名：</w:t>
            </w:r>
            <w:r>
              <w:rPr>
                <w:rFonts w:hint="eastAsia" w:ascii="宋体" w:hAnsi="宋体"/>
                <w:color w:val="auto"/>
                <w:szCs w:val="21"/>
                <w:lang w:val="en-US" w:eastAsia="zh-CN"/>
              </w:rPr>
              <w:t xml:space="preserve">康明光 </w:t>
            </w:r>
          </w:p>
          <w:p w14:paraId="5A9B0AD0">
            <w:pPr>
              <w:adjustRightInd w:val="0"/>
              <w:snapToGrid w:val="0"/>
              <w:spacing w:line="360" w:lineRule="exact"/>
              <w:rPr>
                <w:rFonts w:hint="eastAsia" w:ascii="宋体" w:hAnsi="宋体" w:eastAsia="宋体"/>
                <w:color w:val="auto"/>
                <w:szCs w:val="21"/>
                <w:lang w:eastAsia="zh-CN"/>
              </w:rPr>
            </w:pPr>
            <w:r>
              <w:rPr>
                <w:rFonts w:hint="eastAsia" w:ascii="宋体" w:hAnsi="宋体"/>
                <w:color w:val="auto"/>
                <w:szCs w:val="21"/>
              </w:rPr>
              <w:t>电话：</w:t>
            </w:r>
            <w:r>
              <w:rPr>
                <w:rFonts w:hint="eastAsia" w:ascii="宋体" w:hAnsi="宋体"/>
                <w:color w:val="auto"/>
                <w:szCs w:val="21"/>
                <w:lang w:val="en-US" w:eastAsia="zh-CN"/>
              </w:rPr>
              <w:t xml:space="preserve">13786812186 </w:t>
            </w:r>
            <w:r>
              <w:rPr>
                <w:rFonts w:hint="eastAsia" w:ascii="宋体" w:hAnsi="宋体" w:cs="宋体"/>
                <w:color w:val="auto"/>
                <w:szCs w:val="21"/>
                <w:lang w:val="en-US" w:eastAsia="zh-CN"/>
              </w:rPr>
              <w:t xml:space="preserve"> </w:t>
            </w:r>
          </w:p>
        </w:tc>
      </w:tr>
      <w:tr w14:paraId="3B8001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1242" w:type="dxa"/>
            <w:vAlign w:val="center"/>
          </w:tcPr>
          <w:p w14:paraId="173C2C2B">
            <w:pPr>
              <w:adjustRightInd w:val="0"/>
              <w:snapToGrid w:val="0"/>
              <w:spacing w:line="360" w:lineRule="exact"/>
              <w:jc w:val="center"/>
              <w:rPr>
                <w:rFonts w:ascii="宋体" w:hAnsi="宋体"/>
                <w:color w:val="auto"/>
                <w:szCs w:val="21"/>
              </w:rPr>
            </w:pPr>
            <w:r>
              <w:rPr>
                <w:rFonts w:hint="eastAsia" w:ascii="宋体" w:hAnsi="宋体"/>
                <w:color w:val="auto"/>
                <w:szCs w:val="21"/>
              </w:rPr>
              <w:t>第2.2款</w:t>
            </w:r>
          </w:p>
        </w:tc>
        <w:tc>
          <w:tcPr>
            <w:tcW w:w="2340" w:type="dxa"/>
            <w:vAlign w:val="center"/>
          </w:tcPr>
          <w:p w14:paraId="70524FAE">
            <w:pPr>
              <w:adjustRightInd w:val="0"/>
              <w:snapToGrid w:val="0"/>
              <w:spacing w:line="360" w:lineRule="exact"/>
              <w:jc w:val="center"/>
              <w:rPr>
                <w:rFonts w:hAnsi="宋体"/>
                <w:color w:val="auto"/>
                <w:szCs w:val="21"/>
              </w:rPr>
            </w:pPr>
            <w:r>
              <w:rPr>
                <w:rFonts w:hint="eastAsia" w:hAnsi="宋体"/>
                <w:color w:val="auto"/>
                <w:szCs w:val="21"/>
              </w:rPr>
              <w:t xml:space="preserve">采购人名称、地址、 </w:t>
            </w:r>
          </w:p>
          <w:p w14:paraId="0A49A980">
            <w:pPr>
              <w:adjustRightInd w:val="0"/>
              <w:snapToGrid w:val="0"/>
              <w:spacing w:line="360" w:lineRule="exact"/>
              <w:jc w:val="center"/>
              <w:rPr>
                <w:rFonts w:hAnsi="宋体"/>
                <w:color w:val="auto"/>
                <w:szCs w:val="21"/>
              </w:rPr>
            </w:pPr>
            <w:r>
              <w:rPr>
                <w:rFonts w:hint="eastAsia" w:hAnsi="宋体"/>
                <w:color w:val="auto"/>
                <w:szCs w:val="21"/>
              </w:rPr>
              <w:t>电话、联系人</w:t>
            </w:r>
          </w:p>
        </w:tc>
        <w:tc>
          <w:tcPr>
            <w:tcW w:w="5303" w:type="dxa"/>
            <w:vAlign w:val="center"/>
          </w:tcPr>
          <w:p w14:paraId="660040EB">
            <w:pPr>
              <w:numPr>
                <w:ilvl w:val="0"/>
                <w:numId w:val="3"/>
              </w:numPr>
              <w:adjustRightInd w:val="0"/>
              <w:snapToGrid w:val="0"/>
              <w:spacing w:line="360" w:lineRule="auto"/>
              <w:rPr>
                <w:rFonts w:hint="eastAsia" w:ascii="宋体" w:hAnsi="宋体"/>
                <w:color w:val="auto"/>
                <w:szCs w:val="21"/>
                <w:lang w:eastAsia="zh-CN"/>
              </w:rPr>
            </w:pPr>
            <w:r>
              <w:rPr>
                <w:rFonts w:hint="eastAsia" w:ascii="宋体" w:hAnsi="宋体"/>
                <w:color w:val="auto"/>
                <w:szCs w:val="21"/>
              </w:rPr>
              <w:t>名 称：</w:t>
            </w:r>
            <w:r>
              <w:rPr>
                <w:rFonts w:hint="eastAsia" w:ascii="宋体" w:hAnsi="宋体"/>
                <w:color w:val="auto"/>
                <w:szCs w:val="21"/>
                <w:lang w:eastAsia="zh-CN"/>
              </w:rPr>
              <w:t>新化县田坪镇中心学校</w:t>
            </w:r>
          </w:p>
          <w:p w14:paraId="42836EDA">
            <w:pPr>
              <w:numPr>
                <w:ilvl w:val="0"/>
                <w:numId w:val="0"/>
              </w:numPr>
              <w:adjustRightInd w:val="0"/>
              <w:snapToGrid w:val="0"/>
              <w:spacing w:line="360" w:lineRule="auto"/>
              <w:ind w:leftChars="0"/>
              <w:rPr>
                <w:rFonts w:hint="default" w:ascii="宋体" w:hAnsi="宋体"/>
                <w:color w:val="auto"/>
                <w:szCs w:val="21"/>
                <w:lang w:val="en-US" w:eastAsia="zh-CN"/>
              </w:rPr>
            </w:pPr>
            <w:r>
              <w:rPr>
                <w:rFonts w:hint="eastAsia" w:ascii="宋体" w:hAnsi="宋体"/>
                <w:color w:val="auto"/>
                <w:szCs w:val="21"/>
                <w:lang w:eastAsia="zh-CN"/>
              </w:rPr>
              <w:t>（</w:t>
            </w:r>
            <w:r>
              <w:rPr>
                <w:rFonts w:hint="eastAsia" w:ascii="宋体" w:hAnsi="宋体"/>
                <w:color w:val="auto"/>
                <w:szCs w:val="21"/>
                <w:lang w:val="en-US" w:eastAsia="zh-CN"/>
              </w:rPr>
              <w:t>2）</w:t>
            </w:r>
            <w:r>
              <w:rPr>
                <w:rFonts w:hint="eastAsia" w:ascii="宋体" w:hAnsi="宋体"/>
                <w:color w:val="auto"/>
                <w:szCs w:val="21"/>
              </w:rPr>
              <w:t>地  址：</w:t>
            </w:r>
            <w:r>
              <w:rPr>
                <w:rFonts w:hint="eastAsia" w:ascii="宋体" w:hAnsi="宋体"/>
                <w:color w:val="auto"/>
                <w:szCs w:val="21"/>
                <w:lang w:val="en-US" w:eastAsia="zh-CN"/>
              </w:rPr>
              <w:t xml:space="preserve"> 新化县田坪镇田坪村</w:t>
            </w:r>
          </w:p>
          <w:p w14:paraId="7C260787">
            <w:pPr>
              <w:numPr>
                <w:ilvl w:val="0"/>
                <w:numId w:val="0"/>
              </w:numPr>
              <w:adjustRightInd w:val="0"/>
              <w:snapToGrid w:val="0"/>
              <w:spacing w:line="360" w:lineRule="auto"/>
              <w:ind w:leftChars="0"/>
              <w:rPr>
                <w:rFonts w:hint="eastAsia" w:ascii="宋体" w:hAnsi="宋体" w:eastAsia="宋体"/>
                <w:color w:val="auto"/>
                <w:szCs w:val="21"/>
                <w:lang w:eastAsia="zh-CN"/>
              </w:rPr>
            </w:pPr>
            <w:r>
              <w:rPr>
                <w:rFonts w:hint="eastAsia" w:ascii="宋体" w:hAnsi="宋体"/>
                <w:color w:val="auto"/>
                <w:szCs w:val="21"/>
              </w:rPr>
              <w:t>（3）联系人：</w:t>
            </w:r>
            <w:r>
              <w:rPr>
                <w:rFonts w:hint="eastAsia" w:ascii="宋体" w:hAnsi="宋体"/>
                <w:color w:val="auto"/>
                <w:szCs w:val="21"/>
                <w:lang w:val="en-US" w:eastAsia="zh-CN"/>
              </w:rPr>
              <w:t xml:space="preserve"> 康明光</w:t>
            </w:r>
          </w:p>
          <w:p w14:paraId="458490DA">
            <w:pPr>
              <w:adjustRightInd w:val="0"/>
              <w:snapToGrid w:val="0"/>
              <w:spacing w:line="360" w:lineRule="auto"/>
              <w:rPr>
                <w:rFonts w:hint="eastAsia" w:ascii="宋体" w:hAnsi="宋体" w:eastAsia="宋体"/>
                <w:color w:val="auto"/>
                <w:szCs w:val="21"/>
                <w:lang w:eastAsia="zh-CN"/>
              </w:rPr>
            </w:pPr>
            <w:r>
              <w:rPr>
                <w:rFonts w:hint="eastAsia" w:ascii="宋体" w:hAnsi="宋体"/>
                <w:color w:val="auto"/>
                <w:szCs w:val="21"/>
              </w:rPr>
              <w:t>（4）电  话：</w:t>
            </w:r>
            <w:r>
              <w:rPr>
                <w:rFonts w:hint="eastAsia" w:ascii="宋体" w:hAnsi="宋体"/>
                <w:color w:val="auto"/>
                <w:szCs w:val="21"/>
                <w:lang w:val="en-US" w:eastAsia="zh-CN"/>
              </w:rPr>
              <w:t xml:space="preserve"> 13786812186 </w:t>
            </w:r>
          </w:p>
        </w:tc>
      </w:tr>
      <w:tr w14:paraId="344E1D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679" w:hRule="atLeast"/>
          <w:jc w:val="center"/>
        </w:trPr>
        <w:tc>
          <w:tcPr>
            <w:tcW w:w="1242" w:type="dxa"/>
            <w:vAlign w:val="center"/>
          </w:tcPr>
          <w:p w14:paraId="3A344FE2">
            <w:pPr>
              <w:adjustRightInd w:val="0"/>
              <w:snapToGrid w:val="0"/>
              <w:spacing w:line="360" w:lineRule="exact"/>
              <w:jc w:val="center"/>
              <w:rPr>
                <w:rFonts w:ascii="宋体" w:hAnsi="宋体"/>
                <w:color w:val="auto"/>
                <w:szCs w:val="21"/>
              </w:rPr>
            </w:pPr>
            <w:r>
              <w:rPr>
                <w:rFonts w:hint="eastAsia" w:ascii="宋体" w:hAnsi="宋体"/>
                <w:color w:val="auto"/>
                <w:szCs w:val="21"/>
              </w:rPr>
              <w:t>第2.3款</w:t>
            </w:r>
          </w:p>
        </w:tc>
        <w:tc>
          <w:tcPr>
            <w:tcW w:w="2340" w:type="dxa"/>
            <w:vAlign w:val="center"/>
          </w:tcPr>
          <w:p w14:paraId="5A7022AA">
            <w:pPr>
              <w:adjustRightInd w:val="0"/>
              <w:snapToGrid w:val="0"/>
              <w:spacing w:line="360" w:lineRule="exact"/>
              <w:jc w:val="center"/>
              <w:rPr>
                <w:rFonts w:hAnsi="宋体"/>
                <w:color w:val="auto"/>
                <w:szCs w:val="21"/>
              </w:rPr>
            </w:pPr>
            <w:r>
              <w:rPr>
                <w:rFonts w:hint="eastAsia" w:hAnsi="宋体"/>
                <w:color w:val="auto"/>
                <w:szCs w:val="21"/>
              </w:rPr>
              <w:t xml:space="preserve">采购代理机构名 </w:t>
            </w:r>
          </w:p>
          <w:p w14:paraId="448B42BF">
            <w:pPr>
              <w:adjustRightInd w:val="0"/>
              <w:snapToGrid w:val="0"/>
              <w:spacing w:line="360" w:lineRule="exact"/>
              <w:jc w:val="center"/>
              <w:rPr>
                <w:rFonts w:hAnsi="宋体"/>
                <w:color w:val="auto"/>
                <w:szCs w:val="21"/>
              </w:rPr>
            </w:pPr>
            <w:r>
              <w:rPr>
                <w:rFonts w:hint="eastAsia" w:hAnsi="宋体"/>
                <w:color w:val="auto"/>
                <w:szCs w:val="21"/>
              </w:rPr>
              <w:t xml:space="preserve">称、地址、电话、 </w:t>
            </w:r>
          </w:p>
          <w:p w14:paraId="6E03D9EE">
            <w:pPr>
              <w:adjustRightInd w:val="0"/>
              <w:snapToGrid w:val="0"/>
              <w:spacing w:line="360" w:lineRule="exact"/>
              <w:jc w:val="center"/>
              <w:rPr>
                <w:rFonts w:hAnsi="宋体"/>
                <w:color w:val="auto"/>
                <w:szCs w:val="21"/>
              </w:rPr>
            </w:pPr>
            <w:r>
              <w:rPr>
                <w:rFonts w:hint="eastAsia" w:hAnsi="宋体"/>
                <w:color w:val="auto"/>
                <w:szCs w:val="21"/>
              </w:rPr>
              <w:t>联系人</w:t>
            </w:r>
          </w:p>
          <w:p w14:paraId="452F18DC">
            <w:pPr>
              <w:adjustRightInd w:val="0"/>
              <w:snapToGrid w:val="0"/>
              <w:spacing w:line="360" w:lineRule="exact"/>
              <w:jc w:val="center"/>
              <w:rPr>
                <w:rFonts w:hAnsi="宋体"/>
                <w:color w:val="auto"/>
                <w:szCs w:val="21"/>
              </w:rPr>
            </w:pPr>
          </w:p>
        </w:tc>
        <w:tc>
          <w:tcPr>
            <w:tcW w:w="5303" w:type="dxa"/>
            <w:vAlign w:val="center"/>
          </w:tcPr>
          <w:p w14:paraId="71CF6790">
            <w:pPr>
              <w:adjustRightInd w:val="0"/>
              <w:snapToGrid w:val="0"/>
              <w:spacing w:line="360" w:lineRule="auto"/>
              <w:rPr>
                <w:rFonts w:ascii="宋体" w:hAnsi="宋体"/>
                <w:color w:val="auto"/>
                <w:szCs w:val="21"/>
              </w:rPr>
            </w:pPr>
            <w:r>
              <w:rPr>
                <w:rFonts w:hint="eastAsia" w:ascii="宋体" w:hAnsi="宋体"/>
                <w:color w:val="auto"/>
                <w:szCs w:val="21"/>
              </w:rPr>
              <w:t>（1）名称：娄底市政府采购中心</w:t>
            </w:r>
          </w:p>
          <w:p w14:paraId="453A5480">
            <w:pPr>
              <w:adjustRightInd w:val="0"/>
              <w:snapToGrid w:val="0"/>
              <w:spacing w:line="360" w:lineRule="auto"/>
              <w:rPr>
                <w:rFonts w:ascii="宋体" w:hAnsi="宋体" w:cs="宋体"/>
                <w:color w:val="auto"/>
                <w:szCs w:val="21"/>
              </w:rPr>
            </w:pPr>
            <w:r>
              <w:rPr>
                <w:rFonts w:hint="eastAsia" w:ascii="宋体" w:hAnsi="宋体"/>
                <w:color w:val="auto"/>
                <w:szCs w:val="21"/>
              </w:rPr>
              <w:t>（</w:t>
            </w:r>
            <w:r>
              <w:rPr>
                <w:rFonts w:hint="eastAsia" w:ascii="宋体" w:hAnsi="宋体" w:cs="宋体"/>
                <w:color w:val="auto"/>
                <w:szCs w:val="21"/>
              </w:rPr>
              <w:t>2）地址：娄底市娄星区勤政街36号</w:t>
            </w:r>
          </w:p>
          <w:p w14:paraId="0954FE3A">
            <w:pPr>
              <w:adjustRightInd w:val="0"/>
              <w:snapToGrid w:val="0"/>
              <w:spacing w:line="360" w:lineRule="auto"/>
              <w:rPr>
                <w:rFonts w:hint="eastAsia" w:ascii="宋体" w:hAnsi="宋体" w:eastAsia="宋体" w:cs="宋体"/>
                <w:color w:val="auto"/>
                <w:szCs w:val="21"/>
                <w:lang w:eastAsia="zh-CN"/>
              </w:rPr>
            </w:pPr>
            <w:r>
              <w:rPr>
                <w:rFonts w:hint="eastAsia" w:ascii="宋体" w:hAnsi="宋体" w:cs="宋体"/>
                <w:color w:val="auto"/>
                <w:szCs w:val="21"/>
              </w:rPr>
              <w:t>（3）联系人：罗</w:t>
            </w:r>
            <w:r>
              <w:rPr>
                <w:rFonts w:hint="eastAsia" w:ascii="宋体" w:hAnsi="宋体" w:cs="宋体"/>
                <w:color w:val="auto"/>
                <w:szCs w:val="21"/>
                <w:lang w:val="en-US" w:eastAsia="zh-CN"/>
              </w:rPr>
              <w:t>女士</w:t>
            </w:r>
          </w:p>
          <w:p w14:paraId="75DBE5B0">
            <w:pPr>
              <w:adjustRightInd w:val="0"/>
              <w:snapToGrid w:val="0"/>
              <w:spacing w:line="360" w:lineRule="auto"/>
              <w:rPr>
                <w:rFonts w:ascii="宋体" w:hAnsi="宋体"/>
                <w:color w:val="auto"/>
                <w:szCs w:val="21"/>
              </w:rPr>
            </w:pPr>
            <w:r>
              <w:rPr>
                <w:rFonts w:hint="eastAsia" w:ascii="宋体" w:hAnsi="宋体" w:cs="宋体"/>
                <w:color w:val="auto"/>
                <w:szCs w:val="21"/>
              </w:rPr>
              <w:t>（4）电话：0738-6371181</w:t>
            </w:r>
          </w:p>
        </w:tc>
      </w:tr>
      <w:tr w14:paraId="2260BA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78A0332D">
            <w:pPr>
              <w:adjustRightInd w:val="0"/>
              <w:snapToGrid w:val="0"/>
              <w:spacing w:line="360" w:lineRule="exact"/>
              <w:jc w:val="center"/>
              <w:rPr>
                <w:rFonts w:ascii="宋体" w:hAnsi="宋体"/>
                <w:color w:val="auto"/>
                <w:szCs w:val="21"/>
              </w:rPr>
            </w:pPr>
            <w:r>
              <w:rPr>
                <w:rFonts w:hint="eastAsia" w:ascii="宋体" w:hAnsi="宋体"/>
                <w:color w:val="auto"/>
                <w:szCs w:val="21"/>
              </w:rPr>
              <w:t>第3.1款</w:t>
            </w:r>
          </w:p>
        </w:tc>
        <w:tc>
          <w:tcPr>
            <w:tcW w:w="2340" w:type="dxa"/>
            <w:vAlign w:val="center"/>
          </w:tcPr>
          <w:p w14:paraId="60540169">
            <w:pPr>
              <w:adjustRightInd w:val="0"/>
              <w:snapToGrid w:val="0"/>
              <w:spacing w:line="360" w:lineRule="exact"/>
              <w:jc w:val="center"/>
              <w:rPr>
                <w:rFonts w:ascii="宋体" w:hAnsi="宋体"/>
                <w:color w:val="auto"/>
                <w:szCs w:val="21"/>
              </w:rPr>
            </w:pPr>
            <w:r>
              <w:rPr>
                <w:rFonts w:hint="eastAsia" w:ascii="宋体" w:hAnsi="宋体"/>
                <w:color w:val="auto"/>
                <w:szCs w:val="21"/>
              </w:rPr>
              <w:t>投标人资格条件</w:t>
            </w:r>
          </w:p>
        </w:tc>
        <w:tc>
          <w:tcPr>
            <w:tcW w:w="5303" w:type="dxa"/>
            <w:vAlign w:val="center"/>
          </w:tcPr>
          <w:p w14:paraId="6E4BE894">
            <w:pPr>
              <w:numPr>
                <w:ilvl w:val="0"/>
                <w:numId w:val="4"/>
              </w:numPr>
              <w:adjustRightInd w:val="0"/>
              <w:snapToGrid w:val="0"/>
              <w:spacing w:line="360" w:lineRule="exact"/>
              <w:jc w:val="left"/>
              <w:rPr>
                <w:rFonts w:ascii="宋体" w:hAnsi="宋体"/>
                <w:color w:val="auto"/>
                <w:szCs w:val="21"/>
              </w:rPr>
            </w:pPr>
            <w:r>
              <w:rPr>
                <w:rFonts w:hint="eastAsia" w:ascii="宋体" w:hAnsi="宋体"/>
                <w:color w:val="auto"/>
                <w:szCs w:val="21"/>
              </w:rPr>
              <w:t>投标人基本资格条件：投标人必须是在中华人民共和国境内注册登记的法人、其他组织或者自然人，且应当符合《政府采购法》第二十二条第一款的规定：</w:t>
            </w:r>
          </w:p>
          <w:p w14:paraId="323C52F7">
            <w:pPr>
              <w:adjustRightInd w:val="0"/>
              <w:snapToGrid w:val="0"/>
              <w:spacing w:line="360" w:lineRule="exact"/>
              <w:jc w:val="left"/>
              <w:rPr>
                <w:rFonts w:ascii="宋体" w:hAnsi="宋体"/>
                <w:color w:val="auto"/>
                <w:szCs w:val="21"/>
              </w:rPr>
            </w:pPr>
            <w:r>
              <w:rPr>
                <w:rFonts w:hint="eastAsia" w:ascii="宋体" w:hAnsi="宋体"/>
                <w:color w:val="auto"/>
                <w:szCs w:val="21"/>
              </w:rPr>
              <w:t xml:space="preserve">（1）具有独立承担民事责任的能力； </w:t>
            </w:r>
          </w:p>
          <w:p w14:paraId="7E53FBD6">
            <w:pPr>
              <w:adjustRightInd w:val="0"/>
              <w:snapToGrid w:val="0"/>
              <w:spacing w:line="360" w:lineRule="exact"/>
              <w:jc w:val="left"/>
              <w:rPr>
                <w:rFonts w:ascii="宋体" w:hAnsi="宋体"/>
                <w:color w:val="auto"/>
                <w:szCs w:val="21"/>
              </w:rPr>
            </w:pPr>
            <w:r>
              <w:rPr>
                <w:rFonts w:hint="eastAsia" w:ascii="宋体" w:hAnsi="宋体"/>
                <w:color w:val="auto"/>
                <w:szCs w:val="21"/>
              </w:rPr>
              <w:t xml:space="preserve">（2）具有良好的商业信誉和健全的财务会计制度； </w:t>
            </w:r>
          </w:p>
          <w:p w14:paraId="14739EE2">
            <w:pPr>
              <w:adjustRightInd w:val="0"/>
              <w:snapToGrid w:val="0"/>
              <w:spacing w:line="360" w:lineRule="exact"/>
              <w:jc w:val="left"/>
              <w:rPr>
                <w:rFonts w:ascii="宋体" w:hAnsi="宋体"/>
                <w:color w:val="auto"/>
                <w:szCs w:val="21"/>
              </w:rPr>
            </w:pPr>
            <w:r>
              <w:rPr>
                <w:rFonts w:hint="eastAsia" w:ascii="宋体" w:hAnsi="宋体"/>
                <w:color w:val="auto"/>
                <w:szCs w:val="21"/>
              </w:rPr>
              <w:t xml:space="preserve">（3）具有履行合同所必需的设备和专业技术能力； </w:t>
            </w:r>
          </w:p>
          <w:p w14:paraId="6121B154">
            <w:pPr>
              <w:adjustRightInd w:val="0"/>
              <w:snapToGrid w:val="0"/>
              <w:spacing w:line="360" w:lineRule="exact"/>
              <w:jc w:val="left"/>
              <w:rPr>
                <w:rFonts w:ascii="宋体" w:hAnsi="宋体"/>
                <w:color w:val="auto"/>
                <w:szCs w:val="21"/>
              </w:rPr>
            </w:pPr>
            <w:r>
              <w:rPr>
                <w:rFonts w:hint="eastAsia" w:ascii="宋体" w:hAnsi="宋体"/>
                <w:color w:val="auto"/>
                <w:szCs w:val="21"/>
              </w:rPr>
              <w:t xml:space="preserve">（4）有依法缴纳税收和社会保障资金的良好记录； </w:t>
            </w:r>
          </w:p>
          <w:p w14:paraId="02E0766B">
            <w:pPr>
              <w:adjustRightInd w:val="0"/>
              <w:snapToGrid w:val="0"/>
              <w:spacing w:line="360" w:lineRule="exact"/>
              <w:jc w:val="left"/>
              <w:rPr>
                <w:rFonts w:ascii="宋体" w:hAnsi="宋体"/>
                <w:color w:val="auto"/>
                <w:szCs w:val="21"/>
              </w:rPr>
            </w:pPr>
            <w:r>
              <w:rPr>
                <w:rFonts w:hint="eastAsia" w:ascii="宋体" w:hAnsi="宋体"/>
                <w:color w:val="auto"/>
                <w:szCs w:val="21"/>
              </w:rPr>
              <w:t xml:space="preserve">（5）参加政府采购活动前三年内，在经营活动中没有重大违法记录； </w:t>
            </w:r>
          </w:p>
          <w:p w14:paraId="676DBE35">
            <w:pPr>
              <w:adjustRightInd w:val="0"/>
              <w:snapToGrid w:val="0"/>
              <w:spacing w:line="360" w:lineRule="exact"/>
              <w:jc w:val="left"/>
              <w:rPr>
                <w:rFonts w:ascii="宋体" w:hAnsi="宋体"/>
                <w:color w:val="auto"/>
                <w:szCs w:val="21"/>
              </w:rPr>
            </w:pPr>
            <w:r>
              <w:rPr>
                <w:rFonts w:hint="eastAsia" w:ascii="宋体" w:hAnsi="宋体"/>
                <w:color w:val="auto"/>
                <w:szCs w:val="21"/>
              </w:rPr>
              <w:t>（6）法律、行政法规规定的其他条件。</w:t>
            </w:r>
          </w:p>
          <w:p w14:paraId="0B6C0554">
            <w:pPr>
              <w:adjustRightInd w:val="0"/>
              <w:snapToGrid w:val="0"/>
              <w:spacing w:line="360" w:lineRule="exact"/>
              <w:jc w:val="left"/>
              <w:rPr>
                <w:rFonts w:ascii="宋体" w:hAnsi="宋体"/>
                <w:color w:val="auto"/>
                <w:szCs w:val="21"/>
              </w:rPr>
            </w:pPr>
            <w:r>
              <w:rPr>
                <w:rFonts w:hint="eastAsia" w:ascii="宋体" w:hAnsi="宋体"/>
                <w:color w:val="auto"/>
                <w:szCs w:val="21"/>
              </w:rPr>
              <w:t>2、落实政府采购政策需满足的资格要求：</w:t>
            </w:r>
          </w:p>
          <w:p w14:paraId="1F1CD568">
            <w:pPr>
              <w:adjustRightInd w:val="0"/>
              <w:snapToGrid w:val="0"/>
              <w:spacing w:line="360" w:lineRule="exact"/>
              <w:jc w:val="left"/>
              <w:rPr>
                <w:rFonts w:ascii="宋体" w:hAnsi="宋体"/>
                <w:color w:val="auto"/>
                <w:szCs w:val="21"/>
              </w:rPr>
            </w:pPr>
            <w:r>
              <w:rPr>
                <w:rFonts w:hint="eastAsia" w:ascii="宋体" w:hAnsi="宋体"/>
                <w:color w:val="auto"/>
                <w:szCs w:val="21"/>
              </w:rPr>
              <w:sym w:font="Wingdings" w:char="00A8"/>
            </w:r>
            <w:r>
              <w:rPr>
                <w:rFonts w:hint="eastAsia" w:ascii="宋体" w:hAnsi="宋体"/>
                <w:iCs/>
                <w:color w:val="auto"/>
                <w:szCs w:val="21"/>
              </w:rPr>
              <w:t>专门面向</w:t>
            </w:r>
            <w:r>
              <w:rPr>
                <w:rFonts w:hint="eastAsia" w:ascii="宋体" w:hAnsi="宋体"/>
                <w:bCs/>
                <w:color w:val="auto"/>
                <w:szCs w:val="21"/>
              </w:rPr>
              <w:t>：</w:t>
            </w:r>
            <w:r>
              <w:rPr>
                <w:rFonts w:hint="eastAsia" w:ascii="宋体" w:hAnsi="宋体"/>
                <w:color w:val="auto"/>
                <w:szCs w:val="21"/>
              </w:rPr>
              <w:sym w:font="Wingdings" w:char="00A8"/>
            </w:r>
            <w:r>
              <w:rPr>
                <w:rFonts w:hint="eastAsia" w:ascii="宋体" w:hAnsi="宋体"/>
                <w:iCs/>
                <w:color w:val="auto"/>
                <w:szCs w:val="21"/>
              </w:rPr>
              <w:t xml:space="preserve">中小企业  </w:t>
            </w:r>
            <w:r>
              <w:rPr>
                <w:rFonts w:hint="eastAsia" w:ascii="宋体" w:hAnsi="宋体"/>
                <w:color w:val="auto"/>
                <w:szCs w:val="21"/>
              </w:rPr>
              <w:sym w:font="Wingdings" w:char="00A8"/>
            </w:r>
            <w:r>
              <w:rPr>
                <w:rFonts w:hint="eastAsia" w:ascii="宋体" w:hAnsi="宋体"/>
                <w:iCs/>
                <w:color w:val="auto"/>
                <w:szCs w:val="21"/>
              </w:rPr>
              <w:t xml:space="preserve">小微企业  </w:t>
            </w:r>
            <w:r>
              <w:rPr>
                <w:rFonts w:hint="eastAsia" w:ascii="宋体" w:hAnsi="宋体"/>
                <w:color w:val="auto"/>
                <w:szCs w:val="21"/>
              </w:rPr>
              <w:sym w:font="Wingdings" w:char="00A8"/>
            </w:r>
            <w:r>
              <w:rPr>
                <w:rFonts w:hint="eastAsia" w:ascii="宋体" w:hAnsi="宋体"/>
                <w:iCs/>
                <w:color w:val="auto"/>
                <w:szCs w:val="21"/>
              </w:rPr>
              <w:t xml:space="preserve">监狱企业  </w:t>
            </w:r>
            <w:r>
              <w:rPr>
                <w:rFonts w:hint="eastAsia" w:ascii="宋体" w:hAnsi="宋体"/>
                <w:color w:val="auto"/>
                <w:szCs w:val="21"/>
              </w:rPr>
              <w:sym w:font="Wingdings" w:char="00A8"/>
            </w:r>
            <w:r>
              <w:rPr>
                <w:rFonts w:hint="eastAsia" w:ascii="宋体" w:hAnsi="宋体"/>
                <w:iCs/>
                <w:color w:val="auto"/>
                <w:szCs w:val="21"/>
              </w:rPr>
              <w:t>福利性单位。</w:t>
            </w:r>
          </w:p>
          <w:p w14:paraId="35074213">
            <w:pPr>
              <w:adjustRightInd w:val="0"/>
              <w:snapToGrid w:val="0"/>
              <w:spacing w:line="360" w:lineRule="exact"/>
              <w:jc w:val="left"/>
              <w:rPr>
                <w:rFonts w:ascii="宋体" w:hAnsi="宋体"/>
                <w:color w:val="auto"/>
                <w:szCs w:val="21"/>
              </w:rPr>
            </w:pPr>
            <w:r>
              <w:rPr>
                <w:rFonts w:hint="eastAsia" w:ascii="宋体" w:hAnsi="宋体"/>
                <w:iCs/>
                <w:color w:val="auto"/>
                <w:szCs w:val="21"/>
              </w:rPr>
              <w:sym w:font="Wingdings" w:char="00A8"/>
            </w:r>
            <w:r>
              <w:rPr>
                <w:rFonts w:hint="eastAsia" w:ascii="宋体" w:hAnsi="宋体"/>
                <w:iCs/>
                <w:color w:val="auto"/>
                <w:szCs w:val="21"/>
              </w:rPr>
              <w:t>强制</w:t>
            </w:r>
            <w:r>
              <w:rPr>
                <w:rFonts w:hint="eastAsia" w:ascii="宋体" w:hAnsi="宋体"/>
                <w:bCs/>
                <w:color w:val="auto"/>
                <w:szCs w:val="21"/>
              </w:rPr>
              <w:t>分包：大型企业应将采购份额的</w:t>
            </w:r>
            <w:r>
              <w:rPr>
                <w:rFonts w:hint="eastAsia" w:ascii="宋体" w:hAnsi="宋体"/>
                <w:bCs/>
                <w:color w:val="auto"/>
                <w:szCs w:val="21"/>
                <w:u w:val="single"/>
              </w:rPr>
              <w:t xml:space="preserve">   /   </w:t>
            </w:r>
            <w:r>
              <w:rPr>
                <w:rFonts w:hint="eastAsia" w:ascii="宋体" w:hAnsi="宋体"/>
                <w:bCs/>
                <w:color w:val="auto"/>
                <w:szCs w:val="21"/>
              </w:rPr>
              <w:t>%分包给中小企业。</w:t>
            </w:r>
          </w:p>
          <w:p w14:paraId="2355E3F6">
            <w:pPr>
              <w:spacing w:line="420" w:lineRule="atLeast"/>
              <w:jc w:val="left"/>
              <w:rPr>
                <w:rFonts w:hint="eastAsia" w:ascii="宋体" w:hAnsi="宋体" w:eastAsia="宋体" w:cs="Times New Roman"/>
                <w:bCs/>
                <w:color w:val="auto"/>
                <w:szCs w:val="21"/>
              </w:rPr>
            </w:pPr>
            <w:r>
              <w:rPr>
                <w:rFonts w:hint="eastAsia" w:ascii="宋体" w:hAnsi="宋体" w:eastAsia="宋体"/>
                <w:color w:val="auto"/>
                <w:szCs w:val="21"/>
                <w:lang w:val="en-US" w:eastAsia="zh-CN"/>
              </w:rPr>
              <w:t>3、</w:t>
            </w:r>
            <w:r>
              <w:rPr>
                <w:rFonts w:hint="eastAsia" w:ascii="宋体" w:hAnsi="宋体" w:eastAsia="宋体"/>
                <w:color w:val="auto"/>
                <w:szCs w:val="21"/>
              </w:rPr>
              <w:t>采购</w:t>
            </w:r>
            <w:r>
              <w:rPr>
                <w:rFonts w:hint="eastAsia" w:ascii="宋体" w:hAnsi="宋体" w:eastAsia="宋体"/>
                <w:bCs/>
                <w:color w:val="auto"/>
                <w:szCs w:val="21"/>
              </w:rPr>
              <w:t>项目的特定资格条件：</w:t>
            </w:r>
            <w:r>
              <w:rPr>
                <w:rFonts w:hint="eastAsia" w:ascii="宋体" w:hAnsi="宋体"/>
                <w:bCs/>
                <w:color w:val="auto"/>
                <w:szCs w:val="21"/>
                <w:u w:val="single"/>
              </w:rPr>
              <w:t xml:space="preserve">  /  </w:t>
            </w:r>
          </w:p>
          <w:p w14:paraId="23FDD0F0">
            <w:pPr>
              <w:numPr>
                <w:ilvl w:val="0"/>
                <w:numId w:val="0"/>
              </w:numPr>
              <w:adjustRightInd w:val="0"/>
              <w:snapToGrid w:val="0"/>
              <w:spacing w:line="360" w:lineRule="exact"/>
              <w:ind w:leftChars="0"/>
              <w:jc w:val="left"/>
              <w:rPr>
                <w:rFonts w:ascii="宋体" w:hAnsi="宋体"/>
                <w:color w:val="auto"/>
                <w:szCs w:val="21"/>
              </w:rPr>
            </w:pPr>
            <w:r>
              <w:rPr>
                <w:rFonts w:hint="eastAsia" w:ascii="宋体" w:hAnsi="宋体"/>
                <w:color w:val="auto"/>
                <w:szCs w:val="21"/>
              </w:rPr>
              <w:t>4、单位负责人为同一人或者存在直接控股、管理关系的不同投标人，不得参加同一合同项下的政府采购活动。</w:t>
            </w:r>
          </w:p>
          <w:p w14:paraId="5DE0C2CF">
            <w:pPr>
              <w:adjustRightInd w:val="0"/>
              <w:snapToGrid w:val="0"/>
              <w:spacing w:line="360" w:lineRule="exact"/>
              <w:jc w:val="left"/>
              <w:rPr>
                <w:rFonts w:ascii="宋体" w:hAnsi="宋体"/>
                <w:color w:val="auto"/>
                <w:szCs w:val="21"/>
              </w:rPr>
            </w:pPr>
            <w:r>
              <w:rPr>
                <w:rFonts w:hint="eastAsia" w:ascii="宋体" w:hAnsi="宋体"/>
                <w:color w:val="auto"/>
                <w:szCs w:val="21"/>
              </w:rPr>
              <w:t>5、为本采购项目提供整体设计、规范编制或者项目管理、监理、检测等服务的，不得再参加此项目的其他采购活动。</w:t>
            </w:r>
          </w:p>
          <w:p w14:paraId="6F563C7D">
            <w:pPr>
              <w:adjustRightInd w:val="0"/>
              <w:snapToGrid w:val="0"/>
              <w:spacing w:line="360" w:lineRule="exact"/>
              <w:jc w:val="left"/>
              <w:rPr>
                <w:rFonts w:ascii="宋体" w:hAnsi="宋体" w:cs="宋体"/>
                <w:color w:val="auto"/>
                <w:szCs w:val="21"/>
              </w:rPr>
            </w:pPr>
            <w:r>
              <w:rPr>
                <w:rFonts w:hint="eastAsia" w:ascii="宋体" w:hAnsi="宋体"/>
                <w:color w:val="auto"/>
                <w:szCs w:val="21"/>
              </w:rPr>
              <w:t>6、列入失信被执行人、重大税收违法失信主体名单，列入政府采购严重违法失信行为记录名单的，拒绝其参与政府采购活动。</w:t>
            </w:r>
          </w:p>
        </w:tc>
      </w:tr>
      <w:tr w14:paraId="748275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7" w:hRule="atLeast"/>
          <w:jc w:val="center"/>
        </w:trPr>
        <w:tc>
          <w:tcPr>
            <w:tcW w:w="1242" w:type="dxa"/>
            <w:vAlign w:val="center"/>
          </w:tcPr>
          <w:p w14:paraId="7E36AD0A">
            <w:pPr>
              <w:adjustRightInd w:val="0"/>
              <w:snapToGrid w:val="0"/>
              <w:spacing w:line="360" w:lineRule="exact"/>
              <w:jc w:val="center"/>
              <w:rPr>
                <w:rFonts w:ascii="宋体" w:hAnsi="宋体"/>
                <w:color w:val="auto"/>
                <w:szCs w:val="21"/>
              </w:rPr>
            </w:pPr>
            <w:r>
              <w:rPr>
                <w:rFonts w:hint="eastAsia" w:ascii="宋体" w:hAnsi="宋体"/>
                <w:color w:val="auto"/>
                <w:szCs w:val="21"/>
              </w:rPr>
              <w:t>第3.2款</w:t>
            </w:r>
          </w:p>
        </w:tc>
        <w:tc>
          <w:tcPr>
            <w:tcW w:w="2340" w:type="dxa"/>
            <w:vAlign w:val="center"/>
          </w:tcPr>
          <w:p w14:paraId="3E33DE8D">
            <w:pPr>
              <w:adjustRightInd w:val="0"/>
              <w:snapToGrid w:val="0"/>
              <w:spacing w:line="360" w:lineRule="exact"/>
              <w:jc w:val="center"/>
              <w:rPr>
                <w:rFonts w:ascii="宋体" w:hAnsi="宋体"/>
                <w:color w:val="auto"/>
                <w:szCs w:val="21"/>
              </w:rPr>
            </w:pPr>
            <w:r>
              <w:rPr>
                <w:rFonts w:hint="eastAsia" w:ascii="宋体" w:hAnsi="宋体"/>
                <w:color w:val="auto"/>
                <w:szCs w:val="21"/>
              </w:rPr>
              <w:t>接受联合体形式投标</w:t>
            </w:r>
          </w:p>
        </w:tc>
        <w:tc>
          <w:tcPr>
            <w:tcW w:w="5303" w:type="dxa"/>
            <w:vAlign w:val="center"/>
          </w:tcPr>
          <w:p w14:paraId="79217B92">
            <w:pPr>
              <w:adjustRightInd w:val="0"/>
              <w:snapToGrid w:val="0"/>
              <w:spacing w:line="360" w:lineRule="exact"/>
              <w:rPr>
                <w:rFonts w:ascii="宋体" w:hAnsi="宋体" w:cs="宋体"/>
                <w:color w:val="auto"/>
                <w:szCs w:val="21"/>
              </w:rPr>
            </w:pPr>
            <w:r>
              <w:rPr>
                <w:rFonts w:hint="eastAsia" w:ascii="宋体" w:hAnsi="宋体" w:cs="宋体"/>
                <w:color w:val="auto"/>
                <w:szCs w:val="21"/>
              </w:rPr>
              <w:t>不接受</w:t>
            </w:r>
          </w:p>
        </w:tc>
      </w:tr>
      <w:tr w14:paraId="2C092E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9" w:hRule="atLeast"/>
          <w:jc w:val="center"/>
        </w:trPr>
        <w:tc>
          <w:tcPr>
            <w:tcW w:w="1242" w:type="dxa"/>
            <w:vAlign w:val="center"/>
          </w:tcPr>
          <w:p w14:paraId="08979802">
            <w:pPr>
              <w:adjustRightInd w:val="0"/>
              <w:snapToGrid w:val="0"/>
              <w:spacing w:line="360" w:lineRule="exact"/>
              <w:jc w:val="center"/>
              <w:rPr>
                <w:rFonts w:ascii="宋体" w:hAnsi="宋体"/>
                <w:color w:val="auto"/>
                <w:szCs w:val="21"/>
              </w:rPr>
            </w:pPr>
            <w:r>
              <w:rPr>
                <w:rFonts w:hint="eastAsia" w:ascii="宋体" w:hAnsi="宋体"/>
                <w:color w:val="auto"/>
                <w:szCs w:val="21"/>
              </w:rPr>
              <w:t>第5.1</w:t>
            </w:r>
            <w:r>
              <w:rPr>
                <w:rFonts w:hint="eastAsia" w:ascii="宋体" w:hAnsi="宋体" w:cs="宋体"/>
                <w:color w:val="auto"/>
                <w:kern w:val="0"/>
                <w:szCs w:val="21"/>
                <w:lang w:val="zh-CN"/>
              </w:rPr>
              <w:t>款</w:t>
            </w:r>
          </w:p>
        </w:tc>
        <w:tc>
          <w:tcPr>
            <w:tcW w:w="2340" w:type="dxa"/>
            <w:vAlign w:val="center"/>
          </w:tcPr>
          <w:p w14:paraId="5C832DA1">
            <w:pPr>
              <w:adjustRightInd w:val="0"/>
              <w:snapToGrid w:val="0"/>
              <w:spacing w:line="360" w:lineRule="exact"/>
              <w:jc w:val="center"/>
              <w:rPr>
                <w:rFonts w:hAnsi="宋体"/>
                <w:color w:val="auto"/>
                <w:szCs w:val="21"/>
              </w:rPr>
            </w:pPr>
            <w:r>
              <w:rPr>
                <w:rFonts w:hint="eastAsia" w:ascii="宋体" w:hAnsi="宋体"/>
                <w:color w:val="auto"/>
                <w:szCs w:val="21"/>
              </w:rPr>
              <w:t>招标文件提供期限</w:t>
            </w:r>
          </w:p>
        </w:tc>
        <w:tc>
          <w:tcPr>
            <w:tcW w:w="5303" w:type="dxa"/>
            <w:vAlign w:val="center"/>
          </w:tcPr>
          <w:p w14:paraId="13A36647">
            <w:pPr>
              <w:adjustRightInd w:val="0"/>
              <w:snapToGrid w:val="0"/>
              <w:spacing w:line="360" w:lineRule="exact"/>
              <w:rPr>
                <w:rFonts w:ascii="宋体" w:hAnsi="宋体" w:cs="宋体"/>
                <w:color w:val="auto"/>
                <w:szCs w:val="21"/>
              </w:rPr>
            </w:pPr>
            <w:r>
              <w:rPr>
                <w:rFonts w:hint="eastAsia" w:ascii="宋体" w:hAnsi="宋体" w:cs="微软雅黑"/>
                <w:color w:val="auto"/>
                <w:kern w:val="0"/>
                <w:szCs w:val="21"/>
              </w:rPr>
              <w:t>公告之日起5个工作日。</w:t>
            </w:r>
          </w:p>
        </w:tc>
      </w:tr>
      <w:tr w14:paraId="40E52C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1CD95C2A">
            <w:pPr>
              <w:adjustRightInd w:val="0"/>
              <w:snapToGrid w:val="0"/>
              <w:spacing w:line="360" w:lineRule="exact"/>
              <w:jc w:val="center"/>
              <w:rPr>
                <w:rFonts w:ascii="宋体" w:hAnsi="宋体"/>
                <w:color w:val="auto"/>
                <w:szCs w:val="21"/>
              </w:rPr>
            </w:pPr>
            <w:r>
              <w:rPr>
                <w:rFonts w:hint="eastAsia" w:ascii="宋体" w:hAnsi="宋体"/>
                <w:color w:val="auto"/>
                <w:szCs w:val="21"/>
              </w:rPr>
              <w:t>第5.2</w:t>
            </w:r>
            <w:r>
              <w:rPr>
                <w:rFonts w:hint="eastAsia" w:ascii="宋体" w:hAnsi="宋体" w:cs="宋体"/>
                <w:color w:val="auto"/>
                <w:kern w:val="0"/>
                <w:szCs w:val="21"/>
                <w:lang w:val="zh-CN"/>
              </w:rPr>
              <w:t>款</w:t>
            </w:r>
          </w:p>
        </w:tc>
        <w:tc>
          <w:tcPr>
            <w:tcW w:w="2340" w:type="dxa"/>
            <w:vAlign w:val="center"/>
          </w:tcPr>
          <w:p w14:paraId="7D0A6FFB">
            <w:pPr>
              <w:adjustRightInd w:val="0"/>
              <w:snapToGrid w:val="0"/>
              <w:spacing w:line="360" w:lineRule="exact"/>
              <w:jc w:val="center"/>
              <w:rPr>
                <w:rFonts w:ascii="宋体" w:hAnsi="宋体"/>
                <w:color w:val="auto"/>
                <w:szCs w:val="21"/>
              </w:rPr>
            </w:pPr>
            <w:r>
              <w:rPr>
                <w:rFonts w:hint="eastAsia" w:ascii="宋体" w:hAnsi="宋体"/>
                <w:color w:val="auto"/>
                <w:szCs w:val="21"/>
              </w:rPr>
              <w:t>组织现场考察或者召开答疑会</w:t>
            </w:r>
          </w:p>
        </w:tc>
        <w:tc>
          <w:tcPr>
            <w:tcW w:w="5303" w:type="dxa"/>
            <w:vAlign w:val="center"/>
          </w:tcPr>
          <w:p w14:paraId="12EB464B">
            <w:pPr>
              <w:adjustRightInd w:val="0"/>
              <w:snapToGrid w:val="0"/>
              <w:spacing w:line="360" w:lineRule="exact"/>
              <w:rPr>
                <w:rFonts w:ascii="宋体" w:hAnsi="宋体"/>
                <w:color w:val="auto"/>
                <w:szCs w:val="21"/>
              </w:rPr>
            </w:pPr>
            <w:r>
              <w:rPr>
                <w:rFonts w:hint="eastAsia" w:ascii="宋体" w:hAnsi="宋体"/>
                <w:color w:val="auto"/>
                <w:szCs w:val="21"/>
              </w:rPr>
              <w:t>不组织/不召开</w:t>
            </w:r>
          </w:p>
        </w:tc>
      </w:tr>
      <w:tr w14:paraId="190D63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85" w:type="dxa"/>
            <w:gridSpan w:val="3"/>
            <w:vAlign w:val="center"/>
          </w:tcPr>
          <w:p w14:paraId="309FA61B">
            <w:pPr>
              <w:adjustRightInd w:val="0"/>
              <w:snapToGrid w:val="0"/>
              <w:spacing w:line="360" w:lineRule="exact"/>
              <w:rPr>
                <w:rFonts w:ascii="宋体" w:hAnsi="宋体"/>
                <w:b/>
                <w:color w:val="auto"/>
                <w:szCs w:val="21"/>
              </w:rPr>
            </w:pPr>
            <w:r>
              <w:rPr>
                <w:rFonts w:hint="eastAsia" w:ascii="宋体" w:hAnsi="宋体"/>
                <w:b/>
                <w:color w:val="auto"/>
                <w:szCs w:val="21"/>
              </w:rPr>
              <w:t>二、招标文件</w:t>
            </w:r>
          </w:p>
        </w:tc>
      </w:tr>
      <w:tr w14:paraId="62E79A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1038E69C">
            <w:pPr>
              <w:adjustRightInd w:val="0"/>
              <w:snapToGrid w:val="0"/>
              <w:spacing w:line="360" w:lineRule="exact"/>
              <w:jc w:val="center"/>
              <w:rPr>
                <w:rFonts w:ascii="宋体" w:hAnsi="宋体"/>
                <w:color w:val="auto"/>
                <w:szCs w:val="21"/>
              </w:rPr>
            </w:pPr>
            <w:r>
              <w:rPr>
                <w:rFonts w:hint="eastAsia" w:ascii="宋体" w:hAnsi="宋体"/>
                <w:color w:val="auto"/>
                <w:szCs w:val="21"/>
              </w:rPr>
              <w:t>第7.4</w:t>
            </w:r>
            <w:r>
              <w:rPr>
                <w:rFonts w:hint="eastAsia" w:ascii="宋体" w:hAnsi="宋体" w:cs="宋体"/>
                <w:color w:val="auto"/>
                <w:kern w:val="0"/>
                <w:szCs w:val="21"/>
                <w:lang w:val="zh-CN"/>
              </w:rPr>
              <w:t>款</w:t>
            </w:r>
          </w:p>
        </w:tc>
        <w:tc>
          <w:tcPr>
            <w:tcW w:w="2340" w:type="dxa"/>
            <w:vAlign w:val="center"/>
          </w:tcPr>
          <w:p w14:paraId="15C0DB93">
            <w:pPr>
              <w:adjustRightInd w:val="0"/>
              <w:snapToGrid w:val="0"/>
              <w:spacing w:line="360" w:lineRule="exact"/>
              <w:jc w:val="center"/>
              <w:rPr>
                <w:rFonts w:ascii="宋体" w:hAnsi="宋体"/>
                <w:color w:val="auto"/>
                <w:szCs w:val="21"/>
              </w:rPr>
            </w:pPr>
            <w:r>
              <w:rPr>
                <w:rFonts w:hint="eastAsia" w:ascii="宋体" w:hAnsi="宋体"/>
                <w:color w:val="auto"/>
                <w:szCs w:val="21"/>
              </w:rPr>
              <w:t>非实质性偏离的范围和幅度</w:t>
            </w:r>
          </w:p>
        </w:tc>
        <w:tc>
          <w:tcPr>
            <w:tcW w:w="5303" w:type="dxa"/>
            <w:vAlign w:val="center"/>
          </w:tcPr>
          <w:p w14:paraId="434826F4">
            <w:pPr>
              <w:adjustRightInd w:val="0"/>
              <w:snapToGrid w:val="0"/>
              <w:spacing w:line="360" w:lineRule="exact"/>
              <w:rPr>
                <w:rFonts w:hint="eastAsia" w:ascii="宋体" w:hAnsi="宋体"/>
                <w:color w:val="auto"/>
                <w:szCs w:val="21"/>
              </w:rPr>
            </w:pPr>
            <w:r>
              <w:rPr>
                <w:rFonts w:hint="eastAsia" w:ascii="宋体" w:hAnsi="宋体"/>
                <w:color w:val="auto"/>
                <w:szCs w:val="21"/>
              </w:rPr>
              <w:t>一般技术和商务条款偏离≥</w:t>
            </w:r>
            <w:r>
              <w:rPr>
                <w:rFonts w:hint="eastAsia" w:ascii="宋体" w:hAnsi="宋体"/>
                <w:color w:val="auto"/>
                <w:szCs w:val="21"/>
                <w:u w:val="single"/>
                <w:lang w:val="en-US" w:eastAsia="zh-CN"/>
              </w:rPr>
              <w:t xml:space="preserve">  /  </w:t>
            </w:r>
            <w:r>
              <w:rPr>
                <w:rFonts w:hint="eastAsia" w:ascii="宋体" w:hAnsi="宋体"/>
                <w:color w:val="auto"/>
                <w:szCs w:val="21"/>
              </w:rPr>
              <w:t>项目将导致投标无效，凡标有最低一级序号的条款即为一项，内容不重复计算。</w:t>
            </w:r>
          </w:p>
        </w:tc>
      </w:tr>
      <w:tr w14:paraId="73C0B0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242" w:type="dxa"/>
            <w:vAlign w:val="center"/>
          </w:tcPr>
          <w:p w14:paraId="4147E596">
            <w:pPr>
              <w:adjustRightInd w:val="0"/>
              <w:snapToGrid w:val="0"/>
              <w:spacing w:line="360" w:lineRule="exact"/>
              <w:jc w:val="center"/>
              <w:rPr>
                <w:rFonts w:ascii="宋体" w:hAnsi="宋体"/>
                <w:color w:val="auto"/>
                <w:szCs w:val="21"/>
              </w:rPr>
            </w:pPr>
            <w:r>
              <w:rPr>
                <w:rFonts w:hint="eastAsia" w:ascii="宋体" w:hAnsi="宋体"/>
                <w:color w:val="auto"/>
                <w:szCs w:val="21"/>
              </w:rPr>
              <w:t>第9.1款</w:t>
            </w:r>
          </w:p>
        </w:tc>
        <w:tc>
          <w:tcPr>
            <w:tcW w:w="2340" w:type="dxa"/>
            <w:vAlign w:val="center"/>
          </w:tcPr>
          <w:p w14:paraId="56537C59">
            <w:pPr>
              <w:adjustRightInd w:val="0"/>
              <w:snapToGrid w:val="0"/>
              <w:spacing w:line="360" w:lineRule="exact"/>
              <w:jc w:val="center"/>
              <w:rPr>
                <w:rFonts w:ascii="宋体" w:hAnsi="宋体"/>
                <w:color w:val="auto"/>
                <w:szCs w:val="21"/>
              </w:rPr>
            </w:pPr>
            <w:r>
              <w:rPr>
                <w:rFonts w:hint="eastAsia" w:ascii="宋体" w:hAnsi="宋体" w:cs="宋体"/>
                <w:color w:val="auto"/>
                <w:szCs w:val="21"/>
              </w:rPr>
              <w:t>招标公告指定媒体</w:t>
            </w:r>
          </w:p>
        </w:tc>
        <w:tc>
          <w:tcPr>
            <w:tcW w:w="5303" w:type="dxa"/>
            <w:vAlign w:val="center"/>
          </w:tcPr>
          <w:p w14:paraId="02457AA0">
            <w:pPr>
              <w:adjustRightInd w:val="0"/>
              <w:snapToGrid w:val="0"/>
              <w:spacing w:line="360" w:lineRule="exact"/>
              <w:rPr>
                <w:rFonts w:ascii="宋体" w:hAnsi="宋体"/>
                <w:color w:val="auto"/>
                <w:szCs w:val="21"/>
              </w:rPr>
            </w:pPr>
            <w:r>
              <w:rPr>
                <w:rFonts w:hint="eastAsia" w:ascii="宋体" w:hAnsi="宋体"/>
                <w:color w:val="auto"/>
                <w:szCs w:val="21"/>
              </w:rPr>
              <w:t>中国湖南政府采购网（www.ccgp-hunan.gov.cn）和娄底市公共资源交易网（http://ldggzy.hnloudi.gov.cn/）</w:t>
            </w:r>
          </w:p>
        </w:tc>
      </w:tr>
      <w:tr w14:paraId="518938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8885" w:type="dxa"/>
            <w:gridSpan w:val="3"/>
            <w:vAlign w:val="center"/>
          </w:tcPr>
          <w:p w14:paraId="38C0E3D7">
            <w:pPr>
              <w:adjustRightInd w:val="0"/>
              <w:snapToGrid w:val="0"/>
              <w:spacing w:line="360" w:lineRule="exact"/>
              <w:rPr>
                <w:rFonts w:ascii="宋体" w:hAnsi="宋体"/>
                <w:color w:val="auto"/>
                <w:szCs w:val="21"/>
              </w:rPr>
            </w:pPr>
            <w:r>
              <w:rPr>
                <w:rFonts w:hint="eastAsia" w:ascii="宋体" w:hAnsi="宋体"/>
                <w:b/>
                <w:color w:val="auto"/>
                <w:szCs w:val="21"/>
              </w:rPr>
              <w:t>三、投标文件</w:t>
            </w:r>
          </w:p>
        </w:tc>
      </w:tr>
      <w:tr w14:paraId="1F1DC6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5" w:hRule="atLeast"/>
          <w:jc w:val="center"/>
        </w:trPr>
        <w:tc>
          <w:tcPr>
            <w:tcW w:w="1242" w:type="dxa"/>
            <w:vAlign w:val="center"/>
          </w:tcPr>
          <w:p w14:paraId="7E5776C7">
            <w:pPr>
              <w:adjustRightInd w:val="0"/>
              <w:snapToGrid w:val="0"/>
              <w:spacing w:line="360" w:lineRule="exact"/>
              <w:jc w:val="center"/>
              <w:rPr>
                <w:rFonts w:ascii="宋体" w:hAnsi="宋体"/>
                <w:color w:val="auto"/>
                <w:szCs w:val="21"/>
              </w:rPr>
            </w:pPr>
            <w:r>
              <w:rPr>
                <w:rFonts w:hint="eastAsia" w:ascii="宋体" w:hAnsi="宋体"/>
                <w:color w:val="auto"/>
                <w:szCs w:val="21"/>
              </w:rPr>
              <w:t>第13.2</w:t>
            </w:r>
            <w:r>
              <w:rPr>
                <w:rFonts w:hint="eastAsia" w:ascii="宋体" w:hAnsi="宋体" w:cs="宋体"/>
                <w:color w:val="auto"/>
                <w:kern w:val="0"/>
                <w:szCs w:val="21"/>
                <w:lang w:val="zh-CN"/>
              </w:rPr>
              <w:t>款</w:t>
            </w:r>
          </w:p>
        </w:tc>
        <w:tc>
          <w:tcPr>
            <w:tcW w:w="2340" w:type="dxa"/>
            <w:vAlign w:val="center"/>
          </w:tcPr>
          <w:p w14:paraId="1F596222">
            <w:pPr>
              <w:adjustRightInd w:val="0"/>
              <w:snapToGrid w:val="0"/>
              <w:spacing w:line="360" w:lineRule="exact"/>
              <w:jc w:val="center"/>
              <w:rPr>
                <w:rFonts w:ascii="宋体" w:hAnsi="宋体"/>
                <w:color w:val="auto"/>
                <w:szCs w:val="21"/>
              </w:rPr>
            </w:pPr>
            <w:r>
              <w:rPr>
                <w:rFonts w:hint="eastAsia" w:ascii="宋体" w:hAnsi="宋体"/>
                <w:color w:val="auto"/>
                <w:szCs w:val="21"/>
              </w:rPr>
              <w:t>采购预算、最高限价</w:t>
            </w:r>
          </w:p>
        </w:tc>
        <w:tc>
          <w:tcPr>
            <w:tcW w:w="5303" w:type="dxa"/>
            <w:vAlign w:val="center"/>
          </w:tcPr>
          <w:p w14:paraId="77A822DF">
            <w:pPr>
              <w:pStyle w:val="102"/>
              <w:spacing w:line="360" w:lineRule="exact"/>
              <w:ind w:firstLine="0" w:firstLineChars="0"/>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采购预算、最高限价：</w:t>
            </w:r>
            <w:r>
              <w:rPr>
                <w:rFonts w:hint="eastAsia" w:ascii="宋体" w:hAnsi="宋体" w:cs="Times New Roman"/>
                <w:color w:val="auto"/>
                <w:kern w:val="2"/>
                <w:sz w:val="21"/>
                <w:szCs w:val="21"/>
                <w:lang w:val="en-US" w:eastAsia="zh-CN" w:bidi="ar-SA"/>
              </w:rPr>
              <w:t>692800.00</w:t>
            </w:r>
            <w:r>
              <w:rPr>
                <w:rFonts w:hint="eastAsia" w:ascii="宋体" w:hAnsi="宋体" w:eastAsia="宋体" w:cs="Times New Roman"/>
                <w:color w:val="auto"/>
                <w:kern w:val="2"/>
                <w:sz w:val="21"/>
                <w:szCs w:val="21"/>
                <w:lang w:val="en-US" w:eastAsia="zh-CN" w:bidi="ar-SA"/>
              </w:rPr>
              <w:t>元</w:t>
            </w:r>
          </w:p>
          <w:p w14:paraId="6379C36F">
            <w:pPr>
              <w:pStyle w:val="102"/>
              <w:spacing w:line="360" w:lineRule="exact"/>
              <w:ind w:firstLine="0" w:firstLineChars="0"/>
              <w:rPr>
                <w:rFonts w:hint="eastAsia" w:ascii="宋体" w:hAnsi="宋体"/>
                <w:b/>
                <w:bCs/>
                <w:color w:val="auto"/>
                <w:kern w:val="2"/>
                <w:sz w:val="21"/>
                <w:szCs w:val="21"/>
              </w:rPr>
            </w:pPr>
            <w:r>
              <w:rPr>
                <w:rFonts w:hint="eastAsia" w:ascii="宋体" w:hAnsi="宋体" w:eastAsia="宋体" w:cs="Times New Roman"/>
                <w:color w:val="auto"/>
                <w:kern w:val="2"/>
                <w:sz w:val="21"/>
                <w:szCs w:val="21"/>
                <w:lang w:val="en-US" w:eastAsia="zh-CN" w:bidi="ar-SA"/>
              </w:rPr>
              <w:t>投标人的投标报价超过本项目最高投标限价的视为不合格投标人，按废标处理。投标人的投标总价不得高于招标控制价（最高投标限价）。</w:t>
            </w:r>
          </w:p>
        </w:tc>
      </w:tr>
      <w:tr w14:paraId="56F95F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4" w:hRule="atLeast"/>
          <w:jc w:val="center"/>
        </w:trPr>
        <w:tc>
          <w:tcPr>
            <w:tcW w:w="1242" w:type="dxa"/>
            <w:vAlign w:val="center"/>
          </w:tcPr>
          <w:p w14:paraId="2B286BA7">
            <w:pPr>
              <w:adjustRightInd w:val="0"/>
              <w:snapToGrid w:val="0"/>
              <w:spacing w:line="360" w:lineRule="exact"/>
              <w:jc w:val="center"/>
              <w:rPr>
                <w:rFonts w:ascii="宋体" w:hAnsi="宋体"/>
                <w:color w:val="auto"/>
                <w:szCs w:val="21"/>
              </w:rPr>
            </w:pPr>
            <w:r>
              <w:rPr>
                <w:rFonts w:hint="eastAsia" w:ascii="宋体" w:hAnsi="宋体"/>
                <w:color w:val="auto"/>
                <w:szCs w:val="21"/>
              </w:rPr>
              <w:t>第13.8</w:t>
            </w:r>
            <w:r>
              <w:rPr>
                <w:rFonts w:hint="eastAsia" w:ascii="宋体" w:hAnsi="宋体" w:cs="宋体"/>
                <w:color w:val="auto"/>
                <w:kern w:val="0"/>
                <w:szCs w:val="21"/>
                <w:lang w:val="zh-CN"/>
              </w:rPr>
              <w:t>款</w:t>
            </w:r>
          </w:p>
        </w:tc>
        <w:tc>
          <w:tcPr>
            <w:tcW w:w="2340" w:type="dxa"/>
            <w:vAlign w:val="center"/>
          </w:tcPr>
          <w:p w14:paraId="5C30F485">
            <w:pPr>
              <w:adjustRightInd w:val="0"/>
              <w:snapToGrid w:val="0"/>
              <w:spacing w:line="360" w:lineRule="exact"/>
              <w:jc w:val="center"/>
              <w:rPr>
                <w:rFonts w:ascii="宋体" w:hAnsi="宋体"/>
                <w:color w:val="auto"/>
                <w:szCs w:val="21"/>
              </w:rPr>
            </w:pPr>
            <w:r>
              <w:rPr>
                <w:rFonts w:hint="eastAsia" w:ascii="宋体" w:hAnsi="宋体"/>
                <w:color w:val="auto"/>
                <w:szCs w:val="21"/>
              </w:rPr>
              <w:t>投标报价的其他要求</w:t>
            </w:r>
          </w:p>
        </w:tc>
        <w:tc>
          <w:tcPr>
            <w:tcW w:w="5303" w:type="dxa"/>
            <w:vAlign w:val="center"/>
          </w:tcPr>
          <w:p w14:paraId="32E7E069">
            <w:pPr>
              <w:adjustRightInd w:val="0"/>
              <w:snapToGrid w:val="0"/>
              <w:spacing w:line="360" w:lineRule="auto"/>
              <w:rPr>
                <w:rFonts w:ascii="宋体" w:cs="宋体"/>
                <w:color w:val="auto"/>
                <w:szCs w:val="21"/>
              </w:rPr>
            </w:pPr>
            <w:r>
              <w:rPr>
                <w:rFonts w:hint="eastAsia" w:ascii="宋体" w:cs="宋体"/>
                <w:color w:val="auto"/>
                <w:szCs w:val="21"/>
              </w:rPr>
              <w:t>1、以人民币进行报价。</w:t>
            </w:r>
          </w:p>
          <w:p w14:paraId="04774120">
            <w:pPr>
              <w:adjustRightInd w:val="0"/>
              <w:snapToGrid w:val="0"/>
              <w:spacing w:line="360" w:lineRule="auto"/>
              <w:rPr>
                <w:rFonts w:ascii="宋体" w:cs="宋体"/>
                <w:color w:val="auto"/>
                <w:szCs w:val="21"/>
              </w:rPr>
            </w:pPr>
            <w:r>
              <w:rPr>
                <w:rFonts w:hint="eastAsia" w:ascii="宋体" w:cs="宋体"/>
                <w:color w:val="auto"/>
                <w:szCs w:val="21"/>
              </w:rPr>
              <w:t>2、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7878BA23">
            <w:pPr>
              <w:adjustRightInd w:val="0"/>
              <w:snapToGrid w:val="0"/>
              <w:spacing w:line="360" w:lineRule="exact"/>
              <w:rPr>
                <w:rFonts w:ascii="宋体" w:hAnsi="宋体"/>
                <w:color w:val="auto"/>
                <w:szCs w:val="21"/>
              </w:rPr>
            </w:pPr>
            <w:r>
              <w:rPr>
                <w:rFonts w:hint="eastAsia" w:ascii="宋体" w:cs="宋体"/>
                <w:color w:val="auto"/>
                <w:szCs w:val="21"/>
              </w:rPr>
              <w:t>3、投标报价不得超过采购预算，也不得超过最高限价，否则其投标无效。</w:t>
            </w:r>
          </w:p>
        </w:tc>
      </w:tr>
      <w:tr w14:paraId="0BFC55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8" w:hRule="atLeast"/>
          <w:jc w:val="center"/>
        </w:trPr>
        <w:tc>
          <w:tcPr>
            <w:tcW w:w="1242" w:type="dxa"/>
            <w:vAlign w:val="center"/>
          </w:tcPr>
          <w:p w14:paraId="0EBD8D60">
            <w:pPr>
              <w:adjustRightInd w:val="0"/>
              <w:snapToGrid w:val="0"/>
              <w:spacing w:line="360" w:lineRule="exact"/>
              <w:jc w:val="center"/>
              <w:rPr>
                <w:rFonts w:ascii="宋体" w:hAnsi="宋体"/>
                <w:color w:val="auto"/>
                <w:szCs w:val="21"/>
              </w:rPr>
            </w:pPr>
            <w:r>
              <w:rPr>
                <w:rFonts w:hint="eastAsia" w:ascii="宋体" w:hAnsi="宋体"/>
                <w:color w:val="auto"/>
                <w:szCs w:val="21"/>
              </w:rPr>
              <w:t>第14.1款</w:t>
            </w:r>
          </w:p>
        </w:tc>
        <w:tc>
          <w:tcPr>
            <w:tcW w:w="2340" w:type="dxa"/>
            <w:vAlign w:val="center"/>
          </w:tcPr>
          <w:p w14:paraId="4BA3C0E1">
            <w:pPr>
              <w:adjustRightInd w:val="0"/>
              <w:snapToGrid w:val="0"/>
              <w:spacing w:line="360" w:lineRule="exact"/>
              <w:jc w:val="center"/>
              <w:rPr>
                <w:rFonts w:ascii="宋体" w:hAnsi="宋体"/>
                <w:bCs/>
                <w:color w:val="auto"/>
                <w:szCs w:val="21"/>
              </w:rPr>
            </w:pPr>
            <w:r>
              <w:rPr>
                <w:rFonts w:hint="eastAsia" w:ascii="宋体" w:hAnsi="宋体"/>
                <w:color w:val="auto"/>
                <w:szCs w:val="21"/>
              </w:rPr>
              <w:t>投标人应提供资格</w:t>
            </w:r>
            <w:r>
              <w:rPr>
                <w:rFonts w:hint="eastAsia" w:ascii="宋体" w:hAnsi="宋体"/>
                <w:color w:val="auto"/>
                <w:szCs w:val="21"/>
                <w:lang w:val="en-US" w:eastAsia="zh-CN"/>
              </w:rPr>
              <w:t xml:space="preserve">    </w:t>
            </w:r>
            <w:r>
              <w:rPr>
                <w:rFonts w:hint="eastAsia" w:ascii="宋体" w:hAnsi="宋体"/>
                <w:color w:val="auto"/>
                <w:szCs w:val="21"/>
              </w:rPr>
              <w:t>审查资料</w:t>
            </w:r>
          </w:p>
        </w:tc>
        <w:tc>
          <w:tcPr>
            <w:tcW w:w="5303" w:type="dxa"/>
            <w:vAlign w:val="center"/>
          </w:tcPr>
          <w:p w14:paraId="018C5578">
            <w:pPr>
              <w:adjustRightInd w:val="0"/>
              <w:snapToGrid w:val="0"/>
              <w:spacing w:line="360" w:lineRule="exact"/>
              <w:rPr>
                <w:rFonts w:ascii="宋体" w:hAnsi="宋体"/>
                <w:color w:val="auto"/>
                <w:szCs w:val="21"/>
              </w:rPr>
            </w:pPr>
            <w:r>
              <w:rPr>
                <w:rFonts w:hint="eastAsia" w:ascii="宋体" w:hAnsi="宋体"/>
                <w:color w:val="auto"/>
                <w:szCs w:val="21"/>
              </w:rPr>
              <w:t>详见资格审查表</w:t>
            </w:r>
          </w:p>
        </w:tc>
      </w:tr>
      <w:tr w14:paraId="4F9A25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2" w:hRule="atLeast"/>
          <w:jc w:val="center"/>
        </w:trPr>
        <w:tc>
          <w:tcPr>
            <w:tcW w:w="1242" w:type="dxa"/>
            <w:vAlign w:val="center"/>
          </w:tcPr>
          <w:p w14:paraId="612FD90A">
            <w:pPr>
              <w:adjustRightInd w:val="0"/>
              <w:snapToGrid w:val="0"/>
              <w:spacing w:line="360" w:lineRule="exact"/>
              <w:jc w:val="center"/>
              <w:rPr>
                <w:rFonts w:ascii="宋体" w:hAnsi="宋体"/>
                <w:color w:val="auto"/>
                <w:szCs w:val="21"/>
              </w:rPr>
            </w:pPr>
            <w:r>
              <w:rPr>
                <w:rFonts w:hint="eastAsia" w:ascii="宋体" w:hAnsi="宋体"/>
                <w:color w:val="auto"/>
                <w:szCs w:val="21"/>
              </w:rPr>
              <w:t>第16.1</w:t>
            </w:r>
            <w:r>
              <w:rPr>
                <w:rFonts w:hint="eastAsia" w:ascii="宋体" w:hAnsi="宋体" w:cs="宋体"/>
                <w:color w:val="auto"/>
                <w:kern w:val="0"/>
                <w:szCs w:val="21"/>
                <w:lang w:val="zh-CN"/>
              </w:rPr>
              <w:t>款</w:t>
            </w:r>
          </w:p>
        </w:tc>
        <w:tc>
          <w:tcPr>
            <w:tcW w:w="2340" w:type="dxa"/>
            <w:vAlign w:val="center"/>
          </w:tcPr>
          <w:p w14:paraId="18BFD0C9">
            <w:pPr>
              <w:adjustRightInd w:val="0"/>
              <w:snapToGrid w:val="0"/>
              <w:spacing w:line="360" w:lineRule="exact"/>
              <w:jc w:val="center"/>
              <w:rPr>
                <w:rFonts w:ascii="宋体" w:hAnsi="宋体"/>
                <w:bCs/>
                <w:color w:val="auto"/>
                <w:szCs w:val="21"/>
              </w:rPr>
            </w:pPr>
            <w:r>
              <w:rPr>
                <w:rFonts w:hint="eastAsia" w:ascii="宋体" w:hAnsi="宋体"/>
                <w:color w:val="auto"/>
                <w:szCs w:val="21"/>
              </w:rPr>
              <w:t xml:space="preserve"> </w:t>
            </w:r>
            <w:r>
              <w:rPr>
                <w:rFonts w:hint="eastAsia" w:ascii="宋体" w:hAnsi="宋体"/>
                <w:bCs/>
                <w:color w:val="auto"/>
                <w:szCs w:val="21"/>
              </w:rPr>
              <w:t>投标有效期</w:t>
            </w:r>
          </w:p>
        </w:tc>
        <w:tc>
          <w:tcPr>
            <w:tcW w:w="5303" w:type="dxa"/>
            <w:vAlign w:val="center"/>
          </w:tcPr>
          <w:p w14:paraId="05C94F51">
            <w:pPr>
              <w:adjustRightInd w:val="0"/>
              <w:snapToGrid w:val="0"/>
              <w:spacing w:line="360" w:lineRule="exact"/>
              <w:rPr>
                <w:rFonts w:ascii="宋体" w:hAnsi="宋体"/>
                <w:bCs/>
                <w:color w:val="auto"/>
                <w:szCs w:val="21"/>
              </w:rPr>
            </w:pPr>
            <w:r>
              <w:rPr>
                <w:rFonts w:hint="eastAsia" w:ascii="宋体" w:hAnsi="宋体"/>
                <w:bCs/>
                <w:color w:val="auto"/>
                <w:szCs w:val="21"/>
              </w:rPr>
              <w:t>90日（日历日）</w:t>
            </w:r>
          </w:p>
        </w:tc>
      </w:tr>
      <w:tr w14:paraId="4A04F3D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2C5E70DA">
            <w:pPr>
              <w:adjustRightInd w:val="0"/>
              <w:snapToGrid w:val="0"/>
              <w:spacing w:line="360" w:lineRule="exact"/>
              <w:jc w:val="center"/>
              <w:rPr>
                <w:rFonts w:ascii="宋体" w:hAnsi="宋体"/>
                <w:color w:val="auto"/>
                <w:szCs w:val="21"/>
              </w:rPr>
            </w:pPr>
            <w:r>
              <w:rPr>
                <w:rFonts w:hint="eastAsia" w:ascii="宋体" w:hAnsi="宋体"/>
                <w:color w:val="auto"/>
                <w:szCs w:val="21"/>
              </w:rPr>
              <w:t>第17.1</w:t>
            </w:r>
            <w:r>
              <w:rPr>
                <w:rFonts w:hint="eastAsia" w:ascii="宋体" w:hAnsi="宋体" w:cs="宋体"/>
                <w:color w:val="auto"/>
                <w:kern w:val="0"/>
                <w:szCs w:val="21"/>
                <w:lang w:val="zh-CN"/>
              </w:rPr>
              <w:t>款</w:t>
            </w:r>
          </w:p>
        </w:tc>
        <w:tc>
          <w:tcPr>
            <w:tcW w:w="2340" w:type="dxa"/>
            <w:vAlign w:val="center"/>
          </w:tcPr>
          <w:p w14:paraId="48DE5C4D">
            <w:pPr>
              <w:adjustRightInd w:val="0"/>
              <w:snapToGrid w:val="0"/>
              <w:spacing w:line="360" w:lineRule="exact"/>
              <w:ind w:firstLine="533" w:firstLineChars="254"/>
              <w:rPr>
                <w:rFonts w:ascii="宋体" w:hAnsi="宋体"/>
                <w:color w:val="auto"/>
                <w:szCs w:val="21"/>
              </w:rPr>
            </w:pPr>
            <w:r>
              <w:rPr>
                <w:rFonts w:hint="eastAsia" w:ascii="宋体" w:hAnsi="宋体"/>
                <w:color w:val="auto"/>
                <w:szCs w:val="21"/>
              </w:rPr>
              <w:t>投标保证金</w:t>
            </w:r>
          </w:p>
        </w:tc>
        <w:tc>
          <w:tcPr>
            <w:tcW w:w="5303" w:type="dxa"/>
            <w:vAlign w:val="center"/>
          </w:tcPr>
          <w:p w14:paraId="54BE946C">
            <w:pPr>
              <w:adjustRightInd w:val="0"/>
              <w:snapToGrid w:val="0"/>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不要求提供</w:t>
            </w:r>
          </w:p>
          <w:p w14:paraId="486290F5">
            <w:pPr>
              <w:adjustRightInd w:val="0"/>
              <w:snapToGrid w:val="0"/>
              <w:spacing w:line="360" w:lineRule="exact"/>
              <w:rPr>
                <w:rFonts w:ascii="宋体" w:hAnsi="宋体"/>
                <w:color w:val="auto"/>
                <w:szCs w:val="21"/>
              </w:rPr>
            </w:pPr>
            <w:r>
              <w:rPr>
                <w:rFonts w:hint="eastAsia" w:ascii="宋体" w:hAnsi="宋体"/>
                <w:color w:val="auto"/>
                <w:szCs w:val="21"/>
              </w:rPr>
              <w:t>□要求提供</w:t>
            </w:r>
          </w:p>
        </w:tc>
      </w:tr>
      <w:tr w14:paraId="4A7330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7" w:hRule="atLeast"/>
          <w:jc w:val="center"/>
        </w:trPr>
        <w:tc>
          <w:tcPr>
            <w:tcW w:w="1242" w:type="dxa"/>
            <w:vAlign w:val="center"/>
          </w:tcPr>
          <w:p w14:paraId="7FB660DB">
            <w:pPr>
              <w:adjustRightInd w:val="0"/>
              <w:snapToGrid w:val="0"/>
              <w:spacing w:line="360" w:lineRule="exact"/>
              <w:jc w:val="center"/>
              <w:rPr>
                <w:rFonts w:ascii="宋体" w:hAnsi="宋体"/>
                <w:color w:val="auto"/>
                <w:szCs w:val="21"/>
              </w:rPr>
            </w:pPr>
            <w:r>
              <w:rPr>
                <w:rFonts w:hint="eastAsia" w:ascii="宋体" w:hAnsi="宋体"/>
                <w:color w:val="auto"/>
                <w:szCs w:val="21"/>
              </w:rPr>
              <w:t>第18.1</w:t>
            </w:r>
            <w:r>
              <w:rPr>
                <w:rFonts w:hint="eastAsia" w:ascii="宋体" w:hAnsi="宋体" w:cs="宋体"/>
                <w:color w:val="auto"/>
                <w:kern w:val="0"/>
                <w:szCs w:val="21"/>
                <w:lang w:val="zh-CN"/>
              </w:rPr>
              <w:t>款</w:t>
            </w:r>
          </w:p>
        </w:tc>
        <w:tc>
          <w:tcPr>
            <w:tcW w:w="2340" w:type="dxa"/>
            <w:vAlign w:val="center"/>
          </w:tcPr>
          <w:p w14:paraId="4D7F8144">
            <w:pPr>
              <w:adjustRightInd w:val="0"/>
              <w:snapToGrid w:val="0"/>
              <w:spacing w:line="360" w:lineRule="exact"/>
              <w:jc w:val="center"/>
              <w:rPr>
                <w:rFonts w:ascii="宋体" w:hAnsi="宋体"/>
                <w:color w:val="auto"/>
                <w:szCs w:val="21"/>
              </w:rPr>
            </w:pPr>
            <w:r>
              <w:rPr>
                <w:rFonts w:hint="eastAsia" w:ascii="宋体" w:hAnsi="宋体"/>
                <w:bCs/>
                <w:color w:val="auto"/>
                <w:szCs w:val="21"/>
              </w:rPr>
              <w:t>分包</w:t>
            </w:r>
          </w:p>
        </w:tc>
        <w:tc>
          <w:tcPr>
            <w:tcW w:w="5303" w:type="dxa"/>
            <w:vAlign w:val="center"/>
          </w:tcPr>
          <w:p w14:paraId="1A741495">
            <w:pPr>
              <w:adjustRightInd w:val="0"/>
              <w:snapToGrid w:val="0"/>
              <w:spacing w:line="360" w:lineRule="exact"/>
              <w:rPr>
                <w:rFonts w:ascii="宋体" w:hAnsi="宋体"/>
                <w:color w:val="auto"/>
                <w:szCs w:val="21"/>
              </w:rPr>
            </w:pPr>
            <w:r>
              <w:rPr>
                <w:rFonts w:hint="eastAsia" w:ascii="宋体" w:hAnsi="宋体"/>
                <w:color w:val="auto"/>
                <w:szCs w:val="21"/>
              </w:rPr>
              <w:t>不允许分包</w:t>
            </w:r>
          </w:p>
        </w:tc>
      </w:tr>
      <w:tr w14:paraId="53F756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7" w:hRule="atLeast"/>
          <w:jc w:val="center"/>
        </w:trPr>
        <w:tc>
          <w:tcPr>
            <w:tcW w:w="1242" w:type="dxa"/>
            <w:vAlign w:val="center"/>
          </w:tcPr>
          <w:p w14:paraId="4734F1E5">
            <w:pPr>
              <w:adjustRightInd w:val="0"/>
              <w:snapToGrid w:val="0"/>
              <w:spacing w:line="360" w:lineRule="exact"/>
              <w:jc w:val="center"/>
              <w:rPr>
                <w:rFonts w:ascii="宋体" w:hAnsi="宋体"/>
                <w:color w:val="auto"/>
                <w:szCs w:val="21"/>
              </w:rPr>
            </w:pPr>
            <w:r>
              <w:rPr>
                <w:rFonts w:hint="eastAsia" w:ascii="宋体" w:hAnsi="宋体"/>
                <w:color w:val="auto"/>
                <w:szCs w:val="21"/>
              </w:rPr>
              <w:t>第19.1款</w:t>
            </w:r>
          </w:p>
        </w:tc>
        <w:tc>
          <w:tcPr>
            <w:tcW w:w="2340" w:type="dxa"/>
            <w:vAlign w:val="center"/>
          </w:tcPr>
          <w:p w14:paraId="43890594">
            <w:pPr>
              <w:adjustRightInd w:val="0"/>
              <w:snapToGrid w:val="0"/>
              <w:spacing w:line="360" w:lineRule="exact"/>
              <w:jc w:val="center"/>
              <w:rPr>
                <w:rFonts w:ascii="宋体" w:hAnsi="宋体"/>
                <w:color w:val="auto"/>
                <w:szCs w:val="21"/>
              </w:rPr>
            </w:pPr>
            <w:r>
              <w:rPr>
                <w:rFonts w:hint="eastAsia" w:ascii="宋体" w:hAnsi="宋体"/>
                <w:color w:val="auto"/>
                <w:szCs w:val="21"/>
              </w:rPr>
              <w:t>投标文件份数</w:t>
            </w:r>
          </w:p>
        </w:tc>
        <w:tc>
          <w:tcPr>
            <w:tcW w:w="5303" w:type="dxa"/>
            <w:vAlign w:val="center"/>
          </w:tcPr>
          <w:p w14:paraId="0424A886">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本项目为全流程电子标。按要求提交电子投标文件正本：投标文件第一部分资格证明文件；投标文件第二部分商务和技术文件。</w:t>
            </w:r>
          </w:p>
          <w:p w14:paraId="28194170">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注：a.投标人按照平台要求上传对应内容，上传错误的，导致无法正常查阅或出错的，自行承担后果。</w:t>
            </w:r>
          </w:p>
          <w:p w14:paraId="5B3E212A">
            <w:pPr>
              <w:adjustRightInd w:val="0"/>
              <w:snapToGrid w:val="0"/>
              <w:spacing w:line="360" w:lineRule="exact"/>
              <w:rPr>
                <w:rFonts w:ascii="宋体" w:hAnsi="宋体"/>
                <w:color w:val="auto"/>
                <w:szCs w:val="21"/>
              </w:rPr>
            </w:pPr>
            <w:r>
              <w:rPr>
                <w:rFonts w:hint="eastAsia" w:ascii="宋体" w:hAnsi="宋体" w:eastAsia="宋体" w:cs="宋体"/>
                <w:color w:val="auto"/>
                <w:szCs w:val="21"/>
              </w:rPr>
              <w:t>b.投标人中标后需提供</w:t>
            </w:r>
            <w:r>
              <w:rPr>
                <w:rFonts w:hint="eastAsia" w:ascii="宋体" w:hAnsi="宋体" w:eastAsia="宋体" w:cs="宋体"/>
                <w:color w:val="auto"/>
                <w:szCs w:val="21"/>
                <w:lang w:val="en-US" w:eastAsia="zh-CN"/>
              </w:rPr>
              <w:t>胶装</w:t>
            </w:r>
            <w:r>
              <w:rPr>
                <w:rFonts w:hint="eastAsia" w:ascii="宋体" w:hAnsi="宋体" w:eastAsia="宋体" w:cs="宋体"/>
                <w:color w:val="auto"/>
                <w:szCs w:val="21"/>
              </w:rPr>
              <w:t>纸质版投标文件</w:t>
            </w:r>
            <w:r>
              <w:rPr>
                <w:rFonts w:hint="eastAsia" w:ascii="宋体" w:hAnsi="宋体" w:eastAsia="宋体" w:cs="宋体"/>
                <w:color w:val="auto"/>
                <w:szCs w:val="21"/>
                <w:lang w:val="en-US" w:eastAsia="zh-CN"/>
              </w:rPr>
              <w:t>二</w:t>
            </w:r>
            <w:r>
              <w:rPr>
                <w:rFonts w:hint="eastAsia" w:ascii="宋体" w:hAnsi="宋体" w:eastAsia="宋体" w:cs="宋体"/>
                <w:color w:val="auto"/>
                <w:szCs w:val="21"/>
              </w:rPr>
              <w:t>份</w:t>
            </w:r>
            <w:r>
              <w:rPr>
                <w:rFonts w:hint="eastAsia" w:ascii="宋体" w:hAnsi="宋体" w:eastAsia="宋体" w:cs="宋体"/>
                <w:color w:val="auto"/>
                <w:szCs w:val="21"/>
                <w:lang w:val="en-US" w:eastAsia="zh-CN"/>
              </w:rPr>
              <w:t>分别</w:t>
            </w:r>
            <w:r>
              <w:rPr>
                <w:rFonts w:hint="eastAsia" w:ascii="宋体" w:hAnsi="宋体" w:eastAsia="宋体" w:cs="宋体"/>
                <w:color w:val="auto"/>
                <w:szCs w:val="21"/>
              </w:rPr>
              <w:t>送至</w:t>
            </w:r>
            <w:r>
              <w:rPr>
                <w:rFonts w:hint="eastAsia" w:ascii="宋体" w:hAnsi="宋体" w:eastAsia="宋体" w:cs="宋体"/>
                <w:color w:val="auto"/>
                <w:szCs w:val="21"/>
                <w:lang w:val="en-US" w:eastAsia="zh-CN"/>
              </w:rPr>
              <w:t>市政府采购中心及</w:t>
            </w:r>
            <w:r>
              <w:rPr>
                <w:rFonts w:hint="eastAsia" w:ascii="宋体" w:hAnsi="宋体" w:eastAsia="宋体" w:cs="宋体"/>
                <w:color w:val="auto"/>
                <w:szCs w:val="21"/>
              </w:rPr>
              <w:t>采购人单位（与电子投标文件一致，如有异处，以电子投标文件为准）。</w:t>
            </w:r>
          </w:p>
        </w:tc>
      </w:tr>
      <w:tr w14:paraId="48A58A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85" w:type="dxa"/>
            <w:gridSpan w:val="3"/>
            <w:vAlign w:val="center"/>
          </w:tcPr>
          <w:p w14:paraId="6C066CE5">
            <w:pPr>
              <w:adjustRightInd w:val="0"/>
              <w:snapToGrid w:val="0"/>
              <w:spacing w:line="360" w:lineRule="exact"/>
              <w:rPr>
                <w:rFonts w:ascii="宋体" w:hAnsi="宋体"/>
                <w:b/>
                <w:bCs/>
                <w:color w:val="auto"/>
                <w:szCs w:val="21"/>
              </w:rPr>
            </w:pPr>
            <w:r>
              <w:rPr>
                <w:rFonts w:hint="eastAsia" w:ascii="宋体" w:hAnsi="宋体"/>
                <w:b/>
                <w:color w:val="auto"/>
                <w:szCs w:val="21"/>
              </w:rPr>
              <w:t>四、投标</w:t>
            </w:r>
          </w:p>
        </w:tc>
      </w:tr>
      <w:tr w14:paraId="40D69F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178E6E27">
            <w:pPr>
              <w:adjustRightInd w:val="0"/>
              <w:snapToGrid w:val="0"/>
              <w:spacing w:line="360" w:lineRule="exact"/>
              <w:jc w:val="center"/>
              <w:rPr>
                <w:rFonts w:ascii="宋体" w:hAnsi="宋体"/>
                <w:color w:val="auto"/>
                <w:szCs w:val="21"/>
              </w:rPr>
            </w:pPr>
            <w:r>
              <w:rPr>
                <w:rFonts w:hint="eastAsia" w:ascii="宋体" w:hAnsi="宋体"/>
                <w:color w:val="auto"/>
                <w:szCs w:val="21"/>
              </w:rPr>
              <w:t>第20.1</w:t>
            </w:r>
            <w:r>
              <w:rPr>
                <w:rFonts w:hint="eastAsia" w:ascii="宋体" w:hAnsi="宋体" w:cs="宋体"/>
                <w:color w:val="auto"/>
                <w:kern w:val="0"/>
                <w:szCs w:val="21"/>
                <w:lang w:val="zh-CN"/>
              </w:rPr>
              <w:t>款</w:t>
            </w:r>
          </w:p>
        </w:tc>
        <w:tc>
          <w:tcPr>
            <w:tcW w:w="2340" w:type="dxa"/>
            <w:vAlign w:val="center"/>
          </w:tcPr>
          <w:p w14:paraId="2DCBA8ED">
            <w:pPr>
              <w:adjustRightInd w:val="0"/>
              <w:snapToGrid w:val="0"/>
              <w:spacing w:line="360" w:lineRule="exact"/>
              <w:jc w:val="center"/>
              <w:rPr>
                <w:rFonts w:ascii="宋体" w:hAnsi="宋体"/>
                <w:color w:val="auto"/>
                <w:szCs w:val="21"/>
              </w:rPr>
            </w:pPr>
            <w:r>
              <w:rPr>
                <w:rFonts w:hint="eastAsia" w:ascii="宋体" w:hAnsi="宋体"/>
                <w:color w:val="auto"/>
                <w:szCs w:val="21"/>
              </w:rPr>
              <w:t xml:space="preserve"> 投标文件的加密</w:t>
            </w:r>
          </w:p>
        </w:tc>
        <w:tc>
          <w:tcPr>
            <w:tcW w:w="5303" w:type="dxa"/>
            <w:vAlign w:val="center"/>
          </w:tcPr>
          <w:p w14:paraId="4FB49ADE">
            <w:pPr>
              <w:adjustRightInd w:val="0"/>
              <w:snapToGrid w:val="0"/>
              <w:spacing w:line="360" w:lineRule="exact"/>
              <w:rPr>
                <w:rFonts w:ascii="宋体" w:hAnsi="宋体"/>
                <w:color w:val="auto"/>
                <w:szCs w:val="21"/>
              </w:rPr>
            </w:pPr>
            <w:r>
              <w:rPr>
                <w:rFonts w:hint="eastAsia" w:ascii="宋体" w:hAnsi="宋体"/>
                <w:color w:val="auto"/>
                <w:szCs w:val="21"/>
              </w:rPr>
              <w:t>按娄底市公共资源交易电子服务平台发布的“电子投标文件制作工具（</w:t>
            </w:r>
            <w:r>
              <w:rPr>
                <w:rStyle w:val="112"/>
                <w:rFonts w:ascii="宋体" w:hAnsi="宋体"/>
                <w:color w:val="auto"/>
                <w:szCs w:val="21"/>
              </w:rPr>
              <w:t>金润投标人工具箱）</w:t>
            </w:r>
            <w:r>
              <w:rPr>
                <w:rFonts w:hint="eastAsia" w:ascii="宋体" w:hAnsi="宋体"/>
                <w:color w:val="auto"/>
                <w:szCs w:val="21"/>
              </w:rPr>
              <w:t>”的程序进行固化、加密，</w:t>
            </w:r>
          </w:p>
        </w:tc>
      </w:tr>
      <w:tr w14:paraId="4439BC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30" w:hRule="atLeast"/>
          <w:jc w:val="center"/>
        </w:trPr>
        <w:tc>
          <w:tcPr>
            <w:tcW w:w="1242" w:type="dxa"/>
            <w:vAlign w:val="center"/>
          </w:tcPr>
          <w:p w14:paraId="03B01ED1">
            <w:pPr>
              <w:adjustRightInd w:val="0"/>
              <w:snapToGrid w:val="0"/>
              <w:spacing w:line="360" w:lineRule="exact"/>
              <w:jc w:val="center"/>
              <w:rPr>
                <w:rFonts w:ascii="宋体" w:hAnsi="宋体"/>
                <w:color w:val="auto"/>
                <w:szCs w:val="21"/>
              </w:rPr>
            </w:pPr>
            <w:r>
              <w:rPr>
                <w:rFonts w:hint="eastAsia" w:ascii="宋体" w:hAnsi="宋体"/>
                <w:color w:val="auto"/>
                <w:szCs w:val="21"/>
              </w:rPr>
              <w:t>第21.1</w:t>
            </w:r>
            <w:r>
              <w:rPr>
                <w:rFonts w:hint="eastAsia" w:ascii="宋体" w:hAnsi="宋体" w:cs="宋体"/>
                <w:color w:val="auto"/>
                <w:kern w:val="0"/>
                <w:szCs w:val="21"/>
                <w:lang w:val="zh-CN"/>
              </w:rPr>
              <w:t>款</w:t>
            </w:r>
          </w:p>
        </w:tc>
        <w:tc>
          <w:tcPr>
            <w:tcW w:w="2340" w:type="dxa"/>
            <w:vAlign w:val="center"/>
          </w:tcPr>
          <w:p w14:paraId="1D2312CD">
            <w:pPr>
              <w:adjustRightInd w:val="0"/>
              <w:snapToGrid w:val="0"/>
              <w:spacing w:line="360" w:lineRule="exact"/>
              <w:jc w:val="center"/>
              <w:rPr>
                <w:rFonts w:ascii="宋体" w:hAnsi="宋体"/>
                <w:color w:val="auto"/>
                <w:szCs w:val="21"/>
              </w:rPr>
            </w:pPr>
            <w:r>
              <w:rPr>
                <w:rFonts w:hint="eastAsia" w:ascii="宋体" w:hAnsi="宋体"/>
                <w:color w:val="auto"/>
                <w:szCs w:val="21"/>
              </w:rPr>
              <w:t xml:space="preserve"> 投标文件的递交</w:t>
            </w:r>
          </w:p>
        </w:tc>
        <w:tc>
          <w:tcPr>
            <w:tcW w:w="5303" w:type="dxa"/>
            <w:vAlign w:val="center"/>
          </w:tcPr>
          <w:p w14:paraId="5E8D51AB">
            <w:pPr>
              <w:adjustRightInd w:val="0"/>
              <w:snapToGrid w:val="0"/>
              <w:spacing w:line="360" w:lineRule="exact"/>
              <w:rPr>
                <w:rFonts w:ascii="宋体" w:hAnsi="宋体" w:cs="宋体"/>
                <w:color w:val="auto"/>
                <w:szCs w:val="21"/>
              </w:rPr>
            </w:pPr>
            <w:r>
              <w:rPr>
                <w:rFonts w:hint="eastAsia" w:ascii="宋体" w:hAnsi="宋体" w:cs="宋体"/>
                <w:color w:val="auto"/>
                <w:szCs w:val="21"/>
              </w:rPr>
              <w:t>实行网上投标，投标人必须在采购文件规定的投标截止时间前完成，具体详见采购公告</w:t>
            </w:r>
          </w:p>
        </w:tc>
      </w:tr>
      <w:tr w14:paraId="169ED2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85" w:type="dxa"/>
            <w:gridSpan w:val="3"/>
            <w:vAlign w:val="center"/>
          </w:tcPr>
          <w:p w14:paraId="5325E2D3">
            <w:pPr>
              <w:adjustRightInd w:val="0"/>
              <w:snapToGrid w:val="0"/>
              <w:spacing w:line="360" w:lineRule="exact"/>
              <w:rPr>
                <w:rFonts w:ascii="宋体" w:hAnsi="宋体"/>
                <w:color w:val="auto"/>
                <w:szCs w:val="21"/>
              </w:rPr>
            </w:pPr>
            <w:r>
              <w:rPr>
                <w:rFonts w:hint="eastAsia" w:ascii="宋体" w:hAnsi="宋体"/>
                <w:b/>
                <w:bCs/>
                <w:color w:val="auto"/>
                <w:szCs w:val="21"/>
              </w:rPr>
              <w:t>五、开标、资格审查和评标</w:t>
            </w:r>
          </w:p>
        </w:tc>
      </w:tr>
      <w:tr w14:paraId="7783BC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1242" w:type="dxa"/>
            <w:vAlign w:val="center"/>
          </w:tcPr>
          <w:p w14:paraId="006F5385">
            <w:pPr>
              <w:adjustRightInd w:val="0"/>
              <w:snapToGrid w:val="0"/>
              <w:spacing w:line="360" w:lineRule="exact"/>
              <w:jc w:val="center"/>
              <w:rPr>
                <w:rFonts w:ascii="宋体" w:hAnsi="宋体"/>
                <w:color w:val="auto"/>
                <w:szCs w:val="21"/>
              </w:rPr>
            </w:pPr>
            <w:r>
              <w:rPr>
                <w:rFonts w:hint="eastAsia" w:ascii="宋体" w:hAnsi="宋体"/>
                <w:color w:val="auto"/>
                <w:szCs w:val="21"/>
              </w:rPr>
              <w:t>第24.1款</w:t>
            </w:r>
          </w:p>
        </w:tc>
        <w:tc>
          <w:tcPr>
            <w:tcW w:w="2340" w:type="dxa"/>
            <w:vAlign w:val="center"/>
          </w:tcPr>
          <w:p w14:paraId="62B363A6">
            <w:pPr>
              <w:adjustRightInd w:val="0"/>
              <w:snapToGrid w:val="0"/>
              <w:spacing w:line="360" w:lineRule="exact"/>
              <w:jc w:val="center"/>
              <w:rPr>
                <w:rFonts w:ascii="宋体" w:hAnsi="宋体"/>
                <w:color w:val="auto"/>
                <w:szCs w:val="21"/>
              </w:rPr>
            </w:pPr>
            <w:r>
              <w:rPr>
                <w:rFonts w:hint="eastAsia" w:ascii="宋体" w:hAnsi="宋体"/>
                <w:color w:val="auto"/>
                <w:szCs w:val="21"/>
              </w:rPr>
              <w:t>开标地点</w:t>
            </w:r>
          </w:p>
        </w:tc>
        <w:tc>
          <w:tcPr>
            <w:tcW w:w="5303" w:type="dxa"/>
            <w:vAlign w:val="center"/>
          </w:tcPr>
          <w:p w14:paraId="5DFE1B1B">
            <w:pPr>
              <w:adjustRightInd w:val="0"/>
              <w:snapToGrid w:val="0"/>
              <w:spacing w:line="360" w:lineRule="exact"/>
              <w:rPr>
                <w:rFonts w:ascii="宋体" w:hAnsi="宋体"/>
                <w:color w:val="auto"/>
                <w:szCs w:val="21"/>
              </w:rPr>
            </w:pPr>
            <w:r>
              <w:rPr>
                <w:rFonts w:hint="eastAsia" w:ascii="宋体" w:hAnsi="宋体"/>
                <w:color w:val="auto"/>
                <w:szCs w:val="21"/>
              </w:rPr>
              <w:t>娄底市公共资源交易中心四楼开标大厅（详见当天电子显示屏的安排）</w:t>
            </w:r>
          </w:p>
        </w:tc>
      </w:tr>
      <w:tr w14:paraId="204F88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7" w:hRule="atLeast"/>
          <w:jc w:val="center"/>
        </w:trPr>
        <w:tc>
          <w:tcPr>
            <w:tcW w:w="1242" w:type="dxa"/>
            <w:vAlign w:val="center"/>
          </w:tcPr>
          <w:p w14:paraId="264DD260">
            <w:pPr>
              <w:adjustRightInd w:val="0"/>
              <w:snapToGrid w:val="0"/>
              <w:spacing w:line="360" w:lineRule="exact"/>
              <w:jc w:val="center"/>
              <w:rPr>
                <w:rFonts w:ascii="宋体" w:hAnsi="宋体"/>
                <w:color w:val="auto"/>
                <w:szCs w:val="21"/>
              </w:rPr>
            </w:pPr>
            <w:r>
              <w:rPr>
                <w:rFonts w:hint="eastAsia" w:ascii="宋体" w:hAnsi="宋体"/>
                <w:color w:val="auto"/>
                <w:szCs w:val="21"/>
              </w:rPr>
              <w:t>第24.2</w:t>
            </w:r>
            <w:r>
              <w:rPr>
                <w:rFonts w:hint="eastAsia" w:ascii="宋体" w:hAnsi="宋体" w:cs="宋体"/>
                <w:color w:val="auto"/>
                <w:kern w:val="0"/>
                <w:szCs w:val="21"/>
                <w:lang w:val="zh-CN"/>
              </w:rPr>
              <w:t>款</w:t>
            </w:r>
          </w:p>
        </w:tc>
        <w:tc>
          <w:tcPr>
            <w:tcW w:w="2340" w:type="dxa"/>
            <w:vAlign w:val="center"/>
          </w:tcPr>
          <w:p w14:paraId="2FDA7266">
            <w:pPr>
              <w:adjustRightInd w:val="0"/>
              <w:snapToGrid w:val="0"/>
              <w:spacing w:line="360" w:lineRule="exact"/>
              <w:jc w:val="center"/>
              <w:rPr>
                <w:rFonts w:ascii="宋体" w:hAnsi="宋体"/>
                <w:color w:val="auto"/>
                <w:szCs w:val="21"/>
              </w:rPr>
            </w:pPr>
            <w:r>
              <w:rPr>
                <w:rFonts w:hint="eastAsia" w:ascii="宋体" w:hAnsi="宋体"/>
                <w:color w:val="auto"/>
                <w:szCs w:val="21"/>
              </w:rPr>
              <w:t>需要宣布的其他内容</w:t>
            </w:r>
          </w:p>
        </w:tc>
        <w:tc>
          <w:tcPr>
            <w:tcW w:w="5303" w:type="dxa"/>
            <w:vAlign w:val="center"/>
          </w:tcPr>
          <w:p w14:paraId="2A2362BE">
            <w:pPr>
              <w:adjustRightInd w:val="0"/>
              <w:snapToGrid w:val="0"/>
              <w:spacing w:line="360" w:lineRule="exact"/>
              <w:rPr>
                <w:rFonts w:ascii="宋体" w:hAnsi="宋体"/>
                <w:color w:val="auto"/>
                <w:szCs w:val="21"/>
              </w:rPr>
            </w:pPr>
            <w:r>
              <w:rPr>
                <w:rFonts w:hint="eastAsia" w:ascii="宋体" w:hAnsi="宋体"/>
                <w:color w:val="auto"/>
                <w:szCs w:val="21"/>
              </w:rPr>
              <w:t>以电子采购交易平台唱标内容为准。</w:t>
            </w:r>
          </w:p>
        </w:tc>
      </w:tr>
      <w:tr w14:paraId="3D3382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85" w:type="dxa"/>
            <w:gridSpan w:val="3"/>
            <w:vAlign w:val="center"/>
          </w:tcPr>
          <w:p w14:paraId="4AFEB168">
            <w:pPr>
              <w:adjustRightInd w:val="0"/>
              <w:snapToGrid w:val="0"/>
              <w:spacing w:line="360" w:lineRule="exact"/>
              <w:rPr>
                <w:rFonts w:ascii="宋体" w:hAnsi="宋体"/>
                <w:b/>
                <w:color w:val="auto"/>
                <w:szCs w:val="21"/>
              </w:rPr>
            </w:pPr>
            <w:r>
              <w:rPr>
                <w:rFonts w:hint="eastAsia" w:ascii="宋体" w:hAnsi="宋体"/>
                <w:b/>
                <w:color w:val="auto"/>
                <w:szCs w:val="21"/>
              </w:rPr>
              <w:t>六、中标信息公布</w:t>
            </w:r>
          </w:p>
        </w:tc>
      </w:tr>
      <w:tr w14:paraId="535C90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5DD20FAE">
            <w:pPr>
              <w:adjustRightInd w:val="0"/>
              <w:snapToGrid w:val="0"/>
              <w:spacing w:line="360" w:lineRule="exact"/>
              <w:jc w:val="center"/>
              <w:rPr>
                <w:rFonts w:ascii="宋体" w:hAnsi="宋体"/>
                <w:color w:val="auto"/>
                <w:szCs w:val="21"/>
              </w:rPr>
            </w:pPr>
            <w:r>
              <w:rPr>
                <w:rFonts w:hint="eastAsia" w:ascii="宋体" w:hAnsi="宋体"/>
                <w:color w:val="auto"/>
                <w:szCs w:val="21"/>
              </w:rPr>
              <w:t>第28.2</w:t>
            </w:r>
            <w:r>
              <w:rPr>
                <w:rFonts w:hint="eastAsia" w:ascii="宋体" w:hAnsi="宋体" w:cs="宋体"/>
                <w:color w:val="auto"/>
                <w:kern w:val="0"/>
                <w:szCs w:val="21"/>
                <w:lang w:val="zh-CN"/>
              </w:rPr>
              <w:t>款</w:t>
            </w:r>
          </w:p>
        </w:tc>
        <w:tc>
          <w:tcPr>
            <w:tcW w:w="2340" w:type="dxa"/>
            <w:vAlign w:val="center"/>
          </w:tcPr>
          <w:p w14:paraId="6142BD71">
            <w:pPr>
              <w:adjustRightInd w:val="0"/>
              <w:snapToGrid w:val="0"/>
              <w:spacing w:line="360" w:lineRule="exact"/>
              <w:jc w:val="center"/>
              <w:rPr>
                <w:rFonts w:ascii="宋体" w:hAnsi="宋体"/>
                <w:color w:val="auto"/>
                <w:szCs w:val="21"/>
              </w:rPr>
            </w:pPr>
            <w:r>
              <w:rPr>
                <w:rFonts w:hint="eastAsia" w:ascii="宋体" w:hAnsi="宋体"/>
                <w:color w:val="auto"/>
                <w:szCs w:val="21"/>
              </w:rPr>
              <w:t>中标候选人并列的确定中标人的方式</w:t>
            </w:r>
          </w:p>
        </w:tc>
        <w:tc>
          <w:tcPr>
            <w:tcW w:w="5303" w:type="dxa"/>
            <w:vAlign w:val="center"/>
          </w:tcPr>
          <w:p w14:paraId="4598402D">
            <w:pPr>
              <w:adjustRightInd w:val="0"/>
              <w:snapToGrid w:val="0"/>
              <w:spacing w:line="360" w:lineRule="exact"/>
              <w:rPr>
                <w:rFonts w:ascii="宋体" w:hAnsi="宋体"/>
                <w:bCs/>
                <w:color w:val="auto"/>
                <w:szCs w:val="21"/>
              </w:rPr>
            </w:pPr>
            <w:r>
              <w:rPr>
                <w:rFonts w:hint="eastAsia" w:ascii="宋体" w:hAnsi="宋体"/>
                <w:bCs/>
                <w:color w:val="auto"/>
                <w:szCs w:val="21"/>
              </w:rPr>
              <w:t>完全满足招标文件实质性需求且综合得分最高的单位为中标单位，得分相同的，按投标报价由低到高顺序排列；得分且投标报价相同的并列，按技术指标优劣顺序排列最高的投标人为排名第一的中标候选人。</w:t>
            </w:r>
          </w:p>
        </w:tc>
      </w:tr>
      <w:tr w14:paraId="3D092B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3911B87B">
            <w:pPr>
              <w:adjustRightInd w:val="0"/>
              <w:snapToGrid w:val="0"/>
              <w:spacing w:line="360" w:lineRule="exact"/>
              <w:jc w:val="center"/>
              <w:rPr>
                <w:rFonts w:ascii="宋体" w:hAnsi="宋体"/>
                <w:color w:val="auto"/>
                <w:szCs w:val="21"/>
              </w:rPr>
            </w:pPr>
            <w:r>
              <w:rPr>
                <w:rFonts w:hint="eastAsia" w:ascii="宋体" w:hAnsi="宋体"/>
                <w:color w:val="auto"/>
                <w:szCs w:val="21"/>
              </w:rPr>
              <w:t>第29.3</w:t>
            </w:r>
            <w:r>
              <w:rPr>
                <w:rFonts w:hint="eastAsia" w:ascii="宋体" w:hAnsi="宋体" w:cs="宋体"/>
                <w:color w:val="auto"/>
                <w:kern w:val="0"/>
                <w:szCs w:val="21"/>
                <w:lang w:val="zh-CN"/>
              </w:rPr>
              <w:t>款</w:t>
            </w:r>
          </w:p>
        </w:tc>
        <w:tc>
          <w:tcPr>
            <w:tcW w:w="2340" w:type="dxa"/>
            <w:vAlign w:val="center"/>
          </w:tcPr>
          <w:p w14:paraId="7EC46AD1">
            <w:pPr>
              <w:adjustRightInd w:val="0"/>
              <w:snapToGrid w:val="0"/>
              <w:spacing w:line="360" w:lineRule="exact"/>
              <w:jc w:val="center"/>
              <w:rPr>
                <w:rFonts w:ascii="宋体" w:hAnsi="宋体"/>
                <w:color w:val="auto"/>
                <w:szCs w:val="21"/>
              </w:rPr>
            </w:pPr>
            <w:r>
              <w:rPr>
                <w:rFonts w:hint="eastAsia" w:ascii="宋体" w:hAnsi="宋体"/>
                <w:color w:val="auto"/>
                <w:szCs w:val="21"/>
              </w:rPr>
              <w:t>接收质疑函的联系部门、联系电话和通讯地址</w:t>
            </w:r>
          </w:p>
        </w:tc>
        <w:tc>
          <w:tcPr>
            <w:tcW w:w="5303" w:type="dxa"/>
            <w:vAlign w:val="center"/>
          </w:tcPr>
          <w:p w14:paraId="1DFE4282">
            <w:pPr>
              <w:adjustRightInd w:val="0"/>
              <w:snapToGrid w:val="0"/>
              <w:spacing w:line="360" w:lineRule="auto"/>
              <w:rPr>
                <w:rFonts w:hint="eastAsia" w:ascii="宋体" w:hAnsi="宋体"/>
                <w:color w:val="auto"/>
                <w:szCs w:val="21"/>
                <w:lang w:eastAsia="zh-CN"/>
              </w:rPr>
            </w:pPr>
            <w:r>
              <w:rPr>
                <w:rFonts w:hint="eastAsia" w:ascii="宋体" w:hAnsi="宋体"/>
                <w:color w:val="auto"/>
                <w:szCs w:val="21"/>
              </w:rPr>
              <w:t>1.名 称：</w:t>
            </w:r>
            <w:r>
              <w:rPr>
                <w:rFonts w:hint="eastAsia" w:ascii="宋体" w:hAnsi="宋体"/>
                <w:color w:val="auto"/>
                <w:szCs w:val="21"/>
                <w:lang w:eastAsia="zh-CN"/>
              </w:rPr>
              <w:t>新化县田坪镇中心学校</w:t>
            </w:r>
          </w:p>
          <w:p w14:paraId="0BE7A990">
            <w:pPr>
              <w:numPr>
                <w:ilvl w:val="0"/>
                <w:numId w:val="0"/>
              </w:numPr>
              <w:adjustRightInd w:val="0"/>
              <w:snapToGrid w:val="0"/>
              <w:spacing w:line="360" w:lineRule="auto"/>
              <w:ind w:leftChars="0" w:firstLine="210" w:firstLineChars="100"/>
              <w:rPr>
                <w:rFonts w:hint="eastAsia" w:ascii="宋体" w:hAnsi="宋体"/>
                <w:color w:val="auto"/>
                <w:szCs w:val="21"/>
                <w:lang w:val="en-US" w:eastAsia="zh-CN"/>
              </w:rPr>
            </w:pPr>
            <w:r>
              <w:rPr>
                <w:rFonts w:hint="eastAsia" w:ascii="宋体" w:hAnsi="宋体"/>
                <w:color w:val="auto"/>
                <w:szCs w:val="21"/>
              </w:rPr>
              <w:t>地址：</w:t>
            </w:r>
            <w:r>
              <w:rPr>
                <w:rFonts w:hint="eastAsia" w:ascii="宋体" w:hAnsi="宋体"/>
                <w:color w:val="auto"/>
                <w:szCs w:val="21"/>
                <w:lang w:val="en-US" w:eastAsia="zh-CN"/>
              </w:rPr>
              <w:t xml:space="preserve">新化县田坪镇田坪村 </w:t>
            </w:r>
          </w:p>
          <w:p w14:paraId="0319859F">
            <w:pPr>
              <w:adjustRightInd w:val="0"/>
              <w:snapToGrid w:val="0"/>
              <w:spacing w:line="360" w:lineRule="auto"/>
              <w:ind w:firstLine="210" w:firstLineChars="100"/>
              <w:rPr>
                <w:rFonts w:hint="eastAsia" w:ascii="宋体" w:hAnsi="宋体"/>
                <w:color w:val="auto"/>
                <w:szCs w:val="21"/>
                <w:lang w:val="en-US" w:eastAsia="zh-CN"/>
              </w:rPr>
            </w:pPr>
            <w:r>
              <w:rPr>
                <w:rFonts w:hint="eastAsia" w:ascii="宋体" w:hAnsi="宋体"/>
                <w:color w:val="auto"/>
                <w:szCs w:val="21"/>
              </w:rPr>
              <w:t>联系人：</w:t>
            </w:r>
            <w:r>
              <w:rPr>
                <w:rFonts w:hint="eastAsia" w:ascii="宋体" w:hAnsi="宋体"/>
                <w:color w:val="auto"/>
                <w:szCs w:val="21"/>
                <w:lang w:val="en-US" w:eastAsia="zh-CN"/>
              </w:rPr>
              <w:t xml:space="preserve"> 康明光</w:t>
            </w:r>
          </w:p>
          <w:p w14:paraId="5D566CB6">
            <w:pPr>
              <w:adjustRightInd w:val="0"/>
              <w:snapToGrid w:val="0"/>
              <w:spacing w:line="360" w:lineRule="auto"/>
              <w:ind w:firstLine="210" w:firstLineChars="100"/>
              <w:rPr>
                <w:rFonts w:hint="default" w:ascii="宋体" w:hAnsi="宋体" w:eastAsia="宋体" w:cs="宋体"/>
                <w:color w:val="auto"/>
                <w:szCs w:val="21"/>
                <w:lang w:val="en-US" w:eastAsia="zh-CN"/>
              </w:rPr>
            </w:pPr>
            <w:r>
              <w:rPr>
                <w:rFonts w:hint="eastAsia" w:ascii="宋体" w:hAnsi="宋体"/>
                <w:color w:val="auto"/>
                <w:szCs w:val="21"/>
              </w:rPr>
              <w:t>电话：</w:t>
            </w:r>
            <w:r>
              <w:rPr>
                <w:rFonts w:hint="eastAsia" w:ascii="宋体" w:hAnsi="宋体"/>
                <w:color w:val="auto"/>
                <w:szCs w:val="21"/>
                <w:lang w:val="en-US" w:eastAsia="zh-CN"/>
              </w:rPr>
              <w:t xml:space="preserve"> 13786812186</w:t>
            </w:r>
          </w:p>
          <w:p w14:paraId="67144818">
            <w:pPr>
              <w:adjustRightInd w:val="0"/>
              <w:snapToGrid w:val="0"/>
              <w:spacing w:line="360" w:lineRule="auto"/>
              <w:rPr>
                <w:rFonts w:ascii="宋体" w:hAnsi="宋体"/>
                <w:color w:val="auto"/>
                <w:szCs w:val="21"/>
              </w:rPr>
            </w:pPr>
            <w:r>
              <w:rPr>
                <w:rFonts w:hint="eastAsia" w:ascii="宋体" w:hAnsi="宋体"/>
                <w:b/>
                <w:bCs/>
                <w:color w:val="auto"/>
                <w:szCs w:val="21"/>
              </w:rPr>
              <w:t>2.</w:t>
            </w:r>
            <w:r>
              <w:rPr>
                <w:rFonts w:hint="eastAsia" w:ascii="宋体" w:hAnsi="宋体"/>
                <w:color w:val="auto"/>
                <w:szCs w:val="21"/>
              </w:rPr>
              <w:t>名称：娄底市政府采购中心</w:t>
            </w:r>
          </w:p>
          <w:p w14:paraId="04D769BA">
            <w:pPr>
              <w:adjustRightInd w:val="0"/>
              <w:snapToGrid w:val="0"/>
              <w:spacing w:line="360" w:lineRule="auto"/>
              <w:ind w:firstLine="210" w:firstLineChars="100"/>
              <w:rPr>
                <w:rFonts w:ascii="宋体" w:hAnsi="宋体" w:cs="宋体"/>
                <w:color w:val="auto"/>
                <w:szCs w:val="21"/>
              </w:rPr>
            </w:pPr>
            <w:r>
              <w:rPr>
                <w:rFonts w:hint="eastAsia" w:ascii="宋体" w:hAnsi="宋体" w:cs="宋体"/>
                <w:color w:val="auto"/>
                <w:szCs w:val="21"/>
              </w:rPr>
              <w:t>地址：娄底市娄星区勤政街36号</w:t>
            </w:r>
          </w:p>
          <w:p w14:paraId="3762718E">
            <w:pPr>
              <w:adjustRightInd w:val="0"/>
              <w:snapToGrid w:val="0"/>
              <w:spacing w:line="360" w:lineRule="auto"/>
              <w:ind w:firstLine="210" w:firstLineChars="100"/>
              <w:rPr>
                <w:rFonts w:hint="eastAsia" w:ascii="宋体" w:hAnsi="宋体" w:eastAsia="宋体" w:cs="宋体"/>
                <w:color w:val="auto"/>
                <w:szCs w:val="21"/>
                <w:lang w:eastAsia="zh-CN"/>
              </w:rPr>
            </w:pPr>
            <w:r>
              <w:rPr>
                <w:rFonts w:hint="eastAsia" w:ascii="宋体" w:hAnsi="宋体" w:cs="宋体"/>
                <w:color w:val="auto"/>
                <w:szCs w:val="21"/>
              </w:rPr>
              <w:t>联系人：罗</w:t>
            </w:r>
            <w:r>
              <w:rPr>
                <w:rFonts w:hint="eastAsia" w:ascii="宋体" w:hAnsi="宋体" w:cs="宋体"/>
                <w:color w:val="auto"/>
                <w:szCs w:val="21"/>
                <w:lang w:val="en-US" w:eastAsia="zh-CN"/>
              </w:rPr>
              <w:t>女士</w:t>
            </w:r>
          </w:p>
          <w:p w14:paraId="22F515E2">
            <w:pPr>
              <w:adjustRightInd w:val="0"/>
              <w:snapToGrid w:val="0"/>
              <w:spacing w:line="360" w:lineRule="auto"/>
              <w:ind w:firstLine="210" w:firstLineChars="100"/>
              <w:rPr>
                <w:rFonts w:ascii="宋体" w:hAnsi="宋体"/>
                <w:color w:val="auto"/>
                <w:szCs w:val="21"/>
              </w:rPr>
            </w:pPr>
            <w:r>
              <w:rPr>
                <w:rFonts w:hint="eastAsia" w:ascii="宋体" w:hAnsi="宋体" w:cs="宋体"/>
                <w:color w:val="auto"/>
                <w:szCs w:val="21"/>
              </w:rPr>
              <w:t>电话：0738-6371181</w:t>
            </w:r>
          </w:p>
        </w:tc>
      </w:tr>
      <w:tr w14:paraId="07A519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85" w:type="dxa"/>
            <w:gridSpan w:val="3"/>
            <w:vAlign w:val="center"/>
          </w:tcPr>
          <w:p w14:paraId="25FE3742">
            <w:pPr>
              <w:adjustRightInd w:val="0"/>
              <w:snapToGrid w:val="0"/>
              <w:spacing w:line="360" w:lineRule="exact"/>
              <w:rPr>
                <w:rFonts w:ascii="宋体" w:hAnsi="宋体"/>
                <w:color w:val="auto"/>
                <w:szCs w:val="21"/>
              </w:rPr>
            </w:pPr>
            <w:r>
              <w:rPr>
                <w:rFonts w:hint="eastAsia" w:ascii="宋体" w:hAnsi="宋体"/>
                <w:b/>
                <w:color w:val="auto"/>
                <w:szCs w:val="21"/>
              </w:rPr>
              <w:t>七、合同签订</w:t>
            </w:r>
          </w:p>
        </w:tc>
      </w:tr>
      <w:tr w14:paraId="15C7F3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4A03E162">
            <w:pPr>
              <w:adjustRightInd w:val="0"/>
              <w:snapToGrid w:val="0"/>
              <w:spacing w:line="360" w:lineRule="exact"/>
              <w:jc w:val="center"/>
              <w:rPr>
                <w:rFonts w:ascii="宋体" w:hAnsi="宋体"/>
                <w:color w:val="auto"/>
                <w:szCs w:val="21"/>
              </w:rPr>
            </w:pPr>
            <w:r>
              <w:rPr>
                <w:rFonts w:hint="eastAsia" w:ascii="宋体" w:hAnsi="宋体"/>
                <w:color w:val="auto"/>
                <w:szCs w:val="21"/>
              </w:rPr>
              <w:t>第31.1</w:t>
            </w:r>
            <w:r>
              <w:rPr>
                <w:rFonts w:hint="eastAsia" w:ascii="宋体" w:hAnsi="宋体" w:cs="宋体"/>
                <w:color w:val="auto"/>
                <w:kern w:val="0"/>
                <w:szCs w:val="21"/>
                <w:lang w:val="zh-CN"/>
              </w:rPr>
              <w:t>款</w:t>
            </w:r>
          </w:p>
        </w:tc>
        <w:tc>
          <w:tcPr>
            <w:tcW w:w="2340" w:type="dxa"/>
            <w:vAlign w:val="center"/>
          </w:tcPr>
          <w:p w14:paraId="57ED943F">
            <w:pPr>
              <w:adjustRightInd w:val="0"/>
              <w:snapToGrid w:val="0"/>
              <w:spacing w:line="360" w:lineRule="exact"/>
              <w:jc w:val="center"/>
              <w:rPr>
                <w:rFonts w:ascii="宋体" w:hAnsi="宋体"/>
                <w:color w:val="auto"/>
                <w:szCs w:val="21"/>
              </w:rPr>
            </w:pPr>
            <w:r>
              <w:rPr>
                <w:rFonts w:hint="eastAsia" w:ascii="宋体" w:hAnsi="宋体"/>
                <w:color w:val="auto"/>
                <w:szCs w:val="21"/>
              </w:rPr>
              <w:t>履约担保</w:t>
            </w:r>
          </w:p>
        </w:tc>
        <w:tc>
          <w:tcPr>
            <w:tcW w:w="5303" w:type="dxa"/>
            <w:vAlign w:val="center"/>
          </w:tcPr>
          <w:p w14:paraId="6CCE8F11">
            <w:pPr>
              <w:adjustRightInd w:val="0"/>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不要求提供</w:t>
            </w:r>
          </w:p>
          <w:p w14:paraId="0CECDC25">
            <w:pPr>
              <w:wordWrap w:val="0"/>
              <w:autoSpaceDE w:val="0"/>
              <w:spacing w:line="360" w:lineRule="exact"/>
              <w:rPr>
                <w:rFonts w:ascii="宋体" w:hAnsi="宋体"/>
                <w:color w:val="auto"/>
                <w:sz w:val="21"/>
                <w:szCs w:val="21"/>
              </w:rPr>
            </w:pPr>
            <w:r>
              <w:rPr>
                <w:rFonts w:hint="eastAsia" w:ascii="宋体" w:hAnsi="宋体" w:cs="宋体"/>
                <w:color w:val="auto"/>
                <w:highlight w:val="none"/>
                <w:lang w:eastAsia="zh-CN"/>
              </w:rPr>
              <w:t>□</w:t>
            </w:r>
            <w:r>
              <w:rPr>
                <w:rFonts w:hint="eastAsia" w:ascii="宋体" w:hAnsi="宋体" w:eastAsia="宋体" w:cs="宋体"/>
                <w:color w:val="auto"/>
                <w:highlight w:val="none"/>
              </w:rPr>
              <w:t xml:space="preserve"> 要求提供</w:t>
            </w:r>
          </w:p>
        </w:tc>
      </w:tr>
      <w:tr w14:paraId="757CC1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6" w:hRule="atLeast"/>
          <w:jc w:val="center"/>
        </w:trPr>
        <w:tc>
          <w:tcPr>
            <w:tcW w:w="8885" w:type="dxa"/>
            <w:gridSpan w:val="3"/>
            <w:vAlign w:val="center"/>
          </w:tcPr>
          <w:p w14:paraId="51F2DC50">
            <w:pPr>
              <w:adjustRightInd w:val="0"/>
              <w:spacing w:line="360" w:lineRule="exact"/>
              <w:rPr>
                <w:rFonts w:ascii="宋体" w:hAnsi="宋体"/>
                <w:color w:val="auto"/>
                <w:szCs w:val="21"/>
              </w:rPr>
            </w:pPr>
            <w:r>
              <w:rPr>
                <w:rFonts w:hint="eastAsia" w:ascii="宋体" w:hAnsi="宋体"/>
                <w:b/>
                <w:bCs/>
                <w:color w:val="auto"/>
                <w:szCs w:val="21"/>
              </w:rPr>
              <w:t>八、政府采购政策</w:t>
            </w:r>
          </w:p>
        </w:tc>
      </w:tr>
      <w:tr w14:paraId="4DB361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0" w:hRule="atLeast"/>
          <w:jc w:val="center"/>
        </w:trPr>
        <w:tc>
          <w:tcPr>
            <w:tcW w:w="1242" w:type="dxa"/>
            <w:vAlign w:val="center"/>
          </w:tcPr>
          <w:p w14:paraId="4DECFC0D">
            <w:pPr>
              <w:adjustRightInd w:val="0"/>
              <w:snapToGrid w:val="0"/>
              <w:spacing w:line="360" w:lineRule="exact"/>
              <w:jc w:val="center"/>
              <w:rPr>
                <w:rFonts w:ascii="宋体" w:hAnsi="宋体"/>
                <w:color w:val="auto"/>
                <w:szCs w:val="21"/>
              </w:rPr>
            </w:pPr>
            <w:r>
              <w:rPr>
                <w:rFonts w:hint="eastAsia" w:ascii="宋体" w:hAnsi="宋体"/>
                <w:color w:val="auto"/>
                <w:szCs w:val="21"/>
              </w:rPr>
              <w:t>第33.8款</w:t>
            </w:r>
          </w:p>
        </w:tc>
        <w:tc>
          <w:tcPr>
            <w:tcW w:w="2340" w:type="dxa"/>
            <w:vAlign w:val="center"/>
          </w:tcPr>
          <w:p w14:paraId="6885C4FA">
            <w:pPr>
              <w:adjustRightInd w:val="0"/>
              <w:snapToGrid w:val="0"/>
              <w:spacing w:line="360" w:lineRule="exact"/>
              <w:jc w:val="center"/>
              <w:rPr>
                <w:rFonts w:ascii="宋体" w:hAnsi="宋体"/>
                <w:color w:val="auto"/>
                <w:szCs w:val="21"/>
              </w:rPr>
            </w:pPr>
            <w:r>
              <w:rPr>
                <w:rFonts w:hint="eastAsia" w:ascii="宋体" w:hAnsi="宋体"/>
                <w:color w:val="auto"/>
                <w:szCs w:val="21"/>
              </w:rPr>
              <w:t>采购进口产品</w:t>
            </w:r>
          </w:p>
        </w:tc>
        <w:tc>
          <w:tcPr>
            <w:tcW w:w="5303" w:type="dxa"/>
            <w:vAlign w:val="center"/>
          </w:tcPr>
          <w:p w14:paraId="34A984D2">
            <w:pPr>
              <w:adjustRightInd w:val="0"/>
              <w:spacing w:line="360" w:lineRule="exact"/>
              <w:rPr>
                <w:rFonts w:hint="default" w:eastAsia="宋体"/>
                <w:color w:val="auto"/>
                <w:lang w:val="en-US" w:eastAsia="zh-CN"/>
              </w:rPr>
            </w:pPr>
            <w:r>
              <w:rPr>
                <w:rFonts w:hint="eastAsia"/>
                <w:color w:val="auto"/>
                <w:lang w:val="en-US" w:eastAsia="zh-CN"/>
              </w:rPr>
              <w:t>/</w:t>
            </w:r>
          </w:p>
        </w:tc>
      </w:tr>
      <w:tr w14:paraId="562790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8885" w:type="dxa"/>
            <w:gridSpan w:val="3"/>
            <w:vAlign w:val="center"/>
          </w:tcPr>
          <w:p w14:paraId="23831FEA">
            <w:pPr>
              <w:adjustRightInd w:val="0"/>
              <w:snapToGrid w:val="0"/>
              <w:spacing w:line="360" w:lineRule="exact"/>
              <w:rPr>
                <w:rFonts w:ascii="宋体" w:hAnsi="宋体"/>
                <w:b/>
                <w:color w:val="auto"/>
                <w:szCs w:val="21"/>
              </w:rPr>
            </w:pPr>
            <w:r>
              <w:rPr>
                <w:rFonts w:hint="eastAsia" w:ascii="宋体" w:hAnsi="宋体"/>
                <w:b/>
                <w:color w:val="auto"/>
                <w:szCs w:val="21"/>
              </w:rPr>
              <w:t>九、其他规定</w:t>
            </w:r>
          </w:p>
        </w:tc>
      </w:tr>
      <w:tr w14:paraId="669209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0" w:hRule="atLeast"/>
          <w:jc w:val="center"/>
        </w:trPr>
        <w:tc>
          <w:tcPr>
            <w:tcW w:w="1242" w:type="dxa"/>
            <w:vAlign w:val="center"/>
          </w:tcPr>
          <w:p w14:paraId="71B973ED">
            <w:pPr>
              <w:adjustRightInd w:val="0"/>
              <w:snapToGrid w:val="0"/>
              <w:spacing w:line="360" w:lineRule="exact"/>
              <w:jc w:val="center"/>
              <w:rPr>
                <w:rFonts w:ascii="宋体" w:hAnsi="宋体"/>
                <w:color w:val="auto"/>
                <w:szCs w:val="21"/>
              </w:rPr>
            </w:pPr>
            <w:r>
              <w:rPr>
                <w:rFonts w:hint="eastAsia" w:ascii="宋体" w:hAnsi="宋体"/>
                <w:color w:val="auto"/>
                <w:szCs w:val="21"/>
              </w:rPr>
              <w:t>第35.1(1)</w:t>
            </w:r>
            <w:r>
              <w:rPr>
                <w:rFonts w:hint="eastAsia" w:ascii="宋体" w:hAnsi="宋体" w:cs="宋体"/>
                <w:color w:val="auto"/>
                <w:kern w:val="0"/>
                <w:szCs w:val="21"/>
                <w:lang w:val="zh-CN"/>
              </w:rPr>
              <w:t>款</w:t>
            </w:r>
          </w:p>
        </w:tc>
        <w:tc>
          <w:tcPr>
            <w:tcW w:w="2340" w:type="dxa"/>
            <w:vAlign w:val="center"/>
          </w:tcPr>
          <w:p w14:paraId="04EA2C09">
            <w:pPr>
              <w:adjustRightInd w:val="0"/>
              <w:snapToGrid w:val="0"/>
              <w:spacing w:line="360" w:lineRule="exact"/>
              <w:jc w:val="center"/>
              <w:rPr>
                <w:rFonts w:ascii="宋体" w:hAnsi="宋体"/>
                <w:color w:val="auto"/>
                <w:szCs w:val="21"/>
              </w:rPr>
            </w:pPr>
            <w:r>
              <w:rPr>
                <w:rFonts w:hint="eastAsia" w:ascii="宋体" w:hAnsi="宋体"/>
                <w:color w:val="auto"/>
                <w:szCs w:val="21"/>
              </w:rPr>
              <w:t>合同预付款的支付比例和支付条件</w:t>
            </w:r>
          </w:p>
        </w:tc>
        <w:tc>
          <w:tcPr>
            <w:tcW w:w="5303" w:type="dxa"/>
            <w:vAlign w:val="center"/>
          </w:tcPr>
          <w:p w14:paraId="45C8264A">
            <w:pPr>
              <w:spacing w:line="360" w:lineRule="exact"/>
              <w:rPr>
                <w:rFonts w:ascii="宋体" w:hAnsi="宋体"/>
                <w:color w:val="auto"/>
                <w:szCs w:val="21"/>
              </w:rPr>
            </w:pPr>
            <w:r>
              <w:rPr>
                <w:rFonts w:hint="eastAsia" w:ascii="宋体" w:hAnsi="宋体"/>
                <w:color w:val="auto"/>
                <w:szCs w:val="21"/>
              </w:rPr>
              <w:t>/</w:t>
            </w:r>
          </w:p>
        </w:tc>
      </w:tr>
      <w:tr w14:paraId="58FB1A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42" w:type="dxa"/>
            <w:vAlign w:val="center"/>
          </w:tcPr>
          <w:p w14:paraId="33E0084E">
            <w:pPr>
              <w:adjustRightInd w:val="0"/>
              <w:snapToGrid w:val="0"/>
              <w:spacing w:line="360" w:lineRule="exact"/>
              <w:jc w:val="center"/>
              <w:rPr>
                <w:rFonts w:ascii="宋体" w:hAnsi="宋体"/>
                <w:color w:val="auto"/>
                <w:szCs w:val="21"/>
              </w:rPr>
            </w:pPr>
            <w:r>
              <w:rPr>
                <w:rFonts w:hint="eastAsia" w:ascii="宋体" w:hAnsi="宋体"/>
                <w:color w:val="auto"/>
                <w:szCs w:val="21"/>
              </w:rPr>
              <w:t>第35.1</w:t>
            </w:r>
            <w:r>
              <w:rPr>
                <w:rFonts w:hint="eastAsia" w:ascii="宋体" w:hAnsi="宋体" w:cs="宋体"/>
                <w:color w:val="auto"/>
                <w:kern w:val="0"/>
                <w:szCs w:val="21"/>
                <w:lang w:val="zh-CN"/>
              </w:rPr>
              <w:t>（</w:t>
            </w:r>
            <w:r>
              <w:rPr>
                <w:rFonts w:hint="eastAsia" w:ascii="宋体" w:hAnsi="宋体" w:cs="宋体"/>
                <w:color w:val="auto"/>
                <w:kern w:val="0"/>
                <w:szCs w:val="21"/>
              </w:rPr>
              <w:t>2</w:t>
            </w:r>
            <w:r>
              <w:rPr>
                <w:rFonts w:hint="eastAsia" w:ascii="宋体" w:hAnsi="宋体" w:cs="宋体"/>
                <w:color w:val="auto"/>
                <w:kern w:val="0"/>
                <w:szCs w:val="21"/>
                <w:lang w:val="zh-CN"/>
              </w:rPr>
              <w:t>）</w:t>
            </w:r>
            <w:r>
              <w:rPr>
                <w:rFonts w:hint="eastAsia" w:ascii="宋体" w:hAnsi="宋体" w:cs="宋体"/>
                <w:color w:val="auto"/>
                <w:kern w:val="0"/>
                <w:szCs w:val="21"/>
              </w:rPr>
              <w:t>项</w:t>
            </w:r>
          </w:p>
        </w:tc>
        <w:tc>
          <w:tcPr>
            <w:tcW w:w="2340" w:type="dxa"/>
            <w:vAlign w:val="center"/>
          </w:tcPr>
          <w:p w14:paraId="655D06C4">
            <w:pPr>
              <w:adjustRightInd w:val="0"/>
              <w:snapToGrid w:val="0"/>
              <w:spacing w:line="360" w:lineRule="exact"/>
              <w:jc w:val="center"/>
              <w:rPr>
                <w:rFonts w:ascii="宋体" w:hAnsi="宋体"/>
                <w:color w:val="auto"/>
                <w:szCs w:val="21"/>
              </w:rPr>
            </w:pPr>
            <w:r>
              <w:rPr>
                <w:rFonts w:hint="eastAsia" w:ascii="宋体" w:hAnsi="宋体"/>
                <w:color w:val="auto"/>
                <w:szCs w:val="21"/>
              </w:rPr>
              <w:t>质量保证金</w:t>
            </w:r>
          </w:p>
        </w:tc>
        <w:tc>
          <w:tcPr>
            <w:tcW w:w="5303" w:type="dxa"/>
            <w:vAlign w:val="center"/>
          </w:tcPr>
          <w:p w14:paraId="6CB9CB2B">
            <w:pPr>
              <w:spacing w:line="360" w:lineRule="exact"/>
              <w:rPr>
                <w:rFonts w:ascii="宋体" w:hAnsi="宋体"/>
                <w:color w:val="auto"/>
                <w:szCs w:val="21"/>
              </w:rPr>
            </w:pPr>
            <w:r>
              <w:rPr>
                <w:rFonts w:hint="eastAsia" w:ascii="宋体" w:hAnsi="宋体"/>
                <w:color w:val="auto"/>
                <w:szCs w:val="21"/>
              </w:rPr>
              <w:t>/</w:t>
            </w:r>
          </w:p>
        </w:tc>
      </w:tr>
      <w:tr w14:paraId="5BA2FA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2" w:hRule="atLeast"/>
          <w:jc w:val="center"/>
        </w:trPr>
        <w:tc>
          <w:tcPr>
            <w:tcW w:w="1242" w:type="dxa"/>
            <w:vMerge w:val="restart"/>
            <w:vAlign w:val="center"/>
          </w:tcPr>
          <w:p w14:paraId="041F2C4C">
            <w:pPr>
              <w:adjustRightInd w:val="0"/>
              <w:snapToGrid w:val="0"/>
              <w:spacing w:line="360" w:lineRule="exact"/>
              <w:jc w:val="center"/>
              <w:rPr>
                <w:rFonts w:hint="eastAsia" w:ascii="宋体" w:hAnsi="宋体"/>
                <w:color w:val="auto"/>
                <w:szCs w:val="21"/>
              </w:rPr>
            </w:pPr>
          </w:p>
        </w:tc>
        <w:tc>
          <w:tcPr>
            <w:tcW w:w="2340" w:type="dxa"/>
            <w:tcBorders>
              <w:top w:val="single" w:color="auto" w:sz="4" w:space="0"/>
              <w:bottom w:val="single" w:color="auto" w:sz="4" w:space="0"/>
            </w:tcBorders>
            <w:vAlign w:val="center"/>
          </w:tcPr>
          <w:p w14:paraId="4F49D8BB">
            <w:pPr>
              <w:wordWrap w:val="0"/>
              <w:adjustRightInd w:val="0"/>
              <w:snapToGrid w:val="0"/>
              <w:spacing w:line="440" w:lineRule="exact"/>
              <w:jc w:val="center"/>
              <w:rPr>
                <w:rFonts w:hint="eastAsia" w:ascii="宋体" w:hAnsi="宋体"/>
                <w:color w:val="auto"/>
                <w:szCs w:val="21"/>
              </w:rPr>
            </w:pPr>
            <w:r>
              <w:rPr>
                <w:rFonts w:hint="eastAsia" w:ascii="宋体" w:hAnsi="宋体" w:cs="宋体"/>
                <w:color w:val="auto"/>
                <w:szCs w:val="21"/>
              </w:rPr>
              <w:t>招标代理服务费</w:t>
            </w:r>
          </w:p>
        </w:tc>
        <w:tc>
          <w:tcPr>
            <w:tcW w:w="5303" w:type="dxa"/>
            <w:tcBorders>
              <w:top w:val="single" w:color="auto" w:sz="4" w:space="0"/>
              <w:bottom w:val="single" w:color="auto" w:sz="4" w:space="0"/>
            </w:tcBorders>
            <w:vAlign w:val="center"/>
          </w:tcPr>
          <w:p w14:paraId="7FA39F87">
            <w:pPr>
              <w:wordWrap w:val="0"/>
              <w:adjustRightInd w:val="0"/>
              <w:snapToGrid w:val="0"/>
              <w:spacing w:line="440" w:lineRule="exact"/>
              <w:rPr>
                <w:rFonts w:hint="eastAsia" w:ascii="宋体" w:hAnsi="宋体" w:eastAsia="宋体"/>
                <w:color w:val="auto"/>
                <w:szCs w:val="21"/>
                <w:lang w:eastAsia="zh-CN"/>
              </w:rPr>
            </w:pPr>
            <w:r>
              <w:rPr>
                <w:rFonts w:hint="eastAsia" w:ascii="MS Gothic" w:hAnsi="MS Gothic" w:cs="MS Gothic"/>
                <w:color w:val="auto"/>
                <w:szCs w:val="21"/>
              </w:rPr>
              <w:t>集中采购机构不收取代理服务费</w:t>
            </w:r>
            <w:r>
              <w:rPr>
                <w:rFonts w:hint="eastAsia" w:ascii="MS Gothic" w:hAnsi="MS Gothic" w:cs="MS Gothic"/>
                <w:color w:val="auto"/>
                <w:szCs w:val="21"/>
                <w:lang w:eastAsia="zh-CN"/>
              </w:rPr>
              <w:t>。</w:t>
            </w:r>
          </w:p>
        </w:tc>
      </w:tr>
      <w:tr w14:paraId="0CCACA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9" w:hRule="atLeast"/>
          <w:jc w:val="center"/>
        </w:trPr>
        <w:tc>
          <w:tcPr>
            <w:tcW w:w="1242" w:type="dxa"/>
            <w:vMerge w:val="continue"/>
            <w:vAlign w:val="center"/>
          </w:tcPr>
          <w:p w14:paraId="39F087E4">
            <w:pPr>
              <w:adjustRightInd w:val="0"/>
              <w:snapToGrid w:val="0"/>
              <w:spacing w:line="360" w:lineRule="exact"/>
              <w:jc w:val="center"/>
              <w:rPr>
                <w:rFonts w:hint="eastAsia" w:ascii="宋体" w:hAnsi="宋体"/>
                <w:color w:val="auto"/>
                <w:szCs w:val="21"/>
              </w:rPr>
            </w:pPr>
          </w:p>
        </w:tc>
        <w:tc>
          <w:tcPr>
            <w:tcW w:w="2340" w:type="dxa"/>
            <w:tcBorders>
              <w:top w:val="single" w:color="auto" w:sz="4" w:space="0"/>
            </w:tcBorders>
            <w:shd w:val="clear" w:color="auto" w:fill="auto"/>
            <w:vAlign w:val="center"/>
          </w:tcPr>
          <w:p w14:paraId="3DD95A7C">
            <w:pPr>
              <w:wordWrap w:val="0"/>
              <w:adjustRightInd w:val="0"/>
              <w:snapToGrid w:val="0"/>
              <w:spacing w:line="440" w:lineRule="exact"/>
              <w:jc w:val="center"/>
              <w:rPr>
                <w:rFonts w:hint="eastAsia" w:ascii="宋体" w:hAnsi="宋体" w:eastAsia="宋体" w:cs="Times New Roman"/>
                <w:color w:val="auto"/>
                <w:kern w:val="2"/>
                <w:sz w:val="21"/>
                <w:szCs w:val="21"/>
                <w:lang w:val="en-US" w:eastAsia="zh-CN" w:bidi="ar-SA"/>
              </w:rPr>
            </w:pPr>
            <w:r>
              <w:rPr>
                <w:rFonts w:hint="eastAsia" w:ascii="宋体" w:hAnsi="宋体" w:cs="宋体"/>
                <w:color w:val="auto"/>
                <w:szCs w:val="21"/>
              </w:rPr>
              <w:t>信用信息查询</w:t>
            </w:r>
          </w:p>
        </w:tc>
        <w:tc>
          <w:tcPr>
            <w:tcW w:w="5303" w:type="dxa"/>
            <w:tcBorders>
              <w:top w:val="single" w:color="auto" w:sz="4" w:space="0"/>
              <w:bottom w:val="single" w:color="auto" w:sz="4" w:space="0"/>
            </w:tcBorders>
            <w:shd w:val="clear" w:color="auto" w:fill="auto"/>
            <w:vAlign w:val="center"/>
          </w:tcPr>
          <w:p w14:paraId="7EAC4E64">
            <w:pPr>
              <w:wordWrap w:val="0"/>
              <w:adjustRightInd w:val="0"/>
              <w:snapToGrid w:val="0"/>
              <w:spacing w:line="440" w:lineRule="exact"/>
              <w:rPr>
                <w:rFonts w:hint="eastAsia" w:ascii="宋体" w:hAnsi="宋体" w:cs="宋体"/>
                <w:color w:val="auto"/>
                <w:szCs w:val="21"/>
              </w:rPr>
            </w:pPr>
            <w:r>
              <w:rPr>
                <w:rFonts w:hint="eastAsia" w:ascii="宋体" w:hAnsi="宋体" w:cs="宋体"/>
                <w:color w:val="auto"/>
                <w:szCs w:val="21"/>
              </w:rPr>
              <w:t>对列入失信被执行人、重大税收违法案件当事人名单、政府采购严重违法失信行为记录名单及其他不符合《中华人民共和国政府采购法》第二十二条规定条件的投标人，将拒绝其参与政府采购活动。</w:t>
            </w:r>
          </w:p>
          <w:p w14:paraId="6B5133A0">
            <w:pPr>
              <w:wordWrap w:val="0"/>
              <w:adjustRightInd w:val="0"/>
              <w:snapToGrid w:val="0"/>
              <w:spacing w:line="440" w:lineRule="exact"/>
              <w:rPr>
                <w:rFonts w:hint="eastAsia" w:ascii="宋体" w:hAnsi="宋体" w:cs="宋体"/>
                <w:color w:val="auto"/>
                <w:szCs w:val="21"/>
              </w:rPr>
            </w:pPr>
            <w:r>
              <w:rPr>
                <w:rFonts w:hint="eastAsia" w:ascii="宋体" w:hAnsi="宋体" w:cs="宋体"/>
                <w:color w:val="auto"/>
                <w:szCs w:val="21"/>
              </w:rPr>
              <w:t>（1）信用信息查询的查询渠道：信用中国网（www.creditchina.gov.cn）、中国政府采购网（www.ccgp.gov.cn）；</w:t>
            </w:r>
          </w:p>
          <w:p w14:paraId="191FD581">
            <w:pPr>
              <w:wordWrap w:val="0"/>
              <w:adjustRightInd w:val="0"/>
              <w:snapToGrid w:val="0"/>
              <w:spacing w:line="440" w:lineRule="exact"/>
              <w:rPr>
                <w:rFonts w:hint="eastAsia" w:ascii="宋体" w:hAnsi="宋体" w:cs="宋体"/>
                <w:color w:val="auto"/>
                <w:szCs w:val="21"/>
              </w:rPr>
            </w:pPr>
            <w:r>
              <w:rPr>
                <w:rFonts w:hint="eastAsia" w:ascii="宋体" w:hAnsi="宋体" w:cs="宋体"/>
                <w:color w:val="auto"/>
                <w:szCs w:val="21"/>
              </w:rPr>
              <w:t>（2）不良信用记录是指：投标人在“信用中国”网站被列入失信被执行人和重大税收违法失信主体名单，或在“中国政府采购网”网站被列入政府采购严重违法失信行为记录名单。投标人有上述不良信用记录的，其投标无效，其中，列入政府采购严重违法失信行为记录名单的，按处罚结果执行。</w:t>
            </w:r>
          </w:p>
          <w:p w14:paraId="1BB92603">
            <w:pPr>
              <w:wordWrap w:val="0"/>
              <w:adjustRightInd w:val="0"/>
              <w:snapToGrid w:val="0"/>
              <w:spacing w:line="440" w:lineRule="exact"/>
              <w:rPr>
                <w:rFonts w:hint="eastAsia" w:ascii="宋体" w:hAnsi="宋体" w:cs="宋体"/>
                <w:color w:val="auto"/>
                <w:szCs w:val="21"/>
              </w:rPr>
            </w:pPr>
            <w:r>
              <w:rPr>
                <w:rFonts w:hint="eastAsia" w:ascii="宋体" w:hAnsi="宋体" w:cs="宋体"/>
                <w:color w:val="auto"/>
                <w:szCs w:val="21"/>
              </w:rPr>
              <w:t>（3）联合体形式投标的，联合体成员存在不良信用记录的，视同联合体存在不良信用记录。</w:t>
            </w:r>
          </w:p>
          <w:p w14:paraId="20DCC08C">
            <w:pPr>
              <w:pStyle w:val="102"/>
              <w:wordWrap w:val="0"/>
              <w:spacing w:line="440" w:lineRule="exact"/>
              <w:ind w:firstLine="4" w:firstLineChars="2"/>
              <w:rPr>
                <w:rFonts w:hint="eastAsia" w:ascii="宋体" w:hAnsi="宋体" w:cs="宋体"/>
                <w:color w:val="auto"/>
              </w:rPr>
            </w:pPr>
            <w:r>
              <w:rPr>
                <w:rFonts w:hint="eastAsia" w:ascii="宋体" w:hAnsi="宋体" w:cs="宋体"/>
                <w:color w:val="auto"/>
              </w:rPr>
              <w:t>（4）信用信息查询记录和证据留存具体方式：将查询网页截图作为查询记录和证据。</w:t>
            </w:r>
          </w:p>
          <w:p w14:paraId="593079DD">
            <w:pPr>
              <w:wordWrap w:val="0"/>
              <w:spacing w:line="440" w:lineRule="exact"/>
              <w:rPr>
                <w:rFonts w:hint="eastAsia" w:ascii="宋体" w:hAnsi="宋体" w:cs="宋体"/>
                <w:color w:val="auto"/>
                <w:szCs w:val="21"/>
              </w:rPr>
            </w:pPr>
            <w:r>
              <w:rPr>
                <w:rFonts w:hint="eastAsia" w:ascii="宋体" w:hAnsi="宋体" w:cs="宋体"/>
                <w:color w:val="auto"/>
                <w:szCs w:val="21"/>
              </w:rPr>
              <w:t>（5）信用信息查询的截止时点：至本项目投标截止时间止（或至本项目响应文件提交截止时间止）。</w:t>
            </w:r>
          </w:p>
          <w:p w14:paraId="0A22893A">
            <w:pPr>
              <w:wordWrap w:val="0"/>
              <w:adjustRightInd w:val="0"/>
              <w:snapToGrid w:val="0"/>
              <w:spacing w:line="440" w:lineRule="exact"/>
              <w:rPr>
                <w:rFonts w:hint="eastAsia" w:ascii="宋体" w:hAnsi="宋体" w:eastAsia="宋体" w:cs="Times New Roman"/>
                <w:color w:val="auto"/>
                <w:kern w:val="2"/>
                <w:sz w:val="21"/>
                <w:szCs w:val="21"/>
                <w:lang w:val="en-US" w:eastAsia="zh-CN" w:bidi="ar-SA"/>
              </w:rPr>
            </w:pPr>
            <w:r>
              <w:rPr>
                <w:rFonts w:hint="eastAsia" w:ascii="宋体" w:hAnsi="宋体" w:cs="宋体"/>
                <w:color w:val="auto"/>
                <w:szCs w:val="21"/>
              </w:rPr>
              <w:t>（6）信用信息的使用规则：投标人有上述不良信用记录的，其投标无效，其中，列入政府采购严重违法失信行为记录名单的，按处罚结果执行。</w:t>
            </w:r>
          </w:p>
        </w:tc>
      </w:tr>
    </w:tbl>
    <w:p w14:paraId="40FBCE05">
      <w:pPr>
        <w:pStyle w:val="4"/>
        <w:jc w:val="center"/>
        <w:rPr>
          <w:rFonts w:ascii="黑体" w:hAnsi="黑体" w:eastAsia="黑体"/>
          <w:b w:val="0"/>
          <w:color w:val="auto"/>
          <w:sz w:val="28"/>
          <w:szCs w:val="28"/>
        </w:rPr>
      </w:pPr>
      <w:r>
        <w:rPr>
          <w:rFonts w:ascii="宋体" w:hAnsi="宋体"/>
          <w:b w:val="0"/>
          <w:color w:val="auto"/>
          <w:szCs w:val="21"/>
        </w:rPr>
        <w:br w:type="page"/>
      </w:r>
      <w:bookmarkStart w:id="68" w:name="_Toc192949703"/>
      <w:bookmarkStart w:id="69" w:name="_Toc108341938"/>
      <w:bookmarkStart w:id="70" w:name="_Toc11564"/>
      <w:bookmarkStart w:id="71" w:name="_Toc3696"/>
      <w:bookmarkStart w:id="72" w:name="_Toc4779"/>
      <w:bookmarkStart w:id="73" w:name="_Toc75289549"/>
      <w:bookmarkStart w:id="74" w:name="_Toc77676467"/>
      <w:bookmarkStart w:id="75" w:name="_Toc114036713"/>
      <w:bookmarkStart w:id="76" w:name="_Toc4847"/>
      <w:bookmarkStart w:id="77" w:name="_Toc117192449"/>
      <w:bookmarkStart w:id="78" w:name="_Toc10856"/>
      <w:bookmarkStart w:id="79" w:name="_Toc377"/>
      <w:bookmarkStart w:id="80" w:name="_Toc94367881"/>
      <w:bookmarkStart w:id="81" w:name="_Toc78314263"/>
      <w:bookmarkStart w:id="82" w:name="_Toc24535"/>
      <w:bookmarkStart w:id="83" w:name="_Toc12780"/>
      <w:bookmarkStart w:id="84" w:name="_Toc78449956"/>
      <w:bookmarkStart w:id="85" w:name="_Toc192949604"/>
      <w:bookmarkStart w:id="86" w:name="_Toc192951214"/>
      <w:bookmarkStart w:id="87" w:name="_Toc112704934"/>
      <w:bookmarkStart w:id="88" w:name="_Toc75289227"/>
      <w:bookmarkStart w:id="89" w:name="_Toc77199400"/>
      <w:bookmarkStart w:id="90" w:name="_Toc85972931"/>
      <w:bookmarkStart w:id="91" w:name="_Toc95601366"/>
      <w:bookmarkStart w:id="92" w:name="_Toc154428391"/>
      <w:bookmarkStart w:id="93" w:name="_Toc171273672"/>
      <w:bookmarkStart w:id="94" w:name="_Toc100670422"/>
      <w:bookmarkStart w:id="95" w:name="_Toc100670669"/>
      <w:bookmarkStart w:id="96" w:name="_Toc15888486"/>
      <w:bookmarkStart w:id="97" w:name="_Toc31436"/>
      <w:r>
        <w:rPr>
          <w:rFonts w:hint="eastAsia" w:ascii="黑体" w:hAnsi="黑体" w:eastAsia="黑体"/>
          <w:b w:val="0"/>
          <w:color w:val="auto"/>
          <w:sz w:val="28"/>
          <w:szCs w:val="28"/>
        </w:rPr>
        <w:t>第二节投标须知正文</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14:paraId="0F0E8716">
      <w:pPr>
        <w:pStyle w:val="5"/>
        <w:adjustRightInd w:val="0"/>
        <w:snapToGrid w:val="0"/>
        <w:spacing w:before="120" w:beforeLines="50" w:after="0" w:line="360" w:lineRule="auto"/>
        <w:jc w:val="center"/>
        <w:rPr>
          <w:rFonts w:ascii="黑体" w:hAnsi="黑体" w:eastAsia="黑体"/>
          <w:b w:val="0"/>
          <w:color w:val="auto"/>
          <w:sz w:val="28"/>
          <w:szCs w:val="28"/>
        </w:rPr>
      </w:pPr>
      <w:bookmarkStart w:id="98" w:name="_Toc17656"/>
      <w:bookmarkStart w:id="99" w:name="_Toc94367882"/>
      <w:bookmarkStart w:id="100" w:name="_Toc117192450"/>
      <w:bookmarkStart w:id="101" w:name="_Toc85972932"/>
      <w:bookmarkStart w:id="102" w:name="_Toc968"/>
      <w:bookmarkStart w:id="103" w:name="_Toc77199401"/>
      <w:bookmarkStart w:id="104" w:name="_Toc154428392"/>
      <w:bookmarkStart w:id="105" w:name="_Toc24047"/>
      <w:bookmarkStart w:id="106" w:name="_Toc192949605"/>
      <w:bookmarkStart w:id="107" w:name="_Toc14791"/>
      <w:bookmarkStart w:id="108" w:name="_Toc108341939"/>
      <w:bookmarkStart w:id="109" w:name="_Toc112704935"/>
      <w:bookmarkStart w:id="110" w:name="_Toc3976"/>
      <w:bookmarkStart w:id="111" w:name="_Toc171273673"/>
      <w:bookmarkStart w:id="112" w:name="_Toc100670423"/>
      <w:bookmarkStart w:id="113" w:name="_Toc18614"/>
      <w:bookmarkStart w:id="114" w:name="_Toc95601367"/>
      <w:bookmarkStart w:id="115" w:name="_Toc78449957"/>
      <w:bookmarkStart w:id="116" w:name="_Toc100670670"/>
      <w:bookmarkStart w:id="117" w:name="_Toc78314264"/>
      <w:bookmarkStart w:id="118" w:name="_Toc75289550"/>
      <w:bookmarkStart w:id="119" w:name="_Toc75289228"/>
      <w:bookmarkStart w:id="120" w:name="_Toc1045"/>
      <w:bookmarkStart w:id="121" w:name="_Toc114036714"/>
      <w:bookmarkStart w:id="122" w:name="_Toc1631"/>
      <w:bookmarkStart w:id="123" w:name="_Toc77676468"/>
      <w:bookmarkStart w:id="124" w:name="_Toc23991"/>
      <w:bookmarkStart w:id="125" w:name="_Toc192949704"/>
      <w:bookmarkStart w:id="126" w:name="_Toc192951215"/>
      <w:bookmarkStart w:id="127" w:name="_Toc15888487"/>
      <w:r>
        <w:rPr>
          <w:rFonts w:hint="eastAsia" w:ascii="黑体" w:hAnsi="黑体" w:eastAsia="黑体"/>
          <w:color w:val="auto"/>
          <w:sz w:val="28"/>
          <w:szCs w:val="28"/>
        </w:rPr>
        <w:t>一、总则</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0CC9381E">
      <w:pPr>
        <w:adjustRightInd w:val="0"/>
        <w:snapToGrid w:val="0"/>
        <w:spacing w:line="360" w:lineRule="auto"/>
        <w:rPr>
          <w:rFonts w:ascii="宋体" w:hAnsi="宋体"/>
          <w:b/>
          <w:bCs/>
          <w:color w:val="auto"/>
          <w:sz w:val="24"/>
        </w:rPr>
      </w:pPr>
      <w:r>
        <w:rPr>
          <w:rFonts w:hint="eastAsia" w:ascii="宋体" w:hAnsi="宋体"/>
          <w:b/>
          <w:bCs/>
          <w:color w:val="auto"/>
          <w:sz w:val="24"/>
        </w:rPr>
        <w:t>1. 适用范围</w:t>
      </w:r>
    </w:p>
    <w:p w14:paraId="58F376D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1.1本招标文件仅适用于本章第一节</w:t>
      </w:r>
      <w:r>
        <w:rPr>
          <w:rFonts w:hint="eastAsia" w:ascii="宋体" w:hAnsi="宋体"/>
          <w:b/>
          <w:bCs/>
          <w:color w:val="auto"/>
          <w:szCs w:val="21"/>
        </w:rPr>
        <w:t>【投标须知前附表】</w:t>
      </w:r>
      <w:r>
        <w:rPr>
          <w:rFonts w:hint="eastAsia" w:ascii="宋体" w:hAnsi="宋体"/>
          <w:color w:val="auto"/>
          <w:szCs w:val="21"/>
        </w:rPr>
        <w:t>中所叙述的采购项目。</w:t>
      </w:r>
    </w:p>
    <w:p w14:paraId="5BD70CE8">
      <w:pPr>
        <w:adjustRightInd w:val="0"/>
        <w:snapToGrid w:val="0"/>
        <w:spacing w:line="360" w:lineRule="auto"/>
        <w:ind w:firstLine="420" w:firstLineChars="200"/>
        <w:rPr>
          <w:rFonts w:ascii="宋体" w:hAnsi="宋体"/>
          <w:color w:val="auto"/>
          <w:szCs w:val="21"/>
        </w:rPr>
      </w:pPr>
      <w:r>
        <w:rPr>
          <w:rFonts w:ascii="宋体" w:hAnsi="宋体"/>
          <w:color w:val="auto"/>
          <w:szCs w:val="21"/>
        </w:rPr>
        <w:t>1.2</w:t>
      </w:r>
      <w:r>
        <w:rPr>
          <w:rFonts w:hint="eastAsia" w:ascii="宋体" w:hAnsi="宋体"/>
          <w:b/>
          <w:color w:val="auto"/>
          <w:szCs w:val="21"/>
        </w:rPr>
        <w:t>【投标须知前附表】</w:t>
      </w:r>
      <w:r>
        <w:rPr>
          <w:rFonts w:hint="eastAsia" w:ascii="宋体" w:hAnsi="宋体"/>
          <w:color w:val="auto"/>
          <w:szCs w:val="21"/>
        </w:rPr>
        <w:t>规定采购项目或者采购包属于“预留采购份额”的，投标人应当符合本章第33.7款规定，否则，其</w:t>
      </w:r>
      <w:r>
        <w:rPr>
          <w:rFonts w:hint="eastAsia" w:ascii="宋体" w:hAnsi="宋体"/>
          <w:b/>
          <w:color w:val="auto"/>
          <w:szCs w:val="21"/>
        </w:rPr>
        <w:t>投标无效</w:t>
      </w:r>
      <w:r>
        <w:rPr>
          <w:rFonts w:hint="eastAsia" w:ascii="宋体" w:hAnsi="宋体"/>
          <w:color w:val="auto"/>
          <w:szCs w:val="21"/>
        </w:rPr>
        <w:t>。</w:t>
      </w:r>
    </w:p>
    <w:p w14:paraId="3079D84C">
      <w:pPr>
        <w:adjustRightInd w:val="0"/>
        <w:snapToGrid w:val="0"/>
        <w:spacing w:line="360" w:lineRule="auto"/>
        <w:rPr>
          <w:rFonts w:ascii="宋体" w:hAnsi="宋体"/>
          <w:b/>
          <w:bCs/>
          <w:color w:val="auto"/>
          <w:sz w:val="24"/>
        </w:rPr>
      </w:pPr>
      <w:r>
        <w:rPr>
          <w:rFonts w:hint="eastAsia" w:ascii="宋体" w:hAnsi="宋体"/>
          <w:b/>
          <w:bCs/>
          <w:color w:val="auto"/>
          <w:sz w:val="24"/>
        </w:rPr>
        <w:t>2. 定义</w:t>
      </w:r>
    </w:p>
    <w:p w14:paraId="7638B2E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2.1采购项目联系人姓名和电话见</w:t>
      </w:r>
      <w:r>
        <w:rPr>
          <w:rFonts w:hint="eastAsia" w:ascii="宋体" w:hAnsi="宋体"/>
          <w:b/>
          <w:color w:val="auto"/>
          <w:szCs w:val="21"/>
        </w:rPr>
        <w:t>【投标须知前附表】</w:t>
      </w:r>
      <w:r>
        <w:rPr>
          <w:rFonts w:hint="eastAsia" w:ascii="宋体" w:hAnsi="宋体"/>
          <w:color w:val="auto"/>
          <w:szCs w:val="21"/>
        </w:rPr>
        <w:t>。</w:t>
      </w:r>
    </w:p>
    <w:p w14:paraId="3421F60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2.2采购人名称、地址、电话、联系人见</w:t>
      </w:r>
      <w:r>
        <w:rPr>
          <w:rFonts w:hint="eastAsia" w:ascii="宋体" w:hAnsi="宋体"/>
          <w:b/>
          <w:color w:val="auto"/>
          <w:szCs w:val="21"/>
        </w:rPr>
        <w:t>【投标须知前附表】</w:t>
      </w:r>
      <w:r>
        <w:rPr>
          <w:rFonts w:hint="eastAsia" w:ascii="宋体" w:hAnsi="宋体"/>
          <w:color w:val="auto"/>
          <w:szCs w:val="21"/>
        </w:rPr>
        <w:t>。</w:t>
      </w:r>
    </w:p>
    <w:p w14:paraId="494A072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2.3采购代理机构名称、地址、电话、联系人见</w:t>
      </w:r>
      <w:r>
        <w:rPr>
          <w:rFonts w:hint="eastAsia" w:ascii="宋体" w:hAnsi="宋体"/>
          <w:b/>
          <w:color w:val="auto"/>
          <w:szCs w:val="21"/>
        </w:rPr>
        <w:t>【投标须知前附表】。</w:t>
      </w:r>
    </w:p>
    <w:p w14:paraId="7E630C60">
      <w:pPr>
        <w:adjustRightInd w:val="0"/>
        <w:snapToGrid w:val="0"/>
        <w:spacing w:line="360" w:lineRule="auto"/>
        <w:ind w:firstLine="420" w:firstLineChars="200"/>
        <w:rPr>
          <w:rFonts w:ascii="宋体" w:hAnsi="宋体"/>
          <w:b/>
          <w:color w:val="auto"/>
          <w:szCs w:val="21"/>
        </w:rPr>
      </w:pPr>
      <w:r>
        <w:rPr>
          <w:rFonts w:hint="eastAsia" w:ascii="宋体" w:hAnsi="宋体"/>
          <w:color w:val="auto"/>
          <w:szCs w:val="21"/>
        </w:rPr>
        <w:t>2.4投标人系指响应招标、参加投标竞争的法人、其他组织或自然人。</w:t>
      </w:r>
    </w:p>
    <w:p w14:paraId="5DA96774">
      <w:pPr>
        <w:adjustRightInd w:val="0"/>
        <w:snapToGrid w:val="0"/>
        <w:spacing w:line="360" w:lineRule="auto"/>
        <w:rPr>
          <w:rFonts w:ascii="宋体" w:hAnsi="宋体"/>
          <w:b/>
          <w:bCs/>
          <w:color w:val="auto"/>
          <w:sz w:val="24"/>
        </w:rPr>
      </w:pPr>
      <w:r>
        <w:rPr>
          <w:rFonts w:hint="eastAsia" w:ascii="宋体" w:hAnsi="宋体"/>
          <w:b/>
          <w:bCs/>
          <w:color w:val="auto"/>
          <w:sz w:val="24"/>
        </w:rPr>
        <w:t>3. 投标人的资格要求</w:t>
      </w:r>
    </w:p>
    <w:p w14:paraId="6ECF47A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3.1投标人应当符合</w:t>
      </w:r>
      <w:r>
        <w:rPr>
          <w:rFonts w:hint="eastAsia" w:ascii="宋体" w:hAnsi="宋体"/>
          <w:b/>
          <w:color w:val="auto"/>
          <w:szCs w:val="21"/>
        </w:rPr>
        <w:t>【投标须知前附表】</w:t>
      </w:r>
      <w:r>
        <w:rPr>
          <w:rFonts w:hint="eastAsia" w:ascii="宋体" w:hAnsi="宋体"/>
          <w:color w:val="auto"/>
          <w:szCs w:val="21"/>
        </w:rPr>
        <w:t>规定的投标人资格条件。</w:t>
      </w:r>
    </w:p>
    <w:p w14:paraId="2D264A4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3.2</w:t>
      </w:r>
      <w:r>
        <w:rPr>
          <w:rFonts w:hint="eastAsia" w:ascii="宋体" w:hAnsi="宋体"/>
          <w:b/>
          <w:color w:val="auto"/>
          <w:szCs w:val="21"/>
        </w:rPr>
        <w:t>【投标须知前附表】</w:t>
      </w:r>
      <w:r>
        <w:rPr>
          <w:rFonts w:hint="eastAsia" w:ascii="宋体" w:hAnsi="宋体"/>
          <w:color w:val="auto"/>
          <w:szCs w:val="21"/>
        </w:rPr>
        <w:t>规定接受联合体形式投标的，投标人除应符合本章第3.1</w:t>
      </w:r>
      <w:r>
        <w:rPr>
          <w:rFonts w:hint="eastAsia" w:ascii="宋体" w:hAnsi="宋体" w:cs="宋体"/>
          <w:color w:val="auto"/>
          <w:kern w:val="0"/>
          <w:szCs w:val="21"/>
          <w:lang w:val="zh-CN"/>
        </w:rPr>
        <w:t>款</w:t>
      </w:r>
      <w:r>
        <w:rPr>
          <w:rFonts w:hint="eastAsia" w:ascii="宋体" w:hAnsi="宋体"/>
          <w:color w:val="auto"/>
          <w:szCs w:val="21"/>
        </w:rPr>
        <w:t xml:space="preserve">规定外，还应遵守以下规定： </w:t>
      </w:r>
    </w:p>
    <w:p w14:paraId="48D34DA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（l）联合体中有同类资质的供应商按照联合体分工承担相同工作的，应当按照资质等级较低的供应商确定资质等级。</w:t>
      </w:r>
    </w:p>
    <w:p w14:paraId="7E13CA0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（2）联合体各方应按招标文件提供的格式签订联合体协议书，明确联合体牵头人和各方的权利义务、合同工作量比例；</w:t>
      </w:r>
    </w:p>
    <w:p w14:paraId="3C03299F">
      <w:pPr>
        <w:adjustRightInd w:val="0"/>
        <w:snapToGrid w:val="0"/>
        <w:spacing w:line="360" w:lineRule="auto"/>
        <w:ind w:firstLine="420" w:firstLineChars="200"/>
        <w:rPr>
          <w:rFonts w:ascii="宋体" w:hAnsi="宋体" w:cs="宋体"/>
          <w:color w:val="auto"/>
          <w:kern w:val="0"/>
          <w:szCs w:val="21"/>
          <w:lang w:val="zh-CN"/>
        </w:rPr>
      </w:pPr>
      <w:r>
        <w:rPr>
          <w:rFonts w:hint="eastAsia" w:ascii="宋体" w:hAnsi="宋体"/>
          <w:color w:val="auto"/>
          <w:szCs w:val="21"/>
        </w:rPr>
        <w:t>（3）联合体各方签订联合体协议书后，</w:t>
      </w:r>
      <w:r>
        <w:rPr>
          <w:rFonts w:hint="eastAsia" w:ascii="宋体" w:hAnsi="宋体" w:cs="宋体"/>
          <w:color w:val="auto"/>
          <w:kern w:val="0"/>
          <w:szCs w:val="21"/>
          <w:lang w:val="zh-CN"/>
        </w:rPr>
        <w:t>不得再单独参加或者与其他投标人组成新的联合体参加</w:t>
      </w:r>
      <w:r>
        <w:rPr>
          <w:rFonts w:hint="eastAsia" w:ascii="宋体" w:hAnsi="宋体" w:cs="宋体"/>
          <w:color w:val="auto"/>
          <w:kern w:val="0"/>
          <w:szCs w:val="21"/>
        </w:rPr>
        <w:t>本项目</w:t>
      </w:r>
      <w:r>
        <w:rPr>
          <w:rFonts w:hint="eastAsia" w:ascii="宋体" w:hAnsi="宋体" w:cs="宋体"/>
          <w:color w:val="auto"/>
          <w:kern w:val="0"/>
          <w:szCs w:val="21"/>
          <w:lang w:val="zh-CN"/>
        </w:rPr>
        <w:t>同一合同项下的采购活动。</w:t>
      </w:r>
    </w:p>
    <w:p w14:paraId="5B4AEAC6">
      <w:pPr>
        <w:adjustRightInd w:val="0"/>
        <w:snapToGrid w:val="0"/>
        <w:spacing w:line="360" w:lineRule="auto"/>
        <w:rPr>
          <w:rFonts w:ascii="宋体" w:hAnsi="宋体"/>
          <w:b/>
          <w:bCs/>
          <w:color w:val="auto"/>
          <w:sz w:val="24"/>
        </w:rPr>
      </w:pPr>
      <w:r>
        <w:rPr>
          <w:rFonts w:hint="eastAsia" w:ascii="宋体" w:hAnsi="宋体"/>
          <w:b/>
          <w:bCs/>
          <w:color w:val="auto"/>
          <w:sz w:val="24"/>
        </w:rPr>
        <w:t xml:space="preserve">4. 投标费用 </w:t>
      </w:r>
    </w:p>
    <w:p w14:paraId="047FDB1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4.1投标人应自行承担所有参与投标的相关费用，不论投标的结果如何，采购人、采购代理机构均无义务和责任承担这些费用。</w:t>
      </w:r>
    </w:p>
    <w:p w14:paraId="44C2816B">
      <w:pPr>
        <w:adjustRightInd w:val="0"/>
        <w:snapToGrid w:val="0"/>
        <w:spacing w:line="360" w:lineRule="auto"/>
        <w:rPr>
          <w:rFonts w:ascii="宋体" w:hAnsi="宋体"/>
          <w:b/>
          <w:color w:val="auto"/>
          <w:sz w:val="24"/>
        </w:rPr>
      </w:pPr>
      <w:r>
        <w:rPr>
          <w:rFonts w:hint="eastAsia" w:ascii="宋体" w:hAnsi="宋体"/>
          <w:b/>
          <w:color w:val="auto"/>
          <w:sz w:val="24"/>
        </w:rPr>
        <w:t>5．组织现场考察或者召开答疑会</w:t>
      </w:r>
    </w:p>
    <w:p w14:paraId="5ACDF355">
      <w:pPr>
        <w:adjustRightInd w:val="0"/>
        <w:snapToGrid w:val="0"/>
        <w:spacing w:line="360" w:lineRule="auto"/>
        <w:ind w:firstLine="420" w:firstLineChars="200"/>
        <w:rPr>
          <w:rFonts w:ascii="宋体" w:hAnsi="宋体"/>
          <w:color w:val="auto"/>
          <w:szCs w:val="21"/>
        </w:rPr>
      </w:pPr>
      <w:r>
        <w:rPr>
          <w:rFonts w:hint="eastAsia" w:ascii="宋体" w:hAnsi="宋体"/>
          <w:color w:val="auto"/>
        </w:rPr>
        <w:t>5.1采购人、采购代理机构可以在</w:t>
      </w:r>
      <w:r>
        <w:rPr>
          <w:rFonts w:hint="eastAsia" w:ascii="宋体" w:hAnsi="宋体"/>
          <w:b/>
          <w:color w:val="auto"/>
          <w:szCs w:val="21"/>
        </w:rPr>
        <w:t>【投标须知前附表】</w:t>
      </w:r>
      <w:r>
        <w:rPr>
          <w:rFonts w:hint="eastAsia" w:ascii="宋体" w:hAnsi="宋体"/>
          <w:color w:val="auto"/>
          <w:szCs w:val="21"/>
        </w:rPr>
        <w:t>规定的招标文件提供期限截止后，组织已获取招标文件的潜在投标人现场考察或者召开开标前答疑会。</w:t>
      </w:r>
    </w:p>
    <w:p w14:paraId="6C757CF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5.2获取招标文件的潜在投标人应按</w:t>
      </w:r>
      <w:r>
        <w:rPr>
          <w:rFonts w:hint="eastAsia" w:ascii="宋体" w:hAnsi="宋体"/>
          <w:b/>
          <w:color w:val="auto"/>
          <w:szCs w:val="21"/>
        </w:rPr>
        <w:t>【投标须知前附表】</w:t>
      </w:r>
      <w:r>
        <w:rPr>
          <w:rFonts w:hint="eastAsia" w:ascii="宋体" w:hAnsi="宋体"/>
          <w:color w:val="auto"/>
          <w:szCs w:val="21"/>
        </w:rPr>
        <w:t>规定参加现场考察或者答疑会；如不参加，其风险由其自行承担。</w:t>
      </w:r>
    </w:p>
    <w:p w14:paraId="043C9F9A">
      <w:pPr>
        <w:adjustRightInd w:val="0"/>
        <w:snapToGrid w:val="0"/>
        <w:spacing w:line="360" w:lineRule="auto"/>
        <w:ind w:firstLine="420" w:firstLineChars="200"/>
        <w:rPr>
          <w:rFonts w:ascii="宋体" w:hAnsi="宋体"/>
          <w:color w:val="auto"/>
        </w:rPr>
      </w:pPr>
      <w:r>
        <w:rPr>
          <w:rFonts w:hint="eastAsia" w:ascii="宋体" w:hAnsi="宋体"/>
          <w:color w:val="auto"/>
        </w:rPr>
        <w:t>5.3潜在投标人现场考察或者参加答疑会的费用由自己承担，现场考察期间所发生的人身伤害及财产损失由自己负责。</w:t>
      </w:r>
    </w:p>
    <w:p w14:paraId="755F1BDC">
      <w:pPr>
        <w:adjustRightInd w:val="0"/>
        <w:snapToGrid w:val="0"/>
        <w:spacing w:line="360" w:lineRule="auto"/>
        <w:ind w:firstLine="420" w:firstLineChars="200"/>
        <w:rPr>
          <w:rFonts w:ascii="宋体" w:hAnsi="宋体"/>
          <w:color w:val="auto"/>
        </w:rPr>
      </w:pPr>
      <w:r>
        <w:rPr>
          <w:rFonts w:hint="eastAsia" w:ascii="宋体" w:hAnsi="宋体"/>
          <w:color w:val="auto"/>
        </w:rPr>
        <w:t>5.4采购人、采购代理机构不对投标人据此而做出的推论、理解和结论负责。投标人一旦中标，不得以任何借口，提出额外补偿，或延长合同期限的要求。</w:t>
      </w:r>
    </w:p>
    <w:p w14:paraId="34FBA2D6">
      <w:pPr>
        <w:pStyle w:val="5"/>
        <w:adjustRightInd w:val="0"/>
        <w:snapToGrid w:val="0"/>
        <w:spacing w:before="120" w:beforeLines="50" w:after="0" w:line="360" w:lineRule="auto"/>
        <w:jc w:val="center"/>
        <w:rPr>
          <w:rFonts w:ascii="黑体" w:hAnsi="黑体" w:eastAsia="黑体"/>
          <w:color w:val="auto"/>
          <w:sz w:val="28"/>
          <w:szCs w:val="28"/>
        </w:rPr>
      </w:pPr>
      <w:bookmarkStart w:id="128" w:name="_Toc100670671"/>
      <w:bookmarkStart w:id="129" w:name="_Toc85972933"/>
      <w:bookmarkStart w:id="130" w:name="_Toc854"/>
      <w:bookmarkStart w:id="131" w:name="_Toc171273674"/>
      <w:bookmarkStart w:id="132" w:name="_Toc77199402"/>
      <w:bookmarkStart w:id="133" w:name="_Toc75289551"/>
      <w:bookmarkStart w:id="134" w:name="_Toc112704936"/>
      <w:bookmarkStart w:id="135" w:name="_Toc108341940"/>
      <w:bookmarkStart w:id="136" w:name="_Toc25262"/>
      <w:bookmarkStart w:id="137" w:name="_Toc14045"/>
      <w:bookmarkStart w:id="138" w:name="_Toc94367883"/>
      <w:bookmarkStart w:id="139" w:name="_Toc77676469"/>
      <w:bookmarkStart w:id="140" w:name="_Toc10256"/>
      <w:bookmarkStart w:id="141" w:name="_Toc192949606"/>
      <w:bookmarkStart w:id="142" w:name="_Toc9839"/>
      <w:bookmarkStart w:id="143" w:name="_Toc13690"/>
      <w:bookmarkStart w:id="144" w:name="_Toc192951216"/>
      <w:bookmarkStart w:id="145" w:name="_Toc30251"/>
      <w:bookmarkStart w:id="146" w:name="_Toc78449958"/>
      <w:bookmarkStart w:id="147" w:name="_Toc154428393"/>
      <w:bookmarkStart w:id="148" w:name="_Toc26819"/>
      <w:bookmarkStart w:id="149" w:name="_Toc100670424"/>
      <w:bookmarkStart w:id="150" w:name="_Toc95601368"/>
      <w:bookmarkStart w:id="151" w:name="_Toc75289229"/>
      <w:bookmarkStart w:id="152" w:name="_Toc117192451"/>
      <w:bookmarkStart w:id="153" w:name="_Toc114036715"/>
      <w:bookmarkStart w:id="154" w:name="_Toc78314265"/>
      <w:bookmarkStart w:id="155" w:name="_Toc10139"/>
      <w:bookmarkStart w:id="156" w:name="_Toc192949705"/>
      <w:bookmarkStart w:id="157" w:name="_Toc15888488"/>
      <w:r>
        <w:rPr>
          <w:rFonts w:hint="eastAsia" w:ascii="黑体" w:hAnsi="黑体" w:eastAsia="黑体"/>
          <w:color w:val="auto"/>
          <w:sz w:val="28"/>
          <w:szCs w:val="28"/>
        </w:rPr>
        <w:t>二、招标文件</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33C43928">
      <w:pPr>
        <w:adjustRightInd w:val="0"/>
        <w:snapToGrid w:val="0"/>
        <w:spacing w:line="360" w:lineRule="auto"/>
        <w:rPr>
          <w:rFonts w:ascii="宋体" w:hAnsi="宋体"/>
          <w:b/>
          <w:bCs/>
          <w:color w:val="auto"/>
          <w:sz w:val="24"/>
        </w:rPr>
      </w:pPr>
      <w:r>
        <w:rPr>
          <w:rFonts w:hint="eastAsia" w:ascii="宋体" w:hAnsi="宋体"/>
          <w:b/>
          <w:bCs/>
          <w:color w:val="auto"/>
          <w:sz w:val="24"/>
        </w:rPr>
        <w:t>6. 招标文件的构成</w:t>
      </w:r>
    </w:p>
    <w:p w14:paraId="26D4C82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6.1 招标文件共七章，各章内容如下：</w:t>
      </w:r>
    </w:p>
    <w:p w14:paraId="2E178D7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第一章 投标邀请</w:t>
      </w:r>
    </w:p>
    <w:p w14:paraId="13E6108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第二章 投标须知</w:t>
      </w:r>
    </w:p>
    <w:p w14:paraId="4D20431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第三章 资格审查</w:t>
      </w:r>
    </w:p>
    <w:p w14:paraId="1B04A80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第四章 评标方法及标准</w:t>
      </w:r>
    </w:p>
    <w:p w14:paraId="0DB51C2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第五章 采购需求</w:t>
      </w:r>
    </w:p>
    <w:p w14:paraId="6911709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第六章 政府采购合同</w:t>
      </w:r>
    </w:p>
    <w:p w14:paraId="3ABE51A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第七章 投标文件的组成</w:t>
      </w:r>
    </w:p>
    <w:p w14:paraId="20245CBC">
      <w:pPr>
        <w:adjustRightInd w:val="0"/>
        <w:snapToGrid w:val="0"/>
        <w:spacing w:line="360" w:lineRule="auto"/>
        <w:ind w:firstLine="420" w:firstLineChars="200"/>
        <w:rPr>
          <w:rFonts w:ascii="宋体" w:hAnsi="宋体" w:cs="宋体"/>
          <w:b/>
          <w:color w:val="auto"/>
          <w:szCs w:val="21"/>
        </w:rPr>
      </w:pPr>
      <w:r>
        <w:rPr>
          <w:rFonts w:hint="eastAsia" w:ascii="宋体" w:hAnsi="宋体"/>
          <w:color w:val="auto"/>
          <w:szCs w:val="21"/>
        </w:rPr>
        <w:t>6.2采购人、采购代理机构在提交投标文件截止时间前</w:t>
      </w:r>
      <w:r>
        <w:rPr>
          <w:rFonts w:hint="eastAsia" w:ascii="宋体" w:hAnsi="宋体" w:cs="宋体"/>
          <w:color w:val="auto"/>
          <w:szCs w:val="21"/>
        </w:rPr>
        <w:t>对招标文件所作的澄清或者修改，构成招标文件的组成部分。</w:t>
      </w:r>
    </w:p>
    <w:p w14:paraId="674757D6">
      <w:pPr>
        <w:adjustRightInd w:val="0"/>
        <w:snapToGrid w:val="0"/>
        <w:spacing w:line="360" w:lineRule="auto"/>
        <w:rPr>
          <w:rFonts w:ascii="宋体" w:hAnsi="宋体"/>
          <w:b/>
          <w:color w:val="auto"/>
          <w:sz w:val="24"/>
        </w:rPr>
      </w:pPr>
      <w:r>
        <w:rPr>
          <w:rFonts w:hint="eastAsia" w:ascii="宋体" w:hAnsi="宋体"/>
          <w:b/>
          <w:color w:val="auto"/>
          <w:sz w:val="24"/>
        </w:rPr>
        <w:t>7．偏离与实质性响应</w:t>
      </w:r>
    </w:p>
    <w:p w14:paraId="163E45CA">
      <w:pPr>
        <w:adjustRightInd w:val="0"/>
        <w:snapToGrid w:val="0"/>
        <w:spacing w:line="360" w:lineRule="auto"/>
        <w:ind w:firstLine="420" w:firstLineChars="200"/>
        <w:rPr>
          <w:rFonts w:ascii="宋体" w:hAnsi="宋体"/>
          <w:color w:val="auto"/>
        </w:rPr>
      </w:pPr>
      <w:r>
        <w:rPr>
          <w:rFonts w:hint="eastAsia" w:ascii="宋体" w:hAnsi="宋体"/>
          <w:color w:val="auto"/>
        </w:rPr>
        <w:t>7.1投标人应当按照招标文件的要求编制投标文件。投标文件应当对招标文件提出的要求和条件作出明确响应。</w:t>
      </w:r>
    </w:p>
    <w:p w14:paraId="1142066F">
      <w:pPr>
        <w:adjustRightInd w:val="0"/>
        <w:snapToGrid w:val="0"/>
        <w:spacing w:line="360" w:lineRule="auto"/>
        <w:ind w:firstLine="420" w:firstLineChars="200"/>
        <w:rPr>
          <w:rFonts w:ascii="宋体" w:hAnsi="宋体"/>
          <w:color w:val="auto"/>
        </w:rPr>
      </w:pPr>
      <w:r>
        <w:rPr>
          <w:rFonts w:hint="eastAsia" w:ascii="宋体" w:hAnsi="宋体"/>
          <w:color w:val="auto"/>
        </w:rPr>
        <w:t>7.2偏离是指投标文件不响应或者不满足招标文件提出的要求和条件，分为实质性偏离和非实质性偏离。</w:t>
      </w:r>
    </w:p>
    <w:p w14:paraId="47E9DC37">
      <w:pPr>
        <w:adjustRightInd w:val="0"/>
        <w:snapToGrid w:val="0"/>
        <w:spacing w:line="360" w:lineRule="auto"/>
        <w:ind w:firstLine="420" w:firstLineChars="200"/>
        <w:rPr>
          <w:rFonts w:ascii="宋体" w:hAnsi="宋体"/>
          <w:color w:val="auto"/>
        </w:rPr>
      </w:pPr>
      <w:r>
        <w:rPr>
          <w:rFonts w:hint="eastAsia" w:ascii="宋体" w:hAnsi="宋体"/>
          <w:color w:val="auto"/>
        </w:rPr>
        <w:t>7.3除法律、法规和招标文件规定的其他投标无效情形外，招标文件中用“★”符号标明的条款为实质性要求和条件，对其中任何一条的偏离，为实质性偏离，其</w:t>
      </w:r>
      <w:r>
        <w:rPr>
          <w:rFonts w:hint="eastAsia" w:ascii="宋体" w:hAnsi="宋体"/>
          <w:b/>
          <w:color w:val="auto"/>
        </w:rPr>
        <w:t>投标无效</w:t>
      </w:r>
      <w:r>
        <w:rPr>
          <w:rFonts w:hint="eastAsia" w:ascii="宋体" w:hAnsi="宋体"/>
          <w:color w:val="auto"/>
        </w:rPr>
        <w:t>。</w:t>
      </w:r>
    </w:p>
    <w:p w14:paraId="39CC4995">
      <w:pPr>
        <w:adjustRightInd w:val="0"/>
        <w:snapToGrid w:val="0"/>
        <w:spacing w:line="360" w:lineRule="auto"/>
        <w:ind w:firstLine="420" w:firstLineChars="200"/>
        <w:rPr>
          <w:rFonts w:ascii="宋体" w:hAnsi="宋体"/>
          <w:color w:val="auto"/>
        </w:rPr>
      </w:pPr>
      <w:r>
        <w:rPr>
          <w:rFonts w:hint="eastAsia" w:ascii="宋体" w:hAnsi="宋体"/>
          <w:color w:val="auto"/>
        </w:rPr>
        <w:t>7.4投标</w:t>
      </w:r>
      <w:r>
        <w:rPr>
          <w:rFonts w:hint="eastAsia" w:ascii="宋体" w:hAnsi="宋体"/>
          <w:color w:val="auto"/>
          <w:szCs w:val="21"/>
        </w:rPr>
        <w:t>文件偏离招标文件的非实质性要求和条件，为非实质性偏离。非实质性偏离的范围和幅度应当符合</w:t>
      </w:r>
      <w:r>
        <w:rPr>
          <w:rFonts w:hint="eastAsia" w:ascii="宋体" w:hAnsi="宋体"/>
          <w:b/>
          <w:color w:val="auto"/>
          <w:szCs w:val="21"/>
        </w:rPr>
        <w:t>【投标须知前附表】</w:t>
      </w:r>
      <w:r>
        <w:rPr>
          <w:rFonts w:hint="eastAsia" w:ascii="宋体" w:hAnsi="宋体"/>
          <w:color w:val="auto"/>
          <w:szCs w:val="21"/>
        </w:rPr>
        <w:t>的规定，</w:t>
      </w:r>
      <w:r>
        <w:rPr>
          <w:rFonts w:hint="eastAsia" w:ascii="宋体" w:hAnsi="宋体"/>
          <w:b/>
          <w:color w:val="auto"/>
          <w:szCs w:val="21"/>
        </w:rPr>
        <w:t>否则</w:t>
      </w:r>
      <w:r>
        <w:rPr>
          <w:rFonts w:hint="eastAsia" w:ascii="宋体" w:hAnsi="宋体"/>
          <w:b/>
          <w:color w:val="auto"/>
        </w:rPr>
        <w:t>投标无效</w:t>
      </w:r>
      <w:r>
        <w:rPr>
          <w:rFonts w:hint="eastAsia" w:ascii="宋体" w:hAnsi="宋体"/>
          <w:color w:val="auto"/>
        </w:rPr>
        <w:t>。</w:t>
      </w:r>
    </w:p>
    <w:p w14:paraId="241B1D81">
      <w:pPr>
        <w:adjustRightInd w:val="0"/>
        <w:snapToGrid w:val="0"/>
        <w:spacing w:line="360" w:lineRule="auto"/>
        <w:rPr>
          <w:rFonts w:ascii="宋体" w:hAnsi="宋体"/>
          <w:b/>
          <w:bCs/>
          <w:color w:val="auto"/>
          <w:sz w:val="24"/>
        </w:rPr>
      </w:pPr>
      <w:r>
        <w:rPr>
          <w:rFonts w:hint="eastAsia" w:ascii="宋体" w:hAnsi="宋体"/>
          <w:b/>
          <w:color w:val="auto"/>
          <w:sz w:val="24"/>
        </w:rPr>
        <w:t>8. 询问</w:t>
      </w:r>
    </w:p>
    <w:p w14:paraId="6E939CB1">
      <w:pPr>
        <w:adjustRightInd w:val="0"/>
        <w:snapToGrid w:val="0"/>
        <w:spacing w:line="360" w:lineRule="auto"/>
        <w:ind w:firstLine="420" w:firstLineChars="200"/>
        <w:rPr>
          <w:rFonts w:ascii="宋体" w:hAnsi="宋体"/>
          <w:color w:val="auto"/>
        </w:rPr>
      </w:pPr>
      <w:r>
        <w:rPr>
          <w:rFonts w:hint="eastAsia" w:ascii="宋体" w:hAnsi="宋体"/>
          <w:color w:val="auto"/>
        </w:rPr>
        <w:t>8.1潜在投标人应仔细阅读和检查招标文件的全部内容。如有疑问，可以向采购人或者采购代理机构提出询问。</w:t>
      </w:r>
    </w:p>
    <w:p w14:paraId="08702BC7">
      <w:pPr>
        <w:adjustRightInd w:val="0"/>
        <w:snapToGrid w:val="0"/>
        <w:spacing w:line="360" w:lineRule="auto"/>
        <w:rPr>
          <w:rFonts w:ascii="宋体" w:hAnsi="宋体"/>
          <w:b/>
          <w:bCs/>
          <w:color w:val="auto"/>
          <w:sz w:val="24"/>
        </w:rPr>
      </w:pPr>
      <w:r>
        <w:rPr>
          <w:rFonts w:hint="eastAsia" w:ascii="宋体" w:hAnsi="宋体"/>
          <w:b/>
          <w:bCs/>
          <w:color w:val="auto"/>
          <w:sz w:val="24"/>
        </w:rPr>
        <w:t>9. 招标文件的澄清或者修改</w:t>
      </w:r>
    </w:p>
    <w:p w14:paraId="4621C65E">
      <w:pPr>
        <w:adjustRightInd w:val="0"/>
        <w:snapToGrid w:val="0"/>
        <w:spacing w:line="360" w:lineRule="auto"/>
        <w:ind w:firstLine="420" w:firstLineChars="200"/>
        <w:rPr>
          <w:rFonts w:ascii="宋体" w:hAnsi="宋体"/>
          <w:color w:val="auto"/>
        </w:rPr>
      </w:pPr>
      <w:r>
        <w:rPr>
          <w:rFonts w:hint="eastAsia" w:ascii="宋体" w:hAnsi="宋体"/>
          <w:color w:val="auto"/>
        </w:rPr>
        <w:t>9.1采购人、采购代理机构对已发出的招标文件进行必要澄清或者修改的，将在</w:t>
      </w:r>
      <w:r>
        <w:rPr>
          <w:rFonts w:hint="eastAsia" w:ascii="宋体" w:hAnsi="宋体"/>
          <w:b/>
          <w:color w:val="auto"/>
          <w:szCs w:val="21"/>
        </w:rPr>
        <w:t>【投标须知前附表】</w:t>
      </w:r>
      <w:r>
        <w:rPr>
          <w:rFonts w:hint="eastAsia" w:ascii="宋体" w:hAnsi="宋体"/>
          <w:color w:val="auto"/>
          <w:szCs w:val="21"/>
        </w:rPr>
        <w:t>规定的</w:t>
      </w:r>
      <w:r>
        <w:rPr>
          <w:rFonts w:hint="eastAsia" w:ascii="宋体" w:hAnsi="宋体"/>
          <w:color w:val="auto"/>
        </w:rPr>
        <w:t>招标公告指定媒体上发布澄清或者修改公告。</w:t>
      </w:r>
    </w:p>
    <w:p w14:paraId="1FFC4777">
      <w:pPr>
        <w:adjustRightInd w:val="0"/>
        <w:snapToGrid w:val="0"/>
        <w:spacing w:line="360" w:lineRule="auto"/>
        <w:ind w:firstLine="420" w:firstLineChars="200"/>
        <w:rPr>
          <w:rFonts w:ascii="宋体" w:hAnsi="宋体"/>
          <w:color w:val="auto"/>
        </w:rPr>
      </w:pPr>
      <w:r>
        <w:rPr>
          <w:rFonts w:hint="eastAsia" w:ascii="宋体" w:hAnsi="宋体" w:cs="宋体"/>
          <w:color w:val="auto"/>
          <w:kern w:val="0"/>
          <w:szCs w:val="21"/>
        </w:rPr>
        <w:t>9.2澄清或者修改</w:t>
      </w:r>
      <w:r>
        <w:rPr>
          <w:rFonts w:hint="eastAsia" w:ascii="宋体" w:hAnsi="宋体"/>
          <w:color w:val="auto"/>
        </w:rPr>
        <w:t>的</w:t>
      </w:r>
      <w:r>
        <w:rPr>
          <w:rFonts w:hint="eastAsia" w:ascii="宋体" w:hAnsi="宋体" w:cs="宋体"/>
          <w:color w:val="auto"/>
          <w:kern w:val="0"/>
          <w:szCs w:val="21"/>
        </w:rPr>
        <w:t>内容可能影响投标文件编制的，采购人、采购代理机构</w:t>
      </w:r>
      <w:r>
        <w:rPr>
          <w:rFonts w:hint="eastAsia" w:ascii="宋体" w:hAnsi="宋体"/>
          <w:color w:val="auto"/>
        </w:rPr>
        <w:t>将</w:t>
      </w:r>
      <w:r>
        <w:rPr>
          <w:rFonts w:hint="eastAsia" w:ascii="宋体" w:hAnsi="宋体" w:cs="宋体"/>
          <w:color w:val="auto"/>
          <w:kern w:val="0"/>
          <w:szCs w:val="21"/>
        </w:rPr>
        <w:t>在提交投标文件截止时间15日前，</w:t>
      </w:r>
      <w:r>
        <w:rPr>
          <w:rFonts w:hint="eastAsia" w:ascii="宋体" w:hAnsi="宋体"/>
          <w:color w:val="auto"/>
        </w:rPr>
        <w:t>在指定媒体上发布公告通知潜在投标人；不足15日的，将相应延长提交投标文件的截止时间。</w:t>
      </w:r>
    </w:p>
    <w:p w14:paraId="7F3D7A4E">
      <w:pPr>
        <w:adjustRightInd w:val="0"/>
        <w:snapToGrid w:val="0"/>
        <w:spacing w:line="360" w:lineRule="auto"/>
        <w:ind w:firstLine="420" w:firstLineChars="200"/>
        <w:rPr>
          <w:rFonts w:ascii="宋体" w:hAnsi="宋体"/>
          <w:color w:val="auto"/>
        </w:rPr>
      </w:pPr>
      <w:r>
        <w:rPr>
          <w:rFonts w:ascii="宋体" w:hAnsi="宋体"/>
          <w:color w:val="auto"/>
        </w:rPr>
        <w:t>9.3</w:t>
      </w:r>
      <w:r>
        <w:rPr>
          <w:rFonts w:hint="eastAsia" w:ascii="宋体" w:hAnsi="宋体"/>
          <w:color w:val="auto"/>
        </w:rPr>
        <w:t>招标文件的提供期限届满后，获取招标文件的潜在投标人不足3家的，可以顺延提供期限，并在</w:t>
      </w:r>
      <w:r>
        <w:rPr>
          <w:rFonts w:hint="eastAsia" w:ascii="宋体" w:hAnsi="宋体"/>
          <w:bCs/>
          <w:color w:val="auto"/>
          <w:szCs w:val="21"/>
        </w:rPr>
        <w:t>指定</w:t>
      </w:r>
      <w:r>
        <w:rPr>
          <w:rFonts w:hint="eastAsia" w:ascii="宋体" w:hAnsi="宋体"/>
          <w:color w:val="auto"/>
        </w:rPr>
        <w:t>媒体上发布修改公告。</w:t>
      </w:r>
    </w:p>
    <w:p w14:paraId="57A23165">
      <w:pPr>
        <w:adjustRightInd w:val="0"/>
        <w:snapToGrid w:val="0"/>
        <w:spacing w:line="360" w:lineRule="auto"/>
        <w:ind w:firstLine="420" w:firstLineChars="200"/>
        <w:rPr>
          <w:rFonts w:ascii="宋体" w:hAnsi="宋体"/>
          <w:color w:val="auto"/>
        </w:rPr>
      </w:pPr>
      <w:r>
        <w:rPr>
          <w:rFonts w:hint="eastAsia" w:ascii="宋体" w:hAnsi="宋体"/>
          <w:color w:val="auto"/>
        </w:rPr>
        <w:t>9.4 通过电子招标投标交易平台下载招标文件的，请获取招标文件的潜在投标人及时关注</w:t>
      </w:r>
      <w:r>
        <w:rPr>
          <w:rFonts w:hint="eastAsia" w:ascii="宋体" w:hAnsi="宋体"/>
          <w:color w:val="auto"/>
          <w:szCs w:val="21"/>
        </w:rPr>
        <w:t>招标公告指定媒体</w:t>
      </w:r>
      <w:r>
        <w:rPr>
          <w:rFonts w:hint="eastAsia" w:ascii="宋体" w:hAnsi="宋体"/>
          <w:color w:val="auto"/>
        </w:rPr>
        <w:t>发布的澄清或者修改公告，采购人、采购代理机构不再书面通知。</w:t>
      </w:r>
    </w:p>
    <w:p w14:paraId="19A0CD8F">
      <w:pPr>
        <w:pStyle w:val="5"/>
        <w:adjustRightInd w:val="0"/>
        <w:snapToGrid w:val="0"/>
        <w:spacing w:before="120" w:beforeLines="50" w:after="0" w:line="360" w:lineRule="auto"/>
        <w:jc w:val="center"/>
        <w:rPr>
          <w:rFonts w:ascii="黑体" w:hAnsi="黑体" w:eastAsia="黑体"/>
          <w:color w:val="auto"/>
          <w:sz w:val="28"/>
          <w:szCs w:val="28"/>
        </w:rPr>
      </w:pPr>
      <w:bookmarkStart w:id="158" w:name="_Toc15888489"/>
      <w:bookmarkStart w:id="159" w:name="_Toc78314266"/>
      <w:bookmarkStart w:id="160" w:name="_Toc154428394"/>
      <w:bookmarkStart w:id="161" w:name="_Toc94367884"/>
      <w:bookmarkStart w:id="162" w:name="_Toc112704937"/>
      <w:bookmarkStart w:id="163" w:name="_Toc114036716"/>
      <w:bookmarkStart w:id="164" w:name="_Toc75289552"/>
      <w:bookmarkStart w:id="165" w:name="_Toc100670672"/>
      <w:bookmarkStart w:id="166" w:name="_Toc78449959"/>
      <w:bookmarkStart w:id="167" w:name="_Toc108341941"/>
      <w:bookmarkStart w:id="168" w:name="_Toc6128"/>
      <w:bookmarkStart w:id="169" w:name="_Toc117192452"/>
      <w:bookmarkStart w:id="170" w:name="_Toc75289230"/>
      <w:bookmarkStart w:id="171" w:name="_Toc31461"/>
      <w:bookmarkStart w:id="172" w:name="_Toc6840"/>
      <w:bookmarkStart w:id="173" w:name="_Toc24992"/>
      <w:bookmarkStart w:id="174" w:name="_Toc192951217"/>
      <w:bookmarkStart w:id="175" w:name="_Toc192949607"/>
      <w:bookmarkStart w:id="176" w:name="_Toc77199403"/>
      <w:bookmarkStart w:id="177" w:name="_Toc100670425"/>
      <w:bookmarkStart w:id="178" w:name="_Toc19779"/>
      <w:bookmarkStart w:id="179" w:name="_Toc18745"/>
      <w:bookmarkStart w:id="180" w:name="_Toc9872"/>
      <w:bookmarkStart w:id="181" w:name="_Toc17532"/>
      <w:bookmarkStart w:id="182" w:name="_Toc192949706"/>
      <w:bookmarkStart w:id="183" w:name="_Toc77676470"/>
      <w:bookmarkStart w:id="184" w:name="_Toc4418"/>
      <w:bookmarkStart w:id="185" w:name="_Toc85972934"/>
      <w:bookmarkStart w:id="186" w:name="_Toc171273675"/>
      <w:bookmarkStart w:id="187" w:name="_Toc95601369"/>
      <w:r>
        <w:rPr>
          <w:rFonts w:hint="eastAsia" w:ascii="黑体" w:hAnsi="黑体" w:eastAsia="黑体"/>
          <w:color w:val="auto"/>
          <w:sz w:val="28"/>
          <w:szCs w:val="28"/>
        </w:rPr>
        <w:t>三、投标文件</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256FC7E6">
      <w:pPr>
        <w:adjustRightInd w:val="0"/>
        <w:snapToGrid w:val="0"/>
        <w:spacing w:line="360" w:lineRule="auto"/>
        <w:rPr>
          <w:rFonts w:ascii="宋体" w:hAnsi="宋体"/>
          <w:b/>
          <w:bCs/>
          <w:color w:val="auto"/>
          <w:sz w:val="24"/>
        </w:rPr>
      </w:pPr>
      <w:r>
        <w:rPr>
          <w:rFonts w:hint="eastAsia" w:ascii="宋体" w:hAnsi="宋体"/>
          <w:b/>
          <w:bCs/>
          <w:color w:val="auto"/>
          <w:sz w:val="24"/>
        </w:rPr>
        <w:t>10. 投标语言</w:t>
      </w:r>
    </w:p>
    <w:p w14:paraId="4585A5A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10.1除专用术语外，投标人提交的投标文件及投标人与采购人、采购代理机构就有关投标的所有来往函电均使用中文。投标人可以提交其它语言的资料，但应附有中文注释，有差异时以中文为准。</w:t>
      </w:r>
    </w:p>
    <w:p w14:paraId="2A9EE892">
      <w:pPr>
        <w:adjustRightInd w:val="0"/>
        <w:snapToGrid w:val="0"/>
        <w:spacing w:line="360" w:lineRule="auto"/>
        <w:rPr>
          <w:rFonts w:ascii="宋体" w:hAnsi="宋体"/>
          <w:b/>
          <w:color w:val="auto"/>
          <w:sz w:val="24"/>
        </w:rPr>
      </w:pPr>
      <w:r>
        <w:rPr>
          <w:rFonts w:hint="eastAsia" w:ascii="宋体" w:hAnsi="宋体"/>
          <w:b/>
          <w:bCs/>
          <w:color w:val="auto"/>
          <w:sz w:val="24"/>
        </w:rPr>
        <w:t xml:space="preserve">11. </w:t>
      </w:r>
      <w:r>
        <w:rPr>
          <w:rFonts w:hint="eastAsia" w:ascii="宋体" w:hAnsi="宋体"/>
          <w:b/>
          <w:color w:val="auto"/>
          <w:sz w:val="24"/>
        </w:rPr>
        <w:t>计量单位</w:t>
      </w:r>
    </w:p>
    <w:p w14:paraId="04091A0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11.1所有计量均采用中华人民共和国法定计量单位。</w:t>
      </w:r>
    </w:p>
    <w:p w14:paraId="4854C4E0">
      <w:pPr>
        <w:adjustRightInd w:val="0"/>
        <w:snapToGrid w:val="0"/>
        <w:spacing w:line="360" w:lineRule="auto"/>
        <w:rPr>
          <w:rFonts w:ascii="宋体" w:hAnsi="宋体"/>
          <w:b/>
          <w:bCs/>
          <w:color w:val="auto"/>
          <w:sz w:val="24"/>
        </w:rPr>
      </w:pPr>
      <w:r>
        <w:rPr>
          <w:rFonts w:hint="eastAsia" w:ascii="宋体" w:hAnsi="宋体"/>
          <w:b/>
          <w:color w:val="auto"/>
          <w:sz w:val="24"/>
        </w:rPr>
        <w:t xml:space="preserve">12. </w:t>
      </w:r>
      <w:r>
        <w:rPr>
          <w:rFonts w:hint="eastAsia" w:ascii="宋体" w:hAnsi="宋体"/>
          <w:b/>
          <w:bCs/>
          <w:color w:val="auto"/>
          <w:sz w:val="24"/>
        </w:rPr>
        <w:t>投标文件的组成</w:t>
      </w:r>
    </w:p>
    <w:p w14:paraId="27B85B2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12.1投标文件由如下内容组成：</w:t>
      </w:r>
    </w:p>
    <w:p w14:paraId="76DAA4F2">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第一部分 资格证明文件</w:t>
      </w:r>
    </w:p>
    <w:p w14:paraId="2E4D4F3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（1）开标一览表</w:t>
      </w:r>
    </w:p>
    <w:p w14:paraId="27BE040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（2）投标保证金</w:t>
      </w:r>
    </w:p>
    <w:p w14:paraId="07016E6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（3）授权委托书</w:t>
      </w:r>
    </w:p>
    <w:p w14:paraId="23D76FB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（4）投标人提供的资格证明文件</w:t>
      </w:r>
    </w:p>
    <w:p w14:paraId="42D3F3DC">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第二部分 商务和技术文件</w:t>
      </w:r>
    </w:p>
    <w:p w14:paraId="79D8757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（5）投标函</w:t>
      </w:r>
    </w:p>
    <w:p w14:paraId="7B383E7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（6）分项报价</w:t>
      </w:r>
    </w:p>
    <w:p w14:paraId="47BDAD1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（7）采购需求响应</w:t>
      </w:r>
    </w:p>
    <w:p w14:paraId="5446734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（8）合同条款偏离表</w:t>
      </w:r>
    </w:p>
    <w:p w14:paraId="1254E3D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（9）采购需求偏离表</w:t>
      </w:r>
    </w:p>
    <w:p w14:paraId="6C07D39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（10）享受政府采购政策优惠的证明资料</w:t>
      </w:r>
    </w:p>
    <w:p w14:paraId="79A88F9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（11）投标货物符合招标文件规定的证明文件</w:t>
      </w:r>
    </w:p>
    <w:p w14:paraId="25A04AD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（12）投标人认为需提供的其他资料</w:t>
      </w:r>
    </w:p>
    <w:p w14:paraId="70C188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12.2投标人可以编制资格审查索引表、符合性审查索引表、评审索引表，以方便采购人、采购代理机构、评标委员会在资格审查及评审时查阅。</w:t>
      </w:r>
    </w:p>
    <w:p w14:paraId="31B208E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12.3根据《政府采购法》第四十二条的规定，投标人无论中标与否，其投标文件不予退还。</w:t>
      </w:r>
    </w:p>
    <w:p w14:paraId="132CA2EB">
      <w:pPr>
        <w:adjustRightInd w:val="0"/>
        <w:snapToGrid w:val="0"/>
        <w:spacing w:line="360" w:lineRule="auto"/>
        <w:rPr>
          <w:rFonts w:ascii="宋体" w:hAnsi="宋体"/>
          <w:b/>
          <w:bCs/>
          <w:color w:val="auto"/>
          <w:sz w:val="24"/>
        </w:rPr>
      </w:pPr>
      <w:r>
        <w:rPr>
          <w:rFonts w:hint="eastAsia" w:ascii="宋体" w:hAnsi="宋体"/>
          <w:b/>
          <w:bCs/>
          <w:color w:val="auto"/>
          <w:sz w:val="24"/>
        </w:rPr>
        <w:t>13. 投标报价</w:t>
      </w:r>
    </w:p>
    <w:p w14:paraId="00BD8F5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13.1投标人应以招标文件规定的供货及服务要求、责任范围和合同条件为基础，按第七章“投标文件的组成”的有关规定进行报价。投标人的报价应包括为完成本项目所要求的全部内容可能发生的全部费用和税费、规费、保险费（如果有）等，采购人将不再支付报价以外的任何费用。</w:t>
      </w:r>
    </w:p>
    <w:p w14:paraId="7F2483D5">
      <w:pPr>
        <w:adjustRightInd w:val="0"/>
        <w:snapToGrid w:val="0"/>
        <w:spacing w:line="360" w:lineRule="auto"/>
        <w:ind w:firstLine="420" w:firstLineChars="200"/>
        <w:rPr>
          <w:rFonts w:ascii="宋体" w:hAnsi="宋体"/>
          <w:color w:val="auto"/>
          <w:szCs w:val="21"/>
        </w:rPr>
      </w:pPr>
      <w:r>
        <w:rPr>
          <w:rFonts w:ascii="宋体" w:hAnsi="宋体"/>
          <w:color w:val="auto"/>
          <w:szCs w:val="21"/>
        </w:rPr>
        <w:t>1</w:t>
      </w:r>
      <w:r>
        <w:rPr>
          <w:rFonts w:hint="eastAsia" w:ascii="宋体" w:hAnsi="宋体"/>
          <w:color w:val="auto"/>
          <w:szCs w:val="21"/>
        </w:rPr>
        <w:t>3</w:t>
      </w:r>
      <w:r>
        <w:rPr>
          <w:rFonts w:ascii="宋体" w:hAnsi="宋体"/>
          <w:color w:val="auto"/>
          <w:szCs w:val="21"/>
        </w:rPr>
        <w:t>.</w:t>
      </w:r>
      <w:r>
        <w:rPr>
          <w:rFonts w:hint="eastAsia" w:ascii="宋体" w:hAnsi="宋体"/>
          <w:color w:val="auto"/>
          <w:szCs w:val="21"/>
        </w:rPr>
        <w:t>2投标人的投标报价不得超过采购预算，也不得超过最高限价(如果设定)，否则其</w:t>
      </w:r>
      <w:r>
        <w:rPr>
          <w:rFonts w:hint="eastAsia" w:ascii="宋体" w:hAnsi="宋体"/>
          <w:b/>
          <w:color w:val="auto"/>
          <w:szCs w:val="21"/>
        </w:rPr>
        <w:t>投标无效</w:t>
      </w:r>
      <w:r>
        <w:rPr>
          <w:rFonts w:hint="eastAsia" w:ascii="宋体" w:hAnsi="宋体"/>
          <w:color w:val="auto"/>
          <w:szCs w:val="21"/>
        </w:rPr>
        <w:t>。采购项目预算、最高限价见</w:t>
      </w:r>
      <w:r>
        <w:rPr>
          <w:rFonts w:hint="eastAsia" w:ascii="宋体" w:hAnsi="宋体"/>
          <w:b/>
          <w:color w:val="auto"/>
          <w:szCs w:val="21"/>
        </w:rPr>
        <w:t>【投标须知前附表】</w:t>
      </w:r>
      <w:r>
        <w:rPr>
          <w:rFonts w:hint="eastAsia" w:ascii="宋体" w:hAnsi="宋体"/>
          <w:color w:val="auto"/>
          <w:szCs w:val="21"/>
        </w:rPr>
        <w:t>。</w:t>
      </w:r>
    </w:p>
    <w:p w14:paraId="32013369">
      <w:pPr>
        <w:adjustRightInd w:val="0"/>
        <w:snapToGrid w:val="0"/>
        <w:spacing w:line="360" w:lineRule="auto"/>
        <w:ind w:firstLine="420" w:firstLineChars="200"/>
        <w:rPr>
          <w:rFonts w:ascii="宋体" w:hAnsi="宋体"/>
          <w:color w:val="auto"/>
        </w:rPr>
      </w:pPr>
      <w:r>
        <w:rPr>
          <w:rFonts w:hint="eastAsia" w:ascii="宋体" w:hAnsi="宋体"/>
          <w:color w:val="auto"/>
          <w:szCs w:val="21"/>
        </w:rPr>
        <w:t>13.3 投标人应在分项报价明细表中对每项内容给予详细分项</w:t>
      </w:r>
      <w:r>
        <w:rPr>
          <w:rFonts w:hint="eastAsia" w:ascii="宋体" w:hAnsi="宋体"/>
          <w:color w:val="auto"/>
        </w:rPr>
        <w:t>报价。</w:t>
      </w:r>
    </w:p>
    <w:p w14:paraId="19BCD4B9">
      <w:pPr>
        <w:adjustRightInd w:val="0"/>
        <w:snapToGrid w:val="0"/>
        <w:spacing w:line="360" w:lineRule="auto"/>
        <w:ind w:firstLine="420" w:firstLineChars="200"/>
        <w:rPr>
          <w:rFonts w:ascii="宋体" w:hAnsi="宋体"/>
          <w:color w:val="auto"/>
        </w:rPr>
      </w:pPr>
      <w:r>
        <w:rPr>
          <w:rFonts w:hint="eastAsia" w:ascii="宋体" w:hAnsi="宋体"/>
          <w:color w:val="auto"/>
        </w:rPr>
        <w:t>13.4投标人对采购项目内容只允许有一个投标报价，否则其</w:t>
      </w:r>
      <w:r>
        <w:rPr>
          <w:rFonts w:hint="eastAsia" w:ascii="宋体" w:hAnsi="宋体"/>
          <w:b/>
          <w:color w:val="auto"/>
        </w:rPr>
        <w:t>投标无效</w:t>
      </w:r>
      <w:r>
        <w:rPr>
          <w:rFonts w:hint="eastAsia" w:ascii="宋体" w:hAnsi="宋体"/>
          <w:color w:val="auto"/>
        </w:rPr>
        <w:t>。</w:t>
      </w:r>
    </w:p>
    <w:p w14:paraId="5EB0CFBB">
      <w:pPr>
        <w:adjustRightInd w:val="0"/>
        <w:snapToGrid w:val="0"/>
        <w:spacing w:line="360" w:lineRule="auto"/>
        <w:ind w:firstLine="420" w:firstLineChars="200"/>
        <w:rPr>
          <w:rFonts w:ascii="宋体" w:hAnsi="宋体"/>
          <w:color w:val="auto"/>
        </w:rPr>
      </w:pPr>
      <w:r>
        <w:rPr>
          <w:rFonts w:hint="eastAsia" w:ascii="宋体" w:hAnsi="宋体"/>
          <w:color w:val="auto"/>
        </w:rPr>
        <w:t>13.5采购人不接受投标人给予的赠品、回扣或者与采购无关的其他商品、服务。如有赠与行为，其</w:t>
      </w:r>
      <w:r>
        <w:rPr>
          <w:rFonts w:hint="eastAsia" w:ascii="宋体" w:hAnsi="宋体"/>
          <w:b/>
          <w:color w:val="auto"/>
        </w:rPr>
        <w:t>投标无效</w:t>
      </w:r>
      <w:r>
        <w:rPr>
          <w:rFonts w:hint="eastAsia" w:ascii="宋体" w:hAnsi="宋体"/>
          <w:color w:val="auto"/>
        </w:rPr>
        <w:t>。</w:t>
      </w:r>
    </w:p>
    <w:p w14:paraId="64B5106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13.6采用固定价格定价方式的采购项目，</w:t>
      </w:r>
      <w:r>
        <w:rPr>
          <w:rFonts w:hint="eastAsia" w:ascii="宋体" w:hAnsi="宋体"/>
          <w:color w:val="auto"/>
        </w:rPr>
        <w:t>投标文件中标明的价格在合同执行过程中是固定不变的，不得以任何理由予以变更。任何包含价格调整要求和条件的投标，其</w:t>
      </w:r>
      <w:r>
        <w:rPr>
          <w:rFonts w:hint="eastAsia" w:ascii="宋体" w:hAnsi="宋体"/>
          <w:b/>
          <w:color w:val="auto"/>
        </w:rPr>
        <w:t>投标无效</w:t>
      </w:r>
      <w:r>
        <w:rPr>
          <w:rFonts w:hint="eastAsia" w:ascii="宋体" w:hAnsi="宋体"/>
          <w:color w:val="auto"/>
        </w:rPr>
        <w:t>。</w:t>
      </w:r>
    </w:p>
    <w:p w14:paraId="0A7DAF65">
      <w:pPr>
        <w:adjustRightInd w:val="0"/>
        <w:snapToGrid w:val="0"/>
        <w:spacing w:line="360" w:lineRule="auto"/>
        <w:ind w:firstLine="420" w:firstLineChars="200"/>
        <w:rPr>
          <w:rFonts w:ascii="宋体" w:hAnsi="宋体"/>
          <w:color w:val="auto"/>
        </w:rPr>
      </w:pPr>
      <w:r>
        <w:rPr>
          <w:rFonts w:hint="eastAsia" w:ascii="宋体" w:hAnsi="宋体"/>
          <w:color w:val="auto"/>
        </w:rPr>
        <w:t>13.7投标人在投标截止时间前修改“开标一览表”中的投标报价的，应同时修改投标文件“分项报价明细表”“享受政府采购政策优惠的证明资料”以及“联合体协议书”（如果影响）等相关内容。此修改须符合本章第22.1款的有关要求。</w:t>
      </w:r>
    </w:p>
    <w:p w14:paraId="3722D11A">
      <w:pPr>
        <w:adjustRightInd w:val="0"/>
        <w:snapToGrid w:val="0"/>
        <w:spacing w:line="360" w:lineRule="auto"/>
        <w:ind w:firstLine="420" w:firstLineChars="200"/>
        <w:rPr>
          <w:rFonts w:ascii="宋体" w:hAnsi="宋体"/>
          <w:color w:val="auto"/>
        </w:rPr>
      </w:pPr>
      <w:r>
        <w:rPr>
          <w:rFonts w:hint="eastAsia" w:ascii="宋体" w:hAnsi="宋体"/>
          <w:color w:val="auto"/>
        </w:rPr>
        <w:t>13.8投标报价的其他要求见</w:t>
      </w:r>
      <w:r>
        <w:rPr>
          <w:rFonts w:hint="eastAsia" w:ascii="宋体" w:hAnsi="宋体"/>
          <w:b/>
          <w:color w:val="auto"/>
          <w:szCs w:val="21"/>
        </w:rPr>
        <w:t>【投标须知前附表】</w:t>
      </w:r>
      <w:r>
        <w:rPr>
          <w:rFonts w:hint="eastAsia" w:ascii="宋体" w:hAnsi="宋体"/>
          <w:color w:val="auto"/>
        </w:rPr>
        <w:t>。</w:t>
      </w:r>
    </w:p>
    <w:p w14:paraId="0C5FB621">
      <w:pPr>
        <w:adjustRightInd w:val="0"/>
        <w:snapToGrid w:val="0"/>
        <w:spacing w:line="360" w:lineRule="auto"/>
        <w:rPr>
          <w:rFonts w:ascii="宋体" w:hAnsi="宋体"/>
          <w:b/>
          <w:bCs/>
          <w:color w:val="auto"/>
          <w:sz w:val="24"/>
        </w:rPr>
      </w:pPr>
      <w:r>
        <w:rPr>
          <w:rFonts w:hint="eastAsia" w:ascii="宋体" w:hAnsi="宋体"/>
          <w:b/>
          <w:color w:val="auto"/>
          <w:sz w:val="24"/>
        </w:rPr>
        <w:t xml:space="preserve">14. </w:t>
      </w:r>
      <w:r>
        <w:rPr>
          <w:rFonts w:hint="eastAsia" w:ascii="宋体" w:hAnsi="宋体"/>
          <w:b/>
          <w:bCs/>
          <w:color w:val="auto"/>
          <w:sz w:val="24"/>
        </w:rPr>
        <w:t>投标人的资格证明文件</w:t>
      </w:r>
    </w:p>
    <w:p w14:paraId="079C72B8">
      <w:pPr>
        <w:adjustRightInd w:val="0"/>
        <w:snapToGrid w:val="0"/>
        <w:spacing w:line="360" w:lineRule="auto"/>
        <w:ind w:firstLine="420" w:firstLineChars="200"/>
        <w:rPr>
          <w:rFonts w:ascii="宋体" w:hAnsi="宋体"/>
          <w:color w:val="auto"/>
        </w:rPr>
      </w:pPr>
      <w:r>
        <w:rPr>
          <w:rFonts w:hint="eastAsia" w:ascii="宋体" w:hAnsi="宋体"/>
          <w:color w:val="auto"/>
        </w:rPr>
        <w:t>14.1</w:t>
      </w:r>
      <w:r>
        <w:rPr>
          <w:rFonts w:hint="eastAsia" w:ascii="宋体" w:hAnsi="宋体"/>
          <w:color w:val="auto"/>
          <w:szCs w:val="21"/>
        </w:rPr>
        <w:t>除</w:t>
      </w:r>
      <w:r>
        <w:rPr>
          <w:rFonts w:hint="eastAsia" w:ascii="宋体" w:hAnsi="宋体"/>
          <w:b/>
          <w:color w:val="auto"/>
          <w:szCs w:val="21"/>
        </w:rPr>
        <w:t>【投标须知前附表】</w:t>
      </w:r>
      <w:r>
        <w:rPr>
          <w:rFonts w:hint="eastAsia" w:ascii="宋体" w:hAnsi="宋体"/>
          <w:color w:val="auto"/>
          <w:szCs w:val="21"/>
        </w:rPr>
        <w:t>另有规</w:t>
      </w:r>
      <w:r>
        <w:rPr>
          <w:rFonts w:hint="eastAsia" w:ascii="宋体" w:hAnsi="宋体"/>
          <w:color w:val="auto"/>
        </w:rPr>
        <w:t>定外，投标人应按下列规定提供资格证明文件。</w:t>
      </w:r>
    </w:p>
    <w:p w14:paraId="6BF5638F">
      <w:pPr>
        <w:adjustRightInd w:val="0"/>
        <w:snapToGrid w:val="0"/>
        <w:spacing w:line="360" w:lineRule="auto"/>
        <w:ind w:firstLine="420" w:firstLineChars="200"/>
        <w:rPr>
          <w:rFonts w:ascii="宋体" w:hAnsi="宋体"/>
          <w:color w:val="auto"/>
        </w:rPr>
      </w:pPr>
      <w:r>
        <w:rPr>
          <w:rFonts w:hint="eastAsia" w:ascii="宋体" w:hAnsi="宋体"/>
          <w:color w:val="auto"/>
        </w:rPr>
        <w:t>（1）</w:t>
      </w:r>
      <w:r>
        <w:rPr>
          <w:rFonts w:hint="eastAsia" w:ascii="宋体" w:hAnsi="宋体"/>
          <w:b/>
          <w:color w:val="auto"/>
        </w:rPr>
        <w:t>法人或者其他组织的营业执照等主体资格证明文件，自然人的身份证明</w:t>
      </w:r>
      <w:r>
        <w:rPr>
          <w:rFonts w:hint="eastAsia" w:ascii="宋体" w:hAnsi="宋体"/>
          <w:color w:val="auto"/>
        </w:rPr>
        <w:t>：投标人为法人的，应提交营业执照或法人登记证书的复印件；投标人为非法人组织的，应提交依法登记证书复印件；投标人为个体工商户的，应提交个体工商户营业执照复印件；投标人为自然人的，应提交自然人的身份证明复印件。</w:t>
      </w:r>
    </w:p>
    <w:p w14:paraId="0F9B12A9">
      <w:pPr>
        <w:adjustRightInd w:val="0"/>
        <w:snapToGrid w:val="0"/>
        <w:spacing w:line="360" w:lineRule="auto"/>
        <w:ind w:firstLine="420" w:firstLineChars="200"/>
        <w:rPr>
          <w:rFonts w:ascii="宋体" w:hAnsi="宋体"/>
          <w:color w:val="auto"/>
        </w:rPr>
      </w:pPr>
      <w:r>
        <w:rPr>
          <w:rFonts w:hint="eastAsia" w:ascii="宋体" w:hAnsi="宋体"/>
          <w:color w:val="auto"/>
        </w:rPr>
        <w:t>（2）</w:t>
      </w:r>
      <w:r>
        <w:rPr>
          <w:rFonts w:hint="eastAsia" w:ascii="宋体" w:hAnsi="宋体"/>
          <w:b/>
          <w:color w:val="auto"/>
        </w:rPr>
        <w:t>湖南省政府采购供应商资格承诺函(格式)</w:t>
      </w:r>
    </w:p>
    <w:p w14:paraId="1B230F29">
      <w:pPr>
        <w:adjustRightInd w:val="0"/>
        <w:snapToGrid w:val="0"/>
        <w:spacing w:line="360" w:lineRule="auto"/>
        <w:ind w:firstLine="420" w:firstLineChars="200"/>
        <w:rPr>
          <w:rFonts w:ascii="宋体" w:hAnsi="宋体"/>
          <w:color w:val="auto"/>
          <w:szCs w:val="21"/>
        </w:rPr>
      </w:pPr>
      <w:r>
        <w:rPr>
          <w:rFonts w:hint="eastAsia" w:ascii="宋体" w:hAnsi="宋体"/>
          <w:color w:val="auto"/>
        </w:rPr>
        <w:t>（3）</w:t>
      </w:r>
      <w:r>
        <w:rPr>
          <w:rFonts w:hint="eastAsia" w:ascii="宋体" w:hAnsi="宋体"/>
          <w:b/>
          <w:color w:val="auto"/>
        </w:rPr>
        <w:t>符合特定资格条件证明材料复印件或者情况说明</w:t>
      </w:r>
      <w:r>
        <w:rPr>
          <w:rFonts w:hint="eastAsia" w:ascii="宋体" w:hAnsi="宋体"/>
          <w:color w:val="auto"/>
          <w:szCs w:val="21"/>
        </w:rPr>
        <w:t>。</w:t>
      </w:r>
    </w:p>
    <w:p w14:paraId="76BBE876">
      <w:pPr>
        <w:adjustRightInd w:val="0"/>
        <w:snapToGrid w:val="0"/>
        <w:spacing w:line="360" w:lineRule="auto"/>
        <w:ind w:firstLine="420" w:firstLineChars="200"/>
        <w:rPr>
          <w:rFonts w:ascii="宋体" w:hAnsi="宋体"/>
          <w:color w:val="auto"/>
        </w:rPr>
      </w:pPr>
      <w:r>
        <w:rPr>
          <w:rFonts w:hint="eastAsia" w:ascii="宋体" w:hAnsi="宋体"/>
          <w:color w:val="auto"/>
        </w:rPr>
        <w:t>14.2投标人以联合体形式投标的，除应提交联合协议(格式)外，参加联合体的各方均应提交上款资格证明材料。</w:t>
      </w:r>
    </w:p>
    <w:p w14:paraId="2A214C66">
      <w:pPr>
        <w:adjustRightInd w:val="0"/>
        <w:snapToGrid w:val="0"/>
        <w:spacing w:line="360" w:lineRule="auto"/>
        <w:ind w:firstLine="420" w:firstLineChars="200"/>
        <w:rPr>
          <w:rFonts w:ascii="宋体" w:hAnsi="宋体"/>
          <w:color w:val="auto"/>
        </w:rPr>
      </w:pPr>
      <w:r>
        <w:rPr>
          <w:rFonts w:hint="eastAsia" w:ascii="宋体" w:hAnsi="宋体"/>
          <w:color w:val="auto"/>
        </w:rPr>
        <w:t>14.3投标人的资格证明文件均应为有效文件并加盖投标人单位章，并按招标文件规定签署。</w:t>
      </w:r>
    </w:p>
    <w:p w14:paraId="24835B38">
      <w:pPr>
        <w:adjustRightInd w:val="0"/>
        <w:snapToGrid w:val="0"/>
        <w:spacing w:line="360" w:lineRule="auto"/>
        <w:rPr>
          <w:rFonts w:ascii="宋体" w:hAnsi="宋体"/>
          <w:b/>
          <w:bCs/>
          <w:color w:val="auto"/>
          <w:sz w:val="24"/>
        </w:rPr>
      </w:pPr>
      <w:r>
        <w:rPr>
          <w:rFonts w:hint="eastAsia" w:ascii="宋体" w:hAnsi="宋体"/>
          <w:b/>
          <w:bCs/>
          <w:color w:val="auto"/>
          <w:sz w:val="24"/>
        </w:rPr>
        <w:t>15. 投标货物及服务符合招标文件规定的证明文件</w:t>
      </w:r>
    </w:p>
    <w:p w14:paraId="427D99A3">
      <w:pPr>
        <w:adjustRightInd w:val="0"/>
        <w:snapToGrid w:val="0"/>
        <w:spacing w:line="360" w:lineRule="auto"/>
        <w:ind w:firstLine="420" w:firstLineChars="200"/>
        <w:rPr>
          <w:rFonts w:hint="eastAsia" w:ascii="宋体" w:hAnsi="宋体" w:eastAsia="宋体"/>
          <w:color w:val="auto"/>
          <w:szCs w:val="21"/>
          <w:lang w:eastAsia="zh-CN"/>
        </w:rPr>
      </w:pPr>
      <w:r>
        <w:rPr>
          <w:rFonts w:hint="eastAsia" w:ascii="宋体" w:hAnsi="宋体"/>
          <w:color w:val="auto"/>
          <w:szCs w:val="21"/>
        </w:rPr>
        <w:t>15.1投标人应当提交其拟供的合同项下货物及其服务符合招标文件规定的证明文件,该证明文件作为投标文件的一部分</w:t>
      </w:r>
      <w:r>
        <w:rPr>
          <w:rFonts w:hint="eastAsia" w:ascii="宋体" w:hAnsi="宋体"/>
          <w:color w:val="auto"/>
          <w:szCs w:val="21"/>
          <w:lang w:eastAsia="zh-CN"/>
        </w:rPr>
        <w:t>。</w:t>
      </w:r>
    </w:p>
    <w:p w14:paraId="6BFC5BA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15.2上述证明文件可以是文字资料、图表、数据、证书等资料，包括但不限于：</w:t>
      </w:r>
    </w:p>
    <w:p w14:paraId="0B5314F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（1）货物主要技术指标和性能的详细说明。对有具体参数要求的指标，投标人应提供具体参数值；</w:t>
      </w:r>
    </w:p>
    <w:p w14:paraId="706A3C3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（2）货物的品牌型号、制造商及原产地等说明；</w:t>
      </w:r>
    </w:p>
    <w:p w14:paraId="0C3BEC1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（3）招标文件第五章“采购需求”要求的其它文件。</w:t>
      </w:r>
    </w:p>
    <w:p w14:paraId="574DBE75">
      <w:pPr>
        <w:adjustRightInd w:val="0"/>
        <w:snapToGrid w:val="0"/>
        <w:spacing w:line="360" w:lineRule="auto"/>
        <w:rPr>
          <w:rFonts w:ascii="宋体" w:hAnsi="宋体"/>
          <w:b/>
          <w:bCs/>
          <w:color w:val="auto"/>
          <w:sz w:val="24"/>
        </w:rPr>
      </w:pPr>
      <w:r>
        <w:rPr>
          <w:rFonts w:hint="eastAsia" w:ascii="宋体" w:hAnsi="宋体"/>
          <w:b/>
          <w:bCs/>
          <w:color w:val="auto"/>
          <w:sz w:val="24"/>
        </w:rPr>
        <w:t>16. 投标有效期</w:t>
      </w:r>
    </w:p>
    <w:p w14:paraId="73EC7BC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16.1投标有效期从提交投标文件的截止之日起计算。投标文件中承诺的投标有效期应当不少于</w:t>
      </w:r>
      <w:r>
        <w:rPr>
          <w:rFonts w:hint="eastAsia" w:ascii="宋体" w:hAnsi="宋体"/>
          <w:b/>
          <w:color w:val="auto"/>
          <w:szCs w:val="21"/>
        </w:rPr>
        <w:t>【投标须知前附表】</w:t>
      </w:r>
      <w:r>
        <w:rPr>
          <w:rFonts w:hint="eastAsia" w:ascii="宋体" w:hAnsi="宋体"/>
          <w:color w:val="auto"/>
          <w:szCs w:val="21"/>
        </w:rPr>
        <w:t>中载明的投标有效期。投标有效期不满足要求的，其</w:t>
      </w:r>
      <w:r>
        <w:rPr>
          <w:rFonts w:hint="eastAsia" w:ascii="宋体" w:hAnsi="宋体"/>
          <w:b/>
          <w:color w:val="auto"/>
          <w:szCs w:val="21"/>
        </w:rPr>
        <w:t>投标无效</w:t>
      </w:r>
      <w:r>
        <w:rPr>
          <w:rFonts w:hint="eastAsia" w:ascii="宋体" w:hAnsi="宋体"/>
          <w:color w:val="auto"/>
          <w:szCs w:val="21"/>
        </w:rPr>
        <w:t>。</w:t>
      </w:r>
    </w:p>
    <w:p w14:paraId="25C5F5E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16.2投标有效期内投标人撤销投标文件的，投标人应承担招标文件和法律规定的责任。</w:t>
      </w:r>
    </w:p>
    <w:p w14:paraId="2BBC3A85">
      <w:pPr>
        <w:adjustRightInd w:val="0"/>
        <w:snapToGrid w:val="0"/>
        <w:spacing w:line="360" w:lineRule="auto"/>
        <w:rPr>
          <w:rFonts w:ascii="宋体" w:hAnsi="宋体"/>
          <w:b/>
          <w:bCs/>
          <w:color w:val="auto"/>
          <w:sz w:val="24"/>
        </w:rPr>
      </w:pPr>
      <w:r>
        <w:rPr>
          <w:rFonts w:hint="eastAsia" w:ascii="宋体" w:hAnsi="宋体"/>
          <w:b/>
          <w:bCs/>
          <w:color w:val="auto"/>
          <w:sz w:val="24"/>
        </w:rPr>
        <w:t>17. 投标保证金（不要求递交）</w:t>
      </w:r>
    </w:p>
    <w:p w14:paraId="4826AA09">
      <w:pPr>
        <w:adjustRightInd w:val="0"/>
        <w:snapToGrid w:val="0"/>
        <w:spacing w:line="360" w:lineRule="auto"/>
        <w:rPr>
          <w:rFonts w:ascii="宋体" w:hAnsi="宋体"/>
          <w:b/>
          <w:color w:val="auto"/>
          <w:sz w:val="24"/>
        </w:rPr>
      </w:pPr>
      <w:r>
        <w:rPr>
          <w:rFonts w:hint="eastAsia" w:ascii="宋体" w:hAnsi="宋体"/>
          <w:b/>
          <w:color w:val="auto"/>
          <w:sz w:val="24"/>
        </w:rPr>
        <w:t>18.分包</w:t>
      </w:r>
    </w:p>
    <w:p w14:paraId="424ECF67">
      <w:pPr>
        <w:adjustRightInd w:val="0"/>
        <w:snapToGrid w:val="0"/>
        <w:spacing w:line="360" w:lineRule="auto"/>
        <w:ind w:firstLine="420" w:firstLineChars="200"/>
        <w:rPr>
          <w:rFonts w:ascii="宋体" w:hAnsi="宋体"/>
          <w:color w:val="auto"/>
        </w:rPr>
      </w:pPr>
      <w:r>
        <w:rPr>
          <w:rFonts w:hint="eastAsia" w:ascii="宋体" w:hAnsi="宋体"/>
          <w:color w:val="auto"/>
        </w:rPr>
        <w:t>18.1</w:t>
      </w:r>
      <w:r>
        <w:rPr>
          <w:rFonts w:hint="eastAsia" w:hAnsi="宋体"/>
          <w:b/>
          <w:bCs/>
          <w:color w:val="auto"/>
        </w:rPr>
        <w:t>【投标须知前附表】</w:t>
      </w:r>
      <w:r>
        <w:rPr>
          <w:rFonts w:hint="eastAsia" w:ascii="宋体" w:hAnsi="宋体"/>
          <w:color w:val="auto"/>
        </w:rPr>
        <w:t>规定投标人分包的，投标人分包承诺不符合招标文件中有关分包规定的，其</w:t>
      </w:r>
      <w:r>
        <w:rPr>
          <w:rFonts w:hint="eastAsia" w:ascii="宋体" w:hAnsi="宋体"/>
          <w:b/>
          <w:bCs/>
          <w:color w:val="auto"/>
        </w:rPr>
        <w:t>投标无效</w:t>
      </w:r>
      <w:r>
        <w:rPr>
          <w:rFonts w:hint="eastAsia" w:ascii="宋体" w:hAnsi="宋体"/>
          <w:color w:val="auto"/>
        </w:rPr>
        <w:t>。</w:t>
      </w:r>
    </w:p>
    <w:p w14:paraId="4060F0D0">
      <w:pPr>
        <w:adjustRightInd w:val="0"/>
        <w:snapToGrid w:val="0"/>
        <w:spacing w:line="360" w:lineRule="auto"/>
        <w:ind w:firstLine="420" w:firstLineChars="200"/>
        <w:rPr>
          <w:rFonts w:ascii="宋体" w:hAnsi="宋体"/>
          <w:color w:val="auto"/>
        </w:rPr>
      </w:pPr>
      <w:r>
        <w:rPr>
          <w:rFonts w:hint="eastAsia" w:ascii="宋体" w:hAnsi="宋体"/>
          <w:color w:val="auto"/>
        </w:rPr>
        <w:t>18.2投标人应在签订政府采购合同前向采购人提供分包合同，否则，采购人有权拒绝签订采购合同。</w:t>
      </w:r>
    </w:p>
    <w:p w14:paraId="65982ABA">
      <w:pPr>
        <w:adjustRightInd w:val="0"/>
        <w:snapToGrid w:val="0"/>
        <w:spacing w:line="360" w:lineRule="auto"/>
        <w:ind w:firstLine="420" w:firstLineChars="200"/>
        <w:rPr>
          <w:rFonts w:ascii="宋体" w:hAnsi="宋体"/>
          <w:color w:val="auto"/>
        </w:rPr>
      </w:pPr>
      <w:r>
        <w:rPr>
          <w:rFonts w:hint="eastAsia" w:ascii="宋体" w:hAnsi="宋体"/>
          <w:color w:val="auto"/>
        </w:rPr>
        <w:t>18.3享受中小企业扶持政策获得政府采购合同的，小微企业不得将合同分包给大中型企业，中型企业不得将合同分包给大型企业。</w:t>
      </w:r>
    </w:p>
    <w:p w14:paraId="2CBBAC93">
      <w:pPr>
        <w:adjustRightInd w:val="0"/>
        <w:snapToGrid w:val="0"/>
        <w:spacing w:line="360" w:lineRule="auto"/>
        <w:ind w:firstLine="420" w:firstLineChars="200"/>
        <w:rPr>
          <w:rFonts w:ascii="宋体" w:hAnsi="宋体"/>
          <w:color w:val="auto"/>
        </w:rPr>
      </w:pPr>
      <w:r>
        <w:rPr>
          <w:rFonts w:hint="eastAsia" w:ascii="宋体" w:hAnsi="宋体"/>
          <w:color w:val="auto"/>
        </w:rPr>
        <w:t>18.4分包供应商不得再次分包。</w:t>
      </w:r>
    </w:p>
    <w:p w14:paraId="325786C6">
      <w:pPr>
        <w:adjustRightInd w:val="0"/>
        <w:snapToGrid w:val="0"/>
        <w:spacing w:line="360" w:lineRule="auto"/>
        <w:rPr>
          <w:rFonts w:ascii="宋体" w:hAnsi="宋体"/>
          <w:b/>
          <w:bCs/>
          <w:color w:val="auto"/>
          <w:sz w:val="24"/>
        </w:rPr>
      </w:pPr>
      <w:r>
        <w:rPr>
          <w:rFonts w:hint="eastAsia" w:ascii="宋体" w:hAnsi="宋体"/>
          <w:b/>
          <w:bCs/>
          <w:color w:val="auto"/>
          <w:sz w:val="24"/>
        </w:rPr>
        <w:t>19. 投标文件的签署</w:t>
      </w:r>
    </w:p>
    <w:p w14:paraId="626F4E9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19.1投标文件份数，投标人应准备所投项目的电子投标文件一份。</w:t>
      </w:r>
    </w:p>
    <w:p w14:paraId="1D30945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19.2电子投标文件：投标人应按照电子招标文件要求制作投标文件，并在</w:t>
      </w:r>
      <w:r>
        <w:rPr>
          <w:rFonts w:hint="eastAsia" w:ascii="宋体" w:hAnsi="宋体"/>
          <w:color w:val="auto"/>
        </w:rPr>
        <w:t>指定处采用电子平台认可的CA数字证书</w:t>
      </w:r>
      <w:r>
        <w:rPr>
          <w:rFonts w:hint="eastAsia" w:ascii="宋体" w:hAnsi="宋体"/>
          <w:color w:val="auto"/>
          <w:szCs w:val="21"/>
        </w:rPr>
        <w:t>进行电子签名和盖章。</w:t>
      </w:r>
    </w:p>
    <w:p w14:paraId="567B26E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19.3投标人确认投标后，应从交易平台上下载“电子招标文件制作工具（</w:t>
      </w:r>
      <w:r>
        <w:rPr>
          <w:rStyle w:val="112"/>
          <w:rFonts w:ascii="宋体" w:hAnsi="宋体"/>
          <w:color w:val="auto"/>
          <w:szCs w:val="21"/>
        </w:rPr>
        <w:t>金润投标人工具箱）</w:t>
      </w:r>
      <w:r>
        <w:rPr>
          <w:rFonts w:hint="eastAsia" w:ascii="宋体" w:hAnsi="宋体"/>
          <w:color w:val="auto"/>
          <w:szCs w:val="21"/>
        </w:rPr>
        <w:t>”，并使用此工具编制电子投标文件，否则将可能影响电子投标文件的上传而导致投标无效。</w:t>
      </w:r>
    </w:p>
    <w:p w14:paraId="0CF8FDD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19.4投标人因自身原因导致电子投标文件无法导入电子评标系统的，该投标文件视为无效投标文件。</w:t>
      </w:r>
    </w:p>
    <w:p w14:paraId="66C881D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19.5电子招投标文件具有法律效力，若投标文件与招标文件要求不一致，其内容影响中标结果时，责任由投标人自行承担。</w:t>
      </w:r>
    </w:p>
    <w:p w14:paraId="1648030A">
      <w:pPr>
        <w:pStyle w:val="5"/>
        <w:adjustRightInd w:val="0"/>
        <w:snapToGrid w:val="0"/>
        <w:spacing w:before="120" w:beforeLines="50" w:after="0" w:line="360" w:lineRule="auto"/>
        <w:jc w:val="center"/>
        <w:rPr>
          <w:rFonts w:ascii="黑体" w:hAnsi="黑体" w:eastAsia="黑体"/>
          <w:color w:val="auto"/>
          <w:sz w:val="28"/>
          <w:szCs w:val="28"/>
        </w:rPr>
      </w:pPr>
      <w:bookmarkStart w:id="188" w:name="_Toc108341942"/>
      <w:bookmarkStart w:id="189" w:name="_Toc100670426"/>
      <w:bookmarkStart w:id="190" w:name="_Toc171273676"/>
      <w:bookmarkStart w:id="191" w:name="_Toc6925"/>
      <w:bookmarkStart w:id="192" w:name="_Toc78314267"/>
      <w:bookmarkStart w:id="193" w:name="_Toc15888490"/>
      <w:bookmarkStart w:id="194" w:name="_Toc26148"/>
      <w:bookmarkStart w:id="195" w:name="_Toc5715"/>
      <w:bookmarkStart w:id="196" w:name="_Toc112704938"/>
      <w:bookmarkStart w:id="197" w:name="_Toc117192453"/>
      <w:bookmarkStart w:id="198" w:name="_Toc25125"/>
      <w:bookmarkStart w:id="199" w:name="_Toc75289231"/>
      <w:bookmarkStart w:id="200" w:name="_Toc192951218"/>
      <w:bookmarkStart w:id="201" w:name="_Toc28541"/>
      <w:bookmarkStart w:id="202" w:name="_Toc5247"/>
      <w:bookmarkStart w:id="203" w:name="_Toc21984"/>
      <w:bookmarkStart w:id="204" w:name="_Toc77676471"/>
      <w:bookmarkStart w:id="205" w:name="_Toc192949608"/>
      <w:bookmarkStart w:id="206" w:name="_Toc100670673"/>
      <w:bookmarkStart w:id="207" w:name="_Toc85972935"/>
      <w:bookmarkStart w:id="208" w:name="_Toc154428395"/>
      <w:bookmarkStart w:id="209" w:name="_Toc77199404"/>
      <w:bookmarkStart w:id="210" w:name="_Toc19962"/>
      <w:bookmarkStart w:id="211" w:name="_Toc26194"/>
      <w:bookmarkStart w:id="212" w:name="_Toc78449960"/>
      <w:bookmarkStart w:id="213" w:name="_Toc192949707"/>
      <w:bookmarkStart w:id="214" w:name="_Toc75289553"/>
      <w:bookmarkStart w:id="215" w:name="_Toc95601370"/>
      <w:bookmarkStart w:id="216" w:name="_Toc94367885"/>
      <w:bookmarkStart w:id="217" w:name="_Toc114036717"/>
      <w:r>
        <w:rPr>
          <w:rFonts w:hint="eastAsia" w:ascii="黑体" w:hAnsi="黑体" w:eastAsia="黑体"/>
          <w:color w:val="auto"/>
          <w:sz w:val="28"/>
          <w:szCs w:val="28"/>
        </w:rPr>
        <w:t>四、投标</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14:paraId="03D87C6D">
      <w:pPr>
        <w:adjustRightInd w:val="0"/>
        <w:snapToGrid w:val="0"/>
        <w:spacing w:line="360" w:lineRule="auto"/>
        <w:rPr>
          <w:rFonts w:ascii="宋体" w:hAnsi="宋体"/>
          <w:b/>
          <w:bCs/>
          <w:color w:val="auto"/>
          <w:sz w:val="24"/>
        </w:rPr>
      </w:pPr>
      <w:r>
        <w:rPr>
          <w:rFonts w:hint="eastAsia" w:ascii="宋体" w:hAnsi="宋体"/>
          <w:b/>
          <w:color w:val="auto"/>
          <w:sz w:val="24"/>
        </w:rPr>
        <w:t>20.</w:t>
      </w:r>
      <w:r>
        <w:rPr>
          <w:rFonts w:hint="eastAsia" w:ascii="宋体" w:hAnsi="宋体"/>
          <w:b/>
          <w:bCs/>
          <w:color w:val="auto"/>
          <w:sz w:val="24"/>
        </w:rPr>
        <w:t xml:space="preserve"> 投标文件的密封和标记</w:t>
      </w:r>
    </w:p>
    <w:p w14:paraId="0790AAF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20.1娄底市公共资源交易电子服务平台发布的“电子投标文件制作工具（</w:t>
      </w:r>
      <w:r>
        <w:rPr>
          <w:rStyle w:val="112"/>
          <w:rFonts w:ascii="宋体" w:hAnsi="宋体"/>
          <w:color w:val="auto"/>
          <w:szCs w:val="21"/>
        </w:rPr>
        <w:t>金润投标人工具箱）</w:t>
      </w:r>
      <w:r>
        <w:rPr>
          <w:rFonts w:hint="eastAsia" w:ascii="宋体" w:hAnsi="宋体"/>
          <w:color w:val="auto"/>
          <w:szCs w:val="21"/>
        </w:rPr>
        <w:t>”的程序进行固化、加密。</w:t>
      </w:r>
    </w:p>
    <w:p w14:paraId="53493B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20</w:t>
      </w:r>
      <w:r>
        <w:rPr>
          <w:rFonts w:ascii="宋体" w:hAnsi="宋体"/>
          <w:color w:val="auto"/>
          <w:szCs w:val="21"/>
        </w:rPr>
        <w:t>.2</w:t>
      </w:r>
      <w:r>
        <w:rPr>
          <w:rFonts w:hint="eastAsia" w:ascii="宋体" w:hAnsi="宋体"/>
          <w:color w:val="auto"/>
        </w:rPr>
        <w:t>“电子标书软件加密锁” 具有唯一性，仅限于本单位在电子化招标投标活动中使用，不得转让和出借；</w:t>
      </w:r>
    </w:p>
    <w:p w14:paraId="2E19473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20</w:t>
      </w:r>
      <w:r>
        <w:rPr>
          <w:rFonts w:ascii="宋体" w:hAnsi="宋体"/>
          <w:color w:val="auto"/>
          <w:szCs w:val="21"/>
        </w:rPr>
        <w:t>.</w:t>
      </w:r>
      <w:r>
        <w:rPr>
          <w:rFonts w:hint="eastAsia" w:ascii="宋体" w:hAnsi="宋体"/>
          <w:color w:val="auto"/>
          <w:szCs w:val="21"/>
        </w:rPr>
        <w:t>3</w:t>
      </w:r>
      <w:r>
        <w:rPr>
          <w:rFonts w:hint="eastAsia" w:ascii="宋体" w:hAnsi="宋体"/>
          <w:color w:val="auto"/>
        </w:rPr>
        <w:t>投标人在编辑投标文件时，在投标文件目录中属于本节点内容的必须上传或填写在本节点的对应位置，未按要求填写或上传的，相应责任由投标人自行承担</w:t>
      </w:r>
      <w:r>
        <w:rPr>
          <w:rFonts w:hint="eastAsia" w:ascii="宋体" w:hAnsi="宋体"/>
          <w:color w:val="auto"/>
          <w:szCs w:val="21"/>
        </w:rPr>
        <w:t>。</w:t>
      </w:r>
    </w:p>
    <w:p w14:paraId="36B5EA7C">
      <w:pPr>
        <w:adjustRightInd w:val="0"/>
        <w:snapToGrid w:val="0"/>
        <w:spacing w:line="360" w:lineRule="auto"/>
        <w:ind w:firstLine="420" w:firstLineChars="200"/>
        <w:rPr>
          <w:rFonts w:ascii="宋体" w:hAnsi="宋体"/>
          <w:color w:val="auto"/>
          <w:szCs w:val="21"/>
        </w:rPr>
      </w:pPr>
      <w:r>
        <w:rPr>
          <w:rFonts w:hint="eastAsia" w:ascii="宋体" w:hAnsi="宋体"/>
          <w:color w:val="auto"/>
        </w:rPr>
        <w:t>20.4投标书编写完成后，必须用本系统自带的电子密钥进行加密，如果误选了非本项目的规则文件导致不能在开标时解密投标文件，该投标文件将被电子开标系统拒绝，将导致投标文件无效。</w:t>
      </w:r>
    </w:p>
    <w:p w14:paraId="1FDC3A52">
      <w:pPr>
        <w:adjustRightInd w:val="0"/>
        <w:snapToGrid w:val="0"/>
        <w:spacing w:line="360" w:lineRule="auto"/>
        <w:ind w:firstLine="420" w:firstLineChars="200"/>
        <w:rPr>
          <w:rFonts w:ascii="宋体" w:hAnsi="宋体"/>
          <w:color w:val="auto"/>
          <w:szCs w:val="21"/>
        </w:rPr>
      </w:pPr>
      <w:r>
        <w:rPr>
          <w:rFonts w:hint="eastAsia" w:ascii="宋体" w:hAnsi="宋体"/>
          <w:color w:val="auto"/>
        </w:rPr>
        <w:t>20.5如果开标时出现网络故障、技术故障，影响了招投标活动，采购人可采取措施如延期、延长上传的投标书和解密时间等，以保障招投标活动的公开、公平和公正，投标人不得对此持有异议</w:t>
      </w:r>
      <w:r>
        <w:rPr>
          <w:rFonts w:ascii="宋体" w:hAnsi="宋体"/>
          <w:color w:val="auto"/>
        </w:rPr>
        <w:t>。</w:t>
      </w:r>
    </w:p>
    <w:p w14:paraId="758449D5">
      <w:pPr>
        <w:adjustRightInd w:val="0"/>
        <w:snapToGrid w:val="0"/>
        <w:spacing w:line="360" w:lineRule="auto"/>
        <w:rPr>
          <w:rFonts w:ascii="宋体" w:hAnsi="宋体"/>
          <w:b/>
          <w:bCs/>
          <w:color w:val="auto"/>
          <w:sz w:val="24"/>
        </w:rPr>
      </w:pPr>
      <w:r>
        <w:rPr>
          <w:rFonts w:hint="eastAsia" w:ascii="宋体" w:hAnsi="宋体"/>
          <w:b/>
          <w:bCs/>
          <w:color w:val="auto"/>
          <w:sz w:val="24"/>
        </w:rPr>
        <w:t>21. 投标文件的递交</w:t>
      </w:r>
    </w:p>
    <w:p w14:paraId="2380264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21.1</w:t>
      </w:r>
      <w:r>
        <w:rPr>
          <w:rStyle w:val="112"/>
          <w:rFonts w:ascii="宋体" w:hAnsi="宋体"/>
          <w:color w:val="auto"/>
          <w:szCs w:val="21"/>
        </w:rPr>
        <w:t>实行网上投标，</w:t>
      </w:r>
      <w:r>
        <w:rPr>
          <w:rFonts w:ascii="宋体" w:hAnsi="宋体"/>
          <w:color w:val="auto"/>
        </w:rPr>
        <w:t>投标人必须</w:t>
      </w:r>
      <w:r>
        <w:rPr>
          <w:rFonts w:hint="eastAsia" w:ascii="宋体" w:hAnsi="宋体"/>
          <w:color w:val="auto"/>
        </w:rPr>
        <w:t>在</w:t>
      </w:r>
      <w:r>
        <w:rPr>
          <w:rFonts w:ascii="宋体" w:hAnsi="宋体"/>
          <w:color w:val="auto"/>
        </w:rPr>
        <w:t>采购文件规定的投标截止时间前完成</w:t>
      </w:r>
      <w:r>
        <w:rPr>
          <w:rFonts w:hint="eastAsia" w:ascii="宋体" w:hAnsi="宋体"/>
          <w:color w:val="auto"/>
          <w:szCs w:val="21"/>
        </w:rPr>
        <w:t>。</w:t>
      </w:r>
    </w:p>
    <w:p w14:paraId="0DBE8A3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21.2</w:t>
      </w:r>
      <w:r>
        <w:rPr>
          <w:rFonts w:ascii="宋体" w:hAnsi="宋体"/>
          <w:color w:val="auto"/>
        </w:rPr>
        <w:t>按本</w:t>
      </w:r>
      <w:r>
        <w:rPr>
          <w:rFonts w:hint="eastAsia" w:ascii="宋体" w:hAnsi="宋体"/>
          <w:color w:val="auto"/>
        </w:rPr>
        <w:t>章</w:t>
      </w:r>
      <w:r>
        <w:rPr>
          <w:rFonts w:ascii="宋体" w:hAnsi="宋体"/>
          <w:color w:val="auto"/>
        </w:rPr>
        <w:t>第</w:t>
      </w:r>
      <w:r>
        <w:rPr>
          <w:rFonts w:hint="eastAsia" w:ascii="宋体" w:hAnsi="宋体"/>
          <w:color w:val="auto"/>
        </w:rPr>
        <w:t>9</w:t>
      </w:r>
      <w:r>
        <w:rPr>
          <w:rFonts w:ascii="宋体" w:hAnsi="宋体"/>
          <w:color w:val="auto"/>
        </w:rPr>
        <w:t>条规定，招标文件发生实质性修改后，投标人须撤回原电子投标文件，根据最新招标文件重新制作投标文件并再次上传。</w:t>
      </w:r>
    </w:p>
    <w:p w14:paraId="5F648C01">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21.3</w:t>
      </w:r>
      <w:r>
        <w:rPr>
          <w:rFonts w:ascii="宋体" w:hAnsi="宋体"/>
          <w:color w:val="auto"/>
        </w:rPr>
        <w:t>投标截止时间</w:t>
      </w:r>
      <w:r>
        <w:rPr>
          <w:rFonts w:hint="eastAsia" w:ascii="宋体" w:hAnsi="宋体"/>
          <w:color w:val="auto"/>
        </w:rPr>
        <w:t>到达以后不再接收</w:t>
      </w:r>
      <w:r>
        <w:rPr>
          <w:rFonts w:ascii="宋体" w:hAnsi="宋体"/>
          <w:color w:val="auto"/>
        </w:rPr>
        <w:t>投标文件。</w:t>
      </w:r>
    </w:p>
    <w:p w14:paraId="53AACBA4">
      <w:pPr>
        <w:adjustRightInd w:val="0"/>
        <w:snapToGrid w:val="0"/>
        <w:spacing w:line="360" w:lineRule="auto"/>
        <w:rPr>
          <w:rFonts w:ascii="宋体" w:hAnsi="宋体"/>
          <w:b/>
          <w:bCs/>
          <w:color w:val="auto"/>
          <w:sz w:val="24"/>
        </w:rPr>
      </w:pPr>
      <w:r>
        <w:rPr>
          <w:rFonts w:hint="eastAsia" w:ascii="宋体" w:hAnsi="宋体"/>
          <w:b/>
          <w:bCs/>
          <w:color w:val="auto"/>
          <w:sz w:val="24"/>
        </w:rPr>
        <w:t>22. 投标文件的修改和撤回</w:t>
      </w:r>
    </w:p>
    <w:p w14:paraId="6308632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22.1投标人</w:t>
      </w:r>
      <w:r>
        <w:rPr>
          <w:rFonts w:hint="eastAsia" w:ascii="宋体" w:hAnsi="宋体"/>
          <w:color w:val="auto"/>
        </w:rPr>
        <w:t>在提交电子投标文件后可对其投标文件进行修改并重新上传投标文件或在网上进行撤销投标的操作。</w:t>
      </w:r>
    </w:p>
    <w:p w14:paraId="54336ED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22.2</w:t>
      </w:r>
      <w:r>
        <w:rPr>
          <w:rFonts w:hint="eastAsia" w:ascii="宋体" w:hAnsi="宋体"/>
          <w:color w:val="auto"/>
        </w:rPr>
        <w:t>投标截止时间以后不得修改投标文件。</w:t>
      </w:r>
    </w:p>
    <w:p w14:paraId="7252B167">
      <w:pPr>
        <w:adjustRightInd w:val="0"/>
        <w:snapToGrid w:val="0"/>
        <w:spacing w:line="360" w:lineRule="auto"/>
        <w:rPr>
          <w:rFonts w:ascii="宋体" w:hAnsi="宋体" w:cs="Arial"/>
          <w:b/>
          <w:color w:val="auto"/>
          <w:sz w:val="24"/>
        </w:rPr>
      </w:pPr>
      <w:r>
        <w:rPr>
          <w:rFonts w:hint="eastAsia" w:ascii="宋体" w:hAnsi="宋体"/>
          <w:b/>
          <w:bCs/>
          <w:color w:val="auto"/>
          <w:sz w:val="24"/>
        </w:rPr>
        <w:t>23.</w:t>
      </w:r>
      <w:r>
        <w:rPr>
          <w:rFonts w:hint="eastAsia" w:ascii="宋体" w:hAnsi="宋体" w:cs="Arial"/>
          <w:b/>
          <w:color w:val="auto"/>
          <w:sz w:val="24"/>
        </w:rPr>
        <w:t xml:space="preserve"> 串通</w:t>
      </w:r>
      <w:r>
        <w:rPr>
          <w:rFonts w:hint="eastAsia" w:ascii="宋体" w:hAnsi="宋体"/>
          <w:b/>
          <w:color w:val="auto"/>
          <w:sz w:val="24"/>
        </w:rPr>
        <w:t>投标行为</w:t>
      </w:r>
    </w:p>
    <w:p w14:paraId="05E1DE03">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23.1有下列情形之一的，属于恶意串通，对投标人依照政府采购法第七十七条第一款的规定追究法律责任：</w:t>
      </w:r>
    </w:p>
    <w:p w14:paraId="0006AEEB">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（1）投标人直接或者间接从采购人或者采购代理机构处获得其他投标人的相关情况并修改其投标文件；</w:t>
      </w:r>
    </w:p>
    <w:p w14:paraId="29590E0E">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（2）投标人按照采购人或者采购代理机构的授意撤换、修改投标文件；</w:t>
      </w:r>
    </w:p>
    <w:p w14:paraId="2B19AF7C">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（3）投标人之间协商报价、技术方案等投标文件的实质性内容；</w:t>
      </w:r>
    </w:p>
    <w:p w14:paraId="30EC7932">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（4）属于同一集团、协会、商会等组织成员的投标人按照该组织要求协同参加政府采购活动；</w:t>
      </w:r>
    </w:p>
    <w:p w14:paraId="3D44EDE6">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（5）投标人之间事先约定由某一特定投标人中标；</w:t>
      </w:r>
    </w:p>
    <w:p w14:paraId="5C595057">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（6）投标人之间商定部分投标人放弃参加政府采购活动或者放弃中标；</w:t>
      </w:r>
    </w:p>
    <w:p w14:paraId="13017523">
      <w:pPr>
        <w:adjustRightInd w:val="0"/>
        <w:snapToGrid w:val="0"/>
        <w:spacing w:line="360" w:lineRule="auto"/>
        <w:ind w:firstLine="396" w:firstLineChars="200"/>
        <w:rPr>
          <w:rFonts w:ascii="宋体" w:hAnsi="宋体"/>
          <w:color w:val="auto"/>
          <w:spacing w:val="-6"/>
          <w:szCs w:val="21"/>
        </w:rPr>
      </w:pPr>
      <w:r>
        <w:rPr>
          <w:rFonts w:hint="eastAsia" w:ascii="宋体" w:hAnsi="宋体"/>
          <w:color w:val="auto"/>
          <w:spacing w:val="-6"/>
          <w:szCs w:val="21"/>
        </w:rPr>
        <w:t>（7）投标人与采购人或者采购代理机构之间、投标人相互之间，为谋求特定投标人中标或者排斥其他投标人的其他串通行为。</w:t>
      </w:r>
    </w:p>
    <w:p w14:paraId="09185DE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23.2有下列情形之一的，视为投标人串通投标，其</w:t>
      </w:r>
      <w:r>
        <w:rPr>
          <w:rFonts w:hint="eastAsia" w:ascii="宋体" w:hAnsi="宋体"/>
          <w:b/>
          <w:color w:val="auto"/>
          <w:szCs w:val="21"/>
        </w:rPr>
        <w:t>投标无效</w:t>
      </w:r>
      <w:r>
        <w:rPr>
          <w:rFonts w:hint="eastAsia" w:ascii="宋体" w:hAnsi="宋体"/>
          <w:color w:val="auto"/>
          <w:szCs w:val="21"/>
        </w:rPr>
        <w:t>：</w:t>
      </w:r>
    </w:p>
    <w:p w14:paraId="441802C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（1）不同投标人的投标文件由同一单位或者个人编制；</w:t>
      </w:r>
    </w:p>
    <w:p w14:paraId="0EB46FE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（2）不同投标人委托同一单位或者个人办理投标事宜；</w:t>
      </w:r>
    </w:p>
    <w:p w14:paraId="3BF34AD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（3）不同投标人的投标文件载明的项目管理成员或者联系人员为同一人；</w:t>
      </w:r>
    </w:p>
    <w:p w14:paraId="2A684B0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（4）不同投标人的投标文件异常一致或者投标报价呈规律性差异；</w:t>
      </w:r>
    </w:p>
    <w:p w14:paraId="456337F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（5）不同投标人的投标文件相互混装。</w:t>
      </w:r>
    </w:p>
    <w:p w14:paraId="740EEB62">
      <w:pPr>
        <w:pStyle w:val="5"/>
        <w:adjustRightInd w:val="0"/>
        <w:snapToGrid w:val="0"/>
        <w:spacing w:before="120" w:beforeLines="50" w:after="0" w:line="360" w:lineRule="auto"/>
        <w:jc w:val="center"/>
        <w:rPr>
          <w:rFonts w:ascii="黑体" w:hAnsi="黑体" w:eastAsia="黑体"/>
          <w:color w:val="auto"/>
          <w:sz w:val="28"/>
          <w:szCs w:val="28"/>
        </w:rPr>
      </w:pPr>
      <w:bookmarkStart w:id="218" w:name="_Toc14793"/>
      <w:bookmarkStart w:id="219" w:name="_Toc3691"/>
      <w:bookmarkStart w:id="220" w:name="_Toc100670427"/>
      <w:bookmarkStart w:id="221" w:name="_Toc16138"/>
      <w:bookmarkStart w:id="222" w:name="_Toc108341943"/>
      <w:bookmarkStart w:id="223" w:name="_Toc18046"/>
      <w:bookmarkStart w:id="224" w:name="_Toc192949708"/>
      <w:bookmarkStart w:id="225" w:name="_Toc192951219"/>
      <w:bookmarkStart w:id="226" w:name="_Toc192949609"/>
      <w:bookmarkStart w:id="227" w:name="_Toc78314268"/>
      <w:bookmarkStart w:id="228" w:name="_Toc632"/>
      <w:bookmarkStart w:id="229" w:name="_Toc77199405"/>
      <w:bookmarkStart w:id="230" w:name="_Toc78449961"/>
      <w:bookmarkStart w:id="231" w:name="_Toc154428396"/>
      <w:bookmarkStart w:id="232" w:name="_Toc22895"/>
      <w:bookmarkStart w:id="233" w:name="_Toc171273677"/>
      <w:bookmarkStart w:id="234" w:name="_Toc2710"/>
      <w:bookmarkStart w:id="235" w:name="_Toc15888491"/>
      <w:bookmarkStart w:id="236" w:name="_Toc114036718"/>
      <w:bookmarkStart w:id="237" w:name="_Toc94367886"/>
      <w:bookmarkStart w:id="238" w:name="_Toc112704939"/>
      <w:bookmarkStart w:id="239" w:name="_Toc95601371"/>
      <w:bookmarkStart w:id="240" w:name="_Toc75289554"/>
      <w:bookmarkStart w:id="241" w:name="_Toc117192454"/>
      <w:bookmarkStart w:id="242" w:name="_Toc75289232"/>
      <w:bookmarkStart w:id="243" w:name="_Toc29944"/>
      <w:bookmarkStart w:id="244" w:name="_Toc100670674"/>
      <w:bookmarkStart w:id="245" w:name="_Toc85972936"/>
      <w:bookmarkStart w:id="246" w:name="_Toc21272"/>
      <w:bookmarkStart w:id="247" w:name="_Toc77676472"/>
      <w:r>
        <w:rPr>
          <w:rFonts w:hint="eastAsia" w:ascii="黑体" w:hAnsi="黑体" w:eastAsia="黑体"/>
          <w:color w:val="auto"/>
          <w:sz w:val="28"/>
          <w:szCs w:val="28"/>
        </w:rPr>
        <w:t>五、开标，资格审查和评标</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4F0814A5">
      <w:pPr>
        <w:adjustRightInd w:val="0"/>
        <w:snapToGrid w:val="0"/>
        <w:spacing w:line="360" w:lineRule="auto"/>
        <w:rPr>
          <w:rFonts w:ascii="宋体" w:hAnsi="宋体"/>
          <w:b/>
          <w:bCs/>
          <w:color w:val="auto"/>
          <w:sz w:val="24"/>
        </w:rPr>
      </w:pPr>
      <w:r>
        <w:rPr>
          <w:rFonts w:hint="eastAsia" w:ascii="宋体" w:hAnsi="宋体"/>
          <w:b/>
          <w:bCs/>
          <w:color w:val="auto"/>
          <w:sz w:val="24"/>
        </w:rPr>
        <w:t>24. 开标</w:t>
      </w:r>
    </w:p>
    <w:p w14:paraId="6C473DE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24.1采购人、采购代理机构按</w:t>
      </w:r>
      <w:r>
        <w:rPr>
          <w:rFonts w:hint="eastAsia" w:ascii="宋体" w:hAnsi="宋体"/>
          <w:b/>
          <w:color w:val="auto"/>
          <w:szCs w:val="21"/>
        </w:rPr>
        <w:t>【投标须知前附表】</w:t>
      </w:r>
      <w:r>
        <w:rPr>
          <w:rFonts w:hint="eastAsia" w:ascii="宋体" w:hAnsi="宋体"/>
          <w:color w:val="auto"/>
          <w:szCs w:val="21"/>
        </w:rPr>
        <w:t>的规定组织网上开标，并邀请投标人网上参加。投标人未按时解密的视为自动放弃。</w:t>
      </w:r>
    </w:p>
    <w:p w14:paraId="1F24B11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24.2开标时，由系统宣读投标人名称、投标价格和</w:t>
      </w:r>
      <w:r>
        <w:rPr>
          <w:rFonts w:hint="eastAsia" w:ascii="宋体" w:hAnsi="宋体"/>
          <w:b/>
          <w:color w:val="auto"/>
          <w:szCs w:val="21"/>
        </w:rPr>
        <w:t>【投标须知前附表】</w:t>
      </w:r>
      <w:r>
        <w:rPr>
          <w:rFonts w:hint="eastAsia" w:ascii="宋体" w:hAnsi="宋体"/>
          <w:color w:val="auto"/>
          <w:szCs w:val="21"/>
        </w:rPr>
        <w:t>规定需要宣布的其他内容。投标人不足3家的，不得开标。</w:t>
      </w:r>
    </w:p>
    <w:p w14:paraId="4CD99BB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24.3开标过程由系统自动生成，采购人、采购代理机构签字后随采购文件一并存档。</w:t>
      </w:r>
    </w:p>
    <w:p w14:paraId="468C35C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24.4投标人对开标过程和开标记录有疑义，以及认为采购人、采购代理机构相关工作人员有《政府采购法实施条例》第九条第一款需要回避的情形的，可以提出询问或者回避申请。</w:t>
      </w:r>
    </w:p>
    <w:p w14:paraId="07F01D4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24.5采购人、采购代理机构对投标人提出的询问或者回避申请，按《政府采购法实施条例》有关规定及时处理。</w:t>
      </w:r>
    </w:p>
    <w:p w14:paraId="5FD8232F">
      <w:pPr>
        <w:adjustRightInd w:val="0"/>
        <w:snapToGrid w:val="0"/>
        <w:spacing w:line="360" w:lineRule="auto"/>
        <w:rPr>
          <w:rFonts w:ascii="宋体" w:hAnsi="宋体"/>
          <w:b/>
          <w:color w:val="auto"/>
          <w:sz w:val="24"/>
        </w:rPr>
      </w:pPr>
      <w:r>
        <w:rPr>
          <w:rStyle w:val="50"/>
          <w:rFonts w:hint="eastAsia" w:ascii="宋体" w:hAnsi="宋体" w:cs="Arial"/>
          <w:color w:val="auto"/>
          <w:sz w:val="24"/>
        </w:rPr>
        <w:t>25.</w:t>
      </w:r>
      <w:r>
        <w:rPr>
          <w:rFonts w:hint="eastAsia" w:ascii="宋体" w:hAnsi="宋体"/>
          <w:b/>
          <w:color w:val="auto"/>
          <w:sz w:val="24"/>
        </w:rPr>
        <w:t xml:space="preserve"> 资格审查</w:t>
      </w:r>
    </w:p>
    <w:p w14:paraId="4D0BE9D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25.1开标结束后，采购人、采购代理机构依法按照第三章“资格审查”规定组织资格审查。</w:t>
      </w:r>
    </w:p>
    <w:p w14:paraId="5D3E434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25.2资格审查结束后，采购人、采购代理机构应将资格审查结果告知评标委员会。资格审查不合格投标人不进入评标；资格审查合格投标人少于3家的，不得评标。</w:t>
      </w:r>
    </w:p>
    <w:p w14:paraId="376283CA">
      <w:pPr>
        <w:adjustRightInd w:val="0"/>
        <w:snapToGrid w:val="0"/>
        <w:spacing w:line="360" w:lineRule="auto"/>
        <w:rPr>
          <w:rFonts w:ascii="宋体" w:hAnsi="宋体"/>
          <w:b/>
          <w:color w:val="auto"/>
          <w:sz w:val="24"/>
        </w:rPr>
      </w:pPr>
      <w:r>
        <w:rPr>
          <w:rFonts w:hint="eastAsia" w:ascii="宋体" w:hAnsi="宋体"/>
          <w:b/>
          <w:bCs/>
          <w:color w:val="auto"/>
          <w:sz w:val="24"/>
        </w:rPr>
        <w:t>26.</w:t>
      </w:r>
      <w:r>
        <w:rPr>
          <w:rFonts w:hint="eastAsia" w:ascii="宋体" w:hAnsi="宋体"/>
          <w:b/>
          <w:color w:val="auto"/>
          <w:sz w:val="24"/>
        </w:rPr>
        <w:t xml:space="preserve"> 评标委员会</w:t>
      </w:r>
    </w:p>
    <w:p w14:paraId="352B543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26.1评标由依法组建的评标委员会负责，评标委员会由采购人代表和评审专家</w:t>
      </w:r>
      <w:r>
        <w:rPr>
          <w:rFonts w:hint="eastAsia" w:ascii="宋体" w:hAnsi="宋体" w:cs="宋体"/>
          <w:color w:val="auto"/>
          <w:szCs w:val="21"/>
        </w:rPr>
        <w:t>组成</w:t>
      </w:r>
      <w:r>
        <w:rPr>
          <w:rFonts w:hint="eastAsia" w:ascii="宋体" w:hAnsi="宋体"/>
          <w:color w:val="auto"/>
          <w:szCs w:val="21"/>
        </w:rPr>
        <w:t>。</w:t>
      </w:r>
    </w:p>
    <w:p w14:paraId="6422C05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26.2评标委员会成员有下列情形之一的，应当回避：</w:t>
      </w:r>
    </w:p>
    <w:p w14:paraId="143C80D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（1）参加采购活动前三年内,与投标人存在劳动关系,或者担任过投标人的董事、监事,或者是投标人的控股股东或实际控制人；</w:t>
      </w:r>
    </w:p>
    <w:p w14:paraId="11B6A80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（2）与投标人的法定代表人或者负责人有夫妻、直系血亲、三代以内旁系血亲或者近姻亲关系；</w:t>
      </w:r>
    </w:p>
    <w:p w14:paraId="3B5316D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（3）与投标人有其他可能影响政府采购活动公平、公正进行的关系。</w:t>
      </w:r>
    </w:p>
    <w:p w14:paraId="0133F83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26.3评标委员会负责具体评标事务，并独立履行下列职责：</w:t>
      </w:r>
    </w:p>
    <w:p w14:paraId="698E273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（1）审查、评价投标文件是否符合招标文件的商务、技术等实质性要求；</w:t>
      </w:r>
    </w:p>
    <w:p w14:paraId="1F0CAE0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（2）要求投标人对投标文件有关事项作出澄清或者说明；</w:t>
      </w:r>
    </w:p>
    <w:p w14:paraId="7897B5E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（3）对投标文件进行比较和评价；</w:t>
      </w:r>
    </w:p>
    <w:p w14:paraId="1A0C608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（4）确定中标候选人名单，以及根据采购人委托直接确定中标人。</w:t>
      </w:r>
    </w:p>
    <w:p w14:paraId="144B0724">
      <w:pPr>
        <w:adjustRightInd w:val="0"/>
        <w:snapToGrid w:val="0"/>
        <w:spacing w:line="360" w:lineRule="auto"/>
        <w:rPr>
          <w:rFonts w:ascii="宋体" w:hAnsi="宋体"/>
          <w:b/>
          <w:bCs/>
          <w:color w:val="auto"/>
          <w:sz w:val="24"/>
        </w:rPr>
      </w:pPr>
      <w:r>
        <w:rPr>
          <w:rFonts w:hint="eastAsia" w:ascii="宋体" w:hAnsi="宋体"/>
          <w:b/>
          <w:color w:val="auto"/>
          <w:sz w:val="24"/>
        </w:rPr>
        <w:t>27.</w:t>
      </w:r>
      <w:r>
        <w:rPr>
          <w:rFonts w:hint="eastAsia" w:ascii="宋体" w:hAnsi="宋体"/>
          <w:b/>
          <w:bCs/>
          <w:color w:val="auto"/>
          <w:sz w:val="24"/>
        </w:rPr>
        <w:t xml:space="preserve"> 评标</w:t>
      </w:r>
    </w:p>
    <w:p w14:paraId="107F2E82">
      <w:pPr>
        <w:adjustRightInd w:val="0"/>
        <w:snapToGrid w:val="0"/>
        <w:spacing w:line="360" w:lineRule="auto"/>
        <w:ind w:firstLine="420" w:firstLineChars="200"/>
        <w:rPr>
          <w:rFonts w:ascii="宋体" w:hAnsi="宋体"/>
          <w:color w:val="auto"/>
        </w:rPr>
      </w:pPr>
      <w:r>
        <w:rPr>
          <w:rFonts w:hint="eastAsia" w:ascii="宋体" w:hAnsi="宋体"/>
          <w:color w:val="auto"/>
        </w:rPr>
        <w:t>27.1评标委员会按照</w:t>
      </w:r>
      <w:r>
        <w:rPr>
          <w:rFonts w:hint="eastAsia" w:ascii="宋体" w:hAnsi="宋体"/>
          <w:bCs/>
          <w:color w:val="auto"/>
        </w:rPr>
        <w:t>第四章“评标方法及标准”</w:t>
      </w:r>
      <w:r>
        <w:rPr>
          <w:rFonts w:hint="eastAsia" w:ascii="宋体" w:hAnsi="宋体"/>
          <w:color w:val="auto"/>
        </w:rPr>
        <w:t>规定的评标方法、评审因素、标准和程序以及有关法律、法规及规章对投标文件进行评审。</w:t>
      </w:r>
    </w:p>
    <w:p w14:paraId="2001A131">
      <w:pPr>
        <w:pStyle w:val="5"/>
        <w:adjustRightInd w:val="0"/>
        <w:snapToGrid w:val="0"/>
        <w:spacing w:before="120" w:beforeLines="50" w:after="0" w:line="360" w:lineRule="auto"/>
        <w:jc w:val="center"/>
        <w:rPr>
          <w:rFonts w:ascii="黑体" w:hAnsi="黑体" w:eastAsia="黑体"/>
          <w:color w:val="auto"/>
          <w:sz w:val="28"/>
          <w:szCs w:val="28"/>
        </w:rPr>
      </w:pPr>
      <w:bookmarkStart w:id="248" w:name="_Toc192951220"/>
      <w:bookmarkStart w:id="249" w:name="_Toc77199406"/>
      <w:bookmarkStart w:id="250" w:name="_Toc32692"/>
      <w:bookmarkStart w:id="251" w:name="_Toc85972937"/>
      <w:bookmarkStart w:id="252" w:name="_Toc1580"/>
      <w:bookmarkStart w:id="253" w:name="_Toc78449962"/>
      <w:bookmarkStart w:id="254" w:name="_Toc117192455"/>
      <w:bookmarkStart w:id="255" w:name="_Toc171273678"/>
      <w:bookmarkStart w:id="256" w:name="_Toc94367887"/>
      <w:bookmarkStart w:id="257" w:name="_Toc21537"/>
      <w:bookmarkStart w:id="258" w:name="_Toc75289233"/>
      <w:bookmarkStart w:id="259" w:name="_Toc13364"/>
      <w:bookmarkStart w:id="260" w:name="_Toc14452"/>
      <w:bookmarkStart w:id="261" w:name="_Toc192949709"/>
      <w:bookmarkStart w:id="262" w:name="_Toc7415"/>
      <w:bookmarkStart w:id="263" w:name="_Toc95601372"/>
      <w:bookmarkStart w:id="264" w:name="_Toc154428397"/>
      <w:bookmarkStart w:id="265" w:name="_Toc15888492"/>
      <w:bookmarkStart w:id="266" w:name="_Toc112704940"/>
      <w:bookmarkStart w:id="267" w:name="_Toc114036719"/>
      <w:bookmarkStart w:id="268" w:name="_Toc100670675"/>
      <w:bookmarkStart w:id="269" w:name="_Toc108341944"/>
      <w:bookmarkStart w:id="270" w:name="_Toc77676473"/>
      <w:bookmarkStart w:id="271" w:name="_Toc26097"/>
      <w:bookmarkStart w:id="272" w:name="_Toc75289555"/>
      <w:bookmarkStart w:id="273" w:name="_Toc100670428"/>
      <w:bookmarkStart w:id="274" w:name="_Toc28279"/>
      <w:bookmarkStart w:id="275" w:name="_Toc2789"/>
      <w:bookmarkStart w:id="276" w:name="_Toc78314269"/>
      <w:bookmarkStart w:id="277" w:name="_Toc192949610"/>
      <w:r>
        <w:rPr>
          <w:rFonts w:hint="eastAsia" w:ascii="黑体" w:hAnsi="黑体" w:eastAsia="黑体"/>
          <w:color w:val="auto"/>
          <w:sz w:val="28"/>
          <w:szCs w:val="28"/>
        </w:rPr>
        <w:t>六、中标信息公布</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14:paraId="58DB6F6F">
      <w:pPr>
        <w:adjustRightInd w:val="0"/>
        <w:snapToGrid w:val="0"/>
        <w:spacing w:line="360" w:lineRule="auto"/>
        <w:rPr>
          <w:rFonts w:ascii="宋体" w:hAnsi="宋体"/>
          <w:b/>
          <w:bCs/>
          <w:color w:val="auto"/>
          <w:sz w:val="24"/>
        </w:rPr>
      </w:pPr>
      <w:r>
        <w:rPr>
          <w:rFonts w:hint="eastAsia" w:ascii="宋体" w:hAnsi="宋体"/>
          <w:b/>
          <w:color w:val="auto"/>
          <w:sz w:val="24"/>
        </w:rPr>
        <w:t>28.</w:t>
      </w:r>
      <w:r>
        <w:rPr>
          <w:rFonts w:hint="eastAsia" w:ascii="宋体" w:hAnsi="宋体"/>
          <w:b/>
          <w:bCs/>
          <w:color w:val="auto"/>
          <w:sz w:val="24"/>
        </w:rPr>
        <w:t>中标通知书与中标信息公布</w:t>
      </w:r>
    </w:p>
    <w:p w14:paraId="15E1F58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28.1采购代理机构应当在评标结束后2个工作日内将评标报告送采购人。</w:t>
      </w:r>
    </w:p>
    <w:p w14:paraId="56B0555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28.2采购人应当自收到评标报告之日起5个工作日内，在评标报告确定的中标候选人名单中按顺序确定中标人。中标候选人并列的，按照</w:t>
      </w:r>
      <w:r>
        <w:rPr>
          <w:rFonts w:hint="eastAsia" w:ascii="宋体" w:hAnsi="宋体"/>
          <w:b/>
          <w:color w:val="auto"/>
          <w:szCs w:val="21"/>
        </w:rPr>
        <w:t>【投标须知前附表】</w:t>
      </w:r>
      <w:r>
        <w:rPr>
          <w:rFonts w:hint="eastAsia" w:ascii="宋体" w:hAnsi="宋体"/>
          <w:color w:val="auto"/>
          <w:szCs w:val="21"/>
        </w:rPr>
        <w:t>规定的方式确定中标人；招标文件未规定的，采取随机抽取的方式确定。</w:t>
      </w:r>
    </w:p>
    <w:p w14:paraId="52844D7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28.3采购人、采购代理机构应当自采购人确定中标供应商之日起2个工作日内，发出中标通知书，并在招标公告指定媒体上公告中标结果，招标文件随中标结果同时公告，中标结果公告期限为1个工作日。</w:t>
      </w:r>
    </w:p>
    <w:p w14:paraId="21361D5E">
      <w:pPr>
        <w:adjustRightInd w:val="0"/>
        <w:snapToGrid w:val="0"/>
        <w:spacing w:line="360" w:lineRule="auto"/>
        <w:rPr>
          <w:rFonts w:ascii="宋体" w:hAnsi="宋体"/>
          <w:b/>
          <w:bCs/>
          <w:color w:val="auto"/>
          <w:sz w:val="24"/>
        </w:rPr>
      </w:pPr>
      <w:r>
        <w:rPr>
          <w:rFonts w:hint="eastAsia" w:ascii="宋体" w:hAnsi="宋体"/>
          <w:b/>
          <w:bCs/>
          <w:color w:val="auto"/>
          <w:sz w:val="24"/>
        </w:rPr>
        <w:t>29.</w:t>
      </w:r>
      <w:r>
        <w:rPr>
          <w:rFonts w:hint="eastAsia" w:ascii="宋体" w:hAnsi="宋体"/>
          <w:b/>
          <w:color w:val="auto"/>
          <w:sz w:val="24"/>
        </w:rPr>
        <w:t xml:space="preserve"> 投标人询问及</w:t>
      </w:r>
      <w:r>
        <w:rPr>
          <w:rFonts w:hint="eastAsia" w:ascii="宋体" w:hAnsi="宋体"/>
          <w:b/>
          <w:bCs/>
          <w:color w:val="auto"/>
          <w:sz w:val="24"/>
        </w:rPr>
        <w:t>质疑</w:t>
      </w:r>
    </w:p>
    <w:p w14:paraId="0884D0B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29.1投标人对政府采购活动事项有疑问的，可以向采购人、采购代理机构提出询问。采购人或者采购代理机构将在3个工作日内作出答复。</w:t>
      </w:r>
    </w:p>
    <w:p w14:paraId="03A9E3A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29.2投标人认为招标文件、采购过程和中标结果使自己的权益受到损害的，可以在知道或者应知其权益受到损害之日起7个工作日内，按照《湖南省财政厅关于印发＜政府采购质疑答复和投诉处理操作规程＞的通知》(湘财购〔20</w:t>
      </w:r>
      <w:r>
        <w:rPr>
          <w:rFonts w:hint="eastAsia" w:ascii="宋体" w:hAnsi="宋体"/>
          <w:color w:val="auto"/>
          <w:szCs w:val="21"/>
          <w:lang w:val="en-US" w:eastAsia="zh-CN"/>
        </w:rPr>
        <w:t>24</w:t>
      </w:r>
      <w:r>
        <w:rPr>
          <w:rFonts w:hint="eastAsia" w:ascii="宋体" w:hAnsi="宋体"/>
          <w:color w:val="auto"/>
          <w:szCs w:val="21"/>
        </w:rPr>
        <w:t>〕</w:t>
      </w:r>
      <w:r>
        <w:rPr>
          <w:rFonts w:hint="eastAsia" w:ascii="宋体" w:hAnsi="宋体"/>
          <w:color w:val="auto"/>
          <w:szCs w:val="21"/>
          <w:lang w:val="en-US" w:eastAsia="zh-CN"/>
        </w:rPr>
        <w:t>67</w:t>
      </w:r>
      <w:r>
        <w:rPr>
          <w:rFonts w:hint="eastAsia" w:ascii="宋体" w:hAnsi="宋体"/>
          <w:color w:val="auto"/>
          <w:szCs w:val="21"/>
        </w:rPr>
        <w:t>号)规定，以纸质书面形式向采购人、采购代理机构提出质疑。投标人应当在法定质疑期内一次性提出针对同一采购程序环节的质疑。</w:t>
      </w:r>
    </w:p>
    <w:p w14:paraId="420399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29.3投标人提出质疑的，应按照《湖南省财政厅关于印发＜政府采购质疑答复和投诉处理操作规程＞的通知》规定制作、签署、送达。采购人、采购代理机构接收质疑函的联系部门、联系电话和通讯地址见</w:t>
      </w:r>
      <w:r>
        <w:rPr>
          <w:rFonts w:hint="eastAsia" w:ascii="宋体" w:hAnsi="宋体"/>
          <w:b/>
          <w:color w:val="auto"/>
          <w:szCs w:val="21"/>
        </w:rPr>
        <w:t>【申请人须知前附表】</w:t>
      </w:r>
      <w:r>
        <w:rPr>
          <w:rFonts w:hint="eastAsia" w:ascii="宋体" w:hAnsi="宋体"/>
          <w:color w:val="auto"/>
          <w:szCs w:val="21"/>
        </w:rPr>
        <w:t xml:space="preserve">。  </w:t>
      </w:r>
    </w:p>
    <w:p w14:paraId="5EAE357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29.4采购人、采购代理机构按照《湖南省财政厅关于印发＜政府采购质疑答复和投诉处理操作规程＞的通知》规定进行质疑答复。</w:t>
      </w:r>
    </w:p>
    <w:p w14:paraId="7A82657E">
      <w:pPr>
        <w:adjustRightInd w:val="0"/>
        <w:snapToGrid w:val="0"/>
        <w:spacing w:line="360" w:lineRule="auto"/>
        <w:ind w:firstLine="420" w:firstLineChars="200"/>
        <w:rPr>
          <w:rFonts w:ascii="宋体" w:hAnsi="宋体"/>
          <w:b/>
          <w:bCs/>
          <w:color w:val="auto"/>
        </w:rPr>
      </w:pPr>
      <w:r>
        <w:rPr>
          <w:rFonts w:hint="eastAsia" w:ascii="宋体" w:hAnsi="宋体"/>
          <w:color w:val="auto"/>
          <w:szCs w:val="21"/>
        </w:rPr>
        <w:t>29</w:t>
      </w:r>
      <w:r>
        <w:rPr>
          <w:rFonts w:ascii="宋体" w:hAnsi="宋体"/>
          <w:color w:val="auto"/>
          <w:szCs w:val="21"/>
        </w:rPr>
        <w:t>.</w:t>
      </w:r>
      <w:r>
        <w:rPr>
          <w:rFonts w:hint="eastAsia" w:ascii="宋体" w:hAnsi="宋体"/>
          <w:color w:val="auto"/>
          <w:szCs w:val="21"/>
        </w:rPr>
        <w:t>5投标人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7BB289B8">
      <w:pPr>
        <w:pStyle w:val="5"/>
        <w:adjustRightInd w:val="0"/>
        <w:snapToGrid w:val="0"/>
        <w:spacing w:before="120" w:beforeLines="50" w:after="0" w:line="360" w:lineRule="auto"/>
        <w:jc w:val="center"/>
        <w:rPr>
          <w:rFonts w:ascii="黑体" w:hAnsi="黑体" w:eastAsia="黑体"/>
          <w:color w:val="auto"/>
          <w:sz w:val="28"/>
          <w:szCs w:val="28"/>
        </w:rPr>
      </w:pPr>
      <w:bookmarkStart w:id="278" w:name="_Toc100670676"/>
      <w:bookmarkStart w:id="279" w:name="_Toc192949611"/>
      <w:bookmarkStart w:id="280" w:name="_Toc14362"/>
      <w:bookmarkStart w:id="281" w:name="_Toc108341945"/>
      <w:bookmarkStart w:id="282" w:name="_Toc94367888"/>
      <w:bookmarkStart w:id="283" w:name="_Toc100670429"/>
      <w:bookmarkStart w:id="284" w:name="_Toc75289234"/>
      <w:bookmarkStart w:id="285" w:name="_Toc171273679"/>
      <w:bookmarkStart w:id="286" w:name="_Toc954"/>
      <w:bookmarkStart w:id="287" w:name="_Toc78314270"/>
      <w:bookmarkStart w:id="288" w:name="_Toc15888493"/>
      <w:bookmarkStart w:id="289" w:name="_Toc78449963"/>
      <w:bookmarkStart w:id="290" w:name="_Toc85972938"/>
      <w:bookmarkStart w:id="291" w:name="_Toc77676474"/>
      <w:bookmarkStart w:id="292" w:name="_Toc806"/>
      <w:bookmarkStart w:id="293" w:name="_Toc192951221"/>
      <w:bookmarkStart w:id="294" w:name="_Toc26834"/>
      <w:bookmarkStart w:id="295" w:name="_Toc22567"/>
      <w:bookmarkStart w:id="296" w:name="_Toc75289556"/>
      <w:bookmarkStart w:id="297" w:name="_Toc112704941"/>
      <w:bookmarkStart w:id="298" w:name="_Toc154428398"/>
      <w:bookmarkStart w:id="299" w:name="_Toc15384"/>
      <w:bookmarkStart w:id="300" w:name="_Toc117192456"/>
      <w:bookmarkStart w:id="301" w:name="_Toc3517"/>
      <w:bookmarkStart w:id="302" w:name="_Toc95601373"/>
      <w:bookmarkStart w:id="303" w:name="_Toc77199407"/>
      <w:bookmarkStart w:id="304" w:name="_Toc31762"/>
      <w:bookmarkStart w:id="305" w:name="_Toc32235"/>
      <w:bookmarkStart w:id="306" w:name="_Toc192949710"/>
      <w:bookmarkStart w:id="307" w:name="_Toc114036720"/>
      <w:r>
        <w:rPr>
          <w:rFonts w:hint="eastAsia" w:ascii="黑体" w:hAnsi="黑体" w:eastAsia="黑体"/>
          <w:color w:val="auto"/>
          <w:sz w:val="28"/>
          <w:szCs w:val="28"/>
        </w:rPr>
        <w:t>七、合同签订</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1290AC20">
      <w:pPr>
        <w:adjustRightInd w:val="0"/>
        <w:snapToGrid w:val="0"/>
        <w:spacing w:line="360" w:lineRule="auto"/>
        <w:rPr>
          <w:rFonts w:ascii="宋体" w:hAnsi="宋体"/>
          <w:b/>
          <w:bCs/>
          <w:color w:val="auto"/>
          <w:sz w:val="24"/>
        </w:rPr>
      </w:pPr>
      <w:r>
        <w:rPr>
          <w:rFonts w:hint="eastAsia" w:ascii="宋体" w:hAnsi="宋体"/>
          <w:b/>
          <w:bCs/>
          <w:color w:val="auto"/>
          <w:sz w:val="24"/>
        </w:rPr>
        <w:t>30. 签订合同</w:t>
      </w:r>
    </w:p>
    <w:p w14:paraId="0FA3718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30.1采购人应自中标通知书发出之日起30日内，按中标通知书指定的时间、地点与中标人签订政府采购合同。所签订的合同不得对招标文件确定的事项和中标人投标文件作实质性修改。</w:t>
      </w:r>
    </w:p>
    <w:p w14:paraId="7A80729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30.2招标文件、中标人的投标文件均为签订合同的依据。</w:t>
      </w:r>
    </w:p>
    <w:p w14:paraId="38A5A184">
      <w:pPr>
        <w:adjustRightInd w:val="0"/>
        <w:snapToGrid w:val="0"/>
        <w:spacing w:line="360" w:lineRule="auto"/>
        <w:ind w:firstLine="420" w:firstLineChars="200"/>
        <w:rPr>
          <w:rFonts w:ascii="宋体" w:hAnsi="宋体" w:cs="微软雅黑"/>
          <w:color w:val="auto"/>
          <w:kern w:val="0"/>
          <w:szCs w:val="21"/>
        </w:rPr>
      </w:pPr>
      <w:r>
        <w:rPr>
          <w:rFonts w:hint="eastAsia" w:ascii="宋体" w:hAnsi="宋体" w:cs="微软雅黑"/>
          <w:color w:val="auto"/>
          <w:kern w:val="0"/>
          <w:szCs w:val="21"/>
        </w:rPr>
        <w:t>30.3联</w:t>
      </w:r>
      <w:r>
        <w:rPr>
          <w:rFonts w:hint="eastAsia" w:ascii="宋体" w:hAnsi="宋体" w:cs="微软雅黑"/>
          <w:color w:val="auto"/>
          <w:spacing w:val="-2"/>
          <w:kern w:val="0"/>
          <w:szCs w:val="21"/>
        </w:rPr>
        <w:t>合</w:t>
      </w:r>
      <w:r>
        <w:rPr>
          <w:rFonts w:hint="eastAsia" w:ascii="宋体" w:hAnsi="宋体" w:cs="微软雅黑"/>
          <w:color w:val="auto"/>
          <w:kern w:val="0"/>
          <w:szCs w:val="21"/>
        </w:rPr>
        <w:t>体</w:t>
      </w:r>
      <w:r>
        <w:rPr>
          <w:rFonts w:hint="eastAsia" w:ascii="宋体" w:hAnsi="宋体" w:cs="微软雅黑"/>
          <w:color w:val="auto"/>
          <w:spacing w:val="-2"/>
          <w:kern w:val="0"/>
          <w:szCs w:val="21"/>
        </w:rPr>
        <w:t>中</w:t>
      </w:r>
      <w:r>
        <w:rPr>
          <w:rFonts w:hint="eastAsia" w:ascii="宋体" w:hAnsi="宋体" w:cs="微软雅黑"/>
          <w:color w:val="auto"/>
          <w:kern w:val="0"/>
          <w:szCs w:val="21"/>
        </w:rPr>
        <w:t>标的</w:t>
      </w:r>
      <w:r>
        <w:rPr>
          <w:rFonts w:hint="eastAsia" w:ascii="宋体" w:hAnsi="宋体" w:cs="微软雅黑"/>
          <w:color w:val="auto"/>
          <w:spacing w:val="-14"/>
          <w:kern w:val="0"/>
          <w:szCs w:val="21"/>
        </w:rPr>
        <w:t>，</w:t>
      </w:r>
      <w:r>
        <w:rPr>
          <w:rFonts w:hint="eastAsia" w:ascii="宋体" w:hAnsi="宋体" w:cs="微软雅黑"/>
          <w:color w:val="auto"/>
          <w:kern w:val="0"/>
          <w:szCs w:val="21"/>
        </w:rPr>
        <w:t>联</w:t>
      </w:r>
      <w:r>
        <w:rPr>
          <w:rFonts w:hint="eastAsia" w:ascii="宋体" w:hAnsi="宋体" w:cs="微软雅黑"/>
          <w:color w:val="auto"/>
          <w:spacing w:val="-2"/>
          <w:kern w:val="0"/>
          <w:szCs w:val="21"/>
        </w:rPr>
        <w:t>合</w:t>
      </w:r>
      <w:r>
        <w:rPr>
          <w:rFonts w:hint="eastAsia" w:ascii="宋体" w:hAnsi="宋体" w:cs="微软雅黑"/>
          <w:color w:val="auto"/>
          <w:kern w:val="0"/>
          <w:szCs w:val="21"/>
        </w:rPr>
        <w:t>体各</w:t>
      </w:r>
      <w:r>
        <w:rPr>
          <w:rFonts w:hint="eastAsia" w:ascii="宋体" w:hAnsi="宋体" w:cs="微软雅黑"/>
          <w:color w:val="auto"/>
          <w:spacing w:val="-2"/>
          <w:kern w:val="0"/>
          <w:szCs w:val="21"/>
        </w:rPr>
        <w:t>方</w:t>
      </w:r>
      <w:r>
        <w:rPr>
          <w:rFonts w:hint="eastAsia" w:ascii="宋体" w:hAnsi="宋体" w:cs="微软雅黑"/>
          <w:color w:val="auto"/>
          <w:kern w:val="0"/>
          <w:szCs w:val="21"/>
        </w:rPr>
        <w:t>应</w:t>
      </w:r>
      <w:r>
        <w:rPr>
          <w:rFonts w:hint="eastAsia" w:ascii="宋体" w:hAnsi="宋体" w:cs="微软雅黑"/>
          <w:color w:val="auto"/>
          <w:spacing w:val="-2"/>
          <w:kern w:val="0"/>
          <w:szCs w:val="21"/>
        </w:rPr>
        <w:t>当</w:t>
      </w:r>
      <w:r>
        <w:rPr>
          <w:rFonts w:hint="eastAsia" w:ascii="宋体" w:hAnsi="宋体" w:cs="微软雅黑"/>
          <w:color w:val="auto"/>
          <w:kern w:val="0"/>
          <w:szCs w:val="21"/>
        </w:rPr>
        <w:t>共</w:t>
      </w:r>
      <w:r>
        <w:rPr>
          <w:rFonts w:hint="eastAsia" w:ascii="宋体" w:hAnsi="宋体" w:cs="微软雅黑"/>
          <w:color w:val="auto"/>
          <w:spacing w:val="-2"/>
          <w:kern w:val="0"/>
          <w:szCs w:val="21"/>
        </w:rPr>
        <w:t>同</w:t>
      </w:r>
      <w:r>
        <w:rPr>
          <w:rFonts w:hint="eastAsia" w:ascii="宋体" w:hAnsi="宋体" w:cs="微软雅黑"/>
          <w:color w:val="auto"/>
          <w:kern w:val="0"/>
          <w:szCs w:val="21"/>
        </w:rPr>
        <w:t>与</w:t>
      </w:r>
      <w:r>
        <w:rPr>
          <w:rFonts w:hint="eastAsia" w:ascii="宋体" w:hAnsi="宋体" w:cs="微软雅黑"/>
          <w:color w:val="auto"/>
          <w:spacing w:val="-2"/>
          <w:kern w:val="0"/>
          <w:szCs w:val="21"/>
        </w:rPr>
        <w:t>采购人</w:t>
      </w:r>
      <w:r>
        <w:rPr>
          <w:rFonts w:hint="eastAsia" w:ascii="宋体" w:hAnsi="宋体" w:cs="微软雅黑"/>
          <w:color w:val="auto"/>
          <w:kern w:val="0"/>
          <w:szCs w:val="21"/>
        </w:rPr>
        <w:t>签订</w:t>
      </w:r>
      <w:r>
        <w:rPr>
          <w:rFonts w:hint="eastAsia" w:ascii="宋体" w:hAnsi="宋体" w:cs="微软雅黑"/>
          <w:color w:val="auto"/>
          <w:spacing w:val="-2"/>
          <w:kern w:val="0"/>
          <w:szCs w:val="21"/>
        </w:rPr>
        <w:t>合</w:t>
      </w:r>
      <w:r>
        <w:rPr>
          <w:rFonts w:hint="eastAsia" w:ascii="宋体" w:hAnsi="宋体" w:cs="微软雅黑"/>
          <w:color w:val="auto"/>
          <w:kern w:val="0"/>
          <w:szCs w:val="21"/>
        </w:rPr>
        <w:t>同</w:t>
      </w:r>
      <w:r>
        <w:rPr>
          <w:rFonts w:hint="eastAsia" w:ascii="宋体" w:hAnsi="宋体" w:cs="微软雅黑"/>
          <w:color w:val="auto"/>
          <w:spacing w:val="-14"/>
          <w:kern w:val="0"/>
          <w:szCs w:val="21"/>
        </w:rPr>
        <w:t>，</w:t>
      </w:r>
      <w:r>
        <w:rPr>
          <w:rFonts w:hint="eastAsia" w:ascii="宋体" w:hAnsi="宋体" w:cs="微软雅黑"/>
          <w:color w:val="auto"/>
          <w:kern w:val="0"/>
          <w:szCs w:val="21"/>
        </w:rPr>
        <w:t>就</w:t>
      </w:r>
      <w:r>
        <w:rPr>
          <w:rFonts w:hint="eastAsia" w:ascii="宋体" w:hAnsi="宋体" w:cs="微软雅黑"/>
          <w:color w:val="auto"/>
          <w:spacing w:val="-2"/>
          <w:kern w:val="0"/>
          <w:szCs w:val="21"/>
        </w:rPr>
        <w:t>中</w:t>
      </w:r>
      <w:r>
        <w:rPr>
          <w:rFonts w:hint="eastAsia" w:ascii="宋体" w:hAnsi="宋体" w:cs="微软雅黑"/>
          <w:color w:val="auto"/>
          <w:kern w:val="0"/>
          <w:szCs w:val="21"/>
        </w:rPr>
        <w:t>标</w:t>
      </w:r>
      <w:r>
        <w:rPr>
          <w:rFonts w:hint="eastAsia" w:ascii="宋体" w:hAnsi="宋体" w:cs="微软雅黑"/>
          <w:color w:val="auto"/>
          <w:spacing w:val="-2"/>
          <w:kern w:val="0"/>
          <w:szCs w:val="21"/>
        </w:rPr>
        <w:t>项</w:t>
      </w:r>
      <w:r>
        <w:rPr>
          <w:rFonts w:hint="eastAsia" w:ascii="宋体" w:hAnsi="宋体" w:cs="微软雅黑"/>
          <w:color w:val="auto"/>
          <w:kern w:val="0"/>
          <w:szCs w:val="21"/>
        </w:rPr>
        <w:t>目</w:t>
      </w:r>
      <w:r>
        <w:rPr>
          <w:rFonts w:hint="eastAsia" w:ascii="宋体" w:hAnsi="宋体" w:cs="微软雅黑"/>
          <w:color w:val="auto"/>
          <w:spacing w:val="-2"/>
          <w:kern w:val="0"/>
          <w:szCs w:val="21"/>
        </w:rPr>
        <w:t>向</w:t>
      </w:r>
      <w:r>
        <w:rPr>
          <w:rFonts w:hint="eastAsia" w:ascii="宋体" w:hAnsi="宋体" w:cs="微软雅黑"/>
          <w:color w:val="auto"/>
          <w:kern w:val="0"/>
          <w:szCs w:val="21"/>
        </w:rPr>
        <w:t>采购人承</w:t>
      </w:r>
      <w:r>
        <w:rPr>
          <w:rFonts w:hint="eastAsia" w:ascii="宋体" w:hAnsi="宋体" w:cs="微软雅黑"/>
          <w:color w:val="auto"/>
          <w:spacing w:val="-2"/>
          <w:kern w:val="0"/>
          <w:szCs w:val="21"/>
        </w:rPr>
        <w:t>担</w:t>
      </w:r>
      <w:r>
        <w:rPr>
          <w:rFonts w:hint="eastAsia" w:ascii="宋体" w:hAnsi="宋体" w:cs="微软雅黑"/>
          <w:color w:val="auto"/>
          <w:kern w:val="0"/>
          <w:szCs w:val="21"/>
        </w:rPr>
        <w:t>连带责</w:t>
      </w:r>
      <w:r>
        <w:rPr>
          <w:rFonts w:hint="eastAsia" w:ascii="宋体" w:hAnsi="宋体" w:cs="微软雅黑"/>
          <w:color w:val="auto"/>
          <w:spacing w:val="-2"/>
          <w:kern w:val="0"/>
          <w:szCs w:val="21"/>
        </w:rPr>
        <w:t>任</w:t>
      </w:r>
      <w:r>
        <w:rPr>
          <w:rFonts w:hint="eastAsia" w:ascii="宋体" w:hAnsi="宋体" w:cs="微软雅黑"/>
          <w:color w:val="auto"/>
          <w:kern w:val="0"/>
          <w:szCs w:val="21"/>
        </w:rPr>
        <w:t>。</w:t>
      </w:r>
    </w:p>
    <w:p w14:paraId="71DEBBDA">
      <w:pPr>
        <w:adjustRightInd w:val="0"/>
        <w:snapToGrid w:val="0"/>
        <w:spacing w:line="360" w:lineRule="auto"/>
        <w:ind w:firstLine="420" w:firstLineChars="200"/>
        <w:rPr>
          <w:rFonts w:ascii="宋体" w:hAnsi="宋体"/>
          <w:color w:val="auto"/>
          <w:szCs w:val="21"/>
        </w:rPr>
      </w:pPr>
      <w:r>
        <w:rPr>
          <w:rFonts w:ascii="宋体" w:hAnsi="宋体"/>
          <w:color w:val="auto"/>
          <w:szCs w:val="21"/>
        </w:rPr>
        <w:t>30.4</w:t>
      </w:r>
      <w:r>
        <w:rPr>
          <w:rFonts w:hint="eastAsia" w:ascii="宋体" w:hAnsi="宋体"/>
          <w:color w:val="auto"/>
          <w:szCs w:val="21"/>
        </w:rPr>
        <w:t>中标合同将在招标公告指定媒体上公告，但合同中涉及国家秘密、商业秘密的内容除外。</w:t>
      </w:r>
    </w:p>
    <w:p w14:paraId="30F1AA38">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30.5中标人</w:t>
      </w:r>
      <w:r>
        <w:rPr>
          <w:rFonts w:hint="eastAsia" w:ascii="宋体" w:hAnsi="宋体"/>
          <w:bCs/>
          <w:color w:val="auto"/>
          <w:szCs w:val="21"/>
        </w:rPr>
        <w:t>应当按照合同约定依法履行合同义务。政府采购合同的履行、违约责任和解决争议的方法等适用《中华人民共和国民法典》。</w:t>
      </w:r>
    </w:p>
    <w:p w14:paraId="62D9A687">
      <w:pPr>
        <w:adjustRightInd w:val="0"/>
        <w:snapToGrid w:val="0"/>
        <w:spacing w:line="360" w:lineRule="auto"/>
        <w:rPr>
          <w:rFonts w:ascii="宋体" w:hAnsi="宋体" w:cs="宋体"/>
          <w:b/>
          <w:color w:val="auto"/>
          <w:kern w:val="0"/>
          <w:sz w:val="24"/>
        </w:rPr>
      </w:pPr>
      <w:r>
        <w:rPr>
          <w:rFonts w:hint="eastAsia" w:ascii="宋体" w:hAnsi="宋体"/>
          <w:b/>
          <w:bCs/>
          <w:color w:val="auto"/>
          <w:sz w:val="24"/>
        </w:rPr>
        <w:t>31.</w:t>
      </w:r>
      <w:r>
        <w:rPr>
          <w:rFonts w:hint="eastAsia" w:ascii="宋体" w:hAnsi="宋体" w:cs="宋体"/>
          <w:b/>
          <w:color w:val="auto"/>
          <w:kern w:val="0"/>
          <w:sz w:val="24"/>
        </w:rPr>
        <w:t xml:space="preserve"> 履约担保</w:t>
      </w:r>
    </w:p>
    <w:p w14:paraId="27CD68DF">
      <w:pPr>
        <w:adjustRightInd w:val="0"/>
        <w:snapToGrid w:val="0"/>
        <w:spacing w:line="360" w:lineRule="auto"/>
        <w:ind w:firstLine="420" w:firstLineChars="200"/>
        <w:rPr>
          <w:rFonts w:ascii="宋体" w:hAnsi="宋体"/>
          <w:color w:val="auto"/>
          <w:szCs w:val="21"/>
        </w:rPr>
      </w:pPr>
      <w:r>
        <w:rPr>
          <w:rFonts w:hint="eastAsia" w:ascii="宋体" w:hAnsi="宋体" w:cs="宋体"/>
          <w:color w:val="auto"/>
          <w:kern w:val="0"/>
          <w:szCs w:val="21"/>
        </w:rPr>
        <w:t>31.1</w:t>
      </w:r>
      <w:r>
        <w:rPr>
          <w:rFonts w:hint="eastAsia" w:ascii="宋体" w:hAnsi="宋体"/>
          <w:color w:val="auto"/>
          <w:szCs w:val="21"/>
        </w:rPr>
        <w:t>招标文件要求中标人向采购人提交履约担保的，中标人应按照</w:t>
      </w:r>
      <w:r>
        <w:rPr>
          <w:rFonts w:hint="eastAsia" w:ascii="宋体" w:hAnsi="宋体"/>
          <w:b/>
          <w:color w:val="auto"/>
          <w:szCs w:val="21"/>
        </w:rPr>
        <w:t>【投标须知前附表】</w:t>
      </w:r>
      <w:r>
        <w:rPr>
          <w:rFonts w:hint="eastAsia" w:ascii="宋体" w:hAnsi="宋体"/>
          <w:color w:val="auto"/>
          <w:szCs w:val="21"/>
        </w:rPr>
        <w:t>的规定提交，</w:t>
      </w:r>
      <w:r>
        <w:rPr>
          <w:rFonts w:hint="eastAsia" w:ascii="宋体" w:hAnsi="宋体"/>
          <w:bCs/>
          <w:color w:val="auto"/>
          <w:szCs w:val="21"/>
        </w:rPr>
        <w:t>投标人可以保函、电子增信替代履约担保</w:t>
      </w:r>
      <w:r>
        <w:rPr>
          <w:rFonts w:hint="eastAsia" w:ascii="宋体" w:hAnsi="宋体"/>
          <w:color w:val="auto"/>
          <w:szCs w:val="21"/>
        </w:rPr>
        <w:t>。联合体中标的，履约担保由联合体各方或联合体中牵头人的名义提交。</w:t>
      </w:r>
    </w:p>
    <w:p w14:paraId="1513AEA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31.2中标人</w:t>
      </w:r>
      <w:r>
        <w:rPr>
          <w:rFonts w:hint="eastAsia" w:ascii="宋体" w:hAnsi="宋体"/>
          <w:color w:val="auto"/>
          <w:spacing w:val="4"/>
          <w:szCs w:val="21"/>
        </w:rPr>
        <w:t>没有按照本章第31.1</w:t>
      </w:r>
      <w:r>
        <w:rPr>
          <w:rFonts w:hint="eastAsia" w:ascii="宋体" w:hAnsi="宋体" w:cs="宋体"/>
          <w:color w:val="auto"/>
          <w:kern w:val="0"/>
          <w:szCs w:val="21"/>
          <w:lang w:val="zh-CN"/>
        </w:rPr>
        <w:t>款</w:t>
      </w:r>
      <w:r>
        <w:rPr>
          <w:rFonts w:hint="eastAsia" w:ascii="宋体" w:hAnsi="宋体"/>
          <w:color w:val="auto"/>
          <w:spacing w:val="4"/>
          <w:szCs w:val="21"/>
        </w:rPr>
        <w:t>规定</w:t>
      </w:r>
      <w:r>
        <w:rPr>
          <w:rFonts w:hint="eastAsia" w:ascii="宋体" w:hAnsi="宋体"/>
          <w:color w:val="auto"/>
          <w:szCs w:val="21"/>
        </w:rPr>
        <w:t>提交履约担保的</w:t>
      </w:r>
      <w:r>
        <w:rPr>
          <w:rFonts w:hint="eastAsia" w:ascii="宋体" w:hAnsi="宋体"/>
          <w:color w:val="auto"/>
          <w:spacing w:val="4"/>
          <w:szCs w:val="21"/>
        </w:rPr>
        <w:t>，视为</w:t>
      </w:r>
      <w:r>
        <w:rPr>
          <w:rFonts w:hint="eastAsia" w:ascii="宋体" w:hAnsi="宋体"/>
          <w:b/>
          <w:color w:val="auto"/>
          <w:spacing w:val="4"/>
          <w:szCs w:val="21"/>
        </w:rPr>
        <w:t>放弃中标</w:t>
      </w:r>
      <w:r>
        <w:rPr>
          <w:rFonts w:hint="eastAsia" w:ascii="宋体" w:hAnsi="宋体"/>
          <w:color w:val="auto"/>
          <w:spacing w:val="2"/>
          <w:szCs w:val="21"/>
        </w:rPr>
        <w:t>。</w:t>
      </w:r>
    </w:p>
    <w:p w14:paraId="20EAECE8">
      <w:pPr>
        <w:adjustRightInd w:val="0"/>
        <w:snapToGrid w:val="0"/>
        <w:spacing w:line="360" w:lineRule="auto"/>
        <w:rPr>
          <w:rFonts w:ascii="宋体" w:hAnsi="宋体"/>
          <w:b/>
          <w:bCs/>
          <w:color w:val="auto"/>
          <w:sz w:val="24"/>
        </w:rPr>
      </w:pPr>
      <w:r>
        <w:rPr>
          <w:rFonts w:hint="eastAsia" w:ascii="宋体" w:hAnsi="宋体"/>
          <w:b/>
          <w:bCs/>
          <w:color w:val="auto"/>
          <w:sz w:val="24"/>
        </w:rPr>
        <w:t>32.</w:t>
      </w:r>
      <w:r>
        <w:rPr>
          <w:rFonts w:hint="eastAsia" w:ascii="宋体" w:hAnsi="宋体"/>
          <w:b/>
          <w:color w:val="auto"/>
          <w:sz w:val="24"/>
        </w:rPr>
        <w:t xml:space="preserve"> 政府采购合同履行中</w:t>
      </w:r>
      <w:r>
        <w:rPr>
          <w:rFonts w:hint="eastAsia" w:ascii="宋体" w:hAnsi="宋体"/>
          <w:b/>
          <w:bCs/>
          <w:color w:val="auto"/>
          <w:sz w:val="24"/>
        </w:rPr>
        <w:t>数量的变更</w:t>
      </w:r>
    </w:p>
    <w:p w14:paraId="5F792F19">
      <w:pPr>
        <w:adjustRightInd w:val="0"/>
        <w:snapToGrid w:val="0"/>
        <w:spacing w:line="360" w:lineRule="auto"/>
        <w:ind w:firstLine="420" w:firstLineChars="200"/>
        <w:rPr>
          <w:rFonts w:ascii="宋体" w:hAnsi="宋体"/>
          <w:color w:val="auto"/>
          <w:sz w:val="28"/>
          <w:szCs w:val="28"/>
        </w:rPr>
      </w:pPr>
      <w:r>
        <w:rPr>
          <w:rFonts w:hint="eastAsia" w:ascii="宋体" w:hAnsi="宋体"/>
          <w:color w:val="auto"/>
        </w:rPr>
        <w:t>32.1政府采购合同履行中，采购人需追加与合同标的相同的货物服务的，在不改变合同其他条款的前提下，可以与中标人协商签订补充合同，但所有补充合同的采购金额不得超过原合同采购金额的百分之十。</w:t>
      </w:r>
    </w:p>
    <w:p w14:paraId="17FAA6F6">
      <w:pPr>
        <w:pStyle w:val="5"/>
        <w:adjustRightInd w:val="0"/>
        <w:snapToGrid w:val="0"/>
        <w:spacing w:before="120" w:beforeLines="50" w:after="0" w:line="360" w:lineRule="auto"/>
        <w:jc w:val="center"/>
        <w:rPr>
          <w:rFonts w:ascii="黑体" w:hAnsi="黑体" w:eastAsia="黑体"/>
          <w:color w:val="auto"/>
          <w:sz w:val="28"/>
          <w:szCs w:val="28"/>
        </w:rPr>
      </w:pPr>
      <w:bookmarkStart w:id="308" w:name="_Toc77676475"/>
      <w:bookmarkStart w:id="309" w:name="_Toc75289557"/>
      <w:bookmarkStart w:id="310" w:name="_Toc15888494"/>
      <w:bookmarkStart w:id="311" w:name="_Toc75289235"/>
      <w:bookmarkStart w:id="312" w:name="_Toc77199408"/>
      <w:bookmarkStart w:id="313" w:name="_Toc192951222"/>
      <w:bookmarkStart w:id="314" w:name="_Toc192949711"/>
      <w:bookmarkStart w:id="315" w:name="_Toc3573"/>
      <w:bookmarkStart w:id="316" w:name="_Toc85972939"/>
      <w:bookmarkStart w:id="317" w:name="_Toc9150"/>
      <w:bookmarkStart w:id="318" w:name="_Toc154428399"/>
      <w:bookmarkStart w:id="319" w:name="_Toc24804"/>
      <w:bookmarkStart w:id="320" w:name="_Toc192949612"/>
      <w:bookmarkStart w:id="321" w:name="_Toc22363"/>
      <w:bookmarkStart w:id="322" w:name="_Toc78449964"/>
      <w:bookmarkStart w:id="323" w:name="_Toc15076"/>
      <w:bookmarkStart w:id="324" w:name="_Toc114036721"/>
      <w:bookmarkStart w:id="325" w:name="_Toc117192457"/>
      <w:bookmarkStart w:id="326" w:name="_Toc112704942"/>
      <w:bookmarkStart w:id="327" w:name="_Toc11939"/>
      <w:bookmarkStart w:id="328" w:name="_Toc94367889"/>
      <w:bookmarkStart w:id="329" w:name="_Toc100670430"/>
      <w:bookmarkStart w:id="330" w:name="_Toc95601374"/>
      <w:bookmarkStart w:id="331" w:name="_Toc17869"/>
      <w:bookmarkStart w:id="332" w:name="_Toc171273680"/>
      <w:bookmarkStart w:id="333" w:name="_Toc15010"/>
      <w:bookmarkStart w:id="334" w:name="_Toc100670677"/>
      <w:bookmarkStart w:id="335" w:name="_Toc108341946"/>
      <w:bookmarkStart w:id="336" w:name="_Toc14398"/>
      <w:bookmarkStart w:id="337" w:name="_Toc78314271"/>
      <w:r>
        <w:rPr>
          <w:rFonts w:hint="eastAsia" w:ascii="黑体" w:hAnsi="黑体" w:eastAsia="黑体"/>
          <w:color w:val="auto"/>
          <w:sz w:val="28"/>
          <w:szCs w:val="28"/>
        </w:rPr>
        <w:t>八、</w:t>
      </w:r>
      <w:bookmarkEnd w:id="308"/>
      <w:bookmarkEnd w:id="309"/>
      <w:bookmarkEnd w:id="310"/>
      <w:bookmarkEnd w:id="311"/>
      <w:bookmarkEnd w:id="312"/>
      <w:r>
        <w:rPr>
          <w:rFonts w:hint="eastAsia" w:ascii="黑体" w:hAnsi="黑体" w:eastAsia="黑体"/>
          <w:color w:val="auto"/>
          <w:sz w:val="28"/>
          <w:szCs w:val="28"/>
        </w:rPr>
        <w:t>政府采购政策</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49A2F904">
      <w:pPr>
        <w:adjustRightInd w:val="0"/>
        <w:snapToGrid w:val="0"/>
        <w:spacing w:line="360" w:lineRule="auto"/>
        <w:rPr>
          <w:rFonts w:ascii="宋体" w:hAnsi="宋体"/>
          <w:b/>
          <w:color w:val="auto"/>
          <w:sz w:val="24"/>
        </w:rPr>
      </w:pPr>
      <w:r>
        <w:rPr>
          <w:rFonts w:hint="eastAsia" w:ascii="宋体" w:hAnsi="宋体"/>
          <w:b/>
          <w:bCs/>
          <w:color w:val="auto"/>
          <w:sz w:val="24"/>
        </w:rPr>
        <w:t>33.</w:t>
      </w:r>
      <w:r>
        <w:rPr>
          <w:rFonts w:hint="eastAsia" w:ascii="宋体" w:hAnsi="宋体"/>
          <w:b/>
          <w:color w:val="auto"/>
          <w:sz w:val="24"/>
        </w:rPr>
        <w:t>政府采购政策</w:t>
      </w:r>
    </w:p>
    <w:p w14:paraId="20F4052D">
      <w:pPr>
        <w:adjustRightInd w:val="0"/>
        <w:snapToGrid w:val="0"/>
        <w:spacing w:line="360" w:lineRule="auto"/>
        <w:ind w:firstLine="420" w:firstLineChars="200"/>
        <w:rPr>
          <w:rFonts w:ascii="宋体" w:hAnsi="宋体" w:cs="宋体"/>
          <w:color w:val="auto"/>
          <w:kern w:val="0"/>
        </w:rPr>
      </w:pPr>
      <w:r>
        <w:rPr>
          <w:rFonts w:hint="eastAsia" w:ascii="宋体" w:hAnsi="宋体" w:cs="宋体"/>
          <w:color w:val="auto"/>
          <w:kern w:val="0"/>
        </w:rPr>
        <w:t>33.1优先采购：</w:t>
      </w:r>
    </w:p>
    <w:p w14:paraId="26FEDC33">
      <w:pPr>
        <w:adjustRightInd w:val="0"/>
        <w:snapToGrid w:val="0"/>
        <w:spacing w:line="360" w:lineRule="auto"/>
        <w:ind w:firstLine="420" w:firstLineChars="200"/>
        <w:rPr>
          <w:rFonts w:ascii="宋体" w:hAnsi="宋体"/>
          <w:color w:val="auto"/>
        </w:rPr>
      </w:pPr>
      <w:r>
        <w:rPr>
          <w:rFonts w:hint="eastAsia" w:ascii="宋体" w:hAnsi="宋体"/>
          <w:color w:val="auto"/>
        </w:rPr>
        <w:t>（1）</w:t>
      </w:r>
      <w:r>
        <w:rPr>
          <w:rFonts w:hint="eastAsia" w:ascii="宋体" w:hAnsi="宋体"/>
          <w:color w:val="auto"/>
          <w:szCs w:val="21"/>
        </w:rPr>
        <w:t>纳入财政部会同国务院有关部门发布的节能产品、环境标志产品政府采购品目清单，实施政府优先采购的，评审时按招标文件第四章第一节有关规定对该部分产品给予一定比例的价格折扣或者加分；</w:t>
      </w:r>
    </w:p>
    <w:p w14:paraId="31136358">
      <w:pPr>
        <w:adjustRightInd w:val="0"/>
        <w:snapToGrid w:val="0"/>
        <w:spacing w:line="360" w:lineRule="auto"/>
        <w:ind w:firstLine="420" w:firstLineChars="200"/>
        <w:rPr>
          <w:rFonts w:ascii="宋体" w:hAnsi="宋体"/>
          <w:color w:val="auto"/>
        </w:rPr>
      </w:pPr>
      <w:r>
        <w:rPr>
          <w:rFonts w:hint="eastAsia" w:ascii="宋体" w:hAnsi="宋体"/>
          <w:color w:val="auto"/>
        </w:rPr>
        <w:t>（2）纳入湖南省财政厅等有关部门发布的湖南省两型产品政府采购目录的，实施政府优先采购，评审时按</w:t>
      </w:r>
      <w:r>
        <w:rPr>
          <w:rFonts w:hint="eastAsia" w:ascii="宋体" w:hAnsi="宋体"/>
          <w:color w:val="auto"/>
          <w:szCs w:val="21"/>
        </w:rPr>
        <w:t>招标文件第四章第一节有关规定对该部分产品</w:t>
      </w:r>
      <w:r>
        <w:rPr>
          <w:rFonts w:hint="eastAsia" w:ascii="宋体" w:hAnsi="宋体"/>
          <w:color w:val="auto"/>
        </w:rPr>
        <w:t>给予一定比例的价格折扣或者加分。</w:t>
      </w:r>
    </w:p>
    <w:p w14:paraId="2A431276">
      <w:pPr>
        <w:adjustRightInd w:val="0"/>
        <w:snapToGrid w:val="0"/>
        <w:spacing w:line="360" w:lineRule="auto"/>
        <w:ind w:firstLine="420" w:firstLineChars="200"/>
        <w:rPr>
          <w:rFonts w:ascii="宋体" w:hAnsi="宋体" w:cs="宋体"/>
          <w:color w:val="auto"/>
          <w:kern w:val="0"/>
        </w:rPr>
      </w:pPr>
      <w:r>
        <w:rPr>
          <w:rFonts w:hint="eastAsia" w:ascii="宋体" w:hAnsi="宋体" w:cs="宋体"/>
          <w:color w:val="auto"/>
          <w:kern w:val="0"/>
        </w:rPr>
        <w:t>33.2强制采购：</w:t>
      </w:r>
    </w:p>
    <w:p w14:paraId="064222D8">
      <w:pPr>
        <w:adjustRightInd w:val="0"/>
        <w:snapToGrid w:val="0"/>
        <w:spacing w:line="360" w:lineRule="auto"/>
        <w:ind w:firstLine="420" w:firstLineChars="200"/>
        <w:rPr>
          <w:rFonts w:ascii="宋体" w:hAnsi="宋体" w:cs="宋体"/>
          <w:color w:val="auto"/>
          <w:kern w:val="0"/>
        </w:rPr>
      </w:pPr>
      <w:r>
        <w:rPr>
          <w:rFonts w:hint="eastAsia" w:ascii="宋体" w:hAnsi="宋体" w:cs="宋体"/>
          <w:color w:val="auto"/>
          <w:kern w:val="0"/>
        </w:rPr>
        <w:t>（1）纳入财政部会同国务院有关部门发布的节能产品政府采购品目清单，实施政府强制采购的（品目清单标注</w:t>
      </w:r>
      <w:r>
        <w:rPr>
          <w:rFonts w:hint="eastAsia" w:ascii="宋体" w:hAnsi="宋体" w:cs="宋体"/>
          <w:color w:val="auto"/>
          <w:kern w:val="0"/>
        </w:rPr>
        <w:sym w:font="Wingdings" w:char="F0AB"/>
      </w:r>
      <w:r>
        <w:rPr>
          <w:rFonts w:hint="eastAsia" w:ascii="宋体" w:hAnsi="宋体" w:cs="宋体"/>
          <w:color w:val="auto"/>
          <w:kern w:val="0"/>
        </w:rPr>
        <w:t>符号产品），投标人投标产品应当取得国家确定的认证机构出具的、处于有效期之内的节能产品认证证书，否则其</w:t>
      </w:r>
      <w:r>
        <w:rPr>
          <w:rFonts w:hint="eastAsia" w:ascii="宋体" w:hAnsi="宋体" w:cs="宋体"/>
          <w:b/>
          <w:color w:val="auto"/>
          <w:kern w:val="0"/>
          <w:szCs w:val="21"/>
        </w:rPr>
        <w:t>投标无效</w:t>
      </w:r>
      <w:r>
        <w:rPr>
          <w:rFonts w:hint="eastAsia" w:ascii="宋体" w:hAnsi="宋体" w:cs="宋体"/>
          <w:color w:val="auto"/>
          <w:kern w:val="0"/>
        </w:rPr>
        <w:t>。</w:t>
      </w:r>
    </w:p>
    <w:p w14:paraId="22678431">
      <w:pPr>
        <w:adjustRightInd w:val="0"/>
        <w:snapToGrid w:val="0"/>
        <w:spacing w:line="360" w:lineRule="auto"/>
        <w:ind w:firstLine="420" w:firstLineChars="200"/>
        <w:rPr>
          <w:rFonts w:ascii="宋体" w:hAnsi="宋体"/>
          <w:color w:val="auto"/>
        </w:rPr>
      </w:pPr>
      <w:r>
        <w:rPr>
          <w:rFonts w:hint="eastAsia" w:ascii="宋体" w:hAnsi="宋体"/>
          <w:color w:val="auto"/>
        </w:rPr>
        <w:t>33.3价格评审优惠：</w:t>
      </w:r>
    </w:p>
    <w:p w14:paraId="442BEE71">
      <w:pPr>
        <w:adjustRightInd w:val="0"/>
        <w:snapToGrid w:val="0"/>
        <w:spacing w:line="360" w:lineRule="auto"/>
        <w:ind w:firstLine="420" w:firstLineChars="200"/>
        <w:rPr>
          <w:rFonts w:ascii="宋体" w:hAnsi="宋体"/>
          <w:color w:val="auto"/>
        </w:rPr>
      </w:pPr>
      <w:r>
        <w:rPr>
          <w:rFonts w:hint="eastAsia" w:ascii="宋体" w:hAnsi="宋体"/>
          <w:color w:val="auto"/>
        </w:rPr>
        <w:t>（1）在政府采购活动中，供应商提供的货物、工程或者服务符合下列情形的：（一）在货物采购项目中，货物由中小企业制造，即货物由中小企业生产且使用该中小企业商号或者注册商标；（二）在工程采购项目中，工程由中小企业承建，即工程施工单位为中小企业；（三）在服务采购项目中，服务由中小企业承接，即提供服务的人员为中小企业依照《中华人民共和国劳动合同法》订立劳动合同的从业人员；给予一定比例的价格折扣，用扣除后的价格参与评审；</w:t>
      </w:r>
    </w:p>
    <w:p w14:paraId="1677A637">
      <w:pPr>
        <w:adjustRightInd w:val="0"/>
        <w:snapToGrid w:val="0"/>
        <w:spacing w:line="360" w:lineRule="auto"/>
        <w:ind w:firstLine="420" w:firstLineChars="200"/>
        <w:rPr>
          <w:rFonts w:ascii="宋体" w:hAnsi="宋体"/>
          <w:color w:val="auto"/>
        </w:rPr>
      </w:pPr>
      <w:r>
        <w:rPr>
          <w:rFonts w:hint="eastAsia" w:ascii="宋体" w:hAnsi="宋体"/>
          <w:color w:val="auto"/>
        </w:rPr>
        <w:t>（2）对于经主管预算单位统筹后未预留份额专门面向中小企业采购的采购项目，以及预留份额项目中的非预留部分采购包，符合小微企业生产的货物或者提供的服务、工程情形的，给予一定比例的价格折扣，用扣除后的价格参与评审。</w:t>
      </w:r>
    </w:p>
    <w:p w14:paraId="7C248D84">
      <w:pPr>
        <w:adjustRightInd w:val="0"/>
        <w:snapToGrid w:val="0"/>
        <w:spacing w:line="360" w:lineRule="auto"/>
        <w:ind w:firstLine="420" w:firstLineChars="200"/>
        <w:rPr>
          <w:rFonts w:ascii="宋体" w:hAnsi="宋体"/>
          <w:color w:val="auto"/>
        </w:rPr>
      </w:pPr>
      <w:r>
        <w:rPr>
          <w:rFonts w:hint="eastAsia" w:ascii="宋体" w:hAnsi="宋体"/>
          <w:color w:val="auto"/>
        </w:rPr>
        <w:t>接受大中型企业与小微企业组成联合体或者允许大中型企业向一家或者多家小微企业分包的采购项目，对于联合协议或者分包意向协议约定小微企业的合同份额占到合同总金额40%以上的，给予一定比例的价格折扣，用扣除后的价格参与评审。以联合体形式参加政府采购活动，联合体各方均为中小企业的，联合体视同中小企业。其中，联合体各方均为小微企业的，联合体视同小微企业；</w:t>
      </w:r>
    </w:p>
    <w:p w14:paraId="13A2F793">
      <w:pPr>
        <w:adjustRightInd w:val="0"/>
        <w:snapToGrid w:val="0"/>
        <w:spacing w:line="360" w:lineRule="auto"/>
        <w:ind w:firstLine="420" w:firstLineChars="200"/>
        <w:rPr>
          <w:rFonts w:ascii="宋体" w:hAnsi="宋体"/>
          <w:color w:val="auto"/>
        </w:rPr>
      </w:pPr>
      <w:r>
        <w:rPr>
          <w:rFonts w:hint="eastAsia" w:ascii="宋体" w:hAnsi="宋体"/>
          <w:color w:val="auto"/>
        </w:rPr>
        <w:t>（3）符合中小企业划分标准的个体工商户视同中小企业，享受评审中价格扣除等促进中小企业发展的政府采购政策。</w:t>
      </w:r>
    </w:p>
    <w:p w14:paraId="20CA7F85">
      <w:pPr>
        <w:adjustRightInd w:val="0"/>
        <w:snapToGrid w:val="0"/>
        <w:spacing w:line="360" w:lineRule="auto"/>
        <w:ind w:firstLine="420" w:firstLineChars="200"/>
        <w:rPr>
          <w:rFonts w:ascii="宋体" w:hAnsi="宋体"/>
          <w:color w:val="auto"/>
        </w:rPr>
      </w:pPr>
      <w:r>
        <w:rPr>
          <w:rFonts w:hint="eastAsia" w:ascii="宋体" w:hAnsi="宋体"/>
          <w:color w:val="auto"/>
        </w:rPr>
        <w:t>（4）监狱企业、残疾人福利性单位视同小型、微型企业，享受评审中价格扣除等促进中小企业发展的政府采购政策。</w:t>
      </w:r>
    </w:p>
    <w:p w14:paraId="24433772">
      <w:pPr>
        <w:adjustRightInd w:val="0"/>
        <w:snapToGrid w:val="0"/>
        <w:spacing w:line="360" w:lineRule="auto"/>
        <w:ind w:firstLine="420" w:firstLineChars="200"/>
        <w:rPr>
          <w:rFonts w:ascii="宋体" w:hAnsi="宋体"/>
          <w:color w:val="auto"/>
        </w:rPr>
      </w:pPr>
      <w:r>
        <w:rPr>
          <w:rFonts w:hint="eastAsia" w:ascii="宋体" w:hAnsi="宋体"/>
          <w:color w:val="auto"/>
        </w:rPr>
        <w:t>（5）与大企业的负责人为同一人，或者与大企业存在直接控股、管理关系的中小企业，不享受评审中价格扣除等促进中小企业发展的政府采购政策。</w:t>
      </w:r>
    </w:p>
    <w:p w14:paraId="2134B3D9">
      <w:pPr>
        <w:adjustRightInd w:val="0"/>
        <w:snapToGrid w:val="0"/>
        <w:spacing w:line="360" w:lineRule="auto"/>
        <w:ind w:firstLine="420" w:firstLineChars="200"/>
        <w:rPr>
          <w:rFonts w:ascii="宋体" w:hAnsi="宋体"/>
          <w:color w:val="auto"/>
        </w:rPr>
      </w:pPr>
      <w:r>
        <w:rPr>
          <w:rFonts w:hint="eastAsia" w:ascii="宋体" w:hAnsi="宋体"/>
          <w:color w:val="auto"/>
        </w:rPr>
        <w:t>（6）本章第1.2款规定采购项目或者采购包属于“预留采购份额”的，预留部分不再享受本款“价格评审优惠”的小微企业扶持政策。</w:t>
      </w:r>
    </w:p>
    <w:p w14:paraId="58E17F5B">
      <w:pPr>
        <w:adjustRightInd w:val="0"/>
        <w:snapToGrid w:val="0"/>
        <w:spacing w:line="360" w:lineRule="auto"/>
        <w:ind w:firstLine="420" w:firstLineChars="200"/>
        <w:rPr>
          <w:rFonts w:ascii="宋体" w:hAnsi="宋体"/>
          <w:color w:val="auto"/>
        </w:rPr>
      </w:pPr>
      <w:r>
        <w:rPr>
          <w:rFonts w:hint="eastAsia" w:ascii="宋体" w:hAnsi="宋体"/>
          <w:color w:val="auto"/>
        </w:rPr>
        <w:t>33.4政府采购政策交叉与叠加</w:t>
      </w:r>
    </w:p>
    <w:p w14:paraId="6E857DCF">
      <w:pPr>
        <w:adjustRightInd w:val="0"/>
        <w:snapToGrid w:val="0"/>
        <w:spacing w:line="360" w:lineRule="auto"/>
        <w:ind w:firstLine="420" w:firstLineChars="200"/>
        <w:rPr>
          <w:rFonts w:ascii="宋体" w:hAnsi="宋体"/>
          <w:color w:val="auto"/>
        </w:rPr>
      </w:pPr>
      <w:r>
        <w:rPr>
          <w:rFonts w:hint="eastAsia" w:ascii="宋体" w:hAnsi="宋体"/>
          <w:color w:val="auto"/>
        </w:rPr>
        <w:t>（1）投标产品取得两个及以上优先采购产品认证的，评审时只有其中一项产品能享受优先采购优惠（投标人自行选择，并在投标文件中并填报相关信息及数据）</w:t>
      </w:r>
    </w:p>
    <w:p w14:paraId="13373EA0">
      <w:pPr>
        <w:adjustRightInd w:val="0"/>
        <w:snapToGrid w:val="0"/>
        <w:spacing w:line="360" w:lineRule="auto"/>
        <w:ind w:firstLine="420" w:firstLineChars="200"/>
        <w:rPr>
          <w:rFonts w:ascii="宋体" w:hAnsi="宋体"/>
          <w:color w:val="auto"/>
        </w:rPr>
      </w:pPr>
      <w:r>
        <w:rPr>
          <w:rFonts w:hint="eastAsia" w:ascii="宋体" w:hAnsi="宋体"/>
          <w:color w:val="auto"/>
        </w:rPr>
        <w:t>（2）投标人同时符合小型、微型企业及监狱企业、残疾人福利性单位要求的，评审时只有一种类型享受价格评审优惠政策；</w:t>
      </w:r>
    </w:p>
    <w:p w14:paraId="57809812">
      <w:pPr>
        <w:adjustRightInd w:val="0"/>
        <w:snapToGrid w:val="0"/>
        <w:spacing w:line="360" w:lineRule="auto"/>
        <w:ind w:firstLine="420" w:firstLineChars="200"/>
        <w:rPr>
          <w:rFonts w:ascii="宋体" w:hAnsi="宋体"/>
          <w:color w:val="auto"/>
        </w:rPr>
      </w:pPr>
      <w:r>
        <w:rPr>
          <w:rFonts w:hint="eastAsia" w:ascii="宋体" w:hAnsi="宋体"/>
          <w:color w:val="auto"/>
        </w:rPr>
        <w:t>（3）小型和微型企业的价格评审优惠可以与同时属于“节能产品”、“环境标志产品”及“两型产品”中的一项优先采购优惠累加计算。</w:t>
      </w:r>
    </w:p>
    <w:p w14:paraId="3DA0758F">
      <w:pPr>
        <w:adjustRightInd w:val="0"/>
        <w:snapToGrid w:val="0"/>
        <w:spacing w:line="360" w:lineRule="auto"/>
        <w:ind w:firstLine="420" w:firstLineChars="200"/>
        <w:rPr>
          <w:rFonts w:ascii="宋体" w:hAnsi="宋体"/>
          <w:color w:val="auto"/>
        </w:rPr>
      </w:pPr>
      <w:r>
        <w:rPr>
          <w:rFonts w:hint="eastAsia" w:ascii="宋体" w:hAnsi="宋体"/>
          <w:color w:val="auto"/>
        </w:rPr>
        <w:t>33.5在货物采购项目中，供应商提供的货物既有中小企业制造货物，也有大型企业制造货物的，不享受政府采购中小企业扶持政策。</w:t>
      </w:r>
    </w:p>
    <w:p w14:paraId="55B0DE66">
      <w:pPr>
        <w:adjustRightInd w:val="0"/>
        <w:snapToGrid w:val="0"/>
        <w:spacing w:line="360" w:lineRule="auto"/>
        <w:ind w:firstLine="420" w:firstLineChars="200"/>
        <w:rPr>
          <w:rFonts w:ascii="宋体" w:hAnsi="宋体"/>
          <w:color w:val="auto"/>
        </w:rPr>
      </w:pPr>
      <w:r>
        <w:rPr>
          <w:rFonts w:hint="eastAsia" w:ascii="宋体" w:hAnsi="宋体"/>
          <w:color w:val="auto"/>
        </w:rPr>
        <w:t>33.6投标人符合本章第33.1款、第33.2款、第33.3款规定的，应提供相关证明资料。</w:t>
      </w:r>
    </w:p>
    <w:p w14:paraId="0F76D118">
      <w:pPr>
        <w:adjustRightInd w:val="0"/>
        <w:snapToGrid w:val="0"/>
        <w:spacing w:line="360" w:lineRule="auto"/>
        <w:ind w:firstLine="420" w:firstLineChars="200"/>
        <w:rPr>
          <w:rFonts w:ascii="宋体" w:hAnsi="宋体"/>
          <w:color w:val="auto"/>
        </w:rPr>
      </w:pPr>
      <w:r>
        <w:rPr>
          <w:rFonts w:hint="eastAsia" w:ascii="宋体" w:hAnsi="宋体"/>
          <w:color w:val="auto"/>
        </w:rPr>
        <w:t>（1）节能产品、环境标志产品：提供国家确定的认证机构出具的、处于有效期之内的节能产品、环境标志产品认证证书。</w:t>
      </w:r>
    </w:p>
    <w:p w14:paraId="1F22E56B">
      <w:pPr>
        <w:adjustRightInd w:val="0"/>
        <w:snapToGrid w:val="0"/>
        <w:spacing w:line="360" w:lineRule="auto"/>
        <w:ind w:firstLine="420" w:firstLineChars="200"/>
        <w:rPr>
          <w:rFonts w:ascii="宋体" w:hAnsi="宋体"/>
          <w:color w:val="auto"/>
        </w:rPr>
      </w:pPr>
      <w:r>
        <w:rPr>
          <w:rFonts w:hint="eastAsia" w:ascii="宋体" w:hAnsi="宋体"/>
          <w:color w:val="auto"/>
        </w:rPr>
        <w:t>（2）两型产品：提供《湖南省两型产品政府采购目录》（最新一期）文件首页和投标产品所在页（截图）。</w:t>
      </w:r>
    </w:p>
    <w:p w14:paraId="2DC3D11F">
      <w:pPr>
        <w:adjustRightInd w:val="0"/>
        <w:snapToGrid w:val="0"/>
        <w:spacing w:line="360" w:lineRule="auto"/>
        <w:ind w:firstLine="420" w:firstLineChars="200"/>
        <w:rPr>
          <w:rFonts w:ascii="宋体" w:hAnsi="宋体"/>
          <w:color w:val="auto"/>
        </w:rPr>
      </w:pPr>
      <w:r>
        <w:rPr>
          <w:rFonts w:hint="eastAsia" w:ascii="宋体" w:hAnsi="宋体"/>
          <w:color w:val="auto"/>
        </w:rPr>
        <w:t>（3）中小企业：货物类采购项目，按《关于印发＜政府采购促进中小企业发展办法＞的通知》(财库[2020]46号) 和《关于印发中小企业划型标准规定的通知》（工信部联企业〔2011〕300号）文件规定提供中小企业声明函（格式）；服务类采购项目，按《湖南省财政厅关于政府采购促进中小企业发展的有关措施的通知》（湘财购[2022]17号）文件规定提供湖南省政府采购供应商资格承诺函（格式）</w:t>
      </w:r>
      <w:r>
        <w:rPr>
          <w:rFonts w:hint="eastAsia" w:ascii="宋体" w:hAnsi="宋体"/>
          <w:color w:val="auto"/>
          <w:szCs w:val="21"/>
        </w:rPr>
        <w:t>。</w:t>
      </w:r>
    </w:p>
    <w:p w14:paraId="1BE25348">
      <w:pPr>
        <w:adjustRightInd w:val="0"/>
        <w:snapToGrid w:val="0"/>
        <w:spacing w:line="360" w:lineRule="auto"/>
        <w:ind w:firstLine="420" w:firstLineChars="200"/>
        <w:rPr>
          <w:rFonts w:ascii="宋体" w:hAnsi="宋体"/>
          <w:color w:val="auto"/>
        </w:rPr>
      </w:pPr>
      <w:r>
        <w:rPr>
          <w:rFonts w:hint="eastAsia" w:ascii="宋体" w:hAnsi="宋体"/>
          <w:color w:val="auto"/>
        </w:rPr>
        <w:t>（4）监狱企业：按《关于政府采购支持监狱企业发展有关问题的通知》(财库〔2014〕68号)文件规定提供证明文件。</w:t>
      </w:r>
    </w:p>
    <w:p w14:paraId="2EB1A0B4">
      <w:pPr>
        <w:adjustRightInd w:val="0"/>
        <w:snapToGrid w:val="0"/>
        <w:spacing w:line="360" w:lineRule="auto"/>
        <w:ind w:firstLine="420" w:firstLineChars="200"/>
        <w:rPr>
          <w:rFonts w:ascii="宋体" w:hAnsi="宋体"/>
          <w:color w:val="auto"/>
        </w:rPr>
      </w:pPr>
      <w:r>
        <w:rPr>
          <w:rFonts w:hint="eastAsia" w:ascii="宋体" w:hAnsi="宋体"/>
          <w:color w:val="auto"/>
        </w:rPr>
        <w:t>（5）残疾人福利性单位：按《关于促进残疾人就业政府采购政策的通知》(财库〔2017〕141号)文件规定提供《残疾人福利性单位声明函》（格式）。</w:t>
      </w:r>
    </w:p>
    <w:p w14:paraId="174F3B2D">
      <w:pPr>
        <w:adjustRightInd w:val="0"/>
        <w:snapToGrid w:val="0"/>
        <w:spacing w:line="360" w:lineRule="auto"/>
        <w:ind w:firstLine="420" w:firstLineChars="200"/>
        <w:rPr>
          <w:rFonts w:ascii="宋体" w:hAnsi="宋体"/>
          <w:color w:val="auto"/>
        </w:rPr>
      </w:pPr>
      <w:r>
        <w:rPr>
          <w:rFonts w:hint="eastAsia" w:ascii="宋体" w:hAnsi="宋体"/>
          <w:color w:val="auto"/>
        </w:rPr>
        <w:t>33.7执行中小企业预留采购份额政策的规定：</w:t>
      </w:r>
    </w:p>
    <w:p w14:paraId="3F48ABBE">
      <w:pPr>
        <w:adjustRightInd w:val="0"/>
        <w:snapToGrid w:val="0"/>
        <w:spacing w:line="360" w:lineRule="auto"/>
        <w:ind w:firstLine="420" w:firstLineChars="200"/>
        <w:rPr>
          <w:rFonts w:ascii="宋体" w:hAnsi="宋体"/>
          <w:color w:val="auto"/>
        </w:rPr>
      </w:pPr>
      <w:r>
        <w:rPr>
          <w:rFonts w:hint="eastAsia" w:ascii="宋体" w:hAnsi="宋体"/>
          <w:color w:val="auto"/>
        </w:rPr>
        <w:t>（1）预留份额的采购项目或者采购包，应明确该项目或相关采购包专门面向中小企业采购，并作为供应商资格条件。</w:t>
      </w:r>
    </w:p>
    <w:p w14:paraId="30FFAD30">
      <w:pPr>
        <w:adjustRightInd w:val="0"/>
        <w:snapToGrid w:val="0"/>
        <w:spacing w:line="360" w:lineRule="auto"/>
        <w:ind w:firstLine="420" w:firstLineChars="200"/>
        <w:rPr>
          <w:rFonts w:ascii="宋体" w:hAnsi="宋体"/>
          <w:color w:val="auto"/>
        </w:rPr>
      </w:pPr>
      <w:r>
        <w:rPr>
          <w:rFonts w:hint="eastAsia" w:ascii="宋体" w:hAnsi="宋体"/>
          <w:color w:val="auto"/>
        </w:rPr>
        <w:t>（2）要求以联合体形式参加或者合同分包的，应明确联合协议或者分包意向协议中中小企业合同金额应当达到的比例，并作为供应商资格条件。</w:t>
      </w:r>
    </w:p>
    <w:p w14:paraId="462145CB">
      <w:pPr>
        <w:adjustRightInd w:val="0"/>
        <w:snapToGrid w:val="0"/>
        <w:spacing w:line="360" w:lineRule="auto"/>
        <w:ind w:firstLine="420" w:firstLineChars="200"/>
        <w:rPr>
          <w:rFonts w:ascii="宋体" w:hAnsi="宋体"/>
          <w:color w:val="auto"/>
        </w:rPr>
      </w:pPr>
      <w:r>
        <w:rPr>
          <w:rFonts w:hint="eastAsia" w:ascii="宋体" w:hAnsi="宋体"/>
          <w:color w:val="auto"/>
        </w:rPr>
        <w:t>（3）组成联合体或者接受分包合同的中小企业与联合体内其他企业(成员)、分包企业(投标人)之间不得存在直接控股、管理关系。</w:t>
      </w:r>
    </w:p>
    <w:p w14:paraId="428F5FAD">
      <w:pPr>
        <w:adjustRightInd w:val="0"/>
        <w:snapToGrid w:val="0"/>
        <w:spacing w:line="360" w:lineRule="auto"/>
        <w:ind w:firstLine="420" w:firstLineChars="200"/>
        <w:rPr>
          <w:rFonts w:ascii="宋体" w:hAnsi="宋体"/>
          <w:color w:val="auto"/>
        </w:rPr>
      </w:pPr>
      <w:r>
        <w:rPr>
          <w:rFonts w:hint="eastAsia" w:ascii="宋体" w:hAnsi="宋体"/>
          <w:color w:val="auto"/>
        </w:rPr>
        <w:t>33.8采购进口产品</w:t>
      </w:r>
    </w:p>
    <w:p w14:paraId="44E4094A">
      <w:pPr>
        <w:adjustRightInd w:val="0"/>
        <w:snapToGrid w:val="0"/>
        <w:spacing w:line="360" w:lineRule="auto"/>
        <w:ind w:firstLine="420" w:firstLineChars="200"/>
        <w:rPr>
          <w:rFonts w:ascii="宋体" w:hAnsi="宋体"/>
          <w:color w:val="auto"/>
        </w:rPr>
      </w:pPr>
      <w:r>
        <w:rPr>
          <w:rFonts w:hint="eastAsia" w:ascii="宋体" w:hAnsi="宋体" w:cs="宋体"/>
          <w:color w:val="auto"/>
          <w:kern w:val="0"/>
          <w:szCs w:val="21"/>
        </w:rPr>
        <w:t>进口产品是指符合《政府采购进口产品管理办法》（财库〔2007〕119号）和《关于政府采购进口产品管理有关问题的通知》（财办库〔2008〕248号）文件规定的产品。除</w:t>
      </w:r>
      <w:r>
        <w:rPr>
          <w:rFonts w:hint="eastAsia" w:ascii="宋体" w:hAnsi="宋体"/>
          <w:b/>
          <w:color w:val="auto"/>
          <w:szCs w:val="21"/>
        </w:rPr>
        <w:t>【投标须知前附表】</w:t>
      </w:r>
      <w:r>
        <w:rPr>
          <w:rFonts w:hint="eastAsia" w:ascii="宋体" w:hAnsi="宋体" w:cs="宋体"/>
          <w:color w:val="auto"/>
          <w:kern w:val="0"/>
          <w:szCs w:val="21"/>
        </w:rPr>
        <w:t>另有规定外，采购项目</w:t>
      </w:r>
      <w:r>
        <w:rPr>
          <w:rFonts w:hint="eastAsia" w:ascii="宋体" w:hAnsi="宋体" w:cs="宋体"/>
          <w:b/>
          <w:color w:val="auto"/>
          <w:kern w:val="0"/>
          <w:szCs w:val="21"/>
        </w:rPr>
        <w:t>拒绝进口产品参加投标</w:t>
      </w:r>
      <w:r>
        <w:rPr>
          <w:rFonts w:hint="eastAsia" w:ascii="宋体" w:hAnsi="宋体" w:cs="宋体"/>
          <w:color w:val="auto"/>
          <w:kern w:val="0"/>
          <w:szCs w:val="21"/>
        </w:rPr>
        <w:t>。本款规定同意购买进口产品的，不限制满足招标文件要求的国内产品参与投标竞争。</w:t>
      </w:r>
    </w:p>
    <w:p w14:paraId="0259CD97">
      <w:pPr>
        <w:adjustRightInd w:val="0"/>
        <w:snapToGrid w:val="0"/>
        <w:spacing w:line="360" w:lineRule="auto"/>
        <w:ind w:firstLine="420" w:firstLineChars="200"/>
        <w:rPr>
          <w:rFonts w:ascii="宋体" w:hAnsi="宋体"/>
          <w:color w:val="auto"/>
        </w:rPr>
      </w:pPr>
      <w:r>
        <w:rPr>
          <w:rFonts w:hint="eastAsia" w:ascii="宋体" w:hAnsi="宋体"/>
          <w:color w:val="auto"/>
        </w:rPr>
        <w:t>33.9投标人有融资、担保需求的，可登陆中国湖南政府采购网查询相关银行、担保机构业务。</w:t>
      </w:r>
    </w:p>
    <w:p w14:paraId="0C0C8F4D">
      <w:pPr>
        <w:pStyle w:val="5"/>
        <w:adjustRightInd w:val="0"/>
        <w:snapToGrid w:val="0"/>
        <w:spacing w:before="120" w:beforeLines="50" w:after="0" w:line="360" w:lineRule="auto"/>
        <w:jc w:val="center"/>
        <w:rPr>
          <w:rFonts w:ascii="黑体" w:hAnsi="黑体" w:eastAsia="黑体"/>
          <w:color w:val="auto"/>
          <w:sz w:val="28"/>
          <w:szCs w:val="28"/>
        </w:rPr>
      </w:pPr>
      <w:bookmarkStart w:id="338" w:name="_Toc192951223"/>
      <w:bookmarkStart w:id="339" w:name="_Toc192949613"/>
      <w:bookmarkStart w:id="340" w:name="_Toc77199409"/>
      <w:bookmarkStart w:id="341" w:name="_Toc24822"/>
      <w:bookmarkStart w:id="342" w:name="_Toc7058"/>
      <w:bookmarkStart w:id="343" w:name="_Toc100670431"/>
      <w:bookmarkStart w:id="344" w:name="_Toc75289236"/>
      <w:bookmarkStart w:id="345" w:name="_Toc25181"/>
      <w:bookmarkStart w:id="346" w:name="_Toc108341947"/>
      <w:bookmarkStart w:id="347" w:name="_Toc78449965"/>
      <w:bookmarkStart w:id="348" w:name="_Toc114036722"/>
      <w:bookmarkStart w:id="349" w:name="_Toc24389"/>
      <w:bookmarkStart w:id="350" w:name="_Toc94367890"/>
      <w:bookmarkStart w:id="351" w:name="_Toc20651204"/>
      <w:bookmarkStart w:id="352" w:name="_Toc154428400"/>
      <w:bookmarkStart w:id="353" w:name="_Toc13888"/>
      <w:bookmarkStart w:id="354" w:name="_Toc77676476"/>
      <w:bookmarkStart w:id="355" w:name="_Toc95601375"/>
      <w:bookmarkStart w:id="356" w:name="_Toc100670678"/>
      <w:bookmarkStart w:id="357" w:name="_Toc85972940"/>
      <w:bookmarkStart w:id="358" w:name="_Toc192949712"/>
      <w:bookmarkStart w:id="359" w:name="_Toc75289558"/>
      <w:bookmarkStart w:id="360" w:name="_Toc171273681"/>
      <w:bookmarkStart w:id="361" w:name="_Toc23090"/>
      <w:bookmarkStart w:id="362" w:name="_Toc4896"/>
      <w:bookmarkStart w:id="363" w:name="_Toc112704943"/>
      <w:bookmarkStart w:id="364" w:name="_Toc13827"/>
      <w:bookmarkStart w:id="365" w:name="_Toc78314272"/>
      <w:bookmarkStart w:id="366" w:name="_Toc117192458"/>
      <w:bookmarkStart w:id="367" w:name="_Toc7914"/>
      <w:r>
        <w:rPr>
          <w:rFonts w:hint="eastAsia" w:ascii="黑体" w:hAnsi="黑体" w:eastAsia="黑体"/>
          <w:color w:val="auto"/>
          <w:sz w:val="28"/>
          <w:szCs w:val="28"/>
        </w:rPr>
        <w:t>九、其他规定</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14:paraId="5664C08C">
      <w:pPr>
        <w:adjustRightInd w:val="0"/>
        <w:snapToGrid w:val="0"/>
        <w:spacing w:before="120" w:beforeLines="50" w:line="360" w:lineRule="auto"/>
        <w:rPr>
          <w:rFonts w:ascii="宋体" w:hAnsi="宋体"/>
          <w:b/>
          <w:color w:val="auto"/>
          <w:sz w:val="24"/>
        </w:rPr>
      </w:pPr>
      <w:r>
        <w:rPr>
          <w:rFonts w:hint="eastAsia" w:ascii="宋体" w:hAnsi="宋体"/>
          <w:b/>
          <w:bCs/>
          <w:color w:val="auto"/>
          <w:sz w:val="24"/>
        </w:rPr>
        <w:t>34.</w:t>
      </w:r>
      <w:r>
        <w:rPr>
          <w:rFonts w:hint="eastAsia" w:ascii="宋体" w:hAnsi="宋体"/>
          <w:b/>
          <w:color w:val="auto"/>
          <w:sz w:val="24"/>
        </w:rPr>
        <w:t>招标不足三家处理</w:t>
      </w:r>
    </w:p>
    <w:p w14:paraId="18C37CE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34.1公开招标数额标准以上的采购项目，投标截止后投标人不足3家或者通过资格审查或符合性审查的投标人不足3家的，除采购任务取消情形外，按照以下方式处理：</w:t>
      </w:r>
    </w:p>
    <w:p w14:paraId="7BED989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（1）招标文件存在不合理条款或者招标程序不符合规定的，采购人、采购代理机构改正后依法重新招标；</w:t>
      </w:r>
    </w:p>
    <w:p w14:paraId="670604E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（2）招标文件没有不合理条款、招标程序符合规定，需要采用其他采购方式采购的，采购人应当依法报财政部门批准。</w:t>
      </w:r>
    </w:p>
    <w:p w14:paraId="6321600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34.2属上款第（2）项情形的，评标委员会应出具招标文件没有不合理条款的论证意见。</w:t>
      </w:r>
    </w:p>
    <w:p w14:paraId="6187C0A8">
      <w:pPr>
        <w:adjustRightInd w:val="0"/>
        <w:snapToGrid w:val="0"/>
        <w:spacing w:line="360" w:lineRule="auto"/>
        <w:rPr>
          <w:rFonts w:ascii="宋体" w:hAnsi="宋体"/>
          <w:b/>
          <w:color w:val="auto"/>
          <w:sz w:val="24"/>
        </w:rPr>
      </w:pPr>
      <w:r>
        <w:rPr>
          <w:rFonts w:hint="eastAsia" w:ascii="宋体" w:hAnsi="宋体"/>
          <w:b/>
          <w:bCs/>
          <w:color w:val="auto"/>
          <w:sz w:val="24"/>
        </w:rPr>
        <w:t>35.</w:t>
      </w:r>
      <w:r>
        <w:rPr>
          <w:rFonts w:hint="eastAsia" w:ascii="宋体" w:hAnsi="宋体"/>
          <w:b/>
          <w:color w:val="auto"/>
          <w:sz w:val="24"/>
        </w:rPr>
        <w:t>需要补充的其他内容</w:t>
      </w:r>
    </w:p>
    <w:p w14:paraId="08CBA506">
      <w:pPr>
        <w:adjustRightInd w:val="0"/>
        <w:snapToGrid w:val="0"/>
        <w:spacing w:line="360" w:lineRule="auto"/>
        <w:ind w:firstLine="420" w:firstLineChars="200"/>
        <w:rPr>
          <w:rFonts w:ascii="宋体" w:hAnsi="宋体"/>
          <w:color w:val="auto"/>
        </w:rPr>
      </w:pPr>
      <w:r>
        <w:rPr>
          <w:rFonts w:hint="eastAsia" w:ascii="宋体" w:hAnsi="宋体"/>
          <w:color w:val="auto"/>
        </w:rPr>
        <w:t>35.1合同价款支付</w:t>
      </w:r>
    </w:p>
    <w:p w14:paraId="7C91B1E7">
      <w:pPr>
        <w:adjustRightInd w:val="0"/>
        <w:snapToGrid w:val="0"/>
        <w:spacing w:line="360" w:lineRule="auto"/>
        <w:ind w:firstLine="420" w:firstLineChars="200"/>
        <w:rPr>
          <w:rFonts w:ascii="宋体" w:hAnsi="宋体"/>
          <w:color w:val="auto"/>
        </w:rPr>
      </w:pPr>
      <w:r>
        <w:rPr>
          <w:rFonts w:hint="eastAsia" w:ascii="宋体" w:hAnsi="宋体"/>
          <w:color w:val="auto"/>
        </w:rPr>
        <w:t>（1）招标文件</w:t>
      </w:r>
      <w:r>
        <w:rPr>
          <w:rFonts w:hint="eastAsia" w:ascii="宋体" w:hAnsi="宋体"/>
          <w:bCs/>
          <w:color w:val="auto"/>
          <w:szCs w:val="21"/>
        </w:rPr>
        <w:t>规定支付合同预付款的，采购人应按</w:t>
      </w:r>
      <w:r>
        <w:rPr>
          <w:rFonts w:hint="eastAsia" w:ascii="宋体" w:hAnsi="宋体"/>
          <w:b/>
          <w:color w:val="auto"/>
          <w:szCs w:val="21"/>
        </w:rPr>
        <w:t>【投标须知前附表】</w:t>
      </w:r>
      <w:r>
        <w:rPr>
          <w:rFonts w:hint="eastAsia" w:ascii="宋体" w:hAnsi="宋体"/>
          <w:bCs/>
          <w:color w:val="auto"/>
          <w:szCs w:val="21"/>
        </w:rPr>
        <w:t>规定的支付比例和支付条件向符合要求的中标供应商及时支付相应款项，并在政府采购合同中进行明确。</w:t>
      </w:r>
    </w:p>
    <w:p w14:paraId="08DE1CEF">
      <w:pPr>
        <w:adjustRightInd w:val="0"/>
        <w:snapToGrid w:val="0"/>
        <w:spacing w:line="360" w:lineRule="auto"/>
        <w:ind w:firstLine="420" w:firstLineChars="200"/>
        <w:rPr>
          <w:rFonts w:ascii="宋体" w:hAnsi="宋体"/>
          <w:color w:val="auto"/>
        </w:rPr>
      </w:pPr>
      <w:r>
        <w:rPr>
          <w:rFonts w:hint="eastAsia" w:ascii="宋体" w:hAnsi="宋体"/>
          <w:color w:val="auto"/>
        </w:rPr>
        <w:t>（2）招标文件</w:t>
      </w:r>
      <w:r>
        <w:rPr>
          <w:rFonts w:hint="eastAsia" w:ascii="宋体" w:hAnsi="宋体"/>
          <w:bCs/>
          <w:color w:val="auto"/>
        </w:rPr>
        <w:t>规定需提交质量保证金的，采购人可以按</w:t>
      </w:r>
      <w:r>
        <w:rPr>
          <w:rFonts w:hint="eastAsia" w:ascii="宋体" w:hAnsi="宋体"/>
          <w:b/>
          <w:color w:val="auto"/>
        </w:rPr>
        <w:t>【投标须知前附表】</w:t>
      </w:r>
      <w:r>
        <w:rPr>
          <w:rFonts w:hint="eastAsia" w:ascii="宋体" w:hAnsi="宋体"/>
          <w:bCs/>
          <w:color w:val="auto"/>
        </w:rPr>
        <w:t>规定要求中标供应商提交质量保证金，并在政府采购合同中进行明确。</w:t>
      </w:r>
    </w:p>
    <w:p w14:paraId="7D437D27">
      <w:pPr>
        <w:adjustRightInd w:val="0"/>
        <w:snapToGrid w:val="0"/>
        <w:spacing w:line="360" w:lineRule="auto"/>
        <w:ind w:firstLine="420" w:firstLineChars="200"/>
        <w:rPr>
          <w:rFonts w:ascii="宋体" w:hAnsi="宋体"/>
          <w:color w:val="auto"/>
        </w:rPr>
      </w:pPr>
      <w:r>
        <w:rPr>
          <w:rFonts w:hint="eastAsia" w:ascii="宋体" w:hAnsi="宋体"/>
          <w:bCs/>
          <w:color w:val="auto"/>
        </w:rPr>
        <w:t>（3）投标人可以保函、电子增信替代预付款担保、质量保证金。</w:t>
      </w:r>
    </w:p>
    <w:p w14:paraId="52BCC18A">
      <w:pPr>
        <w:adjustRightInd w:val="0"/>
        <w:snapToGrid w:val="0"/>
        <w:spacing w:line="360" w:lineRule="auto"/>
        <w:ind w:firstLine="420" w:firstLineChars="200"/>
        <w:rPr>
          <w:rFonts w:ascii="宋体" w:hAnsi="宋体"/>
          <w:color w:val="auto"/>
          <w:szCs w:val="21"/>
        </w:rPr>
      </w:pPr>
      <w:r>
        <w:rPr>
          <w:rFonts w:hint="eastAsia" w:ascii="宋体" w:hAnsi="宋体"/>
          <w:color w:val="auto"/>
        </w:rPr>
        <w:t>35.2招标文件需要补充的其</w:t>
      </w:r>
      <w:r>
        <w:rPr>
          <w:rFonts w:hint="eastAsia" w:ascii="宋体" w:hAnsi="宋体"/>
          <w:color w:val="auto"/>
          <w:szCs w:val="21"/>
        </w:rPr>
        <w:t>他内容见</w:t>
      </w:r>
      <w:r>
        <w:rPr>
          <w:rFonts w:hint="eastAsia" w:ascii="宋体" w:hAnsi="宋体"/>
          <w:b/>
          <w:color w:val="auto"/>
          <w:szCs w:val="21"/>
        </w:rPr>
        <w:t>【投标须知前附表】</w:t>
      </w:r>
      <w:r>
        <w:rPr>
          <w:rFonts w:hint="eastAsia" w:ascii="宋体" w:hAnsi="宋体"/>
          <w:color w:val="auto"/>
          <w:szCs w:val="21"/>
        </w:rPr>
        <w:t>。</w:t>
      </w:r>
    </w:p>
    <w:p w14:paraId="3F8CF620">
      <w:pPr>
        <w:pStyle w:val="24"/>
        <w:adjustRightInd w:val="0"/>
        <w:snapToGrid w:val="0"/>
        <w:spacing w:before="120" w:beforeLines="50" w:line="360" w:lineRule="auto"/>
        <w:ind w:firstLine="1606" w:firstLineChars="500"/>
        <w:outlineLvl w:val="0"/>
        <w:rPr>
          <w:rFonts w:hint="eastAsia" w:ascii="黑体" w:hAnsi="黑体" w:eastAsia="黑体"/>
          <w:b/>
          <w:color w:val="auto"/>
          <w:sz w:val="32"/>
          <w:szCs w:val="32"/>
        </w:rPr>
      </w:pPr>
      <w:bookmarkStart w:id="368" w:name="_Toc15888495"/>
      <w:bookmarkStart w:id="369" w:name="_Toc100670432"/>
      <w:bookmarkStart w:id="370" w:name="_Toc75289559"/>
      <w:bookmarkStart w:id="371" w:name="_Toc192949713"/>
      <w:bookmarkStart w:id="372" w:name="_Toc1041"/>
      <w:bookmarkStart w:id="373" w:name="_Toc27158"/>
      <w:bookmarkStart w:id="374" w:name="_Toc94367891"/>
      <w:bookmarkStart w:id="375" w:name="_Toc95601376"/>
      <w:bookmarkStart w:id="376" w:name="_Toc108341948"/>
      <w:bookmarkStart w:id="377" w:name="_Toc75289237"/>
      <w:bookmarkStart w:id="378" w:name="_Toc4260"/>
      <w:bookmarkStart w:id="379" w:name="_Toc114036723"/>
      <w:bookmarkStart w:id="380" w:name="_Toc27253"/>
      <w:bookmarkStart w:id="381" w:name="_Toc117192459"/>
      <w:bookmarkStart w:id="382" w:name="_Toc78449966"/>
      <w:bookmarkStart w:id="383" w:name="_Toc154428401"/>
      <w:bookmarkStart w:id="384" w:name="_Toc2265"/>
      <w:bookmarkStart w:id="385" w:name="_Toc85972941"/>
      <w:bookmarkStart w:id="386" w:name="_Toc77199410"/>
      <w:bookmarkStart w:id="387" w:name="_Toc77676477"/>
      <w:bookmarkStart w:id="388" w:name="_Toc192949614"/>
      <w:bookmarkStart w:id="389" w:name="_Toc171273682"/>
      <w:bookmarkStart w:id="390" w:name="_Toc27437"/>
      <w:bookmarkStart w:id="391" w:name="_Toc112704944"/>
      <w:bookmarkStart w:id="392" w:name="_Toc13277"/>
      <w:bookmarkStart w:id="393" w:name="_Toc31883"/>
      <w:bookmarkStart w:id="394" w:name="_Toc78314273"/>
      <w:bookmarkStart w:id="395" w:name="_Toc100670679"/>
      <w:bookmarkStart w:id="396" w:name="_Toc192951224"/>
    </w:p>
    <w:p w14:paraId="04DB341E">
      <w:pPr>
        <w:pStyle w:val="24"/>
        <w:adjustRightInd w:val="0"/>
        <w:snapToGrid w:val="0"/>
        <w:spacing w:before="120" w:beforeLines="50" w:line="360" w:lineRule="auto"/>
        <w:ind w:firstLine="1606" w:firstLineChars="500"/>
        <w:outlineLvl w:val="0"/>
        <w:rPr>
          <w:rFonts w:hint="eastAsia" w:ascii="黑体" w:hAnsi="黑体" w:eastAsia="黑体"/>
          <w:b/>
          <w:color w:val="auto"/>
          <w:sz w:val="32"/>
          <w:szCs w:val="32"/>
        </w:rPr>
      </w:pPr>
    </w:p>
    <w:p w14:paraId="6E605D7A">
      <w:pPr>
        <w:pStyle w:val="24"/>
        <w:adjustRightInd w:val="0"/>
        <w:snapToGrid w:val="0"/>
        <w:spacing w:before="120" w:beforeLines="50" w:line="360" w:lineRule="auto"/>
        <w:ind w:firstLine="1606" w:firstLineChars="500"/>
        <w:outlineLvl w:val="0"/>
        <w:rPr>
          <w:rFonts w:hint="eastAsia" w:ascii="黑体" w:hAnsi="黑体" w:eastAsia="黑体"/>
          <w:b/>
          <w:color w:val="auto"/>
          <w:sz w:val="32"/>
          <w:szCs w:val="32"/>
        </w:rPr>
      </w:pPr>
    </w:p>
    <w:p w14:paraId="1938CFA8">
      <w:pPr>
        <w:pStyle w:val="24"/>
        <w:adjustRightInd w:val="0"/>
        <w:snapToGrid w:val="0"/>
        <w:spacing w:before="120" w:beforeLines="50" w:line="360" w:lineRule="auto"/>
        <w:ind w:firstLine="1606" w:firstLineChars="500"/>
        <w:outlineLvl w:val="0"/>
        <w:rPr>
          <w:rFonts w:hint="eastAsia" w:ascii="黑体" w:hAnsi="黑体" w:eastAsia="黑体"/>
          <w:b/>
          <w:color w:val="auto"/>
          <w:sz w:val="32"/>
          <w:szCs w:val="32"/>
        </w:rPr>
      </w:pPr>
    </w:p>
    <w:p w14:paraId="72DECD93">
      <w:pPr>
        <w:pStyle w:val="24"/>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1A634F1B">
      <w:pPr>
        <w:pStyle w:val="24"/>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782A77AD">
      <w:pPr>
        <w:pStyle w:val="24"/>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182D146C">
      <w:pPr>
        <w:pStyle w:val="24"/>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0D627B42">
      <w:pPr>
        <w:pStyle w:val="24"/>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19193815">
      <w:pPr>
        <w:pStyle w:val="24"/>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061CA7CC">
      <w:pPr>
        <w:pStyle w:val="24"/>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66EE1B71">
      <w:pPr>
        <w:pStyle w:val="24"/>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7BC80BEE">
      <w:pPr>
        <w:pStyle w:val="24"/>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2B9D16A5">
      <w:pPr>
        <w:pStyle w:val="24"/>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4F6953CE">
      <w:pPr>
        <w:pStyle w:val="24"/>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082C3FD6">
      <w:pPr>
        <w:pStyle w:val="24"/>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7BE48C7F">
      <w:pPr>
        <w:pStyle w:val="24"/>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3AF18CFE">
      <w:pPr>
        <w:pStyle w:val="24"/>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1D6FCC5F">
      <w:pPr>
        <w:pStyle w:val="24"/>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7EB8A50D">
      <w:pPr>
        <w:pStyle w:val="24"/>
        <w:adjustRightInd w:val="0"/>
        <w:snapToGrid w:val="0"/>
        <w:spacing w:before="120" w:beforeLines="50" w:line="360" w:lineRule="auto"/>
        <w:ind w:firstLine="2891" w:firstLineChars="900"/>
        <w:outlineLvl w:val="0"/>
        <w:rPr>
          <w:rFonts w:hint="eastAsia" w:ascii="黑体" w:hAnsi="黑体" w:eastAsia="黑体"/>
          <w:b/>
          <w:color w:val="auto"/>
          <w:sz w:val="32"/>
          <w:szCs w:val="32"/>
        </w:rPr>
      </w:pPr>
    </w:p>
    <w:p w14:paraId="41EEAC1E">
      <w:pPr>
        <w:pStyle w:val="24"/>
        <w:adjustRightInd w:val="0"/>
        <w:snapToGrid w:val="0"/>
        <w:spacing w:before="120" w:beforeLines="50" w:line="360" w:lineRule="auto"/>
        <w:ind w:firstLine="2891" w:firstLineChars="900"/>
        <w:outlineLvl w:val="0"/>
        <w:rPr>
          <w:rFonts w:ascii="黑体" w:hAnsi="黑体" w:eastAsia="黑体"/>
          <w:b/>
          <w:color w:val="auto"/>
          <w:sz w:val="32"/>
          <w:szCs w:val="32"/>
        </w:rPr>
      </w:pPr>
      <w:bookmarkStart w:id="397" w:name="_Toc12597"/>
      <w:r>
        <w:rPr>
          <w:rFonts w:hint="eastAsia" w:ascii="黑体" w:hAnsi="黑体" w:eastAsia="黑体"/>
          <w:b/>
          <w:color w:val="auto"/>
          <w:sz w:val="32"/>
          <w:szCs w:val="32"/>
        </w:rPr>
        <w:t>第三章 资格审查</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14:paraId="7BE96252">
      <w:pPr>
        <w:pStyle w:val="5"/>
        <w:adjustRightInd w:val="0"/>
        <w:snapToGrid w:val="0"/>
        <w:spacing w:before="0" w:after="0" w:line="360" w:lineRule="auto"/>
        <w:rPr>
          <w:rFonts w:ascii="宋体" w:hAnsi="宋体"/>
          <w:color w:val="auto"/>
          <w:sz w:val="24"/>
          <w:szCs w:val="24"/>
        </w:rPr>
      </w:pPr>
      <w:bookmarkStart w:id="398" w:name="_Toc95601377"/>
      <w:bookmarkStart w:id="399" w:name="_Toc94367892"/>
      <w:bookmarkStart w:id="400" w:name="_Toc192949714"/>
      <w:bookmarkStart w:id="401" w:name="_Toc31014"/>
      <w:bookmarkStart w:id="402" w:name="_Toc78449967"/>
      <w:bookmarkStart w:id="403" w:name="_Toc75289560"/>
      <w:bookmarkStart w:id="404" w:name="_Toc75289238"/>
      <w:bookmarkStart w:id="405" w:name="_Toc112704945"/>
      <w:bookmarkStart w:id="406" w:name="_Toc108341949"/>
      <w:bookmarkStart w:id="407" w:name="_Toc171273683"/>
      <w:bookmarkStart w:id="408" w:name="_Toc117192460"/>
      <w:bookmarkStart w:id="409" w:name="_Toc100670433"/>
      <w:bookmarkStart w:id="410" w:name="_Toc2273"/>
      <w:bookmarkStart w:id="411" w:name="_Toc192951225"/>
      <w:bookmarkStart w:id="412" w:name="_Toc17592"/>
      <w:bookmarkStart w:id="413" w:name="_Toc21904"/>
      <w:bookmarkStart w:id="414" w:name="_Toc154428402"/>
      <w:bookmarkStart w:id="415" w:name="_Toc100670680"/>
      <w:bookmarkStart w:id="416" w:name="_Toc11674"/>
      <w:bookmarkStart w:id="417" w:name="_Toc10036"/>
      <w:bookmarkStart w:id="418" w:name="_Toc15888496"/>
      <w:bookmarkStart w:id="419" w:name="_Toc77199411"/>
      <w:bookmarkStart w:id="420" w:name="_Toc85972942"/>
      <w:bookmarkStart w:id="421" w:name="_Toc114036724"/>
      <w:bookmarkStart w:id="422" w:name="_Toc16503"/>
      <w:bookmarkStart w:id="423" w:name="_Toc26009"/>
      <w:bookmarkStart w:id="424" w:name="_Toc192949615"/>
      <w:bookmarkStart w:id="425" w:name="_Toc78314274"/>
      <w:bookmarkStart w:id="426" w:name="_Toc32689"/>
      <w:bookmarkStart w:id="427" w:name="_Toc77676478"/>
      <w:r>
        <w:rPr>
          <w:rFonts w:hint="eastAsia" w:ascii="黑体" w:hAnsi="黑体" w:eastAsia="黑体"/>
          <w:color w:val="auto"/>
          <w:sz w:val="24"/>
          <w:szCs w:val="24"/>
        </w:rPr>
        <w:t>1．</w:t>
      </w:r>
      <w:r>
        <w:rPr>
          <w:rFonts w:hint="eastAsia" w:ascii="宋体" w:hAnsi="宋体"/>
          <w:color w:val="auto"/>
          <w:sz w:val="24"/>
          <w:szCs w:val="24"/>
        </w:rPr>
        <w:t>资格审查主体</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4BDBDA5D">
      <w:pPr>
        <w:adjustRightInd w:val="0"/>
        <w:snapToGrid w:val="0"/>
        <w:spacing w:line="360" w:lineRule="auto"/>
        <w:ind w:firstLine="417" w:firstLineChars="199"/>
        <w:rPr>
          <w:rFonts w:ascii="宋体" w:hAnsi="宋体"/>
          <w:color w:val="auto"/>
          <w:szCs w:val="21"/>
        </w:rPr>
      </w:pPr>
      <w:r>
        <w:rPr>
          <w:rFonts w:hint="eastAsia" w:ascii="宋体" w:hAnsi="宋体"/>
          <w:color w:val="auto"/>
          <w:szCs w:val="21"/>
        </w:rPr>
        <w:t>1.1资格审查主体：采购人、采购代理机构负责资格审查。</w:t>
      </w:r>
    </w:p>
    <w:p w14:paraId="352E3BC8">
      <w:pPr>
        <w:pStyle w:val="5"/>
        <w:adjustRightInd w:val="0"/>
        <w:snapToGrid w:val="0"/>
        <w:spacing w:before="0" w:after="0" w:line="360" w:lineRule="auto"/>
        <w:rPr>
          <w:rFonts w:ascii="宋体" w:hAnsi="宋体"/>
          <w:color w:val="auto"/>
          <w:sz w:val="24"/>
          <w:szCs w:val="24"/>
        </w:rPr>
      </w:pPr>
      <w:bookmarkStart w:id="428" w:name="_Toc78314275"/>
      <w:bookmarkStart w:id="429" w:name="_Toc95601378"/>
      <w:bookmarkStart w:id="430" w:name="_Toc17087"/>
      <w:bookmarkStart w:id="431" w:name="_Toc100670434"/>
      <w:bookmarkStart w:id="432" w:name="_Toc192949616"/>
      <w:bookmarkStart w:id="433" w:name="_Toc77199412"/>
      <w:bookmarkStart w:id="434" w:name="_Toc7833"/>
      <w:bookmarkStart w:id="435" w:name="_Toc75289561"/>
      <w:bookmarkStart w:id="436" w:name="_Toc77676479"/>
      <w:bookmarkStart w:id="437" w:name="_Toc9152"/>
      <w:bookmarkStart w:id="438" w:name="_Toc94367893"/>
      <w:bookmarkStart w:id="439" w:name="_Toc100670681"/>
      <w:bookmarkStart w:id="440" w:name="_Toc192949715"/>
      <w:bookmarkStart w:id="441" w:name="_Toc85972943"/>
      <w:bookmarkStart w:id="442" w:name="_Toc112704946"/>
      <w:bookmarkStart w:id="443" w:name="_Toc15888497"/>
      <w:bookmarkStart w:id="444" w:name="_Toc117192461"/>
      <w:bookmarkStart w:id="445" w:name="_Toc13504"/>
      <w:bookmarkStart w:id="446" w:name="_Toc75289239"/>
      <w:bookmarkStart w:id="447" w:name="_Toc114036725"/>
      <w:bookmarkStart w:id="448" w:name="_Toc192951226"/>
      <w:bookmarkStart w:id="449" w:name="_Toc154428403"/>
      <w:bookmarkStart w:id="450" w:name="_Toc108341950"/>
      <w:bookmarkStart w:id="451" w:name="_Toc18648"/>
      <w:bookmarkStart w:id="452" w:name="_Toc171273684"/>
      <w:bookmarkStart w:id="453" w:name="_Toc8846"/>
      <w:bookmarkStart w:id="454" w:name="_Toc22295"/>
      <w:bookmarkStart w:id="455" w:name="_Toc78449968"/>
      <w:bookmarkStart w:id="456" w:name="_Toc748"/>
      <w:bookmarkStart w:id="457" w:name="_Toc26069"/>
      <w:r>
        <w:rPr>
          <w:rFonts w:hint="eastAsia" w:ascii="宋体" w:hAnsi="宋体"/>
          <w:color w:val="auto"/>
          <w:sz w:val="24"/>
          <w:szCs w:val="24"/>
        </w:rPr>
        <w:t>2．资格审查</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14:paraId="3158804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2.1资格审查依据法律法规和招标文件的规定，对投标文件中的资格证明文件、投标报价等进行审查，以确定投标供应商是否具备投标资格。</w:t>
      </w:r>
    </w:p>
    <w:p w14:paraId="4F728BB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2.2采购人、采购代理机构按本章附表1“资格审查表”所列审查项目及审查标准，对投标人资格进行审查。</w:t>
      </w:r>
    </w:p>
    <w:p w14:paraId="533CB65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2.3在资格审查时，投标人存在下列情况之一的，资格审查不合格，其投标无效：</w:t>
      </w:r>
    </w:p>
    <w:p w14:paraId="15AA178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（1）不具备招标文件中规定的资格要求的，或提交的资格证明文件不符合招标文件要求的；</w:t>
      </w:r>
    </w:p>
    <w:p w14:paraId="0CF01BC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（2）联合体投标未提交联合体协议书，或未提交联合体各方资格证明文件的；</w:t>
      </w:r>
    </w:p>
    <w:p w14:paraId="56BB924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（3）投标文件的资格证明文件未按照招标文件要求签署、盖章的；</w:t>
      </w:r>
    </w:p>
    <w:p w14:paraId="4AD1725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（4）投标报价超过招标文件中规定的预算金额或者最高限价的；</w:t>
      </w:r>
    </w:p>
    <w:p w14:paraId="359B21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（5）法律、法规和招标文件规定的其他投标无效情形的。</w:t>
      </w:r>
    </w:p>
    <w:p w14:paraId="4841EC0F">
      <w:pPr>
        <w:adjustRightInd w:val="0"/>
        <w:snapToGrid w:val="0"/>
        <w:spacing w:line="360" w:lineRule="auto"/>
        <w:ind w:firstLine="420" w:firstLineChars="200"/>
        <w:rPr>
          <w:rFonts w:ascii="宋体" w:hAnsi="宋体"/>
          <w:b/>
          <w:color w:val="auto"/>
          <w:sz w:val="32"/>
          <w:szCs w:val="32"/>
        </w:rPr>
      </w:pPr>
      <w:r>
        <w:rPr>
          <w:rFonts w:hint="eastAsia" w:ascii="宋体" w:hAnsi="宋体"/>
          <w:color w:val="auto"/>
        </w:rPr>
        <w:t>2.4信用记录。开标结束后</w:t>
      </w:r>
      <w:r>
        <w:rPr>
          <w:rFonts w:hint="eastAsia" w:ascii="宋体" w:hAnsi="宋体"/>
          <w:color w:val="auto"/>
          <w:szCs w:val="21"/>
        </w:rPr>
        <w:t>资格审查时，采购人、采购代理机构将对投标人信用记录进行甄别。</w:t>
      </w:r>
    </w:p>
    <w:p w14:paraId="68FD7CC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（1）信用信息查询的查询渠道：信用中国网（www.creditchina.gov.cn）、中国政府采购网（www.ccgp.gov.cn）；</w:t>
      </w:r>
    </w:p>
    <w:p w14:paraId="1A32772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不良信用记录是指：投标人在“信用中国”网站被列入失信被执行人和重大税收违法案件当事人名单，或在“中国政府采购网”网站被列入政府采购严重违法失信行为记录名单。投标人有上述不良信用记录的，其投标无效，其中，列入政府采购严重违法失信行为记录名单的，按处罚结果执行。</w:t>
      </w:r>
    </w:p>
    <w:p w14:paraId="188D850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（3）联合体形式投标的，联合体成员存在不良信用记录的，视同联合体存在不良信用记录。</w:t>
      </w:r>
    </w:p>
    <w:p w14:paraId="474E85D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（4）信用信息查询记录和证据留存具体方式：</w:t>
      </w:r>
      <w:r>
        <w:rPr>
          <w:rFonts w:hint="eastAsia" w:ascii="宋体" w:hAnsi="宋体"/>
          <w:color w:val="auto"/>
          <w:sz w:val="22"/>
          <w:szCs w:val="22"/>
        </w:rPr>
        <w:t>采购人、采购代理机构</w:t>
      </w:r>
      <w:r>
        <w:rPr>
          <w:rFonts w:ascii="宋体" w:hAnsi="宋体"/>
          <w:color w:val="auto"/>
          <w:sz w:val="22"/>
          <w:szCs w:val="22"/>
        </w:rPr>
        <w:t>经办人将查询网页</w:t>
      </w:r>
      <w:r>
        <w:rPr>
          <w:rFonts w:hint="eastAsia" w:ascii="宋体" w:hAnsi="宋体"/>
          <w:color w:val="auto"/>
          <w:sz w:val="22"/>
          <w:szCs w:val="22"/>
        </w:rPr>
        <w:t>截图、</w:t>
      </w:r>
      <w:r>
        <w:rPr>
          <w:rFonts w:ascii="宋体" w:hAnsi="宋体"/>
          <w:color w:val="auto"/>
          <w:sz w:val="22"/>
          <w:szCs w:val="22"/>
        </w:rPr>
        <w:t>打印、签字</w:t>
      </w:r>
      <w:r>
        <w:rPr>
          <w:rFonts w:hint="eastAsia" w:ascii="宋体" w:hAnsi="宋体"/>
          <w:color w:val="auto"/>
          <w:sz w:val="22"/>
          <w:szCs w:val="22"/>
        </w:rPr>
        <w:t>，作为查询记录和证据，与其他采购文件一并保存。</w:t>
      </w:r>
      <w:r>
        <w:rPr>
          <w:rFonts w:ascii="宋体" w:hAnsi="宋体"/>
          <w:color w:val="auto"/>
          <w:sz w:val="22"/>
          <w:szCs w:val="22"/>
        </w:rPr>
        <w:t>投标人不良信用记录以</w:t>
      </w:r>
      <w:r>
        <w:rPr>
          <w:rFonts w:hint="eastAsia" w:ascii="宋体" w:hAnsi="宋体"/>
          <w:color w:val="auto"/>
          <w:sz w:val="22"/>
          <w:szCs w:val="22"/>
        </w:rPr>
        <w:t>采购人、采购代理机构</w:t>
      </w:r>
      <w:r>
        <w:rPr>
          <w:rFonts w:ascii="宋体" w:hAnsi="宋体"/>
          <w:color w:val="auto"/>
          <w:sz w:val="22"/>
          <w:szCs w:val="22"/>
        </w:rPr>
        <w:t>查询结果为准</w:t>
      </w:r>
      <w:r>
        <w:rPr>
          <w:rFonts w:hint="eastAsia" w:ascii="宋体" w:hAnsi="宋体"/>
          <w:color w:val="auto"/>
          <w:sz w:val="22"/>
          <w:szCs w:val="22"/>
        </w:rPr>
        <w:t>。</w:t>
      </w:r>
    </w:p>
    <w:p w14:paraId="57F578C6">
      <w:pPr>
        <w:pStyle w:val="5"/>
        <w:adjustRightInd w:val="0"/>
        <w:snapToGrid w:val="0"/>
        <w:spacing w:before="0" w:after="0" w:line="360" w:lineRule="auto"/>
        <w:rPr>
          <w:rFonts w:ascii="宋体" w:hAnsi="宋体"/>
          <w:color w:val="auto"/>
          <w:sz w:val="24"/>
          <w:szCs w:val="24"/>
        </w:rPr>
      </w:pPr>
      <w:bookmarkStart w:id="458" w:name="_Toc78449969"/>
      <w:bookmarkStart w:id="459" w:name="_Toc112704947"/>
      <w:bookmarkStart w:id="460" w:name="_Toc1821"/>
      <w:bookmarkStart w:id="461" w:name="_Toc13377"/>
      <w:bookmarkStart w:id="462" w:name="_Toc78314276"/>
      <w:bookmarkStart w:id="463" w:name="_Toc12149"/>
      <w:bookmarkStart w:id="464" w:name="_Toc192949617"/>
      <w:bookmarkStart w:id="465" w:name="_Toc154428404"/>
      <w:bookmarkStart w:id="466" w:name="_Toc26424"/>
      <w:bookmarkStart w:id="467" w:name="_Toc85972944"/>
      <w:bookmarkStart w:id="468" w:name="_Toc171273685"/>
      <w:bookmarkStart w:id="469" w:name="_Toc192951227"/>
      <w:bookmarkStart w:id="470" w:name="_Toc108341951"/>
      <w:bookmarkStart w:id="471" w:name="_Toc77676480"/>
      <w:bookmarkStart w:id="472" w:name="_Toc100670682"/>
      <w:bookmarkStart w:id="473" w:name="_Toc114036726"/>
      <w:bookmarkStart w:id="474" w:name="_Toc17377"/>
      <w:bookmarkStart w:id="475" w:name="_Toc15888498"/>
      <w:bookmarkStart w:id="476" w:name="_Toc11466"/>
      <w:bookmarkStart w:id="477" w:name="_Toc94367894"/>
      <w:bookmarkStart w:id="478" w:name="_Toc19334"/>
      <w:bookmarkStart w:id="479" w:name="_Toc75289562"/>
      <w:bookmarkStart w:id="480" w:name="_Toc22441"/>
      <w:bookmarkStart w:id="481" w:name="_Toc77199413"/>
      <w:bookmarkStart w:id="482" w:name="_Toc117192462"/>
      <w:bookmarkStart w:id="483" w:name="_Toc192949716"/>
      <w:bookmarkStart w:id="484" w:name="_Toc100670435"/>
      <w:bookmarkStart w:id="485" w:name="_Toc95601379"/>
      <w:bookmarkStart w:id="486" w:name="_Toc75289240"/>
      <w:bookmarkStart w:id="487" w:name="_Toc22906"/>
      <w:r>
        <w:rPr>
          <w:rFonts w:hint="eastAsia" w:ascii="宋体" w:hAnsi="宋体"/>
          <w:color w:val="auto"/>
          <w:sz w:val="24"/>
          <w:szCs w:val="24"/>
        </w:rPr>
        <w:t>3．资格审查结果</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14:paraId="7FD6010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3.1未通过资格审查的投标人，采购人、采购代理机构应当告知其未通过的原因。</w:t>
      </w:r>
    </w:p>
    <w:p w14:paraId="39DF2D4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3.2资格审查结束后，采购人、采购代理机构应将资格审查结果告知评标委员会。</w:t>
      </w:r>
    </w:p>
    <w:p w14:paraId="4364FF28">
      <w:pPr>
        <w:adjustRightInd w:val="0"/>
        <w:snapToGrid w:val="0"/>
        <w:spacing w:line="360" w:lineRule="auto"/>
        <w:ind w:firstLine="420" w:firstLineChars="200"/>
        <w:rPr>
          <w:rFonts w:ascii="华文中宋" w:hAnsi="华文中宋" w:eastAsia="华文中宋"/>
          <w:color w:val="auto"/>
        </w:rPr>
      </w:pPr>
      <w:r>
        <w:rPr>
          <w:rFonts w:ascii="华文中宋" w:hAnsi="华文中宋" w:eastAsia="华文中宋"/>
          <w:color w:val="auto"/>
        </w:rPr>
        <w:br w:type="page"/>
      </w:r>
      <w:bookmarkStart w:id="488" w:name="_Toc15888500"/>
    </w:p>
    <w:p w14:paraId="3A3CF9BF">
      <w:pPr>
        <w:adjustRightInd w:val="0"/>
        <w:snapToGrid w:val="0"/>
        <w:spacing w:line="360" w:lineRule="auto"/>
        <w:jc w:val="both"/>
        <w:rPr>
          <w:rFonts w:hint="eastAsia" w:ascii="黑体" w:hAnsi="黑体"/>
          <w:b/>
          <w:color w:val="auto"/>
          <w:szCs w:val="21"/>
          <w:lang w:val="en-US" w:eastAsia="zh-CN"/>
        </w:rPr>
      </w:pPr>
      <w:r>
        <w:rPr>
          <w:rFonts w:hint="eastAsia" w:ascii="黑体" w:hAnsi="黑体"/>
          <w:b/>
          <w:color w:val="auto"/>
          <w:szCs w:val="21"/>
        </w:rPr>
        <w:t>附表1</w:t>
      </w:r>
      <w:r>
        <w:rPr>
          <w:rFonts w:ascii="黑体" w:hAnsi="黑体"/>
          <w:b/>
          <w:color w:val="auto"/>
          <w:szCs w:val="21"/>
        </w:rPr>
        <w:t>资格审查表</w:t>
      </w:r>
      <w:bookmarkEnd w:id="488"/>
      <w:r>
        <w:rPr>
          <w:rFonts w:hint="eastAsia" w:ascii="黑体" w:hAnsi="黑体"/>
          <w:b/>
          <w:color w:val="auto"/>
          <w:szCs w:val="21"/>
          <w:lang w:val="en-US" w:eastAsia="zh-CN"/>
        </w:rPr>
        <w:t xml:space="preserve"> </w:t>
      </w:r>
    </w:p>
    <w:p w14:paraId="3C2DA8F7">
      <w:pPr>
        <w:adjustRightInd w:val="0"/>
        <w:snapToGrid w:val="0"/>
        <w:spacing w:line="360" w:lineRule="auto"/>
        <w:jc w:val="center"/>
        <w:rPr>
          <w:rFonts w:hint="eastAsia" w:ascii="黑体" w:hAnsi="黑体"/>
          <w:b/>
          <w:color w:val="auto"/>
          <w:szCs w:val="21"/>
          <w:lang w:val="en-US" w:eastAsia="zh-CN"/>
        </w:rPr>
      </w:pPr>
      <w:r>
        <w:rPr>
          <w:rFonts w:ascii="黑体" w:hAnsi="黑体"/>
          <w:b/>
          <w:color w:val="auto"/>
          <w:szCs w:val="21"/>
        </w:rPr>
        <w:t>资格审查表</w:t>
      </w:r>
    </w:p>
    <w:p w14:paraId="1D4A1518">
      <w:pPr>
        <w:adjustRightInd w:val="0"/>
        <w:snapToGrid w:val="0"/>
        <w:spacing w:line="360" w:lineRule="auto"/>
        <w:rPr>
          <w:rFonts w:ascii="黑体" w:hAnsi="黑体" w:eastAsia="黑体"/>
          <w:color w:val="auto"/>
          <w:sz w:val="28"/>
          <w:szCs w:val="28"/>
        </w:rPr>
      </w:pPr>
      <w:r>
        <w:rPr>
          <w:rFonts w:hint="eastAsia" w:ascii="宋体" w:hAnsi="宋体"/>
          <w:color w:val="auto"/>
          <w:szCs w:val="21"/>
        </w:rPr>
        <w:t>项目名称：</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 xml:space="preserve">                 政府采购计划编号：</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p>
    <w:tbl>
      <w:tblPr>
        <w:tblStyle w:val="47"/>
        <w:tblW w:w="9039"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2804"/>
        <w:gridCol w:w="5552"/>
      </w:tblGrid>
      <w:tr w14:paraId="5274A1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3" w:hRule="atLeast"/>
        </w:trPr>
        <w:tc>
          <w:tcPr>
            <w:tcW w:w="683" w:type="dxa"/>
            <w:noWrap w:val="0"/>
            <w:vAlign w:val="center"/>
          </w:tcPr>
          <w:p w14:paraId="08EEF397">
            <w:pPr>
              <w:pStyle w:val="147"/>
              <w:jc w:val="center"/>
              <w:rPr>
                <w:rFonts w:hint="eastAsia" w:ascii="宋体" w:hAnsi="宋体" w:eastAsia="宋体" w:cs="宋体"/>
                <w:color w:val="auto"/>
                <w:sz w:val="21"/>
                <w:szCs w:val="21"/>
              </w:rPr>
            </w:pPr>
            <w:r>
              <w:rPr>
                <w:rFonts w:hint="eastAsia" w:ascii="宋体" w:hAnsi="宋体" w:eastAsia="宋体" w:cs="宋体"/>
                <w:color w:val="auto"/>
                <w:sz w:val="21"/>
                <w:szCs w:val="21"/>
              </w:rPr>
              <w:t>序号</w:t>
            </w:r>
          </w:p>
        </w:tc>
        <w:tc>
          <w:tcPr>
            <w:tcW w:w="2804" w:type="dxa"/>
            <w:noWrap w:val="0"/>
            <w:vAlign w:val="center"/>
          </w:tcPr>
          <w:p w14:paraId="2660BC31">
            <w:pPr>
              <w:pStyle w:val="147"/>
              <w:jc w:val="center"/>
              <w:rPr>
                <w:rFonts w:hint="eastAsia" w:ascii="宋体" w:hAnsi="宋体" w:eastAsia="宋体" w:cs="宋体"/>
                <w:color w:val="auto"/>
                <w:sz w:val="21"/>
                <w:szCs w:val="21"/>
              </w:rPr>
            </w:pPr>
            <w:r>
              <w:rPr>
                <w:rFonts w:hint="eastAsia" w:ascii="宋体" w:hAnsi="宋体" w:eastAsia="宋体" w:cs="宋体"/>
                <w:color w:val="auto"/>
                <w:sz w:val="21"/>
                <w:szCs w:val="21"/>
              </w:rPr>
              <w:t>审查项目</w:t>
            </w:r>
          </w:p>
        </w:tc>
        <w:tc>
          <w:tcPr>
            <w:tcW w:w="5552" w:type="dxa"/>
            <w:noWrap w:val="0"/>
            <w:vAlign w:val="center"/>
          </w:tcPr>
          <w:p w14:paraId="78B3613F">
            <w:pPr>
              <w:pStyle w:val="147"/>
              <w:jc w:val="center"/>
              <w:rPr>
                <w:rFonts w:hint="eastAsia" w:ascii="宋体" w:hAnsi="宋体" w:eastAsia="宋体" w:cs="宋体"/>
                <w:color w:val="auto"/>
                <w:sz w:val="21"/>
                <w:szCs w:val="21"/>
              </w:rPr>
            </w:pPr>
            <w:r>
              <w:rPr>
                <w:rFonts w:hint="eastAsia" w:ascii="宋体" w:hAnsi="宋体" w:eastAsia="宋体" w:cs="宋体"/>
                <w:color w:val="auto"/>
                <w:sz w:val="21"/>
                <w:szCs w:val="21"/>
              </w:rPr>
              <w:t>审查标准</w:t>
            </w:r>
          </w:p>
        </w:tc>
      </w:tr>
      <w:tr w14:paraId="15FFA7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55A83475">
            <w:pPr>
              <w:pStyle w:val="147"/>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804" w:type="dxa"/>
            <w:noWrap w:val="0"/>
            <w:vAlign w:val="center"/>
          </w:tcPr>
          <w:p w14:paraId="52E44CA8">
            <w:pPr>
              <w:pStyle w:val="147"/>
              <w:rPr>
                <w:rFonts w:hint="eastAsia" w:ascii="宋体" w:hAnsi="宋体" w:eastAsia="宋体" w:cs="宋体"/>
                <w:color w:val="auto"/>
                <w:sz w:val="21"/>
                <w:szCs w:val="21"/>
              </w:rPr>
            </w:pPr>
            <w:r>
              <w:rPr>
                <w:rFonts w:hint="eastAsia" w:ascii="宋体" w:hAnsi="宋体" w:eastAsia="宋体" w:cs="宋体"/>
                <w:color w:val="auto"/>
                <w:sz w:val="21"/>
                <w:szCs w:val="21"/>
              </w:rPr>
              <w:t>法人营业执照</w:t>
            </w:r>
          </w:p>
        </w:tc>
        <w:tc>
          <w:tcPr>
            <w:tcW w:w="5552" w:type="dxa"/>
            <w:noWrap w:val="0"/>
            <w:vAlign w:val="center"/>
          </w:tcPr>
          <w:p w14:paraId="1D38E4F2">
            <w:pPr>
              <w:pStyle w:val="147"/>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法人提交企业法人营业执照副本(或者法人登记证书)扫描件；</w:t>
            </w:r>
          </w:p>
          <w:p w14:paraId="59AE050F">
            <w:pPr>
              <w:pStyle w:val="147"/>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注：已获取“统一社会信用代码”的“三证合一”、“五证合一”企业，无须再提供组织机构代码证及税务登记证。</w:t>
            </w:r>
          </w:p>
        </w:tc>
      </w:tr>
      <w:tr w14:paraId="1638E8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8" w:hRule="atLeast"/>
        </w:trPr>
        <w:tc>
          <w:tcPr>
            <w:tcW w:w="683" w:type="dxa"/>
            <w:noWrap w:val="0"/>
            <w:vAlign w:val="center"/>
          </w:tcPr>
          <w:p w14:paraId="749277F0">
            <w:pPr>
              <w:pStyle w:val="147"/>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2804" w:type="dxa"/>
            <w:noWrap w:val="0"/>
            <w:vAlign w:val="center"/>
          </w:tcPr>
          <w:p w14:paraId="6237731E">
            <w:pPr>
              <w:pStyle w:val="147"/>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法定代表</w:t>
            </w:r>
            <w:r>
              <w:rPr>
                <w:rFonts w:hint="eastAsia" w:ascii="宋体" w:hAnsi="宋体" w:eastAsia="宋体" w:cs="宋体"/>
                <w:color w:val="auto"/>
                <w:sz w:val="21"/>
                <w:szCs w:val="21"/>
                <w:lang w:eastAsia="zh-CN"/>
              </w:rPr>
              <w:t>人</w:t>
            </w:r>
            <w:r>
              <w:rPr>
                <w:rFonts w:hint="eastAsia" w:ascii="宋体" w:hAnsi="宋体" w:eastAsia="宋体" w:cs="宋体"/>
                <w:color w:val="auto"/>
                <w:sz w:val="21"/>
                <w:szCs w:val="21"/>
              </w:rPr>
              <w:t>或法人授权委托书</w:t>
            </w:r>
            <w:r>
              <w:rPr>
                <w:rFonts w:hint="eastAsia" w:ascii="宋体" w:hAnsi="宋体" w:eastAsia="宋体" w:cs="宋体"/>
                <w:color w:val="auto"/>
                <w:sz w:val="21"/>
                <w:szCs w:val="21"/>
                <w:lang w:eastAsia="zh-CN"/>
              </w:rPr>
              <w:t>扫描件</w:t>
            </w:r>
          </w:p>
        </w:tc>
        <w:tc>
          <w:tcPr>
            <w:tcW w:w="5552" w:type="dxa"/>
            <w:noWrap w:val="0"/>
            <w:vAlign w:val="center"/>
          </w:tcPr>
          <w:p w14:paraId="463A2020">
            <w:pPr>
              <w:pStyle w:val="147"/>
              <w:rPr>
                <w:rFonts w:hint="eastAsia" w:ascii="宋体" w:hAnsi="宋体" w:eastAsia="宋体" w:cs="宋体"/>
                <w:color w:val="auto"/>
                <w:sz w:val="21"/>
                <w:szCs w:val="21"/>
              </w:rPr>
            </w:pPr>
            <w:r>
              <w:rPr>
                <w:rFonts w:hint="eastAsia" w:ascii="宋体" w:hAnsi="宋体" w:eastAsia="宋体" w:cs="宋体"/>
                <w:color w:val="auto"/>
                <w:sz w:val="21"/>
                <w:szCs w:val="21"/>
              </w:rPr>
              <w:t>法人提交法定代表人（单位负责人）身份证明书</w:t>
            </w:r>
            <w:r>
              <w:rPr>
                <w:rFonts w:hint="eastAsia" w:ascii="宋体" w:hAnsi="宋体" w:eastAsia="宋体" w:cs="宋体"/>
                <w:color w:val="auto"/>
                <w:sz w:val="21"/>
                <w:szCs w:val="21"/>
                <w:lang w:eastAsia="zh-CN"/>
              </w:rPr>
              <w:t>扫描件</w:t>
            </w:r>
            <w:r>
              <w:rPr>
                <w:rFonts w:hint="eastAsia" w:ascii="宋体" w:hAnsi="宋体" w:eastAsia="宋体" w:cs="宋体"/>
                <w:color w:val="auto"/>
                <w:sz w:val="21"/>
                <w:szCs w:val="21"/>
              </w:rPr>
              <w:t>或者法定代表人（单位负责人）授权委托书</w:t>
            </w:r>
            <w:r>
              <w:rPr>
                <w:rFonts w:hint="eastAsia" w:ascii="宋体" w:hAnsi="宋体" w:eastAsia="宋体" w:cs="宋体"/>
                <w:color w:val="auto"/>
                <w:sz w:val="21"/>
                <w:szCs w:val="21"/>
                <w:lang w:eastAsia="zh-CN"/>
              </w:rPr>
              <w:t>扫描件</w:t>
            </w:r>
            <w:r>
              <w:rPr>
                <w:rFonts w:hint="eastAsia" w:ascii="宋体" w:hAnsi="宋体" w:eastAsia="宋体" w:cs="宋体"/>
                <w:color w:val="auto"/>
                <w:sz w:val="21"/>
                <w:szCs w:val="21"/>
              </w:rPr>
              <w:t>并附法定代表人（单位负责人）身份证明</w:t>
            </w:r>
            <w:r>
              <w:rPr>
                <w:rFonts w:hint="eastAsia" w:ascii="宋体" w:hAnsi="宋体" w:eastAsia="宋体" w:cs="宋体"/>
                <w:color w:val="auto"/>
                <w:sz w:val="21"/>
                <w:szCs w:val="21"/>
                <w:lang w:eastAsia="zh-CN"/>
              </w:rPr>
              <w:t>扫描件</w:t>
            </w:r>
            <w:r>
              <w:rPr>
                <w:rFonts w:hint="eastAsia" w:ascii="宋体" w:hAnsi="宋体" w:eastAsia="宋体" w:cs="宋体"/>
                <w:color w:val="auto"/>
                <w:sz w:val="21"/>
                <w:szCs w:val="21"/>
              </w:rPr>
              <w:t>和被授权代理人有效身份证件</w:t>
            </w:r>
            <w:r>
              <w:rPr>
                <w:rFonts w:hint="eastAsia" w:ascii="宋体" w:hAnsi="宋体" w:eastAsia="宋体" w:cs="宋体"/>
                <w:color w:val="auto"/>
                <w:sz w:val="21"/>
                <w:szCs w:val="21"/>
                <w:lang w:eastAsia="zh-CN"/>
              </w:rPr>
              <w:t>扫描件。</w:t>
            </w:r>
            <w:r>
              <w:rPr>
                <w:rFonts w:hint="eastAsia" w:ascii="宋体" w:hAnsi="宋体" w:eastAsia="宋体" w:cs="宋体"/>
                <w:color w:val="auto"/>
                <w:sz w:val="21"/>
                <w:szCs w:val="21"/>
              </w:rPr>
              <w:t xml:space="preserve">  </w:t>
            </w:r>
          </w:p>
        </w:tc>
      </w:tr>
      <w:tr w14:paraId="132D4B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87" w:hRule="atLeast"/>
        </w:trPr>
        <w:tc>
          <w:tcPr>
            <w:tcW w:w="683" w:type="dxa"/>
            <w:noWrap w:val="0"/>
            <w:vAlign w:val="center"/>
          </w:tcPr>
          <w:p w14:paraId="276CA2D5">
            <w:pPr>
              <w:pStyle w:val="147"/>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2804" w:type="dxa"/>
            <w:noWrap w:val="0"/>
            <w:vAlign w:val="center"/>
          </w:tcPr>
          <w:p w14:paraId="50CC7ACE">
            <w:pPr>
              <w:pStyle w:val="147"/>
              <w:rPr>
                <w:rFonts w:hint="eastAsia" w:ascii="宋体" w:hAnsi="宋体" w:eastAsia="宋体" w:cs="宋体"/>
                <w:color w:val="auto"/>
                <w:sz w:val="21"/>
                <w:szCs w:val="21"/>
              </w:rPr>
            </w:pPr>
            <w:r>
              <w:rPr>
                <w:rFonts w:hint="eastAsia" w:ascii="宋体" w:hAnsi="宋体" w:eastAsia="宋体" w:cs="宋体"/>
                <w:color w:val="auto"/>
                <w:sz w:val="21"/>
                <w:szCs w:val="21"/>
              </w:rPr>
              <w:t>财务状况报告、依法缴纳税收、依法缴纳社会保障资金、具备履行合同所必需的设备和专业技术能力的书面承诺</w:t>
            </w:r>
          </w:p>
        </w:tc>
        <w:tc>
          <w:tcPr>
            <w:tcW w:w="5552" w:type="dxa"/>
            <w:noWrap w:val="0"/>
            <w:vAlign w:val="center"/>
          </w:tcPr>
          <w:p w14:paraId="5ACD6B5F">
            <w:pPr>
              <w:pStyle w:val="147"/>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提供湖南省政府采购供应商资格承诺函等证明材料</w:t>
            </w:r>
            <w:r>
              <w:rPr>
                <w:rFonts w:hint="eastAsia" w:ascii="宋体" w:hAnsi="宋体" w:eastAsia="宋体" w:cs="宋体"/>
                <w:color w:val="auto"/>
                <w:sz w:val="21"/>
                <w:szCs w:val="21"/>
                <w:lang w:eastAsia="zh-CN"/>
              </w:rPr>
              <w:t>。</w:t>
            </w:r>
          </w:p>
        </w:tc>
      </w:tr>
      <w:tr w14:paraId="46AF8F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43" w:hRule="atLeast"/>
        </w:trPr>
        <w:tc>
          <w:tcPr>
            <w:tcW w:w="683" w:type="dxa"/>
            <w:noWrap w:val="0"/>
            <w:vAlign w:val="center"/>
          </w:tcPr>
          <w:p w14:paraId="705E8AE5">
            <w:pPr>
              <w:pStyle w:val="147"/>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2804" w:type="dxa"/>
            <w:noWrap w:val="0"/>
            <w:vAlign w:val="center"/>
          </w:tcPr>
          <w:p w14:paraId="01EA54B4">
            <w:pPr>
              <w:pStyle w:val="147"/>
              <w:rPr>
                <w:rFonts w:hint="eastAsia" w:ascii="宋体" w:hAnsi="宋体" w:eastAsia="宋体" w:cs="宋体"/>
                <w:color w:val="auto"/>
                <w:sz w:val="21"/>
                <w:szCs w:val="21"/>
              </w:rPr>
            </w:pPr>
            <w:r>
              <w:rPr>
                <w:rFonts w:hint="eastAsia" w:ascii="宋体" w:hAnsi="宋体" w:eastAsia="宋体" w:cs="宋体"/>
                <w:color w:val="auto"/>
                <w:sz w:val="21"/>
                <w:szCs w:val="21"/>
              </w:rPr>
              <w:t>供应商特定资格要求</w:t>
            </w:r>
            <w:r>
              <w:rPr>
                <w:rFonts w:hint="eastAsia" w:ascii="宋体" w:hAnsi="宋体" w:eastAsia="宋体" w:cs="宋体"/>
                <w:color w:val="auto"/>
                <w:sz w:val="21"/>
                <w:szCs w:val="21"/>
                <w:lang w:val="en-US" w:eastAsia="zh-CN"/>
              </w:rPr>
              <w:t>（如有）</w:t>
            </w:r>
          </w:p>
        </w:tc>
        <w:tc>
          <w:tcPr>
            <w:tcW w:w="5552" w:type="dxa"/>
            <w:noWrap w:val="0"/>
            <w:vAlign w:val="center"/>
          </w:tcPr>
          <w:p w14:paraId="72E68A3A">
            <w:pPr>
              <w:pStyle w:val="147"/>
              <w:rPr>
                <w:rFonts w:hint="eastAsia" w:ascii="宋体" w:hAnsi="宋体" w:eastAsia="宋体" w:cs="宋体"/>
                <w:color w:val="auto"/>
                <w:sz w:val="21"/>
                <w:szCs w:val="21"/>
              </w:rPr>
            </w:pPr>
            <w:r>
              <w:rPr>
                <w:rFonts w:hint="eastAsia" w:ascii="宋体" w:hAnsi="宋体" w:eastAsia="宋体" w:cs="宋体"/>
                <w:color w:val="auto"/>
                <w:sz w:val="21"/>
                <w:szCs w:val="21"/>
              </w:rPr>
              <w:t>提供符合招标文件第一章中“采购项目的特定资格条件”要求的证明材料。</w:t>
            </w:r>
          </w:p>
        </w:tc>
      </w:tr>
      <w:tr w14:paraId="0BDCFE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87" w:hRule="atLeast"/>
        </w:trPr>
        <w:tc>
          <w:tcPr>
            <w:tcW w:w="683" w:type="dxa"/>
            <w:noWrap w:val="0"/>
            <w:vAlign w:val="center"/>
          </w:tcPr>
          <w:p w14:paraId="2324E0A6">
            <w:pPr>
              <w:pStyle w:val="147"/>
              <w:jc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2804" w:type="dxa"/>
            <w:noWrap w:val="0"/>
            <w:vAlign w:val="center"/>
          </w:tcPr>
          <w:p w14:paraId="245378B6">
            <w:pPr>
              <w:pStyle w:val="147"/>
              <w:rPr>
                <w:rFonts w:hint="eastAsia" w:ascii="宋体" w:hAnsi="宋体" w:eastAsia="宋体" w:cs="宋体"/>
                <w:color w:val="auto"/>
                <w:sz w:val="21"/>
                <w:szCs w:val="21"/>
              </w:rPr>
            </w:pPr>
            <w:r>
              <w:rPr>
                <w:rFonts w:hint="eastAsia" w:ascii="宋体" w:hAnsi="宋体" w:eastAsia="宋体" w:cs="宋体"/>
                <w:color w:val="auto"/>
                <w:sz w:val="21"/>
                <w:szCs w:val="21"/>
              </w:rPr>
              <w:t>单位负责人为同一人或者存在直接控股、管理关系的不同投标人，不得参加本项目同一合同项下的政府采购活动的书面承诺</w:t>
            </w:r>
          </w:p>
        </w:tc>
        <w:tc>
          <w:tcPr>
            <w:tcW w:w="5552" w:type="dxa"/>
            <w:noWrap w:val="0"/>
            <w:vAlign w:val="center"/>
          </w:tcPr>
          <w:p w14:paraId="1F7C6D51">
            <w:pPr>
              <w:pStyle w:val="147"/>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提供单位负责人为同一人或者存在直接控股、管理关系的不同投标人，不得参加本项目同一合同项下的政府采购活动的书面承诺；（提供投标人资格声明）</w:t>
            </w:r>
            <w:r>
              <w:rPr>
                <w:rFonts w:hint="eastAsia" w:ascii="宋体" w:hAnsi="宋体" w:eastAsia="宋体" w:cs="宋体"/>
                <w:color w:val="auto"/>
                <w:sz w:val="21"/>
                <w:szCs w:val="21"/>
                <w:lang w:eastAsia="zh-CN"/>
              </w:rPr>
              <w:t>。</w:t>
            </w:r>
          </w:p>
        </w:tc>
      </w:tr>
      <w:tr w14:paraId="667A9D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5" w:hRule="atLeast"/>
        </w:trPr>
        <w:tc>
          <w:tcPr>
            <w:tcW w:w="683" w:type="dxa"/>
            <w:noWrap w:val="0"/>
            <w:vAlign w:val="center"/>
          </w:tcPr>
          <w:p w14:paraId="4DF6AC8B">
            <w:pPr>
              <w:pStyle w:val="147"/>
              <w:jc w:val="center"/>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2804" w:type="dxa"/>
            <w:noWrap w:val="0"/>
            <w:vAlign w:val="center"/>
          </w:tcPr>
          <w:p w14:paraId="2B8BF780">
            <w:pPr>
              <w:pStyle w:val="147"/>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无重大违法记录</w:t>
            </w:r>
          </w:p>
        </w:tc>
        <w:tc>
          <w:tcPr>
            <w:tcW w:w="5552" w:type="dxa"/>
            <w:noWrap w:val="0"/>
            <w:vAlign w:val="center"/>
          </w:tcPr>
          <w:p w14:paraId="237B00A6">
            <w:pPr>
              <w:pStyle w:val="147"/>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提供参加政府采购活动前三年内，在经营活动中没有重大违法记录声明；（提供投标人资格声明）</w:t>
            </w:r>
            <w:r>
              <w:rPr>
                <w:rFonts w:hint="eastAsia" w:ascii="宋体" w:hAnsi="宋体" w:eastAsia="宋体" w:cs="宋体"/>
                <w:color w:val="auto"/>
                <w:sz w:val="21"/>
                <w:szCs w:val="21"/>
                <w:lang w:eastAsia="zh-CN"/>
              </w:rPr>
              <w:t>。</w:t>
            </w:r>
          </w:p>
        </w:tc>
      </w:tr>
      <w:tr w14:paraId="0F1A6F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683" w:type="dxa"/>
            <w:noWrap w:val="0"/>
            <w:vAlign w:val="center"/>
          </w:tcPr>
          <w:p w14:paraId="2DC48265">
            <w:pPr>
              <w:pStyle w:val="147"/>
              <w:jc w:val="center"/>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2804" w:type="dxa"/>
            <w:noWrap w:val="0"/>
            <w:vAlign w:val="center"/>
          </w:tcPr>
          <w:p w14:paraId="460DE5B3">
            <w:pPr>
              <w:pStyle w:val="147"/>
              <w:rPr>
                <w:rFonts w:hint="eastAsia" w:ascii="宋体" w:hAnsi="宋体" w:eastAsia="宋体" w:cs="宋体"/>
                <w:color w:val="auto"/>
                <w:sz w:val="21"/>
                <w:szCs w:val="21"/>
              </w:rPr>
            </w:pPr>
            <w:r>
              <w:rPr>
                <w:rFonts w:hint="eastAsia" w:ascii="宋体" w:hAnsi="宋体" w:eastAsia="宋体" w:cs="宋体"/>
                <w:color w:val="auto"/>
                <w:sz w:val="21"/>
                <w:szCs w:val="21"/>
              </w:rPr>
              <w:t>投标报价</w:t>
            </w:r>
          </w:p>
        </w:tc>
        <w:tc>
          <w:tcPr>
            <w:tcW w:w="5552" w:type="dxa"/>
            <w:noWrap w:val="0"/>
            <w:vAlign w:val="center"/>
          </w:tcPr>
          <w:p w14:paraId="140A08AC">
            <w:pPr>
              <w:pStyle w:val="147"/>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报价不得超过招标文件中规定的预算金额和最高限价的</w:t>
            </w:r>
            <w:r>
              <w:rPr>
                <w:rFonts w:hint="eastAsia" w:ascii="宋体" w:hAnsi="宋体" w:eastAsia="宋体" w:cs="宋体"/>
                <w:color w:val="auto"/>
                <w:sz w:val="21"/>
                <w:szCs w:val="21"/>
                <w:lang w:eastAsia="zh-CN"/>
              </w:rPr>
              <w:t>。</w:t>
            </w:r>
          </w:p>
        </w:tc>
      </w:tr>
      <w:tr w14:paraId="6A6280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05" w:hRule="atLeast"/>
        </w:trPr>
        <w:tc>
          <w:tcPr>
            <w:tcW w:w="683" w:type="dxa"/>
            <w:noWrap w:val="0"/>
            <w:vAlign w:val="center"/>
          </w:tcPr>
          <w:p w14:paraId="74BCA68D">
            <w:pPr>
              <w:pStyle w:val="147"/>
              <w:jc w:val="center"/>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2804" w:type="dxa"/>
            <w:noWrap w:val="0"/>
            <w:vAlign w:val="center"/>
          </w:tcPr>
          <w:p w14:paraId="1B74764D">
            <w:pPr>
              <w:pStyle w:val="147"/>
              <w:rPr>
                <w:rFonts w:hint="eastAsia" w:ascii="宋体" w:hAnsi="宋体" w:eastAsia="宋体" w:cs="宋体"/>
                <w:color w:val="auto"/>
                <w:sz w:val="21"/>
                <w:szCs w:val="21"/>
              </w:rPr>
            </w:pPr>
            <w:r>
              <w:rPr>
                <w:rFonts w:hint="eastAsia" w:ascii="宋体" w:hAnsi="宋体" w:eastAsia="宋体" w:cs="宋体"/>
                <w:color w:val="auto"/>
                <w:sz w:val="21"/>
                <w:szCs w:val="21"/>
              </w:rPr>
              <w:t>信用记录查询情况</w:t>
            </w:r>
          </w:p>
        </w:tc>
        <w:tc>
          <w:tcPr>
            <w:tcW w:w="5552" w:type="dxa"/>
            <w:noWrap w:val="0"/>
            <w:vAlign w:val="center"/>
          </w:tcPr>
          <w:p w14:paraId="15FE6A77">
            <w:pPr>
              <w:pStyle w:val="147"/>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投标人提供招标公告之日起通过“信用中国”网站（www.creditchina.gov.cn）或中国政府采购网（www.ccgp.gov.cn）查询的信用记录网上打印件或截图，应包括网站网址、查询内容、查询时间</w:t>
            </w:r>
            <w:r>
              <w:rPr>
                <w:rFonts w:hint="eastAsia" w:ascii="宋体" w:hAnsi="宋体" w:eastAsia="宋体" w:cs="宋体"/>
                <w:color w:val="auto"/>
                <w:sz w:val="21"/>
                <w:szCs w:val="21"/>
                <w:lang w:eastAsia="zh-CN"/>
              </w:rPr>
              <w:t>。</w:t>
            </w:r>
          </w:p>
        </w:tc>
      </w:tr>
      <w:tr w14:paraId="0DD301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trPr>
        <w:tc>
          <w:tcPr>
            <w:tcW w:w="683" w:type="dxa"/>
            <w:noWrap w:val="0"/>
            <w:vAlign w:val="center"/>
          </w:tcPr>
          <w:p w14:paraId="79A08A37">
            <w:pPr>
              <w:pStyle w:val="147"/>
              <w:jc w:val="center"/>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2804" w:type="dxa"/>
            <w:noWrap w:val="0"/>
            <w:vAlign w:val="center"/>
          </w:tcPr>
          <w:p w14:paraId="09402AA4">
            <w:pPr>
              <w:pStyle w:val="147"/>
              <w:rPr>
                <w:rFonts w:hint="eastAsia" w:ascii="宋体" w:hAnsi="宋体" w:eastAsia="宋体" w:cs="宋体"/>
                <w:color w:val="auto"/>
                <w:sz w:val="21"/>
                <w:szCs w:val="21"/>
              </w:rPr>
            </w:pPr>
            <w:r>
              <w:rPr>
                <w:rFonts w:hint="eastAsia" w:ascii="宋体" w:hAnsi="宋体" w:eastAsia="宋体" w:cs="宋体"/>
                <w:color w:val="auto"/>
                <w:sz w:val="21"/>
                <w:szCs w:val="21"/>
              </w:rPr>
              <w:t>投标响应文件的签署、盖章</w:t>
            </w:r>
          </w:p>
        </w:tc>
        <w:tc>
          <w:tcPr>
            <w:tcW w:w="5552" w:type="dxa"/>
            <w:noWrap w:val="0"/>
            <w:vAlign w:val="center"/>
          </w:tcPr>
          <w:p w14:paraId="4F5B1FDC">
            <w:pPr>
              <w:pStyle w:val="147"/>
              <w:rPr>
                <w:rFonts w:hint="eastAsia" w:ascii="宋体" w:hAnsi="宋体" w:eastAsia="宋体" w:cs="宋体"/>
                <w:color w:val="auto"/>
                <w:sz w:val="21"/>
                <w:szCs w:val="21"/>
                <w:lang w:eastAsia="zh-CN"/>
              </w:rPr>
            </w:pPr>
            <w:r>
              <w:rPr>
                <w:rFonts w:hint="eastAsia" w:ascii="宋体" w:hAnsi="宋体" w:eastAsia="宋体" w:cs="宋体"/>
                <w:color w:val="auto"/>
                <w:sz w:val="21"/>
                <w:szCs w:val="21"/>
              </w:rPr>
              <w:t>资格审查响应文件是否按招标要求签字、盖章</w:t>
            </w:r>
            <w:r>
              <w:rPr>
                <w:rFonts w:hint="eastAsia" w:ascii="宋体" w:hAnsi="宋体" w:eastAsia="宋体" w:cs="宋体"/>
                <w:color w:val="auto"/>
                <w:sz w:val="21"/>
                <w:szCs w:val="21"/>
                <w:lang w:eastAsia="zh-CN"/>
              </w:rPr>
              <w:t>。</w:t>
            </w:r>
          </w:p>
        </w:tc>
      </w:tr>
      <w:tr w14:paraId="0B8E06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3" w:hRule="atLeast"/>
        </w:trPr>
        <w:tc>
          <w:tcPr>
            <w:tcW w:w="683" w:type="dxa"/>
            <w:noWrap w:val="0"/>
            <w:vAlign w:val="center"/>
          </w:tcPr>
          <w:p w14:paraId="3B36D18E">
            <w:pPr>
              <w:pStyle w:val="147"/>
              <w:jc w:val="center"/>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eastAsia="zh-CN"/>
              </w:rPr>
              <w:t>10</w:t>
            </w:r>
          </w:p>
        </w:tc>
        <w:tc>
          <w:tcPr>
            <w:tcW w:w="2804" w:type="dxa"/>
            <w:noWrap w:val="0"/>
            <w:vAlign w:val="center"/>
          </w:tcPr>
          <w:p w14:paraId="06F92C6F">
            <w:pPr>
              <w:pStyle w:val="147"/>
              <w:rPr>
                <w:rFonts w:hint="eastAsia" w:ascii="宋体" w:hAnsi="宋体" w:eastAsia="宋体" w:cs="宋体"/>
                <w:color w:val="auto"/>
                <w:sz w:val="21"/>
                <w:szCs w:val="21"/>
              </w:rPr>
            </w:pPr>
            <w:r>
              <w:rPr>
                <w:rFonts w:hint="eastAsia" w:ascii="宋体" w:hAnsi="宋体" w:eastAsia="宋体" w:cs="宋体"/>
                <w:color w:val="auto"/>
                <w:sz w:val="21"/>
                <w:szCs w:val="21"/>
              </w:rPr>
              <w:t>其它</w:t>
            </w:r>
          </w:p>
        </w:tc>
        <w:tc>
          <w:tcPr>
            <w:tcW w:w="5552" w:type="dxa"/>
            <w:noWrap w:val="0"/>
            <w:vAlign w:val="center"/>
          </w:tcPr>
          <w:p w14:paraId="0AAC633F">
            <w:pPr>
              <w:pStyle w:val="147"/>
              <w:rPr>
                <w:rFonts w:hint="eastAsia" w:ascii="宋体" w:hAnsi="宋体" w:eastAsia="宋体" w:cs="宋体"/>
                <w:color w:val="auto"/>
                <w:sz w:val="21"/>
                <w:szCs w:val="21"/>
              </w:rPr>
            </w:pPr>
            <w:r>
              <w:rPr>
                <w:rFonts w:hint="eastAsia" w:ascii="宋体" w:hAnsi="宋体" w:eastAsia="宋体" w:cs="宋体"/>
                <w:color w:val="auto"/>
                <w:sz w:val="21"/>
                <w:szCs w:val="21"/>
              </w:rPr>
              <w:t>法律、法规和招标文件规定的其他投标无效情形</w:t>
            </w:r>
            <w:r>
              <w:rPr>
                <w:rFonts w:hint="eastAsia" w:ascii="宋体" w:hAnsi="宋体" w:eastAsia="宋体" w:cs="宋体"/>
                <w:color w:val="auto"/>
                <w:sz w:val="21"/>
                <w:szCs w:val="21"/>
                <w:lang w:eastAsia="zh-CN"/>
              </w:rPr>
              <w:t>。</w:t>
            </w:r>
          </w:p>
        </w:tc>
      </w:tr>
      <w:tr w14:paraId="2B2793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92" w:hRule="atLeast"/>
        </w:trPr>
        <w:tc>
          <w:tcPr>
            <w:tcW w:w="683" w:type="dxa"/>
            <w:noWrap w:val="0"/>
            <w:vAlign w:val="center"/>
          </w:tcPr>
          <w:p w14:paraId="477C1F5F">
            <w:pPr>
              <w:pStyle w:val="147"/>
              <w:rPr>
                <w:rFonts w:hint="eastAsia" w:ascii="宋体" w:hAnsi="宋体" w:eastAsia="宋体" w:cs="宋体"/>
                <w:color w:val="auto"/>
                <w:sz w:val="21"/>
                <w:szCs w:val="21"/>
              </w:rPr>
            </w:pPr>
            <w:r>
              <w:rPr>
                <w:rFonts w:hint="eastAsia" w:ascii="宋体" w:hAnsi="宋体" w:eastAsia="宋体" w:cs="宋体"/>
                <w:color w:val="auto"/>
                <w:sz w:val="21"/>
                <w:szCs w:val="21"/>
              </w:rPr>
              <w:t>结论</w:t>
            </w:r>
          </w:p>
        </w:tc>
        <w:tc>
          <w:tcPr>
            <w:tcW w:w="8356" w:type="dxa"/>
            <w:gridSpan w:val="2"/>
            <w:noWrap w:val="0"/>
            <w:vAlign w:val="center"/>
          </w:tcPr>
          <w:p w14:paraId="0A915041">
            <w:pPr>
              <w:pStyle w:val="147"/>
              <w:rPr>
                <w:rFonts w:hint="eastAsia" w:ascii="宋体" w:hAnsi="宋体" w:eastAsia="宋体" w:cs="宋体"/>
                <w:color w:val="auto"/>
                <w:sz w:val="21"/>
                <w:szCs w:val="21"/>
              </w:rPr>
            </w:pPr>
          </w:p>
        </w:tc>
      </w:tr>
    </w:tbl>
    <w:p w14:paraId="2C97924D">
      <w:pPr>
        <w:widowControl/>
        <w:jc w:val="left"/>
        <w:rPr>
          <w:rFonts w:ascii="黑体" w:hAnsi="黑体" w:eastAsia="黑体"/>
          <w:bCs/>
          <w:color w:val="auto"/>
          <w:szCs w:val="21"/>
        </w:rPr>
      </w:pPr>
      <w:r>
        <w:rPr>
          <w:rFonts w:ascii="黑体" w:hAnsi="黑体"/>
          <w:b/>
          <w:color w:val="auto"/>
          <w:szCs w:val="21"/>
        </w:rPr>
        <w:br w:type="page"/>
      </w:r>
    </w:p>
    <w:p w14:paraId="048EBBB0">
      <w:pPr>
        <w:pStyle w:val="6"/>
        <w:adjustRightInd w:val="0"/>
        <w:snapToGrid w:val="0"/>
        <w:spacing w:before="0" w:after="0" w:line="360" w:lineRule="auto"/>
        <w:rPr>
          <w:rFonts w:ascii="黑体" w:hAnsi="黑体"/>
          <w:b w:val="0"/>
          <w:color w:val="auto"/>
          <w:sz w:val="21"/>
          <w:szCs w:val="21"/>
        </w:rPr>
      </w:pPr>
      <w:bookmarkStart w:id="489" w:name="_Toc75289243"/>
      <w:bookmarkStart w:id="490" w:name="_Toc15888501"/>
      <w:r>
        <w:rPr>
          <w:rFonts w:hint="eastAsia" w:ascii="黑体" w:hAnsi="黑体"/>
          <w:b w:val="0"/>
          <w:color w:val="auto"/>
          <w:sz w:val="21"/>
          <w:szCs w:val="21"/>
        </w:rPr>
        <w:t>附表2 资格审查结果一览表</w:t>
      </w:r>
      <w:bookmarkEnd w:id="489"/>
      <w:bookmarkEnd w:id="490"/>
    </w:p>
    <w:p w14:paraId="782334D9">
      <w:pPr>
        <w:pStyle w:val="4"/>
        <w:jc w:val="center"/>
        <w:rPr>
          <w:rFonts w:ascii="黑体" w:hAnsi="黑体" w:eastAsia="黑体"/>
          <w:b w:val="0"/>
          <w:color w:val="auto"/>
          <w:sz w:val="28"/>
          <w:szCs w:val="28"/>
        </w:rPr>
      </w:pPr>
      <w:bookmarkStart w:id="491" w:name="_Toc1770"/>
      <w:bookmarkStart w:id="492" w:name="_Toc112704949"/>
      <w:bookmarkStart w:id="493" w:name="_Toc25986"/>
      <w:bookmarkStart w:id="494" w:name="_Toc27760"/>
      <w:bookmarkStart w:id="495" w:name="_Toc1046"/>
      <w:bookmarkStart w:id="496" w:name="_Toc78449972"/>
      <w:bookmarkStart w:id="497" w:name="_Toc78314279"/>
      <w:bookmarkStart w:id="498" w:name="_Toc108341954"/>
      <w:bookmarkStart w:id="499" w:name="_Toc3070"/>
      <w:bookmarkStart w:id="500" w:name="_Toc117192464"/>
      <w:bookmarkStart w:id="501" w:name="_Toc95601382"/>
      <w:bookmarkStart w:id="502" w:name="_Toc23350"/>
      <w:bookmarkStart w:id="503" w:name="_Toc85972947"/>
      <w:bookmarkStart w:id="504" w:name="_Toc114036728"/>
      <w:bookmarkStart w:id="505" w:name="_Toc9892"/>
      <w:bookmarkStart w:id="506" w:name="_Toc100670438"/>
      <w:bookmarkStart w:id="507" w:name="_Toc94367897"/>
      <w:bookmarkStart w:id="508" w:name="_Toc75289565"/>
      <w:bookmarkStart w:id="509" w:name="_Toc171273687"/>
      <w:bookmarkStart w:id="510" w:name="_Toc192951229"/>
      <w:bookmarkStart w:id="511" w:name="_Toc154428406"/>
      <w:bookmarkStart w:id="512" w:name="_Toc29993"/>
      <w:bookmarkStart w:id="513" w:name="_Toc192949619"/>
      <w:bookmarkStart w:id="514" w:name="_Toc192949718"/>
      <w:bookmarkStart w:id="515" w:name="_Toc77676483"/>
      <w:bookmarkStart w:id="516" w:name="_Toc75289244"/>
      <w:bookmarkStart w:id="517" w:name="_Toc77199416"/>
      <w:bookmarkStart w:id="518" w:name="_Toc139"/>
      <w:bookmarkStart w:id="519" w:name="_Toc100670685"/>
      <w:r>
        <w:rPr>
          <w:rFonts w:hint="eastAsia" w:ascii="黑体" w:hAnsi="黑体" w:eastAsia="黑体"/>
          <w:b w:val="0"/>
          <w:color w:val="auto"/>
          <w:sz w:val="28"/>
          <w:szCs w:val="28"/>
        </w:rPr>
        <w:t>资格审查结果一览表</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37E4B04B">
      <w:pPr>
        <w:adjustRightInd w:val="0"/>
        <w:snapToGrid w:val="0"/>
        <w:spacing w:line="360" w:lineRule="auto"/>
        <w:rPr>
          <w:rFonts w:ascii="宋体" w:hAnsi="宋体"/>
          <w:color w:val="auto"/>
          <w:szCs w:val="21"/>
        </w:rPr>
      </w:pPr>
      <w:r>
        <w:rPr>
          <w:rFonts w:hint="eastAsia" w:ascii="宋体" w:hAnsi="宋体"/>
          <w:color w:val="auto"/>
          <w:szCs w:val="21"/>
        </w:rPr>
        <w:t>项目名称：                                           政府采购计划编号：</w:t>
      </w:r>
    </w:p>
    <w:tbl>
      <w:tblPr>
        <w:tblStyle w:val="47"/>
        <w:tblW w:w="874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642"/>
      </w:tblGrid>
      <w:tr w14:paraId="233588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jc w:val="center"/>
        </w:trPr>
        <w:tc>
          <w:tcPr>
            <w:tcW w:w="697" w:type="dxa"/>
            <w:vAlign w:val="center"/>
          </w:tcPr>
          <w:p w14:paraId="1F5DD2EA">
            <w:pPr>
              <w:jc w:val="center"/>
              <w:rPr>
                <w:rFonts w:ascii="宋体" w:hAnsi="宋体"/>
                <w:b/>
                <w:color w:val="auto"/>
                <w:kern w:val="0"/>
                <w:szCs w:val="21"/>
              </w:rPr>
            </w:pPr>
            <w:r>
              <w:rPr>
                <w:rFonts w:hint="eastAsia" w:ascii="宋体" w:hAnsi="宋体"/>
                <w:b/>
                <w:color w:val="auto"/>
                <w:kern w:val="0"/>
                <w:szCs w:val="21"/>
              </w:rPr>
              <w:t>序号</w:t>
            </w:r>
          </w:p>
        </w:tc>
        <w:tc>
          <w:tcPr>
            <w:tcW w:w="2963" w:type="dxa"/>
            <w:vAlign w:val="center"/>
          </w:tcPr>
          <w:p w14:paraId="3FEFE692">
            <w:pPr>
              <w:jc w:val="center"/>
              <w:rPr>
                <w:rFonts w:ascii="宋体" w:hAnsi="宋体"/>
                <w:b/>
                <w:color w:val="auto"/>
                <w:kern w:val="0"/>
                <w:szCs w:val="21"/>
              </w:rPr>
            </w:pPr>
            <w:r>
              <w:rPr>
                <w:rFonts w:hint="eastAsia" w:ascii="宋体" w:hAnsi="宋体"/>
                <w:b/>
                <w:color w:val="auto"/>
                <w:kern w:val="0"/>
                <w:szCs w:val="21"/>
              </w:rPr>
              <w:t>投标人名称</w:t>
            </w:r>
          </w:p>
        </w:tc>
        <w:tc>
          <w:tcPr>
            <w:tcW w:w="2439" w:type="dxa"/>
            <w:vAlign w:val="center"/>
          </w:tcPr>
          <w:p w14:paraId="422C2A0B">
            <w:pPr>
              <w:jc w:val="center"/>
              <w:rPr>
                <w:rFonts w:ascii="宋体" w:hAnsi="宋体"/>
                <w:b/>
                <w:color w:val="auto"/>
                <w:kern w:val="0"/>
                <w:szCs w:val="21"/>
              </w:rPr>
            </w:pPr>
            <w:r>
              <w:rPr>
                <w:rFonts w:hint="eastAsia" w:ascii="宋体" w:hAnsi="宋体"/>
                <w:b/>
                <w:color w:val="auto"/>
                <w:kern w:val="0"/>
                <w:szCs w:val="21"/>
              </w:rPr>
              <w:t>资格审查结果</w:t>
            </w:r>
          </w:p>
          <w:p w14:paraId="3B3F93FE">
            <w:pPr>
              <w:jc w:val="center"/>
              <w:rPr>
                <w:rFonts w:ascii="宋体" w:hAnsi="宋体"/>
                <w:b/>
                <w:color w:val="auto"/>
                <w:kern w:val="0"/>
                <w:szCs w:val="21"/>
              </w:rPr>
            </w:pPr>
            <w:r>
              <w:rPr>
                <w:rFonts w:hint="eastAsia" w:ascii="宋体" w:hAnsi="宋体"/>
                <w:b/>
                <w:color w:val="auto"/>
                <w:kern w:val="0"/>
                <w:szCs w:val="21"/>
              </w:rPr>
              <w:t>（合格/不合格）</w:t>
            </w:r>
          </w:p>
        </w:tc>
        <w:tc>
          <w:tcPr>
            <w:tcW w:w="2642" w:type="dxa"/>
            <w:vAlign w:val="center"/>
          </w:tcPr>
          <w:p w14:paraId="43D390D3">
            <w:pPr>
              <w:jc w:val="center"/>
              <w:rPr>
                <w:rFonts w:ascii="宋体" w:hAnsi="宋体"/>
                <w:b/>
                <w:color w:val="auto"/>
                <w:kern w:val="0"/>
                <w:szCs w:val="21"/>
              </w:rPr>
            </w:pPr>
            <w:r>
              <w:rPr>
                <w:rFonts w:hint="eastAsia" w:ascii="宋体" w:hAnsi="宋体"/>
                <w:b/>
                <w:color w:val="auto"/>
                <w:kern w:val="0"/>
                <w:szCs w:val="21"/>
              </w:rPr>
              <w:t>资格审查不合格原因</w:t>
            </w:r>
          </w:p>
        </w:tc>
      </w:tr>
      <w:tr w14:paraId="6AA484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1F0B9821">
            <w:pPr>
              <w:adjustRightInd w:val="0"/>
              <w:snapToGrid w:val="0"/>
              <w:spacing w:line="360" w:lineRule="auto"/>
              <w:rPr>
                <w:rFonts w:ascii="宋体" w:hAnsi="宋体"/>
                <w:color w:val="auto"/>
                <w:kern w:val="0"/>
                <w:sz w:val="24"/>
              </w:rPr>
            </w:pPr>
          </w:p>
        </w:tc>
        <w:tc>
          <w:tcPr>
            <w:tcW w:w="2963" w:type="dxa"/>
          </w:tcPr>
          <w:p w14:paraId="6C2118AD">
            <w:pPr>
              <w:adjustRightInd w:val="0"/>
              <w:snapToGrid w:val="0"/>
              <w:spacing w:line="360" w:lineRule="auto"/>
              <w:rPr>
                <w:rFonts w:ascii="宋体" w:hAnsi="宋体"/>
                <w:color w:val="auto"/>
                <w:kern w:val="0"/>
                <w:sz w:val="24"/>
              </w:rPr>
            </w:pPr>
          </w:p>
        </w:tc>
        <w:tc>
          <w:tcPr>
            <w:tcW w:w="2439" w:type="dxa"/>
          </w:tcPr>
          <w:p w14:paraId="2C279E02">
            <w:pPr>
              <w:adjustRightInd w:val="0"/>
              <w:snapToGrid w:val="0"/>
              <w:spacing w:line="360" w:lineRule="auto"/>
              <w:rPr>
                <w:rFonts w:ascii="宋体" w:hAnsi="宋体"/>
                <w:color w:val="auto"/>
                <w:kern w:val="0"/>
                <w:sz w:val="24"/>
              </w:rPr>
            </w:pPr>
          </w:p>
        </w:tc>
        <w:tc>
          <w:tcPr>
            <w:tcW w:w="2642" w:type="dxa"/>
          </w:tcPr>
          <w:p w14:paraId="3038D88C">
            <w:pPr>
              <w:adjustRightInd w:val="0"/>
              <w:snapToGrid w:val="0"/>
              <w:spacing w:line="360" w:lineRule="auto"/>
              <w:rPr>
                <w:rFonts w:ascii="宋体" w:hAnsi="宋体"/>
                <w:color w:val="auto"/>
                <w:kern w:val="0"/>
                <w:sz w:val="24"/>
              </w:rPr>
            </w:pPr>
          </w:p>
        </w:tc>
      </w:tr>
      <w:tr w14:paraId="20EADD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215A731E">
            <w:pPr>
              <w:adjustRightInd w:val="0"/>
              <w:snapToGrid w:val="0"/>
              <w:spacing w:line="360" w:lineRule="auto"/>
              <w:rPr>
                <w:rFonts w:ascii="宋体" w:hAnsi="宋体"/>
                <w:color w:val="auto"/>
                <w:kern w:val="0"/>
                <w:sz w:val="24"/>
              </w:rPr>
            </w:pPr>
          </w:p>
        </w:tc>
        <w:tc>
          <w:tcPr>
            <w:tcW w:w="2963" w:type="dxa"/>
          </w:tcPr>
          <w:p w14:paraId="03CD032F">
            <w:pPr>
              <w:adjustRightInd w:val="0"/>
              <w:snapToGrid w:val="0"/>
              <w:spacing w:line="360" w:lineRule="auto"/>
              <w:rPr>
                <w:rFonts w:ascii="宋体" w:hAnsi="宋体"/>
                <w:color w:val="auto"/>
                <w:kern w:val="0"/>
                <w:sz w:val="24"/>
              </w:rPr>
            </w:pPr>
          </w:p>
        </w:tc>
        <w:tc>
          <w:tcPr>
            <w:tcW w:w="2439" w:type="dxa"/>
          </w:tcPr>
          <w:p w14:paraId="20CE5C7A">
            <w:pPr>
              <w:adjustRightInd w:val="0"/>
              <w:snapToGrid w:val="0"/>
              <w:spacing w:line="360" w:lineRule="auto"/>
              <w:rPr>
                <w:rFonts w:ascii="宋体" w:hAnsi="宋体"/>
                <w:color w:val="auto"/>
                <w:kern w:val="0"/>
                <w:sz w:val="24"/>
              </w:rPr>
            </w:pPr>
          </w:p>
        </w:tc>
        <w:tc>
          <w:tcPr>
            <w:tcW w:w="2642" w:type="dxa"/>
          </w:tcPr>
          <w:p w14:paraId="7ABAFC0E">
            <w:pPr>
              <w:adjustRightInd w:val="0"/>
              <w:snapToGrid w:val="0"/>
              <w:spacing w:line="360" w:lineRule="auto"/>
              <w:rPr>
                <w:rFonts w:ascii="宋体" w:hAnsi="宋体"/>
                <w:color w:val="auto"/>
                <w:kern w:val="0"/>
                <w:sz w:val="24"/>
              </w:rPr>
            </w:pPr>
          </w:p>
        </w:tc>
      </w:tr>
      <w:tr w14:paraId="2A885C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268BE747">
            <w:pPr>
              <w:adjustRightInd w:val="0"/>
              <w:snapToGrid w:val="0"/>
              <w:spacing w:line="360" w:lineRule="auto"/>
              <w:rPr>
                <w:rFonts w:ascii="宋体" w:hAnsi="宋体"/>
                <w:color w:val="auto"/>
                <w:kern w:val="0"/>
                <w:sz w:val="24"/>
              </w:rPr>
            </w:pPr>
          </w:p>
        </w:tc>
        <w:tc>
          <w:tcPr>
            <w:tcW w:w="2963" w:type="dxa"/>
          </w:tcPr>
          <w:p w14:paraId="527DFCD6">
            <w:pPr>
              <w:adjustRightInd w:val="0"/>
              <w:snapToGrid w:val="0"/>
              <w:spacing w:line="360" w:lineRule="auto"/>
              <w:rPr>
                <w:rFonts w:ascii="宋体" w:hAnsi="宋体"/>
                <w:color w:val="auto"/>
                <w:kern w:val="0"/>
                <w:sz w:val="24"/>
              </w:rPr>
            </w:pPr>
          </w:p>
        </w:tc>
        <w:tc>
          <w:tcPr>
            <w:tcW w:w="2439" w:type="dxa"/>
          </w:tcPr>
          <w:p w14:paraId="2A91DA47">
            <w:pPr>
              <w:adjustRightInd w:val="0"/>
              <w:snapToGrid w:val="0"/>
              <w:spacing w:line="360" w:lineRule="auto"/>
              <w:rPr>
                <w:rFonts w:ascii="宋体" w:hAnsi="宋体"/>
                <w:color w:val="auto"/>
                <w:kern w:val="0"/>
                <w:sz w:val="24"/>
              </w:rPr>
            </w:pPr>
          </w:p>
        </w:tc>
        <w:tc>
          <w:tcPr>
            <w:tcW w:w="2642" w:type="dxa"/>
          </w:tcPr>
          <w:p w14:paraId="6F5F3100">
            <w:pPr>
              <w:adjustRightInd w:val="0"/>
              <w:snapToGrid w:val="0"/>
              <w:spacing w:line="360" w:lineRule="auto"/>
              <w:rPr>
                <w:rFonts w:ascii="宋体" w:hAnsi="宋体"/>
                <w:color w:val="auto"/>
                <w:kern w:val="0"/>
                <w:sz w:val="24"/>
              </w:rPr>
            </w:pPr>
          </w:p>
        </w:tc>
      </w:tr>
      <w:tr w14:paraId="26F8DD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4C7C8867">
            <w:pPr>
              <w:adjustRightInd w:val="0"/>
              <w:snapToGrid w:val="0"/>
              <w:spacing w:line="360" w:lineRule="auto"/>
              <w:rPr>
                <w:rFonts w:ascii="宋体" w:hAnsi="宋体"/>
                <w:color w:val="auto"/>
                <w:kern w:val="0"/>
                <w:sz w:val="24"/>
              </w:rPr>
            </w:pPr>
          </w:p>
        </w:tc>
        <w:tc>
          <w:tcPr>
            <w:tcW w:w="2963" w:type="dxa"/>
          </w:tcPr>
          <w:p w14:paraId="25848FB0">
            <w:pPr>
              <w:adjustRightInd w:val="0"/>
              <w:snapToGrid w:val="0"/>
              <w:spacing w:line="360" w:lineRule="auto"/>
              <w:rPr>
                <w:rFonts w:ascii="宋体" w:hAnsi="宋体"/>
                <w:color w:val="auto"/>
                <w:kern w:val="0"/>
                <w:sz w:val="24"/>
              </w:rPr>
            </w:pPr>
          </w:p>
        </w:tc>
        <w:tc>
          <w:tcPr>
            <w:tcW w:w="2439" w:type="dxa"/>
          </w:tcPr>
          <w:p w14:paraId="0EB744B5">
            <w:pPr>
              <w:adjustRightInd w:val="0"/>
              <w:snapToGrid w:val="0"/>
              <w:spacing w:line="360" w:lineRule="auto"/>
              <w:rPr>
                <w:rFonts w:ascii="宋体" w:hAnsi="宋体"/>
                <w:color w:val="auto"/>
                <w:kern w:val="0"/>
                <w:sz w:val="24"/>
              </w:rPr>
            </w:pPr>
          </w:p>
        </w:tc>
        <w:tc>
          <w:tcPr>
            <w:tcW w:w="2642" w:type="dxa"/>
          </w:tcPr>
          <w:p w14:paraId="508AA019">
            <w:pPr>
              <w:adjustRightInd w:val="0"/>
              <w:snapToGrid w:val="0"/>
              <w:spacing w:line="360" w:lineRule="auto"/>
              <w:rPr>
                <w:rFonts w:ascii="宋体" w:hAnsi="宋体"/>
                <w:color w:val="auto"/>
                <w:kern w:val="0"/>
                <w:sz w:val="24"/>
              </w:rPr>
            </w:pPr>
          </w:p>
        </w:tc>
      </w:tr>
      <w:tr w14:paraId="3D4ABD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042E5558">
            <w:pPr>
              <w:adjustRightInd w:val="0"/>
              <w:snapToGrid w:val="0"/>
              <w:spacing w:line="360" w:lineRule="auto"/>
              <w:rPr>
                <w:rFonts w:ascii="宋体" w:hAnsi="宋体"/>
                <w:color w:val="auto"/>
                <w:kern w:val="0"/>
                <w:sz w:val="24"/>
              </w:rPr>
            </w:pPr>
          </w:p>
        </w:tc>
        <w:tc>
          <w:tcPr>
            <w:tcW w:w="2963" w:type="dxa"/>
          </w:tcPr>
          <w:p w14:paraId="141E2FD4">
            <w:pPr>
              <w:adjustRightInd w:val="0"/>
              <w:snapToGrid w:val="0"/>
              <w:spacing w:line="360" w:lineRule="auto"/>
              <w:rPr>
                <w:rFonts w:ascii="宋体" w:hAnsi="宋体"/>
                <w:color w:val="auto"/>
                <w:kern w:val="0"/>
                <w:sz w:val="24"/>
              </w:rPr>
            </w:pPr>
          </w:p>
        </w:tc>
        <w:tc>
          <w:tcPr>
            <w:tcW w:w="2439" w:type="dxa"/>
          </w:tcPr>
          <w:p w14:paraId="0B18928C">
            <w:pPr>
              <w:adjustRightInd w:val="0"/>
              <w:snapToGrid w:val="0"/>
              <w:spacing w:line="360" w:lineRule="auto"/>
              <w:rPr>
                <w:rFonts w:ascii="宋体" w:hAnsi="宋体"/>
                <w:color w:val="auto"/>
                <w:kern w:val="0"/>
                <w:sz w:val="24"/>
              </w:rPr>
            </w:pPr>
          </w:p>
        </w:tc>
        <w:tc>
          <w:tcPr>
            <w:tcW w:w="2642" w:type="dxa"/>
          </w:tcPr>
          <w:p w14:paraId="3724C504">
            <w:pPr>
              <w:adjustRightInd w:val="0"/>
              <w:snapToGrid w:val="0"/>
              <w:spacing w:line="360" w:lineRule="auto"/>
              <w:rPr>
                <w:rFonts w:ascii="宋体" w:hAnsi="宋体"/>
                <w:color w:val="auto"/>
                <w:kern w:val="0"/>
                <w:sz w:val="24"/>
              </w:rPr>
            </w:pPr>
          </w:p>
        </w:tc>
      </w:tr>
      <w:tr w14:paraId="5F191C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07F95F90">
            <w:pPr>
              <w:adjustRightInd w:val="0"/>
              <w:snapToGrid w:val="0"/>
              <w:spacing w:line="360" w:lineRule="auto"/>
              <w:rPr>
                <w:rFonts w:ascii="宋体" w:hAnsi="宋体"/>
                <w:color w:val="auto"/>
                <w:kern w:val="0"/>
                <w:sz w:val="24"/>
              </w:rPr>
            </w:pPr>
          </w:p>
        </w:tc>
        <w:tc>
          <w:tcPr>
            <w:tcW w:w="2963" w:type="dxa"/>
          </w:tcPr>
          <w:p w14:paraId="0B17AB57">
            <w:pPr>
              <w:adjustRightInd w:val="0"/>
              <w:snapToGrid w:val="0"/>
              <w:spacing w:line="360" w:lineRule="auto"/>
              <w:rPr>
                <w:rFonts w:ascii="宋体" w:hAnsi="宋体"/>
                <w:color w:val="auto"/>
                <w:kern w:val="0"/>
                <w:sz w:val="24"/>
              </w:rPr>
            </w:pPr>
          </w:p>
        </w:tc>
        <w:tc>
          <w:tcPr>
            <w:tcW w:w="2439" w:type="dxa"/>
          </w:tcPr>
          <w:p w14:paraId="2D4C0EA2">
            <w:pPr>
              <w:adjustRightInd w:val="0"/>
              <w:snapToGrid w:val="0"/>
              <w:spacing w:line="360" w:lineRule="auto"/>
              <w:rPr>
                <w:rFonts w:ascii="宋体" w:hAnsi="宋体"/>
                <w:color w:val="auto"/>
                <w:kern w:val="0"/>
                <w:sz w:val="24"/>
              </w:rPr>
            </w:pPr>
          </w:p>
        </w:tc>
        <w:tc>
          <w:tcPr>
            <w:tcW w:w="2642" w:type="dxa"/>
          </w:tcPr>
          <w:p w14:paraId="711A05AA">
            <w:pPr>
              <w:adjustRightInd w:val="0"/>
              <w:snapToGrid w:val="0"/>
              <w:spacing w:line="360" w:lineRule="auto"/>
              <w:rPr>
                <w:rFonts w:ascii="宋体" w:hAnsi="宋体"/>
                <w:color w:val="auto"/>
                <w:kern w:val="0"/>
                <w:sz w:val="24"/>
              </w:rPr>
            </w:pPr>
          </w:p>
        </w:tc>
      </w:tr>
      <w:tr w14:paraId="0B9071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2C145356">
            <w:pPr>
              <w:adjustRightInd w:val="0"/>
              <w:snapToGrid w:val="0"/>
              <w:spacing w:line="360" w:lineRule="auto"/>
              <w:rPr>
                <w:rFonts w:ascii="宋体" w:hAnsi="宋体"/>
                <w:color w:val="auto"/>
                <w:kern w:val="0"/>
                <w:sz w:val="24"/>
              </w:rPr>
            </w:pPr>
          </w:p>
        </w:tc>
        <w:tc>
          <w:tcPr>
            <w:tcW w:w="2963" w:type="dxa"/>
          </w:tcPr>
          <w:p w14:paraId="4ED1C02B">
            <w:pPr>
              <w:adjustRightInd w:val="0"/>
              <w:snapToGrid w:val="0"/>
              <w:spacing w:line="360" w:lineRule="auto"/>
              <w:rPr>
                <w:rFonts w:ascii="宋体" w:hAnsi="宋体"/>
                <w:color w:val="auto"/>
                <w:kern w:val="0"/>
                <w:sz w:val="24"/>
              </w:rPr>
            </w:pPr>
          </w:p>
        </w:tc>
        <w:tc>
          <w:tcPr>
            <w:tcW w:w="2439" w:type="dxa"/>
          </w:tcPr>
          <w:p w14:paraId="5F7510C3">
            <w:pPr>
              <w:adjustRightInd w:val="0"/>
              <w:snapToGrid w:val="0"/>
              <w:spacing w:line="360" w:lineRule="auto"/>
              <w:rPr>
                <w:rFonts w:ascii="宋体" w:hAnsi="宋体"/>
                <w:color w:val="auto"/>
                <w:kern w:val="0"/>
                <w:sz w:val="24"/>
              </w:rPr>
            </w:pPr>
          </w:p>
        </w:tc>
        <w:tc>
          <w:tcPr>
            <w:tcW w:w="2642" w:type="dxa"/>
          </w:tcPr>
          <w:p w14:paraId="5981D3D3">
            <w:pPr>
              <w:adjustRightInd w:val="0"/>
              <w:snapToGrid w:val="0"/>
              <w:spacing w:line="360" w:lineRule="auto"/>
              <w:rPr>
                <w:rFonts w:ascii="宋体" w:hAnsi="宋体"/>
                <w:color w:val="auto"/>
                <w:kern w:val="0"/>
                <w:sz w:val="24"/>
              </w:rPr>
            </w:pPr>
          </w:p>
        </w:tc>
      </w:tr>
      <w:tr w14:paraId="11A5AE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14EE5247">
            <w:pPr>
              <w:adjustRightInd w:val="0"/>
              <w:snapToGrid w:val="0"/>
              <w:spacing w:line="360" w:lineRule="auto"/>
              <w:rPr>
                <w:rFonts w:ascii="宋体" w:hAnsi="宋体"/>
                <w:color w:val="auto"/>
                <w:kern w:val="0"/>
                <w:sz w:val="24"/>
              </w:rPr>
            </w:pPr>
          </w:p>
        </w:tc>
        <w:tc>
          <w:tcPr>
            <w:tcW w:w="2963" w:type="dxa"/>
          </w:tcPr>
          <w:p w14:paraId="464631E9">
            <w:pPr>
              <w:adjustRightInd w:val="0"/>
              <w:snapToGrid w:val="0"/>
              <w:spacing w:line="360" w:lineRule="auto"/>
              <w:rPr>
                <w:rFonts w:ascii="宋体" w:hAnsi="宋体"/>
                <w:color w:val="auto"/>
                <w:kern w:val="0"/>
                <w:sz w:val="24"/>
              </w:rPr>
            </w:pPr>
          </w:p>
        </w:tc>
        <w:tc>
          <w:tcPr>
            <w:tcW w:w="2439" w:type="dxa"/>
          </w:tcPr>
          <w:p w14:paraId="4B4A7670">
            <w:pPr>
              <w:adjustRightInd w:val="0"/>
              <w:snapToGrid w:val="0"/>
              <w:spacing w:line="360" w:lineRule="auto"/>
              <w:rPr>
                <w:rFonts w:ascii="宋体" w:hAnsi="宋体"/>
                <w:color w:val="auto"/>
                <w:kern w:val="0"/>
                <w:sz w:val="24"/>
              </w:rPr>
            </w:pPr>
          </w:p>
        </w:tc>
        <w:tc>
          <w:tcPr>
            <w:tcW w:w="2642" w:type="dxa"/>
          </w:tcPr>
          <w:p w14:paraId="32FEBA30">
            <w:pPr>
              <w:adjustRightInd w:val="0"/>
              <w:snapToGrid w:val="0"/>
              <w:spacing w:line="360" w:lineRule="auto"/>
              <w:rPr>
                <w:rFonts w:ascii="宋体" w:hAnsi="宋体"/>
                <w:color w:val="auto"/>
                <w:kern w:val="0"/>
                <w:sz w:val="24"/>
              </w:rPr>
            </w:pPr>
          </w:p>
        </w:tc>
      </w:tr>
      <w:tr w14:paraId="6F2E65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5BDFE1A3">
            <w:pPr>
              <w:adjustRightInd w:val="0"/>
              <w:snapToGrid w:val="0"/>
              <w:spacing w:line="360" w:lineRule="auto"/>
              <w:rPr>
                <w:rFonts w:ascii="宋体" w:hAnsi="宋体"/>
                <w:color w:val="auto"/>
                <w:kern w:val="0"/>
                <w:sz w:val="24"/>
              </w:rPr>
            </w:pPr>
          </w:p>
        </w:tc>
        <w:tc>
          <w:tcPr>
            <w:tcW w:w="2963" w:type="dxa"/>
          </w:tcPr>
          <w:p w14:paraId="39548B57">
            <w:pPr>
              <w:adjustRightInd w:val="0"/>
              <w:snapToGrid w:val="0"/>
              <w:spacing w:line="360" w:lineRule="auto"/>
              <w:rPr>
                <w:rFonts w:ascii="宋体" w:hAnsi="宋体"/>
                <w:color w:val="auto"/>
                <w:kern w:val="0"/>
                <w:sz w:val="24"/>
              </w:rPr>
            </w:pPr>
          </w:p>
        </w:tc>
        <w:tc>
          <w:tcPr>
            <w:tcW w:w="2439" w:type="dxa"/>
          </w:tcPr>
          <w:p w14:paraId="63095D4B">
            <w:pPr>
              <w:adjustRightInd w:val="0"/>
              <w:snapToGrid w:val="0"/>
              <w:spacing w:line="360" w:lineRule="auto"/>
              <w:rPr>
                <w:rFonts w:ascii="宋体" w:hAnsi="宋体"/>
                <w:color w:val="auto"/>
                <w:kern w:val="0"/>
                <w:sz w:val="24"/>
              </w:rPr>
            </w:pPr>
          </w:p>
        </w:tc>
        <w:tc>
          <w:tcPr>
            <w:tcW w:w="2642" w:type="dxa"/>
          </w:tcPr>
          <w:p w14:paraId="65F7394A">
            <w:pPr>
              <w:adjustRightInd w:val="0"/>
              <w:snapToGrid w:val="0"/>
              <w:spacing w:line="360" w:lineRule="auto"/>
              <w:rPr>
                <w:rFonts w:ascii="宋体" w:hAnsi="宋体"/>
                <w:color w:val="auto"/>
                <w:kern w:val="0"/>
                <w:sz w:val="24"/>
              </w:rPr>
            </w:pPr>
          </w:p>
        </w:tc>
      </w:tr>
    </w:tbl>
    <w:p w14:paraId="6E68A148">
      <w:pPr>
        <w:adjustRightInd w:val="0"/>
        <w:snapToGrid w:val="0"/>
        <w:spacing w:line="360" w:lineRule="auto"/>
        <w:rPr>
          <w:rFonts w:ascii="宋体" w:hAnsi="宋体"/>
          <w:color w:val="auto"/>
          <w:szCs w:val="21"/>
        </w:rPr>
      </w:pPr>
      <w:r>
        <w:rPr>
          <w:rFonts w:hint="eastAsia" w:ascii="宋体" w:hAnsi="宋体"/>
          <w:color w:val="auto"/>
          <w:szCs w:val="21"/>
        </w:rPr>
        <w:t>采购人（签字）：</w:t>
      </w:r>
    </w:p>
    <w:p w14:paraId="57118137">
      <w:pPr>
        <w:adjustRightInd w:val="0"/>
        <w:snapToGrid w:val="0"/>
        <w:spacing w:line="360" w:lineRule="auto"/>
        <w:rPr>
          <w:rFonts w:ascii="宋体" w:hAnsi="宋体"/>
          <w:color w:val="auto"/>
          <w:szCs w:val="21"/>
        </w:rPr>
      </w:pPr>
      <w:r>
        <w:rPr>
          <w:rFonts w:hint="eastAsia" w:ascii="宋体" w:hAnsi="宋体"/>
          <w:color w:val="auto"/>
          <w:szCs w:val="21"/>
        </w:rPr>
        <w:t>采购代理机构（签字）：</w:t>
      </w:r>
    </w:p>
    <w:p w14:paraId="673CFC85">
      <w:pPr>
        <w:adjustRightInd w:val="0"/>
        <w:snapToGrid w:val="0"/>
        <w:spacing w:line="360" w:lineRule="auto"/>
        <w:rPr>
          <w:rFonts w:ascii="宋体" w:hAnsi="宋体"/>
          <w:color w:val="auto"/>
          <w:szCs w:val="21"/>
        </w:rPr>
      </w:pPr>
      <w:r>
        <w:rPr>
          <w:rFonts w:hint="eastAsia" w:ascii="宋体" w:hAnsi="宋体"/>
          <w:color w:val="auto"/>
          <w:szCs w:val="21"/>
        </w:rPr>
        <w:t>日期：</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rPr>
        <w:t>日</w:t>
      </w:r>
    </w:p>
    <w:p w14:paraId="55DBC4DB">
      <w:pPr>
        <w:widowControl/>
        <w:jc w:val="left"/>
        <w:rPr>
          <w:rFonts w:ascii="宋体" w:hAnsi="宋体"/>
          <w:color w:val="auto"/>
          <w:sz w:val="24"/>
        </w:rPr>
      </w:pPr>
      <w:r>
        <w:rPr>
          <w:rFonts w:ascii="宋体" w:hAnsi="宋体"/>
          <w:color w:val="auto"/>
          <w:sz w:val="24"/>
        </w:rPr>
        <w:br w:type="page"/>
      </w:r>
    </w:p>
    <w:p w14:paraId="378E9455">
      <w:pPr>
        <w:pStyle w:val="6"/>
        <w:adjustRightInd w:val="0"/>
        <w:snapToGrid w:val="0"/>
        <w:spacing w:before="0" w:after="0" w:line="360" w:lineRule="auto"/>
        <w:rPr>
          <w:rFonts w:ascii="黑体" w:hAnsi="黑体"/>
          <w:b w:val="0"/>
          <w:color w:val="auto"/>
          <w:sz w:val="21"/>
          <w:szCs w:val="21"/>
        </w:rPr>
      </w:pPr>
      <w:bookmarkStart w:id="520" w:name="_Toc15888502"/>
      <w:bookmarkStart w:id="521" w:name="_Toc75289245"/>
      <w:r>
        <w:rPr>
          <w:rFonts w:hint="eastAsia" w:ascii="黑体" w:hAnsi="黑体"/>
          <w:b w:val="0"/>
          <w:color w:val="auto"/>
          <w:sz w:val="21"/>
          <w:szCs w:val="21"/>
        </w:rPr>
        <w:t>附表3 资格审查合格投标人名单</w:t>
      </w:r>
      <w:bookmarkEnd w:id="520"/>
      <w:bookmarkEnd w:id="521"/>
    </w:p>
    <w:p w14:paraId="24277C37">
      <w:pPr>
        <w:pStyle w:val="4"/>
        <w:jc w:val="center"/>
        <w:rPr>
          <w:rFonts w:ascii="黑体" w:hAnsi="黑体" w:eastAsia="黑体"/>
          <w:b w:val="0"/>
          <w:color w:val="auto"/>
          <w:sz w:val="28"/>
          <w:szCs w:val="28"/>
        </w:rPr>
      </w:pPr>
      <w:bookmarkStart w:id="522" w:name="_Toc192949620"/>
      <w:bookmarkStart w:id="523" w:name="_Toc17514"/>
      <w:bookmarkStart w:id="524" w:name="_Toc75289566"/>
      <w:bookmarkStart w:id="525" w:name="_Toc77676484"/>
      <w:bookmarkStart w:id="526" w:name="_Toc114036729"/>
      <w:bookmarkStart w:id="527" w:name="_Toc108341955"/>
      <w:bookmarkStart w:id="528" w:name="_Toc27671"/>
      <w:bookmarkStart w:id="529" w:name="_Toc100670686"/>
      <w:bookmarkStart w:id="530" w:name="_Toc21722"/>
      <w:bookmarkStart w:id="531" w:name="_Toc100670439"/>
      <w:bookmarkStart w:id="532" w:name="_Toc117192465"/>
      <w:bookmarkStart w:id="533" w:name="_Toc94367898"/>
      <w:bookmarkStart w:id="534" w:name="_Toc441"/>
      <w:bookmarkStart w:id="535" w:name="_Toc30583"/>
      <w:bookmarkStart w:id="536" w:name="_Toc154428407"/>
      <w:bookmarkStart w:id="537" w:name="_Toc2402"/>
      <w:bookmarkStart w:id="538" w:name="_Toc171273688"/>
      <w:bookmarkStart w:id="539" w:name="_Toc192951230"/>
      <w:bookmarkStart w:id="540" w:name="_Toc78449973"/>
      <w:bookmarkStart w:id="541" w:name="_Toc192949719"/>
      <w:bookmarkStart w:id="542" w:name="_Toc112704950"/>
      <w:bookmarkStart w:id="543" w:name="_Toc9924"/>
      <w:bookmarkStart w:id="544" w:name="_Toc75289246"/>
      <w:bookmarkStart w:id="545" w:name="_Toc95601383"/>
      <w:bookmarkStart w:id="546" w:name="_Toc8492"/>
      <w:bookmarkStart w:id="547" w:name="_Toc85972948"/>
      <w:bookmarkStart w:id="548" w:name="_Toc77199417"/>
      <w:bookmarkStart w:id="549" w:name="_Toc78314280"/>
      <w:bookmarkStart w:id="550" w:name="_Toc25207"/>
      <w:r>
        <w:rPr>
          <w:rFonts w:hint="eastAsia" w:ascii="黑体" w:hAnsi="黑体" w:eastAsia="黑体"/>
          <w:b w:val="0"/>
          <w:color w:val="auto"/>
          <w:sz w:val="28"/>
          <w:szCs w:val="28"/>
        </w:rPr>
        <w:t>资格审查合格投标人名单</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14:paraId="3FE05D20">
      <w:pPr>
        <w:adjustRightInd w:val="0"/>
        <w:snapToGrid w:val="0"/>
        <w:spacing w:line="360" w:lineRule="auto"/>
        <w:rPr>
          <w:rFonts w:ascii="华文中宋" w:hAnsi="华文中宋" w:eastAsia="华文中宋"/>
          <w:color w:val="auto"/>
          <w:sz w:val="32"/>
          <w:szCs w:val="32"/>
        </w:rPr>
      </w:pPr>
      <w:r>
        <w:rPr>
          <w:rFonts w:hint="eastAsia" w:ascii="宋体" w:hAnsi="宋体"/>
          <w:color w:val="auto"/>
          <w:szCs w:val="21"/>
        </w:rPr>
        <w:t>项目名称：                                        政府采购计划编号：</w:t>
      </w:r>
    </w:p>
    <w:tbl>
      <w:tblPr>
        <w:tblStyle w:val="47"/>
        <w:tblW w:w="860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7613"/>
      </w:tblGrid>
      <w:tr w14:paraId="4C258E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jc w:val="center"/>
        </w:trPr>
        <w:tc>
          <w:tcPr>
            <w:tcW w:w="993" w:type="dxa"/>
            <w:vAlign w:val="center"/>
          </w:tcPr>
          <w:p w14:paraId="0FD71283">
            <w:pPr>
              <w:jc w:val="center"/>
              <w:rPr>
                <w:b/>
                <w:color w:val="auto"/>
                <w:kern w:val="0"/>
                <w:szCs w:val="21"/>
              </w:rPr>
            </w:pPr>
            <w:r>
              <w:rPr>
                <w:rFonts w:hint="eastAsia"/>
                <w:b/>
                <w:color w:val="auto"/>
                <w:kern w:val="0"/>
                <w:szCs w:val="21"/>
              </w:rPr>
              <w:t>序号</w:t>
            </w:r>
          </w:p>
        </w:tc>
        <w:tc>
          <w:tcPr>
            <w:tcW w:w="7613" w:type="dxa"/>
            <w:vAlign w:val="center"/>
          </w:tcPr>
          <w:p w14:paraId="2E246C28">
            <w:pPr>
              <w:jc w:val="center"/>
              <w:rPr>
                <w:b/>
                <w:color w:val="auto"/>
                <w:kern w:val="0"/>
                <w:szCs w:val="21"/>
              </w:rPr>
            </w:pPr>
            <w:r>
              <w:rPr>
                <w:rFonts w:hint="eastAsia"/>
                <w:b/>
                <w:color w:val="auto"/>
                <w:kern w:val="0"/>
                <w:szCs w:val="21"/>
              </w:rPr>
              <w:t>合格投标人名称</w:t>
            </w:r>
          </w:p>
        </w:tc>
      </w:tr>
      <w:tr w14:paraId="4C6D6B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52DE0DEE">
            <w:pPr>
              <w:adjustRightInd w:val="0"/>
              <w:snapToGrid w:val="0"/>
              <w:spacing w:line="360" w:lineRule="auto"/>
              <w:rPr>
                <w:rFonts w:ascii="宋体" w:hAnsi="宋体"/>
                <w:color w:val="auto"/>
                <w:kern w:val="0"/>
                <w:szCs w:val="21"/>
              </w:rPr>
            </w:pPr>
          </w:p>
        </w:tc>
        <w:tc>
          <w:tcPr>
            <w:tcW w:w="7613" w:type="dxa"/>
          </w:tcPr>
          <w:p w14:paraId="41A4B0C9">
            <w:pPr>
              <w:adjustRightInd w:val="0"/>
              <w:snapToGrid w:val="0"/>
              <w:spacing w:line="360" w:lineRule="auto"/>
              <w:rPr>
                <w:rFonts w:ascii="宋体" w:hAnsi="宋体"/>
                <w:color w:val="auto"/>
                <w:kern w:val="0"/>
                <w:szCs w:val="21"/>
              </w:rPr>
            </w:pPr>
          </w:p>
        </w:tc>
      </w:tr>
      <w:tr w14:paraId="3091DF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50F604AB">
            <w:pPr>
              <w:adjustRightInd w:val="0"/>
              <w:snapToGrid w:val="0"/>
              <w:spacing w:line="360" w:lineRule="auto"/>
              <w:rPr>
                <w:rFonts w:ascii="宋体" w:hAnsi="宋体"/>
                <w:color w:val="auto"/>
                <w:kern w:val="0"/>
                <w:sz w:val="24"/>
              </w:rPr>
            </w:pPr>
          </w:p>
        </w:tc>
        <w:tc>
          <w:tcPr>
            <w:tcW w:w="7613" w:type="dxa"/>
          </w:tcPr>
          <w:p w14:paraId="535B069A">
            <w:pPr>
              <w:adjustRightInd w:val="0"/>
              <w:snapToGrid w:val="0"/>
              <w:spacing w:line="360" w:lineRule="auto"/>
              <w:rPr>
                <w:rFonts w:ascii="宋体" w:hAnsi="宋体"/>
                <w:color w:val="auto"/>
                <w:kern w:val="0"/>
                <w:sz w:val="24"/>
              </w:rPr>
            </w:pPr>
          </w:p>
        </w:tc>
      </w:tr>
      <w:tr w14:paraId="64C63D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6A74DEC4">
            <w:pPr>
              <w:adjustRightInd w:val="0"/>
              <w:snapToGrid w:val="0"/>
              <w:spacing w:line="360" w:lineRule="auto"/>
              <w:rPr>
                <w:rFonts w:ascii="宋体" w:hAnsi="宋体"/>
                <w:color w:val="auto"/>
                <w:kern w:val="0"/>
                <w:sz w:val="24"/>
              </w:rPr>
            </w:pPr>
          </w:p>
        </w:tc>
        <w:tc>
          <w:tcPr>
            <w:tcW w:w="7613" w:type="dxa"/>
          </w:tcPr>
          <w:p w14:paraId="0FEF5E46">
            <w:pPr>
              <w:adjustRightInd w:val="0"/>
              <w:snapToGrid w:val="0"/>
              <w:spacing w:line="360" w:lineRule="auto"/>
              <w:rPr>
                <w:rFonts w:ascii="宋体" w:hAnsi="宋体"/>
                <w:color w:val="auto"/>
                <w:kern w:val="0"/>
                <w:sz w:val="24"/>
              </w:rPr>
            </w:pPr>
          </w:p>
        </w:tc>
      </w:tr>
      <w:tr w14:paraId="2818FE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53816B49">
            <w:pPr>
              <w:adjustRightInd w:val="0"/>
              <w:snapToGrid w:val="0"/>
              <w:spacing w:line="360" w:lineRule="auto"/>
              <w:rPr>
                <w:rFonts w:ascii="宋体" w:hAnsi="宋体"/>
                <w:color w:val="auto"/>
                <w:kern w:val="0"/>
                <w:sz w:val="24"/>
              </w:rPr>
            </w:pPr>
          </w:p>
        </w:tc>
        <w:tc>
          <w:tcPr>
            <w:tcW w:w="7613" w:type="dxa"/>
          </w:tcPr>
          <w:p w14:paraId="0AA87AE2">
            <w:pPr>
              <w:adjustRightInd w:val="0"/>
              <w:snapToGrid w:val="0"/>
              <w:spacing w:line="360" w:lineRule="auto"/>
              <w:rPr>
                <w:rFonts w:ascii="宋体" w:hAnsi="宋体"/>
                <w:color w:val="auto"/>
                <w:kern w:val="0"/>
                <w:sz w:val="24"/>
              </w:rPr>
            </w:pPr>
          </w:p>
        </w:tc>
      </w:tr>
      <w:tr w14:paraId="7596FE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3DD66668">
            <w:pPr>
              <w:adjustRightInd w:val="0"/>
              <w:snapToGrid w:val="0"/>
              <w:spacing w:line="360" w:lineRule="auto"/>
              <w:rPr>
                <w:rFonts w:ascii="宋体" w:hAnsi="宋体"/>
                <w:color w:val="auto"/>
                <w:kern w:val="0"/>
                <w:sz w:val="24"/>
              </w:rPr>
            </w:pPr>
          </w:p>
        </w:tc>
        <w:tc>
          <w:tcPr>
            <w:tcW w:w="7613" w:type="dxa"/>
          </w:tcPr>
          <w:p w14:paraId="2E25F8DB">
            <w:pPr>
              <w:adjustRightInd w:val="0"/>
              <w:snapToGrid w:val="0"/>
              <w:spacing w:line="360" w:lineRule="auto"/>
              <w:rPr>
                <w:rFonts w:ascii="宋体" w:hAnsi="宋体"/>
                <w:color w:val="auto"/>
                <w:kern w:val="0"/>
                <w:sz w:val="24"/>
              </w:rPr>
            </w:pPr>
          </w:p>
        </w:tc>
      </w:tr>
      <w:tr w14:paraId="145335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93" w:type="dxa"/>
          </w:tcPr>
          <w:p w14:paraId="0E72DC3F">
            <w:pPr>
              <w:adjustRightInd w:val="0"/>
              <w:snapToGrid w:val="0"/>
              <w:spacing w:line="360" w:lineRule="auto"/>
              <w:rPr>
                <w:rFonts w:ascii="宋体" w:hAnsi="宋体"/>
                <w:color w:val="auto"/>
                <w:kern w:val="0"/>
                <w:sz w:val="24"/>
              </w:rPr>
            </w:pPr>
          </w:p>
        </w:tc>
        <w:tc>
          <w:tcPr>
            <w:tcW w:w="7613" w:type="dxa"/>
          </w:tcPr>
          <w:p w14:paraId="3AEFBB9A">
            <w:pPr>
              <w:adjustRightInd w:val="0"/>
              <w:snapToGrid w:val="0"/>
              <w:spacing w:line="360" w:lineRule="auto"/>
              <w:rPr>
                <w:rFonts w:ascii="宋体" w:hAnsi="宋体"/>
                <w:color w:val="auto"/>
                <w:kern w:val="0"/>
                <w:sz w:val="24"/>
              </w:rPr>
            </w:pPr>
          </w:p>
        </w:tc>
      </w:tr>
    </w:tbl>
    <w:p w14:paraId="5FD25C66">
      <w:pPr>
        <w:adjustRightInd w:val="0"/>
        <w:snapToGrid w:val="0"/>
        <w:spacing w:line="360" w:lineRule="auto"/>
        <w:rPr>
          <w:rFonts w:ascii="宋体" w:hAnsi="宋体"/>
          <w:color w:val="auto"/>
          <w:szCs w:val="21"/>
        </w:rPr>
      </w:pPr>
      <w:r>
        <w:rPr>
          <w:rFonts w:hint="eastAsia" w:ascii="宋体" w:hAnsi="宋体"/>
          <w:color w:val="auto"/>
          <w:szCs w:val="21"/>
        </w:rPr>
        <w:t>采购人（签字）：</w:t>
      </w:r>
    </w:p>
    <w:p w14:paraId="27BECFF8">
      <w:pPr>
        <w:adjustRightInd w:val="0"/>
        <w:snapToGrid w:val="0"/>
        <w:spacing w:line="360" w:lineRule="auto"/>
        <w:rPr>
          <w:rFonts w:ascii="宋体" w:hAnsi="宋体"/>
          <w:color w:val="auto"/>
          <w:szCs w:val="21"/>
        </w:rPr>
      </w:pPr>
      <w:r>
        <w:rPr>
          <w:rFonts w:hint="eastAsia" w:ascii="宋体" w:hAnsi="宋体"/>
          <w:color w:val="auto"/>
          <w:szCs w:val="21"/>
        </w:rPr>
        <w:t>采购代理机构（签字）：</w:t>
      </w:r>
    </w:p>
    <w:p w14:paraId="50142F42">
      <w:pPr>
        <w:jc w:val="left"/>
        <w:rPr>
          <w:rFonts w:ascii="宋体" w:hAnsi="宋体"/>
          <w:color w:val="auto"/>
          <w:szCs w:val="21"/>
        </w:rPr>
      </w:pPr>
      <w:r>
        <w:rPr>
          <w:rFonts w:hint="eastAsia" w:ascii="宋体" w:hAnsi="宋体"/>
          <w:color w:val="auto"/>
          <w:szCs w:val="21"/>
        </w:rPr>
        <w:t>日期：年月日</w:t>
      </w:r>
    </w:p>
    <w:p w14:paraId="3D54A430">
      <w:pPr>
        <w:pStyle w:val="3"/>
        <w:rPr>
          <w:rFonts w:ascii="黑体" w:hAnsi="华文中宋" w:eastAsia="黑体"/>
          <w:b w:val="0"/>
          <w:color w:val="auto"/>
          <w:sz w:val="28"/>
          <w:szCs w:val="28"/>
        </w:rPr>
      </w:pPr>
      <w:r>
        <w:rPr>
          <w:rFonts w:ascii="宋体" w:hAnsi="宋体"/>
          <w:color w:val="auto"/>
        </w:rPr>
        <w:br w:type="page"/>
      </w:r>
      <w:bookmarkStart w:id="551" w:name="_Toc30163"/>
      <w:bookmarkStart w:id="552" w:name="_Toc77676485"/>
      <w:bookmarkStart w:id="553" w:name="_Toc13381"/>
      <w:bookmarkStart w:id="554" w:name="_Toc117192466"/>
      <w:bookmarkStart w:id="555" w:name="_Toc12120"/>
      <w:bookmarkStart w:id="556" w:name="_Toc77199418"/>
      <w:bookmarkStart w:id="557" w:name="_Toc14796"/>
      <w:bookmarkStart w:id="558" w:name="_Toc85972949"/>
      <w:bookmarkStart w:id="559" w:name="_Toc94367899"/>
      <w:bookmarkStart w:id="560" w:name="_Toc192949621"/>
      <w:bookmarkStart w:id="561" w:name="_Toc112704951"/>
      <w:bookmarkStart w:id="562" w:name="_Toc23217"/>
      <w:bookmarkStart w:id="563" w:name="_Toc192949720"/>
      <w:bookmarkStart w:id="564" w:name="_Toc95601384"/>
      <w:bookmarkStart w:id="565" w:name="_Toc15888503"/>
      <w:bookmarkStart w:id="566" w:name="_Toc78314281"/>
      <w:bookmarkStart w:id="567" w:name="_Toc154428408"/>
      <w:bookmarkStart w:id="568" w:name="_Toc192951231"/>
      <w:bookmarkStart w:id="569" w:name="_Toc27876"/>
      <w:bookmarkStart w:id="570" w:name="_Toc75289247"/>
      <w:bookmarkStart w:id="571" w:name="_Toc75289567"/>
      <w:bookmarkStart w:id="572" w:name="_Toc100670687"/>
      <w:bookmarkStart w:id="573" w:name="_Toc108341956"/>
      <w:bookmarkStart w:id="574" w:name="_Toc12756"/>
      <w:bookmarkStart w:id="575" w:name="_Toc17872"/>
      <w:bookmarkStart w:id="576" w:name="_Toc114036730"/>
      <w:bookmarkStart w:id="577" w:name="_Toc14422"/>
      <w:bookmarkStart w:id="578" w:name="_Toc78449974"/>
      <w:bookmarkStart w:id="579" w:name="_Toc171273689"/>
      <w:bookmarkStart w:id="580" w:name="_Toc100670440"/>
      <w:r>
        <w:rPr>
          <w:rFonts w:hint="eastAsia" w:ascii="黑体" w:hAnsi="华文中宋" w:eastAsia="黑体"/>
          <w:b w:val="0"/>
          <w:color w:val="auto"/>
          <w:sz w:val="32"/>
          <w:szCs w:val="32"/>
        </w:rPr>
        <w:t>第四章  评标方法及标准</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14:paraId="03012100">
      <w:pPr>
        <w:pStyle w:val="4"/>
        <w:jc w:val="center"/>
        <w:rPr>
          <w:rFonts w:ascii="黑体" w:hAnsi="华文中宋" w:eastAsia="黑体"/>
          <w:color w:val="auto"/>
          <w:sz w:val="28"/>
          <w:szCs w:val="28"/>
        </w:rPr>
      </w:pPr>
      <w:bookmarkStart w:id="581" w:name="_Toc112704952"/>
      <w:bookmarkStart w:id="582" w:name="_Toc19127"/>
      <w:bookmarkStart w:id="583" w:name="_Toc171273690"/>
      <w:bookmarkStart w:id="584" w:name="_Toc78449975"/>
      <w:bookmarkStart w:id="585" w:name="_Toc154428409"/>
      <w:bookmarkStart w:id="586" w:name="_Toc100670441"/>
      <w:bookmarkStart w:id="587" w:name="_Toc7665"/>
      <w:bookmarkStart w:id="588" w:name="_Toc30053"/>
      <w:bookmarkStart w:id="589" w:name="_Toc117192467"/>
      <w:bookmarkStart w:id="590" w:name="_Toc78314282"/>
      <w:bookmarkStart w:id="591" w:name="_Toc5245"/>
      <w:bookmarkStart w:id="592" w:name="_Toc75289248"/>
      <w:bookmarkStart w:id="593" w:name="_Toc77199419"/>
      <w:bookmarkStart w:id="594" w:name="_Toc77676486"/>
      <w:bookmarkStart w:id="595" w:name="_Toc192949721"/>
      <w:bookmarkStart w:id="596" w:name="_Toc75289568"/>
      <w:bookmarkStart w:id="597" w:name="_Toc108341957"/>
      <w:bookmarkStart w:id="598" w:name="_Toc192951232"/>
      <w:bookmarkStart w:id="599" w:name="_Toc9756"/>
      <w:bookmarkStart w:id="600" w:name="_Toc19661"/>
      <w:bookmarkStart w:id="601" w:name="_Toc15888504"/>
      <w:bookmarkStart w:id="602" w:name="_Toc85972950"/>
      <w:bookmarkStart w:id="603" w:name="_Toc192949622"/>
      <w:bookmarkStart w:id="604" w:name="_Toc804"/>
      <w:bookmarkStart w:id="605" w:name="_Toc95601385"/>
      <w:bookmarkStart w:id="606" w:name="_Toc12520"/>
      <w:bookmarkStart w:id="607" w:name="_Toc94367900"/>
      <w:bookmarkStart w:id="608" w:name="_Toc3037"/>
      <w:bookmarkStart w:id="609" w:name="_Toc114036731"/>
      <w:bookmarkStart w:id="610" w:name="_Toc100670688"/>
      <w:r>
        <w:rPr>
          <w:rFonts w:hint="eastAsia" w:ascii="黑体" w:hAnsi="华文中宋" w:eastAsia="黑体"/>
          <w:b w:val="0"/>
          <w:bCs w:val="0"/>
          <w:color w:val="auto"/>
          <w:sz w:val="28"/>
          <w:szCs w:val="28"/>
        </w:rPr>
        <w:t>第一</w:t>
      </w:r>
      <w:r>
        <w:rPr>
          <w:rFonts w:hint="eastAsia" w:ascii="黑体" w:hAnsi="华文中宋" w:eastAsia="黑体"/>
          <w:color w:val="auto"/>
          <w:sz w:val="28"/>
          <w:szCs w:val="28"/>
        </w:rPr>
        <w:t>节  评标方法及标准前附表</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14:paraId="6C8697A8">
      <w:pPr>
        <w:adjustRightInd w:val="0"/>
        <w:snapToGrid w:val="0"/>
        <w:jc w:val="right"/>
        <w:rPr>
          <w:rFonts w:ascii="宋体" w:hAnsi="宋体"/>
          <w:bCs/>
          <w:i/>
          <w:color w:val="auto"/>
          <w:szCs w:val="21"/>
        </w:rPr>
      </w:pPr>
      <w:r>
        <w:rPr>
          <w:rFonts w:hint="eastAsia" w:ascii="宋体" w:hAnsi="宋体"/>
          <w:bCs/>
          <w:i/>
          <w:color w:val="auto"/>
          <w:szCs w:val="21"/>
        </w:rPr>
        <w:t>本项目启用的条款在“编列内容规定”栏内以“</w:t>
      </w:r>
      <w:r>
        <w:rPr>
          <w:rFonts w:hint="eastAsia" w:ascii="宋体" w:hAnsi="宋体"/>
          <w:color w:val="auto"/>
          <w:szCs w:val="21"/>
        </w:rPr>
        <w:sym w:font="Wingdings" w:char="00FE"/>
      </w:r>
      <w:r>
        <w:rPr>
          <w:rFonts w:hint="eastAsia" w:ascii="宋体" w:hAnsi="宋体"/>
          <w:bCs/>
          <w:i/>
          <w:color w:val="auto"/>
          <w:szCs w:val="21"/>
        </w:rPr>
        <w:t>”标注。</w:t>
      </w:r>
    </w:p>
    <w:tbl>
      <w:tblPr>
        <w:tblStyle w:val="47"/>
        <w:tblW w:w="860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68"/>
        <w:gridCol w:w="1984"/>
        <w:gridCol w:w="5054"/>
      </w:tblGrid>
      <w:tr w14:paraId="5FA3C6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85" w:hRule="atLeast"/>
          <w:jc w:val="center"/>
        </w:trPr>
        <w:tc>
          <w:tcPr>
            <w:tcW w:w="1568" w:type="dxa"/>
            <w:vAlign w:val="center"/>
          </w:tcPr>
          <w:p w14:paraId="7570FBEA">
            <w:pPr>
              <w:adjustRightInd w:val="0"/>
              <w:snapToGrid w:val="0"/>
              <w:spacing w:line="360" w:lineRule="exact"/>
              <w:jc w:val="center"/>
              <w:rPr>
                <w:b/>
                <w:color w:val="auto"/>
              </w:rPr>
            </w:pPr>
            <w:r>
              <w:rPr>
                <w:rFonts w:hint="eastAsia"/>
                <w:b/>
                <w:color w:val="auto"/>
              </w:rPr>
              <w:t>条款号</w:t>
            </w:r>
          </w:p>
        </w:tc>
        <w:tc>
          <w:tcPr>
            <w:tcW w:w="1984" w:type="dxa"/>
            <w:vAlign w:val="center"/>
          </w:tcPr>
          <w:p w14:paraId="07465EFC">
            <w:pPr>
              <w:adjustRightInd w:val="0"/>
              <w:snapToGrid w:val="0"/>
              <w:spacing w:line="360" w:lineRule="exact"/>
              <w:jc w:val="center"/>
              <w:rPr>
                <w:b/>
                <w:color w:val="auto"/>
              </w:rPr>
            </w:pPr>
            <w:r>
              <w:rPr>
                <w:rFonts w:hint="eastAsia"/>
                <w:b/>
                <w:color w:val="auto"/>
              </w:rPr>
              <w:t>条款名称</w:t>
            </w:r>
          </w:p>
        </w:tc>
        <w:tc>
          <w:tcPr>
            <w:tcW w:w="5054" w:type="dxa"/>
            <w:vAlign w:val="center"/>
          </w:tcPr>
          <w:p w14:paraId="17BA3C8E">
            <w:pPr>
              <w:adjustRightInd w:val="0"/>
              <w:snapToGrid w:val="0"/>
              <w:spacing w:line="360" w:lineRule="exact"/>
              <w:jc w:val="center"/>
              <w:rPr>
                <w:b/>
                <w:color w:val="auto"/>
              </w:rPr>
            </w:pPr>
            <w:r>
              <w:rPr>
                <w:rFonts w:hint="eastAsia"/>
                <w:b/>
                <w:color w:val="auto"/>
              </w:rPr>
              <w:t>编列内容规定</w:t>
            </w:r>
          </w:p>
        </w:tc>
      </w:tr>
      <w:tr w14:paraId="6EA561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5" w:hRule="atLeast"/>
          <w:jc w:val="center"/>
        </w:trPr>
        <w:tc>
          <w:tcPr>
            <w:tcW w:w="1568" w:type="dxa"/>
            <w:vAlign w:val="center"/>
          </w:tcPr>
          <w:p w14:paraId="4C6C38BD">
            <w:pPr>
              <w:adjustRightInd w:val="0"/>
              <w:snapToGrid w:val="0"/>
              <w:spacing w:line="360" w:lineRule="exact"/>
              <w:jc w:val="center"/>
              <w:rPr>
                <w:rFonts w:ascii="宋体" w:hAnsi="宋体"/>
                <w:color w:val="auto"/>
                <w:szCs w:val="21"/>
              </w:rPr>
            </w:pPr>
            <w:r>
              <w:rPr>
                <w:rFonts w:hint="eastAsia" w:ascii="宋体" w:hAnsi="宋体"/>
                <w:color w:val="auto"/>
                <w:szCs w:val="21"/>
              </w:rPr>
              <w:t>第1.3</w:t>
            </w:r>
            <w:r>
              <w:rPr>
                <w:rFonts w:hint="eastAsia" w:ascii="宋体" w:hAnsi="宋体" w:cs="宋体"/>
                <w:color w:val="auto"/>
                <w:kern w:val="0"/>
                <w:szCs w:val="21"/>
                <w:lang w:val="zh-CN"/>
              </w:rPr>
              <w:t>款</w:t>
            </w:r>
          </w:p>
        </w:tc>
        <w:tc>
          <w:tcPr>
            <w:tcW w:w="1984" w:type="dxa"/>
            <w:vAlign w:val="center"/>
          </w:tcPr>
          <w:p w14:paraId="1FAFAAF5">
            <w:pPr>
              <w:adjustRightInd w:val="0"/>
              <w:snapToGrid w:val="0"/>
              <w:spacing w:line="360" w:lineRule="exact"/>
              <w:jc w:val="center"/>
              <w:rPr>
                <w:rFonts w:ascii="宋体" w:hAnsi="宋体"/>
                <w:color w:val="auto"/>
                <w:szCs w:val="21"/>
              </w:rPr>
            </w:pPr>
            <w:r>
              <w:rPr>
                <w:rFonts w:hint="eastAsia" w:ascii="宋体" w:hAnsi="宋体"/>
                <w:color w:val="auto"/>
                <w:szCs w:val="21"/>
              </w:rPr>
              <w:t>评标方法</w:t>
            </w:r>
          </w:p>
        </w:tc>
        <w:tc>
          <w:tcPr>
            <w:tcW w:w="5054" w:type="dxa"/>
            <w:vAlign w:val="center"/>
          </w:tcPr>
          <w:p w14:paraId="62BE72FB">
            <w:pPr>
              <w:widowControl/>
              <w:adjustRightInd w:val="0"/>
              <w:snapToGrid w:val="0"/>
              <w:jc w:val="center"/>
              <w:rPr>
                <w:rFonts w:ascii="宋体" w:hAnsi="宋体" w:cs="宋体"/>
                <w:color w:val="auto"/>
                <w:kern w:val="0"/>
                <w:szCs w:val="21"/>
              </w:rPr>
            </w:pPr>
            <w:r>
              <w:rPr>
                <w:rFonts w:hint="eastAsia" w:ascii="宋体" w:hAnsi="宋体" w:cs="宋体"/>
                <w:color w:val="auto"/>
                <w:kern w:val="0"/>
                <w:szCs w:val="21"/>
              </w:rPr>
              <w:t>综合评分法</w:t>
            </w:r>
          </w:p>
        </w:tc>
      </w:tr>
      <w:tr w14:paraId="42BF69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25" w:hRule="atLeast"/>
          <w:jc w:val="center"/>
        </w:trPr>
        <w:tc>
          <w:tcPr>
            <w:tcW w:w="1568" w:type="dxa"/>
            <w:vAlign w:val="center"/>
          </w:tcPr>
          <w:p w14:paraId="38759B6C">
            <w:pPr>
              <w:adjustRightInd w:val="0"/>
              <w:snapToGrid w:val="0"/>
              <w:spacing w:line="360" w:lineRule="exact"/>
              <w:jc w:val="center"/>
              <w:rPr>
                <w:rFonts w:ascii="宋体" w:hAnsi="宋体"/>
                <w:color w:val="auto"/>
                <w:kern w:val="0"/>
                <w:szCs w:val="21"/>
              </w:rPr>
            </w:pPr>
            <w:r>
              <w:rPr>
                <w:rFonts w:hint="eastAsia" w:ascii="宋体" w:hAnsi="宋体"/>
                <w:color w:val="auto"/>
                <w:kern w:val="0"/>
                <w:szCs w:val="21"/>
              </w:rPr>
              <w:t>第3.4</w:t>
            </w:r>
            <w:r>
              <w:rPr>
                <w:rFonts w:hint="eastAsia" w:ascii="宋体" w:hAnsi="宋体"/>
                <w:color w:val="auto"/>
                <w:kern w:val="0"/>
                <w:szCs w:val="21"/>
                <w:lang w:val="zh-CN"/>
              </w:rPr>
              <w:t>款</w:t>
            </w:r>
          </w:p>
        </w:tc>
        <w:tc>
          <w:tcPr>
            <w:tcW w:w="1984" w:type="dxa"/>
            <w:vAlign w:val="center"/>
          </w:tcPr>
          <w:p w14:paraId="0DD1426A">
            <w:pPr>
              <w:adjustRightInd w:val="0"/>
              <w:snapToGrid w:val="0"/>
              <w:spacing w:line="360" w:lineRule="exact"/>
              <w:jc w:val="both"/>
              <w:rPr>
                <w:rFonts w:hint="eastAsia" w:ascii="宋体" w:hAnsi="宋体"/>
                <w:color w:val="auto"/>
                <w:szCs w:val="21"/>
              </w:rPr>
            </w:pPr>
            <w:r>
              <w:rPr>
                <w:rFonts w:hint="eastAsia" w:ascii="宋体" w:hAnsi="宋体"/>
                <w:color w:val="auto"/>
                <w:szCs w:val="21"/>
                <w:lang w:val="en-US" w:eastAsia="zh-CN"/>
              </w:rPr>
              <w:t>非单一产品采购项目的核心产品</w:t>
            </w:r>
          </w:p>
        </w:tc>
        <w:tc>
          <w:tcPr>
            <w:tcW w:w="5054" w:type="dxa"/>
            <w:vAlign w:val="center"/>
          </w:tcPr>
          <w:p w14:paraId="7BF39D23">
            <w:pPr>
              <w:adjustRightInd w:val="0"/>
              <w:snapToGrid w:val="0"/>
              <w:spacing w:line="360" w:lineRule="exact"/>
              <w:ind w:firstLine="1890" w:firstLineChars="900"/>
              <w:jc w:val="both"/>
              <w:rPr>
                <w:rFonts w:hint="default" w:ascii="宋体" w:hAnsi="宋体"/>
                <w:color w:val="auto"/>
                <w:szCs w:val="21"/>
                <w:lang w:val="en-US" w:eastAsia="zh-CN"/>
              </w:rPr>
            </w:pPr>
            <w:r>
              <w:rPr>
                <w:rFonts w:hint="eastAsia" w:ascii="宋体" w:hAnsi="宋体" w:eastAsia="宋体" w:cs="Times New Roman"/>
                <w:color w:val="auto"/>
                <w:szCs w:val="21"/>
                <w:lang w:val="en-US" w:eastAsia="zh-CN"/>
              </w:rPr>
              <w:t>75寸一体机</w:t>
            </w:r>
          </w:p>
        </w:tc>
      </w:tr>
      <w:tr w14:paraId="3F7426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68" w:type="dxa"/>
            <w:vAlign w:val="center"/>
          </w:tcPr>
          <w:p w14:paraId="0346C928">
            <w:pPr>
              <w:adjustRightInd w:val="0"/>
              <w:snapToGrid w:val="0"/>
              <w:spacing w:line="360" w:lineRule="exact"/>
              <w:jc w:val="center"/>
              <w:rPr>
                <w:rFonts w:ascii="宋体" w:hAnsi="宋体"/>
                <w:color w:val="auto"/>
                <w:szCs w:val="21"/>
              </w:rPr>
            </w:pPr>
            <w:r>
              <w:rPr>
                <w:rFonts w:hint="eastAsia" w:ascii="宋体" w:hAnsi="宋体"/>
                <w:color w:val="auto"/>
                <w:szCs w:val="21"/>
              </w:rPr>
              <w:t>第4.2</w:t>
            </w:r>
            <w:r>
              <w:rPr>
                <w:rFonts w:hint="eastAsia" w:ascii="宋体" w:hAnsi="宋体" w:cs="宋体"/>
                <w:color w:val="auto"/>
                <w:kern w:val="0"/>
                <w:szCs w:val="21"/>
                <w:lang w:val="zh-CN"/>
              </w:rPr>
              <w:t>款</w:t>
            </w:r>
          </w:p>
        </w:tc>
        <w:tc>
          <w:tcPr>
            <w:tcW w:w="1984" w:type="dxa"/>
            <w:vAlign w:val="center"/>
          </w:tcPr>
          <w:p w14:paraId="7DE1EFA9">
            <w:pPr>
              <w:adjustRightInd w:val="0"/>
              <w:snapToGrid w:val="0"/>
              <w:spacing w:line="360" w:lineRule="exact"/>
              <w:jc w:val="center"/>
              <w:rPr>
                <w:rFonts w:ascii="宋体" w:hAnsi="宋体"/>
                <w:color w:val="auto"/>
                <w:szCs w:val="21"/>
              </w:rPr>
            </w:pPr>
            <w:r>
              <w:rPr>
                <w:rFonts w:hint="eastAsia" w:ascii="宋体" w:hAnsi="宋体"/>
                <w:color w:val="auto"/>
                <w:szCs w:val="21"/>
              </w:rPr>
              <w:t>投标文件报价出现前后不一致的修正</w:t>
            </w:r>
          </w:p>
        </w:tc>
        <w:tc>
          <w:tcPr>
            <w:tcW w:w="5054" w:type="dxa"/>
            <w:vAlign w:val="center"/>
          </w:tcPr>
          <w:p w14:paraId="272E3ABD">
            <w:pPr>
              <w:pStyle w:val="24"/>
              <w:adjustRightInd w:val="0"/>
              <w:snapToGrid w:val="0"/>
              <w:spacing w:line="360" w:lineRule="exact"/>
              <w:rPr>
                <w:rFonts w:hAnsi="宋体"/>
                <w:color w:val="auto"/>
                <w:kern w:val="2"/>
                <w:sz w:val="21"/>
              </w:rPr>
            </w:pPr>
            <w:r>
              <w:rPr>
                <w:rFonts w:hint="eastAsia" w:hAnsi="宋体"/>
                <w:color w:val="auto"/>
                <w:sz w:val="21"/>
              </w:rPr>
              <w:t>按第二节“评标方法及标准”第4.2条规定修正</w:t>
            </w:r>
          </w:p>
        </w:tc>
      </w:tr>
      <w:tr w14:paraId="6BC97A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68" w:type="dxa"/>
            <w:vAlign w:val="center"/>
          </w:tcPr>
          <w:p w14:paraId="3221FF7D">
            <w:pPr>
              <w:adjustRightInd w:val="0"/>
              <w:snapToGrid w:val="0"/>
              <w:spacing w:line="360" w:lineRule="exact"/>
              <w:jc w:val="center"/>
              <w:rPr>
                <w:rFonts w:ascii="宋体" w:hAnsi="宋体"/>
                <w:color w:val="auto"/>
                <w:szCs w:val="21"/>
              </w:rPr>
            </w:pPr>
            <w:r>
              <w:rPr>
                <w:rFonts w:hint="eastAsia" w:ascii="宋体" w:hAnsi="宋体"/>
                <w:color w:val="auto"/>
                <w:szCs w:val="21"/>
              </w:rPr>
              <w:t>第5.2</w:t>
            </w:r>
            <w:r>
              <w:rPr>
                <w:rFonts w:hint="eastAsia" w:ascii="宋体" w:hAnsi="宋体" w:cs="宋体"/>
                <w:color w:val="auto"/>
                <w:kern w:val="0"/>
                <w:szCs w:val="21"/>
                <w:lang w:val="zh-CN"/>
              </w:rPr>
              <w:t>款</w:t>
            </w:r>
          </w:p>
        </w:tc>
        <w:tc>
          <w:tcPr>
            <w:tcW w:w="1984" w:type="dxa"/>
            <w:vAlign w:val="center"/>
          </w:tcPr>
          <w:p w14:paraId="6D8B211A">
            <w:pPr>
              <w:adjustRightInd w:val="0"/>
              <w:snapToGrid w:val="0"/>
              <w:spacing w:line="360" w:lineRule="exact"/>
              <w:jc w:val="center"/>
              <w:rPr>
                <w:rFonts w:ascii="宋体" w:hAnsi="宋体"/>
                <w:bCs/>
                <w:color w:val="auto"/>
                <w:szCs w:val="21"/>
              </w:rPr>
            </w:pPr>
            <w:r>
              <w:rPr>
                <w:rFonts w:hint="eastAsia" w:ascii="宋体" w:hAnsi="宋体"/>
                <w:bCs/>
                <w:color w:val="auto"/>
                <w:szCs w:val="21"/>
              </w:rPr>
              <w:t>相同品牌产品评审得分相同的规定</w:t>
            </w:r>
          </w:p>
        </w:tc>
        <w:tc>
          <w:tcPr>
            <w:tcW w:w="5054" w:type="dxa"/>
            <w:vAlign w:val="center"/>
          </w:tcPr>
          <w:p w14:paraId="70237B77">
            <w:pPr>
              <w:adjustRightInd w:val="0"/>
              <w:snapToGrid w:val="0"/>
              <w:spacing w:line="360" w:lineRule="exact"/>
              <w:rPr>
                <w:rFonts w:ascii="宋体" w:hAnsi="宋体"/>
                <w:color w:val="auto"/>
                <w:szCs w:val="21"/>
              </w:rPr>
            </w:pPr>
            <w:r>
              <w:rPr>
                <w:rFonts w:hint="eastAsia" w:ascii="宋体" w:hAnsi="宋体"/>
                <w:color w:val="auto"/>
                <w:szCs w:val="21"/>
              </w:rPr>
              <w:t>得分相同的，按投标报价由低到高顺序排列。得分且投标报价相同的，按技术指标优劣顺序排列。</w:t>
            </w:r>
          </w:p>
        </w:tc>
      </w:tr>
      <w:tr w14:paraId="2E5EFF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68" w:type="dxa"/>
            <w:vAlign w:val="center"/>
          </w:tcPr>
          <w:p w14:paraId="7D3990BB">
            <w:pPr>
              <w:adjustRightInd w:val="0"/>
              <w:snapToGrid w:val="0"/>
              <w:spacing w:line="360" w:lineRule="exact"/>
              <w:jc w:val="center"/>
              <w:rPr>
                <w:rFonts w:ascii="宋体" w:hAnsi="宋体"/>
                <w:color w:val="auto"/>
                <w:szCs w:val="21"/>
              </w:rPr>
            </w:pPr>
            <w:r>
              <w:rPr>
                <w:rFonts w:hint="eastAsia" w:ascii="宋体" w:hAnsi="宋体"/>
                <w:color w:val="auto"/>
                <w:szCs w:val="21"/>
              </w:rPr>
              <w:t>第5.4（1）</w:t>
            </w:r>
            <w:r>
              <w:rPr>
                <w:rFonts w:hint="eastAsia" w:ascii="宋体" w:hAnsi="宋体" w:cs="宋体"/>
                <w:color w:val="auto"/>
                <w:kern w:val="0"/>
                <w:szCs w:val="21"/>
                <w:lang w:val="zh-CN"/>
              </w:rPr>
              <w:t>项</w:t>
            </w:r>
          </w:p>
        </w:tc>
        <w:tc>
          <w:tcPr>
            <w:tcW w:w="1984" w:type="dxa"/>
            <w:vAlign w:val="center"/>
          </w:tcPr>
          <w:p w14:paraId="57D42B06">
            <w:pPr>
              <w:adjustRightInd w:val="0"/>
              <w:snapToGrid w:val="0"/>
              <w:spacing w:line="360" w:lineRule="exact"/>
              <w:jc w:val="center"/>
              <w:rPr>
                <w:rFonts w:ascii="宋体" w:hAnsi="宋体"/>
                <w:bCs/>
                <w:color w:val="auto"/>
                <w:szCs w:val="21"/>
              </w:rPr>
            </w:pPr>
            <w:r>
              <w:rPr>
                <w:rFonts w:hint="eastAsia" w:ascii="宋体" w:hAnsi="宋体"/>
                <w:color w:val="auto"/>
                <w:szCs w:val="21"/>
              </w:rPr>
              <w:t>价格评审优惠</w:t>
            </w:r>
          </w:p>
        </w:tc>
        <w:tc>
          <w:tcPr>
            <w:tcW w:w="5054" w:type="dxa"/>
            <w:vAlign w:val="center"/>
          </w:tcPr>
          <w:p w14:paraId="74488FC3">
            <w:pPr>
              <w:adjustRightInd w:val="0"/>
              <w:snapToGrid w:val="0"/>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给予小型和微型企业产品的价格给予10%-20%的扣除，用扣除后的价格参与评审，本项目具体扣除比例为</w:t>
            </w:r>
            <w:r>
              <w:rPr>
                <w:rFonts w:hint="eastAsia" w:ascii="宋体" w:hAnsi="宋体"/>
                <w:color w:val="auto"/>
                <w:szCs w:val="21"/>
                <w:u w:val="single"/>
              </w:rPr>
              <w:t xml:space="preserve"> 10 </w:t>
            </w:r>
            <w:r>
              <w:rPr>
                <w:rFonts w:hint="eastAsia" w:ascii="宋体" w:hAnsi="宋体"/>
                <w:color w:val="auto"/>
                <w:szCs w:val="21"/>
              </w:rPr>
              <w:t>％。</w:t>
            </w:r>
          </w:p>
          <w:p w14:paraId="07A92A25">
            <w:pPr>
              <w:spacing w:line="360" w:lineRule="exact"/>
              <w:rPr>
                <w:color w:val="auto"/>
                <w:szCs w:val="21"/>
              </w:rPr>
            </w:pPr>
            <w:bookmarkStart w:id="611" w:name="_Toc112704953"/>
            <w:bookmarkStart w:id="612" w:name="_Toc29159"/>
            <w:bookmarkStart w:id="613" w:name="_Toc117192468"/>
            <w:bookmarkStart w:id="614" w:name="_Toc114036732"/>
            <w:bookmarkStart w:id="615" w:name="_Toc5096"/>
            <w:bookmarkStart w:id="616" w:name="_Toc10451"/>
            <w:r>
              <w:rPr>
                <w:rFonts w:hint="eastAsia" w:ascii="宋体" w:hAnsi="宋体"/>
                <w:color w:val="auto"/>
                <w:szCs w:val="21"/>
              </w:rPr>
              <w:sym w:font="Wingdings" w:char="00A8"/>
            </w:r>
            <w:r>
              <w:rPr>
                <w:rFonts w:hint="eastAsia" w:ascii="宋体" w:hAnsi="宋体"/>
                <w:color w:val="auto"/>
                <w:szCs w:val="21"/>
              </w:rPr>
              <w:t>联合协议或者分包意向协议约定小微企业的合同份额占到合同总金额40%以上的，对联合体或者大中型企业的报价给予4%-6%的扣除，本项目具体扣除比例为</w:t>
            </w:r>
            <w:r>
              <w:rPr>
                <w:rFonts w:hint="eastAsia" w:ascii="宋体" w:hAnsi="宋体"/>
                <w:color w:val="auto"/>
                <w:szCs w:val="21"/>
                <w:u w:val="single"/>
              </w:rPr>
              <w:t xml:space="preserve"> / </w:t>
            </w:r>
            <w:r>
              <w:rPr>
                <w:rFonts w:hint="eastAsia" w:ascii="宋体" w:hAnsi="宋体"/>
                <w:color w:val="auto"/>
                <w:szCs w:val="21"/>
              </w:rPr>
              <w:t>%；</w:t>
            </w:r>
            <w:bookmarkEnd w:id="611"/>
            <w:bookmarkEnd w:id="612"/>
            <w:bookmarkEnd w:id="613"/>
            <w:bookmarkEnd w:id="614"/>
            <w:bookmarkEnd w:id="615"/>
            <w:bookmarkEnd w:id="616"/>
          </w:p>
          <w:p w14:paraId="6655EA37">
            <w:pPr>
              <w:adjustRightInd w:val="0"/>
              <w:snapToGrid w:val="0"/>
              <w:spacing w:line="360" w:lineRule="exact"/>
              <w:rPr>
                <w:rFonts w:ascii="宋体" w:hAnsi="宋体"/>
                <w:color w:val="auto"/>
                <w:szCs w:val="21"/>
              </w:rPr>
            </w:pPr>
            <w:r>
              <w:rPr>
                <w:rFonts w:hint="eastAsia" w:ascii="宋体" w:hAnsi="宋体"/>
                <w:color w:val="auto"/>
                <w:szCs w:val="21"/>
              </w:rPr>
              <w:t>（注：监狱企业、残疾人福利性单位视同小型、微型企业，享受评审中价格扣除等促进中小企业发展的政府采购政策）</w:t>
            </w:r>
          </w:p>
        </w:tc>
      </w:tr>
      <w:tr w14:paraId="31DE57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7" w:hRule="atLeast"/>
          <w:jc w:val="center"/>
        </w:trPr>
        <w:tc>
          <w:tcPr>
            <w:tcW w:w="1568" w:type="dxa"/>
            <w:vMerge w:val="restart"/>
            <w:vAlign w:val="center"/>
          </w:tcPr>
          <w:p w14:paraId="659AE6A0">
            <w:pPr>
              <w:adjustRightInd w:val="0"/>
              <w:snapToGrid w:val="0"/>
              <w:spacing w:before="120" w:beforeLines="50" w:line="360" w:lineRule="auto"/>
              <w:jc w:val="center"/>
              <w:rPr>
                <w:rFonts w:ascii="宋体" w:hAnsi="宋体"/>
                <w:color w:val="auto"/>
                <w:szCs w:val="21"/>
              </w:rPr>
            </w:pPr>
            <w:r>
              <w:rPr>
                <w:rFonts w:hint="eastAsia" w:ascii="宋体" w:hAnsi="宋体"/>
                <w:color w:val="auto"/>
                <w:szCs w:val="21"/>
              </w:rPr>
              <w:t>第5.4（2）</w:t>
            </w:r>
            <w:r>
              <w:rPr>
                <w:rFonts w:hint="eastAsia" w:ascii="宋体" w:hAnsi="宋体" w:cs="宋体"/>
                <w:color w:val="auto"/>
                <w:kern w:val="0"/>
                <w:szCs w:val="21"/>
                <w:lang w:val="zh-CN"/>
              </w:rPr>
              <w:t>项</w:t>
            </w:r>
          </w:p>
        </w:tc>
        <w:tc>
          <w:tcPr>
            <w:tcW w:w="1984" w:type="dxa"/>
            <w:vMerge w:val="restart"/>
            <w:vAlign w:val="center"/>
          </w:tcPr>
          <w:p w14:paraId="31461D57">
            <w:pPr>
              <w:adjustRightInd w:val="0"/>
              <w:snapToGrid w:val="0"/>
              <w:spacing w:before="120" w:beforeLines="50" w:line="360" w:lineRule="auto"/>
              <w:jc w:val="center"/>
              <w:rPr>
                <w:rFonts w:ascii="宋体" w:hAnsi="宋体"/>
                <w:color w:val="auto"/>
                <w:szCs w:val="21"/>
              </w:rPr>
            </w:pPr>
            <w:r>
              <w:rPr>
                <w:rFonts w:hint="eastAsia" w:ascii="宋体" w:hAnsi="宋体"/>
                <w:color w:val="auto"/>
                <w:szCs w:val="21"/>
              </w:rPr>
              <w:t>优先采购</w:t>
            </w:r>
          </w:p>
        </w:tc>
        <w:tc>
          <w:tcPr>
            <w:tcW w:w="5054" w:type="dxa"/>
            <w:tcBorders>
              <w:bottom w:val="single" w:color="auto" w:sz="4" w:space="0"/>
            </w:tcBorders>
            <w:vAlign w:val="center"/>
          </w:tcPr>
          <w:p w14:paraId="4F0CD56C">
            <w:pPr>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 xml:space="preserve">(1)节能产品、环境标志产品：提供国家确定的认 </w:t>
            </w:r>
          </w:p>
          <w:p w14:paraId="0E0B04AA">
            <w:pPr>
              <w:spacing w:line="360" w:lineRule="exact"/>
              <w:rPr>
                <w:rFonts w:ascii="宋体" w:hAnsi="宋体"/>
                <w:color w:val="auto"/>
                <w:szCs w:val="21"/>
              </w:rPr>
            </w:pPr>
            <w:r>
              <w:rPr>
                <w:rFonts w:hint="eastAsia" w:ascii="宋体" w:hAnsi="宋体"/>
                <w:color w:val="auto"/>
                <w:szCs w:val="21"/>
              </w:rPr>
              <w:t xml:space="preserve">证机构出具的、处于有效期之内的节能产品、环境标志产品认证证书（复印件）。采用综合评分法，对于 </w:t>
            </w:r>
          </w:p>
          <w:p w14:paraId="40E4DBC3">
            <w:pPr>
              <w:spacing w:line="360" w:lineRule="exact"/>
              <w:rPr>
                <w:rFonts w:ascii="宋体" w:hAnsi="宋体"/>
                <w:color w:val="auto"/>
                <w:szCs w:val="21"/>
              </w:rPr>
            </w:pPr>
            <w:r>
              <w:rPr>
                <w:rFonts w:hint="eastAsia" w:ascii="宋体" w:hAnsi="宋体"/>
                <w:color w:val="auto"/>
                <w:szCs w:val="21"/>
              </w:rPr>
              <w:t>价格分和技术分，分别给予总分值 4%的加分。</w:t>
            </w:r>
          </w:p>
        </w:tc>
      </w:tr>
      <w:tr w14:paraId="3B881E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7" w:hRule="atLeast"/>
          <w:jc w:val="center"/>
        </w:trPr>
        <w:tc>
          <w:tcPr>
            <w:tcW w:w="1568" w:type="dxa"/>
            <w:vMerge w:val="continue"/>
            <w:vAlign w:val="center"/>
          </w:tcPr>
          <w:p w14:paraId="56E3E3EE">
            <w:pPr>
              <w:adjustRightInd w:val="0"/>
              <w:snapToGrid w:val="0"/>
              <w:spacing w:before="120" w:beforeLines="50" w:line="360" w:lineRule="auto"/>
              <w:jc w:val="center"/>
              <w:rPr>
                <w:rFonts w:ascii="宋体" w:hAnsi="宋体"/>
                <w:color w:val="auto"/>
                <w:szCs w:val="21"/>
              </w:rPr>
            </w:pPr>
          </w:p>
        </w:tc>
        <w:tc>
          <w:tcPr>
            <w:tcW w:w="1984" w:type="dxa"/>
            <w:vMerge w:val="continue"/>
            <w:tcBorders>
              <w:bottom w:val="single" w:color="auto" w:sz="4" w:space="0"/>
            </w:tcBorders>
            <w:vAlign w:val="center"/>
          </w:tcPr>
          <w:p w14:paraId="0021B67C">
            <w:pPr>
              <w:adjustRightInd w:val="0"/>
              <w:snapToGrid w:val="0"/>
              <w:spacing w:before="120" w:beforeLines="50" w:line="360" w:lineRule="auto"/>
              <w:jc w:val="center"/>
              <w:rPr>
                <w:rFonts w:ascii="宋体" w:hAnsi="宋体"/>
                <w:color w:val="auto"/>
                <w:szCs w:val="21"/>
              </w:rPr>
            </w:pPr>
          </w:p>
        </w:tc>
        <w:tc>
          <w:tcPr>
            <w:tcW w:w="5054" w:type="dxa"/>
            <w:tcBorders>
              <w:top w:val="single" w:color="auto" w:sz="4" w:space="0"/>
              <w:bottom w:val="single" w:color="auto" w:sz="4" w:space="0"/>
            </w:tcBorders>
            <w:vAlign w:val="center"/>
          </w:tcPr>
          <w:p w14:paraId="29961C1D">
            <w:pPr>
              <w:spacing w:line="360" w:lineRule="exact"/>
              <w:rPr>
                <w:rFonts w:ascii="宋体" w:hAnsi="宋体"/>
                <w:color w:val="auto"/>
                <w:szCs w:val="21"/>
              </w:rPr>
            </w:pPr>
            <w:r>
              <w:rPr>
                <w:rFonts w:hint="eastAsia" w:ascii="宋体" w:hAnsi="宋体"/>
                <w:color w:val="auto"/>
                <w:szCs w:val="21"/>
              </w:rPr>
              <w:sym w:font="Wingdings" w:char="00FE"/>
            </w:r>
            <w:r>
              <w:rPr>
                <w:rFonts w:hint="eastAsia" w:ascii="宋体" w:hAnsi="宋体"/>
                <w:color w:val="auto"/>
                <w:szCs w:val="21"/>
              </w:rPr>
              <w:t xml:space="preserve">(1)投标供应商提供的产品取得两个及以上优先 </w:t>
            </w:r>
          </w:p>
          <w:p w14:paraId="4E11E6D3">
            <w:pPr>
              <w:spacing w:line="360" w:lineRule="exact"/>
              <w:rPr>
                <w:rFonts w:ascii="宋体" w:hAnsi="宋体"/>
                <w:color w:val="auto"/>
                <w:szCs w:val="21"/>
              </w:rPr>
            </w:pPr>
            <w:r>
              <w:rPr>
                <w:rFonts w:hint="eastAsia" w:ascii="宋体" w:hAnsi="宋体"/>
                <w:color w:val="auto"/>
                <w:szCs w:val="21"/>
              </w:rPr>
              <w:t xml:space="preserve">采购产品认证的，评审时只有其中一项产品能够享受 </w:t>
            </w:r>
          </w:p>
          <w:p w14:paraId="7AA7E049">
            <w:pPr>
              <w:spacing w:line="360" w:lineRule="exact"/>
              <w:rPr>
                <w:rFonts w:ascii="宋体" w:hAnsi="宋体"/>
                <w:color w:val="auto"/>
                <w:szCs w:val="21"/>
              </w:rPr>
            </w:pPr>
            <w:r>
              <w:rPr>
                <w:rFonts w:hint="eastAsia" w:ascii="宋体" w:hAnsi="宋体"/>
                <w:color w:val="auto"/>
                <w:szCs w:val="21"/>
              </w:rPr>
              <w:t xml:space="preserve">优先采购优惠（投标供应商自行选择，并在响应文件 </w:t>
            </w:r>
          </w:p>
          <w:p w14:paraId="6C6A0EA8">
            <w:pPr>
              <w:spacing w:line="360" w:lineRule="exact"/>
              <w:rPr>
                <w:rFonts w:ascii="宋体" w:hAnsi="宋体"/>
                <w:color w:val="auto"/>
                <w:szCs w:val="21"/>
              </w:rPr>
            </w:pPr>
            <w:r>
              <w:rPr>
                <w:rFonts w:hint="eastAsia" w:ascii="宋体" w:hAnsi="宋体"/>
                <w:color w:val="auto"/>
                <w:szCs w:val="21"/>
              </w:rPr>
              <w:t xml:space="preserve">中并填报相关信息及数据） </w:t>
            </w:r>
          </w:p>
          <w:p w14:paraId="4D50425E">
            <w:pPr>
              <w:spacing w:line="360" w:lineRule="exact"/>
              <w:rPr>
                <w:rFonts w:ascii="宋体" w:hAnsi="宋体"/>
                <w:color w:val="auto"/>
                <w:szCs w:val="21"/>
              </w:rPr>
            </w:pPr>
            <w:r>
              <w:rPr>
                <w:rFonts w:hint="eastAsia" w:ascii="宋体" w:hAnsi="宋体"/>
                <w:color w:val="auto"/>
                <w:szCs w:val="21"/>
              </w:rPr>
              <w:t xml:space="preserve">(2)小型和微型企业 的价格评审优惠可以与同时属于 </w:t>
            </w:r>
          </w:p>
          <w:p w14:paraId="48D0836E">
            <w:pPr>
              <w:spacing w:line="360" w:lineRule="exact"/>
              <w:rPr>
                <w:rFonts w:ascii="宋体" w:hAnsi="宋体"/>
                <w:color w:val="auto"/>
                <w:szCs w:val="21"/>
              </w:rPr>
            </w:pPr>
            <w:r>
              <w:rPr>
                <w:rFonts w:hint="eastAsia" w:ascii="宋体" w:hAnsi="宋体"/>
                <w:color w:val="auto"/>
                <w:szCs w:val="21"/>
              </w:rPr>
              <w:t xml:space="preserve">“节能产品”、“环境标志产品”中的一项优先采购 </w:t>
            </w:r>
          </w:p>
          <w:p w14:paraId="3F8C7F09">
            <w:pPr>
              <w:spacing w:line="360" w:lineRule="exact"/>
              <w:rPr>
                <w:rFonts w:ascii="宋体" w:hAnsi="宋体"/>
                <w:color w:val="auto"/>
                <w:szCs w:val="21"/>
              </w:rPr>
            </w:pPr>
            <w:r>
              <w:rPr>
                <w:rFonts w:hint="eastAsia" w:ascii="宋体" w:hAnsi="宋体"/>
                <w:color w:val="auto"/>
                <w:szCs w:val="21"/>
              </w:rPr>
              <w:t>优惠累加计算。</w:t>
            </w:r>
          </w:p>
        </w:tc>
      </w:tr>
      <w:tr w14:paraId="7B8C69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1" w:hRule="atLeast"/>
          <w:jc w:val="center"/>
        </w:trPr>
        <w:tc>
          <w:tcPr>
            <w:tcW w:w="1568" w:type="dxa"/>
            <w:vMerge w:val="continue"/>
            <w:vAlign w:val="center"/>
          </w:tcPr>
          <w:p w14:paraId="62DC744E">
            <w:pPr>
              <w:adjustRightInd w:val="0"/>
              <w:snapToGrid w:val="0"/>
              <w:spacing w:before="120" w:beforeLines="50" w:line="360" w:lineRule="auto"/>
              <w:jc w:val="center"/>
              <w:rPr>
                <w:rFonts w:ascii="宋体" w:hAnsi="宋体"/>
                <w:color w:val="auto"/>
                <w:szCs w:val="21"/>
              </w:rPr>
            </w:pPr>
          </w:p>
        </w:tc>
        <w:tc>
          <w:tcPr>
            <w:tcW w:w="1984" w:type="dxa"/>
            <w:tcBorders>
              <w:top w:val="single" w:color="auto" w:sz="4" w:space="0"/>
            </w:tcBorders>
            <w:vAlign w:val="center"/>
          </w:tcPr>
          <w:p w14:paraId="376AA9EF">
            <w:pPr>
              <w:snapToGrid w:val="0"/>
              <w:spacing w:line="360" w:lineRule="exact"/>
              <w:jc w:val="center"/>
              <w:rPr>
                <w:rStyle w:val="112"/>
                <w:rFonts w:ascii="宋体" w:hAnsi="宋体"/>
                <w:color w:val="auto"/>
                <w:szCs w:val="21"/>
              </w:rPr>
            </w:pPr>
            <w:r>
              <w:rPr>
                <w:rFonts w:hint="eastAsia" w:ascii="宋体" w:hAnsi="宋体"/>
                <w:color w:val="auto"/>
                <w:szCs w:val="21"/>
              </w:rPr>
              <w:t>技术、价格分值调整计算方法</w:t>
            </w:r>
          </w:p>
        </w:tc>
        <w:tc>
          <w:tcPr>
            <w:tcW w:w="5054" w:type="dxa"/>
            <w:tcBorders>
              <w:top w:val="single" w:color="auto" w:sz="4" w:space="0"/>
            </w:tcBorders>
            <w:vAlign w:val="center"/>
          </w:tcPr>
          <w:p w14:paraId="519298F5">
            <w:pPr>
              <w:adjustRightInd w:val="0"/>
              <w:snapToGrid w:val="0"/>
              <w:spacing w:line="360" w:lineRule="exact"/>
              <w:rPr>
                <w:rFonts w:ascii="宋体" w:hAnsi="宋体" w:cs="宋体"/>
                <w:color w:val="auto"/>
                <w:szCs w:val="21"/>
              </w:rPr>
            </w:pPr>
            <w:r>
              <w:rPr>
                <w:rFonts w:hint="eastAsia" w:ascii="宋体" w:hAnsi="宋体" w:cs="宋体"/>
                <w:color w:val="auto"/>
                <w:szCs w:val="21"/>
              </w:rPr>
              <w:t>1、节能产品：</w:t>
            </w:r>
          </w:p>
          <w:p w14:paraId="751BAC6F">
            <w:pPr>
              <w:adjustRightInd w:val="0"/>
              <w:spacing w:line="360" w:lineRule="exact"/>
              <w:rPr>
                <w:rFonts w:ascii="宋体" w:hAnsi="宋体"/>
                <w:color w:val="auto"/>
                <w:szCs w:val="21"/>
              </w:rPr>
            </w:pPr>
            <w:r>
              <w:rPr>
                <w:rFonts w:hint="eastAsia" w:ascii="宋体" w:hAnsi="宋体"/>
                <w:color w:val="auto"/>
                <w:szCs w:val="21"/>
                <w:highlight w:val="white"/>
              </w:rPr>
              <w:t>技术加分＝技术分值× 加分比例×（节能产品报价÷总报价）；</w:t>
            </w:r>
          </w:p>
          <w:p w14:paraId="5D420E88">
            <w:pPr>
              <w:adjustRightInd w:val="0"/>
              <w:snapToGrid w:val="0"/>
              <w:spacing w:line="360" w:lineRule="exact"/>
              <w:ind w:left="210" w:hanging="210" w:hangingChars="100"/>
              <w:rPr>
                <w:rFonts w:ascii="宋体" w:hAnsi="宋体" w:cs="宋体"/>
                <w:color w:val="auto"/>
                <w:spacing w:val="-5"/>
                <w:szCs w:val="21"/>
              </w:rPr>
            </w:pPr>
            <w:r>
              <w:rPr>
                <w:rFonts w:hint="eastAsia" w:ascii="宋体" w:hAnsi="宋体"/>
                <w:color w:val="auto"/>
                <w:szCs w:val="21"/>
                <w:highlight w:val="white"/>
              </w:rPr>
              <w:t>价格加分＝价格分值×加分比例×（节能产品报价÷总报价）。</w:t>
            </w:r>
          </w:p>
          <w:p w14:paraId="7051B7EC">
            <w:pPr>
              <w:adjustRightInd w:val="0"/>
              <w:snapToGrid w:val="0"/>
              <w:spacing w:line="360" w:lineRule="exact"/>
              <w:rPr>
                <w:rFonts w:ascii="宋体" w:hAnsi="宋体" w:cs="宋体"/>
                <w:color w:val="auto"/>
                <w:szCs w:val="21"/>
              </w:rPr>
            </w:pPr>
            <w:r>
              <w:rPr>
                <w:rFonts w:hint="eastAsia" w:ascii="宋体" w:hAnsi="宋体" w:cs="宋体"/>
                <w:color w:val="auto"/>
                <w:szCs w:val="21"/>
              </w:rPr>
              <w:t>2、环境标志产品：</w:t>
            </w:r>
          </w:p>
          <w:p w14:paraId="4C1795BD">
            <w:pPr>
              <w:adjustRightInd w:val="0"/>
              <w:spacing w:line="360" w:lineRule="exact"/>
              <w:rPr>
                <w:rFonts w:ascii="宋体" w:hAnsi="宋体"/>
                <w:color w:val="auto"/>
                <w:szCs w:val="21"/>
              </w:rPr>
            </w:pPr>
            <w:r>
              <w:rPr>
                <w:rFonts w:hint="eastAsia" w:ascii="宋体" w:hAnsi="宋体"/>
                <w:color w:val="auto"/>
                <w:szCs w:val="21"/>
                <w:highlight w:val="white"/>
              </w:rPr>
              <w:t>技术加分＝技术分值×加分比例×（环境标志产品报价÷总报价）；</w:t>
            </w:r>
          </w:p>
          <w:p w14:paraId="7651504F">
            <w:pPr>
              <w:adjustRightInd w:val="0"/>
              <w:snapToGrid w:val="0"/>
              <w:spacing w:line="360" w:lineRule="exact"/>
              <w:ind w:hanging="1"/>
              <w:rPr>
                <w:rStyle w:val="112"/>
                <w:rFonts w:ascii="宋体" w:hAnsi="宋体"/>
                <w:color w:val="auto"/>
                <w:szCs w:val="21"/>
              </w:rPr>
            </w:pPr>
            <w:r>
              <w:rPr>
                <w:rFonts w:hint="eastAsia" w:ascii="宋体" w:hAnsi="宋体"/>
                <w:color w:val="auto"/>
                <w:szCs w:val="21"/>
                <w:highlight w:val="white"/>
              </w:rPr>
              <w:t>价格加分＝价格分值×加分比例×（环境标志产品报价÷总报价）</w:t>
            </w:r>
            <w:r>
              <w:rPr>
                <w:rFonts w:hint="eastAsia" w:ascii="宋体" w:hAnsi="宋体" w:cs="宋体"/>
                <w:color w:val="auto"/>
                <w:szCs w:val="21"/>
              </w:rPr>
              <w:t>。</w:t>
            </w:r>
          </w:p>
        </w:tc>
      </w:tr>
      <w:tr w14:paraId="360265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568" w:type="dxa"/>
            <w:vAlign w:val="center"/>
          </w:tcPr>
          <w:p w14:paraId="527B0168">
            <w:pPr>
              <w:adjustRightInd w:val="0"/>
              <w:snapToGrid w:val="0"/>
              <w:spacing w:before="120" w:beforeLines="50" w:line="360" w:lineRule="auto"/>
              <w:jc w:val="center"/>
              <w:rPr>
                <w:rFonts w:ascii="宋体" w:hAnsi="宋体"/>
                <w:color w:val="auto"/>
                <w:szCs w:val="21"/>
              </w:rPr>
            </w:pPr>
            <w:r>
              <w:rPr>
                <w:rFonts w:hint="eastAsia" w:ascii="宋体" w:hAnsi="宋体"/>
                <w:color w:val="auto"/>
                <w:szCs w:val="21"/>
              </w:rPr>
              <w:t>第6.1</w:t>
            </w:r>
            <w:r>
              <w:rPr>
                <w:rFonts w:hint="eastAsia" w:ascii="宋体" w:hAnsi="宋体" w:cs="宋体"/>
                <w:color w:val="auto"/>
                <w:kern w:val="0"/>
                <w:szCs w:val="21"/>
                <w:lang w:val="zh-CN"/>
              </w:rPr>
              <w:t>款</w:t>
            </w:r>
          </w:p>
        </w:tc>
        <w:tc>
          <w:tcPr>
            <w:tcW w:w="1984" w:type="dxa"/>
            <w:vAlign w:val="center"/>
          </w:tcPr>
          <w:p w14:paraId="756607A7">
            <w:pPr>
              <w:adjustRightInd w:val="0"/>
              <w:snapToGrid w:val="0"/>
              <w:spacing w:before="120" w:beforeLines="50" w:line="360" w:lineRule="auto"/>
              <w:jc w:val="center"/>
              <w:rPr>
                <w:rFonts w:ascii="宋体" w:hAnsi="宋体"/>
                <w:color w:val="auto"/>
                <w:szCs w:val="21"/>
              </w:rPr>
            </w:pPr>
            <w:r>
              <w:rPr>
                <w:rFonts w:hint="eastAsia" w:ascii="宋体" w:hAnsi="宋体"/>
                <w:color w:val="auto"/>
                <w:szCs w:val="21"/>
              </w:rPr>
              <w:t>中标候选人并列的确定中标人的方式</w:t>
            </w:r>
          </w:p>
        </w:tc>
        <w:tc>
          <w:tcPr>
            <w:tcW w:w="5054" w:type="dxa"/>
            <w:vAlign w:val="center"/>
          </w:tcPr>
          <w:p w14:paraId="07FD7DFB">
            <w:pPr>
              <w:adjustRightInd w:val="0"/>
              <w:snapToGrid w:val="0"/>
              <w:spacing w:line="360" w:lineRule="exact"/>
              <w:rPr>
                <w:rFonts w:ascii="宋体" w:hAnsi="宋体"/>
                <w:color w:val="auto"/>
                <w:szCs w:val="21"/>
              </w:rPr>
            </w:pPr>
            <w:r>
              <w:rPr>
                <w:rFonts w:hint="eastAsia" w:ascii="宋体" w:hAnsi="宋体"/>
                <w:color w:val="auto"/>
                <w:szCs w:val="21"/>
              </w:rPr>
              <w:t>完全满足采购文件实质性需求且综合得分最高的单位为中标单位，得分相同的，按投标报价由低到高顺序排列；得分且投标报价相同的，按技术指标优劣顺序排列。</w:t>
            </w:r>
          </w:p>
        </w:tc>
      </w:tr>
    </w:tbl>
    <w:p w14:paraId="73CCC354">
      <w:pPr>
        <w:pStyle w:val="4"/>
        <w:spacing w:after="120" w:afterLines="50"/>
        <w:jc w:val="center"/>
        <w:rPr>
          <w:rFonts w:ascii="黑体" w:hAnsi="黑体" w:eastAsia="黑体"/>
          <w:b w:val="0"/>
          <w:color w:val="auto"/>
          <w:sz w:val="28"/>
          <w:szCs w:val="28"/>
        </w:rPr>
      </w:pPr>
      <w:r>
        <w:rPr>
          <w:rFonts w:ascii="宋体" w:hAnsi="宋体"/>
          <w:color w:val="auto"/>
        </w:rPr>
        <w:br w:type="page"/>
      </w:r>
      <w:bookmarkStart w:id="617" w:name="_Toc77676487"/>
      <w:bookmarkStart w:id="618" w:name="_Toc23580"/>
      <w:bookmarkStart w:id="619" w:name="_Toc75289249"/>
      <w:bookmarkStart w:id="620" w:name="_Toc3815"/>
      <w:bookmarkStart w:id="621" w:name="_Toc78449976"/>
      <w:bookmarkStart w:id="622" w:name="_Toc171273691"/>
      <w:bookmarkStart w:id="623" w:name="_Toc100670689"/>
      <w:bookmarkStart w:id="624" w:name="_Toc192951233"/>
      <w:bookmarkStart w:id="625" w:name="_Toc192949722"/>
      <w:bookmarkStart w:id="626" w:name="_Toc95601386"/>
      <w:bookmarkStart w:id="627" w:name="_Toc114036733"/>
      <w:bookmarkStart w:id="628" w:name="_Toc112704954"/>
      <w:bookmarkStart w:id="629" w:name="_Toc15888507"/>
      <w:bookmarkStart w:id="630" w:name="_Toc75289569"/>
      <w:bookmarkStart w:id="631" w:name="_Toc13281"/>
      <w:bookmarkStart w:id="632" w:name="_Toc117192469"/>
      <w:bookmarkStart w:id="633" w:name="_Toc85972951"/>
      <w:bookmarkStart w:id="634" w:name="_Toc31907"/>
      <w:bookmarkStart w:id="635" w:name="_Toc78314283"/>
      <w:bookmarkStart w:id="636" w:name="_Toc12839"/>
      <w:bookmarkStart w:id="637" w:name="_Toc94367901"/>
      <w:bookmarkStart w:id="638" w:name="_Toc30695"/>
      <w:bookmarkStart w:id="639" w:name="_Toc11713"/>
      <w:bookmarkStart w:id="640" w:name="_Toc100670442"/>
      <w:bookmarkStart w:id="641" w:name="_Toc14977"/>
      <w:bookmarkStart w:id="642" w:name="_Toc192949623"/>
      <w:bookmarkStart w:id="643" w:name="_Toc77199420"/>
      <w:bookmarkStart w:id="644" w:name="_Toc154428410"/>
      <w:bookmarkStart w:id="645" w:name="_Toc15853"/>
      <w:bookmarkStart w:id="646" w:name="_Toc108341958"/>
      <w:r>
        <w:rPr>
          <w:rFonts w:hint="eastAsia" w:ascii="黑体" w:hAnsi="黑体" w:eastAsia="黑体"/>
          <w:b w:val="0"/>
          <w:color w:val="auto"/>
          <w:sz w:val="28"/>
          <w:szCs w:val="28"/>
        </w:rPr>
        <w:t>第二节  评标方法及标准</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14:paraId="4A6076D9">
      <w:pPr>
        <w:pStyle w:val="5"/>
        <w:adjustRightInd w:val="0"/>
        <w:snapToGrid w:val="0"/>
        <w:spacing w:before="0" w:after="0" w:line="360" w:lineRule="auto"/>
        <w:rPr>
          <w:rFonts w:ascii="宋体" w:hAnsi="宋体"/>
          <w:color w:val="auto"/>
          <w:sz w:val="24"/>
          <w:szCs w:val="24"/>
        </w:rPr>
      </w:pPr>
      <w:bookmarkStart w:id="647" w:name="_Toc77199421"/>
      <w:bookmarkStart w:id="648" w:name="_Toc2060"/>
      <w:bookmarkStart w:id="649" w:name="_Toc77676488"/>
      <w:bookmarkStart w:id="650" w:name="_Toc154428411"/>
      <w:bookmarkStart w:id="651" w:name="_Toc112704955"/>
      <w:bookmarkStart w:id="652" w:name="_Toc100670443"/>
      <w:bookmarkStart w:id="653" w:name="_Toc26908"/>
      <w:bookmarkStart w:id="654" w:name="_Toc5884"/>
      <w:bookmarkStart w:id="655" w:name="_Toc78449977"/>
      <w:bookmarkStart w:id="656" w:name="_Toc108341959"/>
      <w:bookmarkStart w:id="657" w:name="_Toc20549"/>
      <w:bookmarkStart w:id="658" w:name="_Toc114036734"/>
      <w:bookmarkStart w:id="659" w:name="_Toc78314284"/>
      <w:bookmarkStart w:id="660" w:name="_Toc85972952"/>
      <w:bookmarkStart w:id="661" w:name="_Toc192949723"/>
      <w:bookmarkStart w:id="662" w:name="_Toc117192470"/>
      <w:bookmarkStart w:id="663" w:name="_Toc75289570"/>
      <w:bookmarkStart w:id="664" w:name="_Toc75289250"/>
      <w:bookmarkStart w:id="665" w:name="_Toc94367902"/>
      <w:bookmarkStart w:id="666" w:name="_Toc95601387"/>
      <w:bookmarkStart w:id="667" w:name="_Toc2358"/>
      <w:bookmarkStart w:id="668" w:name="_Toc1198"/>
      <w:bookmarkStart w:id="669" w:name="_Toc192949624"/>
      <w:bookmarkStart w:id="670" w:name="_Toc192951234"/>
      <w:bookmarkStart w:id="671" w:name="_Toc15888508"/>
      <w:bookmarkStart w:id="672" w:name="_Toc18591"/>
      <w:bookmarkStart w:id="673" w:name="_Toc20274"/>
      <w:bookmarkStart w:id="674" w:name="_Toc100670690"/>
      <w:bookmarkStart w:id="675" w:name="_Toc23844"/>
      <w:bookmarkStart w:id="676" w:name="_Toc171273692"/>
      <w:r>
        <w:rPr>
          <w:rFonts w:hint="eastAsia" w:ascii="宋体" w:hAnsi="宋体"/>
          <w:color w:val="auto"/>
          <w:sz w:val="24"/>
          <w:szCs w:val="24"/>
        </w:rPr>
        <w:t>1．评标方法</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14:paraId="1F91487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1.1综合评分法，指投标文件满足招标文件全部实质性要求，且按照评审因素的量化指标评审得分最高的投标人为中标候选人的评标方法。</w:t>
      </w:r>
    </w:p>
    <w:p w14:paraId="5F7C8F13">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1.2最低评标价，是指投标文件满足招标文件全部实质性要求，且投标报价最低的投标人为中标候选人的评标方法。</w:t>
      </w:r>
    </w:p>
    <w:p w14:paraId="3D89C1E3">
      <w:pPr>
        <w:adjustRightInd w:val="0"/>
        <w:snapToGrid w:val="0"/>
        <w:spacing w:line="360" w:lineRule="auto"/>
        <w:ind w:firstLine="420" w:firstLineChars="200"/>
        <w:rPr>
          <w:rFonts w:ascii="宋体" w:hAnsi="宋体"/>
          <w:color w:val="auto"/>
          <w:szCs w:val="21"/>
        </w:rPr>
      </w:pPr>
      <w:r>
        <w:rPr>
          <w:rFonts w:hint="eastAsia" w:ascii="宋体" w:hAnsi="宋体"/>
          <w:bCs/>
          <w:color w:val="auto"/>
          <w:szCs w:val="21"/>
        </w:rPr>
        <w:t>1.3本采购项目评标方法见本章第一节</w:t>
      </w:r>
      <w:r>
        <w:rPr>
          <w:rFonts w:hint="eastAsia" w:ascii="宋体" w:hAnsi="宋体"/>
          <w:b/>
          <w:color w:val="auto"/>
          <w:szCs w:val="21"/>
        </w:rPr>
        <w:t>【评标方法及标准前附表】</w:t>
      </w:r>
      <w:r>
        <w:rPr>
          <w:rFonts w:hint="eastAsia" w:ascii="宋体" w:hAnsi="宋体"/>
          <w:color w:val="auto"/>
          <w:szCs w:val="21"/>
        </w:rPr>
        <w:t>。</w:t>
      </w:r>
    </w:p>
    <w:p w14:paraId="2BDAB923">
      <w:pPr>
        <w:pStyle w:val="5"/>
        <w:adjustRightInd w:val="0"/>
        <w:snapToGrid w:val="0"/>
        <w:spacing w:before="0" w:after="0" w:line="360" w:lineRule="auto"/>
        <w:rPr>
          <w:rFonts w:ascii="宋体" w:hAnsi="宋体"/>
          <w:bCs w:val="0"/>
          <w:color w:val="auto"/>
          <w:sz w:val="24"/>
          <w:szCs w:val="24"/>
        </w:rPr>
      </w:pPr>
      <w:bookmarkStart w:id="677" w:name="_Toc171273693"/>
      <w:bookmarkStart w:id="678" w:name="_Toc10283"/>
      <w:bookmarkStart w:id="679" w:name="_Toc78449978"/>
      <w:bookmarkStart w:id="680" w:name="_Toc117192471"/>
      <w:bookmarkStart w:id="681" w:name="_Toc192951235"/>
      <w:bookmarkStart w:id="682" w:name="_Toc77199422"/>
      <w:bookmarkStart w:id="683" w:name="_Toc11555"/>
      <w:bookmarkStart w:id="684" w:name="_Toc28336"/>
      <w:bookmarkStart w:id="685" w:name="_Toc100670444"/>
      <w:bookmarkStart w:id="686" w:name="_Toc95601388"/>
      <w:bookmarkStart w:id="687" w:name="_Toc6540"/>
      <w:bookmarkStart w:id="688" w:name="_Toc18042"/>
      <w:bookmarkStart w:id="689" w:name="_Toc15888509"/>
      <w:bookmarkStart w:id="690" w:name="_Toc94367903"/>
      <w:bookmarkStart w:id="691" w:name="_Toc192949724"/>
      <w:bookmarkStart w:id="692" w:name="_Toc75289571"/>
      <w:bookmarkStart w:id="693" w:name="_Toc75289251"/>
      <w:bookmarkStart w:id="694" w:name="_Toc108341960"/>
      <w:bookmarkStart w:id="695" w:name="_Toc9186"/>
      <w:bookmarkStart w:id="696" w:name="_Toc25082"/>
      <w:bookmarkStart w:id="697" w:name="_Toc100670691"/>
      <w:bookmarkStart w:id="698" w:name="_Toc85972953"/>
      <w:bookmarkStart w:id="699" w:name="_Toc114036735"/>
      <w:bookmarkStart w:id="700" w:name="_Toc78314285"/>
      <w:bookmarkStart w:id="701" w:name="_Toc77676489"/>
      <w:bookmarkStart w:id="702" w:name="_Toc154428412"/>
      <w:bookmarkStart w:id="703" w:name="_Toc27639"/>
      <w:bookmarkStart w:id="704" w:name="_Toc192949625"/>
      <w:bookmarkStart w:id="705" w:name="_Toc112704956"/>
      <w:bookmarkStart w:id="706" w:name="_Toc4535"/>
      <w:r>
        <w:rPr>
          <w:rFonts w:hint="eastAsia" w:ascii="宋体" w:hAnsi="宋体"/>
          <w:bCs w:val="0"/>
          <w:color w:val="auto"/>
          <w:sz w:val="24"/>
          <w:szCs w:val="24"/>
        </w:rPr>
        <w:t>2．评标程序</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14:paraId="7A9C50CB">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2.1评标程序分为投标文件符合性审查、澄清有关问题、比较和评价、推荐中标候选人。</w:t>
      </w:r>
    </w:p>
    <w:p w14:paraId="60E5EA57">
      <w:pPr>
        <w:pStyle w:val="5"/>
        <w:adjustRightInd w:val="0"/>
        <w:snapToGrid w:val="0"/>
        <w:spacing w:before="0" w:after="0" w:line="360" w:lineRule="auto"/>
        <w:rPr>
          <w:rFonts w:ascii="宋体" w:hAnsi="宋体"/>
          <w:bCs w:val="0"/>
          <w:color w:val="auto"/>
          <w:sz w:val="24"/>
          <w:szCs w:val="24"/>
        </w:rPr>
      </w:pPr>
      <w:bookmarkStart w:id="707" w:name="_Toc192951236"/>
      <w:bookmarkStart w:id="708" w:name="_Toc154428413"/>
      <w:bookmarkStart w:id="709" w:name="_Toc20203"/>
      <w:bookmarkStart w:id="710" w:name="_Toc114036736"/>
      <w:bookmarkStart w:id="711" w:name="_Toc100670692"/>
      <w:bookmarkStart w:id="712" w:name="_Toc26079"/>
      <w:bookmarkStart w:id="713" w:name="_Toc100670445"/>
      <w:bookmarkStart w:id="714" w:name="_Toc77199423"/>
      <w:bookmarkStart w:id="715" w:name="_Toc74"/>
      <w:bookmarkStart w:id="716" w:name="_Toc77676490"/>
      <w:bookmarkStart w:id="717" w:name="_Toc24196"/>
      <w:bookmarkStart w:id="718" w:name="_Toc94367904"/>
      <w:bookmarkStart w:id="719" w:name="_Toc117192472"/>
      <w:bookmarkStart w:id="720" w:name="_Toc75289252"/>
      <w:bookmarkStart w:id="721" w:name="_Toc78449979"/>
      <w:bookmarkStart w:id="722" w:name="_Toc15888510"/>
      <w:bookmarkStart w:id="723" w:name="_Toc11770"/>
      <w:bookmarkStart w:id="724" w:name="_Toc108341961"/>
      <w:bookmarkStart w:id="725" w:name="_Toc192949626"/>
      <w:bookmarkStart w:id="726" w:name="_Toc75289572"/>
      <w:bookmarkStart w:id="727" w:name="_Toc95601389"/>
      <w:bookmarkStart w:id="728" w:name="_Toc171273694"/>
      <w:bookmarkStart w:id="729" w:name="_Toc7194"/>
      <w:bookmarkStart w:id="730" w:name="_Toc15208"/>
      <w:bookmarkStart w:id="731" w:name="_Toc112704957"/>
      <w:bookmarkStart w:id="732" w:name="_Toc85972954"/>
      <w:bookmarkStart w:id="733" w:name="_Toc192949725"/>
      <w:bookmarkStart w:id="734" w:name="_Toc12331"/>
      <w:bookmarkStart w:id="735" w:name="_Toc28097"/>
      <w:bookmarkStart w:id="736" w:name="_Toc78314286"/>
      <w:r>
        <w:rPr>
          <w:rFonts w:hint="eastAsia" w:ascii="宋体" w:hAnsi="宋体"/>
          <w:bCs w:val="0"/>
          <w:color w:val="auto"/>
          <w:sz w:val="24"/>
          <w:szCs w:val="24"/>
        </w:rPr>
        <w:t>3．投标文件符合性审查</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14:paraId="2213BBC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3.1资格审查结束后，评标委员会依法按照本章第三节“投标文件的符合性审查”规定进行投标文件符合性。</w:t>
      </w:r>
    </w:p>
    <w:p w14:paraId="03143D5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3.2符合性审查合格投标人少于3家的，应予废标。</w:t>
      </w:r>
    </w:p>
    <w:p w14:paraId="257FA36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3.3单一产品采购项目：提供相同品牌产品的不同投标人参加同一合同项下投标的，按一家投标人计算。提供不同品牌产品的投标人不足三家的，应予废标。</w:t>
      </w:r>
    </w:p>
    <w:p w14:paraId="68E6353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3.4非单一产品采购项目：采购人或者采购代理机构将在</w:t>
      </w:r>
      <w:r>
        <w:rPr>
          <w:rFonts w:hint="eastAsia" w:ascii="宋体" w:hAnsi="宋体"/>
          <w:b/>
          <w:color w:val="auto"/>
          <w:szCs w:val="21"/>
        </w:rPr>
        <w:t>【评标方法及标准前附表】</w:t>
      </w:r>
      <w:r>
        <w:rPr>
          <w:rFonts w:hint="eastAsia" w:ascii="宋体" w:hAnsi="宋体"/>
          <w:color w:val="auto"/>
          <w:szCs w:val="21"/>
        </w:rPr>
        <w:t>中载明核心产品。多家投标人提供的核心产品品牌相同的，视为相同品牌，按本章本节第3.3款规定处理。</w:t>
      </w:r>
    </w:p>
    <w:p w14:paraId="579AD4E8">
      <w:pPr>
        <w:pStyle w:val="5"/>
        <w:adjustRightInd w:val="0"/>
        <w:snapToGrid w:val="0"/>
        <w:spacing w:before="0" w:after="0" w:line="360" w:lineRule="auto"/>
        <w:rPr>
          <w:rFonts w:ascii="宋体" w:hAnsi="宋体"/>
          <w:bCs w:val="0"/>
          <w:color w:val="auto"/>
          <w:sz w:val="24"/>
          <w:szCs w:val="24"/>
        </w:rPr>
      </w:pPr>
      <w:bookmarkStart w:id="737" w:name="_Toc15888511"/>
      <w:bookmarkStart w:id="738" w:name="_Toc78314287"/>
      <w:bookmarkStart w:id="739" w:name="_Toc23422"/>
      <w:bookmarkStart w:id="740" w:name="_Toc154428414"/>
      <w:bookmarkStart w:id="741" w:name="_Toc94367905"/>
      <w:bookmarkStart w:id="742" w:name="_Toc95601390"/>
      <w:bookmarkStart w:id="743" w:name="_Toc77676491"/>
      <w:bookmarkStart w:id="744" w:name="_Toc1997"/>
      <w:bookmarkStart w:id="745" w:name="_Toc85972955"/>
      <w:bookmarkStart w:id="746" w:name="_Toc192951237"/>
      <w:bookmarkStart w:id="747" w:name="_Toc23510"/>
      <w:bookmarkStart w:id="748" w:name="_Toc100670693"/>
      <w:bookmarkStart w:id="749" w:name="_Toc16112"/>
      <w:bookmarkStart w:id="750" w:name="_Toc75289573"/>
      <w:bookmarkStart w:id="751" w:name="_Toc12018"/>
      <w:bookmarkStart w:id="752" w:name="_Toc117192473"/>
      <w:bookmarkStart w:id="753" w:name="_Toc192949627"/>
      <w:bookmarkStart w:id="754" w:name="_Toc112704958"/>
      <w:bookmarkStart w:id="755" w:name="_Toc75289253"/>
      <w:bookmarkStart w:id="756" w:name="_Toc100670446"/>
      <w:bookmarkStart w:id="757" w:name="_Toc9762"/>
      <w:bookmarkStart w:id="758" w:name="_Toc108341962"/>
      <w:bookmarkStart w:id="759" w:name="_Toc78449980"/>
      <w:bookmarkStart w:id="760" w:name="_Toc114036737"/>
      <w:bookmarkStart w:id="761" w:name="_Toc171273695"/>
      <w:bookmarkStart w:id="762" w:name="_Toc331"/>
      <w:bookmarkStart w:id="763" w:name="_Toc192949726"/>
      <w:bookmarkStart w:id="764" w:name="_Toc77199424"/>
      <w:bookmarkStart w:id="765" w:name="_Toc7079"/>
      <w:bookmarkStart w:id="766" w:name="_Toc11656"/>
      <w:r>
        <w:rPr>
          <w:rFonts w:hint="eastAsia" w:ascii="宋体" w:hAnsi="宋体"/>
          <w:bCs w:val="0"/>
          <w:color w:val="auto"/>
          <w:sz w:val="24"/>
          <w:szCs w:val="24"/>
        </w:rPr>
        <w:t>4．</w:t>
      </w:r>
      <w:bookmarkEnd w:id="737"/>
      <w:r>
        <w:rPr>
          <w:rFonts w:hint="eastAsia" w:ascii="宋体" w:hAnsi="宋体"/>
          <w:bCs w:val="0"/>
          <w:color w:val="auto"/>
          <w:sz w:val="24"/>
          <w:szCs w:val="24"/>
        </w:rPr>
        <w:t>投标文件的澄清</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14:paraId="66E0369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4.1对于投标文件中含义不明确、同类问题表述不一致或者有明显文字和计算错误的内容，评标委员会应当要求投标人作出必要的澄清、说明或者补正。</w:t>
      </w:r>
    </w:p>
    <w:p w14:paraId="1C08D29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4.2投标文件的投标报价出现前后不一致的，除</w:t>
      </w:r>
      <w:r>
        <w:rPr>
          <w:rFonts w:hint="eastAsia" w:ascii="宋体" w:hAnsi="宋体"/>
          <w:b/>
          <w:color w:val="auto"/>
          <w:szCs w:val="21"/>
        </w:rPr>
        <w:t>【评标方法及标准前附表】</w:t>
      </w:r>
      <w:r>
        <w:rPr>
          <w:rFonts w:hint="eastAsia" w:ascii="宋体" w:hAnsi="宋体"/>
          <w:color w:val="auto"/>
          <w:szCs w:val="21"/>
        </w:rPr>
        <w:t>另有规定外，按照下列规定修正：</w:t>
      </w:r>
    </w:p>
    <w:p w14:paraId="2972C17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（1）投标文件中开标一览表内容与投标文件中相应内容不一致的，以开标一览表为准；</w:t>
      </w:r>
    </w:p>
    <w:p w14:paraId="7AD90D7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（2）大写金额和小写金额不一致的，以大写金额为准；</w:t>
      </w:r>
    </w:p>
    <w:p w14:paraId="44D8166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（3）单价金额小数点或者百分比有明显错位的，以开标一览表的总价为准，并修改单价；</w:t>
      </w:r>
    </w:p>
    <w:p w14:paraId="46F5E8B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（4）总价金额与按单价汇总金额不一致的，以单价金额计算结果为准。</w:t>
      </w:r>
    </w:p>
    <w:p w14:paraId="72EBC51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4.3投标文件报价同时出现两种以上不一致的，按照前款规定的顺序修正。修正后的报价由投标人代表签字或者加盖单位章确认后产生约束力，投标人不确认的，其投标无效。</w:t>
      </w:r>
    </w:p>
    <w:p w14:paraId="3F63F19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4.4投标人的澄清、说明或者补正应当采用书面形式，并加盖公章，或者由法定代表人或其授权的代表签字，并按评标委员会的通知要求递交。投标人的澄清、说明或者补正不得超出投标文件的范围或者改变投标文件的实质性内容。</w:t>
      </w:r>
    </w:p>
    <w:p w14:paraId="5A4038F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4.5有效的书面澄清材料，是投标文件的补充材料，成为投标文件的组成部分。</w:t>
      </w:r>
    </w:p>
    <w:p w14:paraId="36B2914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4.6评标委员会认为投标人的报价明显低于其他通过符合性审查投标人的报价，有可能影响产品质量或者不能诚信履约的，应当要求其在合理的时间内提供书面说明，必要时提交相关证明材料；投标人不能证明其报价合理性的，评标委员会应当将其作为投标无效处理。</w:t>
      </w:r>
    </w:p>
    <w:p w14:paraId="6CCD3F86">
      <w:pPr>
        <w:pStyle w:val="5"/>
        <w:adjustRightInd w:val="0"/>
        <w:snapToGrid w:val="0"/>
        <w:spacing w:before="0" w:after="0" w:line="360" w:lineRule="auto"/>
        <w:rPr>
          <w:rFonts w:ascii="宋体" w:hAnsi="宋体"/>
          <w:bCs w:val="0"/>
          <w:color w:val="auto"/>
          <w:sz w:val="24"/>
          <w:szCs w:val="24"/>
        </w:rPr>
      </w:pPr>
      <w:bookmarkStart w:id="767" w:name="_Toc108341963"/>
      <w:bookmarkStart w:id="768" w:name="_Toc30844"/>
      <w:bookmarkStart w:id="769" w:name="_Toc3752"/>
      <w:bookmarkStart w:id="770" w:name="_Toc30333"/>
      <w:bookmarkStart w:id="771" w:name="_Toc100670447"/>
      <w:bookmarkStart w:id="772" w:name="_Toc154428415"/>
      <w:bookmarkStart w:id="773" w:name="_Toc78314288"/>
      <w:bookmarkStart w:id="774" w:name="_Toc75289254"/>
      <w:bookmarkStart w:id="775" w:name="_Toc75289574"/>
      <w:bookmarkStart w:id="776" w:name="_Toc114036738"/>
      <w:bookmarkStart w:id="777" w:name="_Toc15888512"/>
      <w:bookmarkStart w:id="778" w:name="_Toc14375"/>
      <w:bookmarkStart w:id="779" w:name="_Toc171273696"/>
      <w:bookmarkStart w:id="780" w:name="_Toc11082"/>
      <w:bookmarkStart w:id="781" w:name="_Toc85972956"/>
      <w:bookmarkStart w:id="782" w:name="_Toc192949727"/>
      <w:bookmarkStart w:id="783" w:name="_Toc77199425"/>
      <w:bookmarkStart w:id="784" w:name="_Toc31537"/>
      <w:bookmarkStart w:id="785" w:name="_Toc1304"/>
      <w:bookmarkStart w:id="786" w:name="_Toc117192474"/>
      <w:bookmarkStart w:id="787" w:name="_Toc27743"/>
      <w:bookmarkStart w:id="788" w:name="_Toc112704959"/>
      <w:bookmarkStart w:id="789" w:name="_Toc95601391"/>
      <w:bookmarkStart w:id="790" w:name="_Toc100670694"/>
      <w:bookmarkStart w:id="791" w:name="_Toc192949628"/>
      <w:bookmarkStart w:id="792" w:name="_Toc94367906"/>
      <w:bookmarkStart w:id="793" w:name="_Toc77676492"/>
      <w:bookmarkStart w:id="794" w:name="_Toc78449981"/>
      <w:bookmarkStart w:id="795" w:name="_Toc18267"/>
      <w:bookmarkStart w:id="796" w:name="_Toc192951238"/>
      <w:r>
        <w:rPr>
          <w:rFonts w:hint="eastAsia" w:ascii="宋体" w:hAnsi="宋体"/>
          <w:bCs w:val="0"/>
          <w:color w:val="auto"/>
          <w:sz w:val="24"/>
          <w:szCs w:val="24"/>
        </w:rPr>
        <w:t>5．投标文件的比较与评价</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14:paraId="02ED4056">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5.1评标委员会依法按照本章第四节“投标文件的比较与评价”规定，对资格性检查和符合性检查合格的投标文件进行比较和评价。</w:t>
      </w:r>
    </w:p>
    <w:p w14:paraId="5CB0C1C4">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5.2单一产品采购项目：</w:t>
      </w:r>
    </w:p>
    <w:p w14:paraId="2364DCC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综合评分法：提供相同品牌产品且通过资格审查、符合性审查的不同投标人参加同一合同项下投标的，评审后得分最高的同品牌投标人获得中标人推荐资格；评审得分相同的，按照</w:t>
      </w:r>
      <w:r>
        <w:rPr>
          <w:rFonts w:hint="eastAsia" w:ascii="宋体" w:hAnsi="宋体"/>
          <w:b/>
          <w:color w:val="auto"/>
          <w:szCs w:val="21"/>
        </w:rPr>
        <w:t>【评标方法及标准前附表】</w:t>
      </w:r>
      <w:r>
        <w:rPr>
          <w:rFonts w:hint="eastAsia" w:ascii="宋体" w:hAnsi="宋体"/>
          <w:color w:val="auto"/>
          <w:szCs w:val="21"/>
        </w:rPr>
        <w:t>规定的方式确定一个投标人获得中标人推荐资格，招标文件未规定的采取随机抽取方式确定，其他同品牌投标人</w:t>
      </w:r>
      <w:r>
        <w:rPr>
          <w:rFonts w:hint="eastAsia" w:ascii="宋体" w:hAnsi="宋体"/>
          <w:b/>
          <w:color w:val="auto"/>
          <w:szCs w:val="21"/>
        </w:rPr>
        <w:t>不作为中标候选人</w:t>
      </w:r>
      <w:r>
        <w:rPr>
          <w:rFonts w:hint="eastAsia" w:ascii="宋体" w:hAnsi="宋体"/>
          <w:color w:val="auto"/>
          <w:szCs w:val="21"/>
        </w:rPr>
        <w:t>。</w:t>
      </w:r>
    </w:p>
    <w:p w14:paraId="370ADE68">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5.3非单一产品采购项目：多家投标人提供的核心产品品牌相同的，视为相同品牌，按本章本节第 5.2 款规定处理。</w:t>
      </w:r>
    </w:p>
    <w:p w14:paraId="1EC1149F">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5.4政府采购政策：</w:t>
      </w:r>
    </w:p>
    <w:p w14:paraId="7861C89D">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（1）</w:t>
      </w:r>
      <w:r>
        <w:rPr>
          <w:rFonts w:hint="eastAsia" w:ascii="宋体" w:hAnsi="宋体"/>
          <w:bCs/>
          <w:color w:val="auto"/>
          <w:szCs w:val="21"/>
        </w:rPr>
        <w:t>价格评审优惠：</w:t>
      </w:r>
      <w:r>
        <w:rPr>
          <w:rFonts w:hint="eastAsia" w:ascii="宋体" w:hAnsi="宋体"/>
          <w:color w:val="auto"/>
          <w:szCs w:val="21"/>
        </w:rPr>
        <w:t>按</w:t>
      </w:r>
      <w:r>
        <w:rPr>
          <w:rFonts w:hint="eastAsia" w:ascii="宋体" w:hAnsi="宋体"/>
          <w:b/>
          <w:color w:val="auto"/>
          <w:szCs w:val="21"/>
        </w:rPr>
        <w:t>【评标方法及标准前附表】</w:t>
      </w:r>
      <w:r>
        <w:rPr>
          <w:rFonts w:hint="eastAsia" w:ascii="宋体" w:hAnsi="宋体"/>
          <w:color w:val="auto"/>
          <w:szCs w:val="21"/>
        </w:rPr>
        <w:t>及第二章“投标须知”的相关规定给予相应比例的价格折扣。</w:t>
      </w:r>
    </w:p>
    <w:p w14:paraId="14DE3A8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（2）优先采购：</w:t>
      </w:r>
      <w:r>
        <w:rPr>
          <w:rFonts w:hint="eastAsia" w:ascii="宋体" w:hAnsi="宋体"/>
          <w:bCs/>
          <w:color w:val="auto"/>
          <w:szCs w:val="21"/>
        </w:rPr>
        <w:t>评审时按</w:t>
      </w:r>
      <w:r>
        <w:rPr>
          <w:rFonts w:hint="eastAsia" w:ascii="宋体" w:hAnsi="宋体"/>
          <w:b/>
          <w:color w:val="auto"/>
          <w:szCs w:val="21"/>
        </w:rPr>
        <w:t>【评标方法及标准前附表】</w:t>
      </w:r>
      <w:r>
        <w:rPr>
          <w:rFonts w:hint="eastAsia" w:ascii="宋体" w:hAnsi="宋体"/>
          <w:bCs/>
          <w:color w:val="auto"/>
          <w:szCs w:val="21"/>
        </w:rPr>
        <w:t>及第二章</w:t>
      </w:r>
      <w:r>
        <w:rPr>
          <w:rFonts w:hint="eastAsia" w:ascii="宋体" w:hAnsi="宋体"/>
          <w:color w:val="auto"/>
          <w:szCs w:val="21"/>
        </w:rPr>
        <w:t>“投标须知”</w:t>
      </w:r>
      <w:r>
        <w:rPr>
          <w:rFonts w:hint="eastAsia" w:ascii="宋体" w:hAnsi="宋体"/>
          <w:bCs/>
          <w:color w:val="auto"/>
          <w:szCs w:val="21"/>
        </w:rPr>
        <w:t>的相关规定给予</w:t>
      </w:r>
      <w:r>
        <w:rPr>
          <w:rFonts w:hint="eastAsia" w:ascii="宋体" w:hAnsi="宋体"/>
          <w:color w:val="auto"/>
          <w:szCs w:val="21"/>
        </w:rPr>
        <w:t>相应比例的</w:t>
      </w:r>
      <w:r>
        <w:rPr>
          <w:rFonts w:hint="eastAsia" w:ascii="宋体" w:hAnsi="宋体"/>
          <w:bCs/>
          <w:color w:val="auto"/>
          <w:szCs w:val="21"/>
        </w:rPr>
        <w:t>价格折扣或者加分。</w:t>
      </w:r>
    </w:p>
    <w:p w14:paraId="14BF6899">
      <w:pPr>
        <w:pStyle w:val="5"/>
        <w:adjustRightInd w:val="0"/>
        <w:snapToGrid w:val="0"/>
        <w:spacing w:before="0" w:after="0" w:line="360" w:lineRule="auto"/>
        <w:rPr>
          <w:rFonts w:ascii="宋体" w:hAnsi="宋体"/>
          <w:color w:val="auto"/>
          <w:sz w:val="24"/>
          <w:szCs w:val="24"/>
        </w:rPr>
      </w:pPr>
      <w:bookmarkStart w:id="797" w:name="_Toc15888513"/>
      <w:bookmarkStart w:id="798" w:name="_Toc77199426"/>
      <w:bookmarkStart w:id="799" w:name="_Toc11557"/>
      <w:bookmarkStart w:id="800" w:name="_Toc78314289"/>
      <w:bookmarkStart w:id="801" w:name="_Toc100670448"/>
      <w:bookmarkStart w:id="802" w:name="_Toc192949728"/>
      <w:bookmarkStart w:id="803" w:name="_Toc100670695"/>
      <w:bookmarkStart w:id="804" w:name="_Toc78449982"/>
      <w:bookmarkStart w:id="805" w:name="_Toc85972957"/>
      <w:bookmarkStart w:id="806" w:name="_Toc18950"/>
      <w:bookmarkStart w:id="807" w:name="_Toc11688"/>
      <w:bookmarkStart w:id="808" w:name="_Toc192951239"/>
      <w:bookmarkStart w:id="809" w:name="_Toc10825"/>
      <w:bookmarkStart w:id="810" w:name="_Toc192949629"/>
      <w:bookmarkStart w:id="811" w:name="_Toc95601392"/>
      <w:bookmarkStart w:id="812" w:name="_Toc75289575"/>
      <w:bookmarkStart w:id="813" w:name="_Toc77676493"/>
      <w:bookmarkStart w:id="814" w:name="_Toc6114"/>
      <w:bookmarkStart w:id="815" w:name="_Toc112704960"/>
      <w:bookmarkStart w:id="816" w:name="_Toc94367907"/>
      <w:bookmarkStart w:id="817" w:name="_Toc114036739"/>
      <w:bookmarkStart w:id="818" w:name="_Toc32465"/>
      <w:bookmarkStart w:id="819" w:name="_Toc6957"/>
      <w:bookmarkStart w:id="820" w:name="_Toc75289255"/>
      <w:bookmarkStart w:id="821" w:name="_Toc28149"/>
      <w:bookmarkStart w:id="822" w:name="_Toc117192475"/>
      <w:bookmarkStart w:id="823" w:name="_Toc3438"/>
      <w:bookmarkStart w:id="824" w:name="_Toc108341964"/>
      <w:bookmarkStart w:id="825" w:name="_Toc171273697"/>
      <w:bookmarkStart w:id="826" w:name="_Toc154428416"/>
      <w:r>
        <w:rPr>
          <w:rFonts w:hint="eastAsia" w:ascii="宋体" w:hAnsi="宋体"/>
          <w:bCs w:val="0"/>
          <w:color w:val="auto"/>
          <w:sz w:val="24"/>
          <w:szCs w:val="24"/>
        </w:rPr>
        <w:t>6．</w:t>
      </w:r>
      <w:bookmarkEnd w:id="797"/>
      <w:r>
        <w:rPr>
          <w:rFonts w:hint="eastAsia" w:ascii="黑体" w:hAnsi="黑体" w:eastAsia="黑体"/>
          <w:color w:val="auto"/>
          <w:sz w:val="24"/>
          <w:szCs w:val="24"/>
        </w:rPr>
        <w:t>推荐中标候选人</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5D77E558">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6.1</w:t>
      </w:r>
      <w:r>
        <w:rPr>
          <w:rFonts w:hint="eastAsia" w:ascii="宋体" w:hAnsi="宋体"/>
          <w:bCs/>
          <w:color w:val="auto"/>
          <w:szCs w:val="21"/>
        </w:rPr>
        <w:t>评标结果按评审后得分由高到低顺序排列。得分相同的，按投标报价由低到高顺序排列。得分且投标报价相同的并列，按</w:t>
      </w:r>
      <w:r>
        <w:rPr>
          <w:rFonts w:hint="eastAsia" w:ascii="宋体" w:hAnsi="宋体"/>
          <w:b/>
          <w:bCs/>
          <w:color w:val="auto"/>
          <w:szCs w:val="21"/>
        </w:rPr>
        <w:t>【评标方法及标准前附表】</w:t>
      </w:r>
      <w:r>
        <w:rPr>
          <w:rFonts w:hint="eastAsia" w:ascii="宋体" w:hAnsi="宋体"/>
          <w:bCs/>
          <w:color w:val="auto"/>
          <w:szCs w:val="21"/>
        </w:rPr>
        <w:t>规定的方式确定中标人；招标文件未规定的，采取随机抽取的方式确定。</w:t>
      </w:r>
    </w:p>
    <w:p w14:paraId="3402F1DD">
      <w:pPr>
        <w:pStyle w:val="5"/>
        <w:adjustRightInd w:val="0"/>
        <w:snapToGrid w:val="0"/>
        <w:spacing w:before="0" w:after="0" w:line="360" w:lineRule="auto"/>
        <w:rPr>
          <w:rFonts w:ascii="宋体" w:hAnsi="宋体"/>
          <w:color w:val="auto"/>
          <w:sz w:val="24"/>
          <w:szCs w:val="24"/>
        </w:rPr>
      </w:pPr>
      <w:bookmarkStart w:id="827" w:name="_Toc95601393"/>
      <w:bookmarkStart w:id="828" w:name="_Toc26541"/>
      <w:bookmarkStart w:id="829" w:name="_Toc1805"/>
      <w:bookmarkStart w:id="830" w:name="_Toc9509"/>
      <w:bookmarkStart w:id="831" w:name="_Toc100670696"/>
      <w:bookmarkStart w:id="832" w:name="_Toc192951240"/>
      <w:bookmarkStart w:id="833" w:name="_Toc117192476"/>
      <w:bookmarkStart w:id="834" w:name="_Toc100670449"/>
      <w:bookmarkStart w:id="835" w:name="_Toc94367908"/>
      <w:bookmarkStart w:id="836" w:name="_Toc108341965"/>
      <w:bookmarkStart w:id="837" w:name="_Toc78314290"/>
      <w:bookmarkStart w:id="838" w:name="_Toc112704961"/>
      <w:bookmarkStart w:id="839" w:name="_Toc77199427"/>
      <w:bookmarkStart w:id="840" w:name="_Toc85972958"/>
      <w:bookmarkStart w:id="841" w:name="_Toc15888514"/>
      <w:bookmarkStart w:id="842" w:name="_Toc77676494"/>
      <w:bookmarkStart w:id="843" w:name="_Toc25137"/>
      <w:bookmarkStart w:id="844" w:name="_Toc75289256"/>
      <w:bookmarkStart w:id="845" w:name="_Toc30406"/>
      <w:bookmarkStart w:id="846" w:name="_Toc171273698"/>
      <w:bookmarkStart w:id="847" w:name="_Toc4001"/>
      <w:bookmarkStart w:id="848" w:name="_Toc114036740"/>
      <w:bookmarkStart w:id="849" w:name="_Toc78449983"/>
      <w:bookmarkStart w:id="850" w:name="_Toc154428417"/>
      <w:bookmarkStart w:id="851" w:name="_Toc27054"/>
      <w:bookmarkStart w:id="852" w:name="_Toc27789"/>
      <w:bookmarkStart w:id="853" w:name="_Toc192949729"/>
      <w:bookmarkStart w:id="854" w:name="_Toc13145"/>
      <w:bookmarkStart w:id="855" w:name="_Toc75289576"/>
      <w:bookmarkStart w:id="856" w:name="_Toc192949630"/>
      <w:r>
        <w:rPr>
          <w:rFonts w:hint="eastAsia" w:ascii="宋体" w:hAnsi="宋体"/>
          <w:bCs w:val="0"/>
          <w:color w:val="auto"/>
          <w:sz w:val="24"/>
          <w:szCs w:val="24"/>
        </w:rPr>
        <w:t>7．</w:t>
      </w:r>
      <w:r>
        <w:rPr>
          <w:rFonts w:hint="eastAsia" w:ascii="宋体" w:hAnsi="宋体"/>
          <w:color w:val="auto"/>
          <w:sz w:val="24"/>
          <w:szCs w:val="24"/>
        </w:rPr>
        <w:t>编写评标报告</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14:paraId="27F6C72B">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7.1评标</w:t>
      </w:r>
      <w:r>
        <w:rPr>
          <w:rFonts w:hint="eastAsia" w:ascii="宋体" w:hAnsi="宋体"/>
          <w:bCs/>
          <w:color w:val="auto"/>
          <w:szCs w:val="21"/>
        </w:rPr>
        <w:t>委员会</w:t>
      </w:r>
      <w:r>
        <w:rPr>
          <w:rFonts w:hint="eastAsia" w:ascii="宋体" w:hAnsi="宋体"/>
          <w:color w:val="auto"/>
          <w:szCs w:val="21"/>
        </w:rPr>
        <w:t>根据全体评标成员签字的原始评标记录和评标结果编写评标报告。</w:t>
      </w:r>
    </w:p>
    <w:p w14:paraId="74E67D6E">
      <w:pPr>
        <w:adjustRightInd w:val="0"/>
        <w:snapToGrid w:val="0"/>
        <w:spacing w:line="360" w:lineRule="auto"/>
        <w:ind w:firstLine="420" w:firstLineChars="200"/>
        <w:rPr>
          <w:rFonts w:ascii="宋体" w:hAnsi="宋体"/>
          <w:bCs/>
          <w:color w:val="auto"/>
          <w:szCs w:val="21"/>
        </w:rPr>
      </w:pPr>
      <w:r>
        <w:rPr>
          <w:rFonts w:hint="eastAsia" w:ascii="宋体" w:hAnsi="宋体"/>
          <w:color w:val="auto"/>
          <w:szCs w:val="21"/>
        </w:rPr>
        <w:t>7.2</w:t>
      </w:r>
      <w:r>
        <w:rPr>
          <w:rFonts w:hint="eastAsia" w:ascii="宋体" w:hAnsi="宋体"/>
          <w:bCs/>
          <w:color w:val="auto"/>
          <w:szCs w:val="21"/>
        </w:rPr>
        <w:t>评标委员会成员对需要共同认定的事项存在争议的，应当按照少数服从多数的原则作出结论。持不同意见的评标委员会成员应当在评标报告上签署不同意见及理由，否则视为同意评标报告。</w:t>
      </w:r>
    </w:p>
    <w:p w14:paraId="21EEEF8D">
      <w:pPr>
        <w:pStyle w:val="5"/>
        <w:adjustRightInd w:val="0"/>
        <w:snapToGrid w:val="0"/>
        <w:spacing w:before="0" w:after="0" w:line="360" w:lineRule="auto"/>
        <w:rPr>
          <w:rFonts w:ascii="宋体" w:hAnsi="宋体"/>
          <w:bCs w:val="0"/>
          <w:color w:val="auto"/>
          <w:sz w:val="24"/>
          <w:szCs w:val="24"/>
        </w:rPr>
      </w:pPr>
      <w:bookmarkStart w:id="857" w:name="_Toc7517"/>
      <w:bookmarkStart w:id="858" w:name="_Toc78449984"/>
      <w:bookmarkStart w:id="859" w:name="_Toc154428418"/>
      <w:bookmarkStart w:id="860" w:name="_Toc19859"/>
      <w:bookmarkStart w:id="861" w:name="_Toc78314291"/>
      <w:bookmarkStart w:id="862" w:name="_Toc75289577"/>
      <w:bookmarkStart w:id="863" w:name="_Toc77676495"/>
      <w:bookmarkStart w:id="864" w:name="_Toc77199428"/>
      <w:bookmarkStart w:id="865" w:name="_Toc29415"/>
      <w:bookmarkStart w:id="866" w:name="_Toc75289257"/>
      <w:bookmarkStart w:id="867" w:name="_Toc100670697"/>
      <w:bookmarkStart w:id="868" w:name="_Toc15888515"/>
      <w:bookmarkStart w:id="869" w:name="_Toc192949730"/>
      <w:bookmarkStart w:id="870" w:name="_Toc112704962"/>
      <w:bookmarkStart w:id="871" w:name="_Toc117192477"/>
      <w:bookmarkStart w:id="872" w:name="_Toc18052"/>
      <w:bookmarkStart w:id="873" w:name="_Toc31514"/>
      <w:bookmarkStart w:id="874" w:name="_Toc5438"/>
      <w:bookmarkStart w:id="875" w:name="_Toc4696"/>
      <w:bookmarkStart w:id="876" w:name="_Toc192949631"/>
      <w:bookmarkStart w:id="877" w:name="_Toc1654"/>
      <w:bookmarkStart w:id="878" w:name="_Toc95601394"/>
      <w:bookmarkStart w:id="879" w:name="_Toc171273699"/>
      <w:bookmarkStart w:id="880" w:name="_Toc17910"/>
      <w:bookmarkStart w:id="881" w:name="_Toc85972959"/>
      <w:bookmarkStart w:id="882" w:name="_Toc192951241"/>
      <w:bookmarkStart w:id="883" w:name="_Toc108341966"/>
      <w:bookmarkStart w:id="884" w:name="_Toc100670450"/>
      <w:bookmarkStart w:id="885" w:name="_Toc94367909"/>
      <w:bookmarkStart w:id="886" w:name="_Toc114036741"/>
      <w:r>
        <w:rPr>
          <w:rFonts w:hint="eastAsia" w:ascii="宋体" w:hAnsi="宋体"/>
          <w:bCs w:val="0"/>
          <w:color w:val="auto"/>
          <w:sz w:val="24"/>
          <w:szCs w:val="24"/>
        </w:rPr>
        <w:t>8．</w:t>
      </w:r>
      <w:r>
        <w:rPr>
          <w:rFonts w:hint="eastAsia" w:ascii="宋体" w:hAnsi="宋体"/>
          <w:color w:val="auto"/>
          <w:sz w:val="24"/>
          <w:szCs w:val="24"/>
        </w:rPr>
        <w:t>评标报告</w:t>
      </w:r>
      <w:r>
        <w:rPr>
          <w:rFonts w:hint="eastAsia" w:ascii="宋体" w:hAnsi="宋体"/>
          <w:bCs w:val="0"/>
          <w:color w:val="auto"/>
          <w:sz w:val="24"/>
          <w:szCs w:val="24"/>
        </w:rPr>
        <w:t>复核</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14:paraId="74F200D6">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8.1汇总结束后，评标委员会应当进行复核，特别要对拟推荐为中标候选供应商的、报价最低的、投标文件被认定为无效的进行重点复核。</w:t>
      </w:r>
    </w:p>
    <w:p w14:paraId="4823014D">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8.2汇总完成后，除下列情形外，任何人不得修改评标结果：</w:t>
      </w:r>
    </w:p>
    <w:p w14:paraId="392BC11E">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（1）分值汇总计算错误的；</w:t>
      </w:r>
    </w:p>
    <w:p w14:paraId="1A8CA757">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（2）分项评分超出评分标准范围的；</w:t>
      </w:r>
    </w:p>
    <w:p w14:paraId="693FDD4B">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（3）评标委员会成员对客观评审因素评分不一致的；</w:t>
      </w:r>
    </w:p>
    <w:p w14:paraId="0DBE38DE">
      <w:pPr>
        <w:adjustRightInd w:val="0"/>
        <w:snapToGrid w:val="0"/>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（4）经评标委员会认定评分畸高、畸低的。</w:t>
      </w:r>
    </w:p>
    <w:p w14:paraId="4E6BF9AD">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8.3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7020F8E9">
      <w:pPr>
        <w:pStyle w:val="5"/>
        <w:adjustRightInd w:val="0"/>
        <w:snapToGrid w:val="0"/>
        <w:spacing w:before="0" w:after="0" w:line="360" w:lineRule="auto"/>
        <w:rPr>
          <w:rFonts w:ascii="宋体" w:hAnsi="宋体"/>
          <w:bCs w:val="0"/>
          <w:color w:val="auto"/>
          <w:sz w:val="24"/>
          <w:szCs w:val="24"/>
        </w:rPr>
      </w:pPr>
      <w:bookmarkStart w:id="887" w:name="_Toc112704963"/>
      <w:bookmarkStart w:id="888" w:name="_Toc579"/>
      <w:bookmarkStart w:id="889" w:name="_Toc192949731"/>
      <w:bookmarkStart w:id="890" w:name="_Toc114036742"/>
      <w:bookmarkStart w:id="891" w:name="_Toc100670698"/>
      <w:bookmarkStart w:id="892" w:name="_Toc4199"/>
      <w:bookmarkStart w:id="893" w:name="_Toc17938"/>
      <w:bookmarkStart w:id="894" w:name="_Toc8186"/>
      <w:bookmarkStart w:id="895" w:name="_Toc95601395"/>
      <w:bookmarkStart w:id="896" w:name="_Toc18897"/>
      <w:bookmarkStart w:id="897" w:name="_Toc29760"/>
      <w:bookmarkStart w:id="898" w:name="_Toc77199429"/>
      <w:bookmarkStart w:id="899" w:name="_Toc117192478"/>
      <w:bookmarkStart w:id="900" w:name="_Toc100670451"/>
      <w:bookmarkStart w:id="901" w:name="_Toc15888516"/>
      <w:bookmarkStart w:id="902" w:name="_Toc7220"/>
      <w:bookmarkStart w:id="903" w:name="_Toc171273700"/>
      <w:bookmarkStart w:id="904" w:name="_Toc192949632"/>
      <w:bookmarkStart w:id="905" w:name="_Toc108341967"/>
      <w:bookmarkStart w:id="906" w:name="_Toc13438"/>
      <w:bookmarkStart w:id="907" w:name="_Toc1995"/>
      <w:bookmarkStart w:id="908" w:name="_Toc94367910"/>
      <w:bookmarkStart w:id="909" w:name="_Toc75289578"/>
      <w:bookmarkStart w:id="910" w:name="_Toc77676496"/>
      <w:bookmarkStart w:id="911" w:name="_Toc78314292"/>
      <w:bookmarkStart w:id="912" w:name="_Toc85972960"/>
      <w:bookmarkStart w:id="913" w:name="_Toc78449985"/>
      <w:bookmarkStart w:id="914" w:name="_Toc75289258"/>
      <w:bookmarkStart w:id="915" w:name="_Toc192951242"/>
      <w:bookmarkStart w:id="916" w:name="_Toc154428419"/>
      <w:r>
        <w:rPr>
          <w:rFonts w:hint="eastAsia" w:ascii="宋体" w:hAnsi="宋体"/>
          <w:color w:val="auto"/>
          <w:sz w:val="24"/>
          <w:szCs w:val="24"/>
        </w:rPr>
        <w:t>9．</w:t>
      </w:r>
      <w:r>
        <w:rPr>
          <w:rFonts w:hint="eastAsia" w:ascii="宋体" w:hAnsi="宋体"/>
          <w:bCs w:val="0"/>
          <w:color w:val="auto"/>
          <w:sz w:val="24"/>
          <w:szCs w:val="24"/>
        </w:rPr>
        <w:t>停止评标</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14:paraId="0A2F3322">
      <w:pPr>
        <w:adjustRightInd w:val="0"/>
        <w:snapToGrid w:val="0"/>
        <w:spacing w:line="360" w:lineRule="auto"/>
        <w:ind w:firstLine="420" w:firstLineChars="200"/>
        <w:rPr>
          <w:rFonts w:ascii="宋体" w:hAnsi="宋体" w:cs="宋体"/>
          <w:color w:val="auto"/>
          <w:kern w:val="0"/>
          <w:szCs w:val="21"/>
        </w:rPr>
      </w:pPr>
      <w:r>
        <w:rPr>
          <w:rFonts w:hint="eastAsia" w:ascii="宋体" w:hAnsi="宋体"/>
          <w:bCs/>
          <w:color w:val="auto"/>
          <w:szCs w:val="21"/>
        </w:rPr>
        <w:t>9.1</w:t>
      </w:r>
      <w:r>
        <w:rPr>
          <w:rFonts w:hint="eastAsia" w:ascii="宋体" w:hAnsi="宋体" w:cs="宋体"/>
          <w:color w:val="auto"/>
          <w:kern w:val="0"/>
          <w:szCs w:val="21"/>
        </w:rPr>
        <w:t>评标委员会发现招标文件存在歧义、重大缺陷导致评标工作无法进行，或者招标文件内容违反国家有关强制性规定的，应当停止评标工作，与采购人、者采购代理机构沟通并作书面记录。采购人、采购代理机构确认后，应当修改招标文件，重新组织采购活动。</w:t>
      </w:r>
    </w:p>
    <w:p w14:paraId="53F4628F">
      <w:pPr>
        <w:pStyle w:val="5"/>
        <w:spacing w:before="0" w:after="0" w:line="360" w:lineRule="auto"/>
        <w:rPr>
          <w:rFonts w:ascii="宋体" w:hAnsi="宋体"/>
          <w:color w:val="auto"/>
          <w:sz w:val="24"/>
          <w:szCs w:val="24"/>
        </w:rPr>
      </w:pPr>
      <w:bookmarkStart w:id="917" w:name="_Toc154428420"/>
      <w:bookmarkStart w:id="918" w:name="_Toc8439"/>
      <w:bookmarkStart w:id="919" w:name="_Toc10068"/>
      <w:bookmarkStart w:id="920" w:name="_Toc108341968"/>
      <w:bookmarkStart w:id="921" w:name="_Toc5621"/>
      <w:bookmarkStart w:id="922" w:name="_Toc171273701"/>
      <w:bookmarkStart w:id="923" w:name="_Toc117192479"/>
      <w:bookmarkStart w:id="924" w:name="_Toc192949633"/>
      <w:bookmarkStart w:id="925" w:name="_Toc192949732"/>
      <w:bookmarkStart w:id="926" w:name="_Toc16752"/>
      <w:bookmarkStart w:id="927" w:name="_Toc100670699"/>
      <w:bookmarkStart w:id="928" w:name="_Toc9527"/>
      <w:bookmarkStart w:id="929" w:name="_Toc20409"/>
      <w:bookmarkStart w:id="930" w:name="_Toc192951243"/>
      <w:bookmarkStart w:id="931" w:name="_Toc23574"/>
      <w:bookmarkStart w:id="932" w:name="_Toc112704964"/>
      <w:bookmarkStart w:id="933" w:name="_Toc114036743"/>
      <w:bookmarkStart w:id="934" w:name="_Toc21670"/>
      <w:bookmarkStart w:id="935" w:name="_Toc22852"/>
      <w:r>
        <w:rPr>
          <w:rFonts w:hint="eastAsia" w:ascii="宋体" w:hAnsi="宋体"/>
          <w:color w:val="auto"/>
          <w:sz w:val="24"/>
          <w:szCs w:val="24"/>
        </w:rPr>
        <w:t>10.废标</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14:paraId="710DBEE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10.1 根据有关法律法规和招标文件的有关规定，如出现下列情况之一的，应予以废标：</w:t>
      </w:r>
    </w:p>
    <w:p w14:paraId="3FA0E59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（1）符合专业条件的投标人或者对招标文件作实质响应的投标人不足三家的；</w:t>
      </w:r>
    </w:p>
    <w:p w14:paraId="3D89EC4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（2）出现影响采购公正的违法、违规行为的；</w:t>
      </w:r>
    </w:p>
    <w:p w14:paraId="631A1EF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（3）投标人的报价均超过招标人项目采购预算，采购人不能支付的；</w:t>
      </w:r>
    </w:p>
    <w:p w14:paraId="611C86D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（4）因重大变故，采购任务取消的。</w:t>
      </w:r>
    </w:p>
    <w:p w14:paraId="659D5606">
      <w:pPr>
        <w:pStyle w:val="5"/>
        <w:keepNext w:val="0"/>
        <w:keepLines w:val="0"/>
        <w:adjustRightInd w:val="0"/>
        <w:snapToGrid w:val="0"/>
        <w:spacing w:before="0" w:after="0" w:line="360" w:lineRule="auto"/>
        <w:rPr>
          <w:rFonts w:ascii="宋体" w:hAnsi="宋体"/>
          <w:bCs w:val="0"/>
          <w:color w:val="auto"/>
          <w:sz w:val="24"/>
          <w:szCs w:val="24"/>
        </w:rPr>
      </w:pPr>
      <w:bookmarkStart w:id="936" w:name="_Toc75289579"/>
      <w:bookmarkStart w:id="937" w:name="_Toc3469"/>
      <w:bookmarkStart w:id="938" w:name="_Toc78314293"/>
      <w:bookmarkStart w:id="939" w:name="_Toc85972961"/>
      <w:bookmarkStart w:id="940" w:name="_Toc192951244"/>
      <w:bookmarkStart w:id="941" w:name="_Toc108341969"/>
      <w:bookmarkStart w:id="942" w:name="_Toc77199430"/>
      <w:bookmarkStart w:id="943" w:name="_Toc16261"/>
      <w:bookmarkStart w:id="944" w:name="_Toc77676497"/>
      <w:bookmarkStart w:id="945" w:name="_Toc23842"/>
      <w:bookmarkStart w:id="946" w:name="_Toc17533"/>
      <w:bookmarkStart w:id="947" w:name="_Toc117192480"/>
      <w:bookmarkStart w:id="948" w:name="_Toc75289259"/>
      <w:bookmarkStart w:id="949" w:name="_Toc41"/>
      <w:bookmarkStart w:id="950" w:name="_Toc94367911"/>
      <w:bookmarkStart w:id="951" w:name="_Toc112704965"/>
      <w:bookmarkStart w:id="952" w:name="_Toc17868"/>
      <w:bookmarkStart w:id="953" w:name="_Toc78449986"/>
      <w:bookmarkStart w:id="954" w:name="_Toc192949634"/>
      <w:bookmarkStart w:id="955" w:name="_Toc20651225"/>
      <w:bookmarkStart w:id="956" w:name="_Toc100670452"/>
      <w:bookmarkStart w:id="957" w:name="_Toc114036744"/>
      <w:bookmarkStart w:id="958" w:name="_Toc3589"/>
      <w:bookmarkStart w:id="959" w:name="_Toc171273702"/>
      <w:bookmarkStart w:id="960" w:name="_Toc23741"/>
      <w:bookmarkStart w:id="961" w:name="_Toc192949733"/>
      <w:bookmarkStart w:id="962" w:name="_Toc95601396"/>
      <w:bookmarkStart w:id="963" w:name="_Toc2443"/>
      <w:bookmarkStart w:id="964" w:name="_Toc154428421"/>
      <w:bookmarkStart w:id="965" w:name="_Toc100670700"/>
      <w:r>
        <w:rPr>
          <w:rFonts w:hint="eastAsia" w:ascii="宋体" w:hAnsi="宋体" w:cs="宋体"/>
          <w:color w:val="auto"/>
          <w:sz w:val="24"/>
          <w:szCs w:val="24"/>
        </w:rPr>
        <w:t>11．重新组建评标委员会进行评标</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14:paraId="57A5B0F9">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11.1评标委员会或者其成员存在下列情形导致评标结果无效的，采购人、采购代理机构可以重新组建评标委员会进行评标，并书面报告本级财政部门，但采购合同已经履行的除外：</w:t>
      </w:r>
    </w:p>
    <w:p w14:paraId="179E3DD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（1）评标委员会组成不符合《政府采购货物和服务招标投标管理办法》规定的；</w:t>
      </w:r>
    </w:p>
    <w:p w14:paraId="6C36109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（2）有《政府采购货物和服务招标投标管理办法》第六十二条第一至五项情形的；</w:t>
      </w:r>
    </w:p>
    <w:p w14:paraId="582A077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（3）评标委员会及其成员独立评标受到非法干预的；</w:t>
      </w:r>
    </w:p>
    <w:p w14:paraId="6496AB1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（4）有政府采购法实施条例第七十五条规定的违法行为的。</w:t>
      </w:r>
    </w:p>
    <w:p w14:paraId="301A2D8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11.2有违法违规行为的原评标委员会成员不得参加重新组建的评标委员会。</w:t>
      </w:r>
    </w:p>
    <w:p w14:paraId="32DD156F">
      <w:pPr>
        <w:pStyle w:val="4"/>
        <w:adjustRightInd w:val="0"/>
        <w:snapToGrid w:val="0"/>
        <w:spacing w:before="120" w:beforeLines="50"/>
        <w:jc w:val="center"/>
        <w:rPr>
          <w:rFonts w:ascii="黑体" w:hAnsi="华文中宋" w:eastAsia="黑体"/>
          <w:color w:val="auto"/>
          <w:sz w:val="28"/>
          <w:szCs w:val="28"/>
        </w:rPr>
      </w:pPr>
      <w:r>
        <w:rPr>
          <w:rFonts w:ascii="黑体" w:hAnsi="华文中宋" w:eastAsia="黑体"/>
          <w:b w:val="0"/>
          <w:color w:val="auto"/>
          <w:sz w:val="32"/>
        </w:rPr>
        <w:br w:type="page"/>
      </w:r>
      <w:bookmarkStart w:id="966" w:name="_Toc28432"/>
      <w:bookmarkStart w:id="967" w:name="_Toc14254"/>
      <w:bookmarkStart w:id="968" w:name="_Toc100670701"/>
      <w:bookmarkStart w:id="969" w:name="_Toc112704966"/>
      <w:bookmarkStart w:id="970" w:name="_Toc108341970"/>
      <w:bookmarkStart w:id="971" w:name="_Toc192951245"/>
      <w:bookmarkStart w:id="972" w:name="_Toc85972962"/>
      <w:bookmarkStart w:id="973" w:name="_Toc171273703"/>
      <w:bookmarkStart w:id="974" w:name="_Toc117192481"/>
      <w:bookmarkStart w:id="975" w:name="_Toc94367912"/>
      <w:bookmarkStart w:id="976" w:name="_Toc75289580"/>
      <w:bookmarkStart w:id="977" w:name="_Toc154428422"/>
      <w:bookmarkStart w:id="978" w:name="_Toc17200"/>
      <w:bookmarkStart w:id="979" w:name="_Toc192949635"/>
      <w:bookmarkStart w:id="980" w:name="_Toc31160"/>
      <w:bookmarkStart w:id="981" w:name="_Toc22242"/>
      <w:bookmarkStart w:id="982" w:name="_Toc31670"/>
      <w:bookmarkStart w:id="983" w:name="_Toc4097"/>
      <w:bookmarkStart w:id="984" w:name="_Toc100670453"/>
      <w:bookmarkStart w:id="985" w:name="_Toc18586"/>
      <w:bookmarkStart w:id="986" w:name="_Toc95601397"/>
      <w:bookmarkStart w:id="987" w:name="_Toc75289260"/>
      <w:bookmarkStart w:id="988" w:name="_Toc78449987"/>
      <w:bookmarkStart w:id="989" w:name="_Toc20651226"/>
      <w:bookmarkStart w:id="990" w:name="_Toc192949734"/>
      <w:bookmarkStart w:id="991" w:name="_Toc77199431"/>
      <w:bookmarkStart w:id="992" w:name="_Toc77676498"/>
      <w:bookmarkStart w:id="993" w:name="_Toc114036745"/>
      <w:bookmarkStart w:id="994" w:name="_Toc28351"/>
      <w:bookmarkStart w:id="995" w:name="_Toc78314294"/>
      <w:r>
        <w:rPr>
          <w:rFonts w:hint="eastAsia" w:ascii="黑体" w:hAnsi="华文中宋" w:eastAsia="黑体"/>
          <w:color w:val="auto"/>
          <w:sz w:val="28"/>
          <w:szCs w:val="28"/>
        </w:rPr>
        <w:t>第三节 投标文件的符合性审查</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14:paraId="1A2DF937">
      <w:pPr>
        <w:adjustRightInd w:val="0"/>
        <w:snapToGrid w:val="0"/>
        <w:spacing w:line="360" w:lineRule="auto"/>
        <w:rPr>
          <w:rFonts w:ascii="宋体" w:hAnsi="宋体"/>
          <w:b/>
          <w:color w:val="auto"/>
          <w:sz w:val="24"/>
        </w:rPr>
      </w:pPr>
      <w:r>
        <w:rPr>
          <w:rFonts w:hint="eastAsia" w:ascii="宋体" w:hAnsi="宋体"/>
          <w:b/>
          <w:color w:val="auto"/>
          <w:sz w:val="24"/>
        </w:rPr>
        <w:t>1.符合性审查</w:t>
      </w:r>
    </w:p>
    <w:p w14:paraId="7E7470CA">
      <w:pPr>
        <w:adjustRightInd w:val="0"/>
        <w:snapToGrid w:val="0"/>
        <w:spacing w:line="360" w:lineRule="auto"/>
        <w:ind w:firstLine="420" w:firstLineChars="200"/>
        <w:rPr>
          <w:rFonts w:ascii="宋体" w:hAnsi="宋体"/>
          <w:color w:val="auto"/>
        </w:rPr>
      </w:pPr>
      <w:r>
        <w:rPr>
          <w:rFonts w:hint="eastAsia" w:ascii="宋体" w:hAnsi="宋体"/>
          <w:color w:val="auto"/>
        </w:rPr>
        <w:t>1.1</w:t>
      </w:r>
      <w:r>
        <w:rPr>
          <w:rFonts w:hint="eastAsia" w:ascii="宋体" w:hAnsi="宋体"/>
          <w:color w:val="auto"/>
          <w:szCs w:val="21"/>
        </w:rPr>
        <w:t>评标委员会应按本章本节附表1“符合性审查表”所列审查项目及审查标准，</w:t>
      </w:r>
      <w:r>
        <w:rPr>
          <w:rFonts w:hint="eastAsia" w:ascii="宋体" w:hAnsi="宋体"/>
          <w:color w:val="auto"/>
        </w:rPr>
        <w:t>对符合资格条件的投标人的投标文件进行符合性审查，以确定其是否满足招标文件的实质性要求。</w:t>
      </w:r>
    </w:p>
    <w:p w14:paraId="1B3E1ECC">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依据招标文件的规定，从投标文件的有效性、完整性和对招标文件的响应程度进行审查，以确定是否对招标文件的实质性要求作出响应。评标委员会判断投标文件的响应性只根据投标文件的内容，而不依据外部的证据。</w:t>
      </w:r>
    </w:p>
    <w:p w14:paraId="30093D1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（2）投标人不得通过修正或撤销不合要求的偏离从而使其投标成为实质上响应的投标。</w:t>
      </w:r>
    </w:p>
    <w:p w14:paraId="71E9DF13">
      <w:pPr>
        <w:adjustRightInd w:val="0"/>
        <w:snapToGrid w:val="0"/>
        <w:spacing w:line="360" w:lineRule="auto"/>
        <w:ind w:firstLine="420" w:firstLineChars="200"/>
        <w:rPr>
          <w:rFonts w:ascii="宋体" w:hAnsi="宋体"/>
          <w:color w:val="auto"/>
        </w:rPr>
      </w:pPr>
      <w:r>
        <w:rPr>
          <w:rFonts w:hint="eastAsia" w:ascii="宋体" w:hAnsi="宋体"/>
          <w:color w:val="auto"/>
          <w:kern w:val="0"/>
          <w:szCs w:val="21"/>
        </w:rPr>
        <w:t>1.2</w:t>
      </w:r>
      <w:r>
        <w:rPr>
          <w:rFonts w:hint="eastAsia" w:ascii="宋体" w:hAnsi="宋体"/>
          <w:color w:val="auto"/>
        </w:rPr>
        <w:t>未通过符合性审查的投标人，其投标将被认定为投标无效，不能进入下一阶段评审。通过符合性审查的投标人数量不足 3 家的，不得作进一步的比较和评价。</w:t>
      </w:r>
    </w:p>
    <w:p w14:paraId="333F2075">
      <w:pPr>
        <w:adjustRightInd w:val="0"/>
        <w:snapToGrid w:val="0"/>
        <w:spacing w:line="360" w:lineRule="auto"/>
        <w:rPr>
          <w:rFonts w:ascii="宋体" w:hAnsi="宋体"/>
          <w:b/>
          <w:color w:val="auto"/>
          <w:sz w:val="24"/>
        </w:rPr>
      </w:pPr>
      <w:r>
        <w:rPr>
          <w:rFonts w:hint="eastAsia" w:ascii="宋体" w:hAnsi="宋体"/>
          <w:b/>
          <w:color w:val="auto"/>
          <w:sz w:val="24"/>
        </w:rPr>
        <w:t>2.投标无效</w:t>
      </w:r>
    </w:p>
    <w:p w14:paraId="4F5F0A2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2.1投标人存在下列情况之一的，符合性审查不合格，投标无效：</w:t>
      </w:r>
    </w:p>
    <w:p w14:paraId="2464455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（1）投标文件中商务技术文件未按照招标文件规定要求签署、盖章的；</w:t>
      </w:r>
    </w:p>
    <w:p w14:paraId="332D020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（2）投标文件没有对招标文件的实质性要求和条件作出响应，或者对招标文件的偏离超出招标文件规定的偏离范围和幅度；</w:t>
      </w:r>
    </w:p>
    <w:p w14:paraId="4BB9D2A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（3）投标有效期不足的；</w:t>
      </w:r>
    </w:p>
    <w:p w14:paraId="59181C8D">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（4）投标文件含有采购人不能接受的附加条件的；</w:t>
      </w:r>
    </w:p>
    <w:p w14:paraId="601FF41E">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（5）不符合本节第1.1款规定符合性审查标准的；</w:t>
      </w:r>
    </w:p>
    <w:p w14:paraId="73712CA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（6）法律、法规和招标文件规定的其他投标无效情形的。</w:t>
      </w:r>
    </w:p>
    <w:p w14:paraId="392BD57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2.2在评标过程中发现投标人有不遵循公平竞争的原则，恶意串通，妨碍其他投标人的竞争行为，损害采购人或者其他投标人的合法权益的，评标委员会应当认定其投标无效，并书面报告本级财政部门。</w:t>
      </w:r>
    </w:p>
    <w:p w14:paraId="17C8CFA5">
      <w:pPr>
        <w:pStyle w:val="5"/>
        <w:adjustRightInd w:val="0"/>
        <w:snapToGrid w:val="0"/>
        <w:spacing w:before="120" w:beforeLines="50" w:after="0" w:line="360" w:lineRule="auto"/>
        <w:rPr>
          <w:color w:val="auto"/>
          <w:sz w:val="21"/>
          <w:szCs w:val="21"/>
        </w:rPr>
      </w:pPr>
      <w:r>
        <w:rPr>
          <w:rFonts w:ascii="宋体" w:hAnsi="宋体"/>
          <w:color w:val="auto"/>
        </w:rPr>
        <w:br w:type="page"/>
      </w:r>
      <w:bookmarkStart w:id="996" w:name="_Toc20651227"/>
      <w:bookmarkStart w:id="997" w:name="_Toc77199432"/>
      <w:bookmarkStart w:id="998" w:name="_Toc75289581"/>
      <w:bookmarkStart w:id="999" w:name="_Toc75289261"/>
      <w:bookmarkStart w:id="1000" w:name="_Toc78449988"/>
      <w:bookmarkStart w:id="1001" w:name="_Toc10772"/>
      <w:bookmarkStart w:id="1002" w:name="_Toc117192482"/>
      <w:bookmarkStart w:id="1003" w:name="_Toc95601398"/>
      <w:bookmarkStart w:id="1004" w:name="_Toc85972963"/>
      <w:bookmarkStart w:id="1005" w:name="_Toc29308"/>
      <w:bookmarkStart w:id="1006" w:name="_Toc77676499"/>
      <w:bookmarkStart w:id="1007" w:name="_Toc94367913"/>
      <w:bookmarkStart w:id="1008" w:name="_Toc100670702"/>
      <w:bookmarkStart w:id="1009" w:name="_Toc7594"/>
      <w:bookmarkStart w:id="1010" w:name="_Toc78314295"/>
      <w:bookmarkStart w:id="1011" w:name="_Toc100670454"/>
      <w:bookmarkStart w:id="1012" w:name="_Toc27396"/>
      <w:bookmarkStart w:id="1013" w:name="_Toc154428423"/>
      <w:bookmarkStart w:id="1014" w:name="_Toc13317"/>
      <w:bookmarkStart w:id="1015" w:name="_Toc11979"/>
      <w:bookmarkStart w:id="1016" w:name="_Toc112704967"/>
      <w:bookmarkStart w:id="1017" w:name="_Toc3547"/>
      <w:bookmarkStart w:id="1018" w:name="_Toc12710"/>
      <w:bookmarkStart w:id="1019" w:name="_Toc171273704"/>
      <w:bookmarkStart w:id="1020" w:name="_Toc192949636"/>
      <w:bookmarkStart w:id="1021" w:name="_Toc114036746"/>
      <w:bookmarkStart w:id="1022" w:name="_Toc108341971"/>
      <w:bookmarkStart w:id="1023" w:name="_Toc192951246"/>
      <w:bookmarkStart w:id="1024" w:name="_Toc192949735"/>
      <w:bookmarkStart w:id="1025" w:name="_Toc24187"/>
      <w:r>
        <w:rPr>
          <w:rFonts w:hint="eastAsia"/>
          <w:color w:val="auto"/>
          <w:sz w:val="21"/>
          <w:szCs w:val="21"/>
        </w:rPr>
        <w:t>附表1 符合性审查表</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14:paraId="3543E8A0">
      <w:pPr>
        <w:adjustRightInd w:val="0"/>
        <w:snapToGrid w:val="0"/>
        <w:spacing w:before="156" w:beforeLines="50" w:line="360" w:lineRule="auto"/>
        <w:jc w:val="center"/>
        <w:rPr>
          <w:rFonts w:ascii="黑体" w:hAnsi="黑体" w:eastAsia="黑体"/>
          <w:b/>
          <w:color w:val="auto"/>
          <w:sz w:val="28"/>
          <w:szCs w:val="28"/>
        </w:rPr>
      </w:pPr>
      <w:r>
        <w:rPr>
          <w:rFonts w:hint="eastAsia" w:ascii="黑体" w:hAnsi="黑体" w:eastAsia="黑体"/>
          <w:b/>
          <w:color w:val="auto"/>
          <w:sz w:val="28"/>
          <w:szCs w:val="28"/>
        </w:rPr>
        <w:t>符合性审查表</w:t>
      </w:r>
    </w:p>
    <w:p w14:paraId="5D11FA4F">
      <w:pPr>
        <w:adjustRightInd w:val="0"/>
        <w:snapToGrid w:val="0"/>
        <w:spacing w:before="156" w:beforeLines="50" w:line="360" w:lineRule="auto"/>
        <w:rPr>
          <w:rFonts w:ascii="宋体" w:hAnsi="宋体"/>
          <w:color w:val="auto"/>
          <w:szCs w:val="21"/>
        </w:rPr>
      </w:pPr>
      <w:r>
        <w:rPr>
          <w:rFonts w:hint="eastAsia" w:ascii="宋体" w:hAnsi="宋体"/>
          <w:color w:val="auto"/>
          <w:szCs w:val="21"/>
        </w:rPr>
        <w:t xml:space="preserve">项目名称：                                           政府采购计划编号： </w:t>
      </w:r>
    </w:p>
    <w:tbl>
      <w:tblPr>
        <w:tblStyle w:val="476"/>
        <w:tblW w:w="906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2786"/>
        <w:gridCol w:w="5591"/>
      </w:tblGrid>
      <w:tr w14:paraId="297415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noWrap w:val="0"/>
            <w:vAlign w:val="center"/>
          </w:tcPr>
          <w:p w14:paraId="09EA22DB">
            <w:pPr>
              <w:snapToGrid w:val="0"/>
              <w:spacing w:before="156" w:line="360" w:lineRule="auto"/>
              <w:textAlignment w:val="baseline"/>
              <w:rPr>
                <w:rFonts w:ascii="宋体" w:hAnsi="宋体" w:cs="宋体"/>
                <w:b/>
                <w:color w:val="auto"/>
                <w:kern w:val="0"/>
                <w:sz w:val="20"/>
                <w:szCs w:val="21"/>
              </w:rPr>
            </w:pPr>
            <w:r>
              <w:rPr>
                <w:rFonts w:hint="eastAsia" w:ascii="宋体" w:hAnsi="宋体" w:cs="宋体"/>
                <w:b/>
                <w:color w:val="auto"/>
                <w:kern w:val="0"/>
                <w:szCs w:val="21"/>
              </w:rPr>
              <w:t>序号</w:t>
            </w:r>
          </w:p>
        </w:tc>
        <w:tc>
          <w:tcPr>
            <w:tcW w:w="2786" w:type="dxa"/>
            <w:noWrap w:val="0"/>
            <w:vAlign w:val="center"/>
          </w:tcPr>
          <w:p w14:paraId="6592B0EB">
            <w:pPr>
              <w:snapToGrid w:val="0"/>
              <w:spacing w:before="156" w:line="360" w:lineRule="auto"/>
              <w:jc w:val="center"/>
              <w:textAlignment w:val="baseline"/>
              <w:rPr>
                <w:rFonts w:ascii="宋体" w:hAnsi="宋体" w:cs="宋体"/>
                <w:b/>
                <w:color w:val="auto"/>
                <w:kern w:val="0"/>
                <w:sz w:val="20"/>
                <w:szCs w:val="21"/>
              </w:rPr>
            </w:pPr>
            <w:r>
              <w:rPr>
                <w:rFonts w:hint="eastAsia" w:ascii="宋体" w:hAnsi="宋体" w:cs="宋体"/>
                <w:b/>
                <w:color w:val="auto"/>
                <w:kern w:val="0"/>
                <w:szCs w:val="21"/>
              </w:rPr>
              <w:t>审查项目</w:t>
            </w:r>
          </w:p>
        </w:tc>
        <w:tc>
          <w:tcPr>
            <w:tcW w:w="5591" w:type="dxa"/>
            <w:noWrap w:val="0"/>
            <w:vAlign w:val="center"/>
          </w:tcPr>
          <w:p w14:paraId="1C548B2E">
            <w:pPr>
              <w:snapToGrid w:val="0"/>
              <w:spacing w:before="156" w:line="360" w:lineRule="auto"/>
              <w:jc w:val="center"/>
              <w:textAlignment w:val="baseline"/>
              <w:rPr>
                <w:rFonts w:ascii="宋体" w:hAnsi="宋体" w:cs="宋体"/>
                <w:b/>
                <w:color w:val="auto"/>
                <w:kern w:val="0"/>
                <w:sz w:val="20"/>
                <w:szCs w:val="21"/>
              </w:rPr>
            </w:pPr>
            <w:r>
              <w:rPr>
                <w:rFonts w:hint="eastAsia" w:ascii="宋体" w:hAnsi="宋体" w:cs="宋体"/>
                <w:b/>
                <w:color w:val="auto"/>
                <w:kern w:val="0"/>
                <w:szCs w:val="21"/>
              </w:rPr>
              <w:t>审查标准</w:t>
            </w:r>
          </w:p>
        </w:tc>
      </w:tr>
      <w:tr w14:paraId="46A551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65ECE9BD">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1</w:t>
            </w:r>
          </w:p>
        </w:tc>
        <w:tc>
          <w:tcPr>
            <w:tcW w:w="2786" w:type="dxa"/>
            <w:noWrap w:val="0"/>
            <w:vAlign w:val="center"/>
          </w:tcPr>
          <w:p w14:paraId="1728677E">
            <w:pPr>
              <w:adjustRightInd w:val="0"/>
              <w:snapToGrid w:val="0"/>
              <w:spacing w:before="156" w:beforeLines="50" w:line="360" w:lineRule="auto"/>
              <w:rPr>
                <w:rFonts w:hint="eastAsia" w:ascii="宋体" w:hAnsi="宋体" w:eastAsia="宋体" w:cs="Times New Roman"/>
                <w:color w:val="auto"/>
                <w:szCs w:val="21"/>
              </w:rPr>
            </w:pPr>
            <w:r>
              <w:rPr>
                <w:rFonts w:hint="eastAsia" w:ascii="宋体" w:hAnsi="宋体" w:eastAsia="宋体" w:cs="Times New Roman"/>
                <w:color w:val="auto"/>
                <w:szCs w:val="21"/>
              </w:rPr>
              <w:t>投标文件签署、盖章的情况</w:t>
            </w:r>
          </w:p>
        </w:tc>
        <w:tc>
          <w:tcPr>
            <w:tcW w:w="5591" w:type="dxa"/>
            <w:noWrap w:val="0"/>
            <w:vAlign w:val="center"/>
          </w:tcPr>
          <w:p w14:paraId="509AF1D9">
            <w:pPr>
              <w:adjustRightInd w:val="0"/>
              <w:snapToGrid w:val="0"/>
              <w:spacing w:before="156" w:beforeLines="50" w:line="360" w:lineRule="auto"/>
              <w:rPr>
                <w:rFonts w:hint="eastAsia" w:ascii="宋体" w:hAnsi="宋体" w:eastAsia="宋体" w:cs="Times New Roman"/>
                <w:color w:val="auto"/>
                <w:szCs w:val="21"/>
              </w:rPr>
            </w:pPr>
            <w:r>
              <w:rPr>
                <w:rFonts w:hint="eastAsia" w:ascii="宋体" w:hAnsi="宋体" w:eastAsia="宋体" w:cs="Times New Roman"/>
                <w:color w:val="auto"/>
                <w:szCs w:val="21"/>
              </w:rPr>
              <w:t>商务与技术响应文件是否按照招标文件规定要求签署、盖章。</w:t>
            </w:r>
          </w:p>
        </w:tc>
      </w:tr>
      <w:tr w14:paraId="0C4F2B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700BAFDD">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2</w:t>
            </w:r>
          </w:p>
        </w:tc>
        <w:tc>
          <w:tcPr>
            <w:tcW w:w="2786" w:type="dxa"/>
            <w:noWrap w:val="0"/>
            <w:vAlign w:val="center"/>
          </w:tcPr>
          <w:p w14:paraId="218FFE72">
            <w:pPr>
              <w:adjustRightInd w:val="0"/>
              <w:snapToGrid w:val="0"/>
              <w:spacing w:before="156" w:beforeLines="50" w:line="360" w:lineRule="auto"/>
              <w:rPr>
                <w:rFonts w:hint="eastAsia" w:ascii="宋体" w:hAnsi="宋体" w:eastAsia="宋体" w:cs="Times New Roman"/>
                <w:color w:val="auto"/>
                <w:szCs w:val="21"/>
              </w:rPr>
            </w:pPr>
            <w:r>
              <w:rPr>
                <w:rFonts w:hint="eastAsia" w:ascii="宋体" w:hAnsi="宋体" w:eastAsia="宋体" w:cs="Times New Roman"/>
                <w:color w:val="auto"/>
                <w:szCs w:val="21"/>
              </w:rPr>
              <w:t>投标文件实质性响应情况或偏离的范围和幅度。</w:t>
            </w:r>
          </w:p>
        </w:tc>
        <w:tc>
          <w:tcPr>
            <w:tcW w:w="5591" w:type="dxa"/>
            <w:noWrap w:val="0"/>
            <w:vAlign w:val="center"/>
          </w:tcPr>
          <w:p w14:paraId="5FF21A16">
            <w:pPr>
              <w:adjustRightInd w:val="0"/>
              <w:snapToGrid w:val="0"/>
              <w:spacing w:before="156" w:beforeLines="50" w:line="360" w:lineRule="auto"/>
              <w:rPr>
                <w:rFonts w:hint="eastAsia" w:ascii="宋体" w:hAnsi="宋体" w:eastAsia="宋体" w:cs="Times New Roman"/>
                <w:color w:val="auto"/>
                <w:szCs w:val="21"/>
              </w:rPr>
            </w:pPr>
            <w:r>
              <w:rPr>
                <w:rFonts w:hint="eastAsia" w:ascii="宋体" w:hAnsi="宋体" w:eastAsia="宋体" w:cs="Times New Roman"/>
                <w:color w:val="auto"/>
                <w:szCs w:val="21"/>
              </w:rPr>
              <w:t>是否对招标文件的实质性要求和条件作出了完全响应；</w:t>
            </w:r>
          </w:p>
          <w:p w14:paraId="0C9F7376">
            <w:pPr>
              <w:adjustRightInd w:val="0"/>
              <w:snapToGrid w:val="0"/>
              <w:spacing w:before="156" w:beforeLines="50" w:line="360" w:lineRule="auto"/>
              <w:rPr>
                <w:rFonts w:hint="eastAsia" w:ascii="宋体" w:hAnsi="宋体" w:eastAsia="宋体" w:cs="Times New Roman"/>
                <w:color w:val="auto"/>
                <w:szCs w:val="21"/>
              </w:rPr>
            </w:pPr>
            <w:r>
              <w:rPr>
                <w:rFonts w:hint="eastAsia" w:ascii="宋体" w:hAnsi="宋体" w:eastAsia="宋体" w:cs="Times New Roman"/>
                <w:color w:val="auto"/>
                <w:szCs w:val="21"/>
              </w:rPr>
              <w:t>评标委员会判断投标文件的响应性只根据投标文件的内容，而不依据外部的证据</w:t>
            </w:r>
            <w:r>
              <w:rPr>
                <w:rFonts w:hint="eastAsia" w:ascii="宋体" w:hAnsi="宋体" w:eastAsia="宋体" w:cs="Times New Roman"/>
                <w:color w:val="auto"/>
                <w:szCs w:val="21"/>
                <w:lang w:eastAsia="zh-CN"/>
              </w:rPr>
              <w:t>。</w:t>
            </w:r>
          </w:p>
        </w:tc>
      </w:tr>
      <w:tr w14:paraId="7A91AB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9" w:hRule="atLeast"/>
        </w:trPr>
        <w:tc>
          <w:tcPr>
            <w:tcW w:w="683" w:type="dxa"/>
            <w:noWrap w:val="0"/>
            <w:vAlign w:val="center"/>
          </w:tcPr>
          <w:p w14:paraId="3A09B295">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3</w:t>
            </w:r>
          </w:p>
        </w:tc>
        <w:tc>
          <w:tcPr>
            <w:tcW w:w="2786" w:type="dxa"/>
            <w:noWrap w:val="0"/>
            <w:vAlign w:val="top"/>
          </w:tcPr>
          <w:p w14:paraId="56980E1A">
            <w:pPr>
              <w:adjustRightInd w:val="0"/>
              <w:snapToGrid w:val="0"/>
              <w:spacing w:before="156" w:beforeLines="50" w:line="360" w:lineRule="auto"/>
              <w:rPr>
                <w:rFonts w:hint="eastAsia" w:ascii="宋体" w:hAnsi="宋体" w:eastAsia="宋体" w:cs="Times New Roman"/>
                <w:color w:val="auto"/>
                <w:szCs w:val="21"/>
              </w:rPr>
            </w:pPr>
            <w:r>
              <w:rPr>
                <w:rFonts w:hint="eastAsia" w:ascii="宋体" w:hAnsi="宋体" w:eastAsia="宋体" w:cs="Times New Roman"/>
                <w:color w:val="auto"/>
                <w:szCs w:val="21"/>
              </w:rPr>
              <w:t>投标文件有效性审查</w:t>
            </w:r>
          </w:p>
        </w:tc>
        <w:tc>
          <w:tcPr>
            <w:tcW w:w="5591" w:type="dxa"/>
            <w:noWrap w:val="0"/>
            <w:vAlign w:val="top"/>
          </w:tcPr>
          <w:p w14:paraId="16EAB4A3">
            <w:pPr>
              <w:adjustRightInd w:val="0"/>
              <w:snapToGrid w:val="0"/>
              <w:spacing w:before="156" w:beforeLines="50" w:line="360" w:lineRule="auto"/>
              <w:rPr>
                <w:rFonts w:hint="eastAsia" w:ascii="宋体" w:hAnsi="宋体" w:eastAsia="宋体" w:cs="Times New Roman"/>
                <w:color w:val="auto"/>
                <w:szCs w:val="21"/>
              </w:rPr>
            </w:pPr>
            <w:r>
              <w:rPr>
                <w:rFonts w:hint="eastAsia" w:ascii="宋体" w:hAnsi="宋体" w:eastAsia="宋体" w:cs="Times New Roman"/>
                <w:color w:val="auto"/>
                <w:szCs w:val="21"/>
              </w:rPr>
              <w:t>每个分包只能有一个方案投标（前附表中允许除外）。</w:t>
            </w:r>
          </w:p>
        </w:tc>
      </w:tr>
      <w:tr w14:paraId="117CE4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5E8633F7">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4</w:t>
            </w:r>
          </w:p>
        </w:tc>
        <w:tc>
          <w:tcPr>
            <w:tcW w:w="2786" w:type="dxa"/>
            <w:noWrap w:val="0"/>
            <w:vAlign w:val="top"/>
          </w:tcPr>
          <w:p w14:paraId="052D00EE">
            <w:pPr>
              <w:adjustRightInd w:val="0"/>
              <w:snapToGrid w:val="0"/>
              <w:spacing w:before="156" w:beforeLines="50" w:line="360" w:lineRule="auto"/>
              <w:rPr>
                <w:rFonts w:hint="eastAsia" w:ascii="宋体" w:hAnsi="宋体" w:eastAsia="宋体" w:cs="Times New Roman"/>
                <w:color w:val="auto"/>
                <w:szCs w:val="21"/>
              </w:rPr>
            </w:pPr>
            <w:r>
              <w:rPr>
                <w:rFonts w:hint="eastAsia" w:ascii="宋体" w:hAnsi="宋体" w:eastAsia="宋体" w:cs="Times New Roman"/>
                <w:color w:val="auto"/>
                <w:szCs w:val="21"/>
              </w:rPr>
              <w:t>投标文件有效性审查</w:t>
            </w:r>
          </w:p>
        </w:tc>
        <w:tc>
          <w:tcPr>
            <w:tcW w:w="5591" w:type="dxa"/>
            <w:noWrap w:val="0"/>
            <w:vAlign w:val="top"/>
          </w:tcPr>
          <w:p w14:paraId="28AFDF35">
            <w:pPr>
              <w:adjustRightInd w:val="0"/>
              <w:snapToGrid w:val="0"/>
              <w:spacing w:before="156" w:beforeLines="50" w:line="360" w:lineRule="auto"/>
              <w:rPr>
                <w:rFonts w:hint="eastAsia" w:ascii="宋体" w:hAnsi="宋体" w:eastAsia="宋体" w:cs="Times New Roman"/>
                <w:color w:val="auto"/>
                <w:szCs w:val="21"/>
              </w:rPr>
            </w:pPr>
            <w:r>
              <w:rPr>
                <w:rFonts w:hint="eastAsia" w:ascii="宋体" w:hAnsi="宋体" w:eastAsia="宋体" w:cs="Times New Roman"/>
                <w:color w:val="auto"/>
                <w:szCs w:val="21"/>
              </w:rPr>
              <w:t>只能在采购预算范围内报价，只能有一个有效报价，不得提交选择性报价（前附表中允许除外）。</w:t>
            </w:r>
          </w:p>
        </w:tc>
      </w:tr>
      <w:tr w14:paraId="6D009C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1291F99C">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5</w:t>
            </w:r>
          </w:p>
        </w:tc>
        <w:tc>
          <w:tcPr>
            <w:tcW w:w="2786" w:type="dxa"/>
            <w:noWrap w:val="0"/>
            <w:vAlign w:val="top"/>
          </w:tcPr>
          <w:p w14:paraId="77DAC60C">
            <w:pPr>
              <w:adjustRightInd w:val="0"/>
              <w:snapToGrid w:val="0"/>
              <w:spacing w:before="156" w:beforeLines="50" w:line="360" w:lineRule="auto"/>
              <w:rPr>
                <w:rFonts w:hint="eastAsia" w:ascii="宋体" w:hAnsi="宋体" w:eastAsia="宋体" w:cs="Times New Roman"/>
                <w:color w:val="auto"/>
                <w:szCs w:val="21"/>
              </w:rPr>
            </w:pPr>
            <w:r>
              <w:rPr>
                <w:rFonts w:hint="eastAsia" w:ascii="宋体" w:hAnsi="宋体" w:eastAsia="宋体" w:cs="Times New Roman"/>
                <w:color w:val="auto"/>
                <w:szCs w:val="21"/>
              </w:rPr>
              <w:t>投标文件完整性审查</w:t>
            </w:r>
          </w:p>
        </w:tc>
        <w:tc>
          <w:tcPr>
            <w:tcW w:w="5591" w:type="dxa"/>
            <w:noWrap w:val="0"/>
            <w:vAlign w:val="top"/>
          </w:tcPr>
          <w:p w14:paraId="2D1488E9">
            <w:pPr>
              <w:adjustRightInd w:val="0"/>
              <w:snapToGrid w:val="0"/>
              <w:spacing w:before="156" w:beforeLines="50" w:line="360" w:lineRule="auto"/>
              <w:rPr>
                <w:rFonts w:hint="eastAsia" w:ascii="宋体" w:hAnsi="宋体" w:eastAsia="宋体" w:cs="Times New Roman"/>
                <w:color w:val="auto"/>
                <w:szCs w:val="21"/>
              </w:rPr>
            </w:pPr>
            <w:r>
              <w:rPr>
                <w:rFonts w:hint="eastAsia" w:ascii="宋体" w:hAnsi="宋体" w:eastAsia="宋体" w:cs="Times New Roman"/>
                <w:color w:val="auto"/>
                <w:szCs w:val="21"/>
              </w:rPr>
              <w:t>投标文件内容齐全、无遗漏。</w:t>
            </w:r>
          </w:p>
        </w:tc>
      </w:tr>
      <w:tr w14:paraId="5E0830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6017EACE">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6</w:t>
            </w:r>
          </w:p>
        </w:tc>
        <w:tc>
          <w:tcPr>
            <w:tcW w:w="2786" w:type="dxa"/>
            <w:noWrap w:val="0"/>
            <w:vAlign w:val="center"/>
          </w:tcPr>
          <w:p w14:paraId="2DE52757">
            <w:pPr>
              <w:adjustRightInd w:val="0"/>
              <w:snapToGrid w:val="0"/>
              <w:spacing w:before="156" w:beforeLines="50" w:line="360" w:lineRule="auto"/>
              <w:rPr>
                <w:rFonts w:hint="eastAsia" w:ascii="宋体" w:hAnsi="宋体" w:eastAsia="宋体" w:cs="Times New Roman"/>
                <w:color w:val="auto"/>
                <w:szCs w:val="21"/>
              </w:rPr>
            </w:pPr>
            <w:r>
              <w:rPr>
                <w:rFonts w:hint="eastAsia" w:ascii="宋体" w:hAnsi="宋体" w:eastAsia="宋体" w:cs="Times New Roman"/>
                <w:color w:val="auto"/>
                <w:szCs w:val="21"/>
              </w:rPr>
              <w:t>投标有效期</w:t>
            </w:r>
          </w:p>
        </w:tc>
        <w:tc>
          <w:tcPr>
            <w:tcW w:w="5591" w:type="dxa"/>
            <w:noWrap w:val="0"/>
            <w:vAlign w:val="center"/>
          </w:tcPr>
          <w:p w14:paraId="0AE95B0C">
            <w:pPr>
              <w:adjustRightInd w:val="0"/>
              <w:snapToGrid w:val="0"/>
              <w:spacing w:before="156" w:beforeLines="50" w:line="360" w:lineRule="auto"/>
              <w:rPr>
                <w:rFonts w:hint="eastAsia" w:ascii="宋体" w:hAnsi="宋体" w:eastAsia="宋体" w:cs="Times New Roman"/>
                <w:color w:val="auto"/>
                <w:szCs w:val="21"/>
              </w:rPr>
            </w:pPr>
            <w:r>
              <w:rPr>
                <w:rFonts w:hint="eastAsia" w:ascii="宋体" w:hAnsi="宋体" w:eastAsia="宋体" w:cs="Times New Roman"/>
                <w:color w:val="auto"/>
                <w:szCs w:val="21"/>
              </w:rPr>
              <w:t>是否响应招标文件规定的90天投标有效期（投标函）</w:t>
            </w:r>
            <w:r>
              <w:rPr>
                <w:rFonts w:hint="eastAsia" w:ascii="宋体" w:hAnsi="宋体" w:eastAsia="宋体" w:cs="Times New Roman"/>
                <w:color w:val="auto"/>
                <w:szCs w:val="21"/>
                <w:lang w:eastAsia="zh-CN"/>
              </w:rPr>
              <w:t>。</w:t>
            </w:r>
          </w:p>
        </w:tc>
      </w:tr>
      <w:tr w14:paraId="287D36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237CB992">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Cs w:val="21"/>
              </w:rPr>
              <w:t>7</w:t>
            </w:r>
          </w:p>
        </w:tc>
        <w:tc>
          <w:tcPr>
            <w:tcW w:w="2786" w:type="dxa"/>
            <w:noWrap w:val="0"/>
            <w:vAlign w:val="center"/>
          </w:tcPr>
          <w:p w14:paraId="1E872F94">
            <w:pPr>
              <w:adjustRightInd w:val="0"/>
              <w:snapToGrid w:val="0"/>
              <w:spacing w:before="156" w:beforeLines="50" w:line="360" w:lineRule="auto"/>
              <w:rPr>
                <w:rFonts w:hint="eastAsia" w:ascii="宋体" w:hAnsi="宋体" w:eastAsia="宋体" w:cs="Times New Roman"/>
                <w:color w:val="auto"/>
                <w:szCs w:val="21"/>
              </w:rPr>
            </w:pPr>
            <w:r>
              <w:rPr>
                <w:rFonts w:hint="eastAsia" w:ascii="宋体" w:hAnsi="宋体" w:eastAsia="宋体" w:cs="Times New Roman"/>
                <w:color w:val="auto"/>
                <w:szCs w:val="21"/>
              </w:rPr>
              <w:t>附加条件</w:t>
            </w:r>
          </w:p>
        </w:tc>
        <w:tc>
          <w:tcPr>
            <w:tcW w:w="5591" w:type="dxa"/>
            <w:noWrap w:val="0"/>
            <w:vAlign w:val="center"/>
          </w:tcPr>
          <w:p w14:paraId="0065F255">
            <w:pPr>
              <w:adjustRightInd w:val="0"/>
              <w:snapToGrid w:val="0"/>
              <w:spacing w:before="156" w:beforeLines="50" w:line="360" w:lineRule="auto"/>
              <w:rPr>
                <w:rFonts w:hint="eastAsia" w:ascii="宋体" w:hAnsi="宋体" w:eastAsia="宋体" w:cs="Times New Roman"/>
                <w:color w:val="auto"/>
                <w:szCs w:val="21"/>
              </w:rPr>
            </w:pPr>
            <w:r>
              <w:rPr>
                <w:rFonts w:hint="eastAsia" w:ascii="宋体" w:hAnsi="宋体" w:eastAsia="宋体" w:cs="Times New Roman"/>
                <w:color w:val="auto"/>
                <w:szCs w:val="21"/>
              </w:rPr>
              <w:t>是否有采购人不能接受的附加条件的</w:t>
            </w:r>
            <w:r>
              <w:rPr>
                <w:rFonts w:hint="eastAsia" w:ascii="宋体" w:hAnsi="宋体" w:eastAsia="宋体" w:cs="Times New Roman"/>
                <w:color w:val="auto"/>
                <w:szCs w:val="21"/>
                <w:lang w:eastAsia="zh-CN"/>
              </w:rPr>
              <w:t>。</w:t>
            </w:r>
          </w:p>
        </w:tc>
      </w:tr>
      <w:tr w14:paraId="2B8B75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4BACBDD8">
            <w:pPr>
              <w:snapToGrid w:val="0"/>
              <w:spacing w:before="156" w:line="360" w:lineRule="auto"/>
              <w:textAlignment w:val="baseline"/>
              <w:rPr>
                <w:rFonts w:ascii="宋体" w:hAnsi="宋体"/>
                <w:color w:val="auto"/>
                <w:kern w:val="0"/>
                <w:sz w:val="20"/>
                <w:szCs w:val="21"/>
              </w:rPr>
            </w:pPr>
            <w:r>
              <w:rPr>
                <w:rFonts w:hint="eastAsia" w:ascii="宋体" w:hAnsi="宋体"/>
                <w:color w:val="auto"/>
                <w:kern w:val="0"/>
                <w:szCs w:val="21"/>
              </w:rPr>
              <w:t>8</w:t>
            </w:r>
          </w:p>
        </w:tc>
        <w:tc>
          <w:tcPr>
            <w:tcW w:w="2786" w:type="dxa"/>
            <w:noWrap w:val="0"/>
            <w:vAlign w:val="center"/>
          </w:tcPr>
          <w:p w14:paraId="7B141B11">
            <w:pPr>
              <w:adjustRightInd w:val="0"/>
              <w:snapToGrid w:val="0"/>
              <w:spacing w:before="156" w:beforeLines="50" w:line="360" w:lineRule="auto"/>
              <w:rPr>
                <w:rFonts w:hint="eastAsia" w:ascii="宋体" w:hAnsi="宋体" w:eastAsia="宋体" w:cs="Times New Roman"/>
                <w:color w:val="auto"/>
                <w:szCs w:val="21"/>
              </w:rPr>
            </w:pPr>
            <w:r>
              <w:rPr>
                <w:rFonts w:hint="eastAsia" w:ascii="宋体" w:hAnsi="宋体" w:eastAsia="宋体" w:cs="Times New Roman"/>
                <w:color w:val="auto"/>
                <w:szCs w:val="21"/>
              </w:rPr>
              <w:t>其它</w:t>
            </w:r>
          </w:p>
        </w:tc>
        <w:tc>
          <w:tcPr>
            <w:tcW w:w="5591" w:type="dxa"/>
            <w:noWrap w:val="0"/>
            <w:vAlign w:val="center"/>
          </w:tcPr>
          <w:p w14:paraId="54EFEDEC">
            <w:pPr>
              <w:adjustRightInd w:val="0"/>
              <w:snapToGrid w:val="0"/>
              <w:spacing w:before="156" w:beforeLines="50" w:line="360" w:lineRule="auto"/>
              <w:rPr>
                <w:rFonts w:hint="eastAsia" w:ascii="宋体" w:hAnsi="宋体" w:eastAsia="宋体" w:cs="Times New Roman"/>
                <w:color w:val="auto"/>
                <w:szCs w:val="21"/>
              </w:rPr>
            </w:pPr>
            <w:r>
              <w:rPr>
                <w:rFonts w:hint="eastAsia" w:ascii="宋体" w:hAnsi="宋体" w:eastAsia="宋体" w:cs="Times New Roman"/>
                <w:color w:val="auto"/>
                <w:szCs w:val="21"/>
              </w:rPr>
              <w:t>法律、法规和招标文件规定的其他投标无效情形</w:t>
            </w:r>
            <w:r>
              <w:rPr>
                <w:rFonts w:hint="eastAsia" w:ascii="宋体" w:hAnsi="宋体" w:eastAsia="宋体" w:cs="Times New Roman"/>
                <w:color w:val="auto"/>
                <w:szCs w:val="21"/>
                <w:lang w:eastAsia="zh-CN"/>
              </w:rPr>
              <w:t>。</w:t>
            </w:r>
          </w:p>
        </w:tc>
      </w:tr>
      <w:tr w14:paraId="57157A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5E8B282E">
            <w:pPr>
              <w:snapToGrid w:val="0"/>
              <w:spacing w:before="156" w:line="360" w:lineRule="auto"/>
              <w:textAlignment w:val="baseline"/>
              <w:rPr>
                <w:rFonts w:ascii="宋体" w:hAnsi="宋体" w:cs="宋体"/>
                <w:color w:val="auto"/>
                <w:kern w:val="0"/>
                <w:sz w:val="20"/>
                <w:szCs w:val="21"/>
              </w:rPr>
            </w:pPr>
            <w:r>
              <w:rPr>
                <w:rFonts w:hint="eastAsia" w:ascii="宋体" w:hAnsi="宋体" w:cs="宋体"/>
                <w:color w:val="auto"/>
                <w:kern w:val="0"/>
                <w:sz w:val="20"/>
                <w:szCs w:val="21"/>
              </w:rPr>
              <w:t>结论</w:t>
            </w:r>
          </w:p>
        </w:tc>
        <w:tc>
          <w:tcPr>
            <w:tcW w:w="8377" w:type="dxa"/>
            <w:gridSpan w:val="2"/>
            <w:noWrap w:val="0"/>
            <w:vAlign w:val="center"/>
          </w:tcPr>
          <w:p w14:paraId="3C903EB2">
            <w:pPr>
              <w:snapToGrid w:val="0"/>
              <w:spacing w:before="156" w:line="360" w:lineRule="auto"/>
              <w:textAlignment w:val="baseline"/>
              <w:rPr>
                <w:rFonts w:ascii="宋体" w:hAnsi="宋体" w:cs="宋体"/>
                <w:color w:val="auto"/>
                <w:kern w:val="0"/>
                <w:sz w:val="20"/>
                <w:szCs w:val="21"/>
              </w:rPr>
            </w:pPr>
          </w:p>
        </w:tc>
      </w:tr>
    </w:tbl>
    <w:p w14:paraId="38A3A6C6">
      <w:pPr>
        <w:pStyle w:val="24"/>
        <w:adjustRightInd w:val="0"/>
        <w:snapToGrid w:val="0"/>
        <w:ind w:firstLine="422" w:firstLineChars="200"/>
        <w:rPr>
          <w:rFonts w:hAnsi="宋体"/>
          <w:b/>
          <w:color w:val="auto"/>
          <w:sz w:val="21"/>
        </w:rPr>
      </w:pPr>
      <w:r>
        <w:rPr>
          <w:rFonts w:hAnsi="宋体"/>
          <w:b/>
          <w:color w:val="auto"/>
          <w:sz w:val="21"/>
        </w:rPr>
        <w:br w:type="page"/>
      </w:r>
    </w:p>
    <w:p w14:paraId="2D3DA61C">
      <w:pPr>
        <w:pStyle w:val="6"/>
        <w:adjustRightInd w:val="0"/>
        <w:snapToGrid w:val="0"/>
        <w:spacing w:before="0" w:after="0" w:line="360" w:lineRule="auto"/>
        <w:rPr>
          <w:rFonts w:ascii="黑体" w:hAnsi="黑体"/>
          <w:b w:val="0"/>
          <w:color w:val="auto"/>
          <w:sz w:val="21"/>
          <w:szCs w:val="21"/>
        </w:rPr>
      </w:pPr>
      <w:bookmarkStart w:id="1026" w:name="_Toc75289263"/>
      <w:bookmarkStart w:id="1027" w:name="_Toc15888518"/>
      <w:r>
        <w:rPr>
          <w:rFonts w:hint="eastAsia" w:ascii="黑体" w:hAnsi="黑体"/>
          <w:b w:val="0"/>
          <w:color w:val="auto"/>
          <w:sz w:val="21"/>
          <w:szCs w:val="21"/>
        </w:rPr>
        <w:t>附表2 符合性审查结果一览表</w:t>
      </w:r>
      <w:bookmarkEnd w:id="1026"/>
      <w:bookmarkEnd w:id="1027"/>
    </w:p>
    <w:p w14:paraId="24162BC5">
      <w:pPr>
        <w:pStyle w:val="5"/>
        <w:jc w:val="center"/>
        <w:rPr>
          <w:rFonts w:ascii="黑体" w:hAnsi="黑体" w:eastAsia="黑体"/>
          <w:b w:val="0"/>
          <w:color w:val="auto"/>
          <w:sz w:val="28"/>
          <w:szCs w:val="28"/>
        </w:rPr>
      </w:pPr>
      <w:bookmarkStart w:id="1028" w:name="_Toc94367915"/>
      <w:bookmarkStart w:id="1029" w:name="_Toc112704969"/>
      <w:bookmarkStart w:id="1030" w:name="_Toc192949737"/>
      <w:bookmarkStart w:id="1031" w:name="_Toc108341973"/>
      <w:bookmarkStart w:id="1032" w:name="_Toc78314297"/>
      <w:bookmarkStart w:id="1033" w:name="_Toc20968"/>
      <w:bookmarkStart w:id="1034" w:name="_Toc154428425"/>
      <w:bookmarkStart w:id="1035" w:name="_Toc192951248"/>
      <w:bookmarkStart w:id="1036" w:name="_Toc171273706"/>
      <w:bookmarkStart w:id="1037" w:name="_Toc114036748"/>
      <w:bookmarkStart w:id="1038" w:name="_Toc117192484"/>
      <w:bookmarkStart w:id="1039" w:name="_Toc2995"/>
      <w:bookmarkStart w:id="1040" w:name="_Toc1141"/>
      <w:bookmarkStart w:id="1041" w:name="_Toc100670456"/>
      <w:bookmarkStart w:id="1042" w:name="_Toc75289583"/>
      <w:bookmarkStart w:id="1043" w:name="_Toc77199434"/>
      <w:bookmarkStart w:id="1044" w:name="_Toc95601400"/>
      <w:bookmarkStart w:id="1045" w:name="_Toc15630"/>
      <w:bookmarkStart w:id="1046" w:name="_Toc85972965"/>
      <w:bookmarkStart w:id="1047" w:name="_Toc10299"/>
      <w:bookmarkStart w:id="1048" w:name="_Toc32232"/>
      <w:bookmarkStart w:id="1049" w:name="_Toc77676501"/>
      <w:bookmarkStart w:id="1050" w:name="_Toc13195"/>
      <w:bookmarkStart w:id="1051" w:name="_Toc192949638"/>
      <w:bookmarkStart w:id="1052" w:name="_Toc100670704"/>
      <w:bookmarkStart w:id="1053" w:name="_Toc21099"/>
      <w:bookmarkStart w:id="1054" w:name="_Toc75289264"/>
      <w:bookmarkStart w:id="1055" w:name="_Toc14390"/>
      <w:bookmarkStart w:id="1056" w:name="_Toc78449990"/>
      <w:r>
        <w:rPr>
          <w:rFonts w:hint="eastAsia" w:ascii="黑体" w:hAnsi="黑体" w:eastAsia="黑体"/>
          <w:b w:val="0"/>
          <w:color w:val="auto"/>
          <w:sz w:val="28"/>
          <w:szCs w:val="28"/>
        </w:rPr>
        <w:t>符合性审查结果一览表</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14:paraId="75C531BF">
      <w:pPr>
        <w:adjustRightInd w:val="0"/>
        <w:snapToGrid w:val="0"/>
        <w:spacing w:line="360" w:lineRule="auto"/>
        <w:rPr>
          <w:rFonts w:ascii="宋体" w:hAnsi="宋体"/>
          <w:color w:val="auto"/>
          <w:szCs w:val="21"/>
        </w:rPr>
      </w:pPr>
      <w:r>
        <w:rPr>
          <w:rFonts w:hint="eastAsia" w:ascii="宋体" w:hAnsi="宋体"/>
          <w:color w:val="auto"/>
          <w:szCs w:val="21"/>
        </w:rPr>
        <w:t>项目名称：                                           政府采购计划编号：</w:t>
      </w:r>
    </w:p>
    <w:tbl>
      <w:tblPr>
        <w:tblStyle w:val="47"/>
        <w:tblW w:w="879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699"/>
      </w:tblGrid>
      <w:tr w14:paraId="4294F9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vAlign w:val="center"/>
          </w:tcPr>
          <w:p w14:paraId="1AE58724">
            <w:pPr>
              <w:jc w:val="center"/>
              <w:rPr>
                <w:rFonts w:ascii="宋体" w:hAnsi="宋体"/>
                <w:b/>
                <w:color w:val="auto"/>
                <w:kern w:val="0"/>
                <w:szCs w:val="21"/>
              </w:rPr>
            </w:pPr>
            <w:r>
              <w:rPr>
                <w:rFonts w:hint="eastAsia" w:ascii="宋体" w:hAnsi="宋体"/>
                <w:b/>
                <w:color w:val="auto"/>
                <w:kern w:val="0"/>
                <w:szCs w:val="21"/>
              </w:rPr>
              <w:t>序号</w:t>
            </w:r>
          </w:p>
        </w:tc>
        <w:tc>
          <w:tcPr>
            <w:tcW w:w="2963" w:type="dxa"/>
            <w:vAlign w:val="center"/>
          </w:tcPr>
          <w:p w14:paraId="1007E357">
            <w:pPr>
              <w:jc w:val="center"/>
              <w:rPr>
                <w:rFonts w:ascii="宋体" w:hAnsi="宋体"/>
                <w:b/>
                <w:color w:val="auto"/>
                <w:kern w:val="0"/>
                <w:szCs w:val="21"/>
              </w:rPr>
            </w:pPr>
            <w:r>
              <w:rPr>
                <w:rFonts w:hint="eastAsia" w:ascii="宋体" w:hAnsi="宋体"/>
                <w:b/>
                <w:color w:val="auto"/>
                <w:kern w:val="0"/>
                <w:szCs w:val="21"/>
              </w:rPr>
              <w:t>投标人名称</w:t>
            </w:r>
          </w:p>
        </w:tc>
        <w:tc>
          <w:tcPr>
            <w:tcW w:w="2439" w:type="dxa"/>
            <w:vAlign w:val="center"/>
          </w:tcPr>
          <w:p w14:paraId="4127FB01">
            <w:pPr>
              <w:jc w:val="center"/>
              <w:rPr>
                <w:rFonts w:ascii="宋体" w:hAnsi="宋体"/>
                <w:b/>
                <w:color w:val="auto"/>
                <w:kern w:val="0"/>
                <w:szCs w:val="21"/>
              </w:rPr>
            </w:pPr>
            <w:r>
              <w:rPr>
                <w:rFonts w:hint="eastAsia" w:ascii="宋体" w:hAnsi="宋体"/>
                <w:b/>
                <w:color w:val="auto"/>
                <w:kern w:val="0"/>
                <w:szCs w:val="21"/>
              </w:rPr>
              <w:t>符合性审查结果</w:t>
            </w:r>
          </w:p>
          <w:p w14:paraId="0A18C6C5">
            <w:pPr>
              <w:jc w:val="center"/>
              <w:rPr>
                <w:rFonts w:ascii="宋体" w:hAnsi="宋体"/>
                <w:b/>
                <w:color w:val="auto"/>
                <w:kern w:val="0"/>
                <w:szCs w:val="21"/>
              </w:rPr>
            </w:pPr>
            <w:r>
              <w:rPr>
                <w:rFonts w:hint="eastAsia" w:ascii="宋体" w:hAnsi="宋体"/>
                <w:b/>
                <w:color w:val="auto"/>
                <w:kern w:val="0"/>
                <w:szCs w:val="21"/>
              </w:rPr>
              <w:t>（合格/不合格）</w:t>
            </w:r>
          </w:p>
        </w:tc>
        <w:tc>
          <w:tcPr>
            <w:tcW w:w="2699" w:type="dxa"/>
            <w:vAlign w:val="center"/>
          </w:tcPr>
          <w:p w14:paraId="29CB002E">
            <w:pPr>
              <w:jc w:val="center"/>
              <w:rPr>
                <w:rFonts w:ascii="宋体" w:hAnsi="宋体"/>
                <w:b/>
                <w:color w:val="auto"/>
                <w:kern w:val="0"/>
                <w:szCs w:val="21"/>
              </w:rPr>
            </w:pPr>
            <w:r>
              <w:rPr>
                <w:rFonts w:hint="eastAsia" w:ascii="宋体" w:hAnsi="宋体"/>
                <w:b/>
                <w:color w:val="auto"/>
                <w:kern w:val="0"/>
                <w:szCs w:val="21"/>
              </w:rPr>
              <w:t>符合性审查不合格原因</w:t>
            </w:r>
          </w:p>
        </w:tc>
      </w:tr>
      <w:tr w14:paraId="71A936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47F325C4">
            <w:pPr>
              <w:adjustRightInd w:val="0"/>
              <w:snapToGrid w:val="0"/>
              <w:spacing w:line="360" w:lineRule="auto"/>
              <w:rPr>
                <w:rFonts w:ascii="宋体" w:hAnsi="宋体"/>
                <w:color w:val="auto"/>
                <w:kern w:val="0"/>
                <w:sz w:val="24"/>
              </w:rPr>
            </w:pPr>
          </w:p>
        </w:tc>
        <w:tc>
          <w:tcPr>
            <w:tcW w:w="2963" w:type="dxa"/>
          </w:tcPr>
          <w:p w14:paraId="684D389C">
            <w:pPr>
              <w:adjustRightInd w:val="0"/>
              <w:snapToGrid w:val="0"/>
              <w:spacing w:line="360" w:lineRule="auto"/>
              <w:rPr>
                <w:rFonts w:ascii="宋体" w:hAnsi="宋体"/>
                <w:color w:val="auto"/>
                <w:kern w:val="0"/>
                <w:sz w:val="24"/>
              </w:rPr>
            </w:pPr>
          </w:p>
        </w:tc>
        <w:tc>
          <w:tcPr>
            <w:tcW w:w="2439" w:type="dxa"/>
          </w:tcPr>
          <w:p w14:paraId="08FEA59F">
            <w:pPr>
              <w:adjustRightInd w:val="0"/>
              <w:snapToGrid w:val="0"/>
              <w:spacing w:line="360" w:lineRule="auto"/>
              <w:rPr>
                <w:rFonts w:ascii="宋体" w:hAnsi="宋体"/>
                <w:color w:val="auto"/>
                <w:kern w:val="0"/>
                <w:sz w:val="24"/>
              </w:rPr>
            </w:pPr>
          </w:p>
        </w:tc>
        <w:tc>
          <w:tcPr>
            <w:tcW w:w="2699" w:type="dxa"/>
          </w:tcPr>
          <w:p w14:paraId="7D1BCEE9">
            <w:pPr>
              <w:adjustRightInd w:val="0"/>
              <w:snapToGrid w:val="0"/>
              <w:spacing w:line="360" w:lineRule="auto"/>
              <w:rPr>
                <w:rFonts w:ascii="宋体" w:hAnsi="宋体"/>
                <w:color w:val="auto"/>
                <w:kern w:val="0"/>
                <w:sz w:val="24"/>
              </w:rPr>
            </w:pPr>
          </w:p>
        </w:tc>
      </w:tr>
      <w:tr w14:paraId="0857A7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7A0B7F21">
            <w:pPr>
              <w:adjustRightInd w:val="0"/>
              <w:snapToGrid w:val="0"/>
              <w:spacing w:line="360" w:lineRule="auto"/>
              <w:rPr>
                <w:rFonts w:ascii="宋体" w:hAnsi="宋体"/>
                <w:color w:val="auto"/>
                <w:kern w:val="0"/>
                <w:sz w:val="24"/>
              </w:rPr>
            </w:pPr>
          </w:p>
        </w:tc>
        <w:tc>
          <w:tcPr>
            <w:tcW w:w="2963" w:type="dxa"/>
          </w:tcPr>
          <w:p w14:paraId="6924C130">
            <w:pPr>
              <w:adjustRightInd w:val="0"/>
              <w:snapToGrid w:val="0"/>
              <w:spacing w:line="360" w:lineRule="auto"/>
              <w:rPr>
                <w:rFonts w:ascii="宋体" w:hAnsi="宋体"/>
                <w:color w:val="auto"/>
                <w:kern w:val="0"/>
                <w:sz w:val="24"/>
              </w:rPr>
            </w:pPr>
          </w:p>
        </w:tc>
        <w:tc>
          <w:tcPr>
            <w:tcW w:w="2439" w:type="dxa"/>
          </w:tcPr>
          <w:p w14:paraId="6603C7DB">
            <w:pPr>
              <w:adjustRightInd w:val="0"/>
              <w:snapToGrid w:val="0"/>
              <w:spacing w:line="360" w:lineRule="auto"/>
              <w:rPr>
                <w:rFonts w:ascii="宋体" w:hAnsi="宋体"/>
                <w:color w:val="auto"/>
                <w:kern w:val="0"/>
                <w:sz w:val="24"/>
              </w:rPr>
            </w:pPr>
          </w:p>
        </w:tc>
        <w:tc>
          <w:tcPr>
            <w:tcW w:w="2699" w:type="dxa"/>
          </w:tcPr>
          <w:p w14:paraId="4A082F5C">
            <w:pPr>
              <w:adjustRightInd w:val="0"/>
              <w:snapToGrid w:val="0"/>
              <w:spacing w:line="360" w:lineRule="auto"/>
              <w:rPr>
                <w:rFonts w:ascii="宋体" w:hAnsi="宋体"/>
                <w:color w:val="auto"/>
                <w:kern w:val="0"/>
                <w:sz w:val="24"/>
              </w:rPr>
            </w:pPr>
          </w:p>
        </w:tc>
      </w:tr>
      <w:tr w14:paraId="364BC6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1334D21B">
            <w:pPr>
              <w:adjustRightInd w:val="0"/>
              <w:snapToGrid w:val="0"/>
              <w:spacing w:line="360" w:lineRule="auto"/>
              <w:rPr>
                <w:rFonts w:ascii="宋体" w:hAnsi="宋体"/>
                <w:color w:val="auto"/>
                <w:kern w:val="0"/>
                <w:sz w:val="24"/>
              </w:rPr>
            </w:pPr>
          </w:p>
        </w:tc>
        <w:tc>
          <w:tcPr>
            <w:tcW w:w="2963" w:type="dxa"/>
          </w:tcPr>
          <w:p w14:paraId="58745AA1">
            <w:pPr>
              <w:adjustRightInd w:val="0"/>
              <w:snapToGrid w:val="0"/>
              <w:spacing w:line="360" w:lineRule="auto"/>
              <w:rPr>
                <w:rFonts w:ascii="宋体" w:hAnsi="宋体"/>
                <w:color w:val="auto"/>
                <w:kern w:val="0"/>
                <w:sz w:val="24"/>
              </w:rPr>
            </w:pPr>
          </w:p>
        </w:tc>
        <w:tc>
          <w:tcPr>
            <w:tcW w:w="2439" w:type="dxa"/>
          </w:tcPr>
          <w:p w14:paraId="4D1432A4">
            <w:pPr>
              <w:adjustRightInd w:val="0"/>
              <w:snapToGrid w:val="0"/>
              <w:spacing w:line="360" w:lineRule="auto"/>
              <w:rPr>
                <w:rFonts w:ascii="宋体" w:hAnsi="宋体"/>
                <w:color w:val="auto"/>
                <w:kern w:val="0"/>
                <w:sz w:val="24"/>
              </w:rPr>
            </w:pPr>
          </w:p>
        </w:tc>
        <w:tc>
          <w:tcPr>
            <w:tcW w:w="2699" w:type="dxa"/>
          </w:tcPr>
          <w:p w14:paraId="4A897BAF">
            <w:pPr>
              <w:adjustRightInd w:val="0"/>
              <w:snapToGrid w:val="0"/>
              <w:spacing w:line="360" w:lineRule="auto"/>
              <w:rPr>
                <w:rFonts w:ascii="宋体" w:hAnsi="宋体"/>
                <w:color w:val="auto"/>
                <w:kern w:val="0"/>
                <w:sz w:val="24"/>
              </w:rPr>
            </w:pPr>
          </w:p>
        </w:tc>
      </w:tr>
      <w:tr w14:paraId="04D8A9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50F34F64">
            <w:pPr>
              <w:adjustRightInd w:val="0"/>
              <w:snapToGrid w:val="0"/>
              <w:spacing w:line="360" w:lineRule="auto"/>
              <w:rPr>
                <w:rFonts w:ascii="宋体" w:hAnsi="宋体"/>
                <w:color w:val="auto"/>
                <w:kern w:val="0"/>
                <w:sz w:val="24"/>
              </w:rPr>
            </w:pPr>
          </w:p>
        </w:tc>
        <w:tc>
          <w:tcPr>
            <w:tcW w:w="2963" w:type="dxa"/>
          </w:tcPr>
          <w:p w14:paraId="0FC99CF5">
            <w:pPr>
              <w:adjustRightInd w:val="0"/>
              <w:snapToGrid w:val="0"/>
              <w:spacing w:line="360" w:lineRule="auto"/>
              <w:rPr>
                <w:rFonts w:ascii="宋体" w:hAnsi="宋体"/>
                <w:color w:val="auto"/>
                <w:kern w:val="0"/>
                <w:sz w:val="24"/>
              </w:rPr>
            </w:pPr>
          </w:p>
        </w:tc>
        <w:tc>
          <w:tcPr>
            <w:tcW w:w="2439" w:type="dxa"/>
          </w:tcPr>
          <w:p w14:paraId="6FE800C8">
            <w:pPr>
              <w:adjustRightInd w:val="0"/>
              <w:snapToGrid w:val="0"/>
              <w:spacing w:line="360" w:lineRule="auto"/>
              <w:rPr>
                <w:rFonts w:ascii="宋体" w:hAnsi="宋体"/>
                <w:color w:val="auto"/>
                <w:kern w:val="0"/>
                <w:sz w:val="24"/>
              </w:rPr>
            </w:pPr>
          </w:p>
        </w:tc>
        <w:tc>
          <w:tcPr>
            <w:tcW w:w="2699" w:type="dxa"/>
          </w:tcPr>
          <w:p w14:paraId="6E1E115C">
            <w:pPr>
              <w:adjustRightInd w:val="0"/>
              <w:snapToGrid w:val="0"/>
              <w:spacing w:line="360" w:lineRule="auto"/>
              <w:rPr>
                <w:rFonts w:ascii="宋体" w:hAnsi="宋体"/>
                <w:color w:val="auto"/>
                <w:kern w:val="0"/>
                <w:sz w:val="24"/>
              </w:rPr>
            </w:pPr>
          </w:p>
        </w:tc>
      </w:tr>
      <w:tr w14:paraId="6A5024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106CD43C">
            <w:pPr>
              <w:adjustRightInd w:val="0"/>
              <w:snapToGrid w:val="0"/>
              <w:spacing w:line="360" w:lineRule="auto"/>
              <w:rPr>
                <w:rFonts w:ascii="宋体" w:hAnsi="宋体"/>
                <w:color w:val="auto"/>
                <w:kern w:val="0"/>
                <w:sz w:val="24"/>
              </w:rPr>
            </w:pPr>
          </w:p>
        </w:tc>
        <w:tc>
          <w:tcPr>
            <w:tcW w:w="2963" w:type="dxa"/>
          </w:tcPr>
          <w:p w14:paraId="25BA0A21">
            <w:pPr>
              <w:adjustRightInd w:val="0"/>
              <w:snapToGrid w:val="0"/>
              <w:spacing w:line="360" w:lineRule="auto"/>
              <w:rPr>
                <w:rFonts w:ascii="宋体" w:hAnsi="宋体"/>
                <w:color w:val="auto"/>
                <w:kern w:val="0"/>
                <w:sz w:val="24"/>
              </w:rPr>
            </w:pPr>
          </w:p>
        </w:tc>
        <w:tc>
          <w:tcPr>
            <w:tcW w:w="2439" w:type="dxa"/>
          </w:tcPr>
          <w:p w14:paraId="7234C7A0">
            <w:pPr>
              <w:adjustRightInd w:val="0"/>
              <w:snapToGrid w:val="0"/>
              <w:spacing w:line="360" w:lineRule="auto"/>
              <w:rPr>
                <w:rFonts w:ascii="宋体" w:hAnsi="宋体"/>
                <w:color w:val="auto"/>
                <w:kern w:val="0"/>
                <w:sz w:val="24"/>
              </w:rPr>
            </w:pPr>
          </w:p>
        </w:tc>
        <w:tc>
          <w:tcPr>
            <w:tcW w:w="2699" w:type="dxa"/>
          </w:tcPr>
          <w:p w14:paraId="0BE5E094">
            <w:pPr>
              <w:adjustRightInd w:val="0"/>
              <w:snapToGrid w:val="0"/>
              <w:spacing w:line="360" w:lineRule="auto"/>
              <w:rPr>
                <w:rFonts w:ascii="宋体" w:hAnsi="宋体"/>
                <w:color w:val="auto"/>
                <w:kern w:val="0"/>
                <w:sz w:val="24"/>
              </w:rPr>
            </w:pPr>
          </w:p>
        </w:tc>
      </w:tr>
      <w:tr w14:paraId="2ECAFB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7F3C694E">
            <w:pPr>
              <w:adjustRightInd w:val="0"/>
              <w:snapToGrid w:val="0"/>
              <w:spacing w:line="360" w:lineRule="auto"/>
              <w:rPr>
                <w:rFonts w:ascii="宋体" w:hAnsi="宋体"/>
                <w:color w:val="auto"/>
                <w:kern w:val="0"/>
                <w:sz w:val="24"/>
              </w:rPr>
            </w:pPr>
          </w:p>
        </w:tc>
        <w:tc>
          <w:tcPr>
            <w:tcW w:w="2963" w:type="dxa"/>
          </w:tcPr>
          <w:p w14:paraId="5652DBBD">
            <w:pPr>
              <w:adjustRightInd w:val="0"/>
              <w:snapToGrid w:val="0"/>
              <w:spacing w:line="360" w:lineRule="auto"/>
              <w:rPr>
                <w:rFonts w:ascii="宋体" w:hAnsi="宋体"/>
                <w:color w:val="auto"/>
                <w:kern w:val="0"/>
                <w:sz w:val="24"/>
              </w:rPr>
            </w:pPr>
          </w:p>
        </w:tc>
        <w:tc>
          <w:tcPr>
            <w:tcW w:w="2439" w:type="dxa"/>
          </w:tcPr>
          <w:p w14:paraId="4DAD341F">
            <w:pPr>
              <w:adjustRightInd w:val="0"/>
              <w:snapToGrid w:val="0"/>
              <w:spacing w:line="360" w:lineRule="auto"/>
              <w:rPr>
                <w:rFonts w:ascii="宋体" w:hAnsi="宋体"/>
                <w:color w:val="auto"/>
                <w:kern w:val="0"/>
                <w:sz w:val="24"/>
              </w:rPr>
            </w:pPr>
          </w:p>
        </w:tc>
        <w:tc>
          <w:tcPr>
            <w:tcW w:w="2699" w:type="dxa"/>
          </w:tcPr>
          <w:p w14:paraId="4F365FC9">
            <w:pPr>
              <w:adjustRightInd w:val="0"/>
              <w:snapToGrid w:val="0"/>
              <w:spacing w:line="360" w:lineRule="auto"/>
              <w:rPr>
                <w:rFonts w:ascii="宋体" w:hAnsi="宋体"/>
                <w:color w:val="auto"/>
                <w:kern w:val="0"/>
                <w:sz w:val="24"/>
              </w:rPr>
            </w:pPr>
          </w:p>
        </w:tc>
      </w:tr>
      <w:tr w14:paraId="308D45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5B4F6C9C">
            <w:pPr>
              <w:adjustRightInd w:val="0"/>
              <w:snapToGrid w:val="0"/>
              <w:spacing w:line="360" w:lineRule="auto"/>
              <w:rPr>
                <w:rFonts w:ascii="宋体" w:hAnsi="宋体"/>
                <w:color w:val="auto"/>
                <w:kern w:val="0"/>
                <w:sz w:val="24"/>
              </w:rPr>
            </w:pPr>
          </w:p>
        </w:tc>
        <w:tc>
          <w:tcPr>
            <w:tcW w:w="2963" w:type="dxa"/>
          </w:tcPr>
          <w:p w14:paraId="5AFF0625">
            <w:pPr>
              <w:adjustRightInd w:val="0"/>
              <w:snapToGrid w:val="0"/>
              <w:spacing w:line="360" w:lineRule="auto"/>
              <w:rPr>
                <w:rFonts w:ascii="宋体" w:hAnsi="宋体"/>
                <w:color w:val="auto"/>
                <w:kern w:val="0"/>
                <w:sz w:val="24"/>
              </w:rPr>
            </w:pPr>
          </w:p>
        </w:tc>
        <w:tc>
          <w:tcPr>
            <w:tcW w:w="2439" w:type="dxa"/>
          </w:tcPr>
          <w:p w14:paraId="67D82F50">
            <w:pPr>
              <w:adjustRightInd w:val="0"/>
              <w:snapToGrid w:val="0"/>
              <w:spacing w:line="360" w:lineRule="auto"/>
              <w:rPr>
                <w:rFonts w:ascii="宋体" w:hAnsi="宋体"/>
                <w:color w:val="auto"/>
                <w:kern w:val="0"/>
                <w:sz w:val="24"/>
              </w:rPr>
            </w:pPr>
          </w:p>
        </w:tc>
        <w:tc>
          <w:tcPr>
            <w:tcW w:w="2699" w:type="dxa"/>
          </w:tcPr>
          <w:p w14:paraId="14F8A6D8">
            <w:pPr>
              <w:adjustRightInd w:val="0"/>
              <w:snapToGrid w:val="0"/>
              <w:spacing w:line="360" w:lineRule="auto"/>
              <w:rPr>
                <w:rFonts w:ascii="宋体" w:hAnsi="宋体"/>
                <w:color w:val="auto"/>
                <w:kern w:val="0"/>
                <w:sz w:val="24"/>
              </w:rPr>
            </w:pPr>
          </w:p>
        </w:tc>
      </w:tr>
      <w:tr w14:paraId="0E01A0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42DD802E">
            <w:pPr>
              <w:adjustRightInd w:val="0"/>
              <w:snapToGrid w:val="0"/>
              <w:spacing w:line="360" w:lineRule="auto"/>
              <w:rPr>
                <w:rFonts w:ascii="宋体" w:hAnsi="宋体"/>
                <w:color w:val="auto"/>
                <w:kern w:val="0"/>
                <w:sz w:val="24"/>
              </w:rPr>
            </w:pPr>
          </w:p>
        </w:tc>
        <w:tc>
          <w:tcPr>
            <w:tcW w:w="2963" w:type="dxa"/>
          </w:tcPr>
          <w:p w14:paraId="50B84163">
            <w:pPr>
              <w:adjustRightInd w:val="0"/>
              <w:snapToGrid w:val="0"/>
              <w:spacing w:line="360" w:lineRule="auto"/>
              <w:rPr>
                <w:rFonts w:ascii="宋体" w:hAnsi="宋体"/>
                <w:color w:val="auto"/>
                <w:kern w:val="0"/>
                <w:sz w:val="24"/>
              </w:rPr>
            </w:pPr>
          </w:p>
        </w:tc>
        <w:tc>
          <w:tcPr>
            <w:tcW w:w="2439" w:type="dxa"/>
          </w:tcPr>
          <w:p w14:paraId="0F86B3F5">
            <w:pPr>
              <w:adjustRightInd w:val="0"/>
              <w:snapToGrid w:val="0"/>
              <w:spacing w:line="360" w:lineRule="auto"/>
              <w:rPr>
                <w:rFonts w:ascii="宋体" w:hAnsi="宋体"/>
                <w:color w:val="auto"/>
                <w:kern w:val="0"/>
                <w:sz w:val="24"/>
              </w:rPr>
            </w:pPr>
          </w:p>
        </w:tc>
        <w:tc>
          <w:tcPr>
            <w:tcW w:w="2699" w:type="dxa"/>
          </w:tcPr>
          <w:p w14:paraId="5366EB5C">
            <w:pPr>
              <w:adjustRightInd w:val="0"/>
              <w:snapToGrid w:val="0"/>
              <w:spacing w:line="360" w:lineRule="auto"/>
              <w:rPr>
                <w:rFonts w:ascii="宋体" w:hAnsi="宋体"/>
                <w:color w:val="auto"/>
                <w:kern w:val="0"/>
                <w:sz w:val="24"/>
              </w:rPr>
            </w:pPr>
          </w:p>
        </w:tc>
      </w:tr>
      <w:tr w14:paraId="684C8F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697" w:type="dxa"/>
          </w:tcPr>
          <w:p w14:paraId="6169753C">
            <w:pPr>
              <w:adjustRightInd w:val="0"/>
              <w:snapToGrid w:val="0"/>
              <w:spacing w:line="360" w:lineRule="auto"/>
              <w:rPr>
                <w:rFonts w:ascii="宋体" w:hAnsi="宋体"/>
                <w:color w:val="auto"/>
                <w:kern w:val="0"/>
                <w:sz w:val="24"/>
              </w:rPr>
            </w:pPr>
          </w:p>
        </w:tc>
        <w:tc>
          <w:tcPr>
            <w:tcW w:w="2963" w:type="dxa"/>
          </w:tcPr>
          <w:p w14:paraId="39C044DA">
            <w:pPr>
              <w:adjustRightInd w:val="0"/>
              <w:snapToGrid w:val="0"/>
              <w:spacing w:line="360" w:lineRule="auto"/>
              <w:rPr>
                <w:rFonts w:ascii="宋体" w:hAnsi="宋体"/>
                <w:color w:val="auto"/>
                <w:kern w:val="0"/>
                <w:sz w:val="24"/>
              </w:rPr>
            </w:pPr>
          </w:p>
        </w:tc>
        <w:tc>
          <w:tcPr>
            <w:tcW w:w="2439" w:type="dxa"/>
          </w:tcPr>
          <w:p w14:paraId="62054D1D">
            <w:pPr>
              <w:adjustRightInd w:val="0"/>
              <w:snapToGrid w:val="0"/>
              <w:spacing w:line="360" w:lineRule="auto"/>
              <w:rPr>
                <w:rFonts w:ascii="宋体" w:hAnsi="宋体"/>
                <w:color w:val="auto"/>
                <w:kern w:val="0"/>
                <w:sz w:val="24"/>
              </w:rPr>
            </w:pPr>
          </w:p>
        </w:tc>
        <w:tc>
          <w:tcPr>
            <w:tcW w:w="2699" w:type="dxa"/>
          </w:tcPr>
          <w:p w14:paraId="2F13B790">
            <w:pPr>
              <w:adjustRightInd w:val="0"/>
              <w:snapToGrid w:val="0"/>
              <w:spacing w:line="360" w:lineRule="auto"/>
              <w:rPr>
                <w:rFonts w:ascii="宋体" w:hAnsi="宋体"/>
                <w:color w:val="auto"/>
                <w:kern w:val="0"/>
                <w:sz w:val="24"/>
              </w:rPr>
            </w:pPr>
          </w:p>
        </w:tc>
      </w:tr>
    </w:tbl>
    <w:p w14:paraId="2E309014">
      <w:pPr>
        <w:adjustRightInd w:val="0"/>
        <w:snapToGrid w:val="0"/>
        <w:spacing w:line="360" w:lineRule="auto"/>
        <w:rPr>
          <w:rFonts w:ascii="宋体" w:hAnsi="宋体"/>
          <w:color w:val="auto"/>
          <w:szCs w:val="21"/>
        </w:rPr>
      </w:pPr>
    </w:p>
    <w:p w14:paraId="734A053F">
      <w:pPr>
        <w:adjustRightInd w:val="0"/>
        <w:snapToGrid w:val="0"/>
        <w:spacing w:line="360" w:lineRule="auto"/>
        <w:rPr>
          <w:rFonts w:ascii="宋体" w:hAnsi="宋体"/>
          <w:color w:val="auto"/>
          <w:szCs w:val="21"/>
        </w:rPr>
      </w:pPr>
      <w:r>
        <w:rPr>
          <w:rFonts w:hint="eastAsia" w:ascii="宋体" w:hAnsi="宋体"/>
          <w:color w:val="auto"/>
          <w:szCs w:val="21"/>
        </w:rPr>
        <w:t>评标委员会（签字）：</w:t>
      </w:r>
    </w:p>
    <w:p w14:paraId="29DE4696">
      <w:pPr>
        <w:adjustRightInd w:val="0"/>
        <w:snapToGrid w:val="0"/>
        <w:spacing w:line="360" w:lineRule="auto"/>
        <w:rPr>
          <w:rFonts w:ascii="宋体" w:hAnsi="宋体"/>
          <w:color w:val="auto"/>
          <w:szCs w:val="21"/>
        </w:rPr>
      </w:pPr>
      <w:r>
        <w:rPr>
          <w:rFonts w:hint="eastAsia" w:ascii="宋体" w:hAnsi="宋体"/>
          <w:color w:val="auto"/>
          <w:szCs w:val="21"/>
        </w:rPr>
        <w:t>日期：年月日</w:t>
      </w:r>
    </w:p>
    <w:p w14:paraId="21709B31">
      <w:pPr>
        <w:widowControl/>
        <w:jc w:val="left"/>
        <w:rPr>
          <w:rFonts w:ascii="宋体" w:hAnsi="宋体"/>
          <w:color w:val="auto"/>
          <w:sz w:val="24"/>
        </w:rPr>
      </w:pPr>
      <w:r>
        <w:rPr>
          <w:rFonts w:ascii="宋体" w:hAnsi="宋体"/>
          <w:color w:val="auto"/>
          <w:sz w:val="24"/>
        </w:rPr>
        <w:br w:type="page"/>
      </w:r>
    </w:p>
    <w:p w14:paraId="080C4395">
      <w:pPr>
        <w:pStyle w:val="6"/>
        <w:adjustRightInd w:val="0"/>
        <w:snapToGrid w:val="0"/>
        <w:spacing w:before="0" w:after="0" w:line="360" w:lineRule="auto"/>
        <w:rPr>
          <w:rFonts w:ascii="黑体" w:hAnsi="黑体"/>
          <w:b w:val="0"/>
          <w:color w:val="auto"/>
          <w:sz w:val="21"/>
          <w:szCs w:val="21"/>
        </w:rPr>
      </w:pPr>
      <w:bookmarkStart w:id="1057" w:name="_Toc75289265"/>
      <w:bookmarkStart w:id="1058" w:name="_Toc15888519"/>
      <w:r>
        <w:rPr>
          <w:rFonts w:hint="eastAsia" w:ascii="黑体" w:hAnsi="黑体"/>
          <w:b w:val="0"/>
          <w:color w:val="auto"/>
          <w:sz w:val="21"/>
          <w:szCs w:val="21"/>
        </w:rPr>
        <w:t>附表3 符合性审查合格投标人名单</w:t>
      </w:r>
      <w:bookmarkEnd w:id="1057"/>
      <w:bookmarkEnd w:id="1058"/>
    </w:p>
    <w:p w14:paraId="4C313CDD">
      <w:pPr>
        <w:pStyle w:val="5"/>
        <w:jc w:val="center"/>
        <w:rPr>
          <w:rFonts w:ascii="黑体" w:hAnsi="黑体" w:eastAsia="黑体"/>
          <w:b w:val="0"/>
          <w:color w:val="auto"/>
          <w:sz w:val="28"/>
          <w:szCs w:val="28"/>
        </w:rPr>
      </w:pPr>
      <w:bookmarkStart w:id="1059" w:name="_Toc23738"/>
      <w:bookmarkStart w:id="1060" w:name="_Toc154428426"/>
      <w:bookmarkStart w:id="1061" w:name="_Toc95601401"/>
      <w:bookmarkStart w:id="1062" w:name="_Toc94367916"/>
      <w:bookmarkStart w:id="1063" w:name="_Toc78449991"/>
      <w:bookmarkStart w:id="1064" w:name="_Toc171273707"/>
      <w:bookmarkStart w:id="1065" w:name="_Toc192949639"/>
      <w:bookmarkStart w:id="1066" w:name="_Toc29059"/>
      <w:bookmarkStart w:id="1067" w:name="_Toc100670457"/>
      <w:bookmarkStart w:id="1068" w:name="_Toc77199435"/>
      <w:bookmarkStart w:id="1069" w:name="_Toc4129"/>
      <w:bookmarkStart w:id="1070" w:name="_Toc108341974"/>
      <w:bookmarkStart w:id="1071" w:name="_Toc114036749"/>
      <w:bookmarkStart w:id="1072" w:name="_Toc25949"/>
      <w:bookmarkStart w:id="1073" w:name="_Toc192951249"/>
      <w:bookmarkStart w:id="1074" w:name="_Toc13561"/>
      <w:bookmarkStart w:id="1075" w:name="_Toc75289266"/>
      <w:bookmarkStart w:id="1076" w:name="_Toc22501"/>
      <w:bookmarkStart w:id="1077" w:name="_Toc9519"/>
      <w:bookmarkStart w:id="1078" w:name="_Toc192949738"/>
      <w:bookmarkStart w:id="1079" w:name="_Toc100670705"/>
      <w:bookmarkStart w:id="1080" w:name="_Toc112704970"/>
      <w:bookmarkStart w:id="1081" w:name="_Toc78314298"/>
      <w:bookmarkStart w:id="1082" w:name="_Toc29808"/>
      <w:bookmarkStart w:id="1083" w:name="_Toc23476"/>
      <w:bookmarkStart w:id="1084" w:name="_Toc117192485"/>
      <w:bookmarkStart w:id="1085" w:name="_Toc77676502"/>
      <w:bookmarkStart w:id="1086" w:name="_Toc85972966"/>
      <w:bookmarkStart w:id="1087" w:name="_Toc75289584"/>
      <w:r>
        <w:rPr>
          <w:rFonts w:hint="eastAsia" w:ascii="黑体" w:hAnsi="黑体" w:eastAsia="黑体"/>
          <w:b w:val="0"/>
          <w:color w:val="auto"/>
          <w:sz w:val="28"/>
          <w:szCs w:val="28"/>
        </w:rPr>
        <w:t>符合性审查合格投标人名单</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14:paraId="3E85534C">
      <w:pPr>
        <w:adjustRightInd w:val="0"/>
        <w:snapToGrid w:val="0"/>
        <w:spacing w:line="360" w:lineRule="auto"/>
        <w:rPr>
          <w:rFonts w:ascii="华文中宋" w:hAnsi="华文中宋" w:eastAsia="华文中宋"/>
          <w:color w:val="auto"/>
          <w:sz w:val="32"/>
          <w:szCs w:val="32"/>
        </w:rPr>
      </w:pPr>
      <w:r>
        <w:rPr>
          <w:rFonts w:hint="eastAsia" w:ascii="宋体" w:hAnsi="宋体"/>
          <w:color w:val="auto"/>
          <w:szCs w:val="21"/>
        </w:rPr>
        <w:t>项目名称：                                        政府采购计划编号：</w:t>
      </w:r>
    </w:p>
    <w:tbl>
      <w:tblPr>
        <w:tblStyle w:val="47"/>
        <w:tblW w:w="858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90"/>
        <w:gridCol w:w="7796"/>
      </w:tblGrid>
      <w:tr w14:paraId="4975CC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vAlign w:val="center"/>
          </w:tcPr>
          <w:p w14:paraId="311C5033">
            <w:pPr>
              <w:jc w:val="center"/>
              <w:rPr>
                <w:b/>
                <w:color w:val="auto"/>
                <w:kern w:val="0"/>
                <w:szCs w:val="21"/>
              </w:rPr>
            </w:pPr>
            <w:r>
              <w:rPr>
                <w:rFonts w:hint="eastAsia"/>
                <w:b/>
                <w:color w:val="auto"/>
                <w:kern w:val="0"/>
                <w:szCs w:val="21"/>
              </w:rPr>
              <w:t>序号</w:t>
            </w:r>
          </w:p>
        </w:tc>
        <w:tc>
          <w:tcPr>
            <w:tcW w:w="7796" w:type="dxa"/>
            <w:vAlign w:val="center"/>
          </w:tcPr>
          <w:p w14:paraId="1ECB40D2">
            <w:pPr>
              <w:jc w:val="center"/>
              <w:rPr>
                <w:b/>
                <w:color w:val="auto"/>
                <w:kern w:val="0"/>
                <w:szCs w:val="21"/>
              </w:rPr>
            </w:pPr>
            <w:r>
              <w:rPr>
                <w:rFonts w:hint="eastAsia"/>
                <w:b/>
                <w:color w:val="auto"/>
                <w:kern w:val="0"/>
                <w:szCs w:val="21"/>
              </w:rPr>
              <w:t>合格投标人名称</w:t>
            </w:r>
          </w:p>
        </w:tc>
      </w:tr>
      <w:tr w14:paraId="5F55A9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1B80A8D1">
            <w:pPr>
              <w:adjustRightInd w:val="0"/>
              <w:snapToGrid w:val="0"/>
              <w:spacing w:line="360" w:lineRule="auto"/>
              <w:rPr>
                <w:rFonts w:ascii="宋体" w:hAnsi="宋体"/>
                <w:color w:val="auto"/>
                <w:kern w:val="0"/>
                <w:szCs w:val="21"/>
              </w:rPr>
            </w:pPr>
          </w:p>
        </w:tc>
        <w:tc>
          <w:tcPr>
            <w:tcW w:w="7796" w:type="dxa"/>
          </w:tcPr>
          <w:p w14:paraId="18C36EF5">
            <w:pPr>
              <w:adjustRightInd w:val="0"/>
              <w:snapToGrid w:val="0"/>
              <w:spacing w:line="360" w:lineRule="auto"/>
              <w:rPr>
                <w:rFonts w:ascii="宋体" w:hAnsi="宋体"/>
                <w:color w:val="auto"/>
                <w:kern w:val="0"/>
                <w:szCs w:val="21"/>
              </w:rPr>
            </w:pPr>
          </w:p>
        </w:tc>
      </w:tr>
      <w:tr w14:paraId="704F63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4A05A6A9">
            <w:pPr>
              <w:adjustRightInd w:val="0"/>
              <w:snapToGrid w:val="0"/>
              <w:spacing w:line="360" w:lineRule="auto"/>
              <w:rPr>
                <w:rFonts w:ascii="宋体" w:hAnsi="宋体"/>
                <w:color w:val="auto"/>
                <w:kern w:val="0"/>
                <w:sz w:val="24"/>
              </w:rPr>
            </w:pPr>
          </w:p>
        </w:tc>
        <w:tc>
          <w:tcPr>
            <w:tcW w:w="7796" w:type="dxa"/>
          </w:tcPr>
          <w:p w14:paraId="005996F7">
            <w:pPr>
              <w:adjustRightInd w:val="0"/>
              <w:snapToGrid w:val="0"/>
              <w:spacing w:line="360" w:lineRule="auto"/>
              <w:rPr>
                <w:rFonts w:ascii="宋体" w:hAnsi="宋体"/>
                <w:color w:val="auto"/>
                <w:kern w:val="0"/>
                <w:sz w:val="24"/>
              </w:rPr>
            </w:pPr>
          </w:p>
        </w:tc>
      </w:tr>
      <w:tr w14:paraId="72C28E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5DDC9C28">
            <w:pPr>
              <w:adjustRightInd w:val="0"/>
              <w:snapToGrid w:val="0"/>
              <w:spacing w:line="360" w:lineRule="auto"/>
              <w:rPr>
                <w:rFonts w:ascii="宋体" w:hAnsi="宋体"/>
                <w:color w:val="auto"/>
                <w:kern w:val="0"/>
                <w:sz w:val="24"/>
              </w:rPr>
            </w:pPr>
          </w:p>
        </w:tc>
        <w:tc>
          <w:tcPr>
            <w:tcW w:w="7796" w:type="dxa"/>
          </w:tcPr>
          <w:p w14:paraId="024F084C">
            <w:pPr>
              <w:adjustRightInd w:val="0"/>
              <w:snapToGrid w:val="0"/>
              <w:spacing w:line="360" w:lineRule="auto"/>
              <w:rPr>
                <w:rFonts w:ascii="宋体" w:hAnsi="宋体"/>
                <w:color w:val="auto"/>
                <w:kern w:val="0"/>
                <w:sz w:val="24"/>
              </w:rPr>
            </w:pPr>
          </w:p>
        </w:tc>
      </w:tr>
      <w:tr w14:paraId="54DA49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158A27F4">
            <w:pPr>
              <w:adjustRightInd w:val="0"/>
              <w:snapToGrid w:val="0"/>
              <w:spacing w:line="360" w:lineRule="auto"/>
              <w:rPr>
                <w:rFonts w:ascii="宋体" w:hAnsi="宋体"/>
                <w:color w:val="auto"/>
                <w:kern w:val="0"/>
                <w:sz w:val="24"/>
              </w:rPr>
            </w:pPr>
          </w:p>
        </w:tc>
        <w:tc>
          <w:tcPr>
            <w:tcW w:w="7796" w:type="dxa"/>
          </w:tcPr>
          <w:p w14:paraId="6FFB7937">
            <w:pPr>
              <w:adjustRightInd w:val="0"/>
              <w:snapToGrid w:val="0"/>
              <w:spacing w:line="360" w:lineRule="auto"/>
              <w:rPr>
                <w:rFonts w:ascii="宋体" w:hAnsi="宋体"/>
                <w:color w:val="auto"/>
                <w:kern w:val="0"/>
                <w:sz w:val="24"/>
              </w:rPr>
            </w:pPr>
          </w:p>
        </w:tc>
      </w:tr>
      <w:tr w14:paraId="0C60B4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17DD523A">
            <w:pPr>
              <w:adjustRightInd w:val="0"/>
              <w:snapToGrid w:val="0"/>
              <w:spacing w:line="360" w:lineRule="auto"/>
              <w:rPr>
                <w:rFonts w:ascii="宋体" w:hAnsi="宋体"/>
                <w:color w:val="auto"/>
                <w:kern w:val="0"/>
                <w:sz w:val="28"/>
                <w:szCs w:val="28"/>
              </w:rPr>
            </w:pPr>
          </w:p>
        </w:tc>
        <w:tc>
          <w:tcPr>
            <w:tcW w:w="7796" w:type="dxa"/>
          </w:tcPr>
          <w:p w14:paraId="70667645">
            <w:pPr>
              <w:adjustRightInd w:val="0"/>
              <w:snapToGrid w:val="0"/>
              <w:spacing w:line="360" w:lineRule="auto"/>
              <w:rPr>
                <w:rFonts w:ascii="宋体" w:hAnsi="宋体"/>
                <w:color w:val="auto"/>
                <w:kern w:val="0"/>
                <w:sz w:val="28"/>
                <w:szCs w:val="28"/>
              </w:rPr>
            </w:pPr>
          </w:p>
        </w:tc>
      </w:tr>
      <w:tr w14:paraId="456C14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90" w:type="dxa"/>
          </w:tcPr>
          <w:p w14:paraId="4E76CE24">
            <w:pPr>
              <w:adjustRightInd w:val="0"/>
              <w:snapToGrid w:val="0"/>
              <w:spacing w:line="360" w:lineRule="auto"/>
              <w:rPr>
                <w:rFonts w:ascii="宋体" w:hAnsi="宋体"/>
                <w:color w:val="auto"/>
                <w:kern w:val="0"/>
                <w:sz w:val="28"/>
                <w:szCs w:val="28"/>
              </w:rPr>
            </w:pPr>
          </w:p>
        </w:tc>
        <w:tc>
          <w:tcPr>
            <w:tcW w:w="7796" w:type="dxa"/>
          </w:tcPr>
          <w:p w14:paraId="05ECD64E">
            <w:pPr>
              <w:adjustRightInd w:val="0"/>
              <w:snapToGrid w:val="0"/>
              <w:spacing w:line="360" w:lineRule="auto"/>
              <w:rPr>
                <w:rFonts w:ascii="宋体" w:hAnsi="宋体"/>
                <w:color w:val="auto"/>
                <w:kern w:val="0"/>
                <w:sz w:val="28"/>
                <w:szCs w:val="28"/>
              </w:rPr>
            </w:pPr>
          </w:p>
        </w:tc>
      </w:tr>
    </w:tbl>
    <w:p w14:paraId="3F48CF91">
      <w:pPr>
        <w:adjustRightInd w:val="0"/>
        <w:snapToGrid w:val="0"/>
        <w:spacing w:line="360" w:lineRule="auto"/>
        <w:rPr>
          <w:rFonts w:ascii="宋体" w:hAnsi="宋体"/>
          <w:color w:val="auto"/>
          <w:sz w:val="22"/>
          <w:szCs w:val="22"/>
        </w:rPr>
      </w:pPr>
    </w:p>
    <w:p w14:paraId="71968A4F">
      <w:pPr>
        <w:adjustRightInd w:val="0"/>
        <w:snapToGrid w:val="0"/>
        <w:spacing w:line="360" w:lineRule="auto"/>
        <w:rPr>
          <w:rFonts w:ascii="宋体" w:hAnsi="宋体"/>
          <w:color w:val="auto"/>
          <w:sz w:val="22"/>
          <w:szCs w:val="22"/>
        </w:rPr>
      </w:pPr>
      <w:r>
        <w:rPr>
          <w:rFonts w:hint="eastAsia" w:ascii="宋体" w:hAnsi="宋体"/>
          <w:color w:val="auto"/>
          <w:sz w:val="22"/>
          <w:szCs w:val="22"/>
        </w:rPr>
        <w:t>评标委员会（签字）：</w:t>
      </w:r>
    </w:p>
    <w:p w14:paraId="6D932337">
      <w:pPr>
        <w:jc w:val="left"/>
        <w:rPr>
          <w:rFonts w:ascii="宋体" w:hAnsi="宋体"/>
          <w:color w:val="auto"/>
          <w:szCs w:val="21"/>
        </w:rPr>
      </w:pPr>
      <w:r>
        <w:rPr>
          <w:rFonts w:hint="eastAsia" w:ascii="宋体" w:hAnsi="宋体"/>
          <w:color w:val="auto"/>
          <w:szCs w:val="21"/>
        </w:rPr>
        <w:t>日期：  年  月   日</w:t>
      </w:r>
    </w:p>
    <w:p w14:paraId="4548A95F">
      <w:pPr>
        <w:pStyle w:val="4"/>
        <w:adjustRightInd w:val="0"/>
        <w:snapToGrid w:val="0"/>
        <w:spacing w:after="120" w:afterLines="50"/>
        <w:jc w:val="center"/>
        <w:rPr>
          <w:rFonts w:ascii="黑体" w:hAnsi="华文中宋" w:eastAsia="黑体"/>
          <w:color w:val="auto"/>
          <w:sz w:val="28"/>
          <w:szCs w:val="28"/>
        </w:rPr>
      </w:pPr>
      <w:r>
        <w:rPr>
          <w:rFonts w:ascii="宋体" w:hAnsi="宋体"/>
          <w:color w:val="auto"/>
        </w:rPr>
        <w:br w:type="page"/>
      </w:r>
      <w:bookmarkStart w:id="1088" w:name="_Toc108341975"/>
      <w:bookmarkStart w:id="1089" w:name="_Toc16158"/>
      <w:bookmarkStart w:id="1090" w:name="_Toc78449992"/>
      <w:bookmarkStart w:id="1091" w:name="_Toc23150"/>
      <w:bookmarkStart w:id="1092" w:name="_Toc94367917"/>
      <w:bookmarkStart w:id="1093" w:name="_Toc154428427"/>
      <w:bookmarkStart w:id="1094" w:name="_Toc100670458"/>
      <w:bookmarkStart w:id="1095" w:name="_Toc75289585"/>
      <w:bookmarkStart w:id="1096" w:name="_Toc78314299"/>
      <w:bookmarkStart w:id="1097" w:name="_Toc17327"/>
      <w:bookmarkStart w:id="1098" w:name="_Toc95601402"/>
      <w:bookmarkStart w:id="1099" w:name="_Toc75289267"/>
      <w:bookmarkStart w:id="1100" w:name="_Toc7591"/>
      <w:bookmarkStart w:id="1101" w:name="_Toc192949739"/>
      <w:bookmarkStart w:id="1102" w:name="_Toc192951250"/>
      <w:bookmarkStart w:id="1103" w:name="_Toc77199436"/>
      <w:bookmarkStart w:id="1104" w:name="_Toc12549"/>
      <w:bookmarkStart w:id="1105" w:name="_Toc20651230"/>
      <w:bookmarkStart w:id="1106" w:name="_Toc100670706"/>
      <w:bookmarkStart w:id="1107" w:name="_Toc114036750"/>
      <w:bookmarkStart w:id="1108" w:name="_Toc117192486"/>
      <w:bookmarkStart w:id="1109" w:name="_Toc112704971"/>
      <w:bookmarkStart w:id="1110" w:name="_Toc192949640"/>
      <w:bookmarkStart w:id="1111" w:name="_Toc171273708"/>
      <w:bookmarkStart w:id="1112" w:name="_Toc85972967"/>
      <w:bookmarkStart w:id="1113" w:name="_Toc18850"/>
      <w:bookmarkStart w:id="1114" w:name="_Toc32432"/>
      <w:bookmarkStart w:id="1115" w:name="_Toc77676503"/>
      <w:bookmarkStart w:id="1116" w:name="_Toc29803"/>
      <w:bookmarkStart w:id="1117" w:name="_Toc23220"/>
      <w:r>
        <w:rPr>
          <w:rFonts w:hint="eastAsia" w:ascii="黑体" w:hAnsi="华文中宋" w:eastAsia="黑体"/>
          <w:color w:val="auto"/>
          <w:sz w:val="28"/>
          <w:szCs w:val="28"/>
        </w:rPr>
        <w:t>第四节 投标文件的比较与评价（综合评分法）</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14:paraId="67B07947">
      <w:pPr>
        <w:widowControl/>
        <w:adjustRightInd w:val="0"/>
        <w:snapToGrid w:val="0"/>
        <w:spacing w:line="360" w:lineRule="auto"/>
        <w:rPr>
          <w:rFonts w:ascii="宋体" w:hAnsi="宋体"/>
          <w:b/>
          <w:color w:val="auto"/>
          <w:sz w:val="24"/>
        </w:rPr>
      </w:pPr>
      <w:r>
        <w:rPr>
          <w:rFonts w:hint="eastAsia" w:ascii="宋体" w:hAnsi="宋体"/>
          <w:b/>
          <w:color w:val="auto"/>
          <w:sz w:val="24"/>
        </w:rPr>
        <w:t>1.综合评分法</w:t>
      </w:r>
    </w:p>
    <w:p w14:paraId="327FB115">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1.1综合评分法，指投标文件满足招标文件全部实质性要求，且按照评审因素的量化指标评审得分最高的投标人为中标候选人的评标方法。</w:t>
      </w:r>
    </w:p>
    <w:p w14:paraId="274694B8">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1.2评标因素：评审因素的设定应当与投标人所提供货物服务的质量相关，包括投标报价、技术或者服务水平、履约能力、售后服务等，但不包括第一章投标人的资格要求。本采购项目的评标因素和标准见本章本节附页1“评标方法及标准表”。</w:t>
      </w:r>
    </w:p>
    <w:p w14:paraId="2FE1E19F">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1.3未通过符合性审查的投标文件不得进入比较与评价。</w:t>
      </w:r>
    </w:p>
    <w:p w14:paraId="0637A04B">
      <w:pPr>
        <w:adjustRightInd w:val="0"/>
        <w:snapToGrid w:val="0"/>
        <w:spacing w:line="360" w:lineRule="auto"/>
        <w:rPr>
          <w:rFonts w:ascii="宋体" w:hAnsi="宋体"/>
          <w:b/>
          <w:bCs/>
          <w:color w:val="auto"/>
          <w:sz w:val="24"/>
        </w:rPr>
      </w:pPr>
      <w:r>
        <w:rPr>
          <w:rFonts w:hint="eastAsia" w:ascii="宋体" w:hAnsi="宋体"/>
          <w:b/>
          <w:bCs/>
          <w:color w:val="auto"/>
          <w:sz w:val="24"/>
        </w:rPr>
        <w:t>2.投标报价的算术修正及政府采购政策调整</w:t>
      </w:r>
    </w:p>
    <w:p w14:paraId="30F2000F">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2.1如果有算术错误，投标报价将按本章第二节第4.2款、第4.3款规定进行算术修正。</w:t>
      </w:r>
    </w:p>
    <w:p w14:paraId="404B6003">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2.2需落实政府采购政策（价格评审优惠）的，按第二章“投标须知”及本章第二节第</w:t>
      </w:r>
      <w:r>
        <w:rPr>
          <w:rFonts w:ascii="宋体" w:hAnsi="宋体"/>
          <w:bCs/>
          <w:color w:val="auto"/>
          <w:szCs w:val="21"/>
        </w:rPr>
        <w:t>5.</w:t>
      </w:r>
      <w:r>
        <w:rPr>
          <w:rFonts w:hint="eastAsia" w:ascii="宋体" w:hAnsi="宋体"/>
          <w:bCs/>
          <w:color w:val="auto"/>
          <w:szCs w:val="21"/>
        </w:rPr>
        <w:t>4（1）项的相关规定进行价格调整。</w:t>
      </w:r>
    </w:p>
    <w:p w14:paraId="6D72AB54">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2.3按本章本节第2.1款、第2.2款规定，以修正或调整后的价格确定投标人的投标报价和评标基准价，用于投标报价评价。</w:t>
      </w:r>
    </w:p>
    <w:p w14:paraId="021884B8">
      <w:pPr>
        <w:adjustRightInd w:val="0"/>
        <w:snapToGrid w:val="0"/>
        <w:spacing w:line="360" w:lineRule="auto"/>
        <w:rPr>
          <w:rFonts w:ascii="宋体" w:hAnsi="宋体"/>
          <w:b/>
          <w:bCs/>
          <w:color w:val="auto"/>
          <w:sz w:val="24"/>
        </w:rPr>
      </w:pPr>
      <w:r>
        <w:rPr>
          <w:rFonts w:hint="eastAsia" w:ascii="宋体" w:hAnsi="宋体"/>
          <w:b/>
          <w:bCs/>
          <w:color w:val="auto"/>
          <w:sz w:val="24"/>
        </w:rPr>
        <w:t>3.投标报价评价</w:t>
      </w:r>
    </w:p>
    <w:p w14:paraId="514CC12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3.1投标报价评价：价格分应当采用低价优先法计算，即满足招标文件要求且投标价格最低的投标报价为评标基准价，其价格分为满分（报价权重分）。其他投标人的价格分统一按照下列公式计算：</w:t>
      </w:r>
    </w:p>
    <w:p w14:paraId="3A73EF53">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投标报价得分=（评标基准价</w:t>
      </w:r>
      <w:r>
        <w:rPr>
          <w:rFonts w:hint="eastAsia" w:ascii="宋体" w:hAnsi="宋体"/>
          <w:color w:val="auto"/>
          <w:szCs w:val="21"/>
          <w:vertAlign w:val="subscript"/>
        </w:rPr>
        <w:t>修正或调整</w:t>
      </w:r>
      <w:r>
        <w:rPr>
          <w:rFonts w:hint="eastAsia" w:ascii="宋体" w:hAnsi="宋体"/>
          <w:color w:val="auto"/>
          <w:szCs w:val="21"/>
        </w:rPr>
        <w:t>／投标报价</w:t>
      </w:r>
      <w:r>
        <w:rPr>
          <w:rFonts w:hint="eastAsia" w:ascii="宋体" w:hAnsi="宋体"/>
          <w:color w:val="auto"/>
          <w:szCs w:val="21"/>
          <w:vertAlign w:val="subscript"/>
        </w:rPr>
        <w:t>修正或调整</w:t>
      </w:r>
      <w:r>
        <w:rPr>
          <w:rFonts w:hint="eastAsia" w:ascii="宋体" w:hAnsi="宋体"/>
          <w:color w:val="auto"/>
          <w:szCs w:val="21"/>
        </w:rPr>
        <w:t>） ×100×报价权重分</w:t>
      </w:r>
    </w:p>
    <w:p w14:paraId="5862CCBA">
      <w:pPr>
        <w:adjustRightInd w:val="0"/>
        <w:snapToGrid w:val="0"/>
        <w:spacing w:line="360" w:lineRule="auto"/>
        <w:rPr>
          <w:rFonts w:ascii="宋体" w:hAnsi="宋体"/>
          <w:b/>
          <w:color w:val="auto"/>
          <w:sz w:val="24"/>
        </w:rPr>
      </w:pPr>
      <w:r>
        <w:rPr>
          <w:rFonts w:hint="eastAsia" w:ascii="宋体" w:hAnsi="宋体"/>
          <w:b/>
          <w:bCs/>
          <w:color w:val="auto"/>
          <w:sz w:val="24"/>
        </w:rPr>
        <w:t>4.</w:t>
      </w:r>
      <w:r>
        <w:rPr>
          <w:rFonts w:hint="eastAsia" w:ascii="宋体" w:hAnsi="宋体"/>
          <w:b/>
          <w:color w:val="auto"/>
          <w:sz w:val="24"/>
        </w:rPr>
        <w:t>技术、商务等评分项响应评价及政府采购政策加分</w:t>
      </w:r>
    </w:p>
    <w:p w14:paraId="6C02F76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4.1技术、商务等评分项响应评分。按</w:t>
      </w:r>
      <w:r>
        <w:rPr>
          <w:rFonts w:hint="eastAsia" w:ascii="宋体" w:hAnsi="宋体"/>
          <w:bCs/>
          <w:color w:val="auto"/>
          <w:szCs w:val="21"/>
        </w:rPr>
        <w:t>本章</w:t>
      </w:r>
      <w:r>
        <w:rPr>
          <w:rFonts w:hint="eastAsia" w:ascii="宋体" w:hAnsi="宋体"/>
          <w:color w:val="auto"/>
          <w:szCs w:val="21"/>
        </w:rPr>
        <w:t>本节附页1“评标方法及标准表”规定的评标因素和标准，对技术、商务等评分项计算得分。</w:t>
      </w:r>
    </w:p>
    <w:p w14:paraId="3CEB045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4.2需落实政府采购政策（优先采购）的，按第二章、本章第二节第5.4（2）项以及本节附页1“评标方法及标准表”的相关规定进行技术、价格、商务项得分(加分)计算。</w:t>
      </w:r>
    </w:p>
    <w:p w14:paraId="7B87F580">
      <w:pPr>
        <w:adjustRightInd w:val="0"/>
        <w:snapToGrid w:val="0"/>
        <w:spacing w:line="360" w:lineRule="auto"/>
        <w:rPr>
          <w:rFonts w:ascii="宋体" w:hAnsi="宋体"/>
          <w:b/>
          <w:color w:val="auto"/>
          <w:sz w:val="24"/>
        </w:rPr>
      </w:pPr>
      <w:r>
        <w:rPr>
          <w:rFonts w:hint="eastAsia" w:ascii="宋体" w:hAnsi="宋体"/>
          <w:b/>
          <w:color w:val="auto"/>
          <w:sz w:val="24"/>
        </w:rPr>
        <w:t>5.评标总得分</w:t>
      </w:r>
    </w:p>
    <w:p w14:paraId="6D2F2CA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5.1评标总得分为投标报价、技术、商务等评分项得分(含优先采购政策加分)之和。</w:t>
      </w:r>
    </w:p>
    <w:p w14:paraId="57B3A3F0">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评标总得分＝F1×A1＋F2×A2＋……＋Fn×An</w:t>
      </w:r>
    </w:p>
    <w:p w14:paraId="0FEE90D3">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F1、F2……Fn分别为各项评审因素的得分；</w:t>
      </w:r>
    </w:p>
    <w:p w14:paraId="19DCC34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A1、A2、……An分别为各项评审因素所占的权重（A1＋A2＋…＋An＝1）</w:t>
      </w:r>
    </w:p>
    <w:p w14:paraId="50B7CE55">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5.2评分分值计算保留小数点后两位，小数点后第三位“四舍五入”。</w:t>
      </w:r>
    </w:p>
    <w:p w14:paraId="1355AD0C">
      <w:pPr>
        <w:adjustRightInd w:val="0"/>
        <w:snapToGrid w:val="0"/>
        <w:spacing w:line="360" w:lineRule="auto"/>
        <w:ind w:firstLine="420" w:firstLineChars="200"/>
        <w:rPr>
          <w:rFonts w:ascii="宋体" w:hAnsi="宋体"/>
          <w:color w:val="auto"/>
          <w:szCs w:val="21"/>
        </w:rPr>
      </w:pPr>
      <w:r>
        <w:rPr>
          <w:rFonts w:hint="eastAsia" w:ascii="宋体" w:hAnsi="宋体" w:cs="宋体"/>
          <w:color w:val="auto"/>
          <w:kern w:val="0"/>
          <w:szCs w:val="21"/>
        </w:rPr>
        <w:t>5.3</w:t>
      </w:r>
      <w:r>
        <w:rPr>
          <w:rFonts w:hint="eastAsia" w:ascii="宋体" w:hAnsi="宋体"/>
          <w:color w:val="auto"/>
          <w:szCs w:val="21"/>
        </w:rPr>
        <w:t>评标时，评标委员会成员应当独立对满足招标文件全部实质性要求投标人的</w:t>
      </w:r>
      <w:r>
        <w:rPr>
          <w:rFonts w:hint="eastAsia" w:ascii="宋体" w:hAnsi="宋体"/>
          <w:bCs/>
          <w:color w:val="auto"/>
          <w:szCs w:val="21"/>
        </w:rPr>
        <w:t>投标文件</w:t>
      </w:r>
      <w:r>
        <w:rPr>
          <w:rFonts w:hint="eastAsia" w:ascii="宋体" w:hAnsi="宋体"/>
          <w:color w:val="auto"/>
          <w:szCs w:val="21"/>
        </w:rPr>
        <w:t>进行评价、评分，然后汇总每个投标人每项评分因素的得分。每个投标人的最终得分为所有评标委员会成员评分的算术平均值。</w:t>
      </w:r>
    </w:p>
    <w:p w14:paraId="044C1443">
      <w:pPr>
        <w:adjustRightInd w:val="0"/>
        <w:snapToGrid w:val="0"/>
        <w:spacing w:line="360" w:lineRule="auto"/>
        <w:rPr>
          <w:rFonts w:ascii="宋体" w:hAnsi="宋体"/>
          <w:b/>
          <w:bCs/>
          <w:color w:val="auto"/>
          <w:sz w:val="24"/>
        </w:rPr>
      </w:pPr>
      <w:r>
        <w:rPr>
          <w:rFonts w:hint="eastAsia" w:ascii="宋体" w:hAnsi="宋体"/>
          <w:b/>
          <w:bCs/>
          <w:color w:val="auto"/>
          <w:sz w:val="24"/>
        </w:rPr>
        <w:t>6.中标候选人的推荐方法</w:t>
      </w:r>
    </w:p>
    <w:p w14:paraId="2D3F9AD4">
      <w:pPr>
        <w:adjustRightInd w:val="0"/>
        <w:snapToGrid w:val="0"/>
        <w:spacing w:line="360" w:lineRule="auto"/>
        <w:ind w:firstLine="420" w:firstLineChars="200"/>
        <w:rPr>
          <w:rFonts w:ascii="宋体" w:hAnsi="宋体"/>
          <w:bCs/>
          <w:color w:val="auto"/>
          <w:szCs w:val="21"/>
        </w:rPr>
      </w:pPr>
      <w:r>
        <w:rPr>
          <w:rFonts w:hint="eastAsia" w:ascii="宋体" w:hAnsi="宋体"/>
          <w:bCs/>
          <w:color w:val="auto"/>
          <w:szCs w:val="21"/>
        </w:rPr>
        <w:t>6.1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78BEBA9A">
      <w:pPr>
        <w:spacing w:line="360" w:lineRule="auto"/>
        <w:ind w:firstLine="420" w:firstLineChars="200"/>
        <w:rPr>
          <w:rFonts w:ascii="宋体" w:hAnsi="宋体"/>
          <w:color w:val="auto"/>
        </w:rPr>
      </w:pPr>
      <w:r>
        <w:rPr>
          <w:rFonts w:hint="eastAsia" w:ascii="宋体" w:hAnsi="宋体"/>
          <w:bCs/>
          <w:color w:val="auto"/>
          <w:szCs w:val="21"/>
        </w:rPr>
        <w:t>6.2得分且投标报价相同的并列，按本章第二节规定确定中标侯选人。</w:t>
      </w:r>
    </w:p>
    <w:p w14:paraId="039FE50A">
      <w:pPr>
        <w:spacing w:line="360" w:lineRule="exact"/>
        <w:jc w:val="both"/>
        <w:rPr>
          <w:rFonts w:hint="eastAsia"/>
          <w:color w:val="auto"/>
          <w:szCs w:val="21"/>
        </w:rPr>
      </w:pPr>
      <w:r>
        <w:rPr>
          <w:rFonts w:ascii="宋体" w:hAnsi="宋体"/>
          <w:color w:val="auto"/>
        </w:rPr>
        <w:br w:type="page"/>
      </w:r>
      <w:bookmarkStart w:id="1118" w:name="_Toc77676504"/>
      <w:bookmarkStart w:id="1119" w:name="_Toc77199437"/>
      <w:bookmarkStart w:id="1120" w:name="_Toc75289268"/>
      <w:bookmarkStart w:id="1121" w:name="_Toc78314300"/>
      <w:bookmarkStart w:id="1122" w:name="_Toc78449993"/>
      <w:bookmarkStart w:id="1123" w:name="_Toc20651231"/>
      <w:bookmarkStart w:id="1124" w:name="_Toc75289586"/>
      <w:r>
        <w:rPr>
          <w:rFonts w:hint="eastAsia"/>
          <w:color w:val="auto"/>
          <w:szCs w:val="21"/>
        </w:rPr>
        <w:t>附页1 评标方法及标准表</w:t>
      </w:r>
      <w:bookmarkEnd w:id="1118"/>
      <w:bookmarkEnd w:id="1119"/>
      <w:bookmarkEnd w:id="1120"/>
      <w:bookmarkEnd w:id="1121"/>
      <w:bookmarkEnd w:id="1122"/>
      <w:bookmarkEnd w:id="1123"/>
      <w:bookmarkEnd w:id="1124"/>
      <w:bookmarkStart w:id="1125" w:name="_Toc14508"/>
      <w:bookmarkStart w:id="1126" w:name="_Toc100670712"/>
      <w:bookmarkStart w:id="1127" w:name="_Toc12140"/>
      <w:bookmarkStart w:id="1128" w:name="_Toc78449996"/>
      <w:bookmarkStart w:id="1129" w:name="_Toc75289589"/>
      <w:bookmarkStart w:id="1130" w:name="_Toc100670464"/>
      <w:bookmarkStart w:id="1131" w:name="_Toc75289271"/>
      <w:bookmarkStart w:id="1132" w:name="_Toc77199443"/>
      <w:bookmarkStart w:id="1133" w:name="_Toc108341978"/>
      <w:bookmarkStart w:id="1134" w:name="_Toc78314303"/>
      <w:bookmarkStart w:id="1135" w:name="_Toc95601404"/>
      <w:bookmarkStart w:id="1136" w:name="_Toc94367919"/>
      <w:bookmarkStart w:id="1137" w:name="_Toc77676507"/>
      <w:bookmarkStart w:id="1138" w:name="_Toc112704981"/>
      <w:bookmarkStart w:id="1139" w:name="_Toc85972969"/>
    </w:p>
    <w:p w14:paraId="274FE7DC">
      <w:pPr>
        <w:spacing w:line="360" w:lineRule="exact"/>
        <w:jc w:val="center"/>
        <w:rPr>
          <w:rFonts w:hint="eastAsia" w:ascii="仿宋" w:hAnsi="仿宋" w:eastAsia="仿宋" w:cs="仿宋"/>
          <w:color w:val="auto"/>
          <w:sz w:val="27"/>
          <w:szCs w:val="27"/>
          <w:highlight w:val="none"/>
        </w:rPr>
      </w:pPr>
      <w:r>
        <w:rPr>
          <w:rFonts w:hint="eastAsia" w:ascii="仿宋" w:hAnsi="仿宋" w:eastAsia="仿宋" w:cs="仿宋"/>
          <w:b/>
          <w:bCs/>
          <w:color w:val="auto"/>
          <w:sz w:val="27"/>
          <w:szCs w:val="27"/>
          <w:highlight w:val="none"/>
        </w:rPr>
        <w:t>本采购项目的权值见下表</w:t>
      </w:r>
    </w:p>
    <w:tbl>
      <w:tblPr>
        <w:tblStyle w:val="47"/>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6"/>
        <w:gridCol w:w="4722"/>
        <w:gridCol w:w="3451"/>
      </w:tblGrid>
      <w:tr w14:paraId="28E64B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4" w:hRule="exact"/>
          <w:jc w:val="center"/>
        </w:trPr>
        <w:tc>
          <w:tcPr>
            <w:tcW w:w="726" w:type="dxa"/>
            <w:noWrap w:val="0"/>
            <w:vAlign w:val="center"/>
          </w:tcPr>
          <w:p w14:paraId="2CAFD053">
            <w:pPr>
              <w:adjustRightInd w:val="0"/>
              <w:snapToGrid w:val="0"/>
              <w:spacing w:line="240" w:lineRule="exact"/>
              <w:rPr>
                <w:rFonts w:hint="eastAsia" w:ascii="宋体" w:hAnsi="宋体" w:eastAsia="宋体" w:cs="宋体"/>
                <w:b/>
                <w:bCs/>
                <w:color w:val="auto"/>
                <w:kern w:val="0"/>
                <w:sz w:val="21"/>
                <w:szCs w:val="21"/>
                <w:highlight w:val="none"/>
                <w:lang w:val="ru-RU" w:eastAsia="ru-RU"/>
              </w:rPr>
            </w:pPr>
            <w:r>
              <w:rPr>
                <w:rFonts w:hint="eastAsia" w:ascii="宋体" w:hAnsi="宋体" w:eastAsia="宋体" w:cs="宋体"/>
                <w:b/>
                <w:bCs/>
                <w:color w:val="auto"/>
                <w:kern w:val="0"/>
                <w:sz w:val="21"/>
                <w:szCs w:val="21"/>
                <w:highlight w:val="none"/>
                <w:lang w:val="ru-RU" w:eastAsia="ru-RU"/>
              </w:rPr>
              <w:t>序号</w:t>
            </w:r>
          </w:p>
        </w:tc>
        <w:tc>
          <w:tcPr>
            <w:tcW w:w="4722" w:type="dxa"/>
            <w:noWrap w:val="0"/>
            <w:vAlign w:val="center"/>
          </w:tcPr>
          <w:p w14:paraId="33488034">
            <w:pPr>
              <w:adjustRightInd w:val="0"/>
              <w:snapToGrid w:val="0"/>
              <w:spacing w:line="240" w:lineRule="exact"/>
              <w:jc w:val="center"/>
              <w:rPr>
                <w:rFonts w:hint="eastAsia" w:ascii="宋体" w:hAnsi="宋体" w:eastAsia="宋体" w:cs="宋体"/>
                <w:b/>
                <w:bCs/>
                <w:color w:val="auto"/>
                <w:kern w:val="0"/>
                <w:sz w:val="21"/>
                <w:szCs w:val="21"/>
                <w:highlight w:val="none"/>
                <w:lang w:val="ru-RU" w:eastAsia="ru-RU"/>
              </w:rPr>
            </w:pPr>
            <w:r>
              <w:rPr>
                <w:rFonts w:hint="eastAsia" w:ascii="宋体" w:hAnsi="宋体" w:eastAsia="宋体" w:cs="宋体"/>
                <w:b/>
                <w:bCs/>
                <w:color w:val="auto"/>
                <w:kern w:val="0"/>
                <w:sz w:val="21"/>
                <w:szCs w:val="21"/>
                <w:highlight w:val="none"/>
                <w:lang w:val="ru-RU" w:eastAsia="ru-RU"/>
              </w:rPr>
              <w:t>项     目</w:t>
            </w:r>
          </w:p>
        </w:tc>
        <w:tc>
          <w:tcPr>
            <w:tcW w:w="3451" w:type="dxa"/>
            <w:noWrap w:val="0"/>
            <w:vAlign w:val="center"/>
          </w:tcPr>
          <w:p w14:paraId="06D0A29C">
            <w:pPr>
              <w:adjustRightInd w:val="0"/>
              <w:snapToGrid w:val="0"/>
              <w:spacing w:line="240" w:lineRule="exact"/>
              <w:jc w:val="center"/>
              <w:rPr>
                <w:rFonts w:hint="eastAsia" w:ascii="宋体" w:hAnsi="宋体" w:eastAsia="宋体" w:cs="宋体"/>
                <w:b/>
                <w:bCs/>
                <w:color w:val="auto"/>
                <w:kern w:val="0"/>
                <w:sz w:val="21"/>
                <w:szCs w:val="21"/>
                <w:highlight w:val="none"/>
                <w:lang w:val="ru-RU" w:eastAsia="ru-RU"/>
              </w:rPr>
            </w:pPr>
            <w:r>
              <w:rPr>
                <w:rFonts w:hint="eastAsia" w:ascii="宋体" w:hAnsi="宋体" w:eastAsia="宋体" w:cs="宋体"/>
                <w:b/>
                <w:bCs/>
                <w:color w:val="auto"/>
                <w:kern w:val="0"/>
                <w:sz w:val="21"/>
                <w:szCs w:val="21"/>
                <w:highlight w:val="none"/>
                <w:lang w:val="ru-RU" w:eastAsia="ru-RU"/>
              </w:rPr>
              <w:t>权值的取值</w:t>
            </w:r>
          </w:p>
        </w:tc>
      </w:tr>
      <w:tr w14:paraId="122565B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8" w:hRule="atLeast"/>
          <w:jc w:val="center"/>
        </w:trPr>
        <w:tc>
          <w:tcPr>
            <w:tcW w:w="726" w:type="dxa"/>
            <w:noWrap w:val="0"/>
            <w:vAlign w:val="center"/>
          </w:tcPr>
          <w:p w14:paraId="74146AEE">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lang w:val="ru-RU" w:eastAsia="ru-RU"/>
              </w:rPr>
              <w:t>1</w:t>
            </w:r>
          </w:p>
        </w:tc>
        <w:tc>
          <w:tcPr>
            <w:tcW w:w="4722" w:type="dxa"/>
            <w:noWrap w:val="0"/>
            <w:vAlign w:val="center"/>
          </w:tcPr>
          <w:p w14:paraId="454B1280">
            <w:pPr>
              <w:adjustRightInd w:val="0"/>
              <w:snapToGrid w:val="0"/>
              <w:spacing w:line="240" w:lineRule="exact"/>
              <w:jc w:val="center"/>
              <w:rPr>
                <w:rFonts w:hint="eastAsia" w:ascii="宋体" w:hAnsi="宋体" w:eastAsia="宋体" w:cs="宋体"/>
                <w:color w:val="auto"/>
                <w:kern w:val="0"/>
                <w:sz w:val="21"/>
                <w:szCs w:val="21"/>
                <w:highlight w:val="none"/>
                <w:lang w:val="ru-RU"/>
              </w:rPr>
            </w:pPr>
            <w:r>
              <w:rPr>
                <w:rFonts w:hint="eastAsia" w:ascii="宋体" w:hAnsi="宋体" w:eastAsia="宋体" w:cs="宋体"/>
                <w:color w:val="auto"/>
                <w:kern w:val="0"/>
                <w:sz w:val="21"/>
                <w:szCs w:val="21"/>
                <w:highlight w:val="none"/>
                <w:lang w:val="ru-RU" w:eastAsia="ru-RU"/>
              </w:rPr>
              <w:t>报价</w:t>
            </w:r>
            <w:r>
              <w:rPr>
                <w:rFonts w:hint="eastAsia" w:ascii="宋体" w:hAnsi="宋体" w:eastAsia="宋体" w:cs="宋体"/>
                <w:color w:val="auto"/>
                <w:kern w:val="0"/>
                <w:sz w:val="21"/>
                <w:szCs w:val="21"/>
                <w:highlight w:val="none"/>
                <w:lang w:val="ru-RU"/>
              </w:rPr>
              <w:t>（A1）</w:t>
            </w:r>
          </w:p>
        </w:tc>
        <w:tc>
          <w:tcPr>
            <w:tcW w:w="3451" w:type="dxa"/>
            <w:noWrap w:val="0"/>
            <w:vAlign w:val="center"/>
          </w:tcPr>
          <w:p w14:paraId="309D087E">
            <w:pPr>
              <w:adjustRightInd w:val="0"/>
              <w:snapToGrid w:val="0"/>
              <w:spacing w:line="240" w:lineRule="exact"/>
              <w:jc w:val="center"/>
              <w:rPr>
                <w:rFonts w:hint="eastAsia"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rPr>
              <w:t>0.</w:t>
            </w:r>
            <w:r>
              <w:rPr>
                <w:rFonts w:hint="eastAsia" w:ascii="宋体" w:hAnsi="宋体" w:eastAsia="宋体" w:cs="宋体"/>
                <w:color w:val="auto"/>
                <w:kern w:val="0"/>
                <w:sz w:val="21"/>
                <w:szCs w:val="21"/>
                <w:highlight w:val="none"/>
                <w:lang w:val="en-US" w:eastAsia="zh-CN"/>
              </w:rPr>
              <w:t>30</w:t>
            </w:r>
          </w:p>
        </w:tc>
      </w:tr>
      <w:tr w14:paraId="2F454B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26" w:type="dxa"/>
            <w:noWrap w:val="0"/>
            <w:vAlign w:val="center"/>
          </w:tcPr>
          <w:p w14:paraId="2DFE2EE2">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lang w:val="ru-RU" w:eastAsia="ru-RU"/>
              </w:rPr>
              <w:t>2</w:t>
            </w:r>
          </w:p>
        </w:tc>
        <w:tc>
          <w:tcPr>
            <w:tcW w:w="4722" w:type="dxa"/>
            <w:noWrap w:val="0"/>
            <w:vAlign w:val="center"/>
          </w:tcPr>
          <w:p w14:paraId="117FAC12">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lang w:val="ru-RU" w:eastAsia="ru-RU"/>
              </w:rPr>
              <w:t>技术</w:t>
            </w:r>
            <w:r>
              <w:rPr>
                <w:rFonts w:hint="eastAsia" w:ascii="宋体" w:hAnsi="宋体" w:eastAsia="宋体" w:cs="宋体"/>
                <w:color w:val="auto"/>
                <w:kern w:val="0"/>
                <w:sz w:val="21"/>
                <w:szCs w:val="21"/>
                <w:highlight w:val="none"/>
                <w:lang w:val="ru-RU"/>
              </w:rPr>
              <w:t>（A2）</w:t>
            </w:r>
          </w:p>
        </w:tc>
        <w:tc>
          <w:tcPr>
            <w:tcW w:w="3451" w:type="dxa"/>
            <w:noWrap w:val="0"/>
            <w:vAlign w:val="center"/>
          </w:tcPr>
          <w:p w14:paraId="6FE171F2">
            <w:pPr>
              <w:adjustRightInd w:val="0"/>
              <w:snapToGrid w:val="0"/>
              <w:spacing w:line="2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0.</w:t>
            </w:r>
            <w:r>
              <w:rPr>
                <w:rFonts w:hint="eastAsia" w:ascii="宋体" w:hAnsi="宋体" w:cs="宋体"/>
                <w:color w:val="auto"/>
                <w:kern w:val="0"/>
                <w:sz w:val="21"/>
                <w:szCs w:val="21"/>
                <w:highlight w:val="none"/>
                <w:lang w:val="en-US" w:eastAsia="zh-CN"/>
              </w:rPr>
              <w:t>5</w:t>
            </w:r>
            <w:r>
              <w:rPr>
                <w:rFonts w:hint="eastAsia" w:ascii="宋体" w:hAnsi="宋体" w:eastAsia="宋体" w:cs="宋体"/>
                <w:color w:val="auto"/>
                <w:kern w:val="0"/>
                <w:sz w:val="21"/>
                <w:szCs w:val="21"/>
                <w:highlight w:val="none"/>
                <w:lang w:val="en-US" w:eastAsia="zh-CN"/>
              </w:rPr>
              <w:t>0</w:t>
            </w:r>
          </w:p>
        </w:tc>
      </w:tr>
      <w:tr w14:paraId="17A032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726" w:type="dxa"/>
            <w:noWrap w:val="0"/>
            <w:vAlign w:val="center"/>
          </w:tcPr>
          <w:p w14:paraId="4EC7184D">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lang w:val="ru-RU" w:eastAsia="ru-RU"/>
              </w:rPr>
              <w:t>3</w:t>
            </w:r>
          </w:p>
        </w:tc>
        <w:tc>
          <w:tcPr>
            <w:tcW w:w="4722" w:type="dxa"/>
            <w:noWrap w:val="0"/>
            <w:vAlign w:val="center"/>
          </w:tcPr>
          <w:p w14:paraId="476C6686">
            <w:pPr>
              <w:adjustRightInd w:val="0"/>
              <w:snapToGrid w:val="0"/>
              <w:spacing w:line="240" w:lineRule="exact"/>
              <w:jc w:val="center"/>
              <w:rPr>
                <w:rFonts w:hint="eastAsia" w:ascii="宋体" w:hAnsi="宋体" w:eastAsia="宋体" w:cs="宋体"/>
                <w:color w:val="auto"/>
                <w:kern w:val="0"/>
                <w:sz w:val="21"/>
                <w:szCs w:val="21"/>
                <w:highlight w:val="none"/>
                <w:lang w:val="ru-RU"/>
              </w:rPr>
            </w:pPr>
            <w:r>
              <w:rPr>
                <w:rFonts w:hint="eastAsia" w:ascii="宋体" w:hAnsi="宋体" w:eastAsia="宋体" w:cs="宋体"/>
                <w:color w:val="auto"/>
                <w:kern w:val="0"/>
                <w:sz w:val="21"/>
                <w:szCs w:val="21"/>
                <w:highlight w:val="none"/>
                <w:lang w:val="ru-RU"/>
              </w:rPr>
              <w:t>商务（A3）</w:t>
            </w:r>
          </w:p>
        </w:tc>
        <w:tc>
          <w:tcPr>
            <w:tcW w:w="3451" w:type="dxa"/>
            <w:noWrap w:val="0"/>
            <w:vAlign w:val="center"/>
          </w:tcPr>
          <w:p w14:paraId="5A2DBB1F">
            <w:pPr>
              <w:adjustRightInd w:val="0"/>
              <w:snapToGrid w:val="0"/>
              <w:spacing w:line="240" w:lineRule="exact"/>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rPr>
              <w:t>0.</w:t>
            </w:r>
            <w:r>
              <w:rPr>
                <w:rFonts w:hint="eastAsia" w:ascii="宋体" w:hAnsi="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lang w:val="en-US" w:eastAsia="zh-CN"/>
              </w:rPr>
              <w:t>0</w:t>
            </w:r>
          </w:p>
        </w:tc>
      </w:tr>
      <w:tr w14:paraId="0C9BA1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6" w:hRule="atLeast"/>
          <w:jc w:val="center"/>
        </w:trPr>
        <w:tc>
          <w:tcPr>
            <w:tcW w:w="5448" w:type="dxa"/>
            <w:gridSpan w:val="2"/>
            <w:noWrap w:val="0"/>
            <w:vAlign w:val="center"/>
          </w:tcPr>
          <w:p w14:paraId="0FAB11E7">
            <w:pPr>
              <w:adjustRightInd w:val="0"/>
              <w:snapToGrid w:val="0"/>
              <w:spacing w:line="240" w:lineRule="exact"/>
              <w:jc w:val="center"/>
              <w:rPr>
                <w:rFonts w:hint="eastAsia" w:ascii="宋体" w:hAnsi="宋体" w:eastAsia="宋体" w:cs="宋体"/>
                <w:color w:val="auto"/>
                <w:kern w:val="0"/>
                <w:sz w:val="21"/>
                <w:szCs w:val="21"/>
                <w:highlight w:val="none"/>
                <w:lang w:val="ru-RU" w:eastAsia="ru-RU"/>
              </w:rPr>
            </w:pPr>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kern w:val="0"/>
                <w:sz w:val="21"/>
                <w:szCs w:val="21"/>
                <w:highlight w:val="none"/>
                <w:lang w:val="ru-RU"/>
              </w:rPr>
              <w:t>合计</w:t>
            </w:r>
          </w:p>
        </w:tc>
        <w:tc>
          <w:tcPr>
            <w:tcW w:w="3451" w:type="dxa"/>
            <w:noWrap w:val="0"/>
            <w:vAlign w:val="center"/>
          </w:tcPr>
          <w:p w14:paraId="7F1B238A">
            <w:pPr>
              <w:adjustRightInd w:val="0"/>
              <w:snapToGrid w:val="0"/>
              <w:spacing w:line="240" w:lineRule="exac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w:t>
            </w:r>
          </w:p>
        </w:tc>
      </w:tr>
      <w:bookmarkEnd w:id="1125"/>
    </w:tbl>
    <w:p w14:paraId="15E2AEA2">
      <w:pPr>
        <w:adjustRightInd w:val="0"/>
        <w:snapToGrid w:val="0"/>
        <w:spacing w:before="156" w:beforeLines="50" w:line="360" w:lineRule="auto"/>
        <w:ind w:firstLine="2249" w:firstLineChars="800"/>
        <w:jc w:val="both"/>
        <w:rPr>
          <w:rFonts w:hint="eastAsia" w:ascii="仿宋" w:hAnsi="仿宋" w:eastAsia="仿宋" w:cs="仿宋"/>
          <w:b/>
          <w:bCs/>
          <w:sz w:val="28"/>
          <w:szCs w:val="28"/>
        </w:rPr>
      </w:pPr>
      <w:bookmarkStart w:id="1140" w:name="_Toc114036753"/>
      <w:bookmarkStart w:id="1141" w:name="_Toc171273710"/>
      <w:bookmarkStart w:id="1142" w:name="_Toc19465"/>
      <w:bookmarkStart w:id="1143" w:name="_Toc21646"/>
      <w:bookmarkStart w:id="1144" w:name="_Toc117192489"/>
      <w:bookmarkStart w:id="1145" w:name="_Toc32148"/>
      <w:bookmarkStart w:id="1146" w:name="_Toc28795"/>
      <w:bookmarkStart w:id="1147" w:name="_Toc154428428"/>
      <w:bookmarkStart w:id="1148" w:name="_Toc30635"/>
      <w:bookmarkStart w:id="1149" w:name="_Toc10895"/>
      <w:bookmarkStart w:id="1150" w:name="_Toc6964"/>
    </w:p>
    <w:p w14:paraId="06DD1D72">
      <w:pPr>
        <w:adjustRightInd w:val="0"/>
        <w:snapToGrid w:val="0"/>
        <w:spacing w:before="156" w:beforeLines="50" w:line="360" w:lineRule="auto"/>
        <w:ind w:firstLine="2249" w:firstLineChars="800"/>
        <w:jc w:val="both"/>
        <w:rPr>
          <w:rFonts w:hint="eastAsia" w:ascii="仿宋" w:hAnsi="仿宋" w:eastAsia="仿宋" w:cs="仿宋"/>
          <w:b/>
          <w:bCs/>
          <w:sz w:val="28"/>
          <w:szCs w:val="28"/>
        </w:rPr>
      </w:pPr>
      <w:r>
        <w:rPr>
          <w:rFonts w:hint="eastAsia" w:ascii="仿宋" w:hAnsi="仿宋" w:eastAsia="仿宋" w:cs="仿宋"/>
          <w:b/>
          <w:bCs/>
          <w:sz w:val="28"/>
          <w:szCs w:val="28"/>
        </w:rPr>
        <w:t>附表1.1投标报价评审标准表</w:t>
      </w:r>
    </w:p>
    <w:tbl>
      <w:tblPr>
        <w:tblStyle w:val="47"/>
        <w:tblW w:w="891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4"/>
        <w:gridCol w:w="1640"/>
        <w:gridCol w:w="6612"/>
      </w:tblGrid>
      <w:tr w14:paraId="23861C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664" w:type="dxa"/>
            <w:tcBorders>
              <w:right w:val="single" w:color="auto" w:sz="4" w:space="0"/>
            </w:tcBorders>
            <w:noWrap w:val="0"/>
            <w:vAlign w:val="center"/>
          </w:tcPr>
          <w:p w14:paraId="7B25CEE1">
            <w:pPr>
              <w:adjustRightInd w:val="0"/>
              <w:snapToGrid w:val="0"/>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640" w:type="dxa"/>
            <w:tcBorders>
              <w:left w:val="single" w:color="auto" w:sz="4" w:space="0"/>
              <w:right w:val="single" w:color="auto" w:sz="4" w:space="0"/>
            </w:tcBorders>
            <w:noWrap w:val="0"/>
            <w:vAlign w:val="center"/>
          </w:tcPr>
          <w:p w14:paraId="5AC228C5">
            <w:pPr>
              <w:adjustRightInd w:val="0"/>
              <w:snapToGrid w:val="0"/>
              <w:jc w:val="center"/>
              <w:rPr>
                <w:rFonts w:hint="eastAsia" w:ascii="宋体" w:hAnsi="宋体" w:eastAsia="宋体" w:cs="宋体"/>
                <w:b/>
                <w:color w:val="auto"/>
                <w:szCs w:val="21"/>
              </w:rPr>
            </w:pPr>
            <w:r>
              <w:rPr>
                <w:rFonts w:hint="eastAsia" w:ascii="宋体" w:hAnsi="宋体" w:eastAsia="宋体" w:cs="宋体"/>
                <w:b/>
                <w:color w:val="auto"/>
                <w:szCs w:val="21"/>
              </w:rPr>
              <w:t>评标因素</w:t>
            </w:r>
            <w:r>
              <w:rPr>
                <w:rFonts w:hint="eastAsia" w:ascii="宋体" w:hAnsi="宋体" w:eastAsia="宋体" w:cs="宋体"/>
                <w:b/>
                <w:color w:val="auto"/>
                <w:szCs w:val="21"/>
                <w:lang w:val="en-US" w:eastAsia="zh-CN"/>
              </w:rPr>
              <w:t xml:space="preserve">    </w:t>
            </w:r>
            <w:r>
              <w:rPr>
                <w:rFonts w:hint="eastAsia" w:ascii="宋体" w:hAnsi="宋体" w:eastAsia="宋体" w:cs="宋体"/>
                <w:b/>
                <w:color w:val="auto"/>
                <w:szCs w:val="21"/>
              </w:rPr>
              <w:t>（分值）</w:t>
            </w:r>
          </w:p>
        </w:tc>
        <w:tc>
          <w:tcPr>
            <w:tcW w:w="6612" w:type="dxa"/>
            <w:tcBorders>
              <w:left w:val="single" w:color="auto" w:sz="4" w:space="0"/>
            </w:tcBorders>
            <w:noWrap w:val="0"/>
            <w:vAlign w:val="center"/>
          </w:tcPr>
          <w:p w14:paraId="79D44839">
            <w:pPr>
              <w:adjustRightInd w:val="0"/>
              <w:snapToGrid w:val="0"/>
              <w:jc w:val="center"/>
              <w:rPr>
                <w:rFonts w:hint="eastAsia" w:ascii="宋体" w:hAnsi="宋体" w:eastAsia="宋体" w:cs="宋体"/>
                <w:b/>
                <w:color w:val="auto"/>
                <w:szCs w:val="21"/>
              </w:rPr>
            </w:pPr>
            <w:r>
              <w:rPr>
                <w:rFonts w:hint="eastAsia" w:ascii="宋体" w:hAnsi="宋体" w:eastAsia="宋体" w:cs="宋体"/>
                <w:b/>
                <w:color w:val="auto"/>
                <w:szCs w:val="21"/>
              </w:rPr>
              <w:t>评标标准</w:t>
            </w:r>
          </w:p>
        </w:tc>
      </w:tr>
      <w:tr w14:paraId="41E3CF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664" w:type="dxa"/>
            <w:tcBorders>
              <w:right w:val="single" w:color="auto" w:sz="4" w:space="0"/>
            </w:tcBorders>
            <w:noWrap w:val="0"/>
            <w:vAlign w:val="center"/>
          </w:tcPr>
          <w:p w14:paraId="55A63F64">
            <w:pPr>
              <w:adjustRightInd w:val="0"/>
              <w:snapToGrid w:val="0"/>
              <w:spacing w:before="156" w:beforeLines="50"/>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640" w:type="dxa"/>
            <w:tcBorders>
              <w:left w:val="single" w:color="auto" w:sz="4" w:space="0"/>
              <w:right w:val="single" w:color="auto" w:sz="4" w:space="0"/>
            </w:tcBorders>
            <w:noWrap w:val="0"/>
            <w:vAlign w:val="center"/>
          </w:tcPr>
          <w:p w14:paraId="09F717B9">
            <w:pPr>
              <w:adjustRightInd w:val="0"/>
              <w:snapToGrid w:val="0"/>
              <w:jc w:val="center"/>
              <w:rPr>
                <w:rFonts w:hint="eastAsia" w:ascii="宋体" w:hAnsi="宋体" w:eastAsia="宋体" w:cs="宋体"/>
                <w:color w:val="auto"/>
                <w:szCs w:val="21"/>
              </w:rPr>
            </w:pPr>
            <w:r>
              <w:rPr>
                <w:rFonts w:hint="eastAsia" w:ascii="宋体" w:hAnsi="宋体" w:eastAsia="宋体" w:cs="宋体"/>
                <w:color w:val="auto"/>
                <w:szCs w:val="21"/>
              </w:rPr>
              <w:t>价格评价项</w:t>
            </w:r>
          </w:p>
          <w:p w14:paraId="58450A86">
            <w:pPr>
              <w:adjustRightInd w:val="0"/>
              <w:snapToGrid w:val="0"/>
              <w:jc w:val="center"/>
              <w:rPr>
                <w:rFonts w:hint="eastAsia" w:ascii="宋体" w:hAnsi="宋体" w:eastAsia="宋体" w:cs="宋体"/>
                <w:color w:val="auto"/>
                <w:szCs w:val="21"/>
              </w:rPr>
            </w:pPr>
            <w:r>
              <w:rPr>
                <w:rFonts w:hint="eastAsia" w:ascii="宋体" w:hAnsi="宋体" w:eastAsia="宋体" w:cs="宋体"/>
                <w:color w:val="auto"/>
                <w:szCs w:val="21"/>
              </w:rPr>
              <w:t>（F=100分）</w:t>
            </w:r>
          </w:p>
        </w:tc>
        <w:tc>
          <w:tcPr>
            <w:tcW w:w="6612" w:type="dxa"/>
            <w:tcBorders>
              <w:left w:val="single" w:color="auto" w:sz="4" w:space="0"/>
            </w:tcBorders>
            <w:noWrap w:val="0"/>
            <w:vAlign w:val="center"/>
          </w:tcPr>
          <w:p w14:paraId="2D65E674">
            <w:pPr>
              <w:widowControl/>
              <w:spacing w:before="100" w:beforeAutospacing="1" w:after="100" w:afterAutospacing="1"/>
              <w:jc w:val="left"/>
              <w:rPr>
                <w:rFonts w:hint="eastAsia" w:ascii="宋体" w:hAnsi="宋体" w:eastAsia="宋体" w:cs="宋体"/>
                <w:color w:val="auto"/>
                <w:szCs w:val="21"/>
              </w:rPr>
            </w:pPr>
            <w:r>
              <w:rPr>
                <w:rFonts w:hint="eastAsia" w:ascii="宋体" w:hAnsi="宋体" w:eastAsia="宋体" w:cs="宋体"/>
                <w:color w:val="auto"/>
                <w:szCs w:val="21"/>
              </w:rPr>
              <w:t xml:space="preserve">满足招标文件要求且投标价格最低的投标报价为评标基准价，其价格分为100分。其他投标人的价格分统一按照下列公式计算：报价得分＝评标基准价÷投标报价×100 </w:t>
            </w:r>
          </w:p>
        </w:tc>
      </w:tr>
      <w:tr w14:paraId="69C3B5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0" w:hRule="atLeast"/>
          <w:jc w:val="center"/>
        </w:trPr>
        <w:tc>
          <w:tcPr>
            <w:tcW w:w="664" w:type="dxa"/>
            <w:tcBorders>
              <w:right w:val="single" w:color="auto" w:sz="4" w:space="0"/>
            </w:tcBorders>
            <w:noWrap w:val="0"/>
            <w:vAlign w:val="center"/>
          </w:tcPr>
          <w:p w14:paraId="510CF407">
            <w:pPr>
              <w:adjustRightInd w:val="0"/>
              <w:snapToGrid w:val="0"/>
              <w:spacing w:before="156" w:beforeLines="50"/>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640" w:type="dxa"/>
            <w:tcBorders>
              <w:left w:val="single" w:color="auto" w:sz="4" w:space="0"/>
            </w:tcBorders>
            <w:noWrap w:val="0"/>
            <w:vAlign w:val="center"/>
          </w:tcPr>
          <w:p w14:paraId="1A9D35DA">
            <w:pPr>
              <w:adjustRightInd w:val="0"/>
              <w:snapToGrid w:val="0"/>
              <w:jc w:val="center"/>
              <w:rPr>
                <w:rFonts w:hint="eastAsia" w:ascii="宋体" w:hAnsi="宋体" w:eastAsia="宋体" w:cs="宋体"/>
                <w:color w:val="auto"/>
                <w:szCs w:val="21"/>
              </w:rPr>
            </w:pPr>
            <w:r>
              <w:rPr>
                <w:rFonts w:hint="eastAsia" w:ascii="宋体" w:hAnsi="宋体" w:eastAsia="宋体" w:cs="宋体"/>
                <w:color w:val="auto"/>
                <w:szCs w:val="21"/>
              </w:rPr>
              <w:t>优先采购加分（F</w:t>
            </w:r>
            <w:r>
              <w:rPr>
                <w:rFonts w:hint="eastAsia" w:ascii="宋体" w:hAnsi="宋体" w:eastAsia="宋体" w:cs="宋体"/>
                <w:color w:val="auto"/>
                <w:szCs w:val="21"/>
                <w:vertAlign w:val="subscript"/>
              </w:rPr>
              <w:t>优先采购加分</w:t>
            </w:r>
            <w:r>
              <w:rPr>
                <w:rFonts w:hint="eastAsia" w:ascii="宋体" w:hAnsi="宋体" w:eastAsia="宋体" w:cs="宋体"/>
                <w:color w:val="auto"/>
                <w:szCs w:val="21"/>
              </w:rPr>
              <w:t>）</w:t>
            </w:r>
          </w:p>
        </w:tc>
        <w:tc>
          <w:tcPr>
            <w:tcW w:w="6612" w:type="dxa"/>
            <w:tcBorders>
              <w:bottom w:val="single" w:color="auto" w:sz="4" w:space="0"/>
            </w:tcBorders>
            <w:noWrap w:val="0"/>
            <w:vAlign w:val="center"/>
          </w:tcPr>
          <w:p w14:paraId="2941E874">
            <w:pPr>
              <w:pStyle w:val="467"/>
              <w:spacing w:before="130" w:line="227" w:lineRule="auto"/>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1.节能产品或环境标志产品加分(此仅限于节能产品或环境标志政府采购品目清单内产品，不是品目清单内的产品，在评审时不予以考虑)：所投节能产品或环境标志产品的价格/项目总价格×价格权值×100×本项目加分比例=应加分数</w:t>
            </w:r>
          </w:p>
          <w:p w14:paraId="2F764AB1">
            <w:pPr>
              <w:pStyle w:val="467"/>
              <w:spacing w:before="26" w:line="226" w:lineRule="auto"/>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注：整包中某一品目为节能、环境标志政府采购品目清单内产品时只对该品目价格加分，并合计到价格最终得分。</w:t>
            </w:r>
          </w:p>
          <w:p w14:paraId="5E797B46">
            <w:pPr>
              <w:adjustRightInd w:val="0"/>
              <w:snapToGrid w:val="0"/>
              <w:spacing w:before="156" w:beforeLines="50"/>
              <w:rPr>
                <w:rFonts w:hint="eastAsia" w:ascii="宋体" w:hAnsi="宋体" w:eastAsia="宋体" w:cs="宋体"/>
                <w:color w:val="auto"/>
                <w:kern w:val="2"/>
                <w:sz w:val="21"/>
                <w:szCs w:val="24"/>
                <w:lang w:val="en-US" w:eastAsia="zh-CN" w:bidi="ar-SA"/>
              </w:rPr>
            </w:pPr>
            <w:r>
              <w:rPr>
                <w:rFonts w:hint="eastAsia" w:ascii="宋体" w:hAnsi="宋体" w:eastAsia="宋体" w:cs="宋体"/>
                <w:color w:val="auto"/>
                <w:kern w:val="2"/>
                <w:sz w:val="21"/>
                <w:szCs w:val="24"/>
                <w:lang w:val="en-US" w:eastAsia="zh-CN" w:bidi="ar-SA"/>
              </w:rPr>
              <w:t>2.给予小型和微型企业产品的价格给予扣除，用扣除后的价格参与评审。</w:t>
            </w:r>
          </w:p>
        </w:tc>
      </w:tr>
      <w:tr w14:paraId="0DD868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664" w:type="dxa"/>
            <w:tcBorders>
              <w:right w:val="single" w:color="auto" w:sz="4" w:space="0"/>
            </w:tcBorders>
            <w:noWrap w:val="0"/>
            <w:vAlign w:val="center"/>
          </w:tcPr>
          <w:p w14:paraId="62A4182A">
            <w:pPr>
              <w:adjustRightInd w:val="0"/>
              <w:snapToGrid w:val="0"/>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8252" w:type="dxa"/>
            <w:gridSpan w:val="2"/>
            <w:tcBorders>
              <w:left w:val="single" w:color="auto" w:sz="4" w:space="0"/>
            </w:tcBorders>
            <w:noWrap w:val="0"/>
            <w:vAlign w:val="center"/>
          </w:tcPr>
          <w:p w14:paraId="41B503F9">
            <w:pPr>
              <w:adjustRightInd w:val="0"/>
              <w:snapToGrid w:val="0"/>
              <w:rPr>
                <w:rFonts w:hint="eastAsia" w:ascii="宋体" w:hAnsi="宋体" w:eastAsia="宋体" w:cs="宋体"/>
                <w:color w:val="auto"/>
                <w:szCs w:val="21"/>
              </w:rPr>
            </w:pPr>
            <w:r>
              <w:rPr>
                <w:rFonts w:hint="eastAsia" w:ascii="宋体" w:hAnsi="宋体" w:eastAsia="宋体" w:cs="宋体"/>
                <w:color w:val="auto"/>
                <w:szCs w:val="21"/>
              </w:rPr>
              <w:t>F</w:t>
            </w:r>
            <w:r>
              <w:rPr>
                <w:rFonts w:hint="eastAsia" w:ascii="宋体" w:hAnsi="宋体" w:eastAsia="宋体" w:cs="宋体"/>
                <w:color w:val="auto"/>
                <w:szCs w:val="21"/>
                <w:vertAlign w:val="subscript"/>
              </w:rPr>
              <w:t>1</w:t>
            </w:r>
            <w:r>
              <w:rPr>
                <w:rFonts w:hint="eastAsia" w:ascii="宋体" w:hAnsi="宋体" w:eastAsia="宋体" w:cs="宋体"/>
                <w:color w:val="auto"/>
                <w:szCs w:val="21"/>
              </w:rPr>
              <w:t>=F+ F</w:t>
            </w:r>
            <w:r>
              <w:rPr>
                <w:rFonts w:hint="eastAsia" w:ascii="宋体" w:hAnsi="宋体" w:eastAsia="宋体" w:cs="宋体"/>
                <w:color w:val="auto"/>
                <w:szCs w:val="21"/>
                <w:vertAlign w:val="subscript"/>
              </w:rPr>
              <w:t>优先采购加分</w:t>
            </w:r>
          </w:p>
        </w:tc>
      </w:tr>
      <w:tr w14:paraId="3758FF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10" w:hRule="atLeast"/>
          <w:jc w:val="center"/>
        </w:trPr>
        <w:tc>
          <w:tcPr>
            <w:tcW w:w="664" w:type="dxa"/>
            <w:tcBorders>
              <w:right w:val="single" w:color="auto" w:sz="4" w:space="0"/>
            </w:tcBorders>
            <w:noWrap w:val="0"/>
            <w:vAlign w:val="center"/>
          </w:tcPr>
          <w:p w14:paraId="75304C3E">
            <w:pPr>
              <w:adjustRightInd w:val="0"/>
              <w:snapToGrid w:val="0"/>
              <w:jc w:val="center"/>
              <w:rPr>
                <w:rFonts w:hint="eastAsia" w:ascii="宋体" w:hAnsi="宋体" w:eastAsia="宋体" w:cs="宋体"/>
                <w:color w:val="auto"/>
                <w:szCs w:val="21"/>
              </w:rPr>
            </w:pPr>
            <w:r>
              <w:rPr>
                <w:rFonts w:hint="eastAsia" w:ascii="宋体" w:hAnsi="宋体" w:eastAsia="宋体" w:cs="宋体"/>
                <w:color w:val="auto"/>
                <w:szCs w:val="21"/>
              </w:rPr>
              <w:t>说明</w:t>
            </w:r>
          </w:p>
        </w:tc>
        <w:tc>
          <w:tcPr>
            <w:tcW w:w="8252" w:type="dxa"/>
            <w:gridSpan w:val="2"/>
            <w:tcBorders>
              <w:left w:val="single" w:color="auto" w:sz="4" w:space="0"/>
            </w:tcBorders>
            <w:noWrap w:val="0"/>
            <w:vAlign w:val="center"/>
          </w:tcPr>
          <w:p w14:paraId="53E14A1E">
            <w:pPr>
              <w:adjustRightInd w:val="0"/>
              <w:snapToGrid w:val="0"/>
              <w:rPr>
                <w:rFonts w:hint="eastAsia" w:ascii="宋体" w:hAnsi="宋体" w:eastAsia="宋体" w:cs="宋体"/>
                <w:color w:val="auto"/>
              </w:rPr>
            </w:pPr>
            <w:r>
              <w:rPr>
                <w:rFonts w:hint="eastAsia" w:ascii="宋体" w:hAnsi="宋体" w:eastAsia="宋体" w:cs="宋体"/>
                <w:color w:val="auto"/>
              </w:rPr>
              <w:t>1、根据“财政部令第87号”第六十条的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1FE0619B">
            <w:pPr>
              <w:adjustRightInd w:val="0"/>
              <w:snapToGrid w:val="0"/>
              <w:rPr>
                <w:rFonts w:hint="eastAsia" w:ascii="宋体" w:hAnsi="宋体" w:eastAsia="宋体" w:cs="宋体"/>
                <w:color w:val="auto"/>
              </w:rPr>
            </w:pPr>
            <w:r>
              <w:rPr>
                <w:rFonts w:hint="eastAsia" w:ascii="宋体" w:hAnsi="宋体" w:eastAsia="宋体" w:cs="宋体"/>
                <w:color w:val="auto"/>
              </w:rPr>
              <w:t>2、异常低价：根据《财库〔2026〕2号文》相关规定，本项目异常低价处理规定如下：</w:t>
            </w:r>
          </w:p>
          <w:p w14:paraId="261E2556">
            <w:pPr>
              <w:adjustRightInd w:val="0"/>
              <w:snapToGrid w:val="0"/>
              <w:rPr>
                <w:rFonts w:hint="eastAsia" w:ascii="宋体" w:hAnsi="宋体" w:eastAsia="宋体" w:cs="宋体"/>
                <w:color w:val="auto"/>
              </w:rPr>
            </w:pPr>
            <w:r>
              <w:rPr>
                <w:rFonts w:hint="eastAsia" w:ascii="宋体" w:hAnsi="宋体" w:eastAsia="宋体" w:cs="宋体"/>
                <w:color w:val="auto"/>
              </w:rPr>
              <w:t>（1）政府采购评审中出现下列情形之一的，评审委员会应当启动异常低价投标（响应）审查程序：</w:t>
            </w:r>
          </w:p>
          <w:p w14:paraId="40E781C5">
            <w:pPr>
              <w:adjustRightInd w:val="0"/>
              <w:snapToGrid w:val="0"/>
              <w:rPr>
                <w:rFonts w:hint="eastAsia" w:ascii="宋体" w:hAnsi="宋体" w:eastAsia="宋体" w:cs="宋体"/>
                <w:color w:val="auto"/>
              </w:rPr>
            </w:pPr>
            <w:r>
              <w:rPr>
                <w:rFonts w:hint="eastAsia" w:ascii="宋体" w:hAnsi="宋体" w:eastAsia="宋体" w:cs="宋体"/>
                <w:color w:val="auto"/>
              </w:rPr>
              <w:t>①投标（响应）报价低于全部通过符合性审查供应商投标（响应）报价平均值50%的，即投标（响应）报价&lt;全部通过符合性审查供应商投标（响应）报价平均值×50%；</w:t>
            </w:r>
          </w:p>
          <w:p w14:paraId="3267CABB">
            <w:pPr>
              <w:adjustRightInd w:val="0"/>
              <w:snapToGrid w:val="0"/>
              <w:rPr>
                <w:rFonts w:hint="eastAsia" w:ascii="宋体" w:hAnsi="宋体" w:eastAsia="宋体" w:cs="宋体"/>
                <w:color w:val="auto"/>
              </w:rPr>
            </w:pPr>
            <w:r>
              <w:rPr>
                <w:rFonts w:hint="eastAsia" w:ascii="宋体" w:hAnsi="宋体" w:eastAsia="宋体" w:cs="宋体"/>
                <w:color w:val="auto"/>
              </w:rPr>
              <w:t>②投标（响应）报价低于通过符合性审查的次低报价供应商投标（响应）报价50%的，即投标（响应）报价&lt;通过符合性审查的次低报价供应商投标（响应）报价×50%；</w:t>
            </w:r>
          </w:p>
          <w:p w14:paraId="506A2AE9">
            <w:pPr>
              <w:adjustRightInd w:val="0"/>
              <w:snapToGrid w:val="0"/>
              <w:rPr>
                <w:rFonts w:hint="eastAsia" w:ascii="宋体" w:hAnsi="宋体" w:eastAsia="宋体" w:cs="宋体"/>
                <w:color w:val="auto"/>
              </w:rPr>
            </w:pPr>
            <w:r>
              <w:rPr>
                <w:rFonts w:hint="eastAsia" w:ascii="宋体" w:hAnsi="宋体" w:eastAsia="宋体" w:cs="宋体"/>
                <w:color w:val="auto"/>
              </w:rPr>
              <w:t>③投标（响应）报价低于采购项目最高限价</w:t>
            </w:r>
            <w:r>
              <w:rPr>
                <w:rFonts w:hint="eastAsia" w:ascii="宋体" w:hAnsi="宋体" w:eastAsia="宋体" w:cs="宋体"/>
                <w:color w:val="auto"/>
                <w:lang w:val="en-US" w:eastAsia="zh-CN"/>
              </w:rPr>
              <w:t>6</w:t>
            </w:r>
            <w:r>
              <w:rPr>
                <w:rFonts w:hint="eastAsia" w:ascii="宋体" w:hAnsi="宋体" w:eastAsia="宋体" w:cs="宋体"/>
                <w:color w:val="auto"/>
              </w:rPr>
              <w:t>5%的，即投标（响应）报价&lt;采购项目最高限价×</w:t>
            </w:r>
            <w:r>
              <w:rPr>
                <w:rFonts w:hint="eastAsia" w:ascii="宋体" w:hAnsi="宋体" w:eastAsia="宋体" w:cs="宋体"/>
                <w:color w:val="auto"/>
                <w:lang w:val="en-US" w:eastAsia="zh-CN"/>
              </w:rPr>
              <w:t>6</w:t>
            </w:r>
            <w:r>
              <w:rPr>
                <w:rFonts w:hint="eastAsia" w:ascii="宋体" w:hAnsi="宋体" w:eastAsia="宋体" w:cs="宋体"/>
                <w:color w:val="auto"/>
              </w:rPr>
              <w:t>5%；</w:t>
            </w:r>
          </w:p>
          <w:p w14:paraId="4A99A28F">
            <w:pPr>
              <w:adjustRightInd w:val="0"/>
              <w:snapToGrid w:val="0"/>
              <w:rPr>
                <w:rFonts w:hint="eastAsia" w:ascii="宋体" w:hAnsi="宋体" w:eastAsia="宋体" w:cs="宋体"/>
                <w:color w:val="auto"/>
              </w:rPr>
            </w:pPr>
            <w:r>
              <w:rPr>
                <w:rFonts w:hint="eastAsia" w:ascii="宋体" w:hAnsi="宋体" w:eastAsia="宋体" w:cs="宋体"/>
                <w:color w:val="auto"/>
              </w:rPr>
              <w:t>④评审委员会基于专业判断，认为供应商报价过低，有可能影响产品质量或者不能诚信履约的其他情形。相关法律法规对供应商报价有规定的，从其规定。</w:t>
            </w:r>
          </w:p>
          <w:p w14:paraId="72A6A063">
            <w:pPr>
              <w:adjustRightInd w:val="0"/>
              <w:snapToGrid w:val="0"/>
              <w:rPr>
                <w:rFonts w:hint="eastAsia" w:ascii="宋体" w:hAnsi="宋体" w:eastAsia="宋体" w:cs="宋体"/>
                <w:color w:val="auto"/>
              </w:rPr>
            </w:pPr>
            <w:r>
              <w:rPr>
                <w:rFonts w:hint="eastAsia" w:ascii="宋体" w:hAnsi="宋体" w:eastAsia="宋体" w:cs="宋体"/>
                <w:color w:val="auto"/>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6B4758F">
            <w:pPr>
              <w:adjustRightInd w:val="0"/>
              <w:snapToGrid w:val="0"/>
              <w:rPr>
                <w:rFonts w:hint="eastAsia" w:ascii="宋体" w:hAnsi="宋体" w:eastAsia="宋体" w:cs="宋体"/>
                <w:color w:val="auto"/>
              </w:rPr>
            </w:pPr>
            <w:r>
              <w:rPr>
                <w:rFonts w:hint="eastAsia" w:ascii="宋体" w:hAnsi="宋体" w:eastAsia="宋体" w:cs="宋体"/>
                <w:color w:val="auto"/>
                <w:lang w:val="en-US" w:eastAsia="zh-CN"/>
              </w:rPr>
              <w:t>3、</w:t>
            </w:r>
            <w:r>
              <w:rPr>
                <w:rFonts w:hint="eastAsia" w:ascii="宋体" w:hAnsi="宋体" w:eastAsia="宋体" w:cs="宋体"/>
                <w:color w:val="auto"/>
              </w:rPr>
              <w:t>评审委员会借助互联网等渠道查询相关信息的，应当严格遵守评审工作纪律，不得实施影响评审公正的行为。</w:t>
            </w:r>
          </w:p>
          <w:p w14:paraId="2FD57FB2">
            <w:pPr>
              <w:adjustRightInd w:val="0"/>
              <w:snapToGrid w:val="0"/>
              <w:rPr>
                <w:rFonts w:hint="eastAsia" w:ascii="宋体" w:hAnsi="宋体" w:eastAsia="宋体" w:cs="宋体"/>
                <w:color w:val="auto"/>
              </w:rPr>
            </w:pPr>
            <w:r>
              <w:rPr>
                <w:rFonts w:hint="eastAsia" w:ascii="宋体" w:hAnsi="宋体" w:eastAsia="宋体" w:cs="宋体"/>
                <w:color w:val="auto"/>
                <w:lang w:val="en-US" w:eastAsia="zh-CN"/>
              </w:rPr>
              <w:t>4、</w:t>
            </w:r>
            <w:r>
              <w:rPr>
                <w:rFonts w:hint="eastAsia" w:ascii="宋体" w:hAnsi="宋体" w:eastAsia="宋体" w:cs="宋体"/>
                <w:color w:val="auto"/>
              </w:rPr>
              <w:t>异常低价投标（响应）审查的启动原因、审查意见和审查结果应当在评审报告中记录，并随供应商提供的相关书面说明及证明材料，以及评审委员会有关互联网浏览、查询历史一并归档。</w:t>
            </w:r>
          </w:p>
        </w:tc>
      </w:tr>
    </w:tbl>
    <w:p w14:paraId="55E0A723">
      <w:pPr>
        <w:adjustRightInd w:val="0"/>
        <w:snapToGrid w:val="0"/>
        <w:spacing w:before="156" w:beforeLines="50" w:line="360" w:lineRule="auto"/>
        <w:jc w:val="both"/>
        <w:rPr>
          <w:rFonts w:hint="eastAsia" w:ascii="仿宋" w:hAnsi="仿宋" w:eastAsia="仿宋" w:cs="仿宋"/>
          <w:b/>
          <w:bCs/>
          <w:sz w:val="28"/>
          <w:szCs w:val="28"/>
        </w:rPr>
      </w:pPr>
    </w:p>
    <w:p w14:paraId="4616B68D">
      <w:pPr>
        <w:adjustRightInd w:val="0"/>
        <w:snapToGrid w:val="0"/>
        <w:spacing w:before="156" w:beforeLines="50" w:line="360" w:lineRule="auto"/>
        <w:rPr>
          <w:rFonts w:hint="eastAsia" w:ascii="仿宋" w:hAnsi="仿宋" w:eastAsia="仿宋" w:cs="仿宋"/>
          <w:b/>
          <w:bCs/>
          <w:sz w:val="28"/>
          <w:szCs w:val="28"/>
        </w:rPr>
      </w:pPr>
    </w:p>
    <w:p w14:paraId="5BDCDF86">
      <w:pPr>
        <w:rPr>
          <w:rFonts w:hint="eastAsia" w:ascii="仿宋" w:hAnsi="仿宋" w:eastAsia="仿宋" w:cs="仿宋"/>
          <w:b/>
          <w:bCs/>
          <w:sz w:val="28"/>
          <w:szCs w:val="28"/>
        </w:rPr>
      </w:pPr>
      <w:r>
        <w:rPr>
          <w:rFonts w:hint="eastAsia" w:ascii="仿宋" w:hAnsi="仿宋" w:eastAsia="仿宋" w:cs="仿宋"/>
          <w:b/>
          <w:bCs/>
          <w:sz w:val="28"/>
          <w:szCs w:val="28"/>
        </w:rPr>
        <w:br w:type="page"/>
      </w:r>
    </w:p>
    <w:p w14:paraId="2517290D">
      <w:pPr>
        <w:adjustRightInd w:val="0"/>
        <w:snapToGrid w:val="0"/>
        <w:spacing w:before="156" w:beforeLines="50" w:line="360" w:lineRule="auto"/>
        <w:jc w:val="center"/>
        <w:rPr>
          <w:rFonts w:hint="eastAsia" w:ascii="宋体" w:hAnsi="宋体" w:eastAsia="宋体" w:cs="宋体"/>
          <w:b/>
          <w:bCs/>
          <w:color w:val="auto"/>
        </w:rPr>
      </w:pPr>
      <w:r>
        <w:rPr>
          <w:rFonts w:hint="eastAsia" w:ascii="宋体" w:hAnsi="宋体" w:eastAsia="宋体" w:cs="宋体"/>
          <w:b/>
          <w:bCs/>
          <w:color w:val="auto"/>
        </w:rPr>
        <w:t>附表1.2技术部分评审标准表</w:t>
      </w:r>
    </w:p>
    <w:tbl>
      <w:tblPr>
        <w:tblStyle w:val="47"/>
        <w:tblW w:w="4997" w:type="pct"/>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0" w:type="dxa"/>
          <w:left w:w="108" w:type="dxa"/>
          <w:bottom w:w="0" w:type="dxa"/>
          <w:right w:w="108" w:type="dxa"/>
        </w:tblCellMar>
      </w:tblPr>
      <w:tblGrid>
        <w:gridCol w:w="477"/>
        <w:gridCol w:w="1190"/>
        <w:gridCol w:w="1135"/>
        <w:gridCol w:w="6008"/>
      </w:tblGrid>
      <w:tr w14:paraId="6BE4AF0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652" w:hRule="atLeast"/>
          <w:jc w:val="center"/>
        </w:trPr>
        <w:tc>
          <w:tcPr>
            <w:tcW w:w="271" w:type="pct"/>
            <w:tcBorders>
              <w:tl2br w:val="nil"/>
              <w:tr2bl w:val="nil"/>
            </w:tcBorders>
            <w:noWrap w:val="0"/>
            <w:vAlign w:val="center"/>
          </w:tcPr>
          <w:p w14:paraId="4B9647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center"/>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序号</w:t>
            </w:r>
          </w:p>
        </w:tc>
        <w:tc>
          <w:tcPr>
            <w:tcW w:w="675" w:type="pct"/>
            <w:tcBorders>
              <w:tl2br w:val="nil"/>
              <w:tr2bl w:val="nil"/>
            </w:tcBorders>
            <w:noWrap w:val="0"/>
            <w:vAlign w:val="center"/>
          </w:tcPr>
          <w:p w14:paraId="684BE8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center"/>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评标因素（分值）</w:t>
            </w:r>
          </w:p>
        </w:tc>
        <w:tc>
          <w:tcPr>
            <w:tcW w:w="4053" w:type="pct"/>
            <w:gridSpan w:val="2"/>
            <w:tcBorders>
              <w:tl2br w:val="nil"/>
              <w:tr2bl w:val="nil"/>
            </w:tcBorders>
            <w:noWrap w:val="0"/>
            <w:vAlign w:val="center"/>
          </w:tcPr>
          <w:p w14:paraId="39557AE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640"/>
              <w:jc w:val="center"/>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评标标准</w:t>
            </w:r>
          </w:p>
        </w:tc>
      </w:tr>
      <w:tr w14:paraId="1779E4E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409" w:hRule="atLeast"/>
          <w:jc w:val="center"/>
        </w:trPr>
        <w:tc>
          <w:tcPr>
            <w:tcW w:w="271" w:type="pct"/>
            <w:vMerge w:val="restart"/>
            <w:tcBorders>
              <w:tl2br w:val="nil"/>
              <w:tr2bl w:val="nil"/>
            </w:tcBorders>
            <w:noWrap w:val="0"/>
            <w:vAlign w:val="center"/>
          </w:tcPr>
          <w:p w14:paraId="0FDEF3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right="0"/>
              <w:jc w:val="center"/>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2</w:t>
            </w:r>
          </w:p>
        </w:tc>
        <w:tc>
          <w:tcPr>
            <w:tcW w:w="675" w:type="pct"/>
            <w:vMerge w:val="restart"/>
            <w:tcBorders>
              <w:tl2br w:val="nil"/>
              <w:tr2bl w:val="nil"/>
            </w:tcBorders>
            <w:noWrap w:val="0"/>
            <w:vAlign w:val="center"/>
          </w:tcPr>
          <w:p w14:paraId="7FA65F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center"/>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技术评价项</w:t>
            </w:r>
          </w:p>
          <w:p w14:paraId="00111A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center"/>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（F=100分）</w:t>
            </w:r>
          </w:p>
        </w:tc>
        <w:tc>
          <w:tcPr>
            <w:tcW w:w="644" w:type="pct"/>
            <w:tcBorders>
              <w:tl2br w:val="nil"/>
              <w:tr2bl w:val="nil"/>
            </w:tcBorders>
            <w:noWrap w:val="0"/>
            <w:vAlign w:val="center"/>
          </w:tcPr>
          <w:p w14:paraId="7600D3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center"/>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产品配置技术参数</w:t>
            </w:r>
          </w:p>
          <w:p w14:paraId="0957AE7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center"/>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（50分）</w:t>
            </w:r>
          </w:p>
        </w:tc>
        <w:tc>
          <w:tcPr>
            <w:tcW w:w="3408" w:type="pct"/>
            <w:tcBorders>
              <w:tl2br w:val="nil"/>
              <w:tr2bl w:val="nil"/>
            </w:tcBorders>
            <w:noWrap w:val="0"/>
            <w:vAlign w:val="center"/>
          </w:tcPr>
          <w:p w14:paraId="2D02E6BF">
            <w:pPr>
              <w:numPr>
                <w:ilvl w:val="0"/>
                <w:numId w:val="0"/>
              </w:numPr>
              <w:spacing w:line="240" w:lineRule="auto"/>
              <w:ind w:leftChars="0"/>
              <w:rPr>
                <w:rFonts w:hint="eastAsia" w:ascii="宋体" w:hAnsi="宋体" w:eastAsia="宋体" w:cs="宋体"/>
                <w:color w:val="auto"/>
                <w:szCs w:val="21"/>
              </w:rPr>
            </w:pPr>
            <w:r>
              <w:rPr>
                <w:rFonts w:hint="eastAsia" w:ascii="宋体" w:hAnsi="宋体" w:eastAsia="宋体" w:cs="宋体"/>
                <w:color w:val="auto"/>
                <w:szCs w:val="21"/>
                <w:lang w:val="en-US" w:eastAsia="zh-CN"/>
              </w:rPr>
              <w:t>1.</w:t>
            </w:r>
            <w:r>
              <w:rPr>
                <w:rFonts w:hint="eastAsia" w:ascii="宋体" w:hAnsi="宋体" w:eastAsia="宋体" w:cs="宋体"/>
                <w:color w:val="auto"/>
                <w:szCs w:val="21"/>
              </w:rPr>
              <w:t>没有响应一览表和采购需求偏离表的，此项不计分；</w:t>
            </w:r>
          </w:p>
          <w:p w14:paraId="78A6C330">
            <w:pPr>
              <w:numPr>
                <w:ilvl w:val="0"/>
                <w:numId w:val="0"/>
              </w:numPr>
              <w:spacing w:line="240" w:lineRule="auto"/>
              <w:ind w:leftChars="0"/>
              <w:rPr>
                <w:rFonts w:hint="eastAsia" w:ascii="宋体" w:hAnsi="宋体" w:eastAsia="宋体" w:cs="宋体"/>
                <w:color w:val="auto"/>
                <w:szCs w:val="21"/>
              </w:rPr>
            </w:pPr>
            <w:r>
              <w:rPr>
                <w:rFonts w:hint="eastAsia" w:ascii="宋体" w:hAnsi="宋体" w:eastAsia="宋体" w:cs="宋体"/>
                <w:color w:val="auto"/>
                <w:szCs w:val="21"/>
                <w:lang w:val="en-US" w:eastAsia="zh-CN"/>
              </w:rPr>
              <w:t>2.</w:t>
            </w:r>
            <w:r>
              <w:rPr>
                <w:rFonts w:hint="eastAsia" w:ascii="宋体" w:hAnsi="宋体" w:eastAsia="宋体" w:cs="宋体"/>
                <w:color w:val="auto"/>
                <w:szCs w:val="21"/>
              </w:rPr>
              <w:t>带▲的重要参数或要求，未提供有效证明材料的，每项扣</w:t>
            </w:r>
            <w:r>
              <w:rPr>
                <w:rFonts w:hint="eastAsia" w:ascii="宋体" w:hAnsi="宋体" w:eastAsia="宋体" w:cs="宋体"/>
                <w:color w:val="auto"/>
                <w:szCs w:val="21"/>
                <w:lang w:val="en-US" w:eastAsia="zh-CN"/>
              </w:rPr>
              <w:t>5</w:t>
            </w:r>
            <w:r>
              <w:rPr>
                <w:rFonts w:hint="eastAsia" w:ascii="宋体" w:hAnsi="宋体" w:eastAsia="宋体" w:cs="宋体"/>
                <w:color w:val="auto"/>
                <w:szCs w:val="21"/>
              </w:rPr>
              <w:t>分，扣完为止；</w:t>
            </w:r>
          </w:p>
          <w:p w14:paraId="57EF0B2C">
            <w:pPr>
              <w:numPr>
                <w:ilvl w:val="0"/>
                <w:numId w:val="0"/>
              </w:numPr>
              <w:spacing w:line="240" w:lineRule="auto"/>
              <w:ind w:leftChars="0"/>
              <w:rPr>
                <w:rFonts w:hint="eastAsia" w:ascii="宋体" w:hAnsi="宋体" w:eastAsia="宋体" w:cs="宋体"/>
                <w:color w:val="auto"/>
                <w:szCs w:val="21"/>
              </w:rPr>
            </w:pPr>
            <w:r>
              <w:rPr>
                <w:rFonts w:hint="eastAsia" w:ascii="宋体" w:hAnsi="宋体" w:eastAsia="宋体" w:cs="宋体"/>
                <w:color w:val="auto"/>
                <w:szCs w:val="21"/>
                <w:lang w:val="en-US" w:eastAsia="zh-CN"/>
              </w:rPr>
              <w:t>3.</w:t>
            </w:r>
            <w:r>
              <w:rPr>
                <w:rFonts w:hint="eastAsia" w:ascii="宋体" w:hAnsi="宋体" w:eastAsia="宋体" w:cs="宋体"/>
                <w:color w:val="auto"/>
                <w:szCs w:val="21"/>
              </w:rPr>
              <w:t>不带▲参数或要求，有负偏离、缺漏项的每项扣</w:t>
            </w:r>
            <w:r>
              <w:rPr>
                <w:rFonts w:hint="eastAsia" w:ascii="宋体" w:hAnsi="宋体" w:eastAsia="宋体" w:cs="宋体"/>
                <w:color w:val="auto"/>
                <w:szCs w:val="21"/>
                <w:lang w:val="en-US" w:eastAsia="zh-CN"/>
              </w:rPr>
              <w:t>2</w:t>
            </w:r>
            <w:r>
              <w:rPr>
                <w:rFonts w:hint="eastAsia" w:ascii="宋体" w:hAnsi="宋体" w:eastAsia="宋体" w:cs="宋体"/>
                <w:color w:val="auto"/>
                <w:szCs w:val="21"/>
              </w:rPr>
              <w:t>分，</w:t>
            </w:r>
            <w:r>
              <w:rPr>
                <w:rFonts w:hint="eastAsia" w:ascii="宋体" w:hAnsi="宋体" w:eastAsia="宋体" w:cs="宋体"/>
                <w:color w:val="auto"/>
                <w:szCs w:val="21"/>
                <w:lang w:val="zh-TW"/>
              </w:rPr>
              <w:t>扣完为止</w:t>
            </w:r>
            <w:r>
              <w:rPr>
                <w:rFonts w:hint="eastAsia" w:ascii="宋体" w:hAnsi="宋体" w:eastAsia="宋体" w:cs="宋体"/>
                <w:color w:val="auto"/>
                <w:szCs w:val="21"/>
              </w:rPr>
              <w:t>；</w:t>
            </w:r>
          </w:p>
          <w:p w14:paraId="20664B56">
            <w:pPr>
              <w:pStyle w:val="60"/>
              <w:keepNext w:val="0"/>
              <w:keepLines w:val="0"/>
              <w:pageBreakBefore w:val="0"/>
              <w:widowControl w:val="0"/>
              <w:numPr>
                <w:ilvl w:val="0"/>
                <w:numId w:val="0"/>
              </w:numPr>
              <w:kinsoku/>
              <w:wordWrap/>
              <w:overflowPunct/>
              <w:topLinePunct w:val="0"/>
              <w:autoSpaceDE/>
              <w:autoSpaceDN/>
              <w:bidi w:val="0"/>
              <w:adjustRightInd/>
              <w:snapToGrid/>
              <w:spacing w:afterLines="0" w:line="240" w:lineRule="auto"/>
              <w:ind w:leftChars="0"/>
              <w:textAlignment w:val="auto"/>
              <w:rPr>
                <w:rFonts w:hint="eastAsia" w:ascii="宋体" w:hAnsi="宋体" w:eastAsia="宋体" w:cs="宋体"/>
                <w:b w:val="0"/>
                <w:color w:val="auto"/>
                <w:kern w:val="2"/>
                <w:sz w:val="21"/>
                <w:szCs w:val="21"/>
                <w:lang w:val="en-US" w:eastAsia="zh-CN" w:bidi="ar-SA"/>
              </w:rPr>
            </w:pPr>
            <w:r>
              <w:rPr>
                <w:rFonts w:hint="eastAsia" w:ascii="宋体" w:hAnsi="宋体" w:eastAsia="宋体" w:cs="宋体"/>
                <w:b w:val="0"/>
                <w:color w:val="auto"/>
                <w:kern w:val="2"/>
                <w:sz w:val="21"/>
                <w:szCs w:val="21"/>
                <w:lang w:val="en-US" w:eastAsia="zh-CN" w:bidi="ar-SA"/>
              </w:rPr>
              <w:t>4.完全响应招标文件技术参数要求的，计50分。</w:t>
            </w:r>
          </w:p>
          <w:p w14:paraId="46788F7C">
            <w:pPr>
              <w:pStyle w:val="19"/>
              <w:ind w:left="0" w:leftChars="0" w:firstLine="0" w:firstLineChars="0"/>
              <w:jc w:val="left"/>
              <w:rPr>
                <w:rFonts w:hint="eastAsia" w:ascii="宋体" w:hAnsi="宋体" w:eastAsia="宋体" w:cs="宋体"/>
                <w:color w:val="auto"/>
                <w:lang w:val="en-US" w:eastAsia="zh-CN"/>
              </w:rPr>
            </w:pPr>
            <w:r>
              <w:rPr>
                <w:rStyle w:val="49"/>
                <w:rFonts w:hint="eastAsia" w:ascii="宋体" w:hAnsi="宋体" w:eastAsia="宋体" w:cs="宋体"/>
                <w:b w:val="0"/>
                <w:color w:val="auto"/>
                <w:sz w:val="21"/>
                <w:szCs w:val="24"/>
                <w:lang w:val="en-US" w:eastAsia="zh-CN"/>
              </w:rPr>
              <w:t>说明</w:t>
            </w:r>
            <w:r>
              <w:rPr>
                <w:rStyle w:val="49"/>
                <w:rFonts w:hint="eastAsia" w:ascii="宋体" w:hAnsi="宋体" w:eastAsia="宋体" w:cs="宋体"/>
                <w:b w:val="0"/>
                <w:color w:val="auto"/>
                <w:sz w:val="21"/>
                <w:szCs w:val="24"/>
              </w:rPr>
              <w:t>：①招标项目技术、服务、商务及其他要求中要求提供的证明材料（①证明材料包括产品彩页或技术白皮书或产品说明书或官网截图或各类检验检测报告等其中之一。②提供公开可查询的官方渠道或投标人自行核验的结果作为证明材料的组成部分。）未按要求提供的，视同负偏离处理；②同一项技术参数在多处出现的，视为一项技术参数要求，不重复扣分；③同一指标多处出现但发现前后不一致的，视同负偏离处理。</w:t>
            </w:r>
          </w:p>
        </w:tc>
      </w:tr>
      <w:tr w14:paraId="5699FAC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220" w:hRule="atLeast"/>
          <w:jc w:val="center"/>
        </w:trPr>
        <w:tc>
          <w:tcPr>
            <w:tcW w:w="271" w:type="pct"/>
            <w:vMerge w:val="continue"/>
            <w:tcBorders>
              <w:tl2br w:val="nil"/>
              <w:tr2bl w:val="nil"/>
            </w:tcBorders>
            <w:noWrap w:val="0"/>
            <w:vAlign w:val="center"/>
          </w:tcPr>
          <w:p w14:paraId="65A007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640"/>
              <w:jc w:val="center"/>
              <w:textAlignment w:val="auto"/>
              <w:rPr>
                <w:rFonts w:hint="eastAsia" w:ascii="宋体" w:hAnsi="宋体" w:eastAsia="宋体" w:cs="宋体"/>
                <w:i w:val="0"/>
                <w:iCs w:val="0"/>
                <w:caps w:val="0"/>
                <w:color w:val="auto"/>
                <w:spacing w:val="0"/>
                <w:kern w:val="0"/>
                <w:sz w:val="21"/>
                <w:szCs w:val="21"/>
                <w:lang w:val="en-US" w:eastAsia="zh-CN" w:bidi="ar"/>
              </w:rPr>
            </w:pPr>
          </w:p>
        </w:tc>
        <w:tc>
          <w:tcPr>
            <w:tcW w:w="675" w:type="pct"/>
            <w:vMerge w:val="continue"/>
            <w:tcBorders>
              <w:tl2br w:val="nil"/>
              <w:tr2bl w:val="nil"/>
            </w:tcBorders>
            <w:noWrap w:val="0"/>
            <w:vAlign w:val="center"/>
          </w:tcPr>
          <w:p w14:paraId="1A252E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640"/>
              <w:jc w:val="center"/>
              <w:textAlignment w:val="auto"/>
              <w:rPr>
                <w:rFonts w:hint="eastAsia" w:ascii="宋体" w:hAnsi="宋体" w:eastAsia="宋体" w:cs="宋体"/>
                <w:i w:val="0"/>
                <w:iCs w:val="0"/>
                <w:caps w:val="0"/>
                <w:color w:val="auto"/>
                <w:spacing w:val="0"/>
                <w:kern w:val="0"/>
                <w:sz w:val="21"/>
                <w:szCs w:val="21"/>
                <w:lang w:val="en-US" w:eastAsia="zh-CN" w:bidi="ar"/>
              </w:rPr>
            </w:pPr>
          </w:p>
        </w:tc>
        <w:tc>
          <w:tcPr>
            <w:tcW w:w="644" w:type="pct"/>
            <w:tcBorders>
              <w:tl2br w:val="nil"/>
              <w:tr2bl w:val="nil"/>
            </w:tcBorders>
            <w:noWrap w:val="0"/>
            <w:vAlign w:val="center"/>
          </w:tcPr>
          <w:p w14:paraId="2F8A08BB">
            <w:pPr>
              <w:jc w:val="center"/>
              <w:rPr>
                <w:rStyle w:val="49"/>
                <w:rFonts w:hint="eastAsia" w:ascii="宋体" w:hAnsi="宋体" w:eastAsia="宋体" w:cs="宋体"/>
                <w:b w:val="0"/>
                <w:color w:val="auto"/>
                <w:sz w:val="21"/>
                <w:szCs w:val="24"/>
              </w:rPr>
            </w:pPr>
            <w:r>
              <w:rPr>
                <w:rStyle w:val="49"/>
                <w:rFonts w:hint="eastAsia" w:ascii="宋体" w:hAnsi="宋体" w:eastAsia="宋体" w:cs="宋体"/>
                <w:b w:val="0"/>
                <w:color w:val="auto"/>
                <w:sz w:val="21"/>
                <w:szCs w:val="24"/>
              </w:rPr>
              <w:t>整体设计方案</w:t>
            </w:r>
          </w:p>
          <w:p w14:paraId="5F5E225E">
            <w:pPr>
              <w:jc w:val="center"/>
              <w:rPr>
                <w:rStyle w:val="49"/>
                <w:rFonts w:hint="eastAsia" w:ascii="宋体" w:hAnsi="宋体" w:eastAsia="宋体" w:cs="宋体"/>
                <w:b w:val="0"/>
                <w:color w:val="auto"/>
                <w:sz w:val="21"/>
                <w:szCs w:val="24"/>
              </w:rPr>
            </w:pPr>
            <w:r>
              <w:rPr>
                <w:rStyle w:val="49"/>
                <w:rFonts w:hint="eastAsia" w:ascii="宋体" w:hAnsi="宋体" w:eastAsia="宋体" w:cs="宋体"/>
                <w:b w:val="0"/>
                <w:color w:val="auto"/>
                <w:sz w:val="21"/>
                <w:szCs w:val="24"/>
                <w:lang w:val="en-US" w:eastAsia="zh-CN"/>
              </w:rPr>
              <w:t>（30分）</w:t>
            </w:r>
          </w:p>
        </w:tc>
        <w:tc>
          <w:tcPr>
            <w:tcW w:w="3408" w:type="pct"/>
            <w:tcBorders>
              <w:tl2br w:val="nil"/>
              <w:tr2bl w:val="nil"/>
            </w:tcBorders>
            <w:noWrap w:val="0"/>
            <w:vAlign w:val="center"/>
          </w:tcPr>
          <w:p w14:paraId="0C7CF015">
            <w:pPr>
              <w:spacing w:line="360" w:lineRule="exact"/>
              <w:rPr>
                <w:rStyle w:val="49"/>
                <w:rFonts w:hint="eastAsia" w:ascii="宋体" w:hAnsi="宋体" w:eastAsia="宋体" w:cs="宋体"/>
                <w:b w:val="0"/>
                <w:color w:val="auto"/>
                <w:sz w:val="21"/>
                <w:szCs w:val="24"/>
              </w:rPr>
            </w:pPr>
            <w:r>
              <w:rPr>
                <w:rStyle w:val="49"/>
                <w:rFonts w:hint="eastAsia" w:ascii="宋体" w:hAnsi="宋体" w:eastAsia="宋体" w:cs="宋体"/>
                <w:b w:val="0"/>
                <w:color w:val="auto"/>
                <w:sz w:val="21"/>
                <w:szCs w:val="24"/>
              </w:rPr>
              <w:t>投标人提供针对本项目的设计方案，设计方案须符合项目使用要求。</w:t>
            </w:r>
            <w:r>
              <w:rPr>
                <w:rStyle w:val="49"/>
                <w:rFonts w:hint="eastAsia" w:ascii="宋体" w:hAnsi="宋体" w:eastAsia="宋体" w:cs="宋体"/>
                <w:b w:val="0"/>
                <w:color w:val="auto"/>
                <w:sz w:val="21"/>
                <w:szCs w:val="24"/>
                <w:lang w:val="en-US" w:eastAsia="zh-CN"/>
              </w:rPr>
              <w:t>内容包括但不限于：1，平面布置图；2，墙面布置示意图；3，主要产品功能说明等，</w:t>
            </w:r>
            <w:r>
              <w:rPr>
                <w:rStyle w:val="49"/>
                <w:rFonts w:hint="eastAsia" w:ascii="宋体" w:hAnsi="宋体" w:eastAsia="宋体" w:cs="宋体"/>
                <w:b w:val="0"/>
                <w:color w:val="auto"/>
                <w:sz w:val="21"/>
                <w:szCs w:val="24"/>
              </w:rPr>
              <w:t>设计方案详细、设计美观实用、说明详细、结构合理、尺寸标注清晰且符合采购需求的</w:t>
            </w:r>
            <w:r>
              <w:rPr>
                <w:rStyle w:val="49"/>
                <w:rFonts w:hint="eastAsia" w:ascii="宋体" w:hAnsi="宋体" w:eastAsia="宋体" w:cs="宋体"/>
                <w:b w:val="0"/>
                <w:color w:val="auto"/>
                <w:sz w:val="21"/>
                <w:szCs w:val="24"/>
                <w:lang w:val="en-US" w:eastAsia="zh-CN"/>
              </w:rPr>
              <w:t>每项</w:t>
            </w:r>
            <w:r>
              <w:rPr>
                <w:rStyle w:val="49"/>
                <w:rFonts w:hint="eastAsia" w:ascii="宋体" w:hAnsi="宋体" w:eastAsia="宋体" w:cs="宋体"/>
                <w:b w:val="0"/>
                <w:color w:val="auto"/>
                <w:sz w:val="21"/>
                <w:szCs w:val="24"/>
              </w:rPr>
              <w:t>计</w:t>
            </w:r>
            <w:r>
              <w:rPr>
                <w:rStyle w:val="49"/>
                <w:rFonts w:hint="eastAsia" w:ascii="宋体" w:hAnsi="宋体" w:eastAsia="宋体" w:cs="宋体"/>
                <w:b w:val="0"/>
                <w:color w:val="auto"/>
                <w:sz w:val="21"/>
                <w:szCs w:val="24"/>
                <w:lang w:val="en-US" w:eastAsia="zh-CN"/>
              </w:rPr>
              <w:t>10</w:t>
            </w:r>
            <w:r>
              <w:rPr>
                <w:rStyle w:val="49"/>
                <w:rFonts w:hint="eastAsia" w:ascii="宋体" w:hAnsi="宋体" w:eastAsia="宋体" w:cs="宋体"/>
                <w:b w:val="0"/>
                <w:color w:val="auto"/>
                <w:sz w:val="21"/>
                <w:szCs w:val="24"/>
              </w:rPr>
              <w:t>分；每项方案中每有一处内容欠合、欠完善或描述不详的，扣</w:t>
            </w:r>
            <w:r>
              <w:rPr>
                <w:rStyle w:val="49"/>
                <w:rFonts w:hint="eastAsia" w:ascii="宋体" w:hAnsi="宋体" w:eastAsia="宋体" w:cs="宋体"/>
                <w:b w:val="0"/>
                <w:color w:val="auto"/>
                <w:sz w:val="21"/>
                <w:szCs w:val="24"/>
                <w:lang w:val="en-US" w:eastAsia="zh-CN"/>
              </w:rPr>
              <w:t>2</w:t>
            </w:r>
            <w:r>
              <w:rPr>
                <w:rStyle w:val="49"/>
                <w:rFonts w:hint="eastAsia" w:ascii="宋体" w:hAnsi="宋体" w:eastAsia="宋体" w:cs="宋体"/>
                <w:b w:val="0"/>
                <w:color w:val="auto"/>
                <w:sz w:val="21"/>
                <w:szCs w:val="24"/>
              </w:rPr>
              <w:t>分，扣完为止。方案</w:t>
            </w:r>
            <w:r>
              <w:rPr>
                <w:rStyle w:val="49"/>
                <w:rFonts w:hint="eastAsia" w:ascii="宋体" w:hAnsi="宋体" w:eastAsia="宋体" w:cs="宋体"/>
                <w:b w:val="0"/>
                <w:color w:val="auto"/>
                <w:sz w:val="21"/>
                <w:szCs w:val="24"/>
                <w:lang w:val="en-US" w:eastAsia="zh-CN"/>
              </w:rPr>
              <w:t>每项</w:t>
            </w:r>
            <w:r>
              <w:rPr>
                <w:rStyle w:val="49"/>
                <w:rFonts w:hint="eastAsia" w:ascii="宋体" w:hAnsi="宋体" w:eastAsia="宋体" w:cs="宋体"/>
                <w:b w:val="0"/>
                <w:color w:val="auto"/>
                <w:sz w:val="21"/>
                <w:szCs w:val="24"/>
              </w:rPr>
              <w:t>内容</w:t>
            </w:r>
            <w:r>
              <w:rPr>
                <w:rStyle w:val="49"/>
                <w:rFonts w:hint="eastAsia" w:ascii="宋体" w:hAnsi="宋体" w:eastAsia="宋体" w:cs="宋体"/>
                <w:b w:val="0"/>
                <w:color w:val="auto"/>
                <w:sz w:val="21"/>
                <w:szCs w:val="24"/>
                <w:lang w:val="en-US" w:eastAsia="zh-CN"/>
              </w:rPr>
              <w:t>有缺漏项的，该项不计分；</w:t>
            </w:r>
            <w:r>
              <w:rPr>
                <w:rStyle w:val="49"/>
                <w:rFonts w:hint="eastAsia" w:ascii="宋体" w:hAnsi="宋体" w:eastAsia="宋体" w:cs="宋体"/>
                <w:b w:val="0"/>
                <w:color w:val="auto"/>
                <w:sz w:val="21"/>
                <w:szCs w:val="24"/>
              </w:rPr>
              <w:t>未提供</w:t>
            </w:r>
            <w:r>
              <w:rPr>
                <w:rStyle w:val="49"/>
                <w:rFonts w:hint="eastAsia" w:ascii="宋体" w:hAnsi="宋体" w:eastAsia="宋体" w:cs="宋体"/>
                <w:b w:val="0"/>
                <w:color w:val="auto"/>
                <w:sz w:val="21"/>
                <w:szCs w:val="24"/>
                <w:lang w:val="en-US" w:eastAsia="zh-CN"/>
              </w:rPr>
              <w:t>整体设计</w:t>
            </w:r>
            <w:r>
              <w:rPr>
                <w:rStyle w:val="49"/>
                <w:rFonts w:hint="eastAsia" w:ascii="宋体" w:hAnsi="宋体" w:eastAsia="宋体" w:cs="宋体"/>
                <w:b w:val="0"/>
                <w:color w:val="auto"/>
                <w:sz w:val="21"/>
                <w:szCs w:val="24"/>
              </w:rPr>
              <w:t>方案的不计分。</w:t>
            </w:r>
          </w:p>
          <w:p w14:paraId="5DCAFD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Style w:val="49"/>
                <w:rFonts w:hint="eastAsia" w:ascii="宋体" w:hAnsi="宋体" w:eastAsia="宋体" w:cs="宋体"/>
                <w:b w:val="0"/>
                <w:color w:val="auto"/>
                <w:sz w:val="21"/>
                <w:szCs w:val="24"/>
              </w:rPr>
            </w:pPr>
            <w:r>
              <w:rPr>
                <w:rStyle w:val="49"/>
                <w:rFonts w:hint="eastAsia" w:ascii="宋体" w:hAnsi="宋体" w:eastAsia="宋体" w:cs="宋体"/>
                <w:b w:val="0"/>
                <w:color w:val="auto"/>
                <w:sz w:val="21"/>
                <w:szCs w:val="24"/>
              </w:rPr>
              <w:t>说明：</w:t>
            </w:r>
          </w:p>
          <w:p w14:paraId="3CB9CD5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Style w:val="49"/>
                <w:rFonts w:hint="eastAsia" w:ascii="宋体" w:hAnsi="宋体" w:eastAsia="宋体" w:cs="宋体"/>
                <w:b w:val="0"/>
                <w:color w:val="auto"/>
                <w:sz w:val="21"/>
                <w:szCs w:val="24"/>
              </w:rPr>
            </w:pPr>
            <w:r>
              <w:rPr>
                <w:rStyle w:val="49"/>
                <w:rFonts w:hint="eastAsia" w:ascii="宋体" w:hAnsi="宋体" w:eastAsia="宋体" w:cs="宋体"/>
                <w:b w:val="0"/>
                <w:color w:val="auto"/>
                <w:sz w:val="21"/>
                <w:szCs w:val="24"/>
              </w:rPr>
              <w:t>内容有缺漏项是指</w:t>
            </w:r>
            <w:r>
              <w:rPr>
                <w:rStyle w:val="49"/>
                <w:rFonts w:hint="eastAsia" w:ascii="宋体" w:hAnsi="宋体" w:eastAsia="宋体" w:cs="宋体"/>
                <w:b w:val="0"/>
                <w:color w:val="auto"/>
                <w:sz w:val="21"/>
                <w:szCs w:val="24"/>
                <w:lang w:eastAsia="zh-CN"/>
              </w:rPr>
              <w:t>，</w:t>
            </w:r>
            <w:r>
              <w:rPr>
                <w:rStyle w:val="49"/>
                <w:rFonts w:hint="eastAsia" w:ascii="宋体" w:hAnsi="宋体" w:eastAsia="宋体" w:cs="宋体"/>
                <w:b w:val="0"/>
                <w:color w:val="auto"/>
                <w:sz w:val="21"/>
                <w:szCs w:val="24"/>
              </w:rPr>
              <w:t>未在方案中体现或仅按需求或评分办法填写标题或直接复制采购需求未做修改的；</w:t>
            </w:r>
          </w:p>
          <w:p w14:paraId="0038AE05">
            <w:pPr>
              <w:spacing w:line="360" w:lineRule="exact"/>
              <w:rPr>
                <w:rStyle w:val="49"/>
                <w:rFonts w:hint="eastAsia" w:ascii="宋体" w:hAnsi="宋体" w:eastAsia="宋体" w:cs="宋体"/>
                <w:b w:val="0"/>
                <w:color w:val="auto"/>
                <w:sz w:val="21"/>
                <w:szCs w:val="24"/>
                <w:lang w:val="en-US" w:eastAsia="zh-CN"/>
              </w:rPr>
            </w:pPr>
            <w:r>
              <w:rPr>
                <w:rStyle w:val="49"/>
                <w:rFonts w:hint="eastAsia" w:ascii="宋体" w:hAnsi="宋体" w:eastAsia="宋体" w:cs="宋体"/>
                <w:b w:val="0"/>
                <w:color w:val="auto"/>
                <w:sz w:val="21"/>
                <w:szCs w:val="24"/>
              </w:rPr>
              <w:t>内容欠合理、欠完善或描述不详的包含不限于：1、方案内容与项目需求不一致或没有关联性；2、涉及的技术规范标准等与国家或行业标准或招标文件要求不一致；3、内容空洞、语义表述不清，前后矛盾，存在歧义、混乱，内容不充实）备注：本项目采购人不组织现场踏勘，投标人如需踏勘请自行前往，安全及费用自负；</w:t>
            </w:r>
            <w:r>
              <w:rPr>
                <w:rStyle w:val="49"/>
                <w:rFonts w:hint="eastAsia" w:ascii="宋体" w:hAnsi="宋体" w:eastAsia="宋体" w:cs="宋体"/>
                <w:b w:val="0"/>
                <w:color w:val="auto"/>
                <w:sz w:val="21"/>
                <w:szCs w:val="24"/>
                <w:lang w:val="en-US" w:eastAsia="zh-CN"/>
              </w:rPr>
              <w:t>方案涉及图纸</w:t>
            </w:r>
            <w:r>
              <w:rPr>
                <w:rStyle w:val="49"/>
                <w:rFonts w:hint="eastAsia" w:ascii="宋体" w:hAnsi="宋体" w:eastAsia="宋体" w:cs="宋体"/>
                <w:b w:val="0"/>
                <w:color w:val="auto"/>
                <w:sz w:val="21"/>
                <w:szCs w:val="24"/>
              </w:rPr>
              <w:t>须与采购需求清单规格相应匹配，不得用与本项目空间无关的</w:t>
            </w:r>
            <w:r>
              <w:rPr>
                <w:rStyle w:val="49"/>
                <w:rFonts w:hint="eastAsia" w:ascii="宋体" w:hAnsi="宋体" w:eastAsia="宋体" w:cs="宋体"/>
                <w:b w:val="0"/>
                <w:color w:val="auto"/>
                <w:sz w:val="21"/>
                <w:szCs w:val="24"/>
                <w:lang w:val="en-US" w:eastAsia="zh-CN"/>
              </w:rPr>
              <w:t>图纸</w:t>
            </w:r>
            <w:r>
              <w:rPr>
                <w:rStyle w:val="49"/>
                <w:rFonts w:hint="eastAsia" w:ascii="宋体" w:hAnsi="宋体" w:eastAsia="宋体" w:cs="宋体"/>
                <w:b w:val="0"/>
                <w:color w:val="auto"/>
                <w:sz w:val="21"/>
                <w:szCs w:val="24"/>
              </w:rPr>
              <w:t>或类似空间</w:t>
            </w:r>
            <w:r>
              <w:rPr>
                <w:rStyle w:val="49"/>
                <w:rFonts w:hint="eastAsia" w:ascii="宋体" w:hAnsi="宋体" w:eastAsia="宋体" w:cs="宋体"/>
                <w:b w:val="0"/>
                <w:color w:val="auto"/>
                <w:sz w:val="21"/>
                <w:szCs w:val="24"/>
                <w:lang w:val="en-US" w:eastAsia="zh-CN"/>
              </w:rPr>
              <w:t>图纸</w:t>
            </w:r>
            <w:r>
              <w:rPr>
                <w:rStyle w:val="49"/>
                <w:rFonts w:hint="eastAsia" w:ascii="宋体" w:hAnsi="宋体" w:eastAsia="宋体" w:cs="宋体"/>
                <w:b w:val="0"/>
                <w:color w:val="auto"/>
                <w:sz w:val="21"/>
                <w:szCs w:val="24"/>
              </w:rPr>
              <w:t>做替代，否则该项不计分。</w:t>
            </w:r>
          </w:p>
        </w:tc>
      </w:tr>
      <w:tr w14:paraId="251C0BC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618" w:hRule="atLeast"/>
          <w:jc w:val="center"/>
        </w:trPr>
        <w:tc>
          <w:tcPr>
            <w:tcW w:w="271" w:type="pct"/>
            <w:vMerge w:val="continue"/>
            <w:tcBorders>
              <w:tl2br w:val="nil"/>
              <w:tr2bl w:val="nil"/>
            </w:tcBorders>
            <w:noWrap w:val="0"/>
            <w:vAlign w:val="center"/>
          </w:tcPr>
          <w:p w14:paraId="369A95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640"/>
              <w:jc w:val="center"/>
              <w:textAlignment w:val="auto"/>
              <w:rPr>
                <w:rFonts w:hint="eastAsia" w:ascii="宋体" w:hAnsi="宋体" w:eastAsia="宋体" w:cs="宋体"/>
                <w:i w:val="0"/>
                <w:iCs w:val="0"/>
                <w:caps w:val="0"/>
                <w:color w:val="auto"/>
                <w:spacing w:val="0"/>
                <w:kern w:val="0"/>
                <w:sz w:val="21"/>
                <w:szCs w:val="21"/>
                <w:lang w:val="en-US" w:eastAsia="zh-CN" w:bidi="ar"/>
              </w:rPr>
            </w:pPr>
          </w:p>
        </w:tc>
        <w:tc>
          <w:tcPr>
            <w:tcW w:w="675" w:type="pct"/>
            <w:vMerge w:val="continue"/>
            <w:tcBorders>
              <w:tl2br w:val="nil"/>
              <w:tr2bl w:val="nil"/>
            </w:tcBorders>
            <w:noWrap w:val="0"/>
            <w:vAlign w:val="center"/>
          </w:tcPr>
          <w:p w14:paraId="1200D6A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640"/>
              <w:jc w:val="center"/>
              <w:textAlignment w:val="auto"/>
              <w:rPr>
                <w:rFonts w:hint="eastAsia" w:ascii="宋体" w:hAnsi="宋体" w:eastAsia="宋体" w:cs="宋体"/>
                <w:i w:val="0"/>
                <w:iCs w:val="0"/>
                <w:caps w:val="0"/>
                <w:color w:val="auto"/>
                <w:spacing w:val="0"/>
                <w:kern w:val="0"/>
                <w:sz w:val="21"/>
                <w:szCs w:val="21"/>
                <w:lang w:val="en-US" w:eastAsia="zh-CN" w:bidi="ar"/>
              </w:rPr>
            </w:pPr>
          </w:p>
        </w:tc>
        <w:tc>
          <w:tcPr>
            <w:tcW w:w="644" w:type="pct"/>
            <w:tcBorders>
              <w:tl2br w:val="nil"/>
              <w:tr2bl w:val="nil"/>
            </w:tcBorders>
            <w:noWrap w:val="0"/>
            <w:vAlign w:val="center"/>
          </w:tcPr>
          <w:p w14:paraId="28B5601F">
            <w:pPr>
              <w:jc w:val="center"/>
              <w:rPr>
                <w:rFonts w:hint="eastAsia" w:ascii="宋体" w:hAnsi="宋体" w:eastAsia="宋体" w:cs="宋体"/>
                <w:color w:val="auto"/>
                <w:szCs w:val="21"/>
              </w:rPr>
            </w:pPr>
            <w:r>
              <w:rPr>
                <w:rFonts w:hint="eastAsia" w:ascii="宋体" w:hAnsi="宋体" w:eastAsia="宋体" w:cs="宋体"/>
                <w:color w:val="auto"/>
                <w:szCs w:val="21"/>
              </w:rPr>
              <w:t>整体实施方案</w:t>
            </w:r>
          </w:p>
          <w:p w14:paraId="1B1CFD70">
            <w:pPr>
              <w:jc w:val="center"/>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color w:val="auto"/>
                <w:szCs w:val="21"/>
              </w:rPr>
              <w:t>（</w:t>
            </w:r>
            <w:r>
              <w:rPr>
                <w:rFonts w:hint="eastAsia" w:ascii="宋体" w:hAnsi="宋体" w:eastAsia="宋体" w:cs="宋体"/>
                <w:color w:val="auto"/>
                <w:szCs w:val="21"/>
                <w:lang w:val="en-US" w:eastAsia="zh-CN"/>
              </w:rPr>
              <w:t>2</w:t>
            </w:r>
            <w:r>
              <w:rPr>
                <w:rFonts w:hint="eastAsia" w:ascii="宋体" w:hAnsi="宋体" w:eastAsia="宋体" w:cs="宋体"/>
                <w:color w:val="auto"/>
                <w:szCs w:val="21"/>
              </w:rPr>
              <w:t>0分）</w:t>
            </w:r>
          </w:p>
        </w:tc>
        <w:tc>
          <w:tcPr>
            <w:tcW w:w="3408" w:type="pct"/>
            <w:tcBorders>
              <w:tl2br w:val="nil"/>
              <w:tr2bl w:val="nil"/>
            </w:tcBorders>
            <w:noWrap w:val="0"/>
            <w:vAlign w:val="center"/>
          </w:tcPr>
          <w:p w14:paraId="2FFF1CBC">
            <w:pPr>
              <w:pStyle w:val="475"/>
              <w:jc w:val="left"/>
              <w:rPr>
                <w:rStyle w:val="49"/>
                <w:rFonts w:hint="eastAsia" w:ascii="宋体" w:hAnsi="宋体" w:eastAsia="宋体" w:cs="宋体"/>
                <w:b w:val="0"/>
                <w:color w:val="auto"/>
                <w:sz w:val="21"/>
                <w:szCs w:val="24"/>
              </w:rPr>
            </w:pPr>
            <w:r>
              <w:rPr>
                <w:rStyle w:val="49"/>
                <w:rFonts w:hint="eastAsia" w:ascii="宋体" w:hAnsi="宋体" w:eastAsia="宋体" w:cs="宋体"/>
                <w:b w:val="0"/>
                <w:color w:val="auto"/>
                <w:sz w:val="21"/>
                <w:szCs w:val="24"/>
              </w:rPr>
              <w:t>投标人按项目实施的需求及实际情况，制定详细的项目实施方案，包括但不限于以下内容：①项目进度及保障措施；②设备进场及安装调试技术措施；③人员配备及安排计划（须列明拟投入本项目的管理及作业团队人员）；④安全文明施工措施；⑤设备整体投入使用后的移交措施及人员培训方案。</w:t>
            </w:r>
          </w:p>
          <w:p w14:paraId="4165A0D3">
            <w:pPr>
              <w:numPr>
                <w:ilvl w:val="0"/>
                <w:numId w:val="0"/>
              </w:numPr>
              <w:spacing w:line="360" w:lineRule="exact"/>
              <w:rPr>
                <w:rStyle w:val="49"/>
                <w:rFonts w:hint="eastAsia" w:ascii="宋体" w:hAnsi="宋体" w:eastAsia="宋体" w:cs="宋体"/>
                <w:b w:val="0"/>
                <w:color w:val="auto"/>
                <w:sz w:val="21"/>
                <w:szCs w:val="24"/>
              </w:rPr>
            </w:pPr>
            <w:r>
              <w:rPr>
                <w:rStyle w:val="49"/>
                <w:rFonts w:hint="eastAsia" w:ascii="宋体" w:hAnsi="宋体" w:eastAsia="宋体" w:cs="宋体"/>
                <w:b w:val="0"/>
                <w:color w:val="auto"/>
                <w:sz w:val="21"/>
                <w:szCs w:val="24"/>
                <w:lang w:val="en-US" w:eastAsia="zh-CN"/>
              </w:rPr>
              <w:t>以上每项，</w:t>
            </w:r>
            <w:r>
              <w:rPr>
                <w:rStyle w:val="49"/>
                <w:rFonts w:hint="eastAsia" w:ascii="宋体" w:hAnsi="宋体" w:eastAsia="宋体" w:cs="宋体"/>
                <w:b w:val="0"/>
                <w:color w:val="auto"/>
                <w:sz w:val="21"/>
                <w:szCs w:val="24"/>
              </w:rPr>
              <w:t>方案内容完善、科学合理，符合要求，可操作性强的计</w:t>
            </w:r>
            <w:r>
              <w:rPr>
                <w:rStyle w:val="49"/>
                <w:rFonts w:hint="eastAsia" w:ascii="宋体" w:hAnsi="宋体" w:eastAsia="宋体" w:cs="宋体"/>
                <w:b w:val="0"/>
                <w:color w:val="auto"/>
                <w:sz w:val="21"/>
                <w:szCs w:val="24"/>
                <w:lang w:val="en-US" w:eastAsia="zh-CN"/>
              </w:rPr>
              <w:t>4</w:t>
            </w:r>
            <w:r>
              <w:rPr>
                <w:rStyle w:val="49"/>
                <w:rFonts w:hint="eastAsia" w:ascii="宋体" w:hAnsi="宋体" w:eastAsia="宋体" w:cs="宋体"/>
                <w:b w:val="0"/>
                <w:color w:val="auto"/>
                <w:sz w:val="21"/>
                <w:szCs w:val="24"/>
              </w:rPr>
              <w:t>分；方案</w:t>
            </w:r>
            <w:r>
              <w:rPr>
                <w:rStyle w:val="49"/>
                <w:rFonts w:hint="eastAsia" w:ascii="宋体" w:hAnsi="宋体" w:eastAsia="宋体" w:cs="宋体"/>
                <w:b w:val="0"/>
                <w:color w:val="auto"/>
                <w:sz w:val="21"/>
                <w:szCs w:val="24"/>
                <w:lang w:val="en-US" w:eastAsia="zh-CN"/>
              </w:rPr>
              <w:t>每项</w:t>
            </w:r>
            <w:r>
              <w:rPr>
                <w:rStyle w:val="49"/>
                <w:rFonts w:hint="eastAsia" w:ascii="宋体" w:hAnsi="宋体" w:eastAsia="宋体" w:cs="宋体"/>
                <w:b w:val="0"/>
                <w:color w:val="auto"/>
                <w:sz w:val="21"/>
                <w:szCs w:val="24"/>
              </w:rPr>
              <w:t>内容欠完整、欠合理</w:t>
            </w:r>
            <w:r>
              <w:rPr>
                <w:rStyle w:val="49"/>
                <w:rFonts w:hint="eastAsia" w:ascii="宋体" w:hAnsi="宋体" w:eastAsia="宋体" w:cs="宋体"/>
                <w:b w:val="0"/>
                <w:color w:val="auto"/>
                <w:sz w:val="21"/>
                <w:szCs w:val="24"/>
                <w:lang w:eastAsia="zh-CN"/>
              </w:rPr>
              <w:t>、</w:t>
            </w:r>
            <w:r>
              <w:rPr>
                <w:rStyle w:val="49"/>
                <w:rFonts w:hint="eastAsia" w:ascii="宋体" w:hAnsi="宋体" w:eastAsia="宋体" w:cs="宋体"/>
                <w:b w:val="0"/>
                <w:color w:val="auto"/>
                <w:sz w:val="21"/>
                <w:szCs w:val="24"/>
                <w:lang w:val="en-US" w:eastAsia="zh-CN"/>
              </w:rPr>
              <w:t>描述不详</w:t>
            </w:r>
            <w:r>
              <w:rPr>
                <w:rStyle w:val="49"/>
                <w:rFonts w:hint="eastAsia" w:ascii="宋体" w:hAnsi="宋体" w:eastAsia="宋体" w:cs="宋体"/>
                <w:b w:val="0"/>
                <w:color w:val="auto"/>
                <w:sz w:val="21"/>
                <w:szCs w:val="24"/>
              </w:rPr>
              <w:t>或不符合实际情况的每处扣</w:t>
            </w:r>
            <w:r>
              <w:rPr>
                <w:rStyle w:val="49"/>
                <w:rFonts w:hint="eastAsia" w:ascii="宋体" w:hAnsi="宋体" w:eastAsia="宋体" w:cs="宋体"/>
                <w:b w:val="0"/>
                <w:color w:val="auto"/>
                <w:sz w:val="21"/>
                <w:szCs w:val="24"/>
                <w:lang w:val="en-US" w:eastAsia="zh-CN"/>
              </w:rPr>
              <w:t>1</w:t>
            </w:r>
            <w:r>
              <w:rPr>
                <w:rStyle w:val="49"/>
                <w:rFonts w:hint="eastAsia" w:ascii="宋体" w:hAnsi="宋体" w:eastAsia="宋体" w:cs="宋体"/>
                <w:b w:val="0"/>
                <w:color w:val="auto"/>
                <w:sz w:val="21"/>
                <w:szCs w:val="24"/>
              </w:rPr>
              <w:t>分，扣完为止</w:t>
            </w:r>
            <w:r>
              <w:rPr>
                <w:rStyle w:val="49"/>
                <w:rFonts w:hint="eastAsia" w:ascii="宋体" w:hAnsi="宋体" w:eastAsia="宋体" w:cs="宋体"/>
                <w:b w:val="0"/>
                <w:color w:val="auto"/>
                <w:sz w:val="21"/>
                <w:szCs w:val="24"/>
                <w:lang w:eastAsia="zh-CN"/>
              </w:rPr>
              <w:t>；</w:t>
            </w:r>
            <w:r>
              <w:rPr>
                <w:rStyle w:val="49"/>
                <w:rFonts w:hint="eastAsia" w:ascii="宋体" w:hAnsi="宋体" w:eastAsia="宋体" w:cs="宋体"/>
                <w:b w:val="0"/>
                <w:color w:val="auto"/>
                <w:sz w:val="21"/>
                <w:szCs w:val="24"/>
                <w:lang w:val="en-US" w:eastAsia="zh-CN"/>
              </w:rPr>
              <w:t>有缺漏项的，该项不计分；</w:t>
            </w:r>
            <w:r>
              <w:rPr>
                <w:rStyle w:val="49"/>
                <w:rFonts w:hint="eastAsia" w:ascii="宋体" w:hAnsi="宋体" w:eastAsia="宋体" w:cs="宋体"/>
                <w:b w:val="0"/>
                <w:color w:val="auto"/>
                <w:sz w:val="21"/>
                <w:szCs w:val="24"/>
              </w:rPr>
              <w:t>未提供</w:t>
            </w:r>
            <w:r>
              <w:rPr>
                <w:rStyle w:val="49"/>
                <w:rFonts w:hint="eastAsia" w:ascii="宋体" w:hAnsi="宋体" w:eastAsia="宋体" w:cs="宋体"/>
                <w:b w:val="0"/>
                <w:color w:val="auto"/>
                <w:sz w:val="21"/>
                <w:szCs w:val="24"/>
                <w:lang w:val="en-US" w:eastAsia="zh-CN"/>
              </w:rPr>
              <w:t>实施</w:t>
            </w:r>
            <w:r>
              <w:rPr>
                <w:rStyle w:val="49"/>
                <w:rFonts w:hint="eastAsia" w:ascii="宋体" w:hAnsi="宋体" w:eastAsia="宋体" w:cs="宋体"/>
                <w:b w:val="0"/>
                <w:color w:val="auto"/>
                <w:sz w:val="21"/>
                <w:szCs w:val="24"/>
              </w:rPr>
              <w:t>方案的不计分。</w:t>
            </w:r>
          </w:p>
          <w:p w14:paraId="1B40656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Style w:val="49"/>
                <w:rFonts w:hint="eastAsia" w:ascii="宋体" w:hAnsi="宋体" w:eastAsia="宋体" w:cs="宋体"/>
                <w:b w:val="0"/>
                <w:color w:val="auto"/>
                <w:sz w:val="21"/>
                <w:szCs w:val="24"/>
              </w:rPr>
            </w:pPr>
            <w:r>
              <w:rPr>
                <w:rStyle w:val="49"/>
                <w:rFonts w:hint="eastAsia" w:ascii="宋体" w:hAnsi="宋体" w:eastAsia="宋体" w:cs="宋体"/>
                <w:b w:val="0"/>
                <w:color w:val="auto"/>
                <w:sz w:val="21"/>
                <w:szCs w:val="24"/>
              </w:rPr>
              <w:t>说明：</w:t>
            </w:r>
          </w:p>
          <w:p w14:paraId="22D5A9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left"/>
              <w:textAlignment w:val="auto"/>
              <w:rPr>
                <w:rStyle w:val="49"/>
                <w:rFonts w:hint="eastAsia" w:ascii="宋体" w:hAnsi="宋体" w:eastAsia="宋体" w:cs="宋体"/>
                <w:b w:val="0"/>
                <w:color w:val="auto"/>
                <w:sz w:val="21"/>
                <w:szCs w:val="24"/>
              </w:rPr>
            </w:pPr>
            <w:r>
              <w:rPr>
                <w:rStyle w:val="49"/>
                <w:rFonts w:hint="eastAsia" w:ascii="宋体" w:hAnsi="宋体" w:eastAsia="宋体" w:cs="宋体"/>
                <w:b w:val="0"/>
                <w:color w:val="auto"/>
                <w:sz w:val="21"/>
                <w:szCs w:val="24"/>
              </w:rPr>
              <w:t>内容有缺漏项是指</w:t>
            </w:r>
            <w:r>
              <w:rPr>
                <w:rStyle w:val="49"/>
                <w:rFonts w:hint="eastAsia" w:ascii="宋体" w:hAnsi="宋体" w:eastAsia="宋体" w:cs="宋体"/>
                <w:b w:val="0"/>
                <w:color w:val="auto"/>
                <w:sz w:val="21"/>
                <w:szCs w:val="24"/>
                <w:lang w:eastAsia="zh-CN"/>
              </w:rPr>
              <w:t>，</w:t>
            </w:r>
            <w:r>
              <w:rPr>
                <w:rStyle w:val="49"/>
                <w:rFonts w:hint="eastAsia" w:ascii="宋体" w:hAnsi="宋体" w:eastAsia="宋体" w:cs="宋体"/>
                <w:b w:val="0"/>
                <w:color w:val="auto"/>
                <w:sz w:val="21"/>
                <w:szCs w:val="24"/>
              </w:rPr>
              <w:t>未在方案中体现或仅按需求或评分办法填写标题或直接复制采购需求未做修改的；</w:t>
            </w:r>
          </w:p>
          <w:p w14:paraId="62ACE023">
            <w:pPr>
              <w:numPr>
                <w:ilvl w:val="0"/>
                <w:numId w:val="0"/>
              </w:numPr>
              <w:spacing w:line="360" w:lineRule="exact"/>
              <w:rPr>
                <w:rStyle w:val="49"/>
                <w:rFonts w:hint="eastAsia" w:ascii="宋体" w:hAnsi="宋体" w:eastAsia="宋体" w:cs="宋体"/>
                <w:b w:val="0"/>
                <w:color w:val="auto"/>
                <w:sz w:val="21"/>
                <w:szCs w:val="24"/>
              </w:rPr>
            </w:pPr>
            <w:r>
              <w:rPr>
                <w:rStyle w:val="49"/>
                <w:rFonts w:hint="eastAsia" w:ascii="宋体" w:hAnsi="宋体" w:eastAsia="宋体" w:cs="宋体"/>
                <w:b w:val="0"/>
                <w:color w:val="auto"/>
                <w:sz w:val="21"/>
                <w:szCs w:val="24"/>
              </w:rPr>
              <w:t>内容欠合理、欠完善或描述不详的包含不限于：1、方案内容与项目需求不一致或没有关联性；2、涉及的技术规范标准等与国家或行业标准或招标文件要求不一致；3、内容空洞、语义表述不清，前后矛盾，存在歧义、混乱，内容不充实）</w:t>
            </w:r>
            <w:r>
              <w:rPr>
                <w:rStyle w:val="49"/>
                <w:rFonts w:hint="eastAsia" w:ascii="宋体" w:hAnsi="宋体" w:eastAsia="宋体" w:cs="宋体"/>
                <w:b w:val="0"/>
                <w:color w:val="auto"/>
                <w:sz w:val="21"/>
                <w:szCs w:val="24"/>
                <w:lang w:eastAsia="zh-CN"/>
              </w:rPr>
              <w:t>；</w:t>
            </w:r>
            <w:r>
              <w:rPr>
                <w:rStyle w:val="49"/>
                <w:rFonts w:hint="eastAsia" w:ascii="宋体" w:hAnsi="宋体" w:eastAsia="宋体" w:cs="宋体"/>
                <w:b w:val="0"/>
                <w:color w:val="auto"/>
                <w:sz w:val="21"/>
                <w:szCs w:val="24"/>
                <w:lang w:val="en-US" w:eastAsia="zh-CN"/>
              </w:rPr>
              <w:t>4、</w:t>
            </w:r>
            <w:r>
              <w:rPr>
                <w:rStyle w:val="49"/>
                <w:rFonts w:hint="eastAsia" w:ascii="宋体" w:hAnsi="宋体" w:eastAsia="宋体" w:cs="宋体"/>
                <w:b w:val="0"/>
                <w:color w:val="auto"/>
                <w:sz w:val="21"/>
                <w:szCs w:val="24"/>
              </w:rPr>
              <w:t>“不符合实际情况”指内容不符合项目实际情况及采购需求，与项目要求不一致，套用其他项目方案，不适用项目特性。</w:t>
            </w:r>
          </w:p>
          <w:p w14:paraId="1E8A1B79">
            <w:pPr>
              <w:numPr>
                <w:ilvl w:val="0"/>
                <w:numId w:val="0"/>
              </w:numPr>
              <w:spacing w:line="360" w:lineRule="exact"/>
              <w:rPr>
                <w:rStyle w:val="49"/>
                <w:rFonts w:hint="eastAsia" w:ascii="宋体" w:hAnsi="宋体" w:eastAsia="宋体" w:cs="宋体"/>
                <w:b w:val="0"/>
                <w:color w:val="auto"/>
                <w:sz w:val="21"/>
                <w:szCs w:val="24"/>
                <w:lang w:val="en-US" w:eastAsia="zh-CN"/>
              </w:rPr>
            </w:pPr>
            <w:r>
              <w:rPr>
                <w:rStyle w:val="49"/>
                <w:rFonts w:hint="eastAsia" w:ascii="宋体" w:hAnsi="宋体" w:eastAsia="宋体" w:cs="宋体"/>
                <w:b w:val="0"/>
                <w:color w:val="auto"/>
                <w:sz w:val="21"/>
                <w:szCs w:val="24"/>
              </w:rPr>
              <w:t>备注：本项目采购人不组织现场踏勘，投标人如需踏勘请自行前往，安全及费用自负。</w:t>
            </w:r>
          </w:p>
        </w:tc>
      </w:tr>
      <w:tr w14:paraId="36FCAAC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570" w:hRule="atLeast"/>
          <w:jc w:val="center"/>
        </w:trPr>
        <w:tc>
          <w:tcPr>
            <w:tcW w:w="271" w:type="pct"/>
            <w:vMerge w:val="continue"/>
            <w:tcBorders>
              <w:tl2br w:val="nil"/>
              <w:tr2bl w:val="nil"/>
            </w:tcBorders>
            <w:noWrap w:val="0"/>
            <w:vAlign w:val="center"/>
          </w:tcPr>
          <w:p w14:paraId="126D80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640"/>
              <w:jc w:val="center"/>
              <w:textAlignment w:val="auto"/>
              <w:rPr>
                <w:rFonts w:hint="eastAsia" w:ascii="宋体" w:hAnsi="宋体" w:eastAsia="宋体" w:cs="宋体"/>
                <w:i w:val="0"/>
                <w:iCs w:val="0"/>
                <w:caps w:val="0"/>
                <w:color w:val="auto"/>
                <w:spacing w:val="0"/>
                <w:kern w:val="0"/>
                <w:sz w:val="21"/>
                <w:szCs w:val="21"/>
                <w:lang w:val="en-US" w:eastAsia="zh-CN" w:bidi="ar"/>
              </w:rPr>
            </w:pPr>
          </w:p>
        </w:tc>
        <w:tc>
          <w:tcPr>
            <w:tcW w:w="675" w:type="pct"/>
            <w:tcBorders>
              <w:tl2br w:val="nil"/>
              <w:tr2bl w:val="nil"/>
            </w:tcBorders>
            <w:noWrap w:val="0"/>
            <w:vAlign w:val="center"/>
          </w:tcPr>
          <w:p w14:paraId="5E5B61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center"/>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优先采购加分（F优先采购加分）</w:t>
            </w:r>
          </w:p>
        </w:tc>
        <w:tc>
          <w:tcPr>
            <w:tcW w:w="4053" w:type="pct"/>
            <w:gridSpan w:val="2"/>
            <w:tcBorders>
              <w:tl2br w:val="nil"/>
              <w:tr2bl w:val="nil"/>
            </w:tcBorders>
            <w:noWrap w:val="0"/>
            <w:vAlign w:val="center"/>
          </w:tcPr>
          <w:p w14:paraId="0743DC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firstLine="420" w:firstLineChars="200"/>
              <w:jc w:val="left"/>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color w:val="auto"/>
                <w:szCs w:val="21"/>
              </w:rPr>
              <w:t>见第二章投标须知和评标方法及标准</w:t>
            </w:r>
          </w:p>
        </w:tc>
      </w:tr>
      <w:tr w14:paraId="23675D7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410" w:hRule="atLeast"/>
          <w:jc w:val="center"/>
        </w:trPr>
        <w:tc>
          <w:tcPr>
            <w:tcW w:w="271" w:type="pct"/>
            <w:tcBorders>
              <w:tl2br w:val="nil"/>
              <w:tr2bl w:val="nil"/>
            </w:tcBorders>
            <w:noWrap w:val="0"/>
            <w:vAlign w:val="center"/>
          </w:tcPr>
          <w:p w14:paraId="3AE0DB50">
            <w:pPr>
              <w:adjustRightInd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w:t>
            </w:r>
          </w:p>
        </w:tc>
        <w:tc>
          <w:tcPr>
            <w:tcW w:w="4728" w:type="pct"/>
            <w:gridSpan w:val="3"/>
            <w:tcBorders>
              <w:tl2br w:val="nil"/>
              <w:tr2bl w:val="nil"/>
            </w:tcBorders>
            <w:noWrap w:val="0"/>
            <w:vAlign w:val="center"/>
          </w:tcPr>
          <w:p w14:paraId="718E3598">
            <w:pPr>
              <w:adjustRightInd w:val="0"/>
              <w:snapToGrid w:val="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F</w:t>
            </w:r>
            <w:r>
              <w:rPr>
                <w:rFonts w:hint="eastAsia" w:ascii="宋体" w:hAnsi="宋体" w:eastAsia="宋体" w:cs="宋体"/>
                <w:color w:val="auto"/>
                <w:szCs w:val="21"/>
                <w:highlight w:val="none"/>
                <w:vertAlign w:val="subscript"/>
              </w:rPr>
              <w:t>2</w:t>
            </w:r>
            <w:r>
              <w:rPr>
                <w:rFonts w:hint="eastAsia" w:ascii="宋体" w:hAnsi="宋体" w:eastAsia="宋体" w:cs="宋体"/>
                <w:color w:val="auto"/>
                <w:szCs w:val="21"/>
                <w:highlight w:val="none"/>
              </w:rPr>
              <w:t>=F+F</w:t>
            </w:r>
            <w:r>
              <w:rPr>
                <w:rFonts w:hint="eastAsia" w:ascii="宋体" w:hAnsi="宋体" w:eastAsia="宋体" w:cs="宋体"/>
                <w:color w:val="auto"/>
                <w:szCs w:val="21"/>
                <w:highlight w:val="none"/>
                <w:vertAlign w:val="subscript"/>
              </w:rPr>
              <w:t>优先采购加分</w:t>
            </w:r>
          </w:p>
        </w:tc>
      </w:tr>
    </w:tbl>
    <w:p w14:paraId="6404F223">
      <w:pPr>
        <w:adjustRightInd w:val="0"/>
        <w:snapToGrid w:val="0"/>
        <w:spacing w:before="156" w:beforeLines="50" w:line="360" w:lineRule="auto"/>
        <w:jc w:val="center"/>
        <w:rPr>
          <w:rFonts w:hint="eastAsia" w:ascii="宋体" w:hAnsi="宋体" w:eastAsia="宋体" w:cs="宋体"/>
          <w:b/>
          <w:bCs/>
          <w:color w:val="auto"/>
        </w:rPr>
      </w:pPr>
    </w:p>
    <w:p w14:paraId="225FAF76">
      <w:pPr>
        <w:adjustRightInd w:val="0"/>
        <w:snapToGrid w:val="0"/>
        <w:spacing w:before="156" w:beforeLines="50" w:line="360" w:lineRule="auto"/>
        <w:jc w:val="center"/>
        <w:rPr>
          <w:rFonts w:hint="eastAsia" w:ascii="宋体" w:hAnsi="宋体" w:eastAsia="宋体" w:cs="宋体"/>
          <w:b/>
          <w:bCs/>
          <w:color w:val="auto"/>
        </w:rPr>
      </w:pPr>
    </w:p>
    <w:p w14:paraId="47ECC4A8">
      <w:pPr>
        <w:pStyle w:val="46"/>
        <w:rPr>
          <w:rFonts w:hint="eastAsia" w:ascii="宋体" w:hAnsi="宋体" w:eastAsia="宋体" w:cs="宋体"/>
          <w:color w:val="auto"/>
        </w:rPr>
      </w:pPr>
    </w:p>
    <w:p w14:paraId="27A2D699">
      <w:pPr>
        <w:adjustRightInd w:val="0"/>
        <w:snapToGrid w:val="0"/>
        <w:spacing w:before="156" w:beforeLines="50" w:line="360" w:lineRule="auto"/>
        <w:jc w:val="center"/>
        <w:rPr>
          <w:rFonts w:hint="eastAsia" w:ascii="宋体" w:hAnsi="宋体" w:eastAsia="宋体" w:cs="宋体"/>
          <w:b/>
          <w:bCs/>
          <w:color w:val="auto"/>
        </w:rPr>
      </w:pPr>
    </w:p>
    <w:p w14:paraId="706AEEAA">
      <w:pPr>
        <w:adjustRightInd w:val="0"/>
        <w:snapToGrid w:val="0"/>
        <w:spacing w:before="156" w:beforeLines="50" w:line="360" w:lineRule="auto"/>
        <w:jc w:val="center"/>
        <w:rPr>
          <w:rFonts w:hint="eastAsia" w:ascii="宋体" w:hAnsi="宋体" w:eastAsia="宋体" w:cs="宋体"/>
          <w:b/>
          <w:bCs/>
          <w:color w:val="auto"/>
        </w:rPr>
      </w:pPr>
    </w:p>
    <w:p w14:paraId="2E25C920">
      <w:pPr>
        <w:adjustRightInd w:val="0"/>
        <w:snapToGrid w:val="0"/>
        <w:spacing w:before="156" w:beforeLines="50" w:line="360" w:lineRule="auto"/>
        <w:jc w:val="center"/>
        <w:rPr>
          <w:rFonts w:hint="eastAsia" w:ascii="宋体" w:hAnsi="宋体" w:eastAsia="宋体" w:cs="宋体"/>
          <w:b/>
          <w:bCs/>
          <w:color w:val="auto"/>
        </w:rPr>
      </w:pPr>
    </w:p>
    <w:p w14:paraId="0A3BA295">
      <w:pPr>
        <w:adjustRightInd w:val="0"/>
        <w:snapToGrid w:val="0"/>
        <w:spacing w:before="156" w:beforeLines="50" w:line="360" w:lineRule="auto"/>
        <w:jc w:val="center"/>
        <w:rPr>
          <w:rFonts w:hint="eastAsia" w:ascii="宋体" w:hAnsi="宋体" w:eastAsia="宋体" w:cs="宋体"/>
          <w:b/>
          <w:bCs/>
          <w:color w:val="auto"/>
        </w:rPr>
      </w:pPr>
    </w:p>
    <w:p w14:paraId="1C6C93AE">
      <w:pPr>
        <w:adjustRightInd w:val="0"/>
        <w:snapToGrid w:val="0"/>
        <w:spacing w:before="156" w:beforeLines="50" w:line="360" w:lineRule="auto"/>
        <w:jc w:val="center"/>
        <w:rPr>
          <w:rFonts w:hint="eastAsia" w:ascii="宋体" w:hAnsi="宋体" w:eastAsia="宋体" w:cs="宋体"/>
          <w:b/>
          <w:bCs/>
          <w:color w:val="auto"/>
        </w:rPr>
      </w:pPr>
    </w:p>
    <w:p w14:paraId="612EE87C">
      <w:pPr>
        <w:adjustRightInd w:val="0"/>
        <w:snapToGrid w:val="0"/>
        <w:spacing w:before="156" w:beforeLines="50" w:line="360" w:lineRule="auto"/>
        <w:jc w:val="center"/>
        <w:rPr>
          <w:rFonts w:hint="eastAsia" w:ascii="宋体" w:hAnsi="宋体" w:eastAsia="宋体" w:cs="宋体"/>
          <w:b/>
          <w:bCs/>
          <w:color w:val="auto"/>
        </w:rPr>
      </w:pPr>
    </w:p>
    <w:p w14:paraId="70F4FDF9">
      <w:pPr>
        <w:rPr>
          <w:rFonts w:hint="eastAsia" w:ascii="宋体" w:hAnsi="宋体" w:eastAsia="宋体" w:cs="宋体"/>
          <w:b/>
          <w:bCs/>
          <w:color w:val="auto"/>
        </w:rPr>
      </w:pPr>
      <w:r>
        <w:rPr>
          <w:rFonts w:hint="eastAsia" w:ascii="宋体" w:hAnsi="宋体" w:eastAsia="宋体" w:cs="宋体"/>
          <w:b/>
          <w:bCs/>
          <w:color w:val="auto"/>
        </w:rPr>
        <w:br w:type="page"/>
      </w:r>
      <w:r>
        <w:rPr>
          <w:rFonts w:hint="eastAsia" w:ascii="宋体" w:hAnsi="宋体" w:eastAsia="宋体" w:cs="宋体"/>
          <w:b/>
          <w:bCs/>
          <w:color w:val="auto"/>
        </w:rPr>
        <w:t>附表1.3商务部分评审标准表</w:t>
      </w:r>
    </w:p>
    <w:tbl>
      <w:tblPr>
        <w:tblStyle w:val="47"/>
        <w:tblW w:w="4997" w:type="pct"/>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0" w:type="dxa"/>
          <w:left w:w="108" w:type="dxa"/>
          <w:bottom w:w="0" w:type="dxa"/>
          <w:right w:w="108" w:type="dxa"/>
        </w:tblCellMar>
      </w:tblPr>
      <w:tblGrid>
        <w:gridCol w:w="479"/>
        <w:gridCol w:w="1265"/>
        <w:gridCol w:w="1068"/>
        <w:gridCol w:w="5998"/>
      </w:tblGrid>
      <w:tr w14:paraId="4C96155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652" w:hRule="atLeast"/>
          <w:jc w:val="center"/>
        </w:trPr>
        <w:tc>
          <w:tcPr>
            <w:tcW w:w="272" w:type="pct"/>
            <w:noWrap w:val="0"/>
            <w:vAlign w:val="center"/>
          </w:tcPr>
          <w:p w14:paraId="002AF7F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center"/>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序号</w:t>
            </w:r>
          </w:p>
        </w:tc>
        <w:tc>
          <w:tcPr>
            <w:tcW w:w="718" w:type="pct"/>
            <w:noWrap w:val="0"/>
            <w:vAlign w:val="center"/>
          </w:tcPr>
          <w:p w14:paraId="797939D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center"/>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评标因素（分值）</w:t>
            </w:r>
          </w:p>
        </w:tc>
        <w:tc>
          <w:tcPr>
            <w:tcW w:w="4008" w:type="pct"/>
            <w:gridSpan w:val="2"/>
            <w:noWrap w:val="0"/>
            <w:vAlign w:val="center"/>
          </w:tcPr>
          <w:p w14:paraId="69A5A88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640"/>
              <w:jc w:val="center"/>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评标标准</w:t>
            </w:r>
          </w:p>
        </w:tc>
      </w:tr>
      <w:tr w14:paraId="148BCB35">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90" w:hRule="atLeast"/>
          <w:jc w:val="center"/>
        </w:trPr>
        <w:tc>
          <w:tcPr>
            <w:tcW w:w="272" w:type="pct"/>
            <w:vMerge w:val="restart"/>
            <w:noWrap w:val="0"/>
            <w:vAlign w:val="center"/>
          </w:tcPr>
          <w:p w14:paraId="19761120">
            <w:pPr>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center" w:pos="144"/>
              </w:tabs>
              <w:kinsoku/>
              <w:wordWrap/>
              <w:overflowPunct/>
              <w:topLinePunct w:val="0"/>
              <w:autoSpaceDE/>
              <w:autoSpaceDN/>
              <w:bidi w:val="0"/>
              <w:adjustRightInd/>
              <w:snapToGrid/>
              <w:spacing w:before="0" w:beforeAutospacing="0" w:after="0" w:afterAutospacing="0" w:line="320" w:lineRule="exact"/>
              <w:ind w:left="0" w:right="0" w:firstLine="0"/>
              <w:jc w:val="left"/>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ab/>
            </w:r>
            <w:r>
              <w:rPr>
                <w:rFonts w:hint="eastAsia" w:ascii="宋体" w:hAnsi="宋体" w:eastAsia="宋体" w:cs="宋体"/>
                <w:i w:val="0"/>
                <w:iCs w:val="0"/>
                <w:caps w:val="0"/>
                <w:color w:val="auto"/>
                <w:spacing w:val="0"/>
                <w:kern w:val="0"/>
                <w:sz w:val="21"/>
                <w:szCs w:val="21"/>
                <w:lang w:val="en-US" w:eastAsia="zh-CN" w:bidi="ar"/>
              </w:rPr>
              <w:t>3</w:t>
            </w:r>
          </w:p>
        </w:tc>
        <w:tc>
          <w:tcPr>
            <w:tcW w:w="718" w:type="pct"/>
            <w:vMerge w:val="restart"/>
            <w:noWrap w:val="0"/>
            <w:vAlign w:val="center"/>
          </w:tcPr>
          <w:p w14:paraId="58B956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商务评价项</w:t>
            </w:r>
          </w:p>
          <w:p w14:paraId="1D6D34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jc w:val="both"/>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（F=100分）</w:t>
            </w:r>
          </w:p>
        </w:tc>
        <w:tc>
          <w:tcPr>
            <w:tcW w:w="606" w:type="pct"/>
            <w:noWrap w:val="0"/>
            <w:vAlign w:val="center"/>
          </w:tcPr>
          <w:p w14:paraId="0F4C4EDC">
            <w:pPr>
              <w:jc w:val="center"/>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color w:val="auto"/>
                <w:spacing w:val="-4"/>
                <w:szCs w:val="21"/>
                <w:lang w:val="en-US" w:eastAsia="zh-CN"/>
              </w:rPr>
              <w:t>产品质量</w:t>
            </w:r>
            <w:r>
              <w:rPr>
                <w:rFonts w:hint="eastAsia" w:ascii="宋体" w:hAnsi="宋体" w:eastAsia="宋体" w:cs="宋体"/>
                <w:color w:val="auto"/>
                <w:spacing w:val="-4"/>
                <w:szCs w:val="21"/>
              </w:rPr>
              <w:t>（</w:t>
            </w:r>
            <w:r>
              <w:rPr>
                <w:rFonts w:hint="eastAsia" w:ascii="宋体" w:hAnsi="宋体" w:eastAsia="宋体" w:cs="宋体"/>
                <w:color w:val="auto"/>
                <w:spacing w:val="-4"/>
                <w:szCs w:val="21"/>
                <w:lang w:val="en-US" w:eastAsia="zh-CN"/>
              </w:rPr>
              <w:t>40</w:t>
            </w:r>
            <w:r>
              <w:rPr>
                <w:rFonts w:hint="eastAsia" w:ascii="宋体" w:hAnsi="宋体" w:eastAsia="宋体" w:cs="宋体"/>
                <w:color w:val="auto"/>
                <w:spacing w:val="-4"/>
                <w:szCs w:val="21"/>
              </w:rPr>
              <w:t>分）</w:t>
            </w:r>
          </w:p>
        </w:tc>
        <w:tc>
          <w:tcPr>
            <w:tcW w:w="3402" w:type="pct"/>
            <w:noWrap w:val="0"/>
            <w:vAlign w:val="center"/>
          </w:tcPr>
          <w:p w14:paraId="379BF722">
            <w:pPr>
              <w:numPr>
                <w:ilvl w:val="0"/>
                <w:numId w:val="0"/>
              </w:numPr>
              <w:spacing w:line="240" w:lineRule="auto"/>
              <w:rPr>
                <w:rFonts w:hint="eastAsia" w:ascii="宋体" w:hAnsi="宋体" w:eastAsia="宋体" w:cs="宋体"/>
                <w:i w:val="0"/>
                <w:iCs w:val="0"/>
                <w:caps w:val="0"/>
                <w:color w:val="auto"/>
                <w:spacing w:val="0"/>
                <w:kern w:val="0"/>
                <w:sz w:val="21"/>
                <w:szCs w:val="21"/>
                <w:highlight w:val="none"/>
                <w:lang w:val="en-US" w:eastAsia="zh-CN" w:bidi="ar"/>
              </w:rPr>
            </w:pPr>
            <w:r>
              <w:rPr>
                <w:rFonts w:hint="eastAsia" w:ascii="宋体" w:hAnsi="宋体" w:cs="宋体"/>
                <w:i w:val="0"/>
                <w:iCs w:val="0"/>
                <w:caps w:val="0"/>
                <w:color w:val="auto"/>
                <w:spacing w:val="0"/>
                <w:kern w:val="0"/>
                <w:sz w:val="21"/>
                <w:szCs w:val="21"/>
                <w:highlight w:val="none"/>
                <w:lang w:val="en-US" w:eastAsia="zh-CN" w:bidi="ar"/>
              </w:rPr>
              <w:t>1.</w:t>
            </w:r>
            <w:r>
              <w:rPr>
                <w:rFonts w:hint="eastAsia" w:ascii="宋体" w:hAnsi="宋体" w:eastAsia="宋体" w:cs="宋体"/>
                <w:i w:val="0"/>
                <w:iCs w:val="0"/>
                <w:caps w:val="0"/>
                <w:color w:val="auto"/>
                <w:spacing w:val="0"/>
                <w:kern w:val="0"/>
                <w:sz w:val="21"/>
                <w:szCs w:val="21"/>
                <w:highlight w:val="none"/>
                <w:lang w:val="en-US" w:eastAsia="zh-CN" w:bidi="ar"/>
              </w:rPr>
              <w:t>为保证本次采购的先进性，考虑后续与国产化操作系统的对接，所投75寸交互智能平板产品配套集中控制软件通过任一国产化操作系统或国产化CPU的适配兼容认证，提供1个兼容认证的计5分，提供2个计10分，提供3个的计20分,本项最高得20分。（提供互认证明复印件并加盖投标人公章，否则不计分。）</w:t>
            </w:r>
          </w:p>
          <w:p w14:paraId="1C68BF55">
            <w:pPr>
              <w:numPr>
                <w:ilvl w:val="0"/>
                <w:numId w:val="0"/>
              </w:numPr>
              <w:spacing w:line="240" w:lineRule="auto"/>
              <w:rPr>
                <w:rFonts w:hint="eastAsia" w:ascii="宋体" w:hAnsi="宋体" w:eastAsia="宋体" w:cs="宋体"/>
                <w:color w:val="auto"/>
                <w:sz w:val="21"/>
                <w:szCs w:val="21"/>
                <w:highlight w:val="none"/>
                <w:lang w:val="en-US" w:eastAsia="zh-CN"/>
              </w:rPr>
            </w:pPr>
            <w:r>
              <w:rPr>
                <w:rFonts w:hint="eastAsia" w:ascii="宋体" w:hAnsi="宋体" w:cs="宋体"/>
                <w:i w:val="0"/>
                <w:iCs w:val="0"/>
                <w:caps w:val="0"/>
                <w:color w:val="auto"/>
                <w:spacing w:val="0"/>
                <w:kern w:val="0"/>
                <w:sz w:val="21"/>
                <w:szCs w:val="21"/>
                <w:highlight w:val="none"/>
                <w:lang w:val="en-US" w:eastAsia="zh-CN" w:bidi="ar"/>
              </w:rPr>
              <w:t>2.</w:t>
            </w:r>
            <w:r>
              <w:rPr>
                <w:rFonts w:hint="eastAsia" w:ascii="宋体" w:hAnsi="宋体" w:eastAsia="宋体" w:cs="宋体"/>
                <w:i w:val="0"/>
                <w:iCs w:val="0"/>
                <w:caps w:val="0"/>
                <w:color w:val="auto"/>
                <w:spacing w:val="0"/>
                <w:kern w:val="0"/>
                <w:sz w:val="21"/>
                <w:szCs w:val="21"/>
                <w:highlight w:val="none"/>
                <w:lang w:val="en-US" w:eastAsia="zh-CN" w:bidi="ar"/>
              </w:rPr>
              <w:t>所投台式电脑计算机硬件设备的存储主控芯片拥有独立自主可控安全能力,台式电脑及便携式计算机制造厂商需提供高可靠、大容量闪存存储主控芯片关键技术与应用自主研发第三方证明材料，计20分。（提供证明文件复印件并加盖投标人公章，否则不计分）。</w:t>
            </w:r>
          </w:p>
        </w:tc>
      </w:tr>
      <w:tr w14:paraId="6E75AFE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752" w:hRule="atLeast"/>
          <w:jc w:val="center"/>
        </w:trPr>
        <w:tc>
          <w:tcPr>
            <w:tcW w:w="272" w:type="pct"/>
            <w:vMerge w:val="continue"/>
            <w:noWrap w:val="0"/>
            <w:vAlign w:val="center"/>
          </w:tcPr>
          <w:p w14:paraId="0AE877E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640"/>
              <w:jc w:val="left"/>
              <w:textAlignment w:val="auto"/>
              <w:rPr>
                <w:rFonts w:hint="eastAsia" w:ascii="宋体" w:hAnsi="宋体" w:eastAsia="宋体" w:cs="宋体"/>
                <w:i w:val="0"/>
                <w:iCs w:val="0"/>
                <w:caps w:val="0"/>
                <w:color w:val="auto"/>
                <w:spacing w:val="0"/>
                <w:kern w:val="0"/>
                <w:sz w:val="21"/>
                <w:szCs w:val="21"/>
                <w:lang w:val="en-US" w:eastAsia="zh-CN" w:bidi="ar"/>
              </w:rPr>
            </w:pPr>
          </w:p>
        </w:tc>
        <w:tc>
          <w:tcPr>
            <w:tcW w:w="718" w:type="pct"/>
            <w:vMerge w:val="continue"/>
            <w:noWrap w:val="0"/>
            <w:vAlign w:val="center"/>
          </w:tcPr>
          <w:p w14:paraId="6BA014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640"/>
              <w:jc w:val="center"/>
              <w:textAlignment w:val="auto"/>
              <w:rPr>
                <w:rFonts w:hint="eastAsia" w:ascii="宋体" w:hAnsi="宋体" w:eastAsia="宋体" w:cs="宋体"/>
                <w:i w:val="0"/>
                <w:iCs w:val="0"/>
                <w:caps w:val="0"/>
                <w:color w:val="auto"/>
                <w:spacing w:val="0"/>
                <w:kern w:val="0"/>
                <w:sz w:val="21"/>
                <w:szCs w:val="21"/>
                <w:lang w:val="en-US" w:eastAsia="zh-CN" w:bidi="ar"/>
              </w:rPr>
            </w:pPr>
          </w:p>
        </w:tc>
        <w:tc>
          <w:tcPr>
            <w:tcW w:w="606" w:type="pct"/>
            <w:noWrap w:val="0"/>
            <w:vAlign w:val="center"/>
          </w:tcPr>
          <w:p w14:paraId="1F72B1A2">
            <w:pPr>
              <w:jc w:val="center"/>
              <w:rPr>
                <w:rFonts w:hint="eastAsia" w:ascii="宋体" w:hAnsi="宋体" w:eastAsia="宋体" w:cs="宋体"/>
                <w:color w:val="auto"/>
                <w:spacing w:val="-4"/>
                <w:szCs w:val="21"/>
              </w:rPr>
            </w:pPr>
            <w:r>
              <w:rPr>
                <w:rFonts w:hint="eastAsia" w:ascii="宋体" w:hAnsi="宋体" w:eastAsia="宋体" w:cs="宋体"/>
                <w:color w:val="auto"/>
                <w:spacing w:val="-4"/>
                <w:szCs w:val="21"/>
              </w:rPr>
              <w:t>售后服务方案</w:t>
            </w:r>
          </w:p>
          <w:p w14:paraId="145AA0F1">
            <w:pPr>
              <w:jc w:val="center"/>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color w:val="auto"/>
                <w:spacing w:val="-4"/>
                <w:szCs w:val="21"/>
              </w:rPr>
              <w:t>（</w:t>
            </w:r>
            <w:r>
              <w:rPr>
                <w:rFonts w:hint="eastAsia" w:ascii="宋体" w:hAnsi="宋体" w:eastAsia="宋体" w:cs="宋体"/>
                <w:color w:val="auto"/>
                <w:spacing w:val="-4"/>
                <w:szCs w:val="21"/>
                <w:lang w:val="en-US" w:eastAsia="zh-CN"/>
              </w:rPr>
              <w:t>60</w:t>
            </w:r>
            <w:r>
              <w:rPr>
                <w:rFonts w:hint="eastAsia" w:ascii="宋体" w:hAnsi="宋体" w:eastAsia="宋体" w:cs="宋体"/>
                <w:color w:val="auto"/>
                <w:spacing w:val="-4"/>
                <w:szCs w:val="21"/>
              </w:rPr>
              <w:t>分）</w:t>
            </w:r>
          </w:p>
        </w:tc>
        <w:tc>
          <w:tcPr>
            <w:tcW w:w="3402" w:type="pct"/>
            <w:noWrap w:val="0"/>
            <w:vAlign w:val="center"/>
          </w:tcPr>
          <w:p w14:paraId="7D360DA7">
            <w:pPr>
              <w:spacing w:line="360" w:lineRule="exact"/>
              <w:rPr>
                <w:rFonts w:hint="eastAsia" w:ascii="宋体" w:hAnsi="宋体" w:eastAsia="宋体" w:cs="宋体"/>
                <w:i w:val="0"/>
                <w:iCs w:val="0"/>
                <w:caps w:val="0"/>
                <w:color w:val="auto"/>
                <w:spacing w:val="0"/>
                <w:kern w:val="0"/>
                <w:sz w:val="21"/>
                <w:szCs w:val="21"/>
                <w:highlight w:val="none"/>
                <w:lang w:val="en-US" w:eastAsia="zh-CN" w:bidi="ar"/>
              </w:rPr>
            </w:pPr>
            <w:r>
              <w:rPr>
                <w:rFonts w:hint="eastAsia" w:ascii="宋体" w:hAnsi="宋体" w:eastAsia="宋体" w:cs="宋体"/>
                <w:color w:val="auto"/>
                <w:szCs w:val="21"/>
              </w:rPr>
              <w:t>1.投标人针对本项目采购需求提供的售后服务措施（包括但不限于①售后服务体系；②响应时间承诺；③</w:t>
            </w:r>
            <w:r>
              <w:rPr>
                <w:rFonts w:hint="eastAsia" w:ascii="宋体" w:hAnsi="宋体" w:eastAsia="宋体" w:cs="宋体"/>
                <w:color w:val="auto"/>
                <w:szCs w:val="21"/>
                <w:lang w:val="en-US" w:eastAsia="zh-CN"/>
              </w:rPr>
              <w:t>质保时间；</w:t>
            </w:r>
            <w:r>
              <w:rPr>
                <w:rFonts w:hint="eastAsia" w:ascii="宋体" w:hAnsi="宋体" w:eastAsia="宋体" w:cs="宋体"/>
                <w:color w:val="auto"/>
                <w:szCs w:val="21"/>
              </w:rPr>
              <w:t>④维护人员配备；⑤备品备件；⑥培训计划），方案满足项目实际情况并科学规范、计划合理、内容完整、详细、针对性强的计</w:t>
            </w:r>
            <w:r>
              <w:rPr>
                <w:rFonts w:hint="eastAsia" w:ascii="宋体" w:hAnsi="宋体" w:eastAsia="宋体" w:cs="宋体"/>
                <w:color w:val="auto"/>
                <w:szCs w:val="21"/>
                <w:lang w:val="en-US" w:eastAsia="zh-CN"/>
              </w:rPr>
              <w:t>60</w:t>
            </w:r>
            <w:r>
              <w:rPr>
                <w:rFonts w:hint="eastAsia" w:ascii="宋体" w:hAnsi="宋体" w:eastAsia="宋体" w:cs="宋体"/>
                <w:color w:val="auto"/>
                <w:szCs w:val="21"/>
              </w:rPr>
              <w:t>分；有缺项、漏项每项扣</w:t>
            </w:r>
            <w:r>
              <w:rPr>
                <w:rFonts w:hint="eastAsia" w:ascii="宋体" w:hAnsi="宋体" w:eastAsia="宋体" w:cs="宋体"/>
                <w:color w:val="auto"/>
                <w:szCs w:val="21"/>
                <w:lang w:val="en-US" w:eastAsia="zh-CN"/>
              </w:rPr>
              <w:t>10</w:t>
            </w:r>
            <w:r>
              <w:rPr>
                <w:rFonts w:hint="eastAsia" w:ascii="宋体" w:hAnsi="宋体" w:eastAsia="宋体" w:cs="宋体"/>
                <w:color w:val="auto"/>
                <w:szCs w:val="21"/>
              </w:rPr>
              <w:t>分；方案不符合要求、有缺陷、欠合理的每处扣</w:t>
            </w:r>
            <w:r>
              <w:rPr>
                <w:rFonts w:hint="eastAsia" w:ascii="宋体" w:hAnsi="宋体" w:eastAsia="宋体" w:cs="宋体"/>
                <w:color w:val="auto"/>
                <w:szCs w:val="21"/>
                <w:lang w:val="en-US" w:eastAsia="zh-CN"/>
              </w:rPr>
              <w:t>4</w:t>
            </w:r>
            <w:r>
              <w:rPr>
                <w:rFonts w:hint="eastAsia" w:ascii="宋体" w:hAnsi="宋体" w:eastAsia="宋体" w:cs="宋体"/>
                <w:color w:val="auto"/>
                <w:szCs w:val="21"/>
              </w:rPr>
              <w:t>分；扣完为止。未提供售后服务方案的不计分。</w:t>
            </w:r>
          </w:p>
        </w:tc>
      </w:tr>
      <w:tr w14:paraId="7173F72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1152" w:hRule="atLeast"/>
          <w:jc w:val="center"/>
        </w:trPr>
        <w:tc>
          <w:tcPr>
            <w:tcW w:w="272" w:type="pct"/>
            <w:vMerge w:val="continue"/>
            <w:noWrap w:val="0"/>
            <w:vAlign w:val="center"/>
          </w:tcPr>
          <w:p w14:paraId="091A87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640"/>
              <w:jc w:val="left"/>
              <w:textAlignment w:val="auto"/>
              <w:rPr>
                <w:rFonts w:hint="eastAsia" w:ascii="宋体" w:hAnsi="宋体" w:eastAsia="宋体" w:cs="宋体"/>
                <w:i w:val="0"/>
                <w:iCs w:val="0"/>
                <w:caps w:val="0"/>
                <w:color w:val="auto"/>
                <w:spacing w:val="0"/>
                <w:kern w:val="0"/>
                <w:sz w:val="21"/>
                <w:szCs w:val="21"/>
                <w:lang w:val="en-US" w:eastAsia="zh-CN" w:bidi="ar"/>
              </w:rPr>
            </w:pPr>
          </w:p>
        </w:tc>
        <w:tc>
          <w:tcPr>
            <w:tcW w:w="718" w:type="pct"/>
            <w:vMerge w:val="continue"/>
            <w:noWrap w:val="0"/>
            <w:vAlign w:val="center"/>
          </w:tcPr>
          <w:p w14:paraId="116CE5C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640"/>
              <w:jc w:val="center"/>
              <w:textAlignment w:val="auto"/>
              <w:rPr>
                <w:rFonts w:hint="eastAsia" w:ascii="宋体" w:hAnsi="宋体" w:eastAsia="宋体" w:cs="宋体"/>
                <w:i w:val="0"/>
                <w:iCs w:val="0"/>
                <w:caps w:val="0"/>
                <w:color w:val="auto"/>
                <w:spacing w:val="0"/>
                <w:kern w:val="0"/>
                <w:sz w:val="21"/>
                <w:szCs w:val="21"/>
                <w:lang w:val="en-US" w:eastAsia="zh-CN" w:bidi="ar"/>
              </w:rPr>
            </w:pPr>
          </w:p>
        </w:tc>
        <w:tc>
          <w:tcPr>
            <w:tcW w:w="4008" w:type="pct"/>
            <w:gridSpan w:val="2"/>
            <w:noWrap w:val="0"/>
            <w:vAlign w:val="center"/>
          </w:tcPr>
          <w:p w14:paraId="73E7735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firstLine="0" w:firstLineChars="0"/>
              <w:jc w:val="left"/>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b/>
                <w:bCs/>
                <w:color w:val="auto"/>
                <w:sz w:val="21"/>
                <w:szCs w:val="21"/>
                <w:lang w:val="en-US" w:eastAsia="zh-CN"/>
              </w:rPr>
              <w:t>注：</w:t>
            </w:r>
            <w:r>
              <w:rPr>
                <w:rFonts w:hint="eastAsia" w:ascii="宋体" w:hAnsi="宋体" w:eastAsia="宋体" w:cs="宋体"/>
                <w:b w:val="0"/>
                <w:bCs w:val="0"/>
                <w:color w:val="auto"/>
                <w:sz w:val="21"/>
                <w:szCs w:val="21"/>
                <w:lang w:val="en-US" w:eastAsia="zh-CN"/>
              </w:rPr>
              <w:t>缺漏项是指有缺漏方案的；</w:t>
            </w:r>
            <w:r>
              <w:rPr>
                <w:rFonts w:hint="eastAsia" w:ascii="宋体" w:hAnsi="宋体" w:eastAsia="宋体" w:cs="宋体"/>
                <w:color w:val="auto"/>
                <w:kern w:val="2"/>
                <w:sz w:val="21"/>
                <w:szCs w:val="21"/>
                <w:lang w:val="en-US" w:eastAsia="zh-CN" w:bidi="ar-SA"/>
              </w:rPr>
              <w:t>内容不完整、</w:t>
            </w:r>
            <w:r>
              <w:rPr>
                <w:rFonts w:hint="eastAsia" w:ascii="宋体" w:hAnsi="宋体" w:eastAsia="宋体" w:cs="宋体"/>
                <w:b w:val="0"/>
                <w:bCs w:val="0"/>
                <w:color w:val="auto"/>
                <w:sz w:val="21"/>
                <w:szCs w:val="21"/>
              </w:rPr>
              <w:t>不符合</w:t>
            </w:r>
            <w:r>
              <w:rPr>
                <w:rFonts w:hint="eastAsia" w:ascii="宋体" w:hAnsi="宋体" w:eastAsia="宋体" w:cs="宋体"/>
                <w:b w:val="0"/>
                <w:bCs w:val="0"/>
                <w:color w:val="auto"/>
                <w:sz w:val="21"/>
                <w:szCs w:val="21"/>
                <w:lang w:val="en-US" w:eastAsia="zh-CN"/>
              </w:rPr>
              <w:t>项目采购需求</w:t>
            </w:r>
            <w:r>
              <w:rPr>
                <w:rFonts w:hint="eastAsia" w:ascii="宋体" w:hAnsi="宋体" w:eastAsia="宋体" w:cs="宋体"/>
                <w:b w:val="0"/>
                <w:bCs w:val="0"/>
                <w:color w:val="auto"/>
                <w:sz w:val="21"/>
                <w:szCs w:val="21"/>
              </w:rPr>
              <w:t>、有缺陷是指：</w:t>
            </w:r>
            <w:r>
              <w:rPr>
                <w:rFonts w:hint="eastAsia" w:ascii="宋体" w:hAnsi="宋体" w:eastAsia="宋体" w:cs="宋体"/>
                <w:b w:val="0"/>
                <w:bCs w:val="0"/>
                <w:color w:val="auto"/>
                <w:sz w:val="21"/>
                <w:szCs w:val="21"/>
                <w:lang w:val="en-US" w:eastAsia="zh-CN"/>
              </w:rPr>
              <w:t>存在</w:t>
            </w:r>
            <w:r>
              <w:rPr>
                <w:rFonts w:hint="eastAsia" w:ascii="宋体" w:hAnsi="宋体" w:eastAsia="宋体" w:cs="宋体"/>
                <w:b w:val="0"/>
                <w:bCs w:val="0"/>
                <w:color w:val="auto"/>
                <w:sz w:val="21"/>
                <w:szCs w:val="21"/>
              </w:rPr>
              <w:t>非专门针对本项目</w:t>
            </w:r>
            <w:r>
              <w:rPr>
                <w:rFonts w:hint="eastAsia" w:ascii="宋体" w:hAnsi="宋体" w:eastAsia="宋体" w:cs="宋体"/>
                <w:b w:val="0"/>
                <w:bCs w:val="0"/>
                <w:color w:val="auto"/>
                <w:sz w:val="21"/>
                <w:szCs w:val="21"/>
                <w:lang w:val="en-US" w:eastAsia="zh-CN"/>
              </w:rPr>
              <w:t>采购需求内容</w:t>
            </w:r>
            <w:r>
              <w:rPr>
                <w:rFonts w:hint="eastAsia" w:ascii="宋体" w:hAnsi="宋体" w:eastAsia="宋体" w:cs="宋体"/>
                <w:b w:val="0"/>
                <w:bCs w:val="0"/>
                <w:color w:val="auto"/>
                <w:sz w:val="21"/>
                <w:szCs w:val="21"/>
              </w:rPr>
              <w:t>或不适用</w:t>
            </w:r>
            <w:r>
              <w:rPr>
                <w:rFonts w:hint="eastAsia" w:ascii="宋体" w:hAnsi="宋体" w:eastAsia="宋体" w:cs="宋体"/>
                <w:b w:val="0"/>
                <w:bCs w:val="0"/>
                <w:color w:val="auto"/>
                <w:sz w:val="21"/>
                <w:szCs w:val="21"/>
                <w:lang w:val="en-US" w:eastAsia="zh-CN"/>
              </w:rPr>
              <w:t>本</w:t>
            </w:r>
            <w:r>
              <w:rPr>
                <w:rFonts w:hint="eastAsia" w:ascii="宋体" w:hAnsi="宋体" w:eastAsia="宋体" w:cs="宋体"/>
                <w:b w:val="0"/>
                <w:bCs w:val="0"/>
                <w:color w:val="auto"/>
                <w:sz w:val="21"/>
                <w:szCs w:val="21"/>
              </w:rPr>
              <w:t>项目的、内容不完整或缺少关键节点、套用其他项目方案等任意一种情形。</w:t>
            </w:r>
          </w:p>
        </w:tc>
      </w:tr>
      <w:tr w14:paraId="1979E65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456" w:hRule="atLeast"/>
          <w:jc w:val="center"/>
        </w:trPr>
        <w:tc>
          <w:tcPr>
            <w:tcW w:w="272" w:type="pct"/>
            <w:vMerge w:val="continue"/>
            <w:noWrap w:val="0"/>
            <w:vAlign w:val="center"/>
          </w:tcPr>
          <w:p w14:paraId="47CB793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left="0" w:right="0" w:firstLine="640"/>
              <w:jc w:val="left"/>
              <w:textAlignment w:val="auto"/>
              <w:rPr>
                <w:rFonts w:hint="eastAsia" w:ascii="宋体" w:hAnsi="宋体" w:eastAsia="宋体" w:cs="宋体"/>
                <w:i w:val="0"/>
                <w:iCs w:val="0"/>
                <w:caps w:val="0"/>
                <w:color w:val="auto"/>
                <w:spacing w:val="0"/>
                <w:kern w:val="0"/>
                <w:sz w:val="21"/>
                <w:szCs w:val="21"/>
                <w:lang w:val="en-US" w:eastAsia="zh-CN" w:bidi="ar"/>
              </w:rPr>
            </w:pPr>
          </w:p>
        </w:tc>
        <w:tc>
          <w:tcPr>
            <w:tcW w:w="718" w:type="pct"/>
            <w:noWrap w:val="0"/>
            <w:vAlign w:val="center"/>
          </w:tcPr>
          <w:p w14:paraId="46ED8D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rightChars="0"/>
              <w:jc w:val="center"/>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i w:val="0"/>
                <w:iCs w:val="0"/>
                <w:caps w:val="0"/>
                <w:color w:val="auto"/>
                <w:spacing w:val="0"/>
                <w:kern w:val="0"/>
                <w:sz w:val="21"/>
                <w:szCs w:val="21"/>
                <w:lang w:val="en-US" w:eastAsia="zh-CN" w:bidi="ar"/>
              </w:rPr>
              <w:t>优先采购加分（F优先采购加分）</w:t>
            </w:r>
          </w:p>
        </w:tc>
        <w:tc>
          <w:tcPr>
            <w:tcW w:w="4008" w:type="pct"/>
            <w:gridSpan w:val="2"/>
            <w:noWrap w:val="0"/>
            <w:vAlign w:val="center"/>
          </w:tcPr>
          <w:p w14:paraId="3F6799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20" w:lineRule="exact"/>
              <w:ind w:right="0" w:rightChars="0" w:firstLine="420" w:firstLineChars="200"/>
              <w:jc w:val="left"/>
              <w:textAlignment w:val="auto"/>
              <w:rPr>
                <w:rFonts w:hint="eastAsia" w:ascii="宋体" w:hAnsi="宋体" w:eastAsia="宋体" w:cs="宋体"/>
                <w:i w:val="0"/>
                <w:iCs w:val="0"/>
                <w:caps w:val="0"/>
                <w:color w:val="auto"/>
                <w:spacing w:val="0"/>
                <w:kern w:val="0"/>
                <w:sz w:val="21"/>
                <w:szCs w:val="21"/>
                <w:lang w:val="en-US" w:eastAsia="zh-CN" w:bidi="ar"/>
              </w:rPr>
            </w:pPr>
            <w:r>
              <w:rPr>
                <w:rFonts w:hint="eastAsia" w:ascii="宋体" w:hAnsi="宋体" w:eastAsia="宋体" w:cs="宋体"/>
                <w:color w:val="auto"/>
                <w:szCs w:val="21"/>
              </w:rPr>
              <w:t>见第二章投标须知和评标方法及标准</w:t>
            </w:r>
          </w:p>
        </w:tc>
      </w:tr>
      <w:tr w14:paraId="20734E00">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108" w:type="dxa"/>
            <w:bottom w:w="0" w:type="dxa"/>
            <w:right w:w="108" w:type="dxa"/>
          </w:tblCellMar>
        </w:tblPrEx>
        <w:trPr>
          <w:trHeight w:val="456" w:hRule="atLeast"/>
          <w:jc w:val="center"/>
        </w:trPr>
        <w:tc>
          <w:tcPr>
            <w:tcW w:w="272" w:type="pct"/>
            <w:noWrap w:val="0"/>
            <w:vAlign w:val="center"/>
          </w:tcPr>
          <w:p w14:paraId="5C333A9F">
            <w:pPr>
              <w:adjustRightInd w:val="0"/>
              <w:snapToGrid w:val="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w:t>
            </w:r>
          </w:p>
        </w:tc>
        <w:tc>
          <w:tcPr>
            <w:tcW w:w="4727" w:type="pct"/>
            <w:gridSpan w:val="3"/>
            <w:noWrap w:val="0"/>
            <w:vAlign w:val="center"/>
          </w:tcPr>
          <w:p w14:paraId="29A54CB3">
            <w:pPr>
              <w:adjustRightInd w:val="0"/>
              <w:snapToGrid w:val="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F</w:t>
            </w:r>
            <w:r>
              <w:rPr>
                <w:rFonts w:hint="eastAsia" w:ascii="宋体" w:hAnsi="宋体" w:eastAsia="宋体" w:cs="宋体"/>
                <w:color w:val="auto"/>
                <w:szCs w:val="21"/>
                <w:highlight w:val="none"/>
                <w:vertAlign w:val="subscript"/>
              </w:rPr>
              <w:t>3</w:t>
            </w:r>
            <w:r>
              <w:rPr>
                <w:rFonts w:hint="eastAsia" w:ascii="宋体" w:hAnsi="宋体" w:eastAsia="宋体" w:cs="宋体"/>
                <w:color w:val="auto"/>
                <w:szCs w:val="21"/>
                <w:highlight w:val="none"/>
              </w:rPr>
              <w:t>=F+F</w:t>
            </w:r>
            <w:r>
              <w:rPr>
                <w:rFonts w:hint="eastAsia" w:ascii="宋体" w:hAnsi="宋体" w:eastAsia="宋体" w:cs="宋体"/>
                <w:color w:val="auto"/>
                <w:szCs w:val="21"/>
                <w:highlight w:val="none"/>
                <w:vertAlign w:val="subscript"/>
              </w:rPr>
              <w:t>优先采购加分</w:t>
            </w:r>
          </w:p>
        </w:tc>
      </w:tr>
    </w:tbl>
    <w:p w14:paraId="1BD3363B">
      <w:pPr>
        <w:widowControl/>
        <w:spacing w:line="560" w:lineRule="atLeast"/>
        <w:jc w:val="left"/>
        <w:rPr>
          <w:rFonts w:hint="eastAsia" w:ascii="仿宋" w:hAnsi="仿宋" w:eastAsia="仿宋" w:cs="仿宋"/>
          <w:sz w:val="28"/>
          <w:szCs w:val="28"/>
        </w:rPr>
      </w:pPr>
    </w:p>
    <w:p w14:paraId="4857A159">
      <w:pPr>
        <w:ind w:firstLine="3213" w:firstLineChars="1000"/>
        <w:rPr>
          <w:rFonts w:hint="eastAsia" w:ascii="宋体" w:hAnsi="宋体" w:eastAsia="宋体" w:cs="宋体"/>
          <w:b/>
          <w:color w:val="auto"/>
          <w:sz w:val="32"/>
          <w:szCs w:val="32"/>
          <w:lang w:val="en-US" w:eastAsia="zh-CN"/>
        </w:rPr>
      </w:pPr>
    </w:p>
    <w:p w14:paraId="107948A0">
      <w:pPr>
        <w:ind w:firstLine="3213" w:firstLineChars="1000"/>
        <w:rPr>
          <w:rFonts w:hint="eastAsia" w:ascii="宋体" w:hAnsi="宋体" w:eastAsia="宋体" w:cs="宋体"/>
          <w:b/>
          <w:color w:val="auto"/>
          <w:sz w:val="32"/>
          <w:szCs w:val="32"/>
          <w:lang w:val="en-US" w:eastAsia="zh-CN"/>
        </w:rPr>
      </w:pPr>
    </w:p>
    <w:p w14:paraId="536EC349">
      <w:pPr>
        <w:ind w:firstLine="3213" w:firstLineChars="1000"/>
        <w:rPr>
          <w:rFonts w:hint="eastAsia" w:ascii="宋体" w:hAnsi="宋体" w:eastAsia="宋体" w:cs="宋体"/>
          <w:b/>
          <w:color w:val="auto"/>
          <w:sz w:val="32"/>
          <w:szCs w:val="32"/>
          <w:lang w:val="en-US" w:eastAsia="zh-CN"/>
        </w:rPr>
      </w:pPr>
    </w:p>
    <w:p w14:paraId="435CE1BB">
      <w:pPr>
        <w:ind w:firstLine="3213" w:firstLineChars="1000"/>
        <w:rPr>
          <w:rFonts w:hint="eastAsia" w:ascii="宋体" w:hAnsi="宋体" w:eastAsia="宋体" w:cs="宋体"/>
          <w:b/>
          <w:color w:val="auto"/>
          <w:sz w:val="32"/>
          <w:szCs w:val="32"/>
          <w:lang w:val="en-US" w:eastAsia="zh-CN"/>
        </w:rPr>
      </w:pPr>
    </w:p>
    <w:p w14:paraId="5332B024">
      <w:pPr>
        <w:ind w:firstLine="3213" w:firstLineChars="1000"/>
        <w:rPr>
          <w:rFonts w:hint="eastAsia" w:ascii="宋体" w:hAnsi="宋体" w:eastAsia="宋体" w:cs="宋体"/>
          <w:b/>
          <w:color w:val="auto"/>
          <w:sz w:val="32"/>
          <w:szCs w:val="32"/>
          <w:lang w:val="en-US" w:eastAsia="zh-CN"/>
        </w:rPr>
      </w:pPr>
    </w:p>
    <w:p w14:paraId="4719635A">
      <w:pPr>
        <w:ind w:firstLine="3213" w:firstLineChars="1000"/>
        <w:rPr>
          <w:rFonts w:hint="eastAsia" w:ascii="宋体" w:hAnsi="宋体" w:eastAsia="宋体" w:cs="宋体"/>
          <w:b/>
          <w:color w:val="auto"/>
          <w:sz w:val="32"/>
          <w:szCs w:val="32"/>
          <w:lang w:val="en-US" w:eastAsia="zh-CN"/>
        </w:rPr>
      </w:pPr>
    </w:p>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14:paraId="6C6BE6F8">
      <w:pPr>
        <w:pStyle w:val="3"/>
        <w:ind w:firstLine="3213" w:firstLineChars="1000"/>
        <w:jc w:val="both"/>
        <w:rPr>
          <w:rFonts w:hint="eastAsia" w:ascii="宋体" w:hAnsi="宋体" w:eastAsia="宋体" w:cs="宋体"/>
          <w:color w:val="auto"/>
          <w:sz w:val="32"/>
          <w:szCs w:val="32"/>
        </w:rPr>
      </w:pPr>
      <w:bookmarkStart w:id="1151" w:name="_Toc15881"/>
      <w:bookmarkStart w:id="1152" w:name="_Toc31483"/>
      <w:bookmarkStart w:id="1153" w:name="_Toc300"/>
      <w:bookmarkStart w:id="1154" w:name="_Toc100670715"/>
      <w:bookmarkStart w:id="1155" w:name="_Toc77199446"/>
      <w:bookmarkStart w:id="1156" w:name="_Toc95601407"/>
      <w:bookmarkStart w:id="1157" w:name="_Toc100670467"/>
      <w:bookmarkStart w:id="1158" w:name="_Toc75289592"/>
      <w:bookmarkStart w:id="1159" w:name="_Toc25215"/>
      <w:bookmarkStart w:id="1160" w:name="_Toc192949644"/>
      <w:bookmarkStart w:id="1161" w:name="_Toc15888522"/>
      <w:bookmarkStart w:id="1162" w:name="_Toc108341982"/>
      <w:bookmarkStart w:id="1163" w:name="_Toc13626"/>
      <w:bookmarkStart w:id="1164" w:name="_Toc77676510"/>
      <w:bookmarkStart w:id="1165" w:name="_Toc114036756"/>
      <w:bookmarkStart w:id="1166" w:name="_Toc94367922"/>
      <w:bookmarkStart w:id="1167" w:name="_Toc154428431"/>
      <w:bookmarkStart w:id="1168" w:name="_Toc117192492"/>
      <w:bookmarkStart w:id="1169" w:name="_Toc192949743"/>
      <w:bookmarkStart w:id="1170" w:name="_Toc24507"/>
      <w:bookmarkStart w:id="1171" w:name="_Toc32354"/>
      <w:bookmarkStart w:id="1172" w:name="_Toc78449999"/>
      <w:bookmarkStart w:id="1173" w:name="_Toc9583"/>
      <w:bookmarkStart w:id="1174" w:name="_Toc112704985"/>
      <w:bookmarkStart w:id="1175" w:name="_Toc21944"/>
      <w:bookmarkStart w:id="1176" w:name="_Toc78314306"/>
      <w:bookmarkStart w:id="1177" w:name="_Toc5772"/>
      <w:bookmarkStart w:id="1178" w:name="_Toc192951254"/>
      <w:bookmarkStart w:id="1179" w:name="_Toc171273713"/>
      <w:bookmarkStart w:id="1180" w:name="_Toc75289274"/>
      <w:bookmarkStart w:id="1181" w:name="_Toc85972972"/>
      <w:bookmarkStart w:id="1182" w:name="_Toc24854"/>
      <w:r>
        <w:rPr>
          <w:rFonts w:hint="eastAsia" w:ascii="宋体" w:hAnsi="宋体" w:eastAsia="宋体" w:cs="宋体"/>
          <w:color w:val="auto"/>
          <w:sz w:val="32"/>
          <w:szCs w:val="32"/>
        </w:rPr>
        <w:t>第五章 采购需求</w:t>
      </w:r>
      <w:bookmarkEnd w:id="1151"/>
      <w:bookmarkEnd w:id="1152"/>
      <w:bookmarkEnd w:id="1153"/>
    </w:p>
    <w:p w14:paraId="0B31E903">
      <w:pPr>
        <w:pStyle w:val="4"/>
        <w:adjustRightInd w:val="0"/>
        <w:snapToGrid w:val="0"/>
        <w:spacing w:before="156" w:beforeLines="50"/>
        <w:jc w:val="center"/>
        <w:rPr>
          <w:rFonts w:hint="eastAsia" w:ascii="宋体" w:hAnsi="宋体" w:eastAsia="宋体" w:cs="宋体"/>
          <w:color w:val="auto"/>
          <w:sz w:val="28"/>
          <w:szCs w:val="28"/>
        </w:rPr>
      </w:pPr>
      <w:bookmarkStart w:id="1183" w:name="_Toc15912"/>
      <w:bookmarkStart w:id="1184" w:name="_Toc1227"/>
      <w:bookmarkStart w:id="1185" w:name="_Toc20234"/>
      <w:r>
        <w:rPr>
          <w:rFonts w:hint="eastAsia" w:ascii="宋体" w:hAnsi="宋体" w:eastAsia="宋体" w:cs="宋体"/>
          <w:color w:val="auto"/>
          <w:sz w:val="28"/>
          <w:szCs w:val="28"/>
        </w:rPr>
        <w:t>第一节 采购清单一览表</w:t>
      </w:r>
      <w:bookmarkEnd w:id="1183"/>
      <w:bookmarkEnd w:id="1184"/>
      <w:bookmarkEnd w:id="1185"/>
    </w:p>
    <w:tbl>
      <w:tblPr>
        <w:tblStyle w:val="47"/>
        <w:tblW w:w="8408" w:type="dxa"/>
        <w:jc w:val="center"/>
        <w:tblLayout w:type="fixed"/>
        <w:tblCellMar>
          <w:top w:w="0" w:type="dxa"/>
          <w:left w:w="0" w:type="dxa"/>
          <w:bottom w:w="0" w:type="dxa"/>
          <w:right w:w="0" w:type="dxa"/>
        </w:tblCellMar>
      </w:tblPr>
      <w:tblGrid>
        <w:gridCol w:w="676"/>
        <w:gridCol w:w="1005"/>
        <w:gridCol w:w="1710"/>
        <w:gridCol w:w="795"/>
        <w:gridCol w:w="3031"/>
        <w:gridCol w:w="624"/>
        <w:gridCol w:w="567"/>
      </w:tblGrid>
      <w:tr w14:paraId="03C9C964">
        <w:tblPrEx>
          <w:tblCellMar>
            <w:top w:w="0" w:type="dxa"/>
            <w:left w:w="0" w:type="dxa"/>
            <w:bottom w:w="0" w:type="dxa"/>
            <w:right w:w="0" w:type="dxa"/>
          </w:tblCellMar>
        </w:tblPrEx>
        <w:trPr>
          <w:trHeight w:val="432" w:hRule="atLeast"/>
          <w:jc w:val="center"/>
        </w:trPr>
        <w:tc>
          <w:tcPr>
            <w:tcW w:w="676" w:type="dxa"/>
            <w:tcBorders>
              <w:top w:val="single" w:color="000000" w:sz="8" w:space="0"/>
              <w:left w:val="single" w:color="000000" w:sz="8" w:space="0"/>
              <w:bottom w:val="single" w:color="auto" w:sz="4" w:space="0"/>
              <w:right w:val="single" w:color="auto" w:sz="4" w:space="0"/>
            </w:tcBorders>
            <w:shd w:val="clear" w:color="auto" w:fill="FFFFFF"/>
            <w:tcMar>
              <w:top w:w="0" w:type="dxa"/>
              <w:left w:w="108" w:type="dxa"/>
              <w:bottom w:w="0" w:type="dxa"/>
              <w:right w:w="108" w:type="dxa"/>
            </w:tcMar>
            <w:vAlign w:val="center"/>
          </w:tcPr>
          <w:p w14:paraId="1398C7D0">
            <w:pPr>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包号</w:t>
            </w:r>
          </w:p>
        </w:tc>
        <w:tc>
          <w:tcPr>
            <w:tcW w:w="1005" w:type="dxa"/>
            <w:tcBorders>
              <w:top w:val="single" w:color="000000" w:sz="8" w:space="0"/>
              <w:left w:val="single" w:color="auto" w:sz="4" w:space="0"/>
              <w:bottom w:val="single" w:color="auto" w:sz="4" w:space="0"/>
              <w:right w:val="single" w:color="auto" w:sz="4" w:space="0"/>
            </w:tcBorders>
            <w:shd w:val="clear" w:color="auto" w:fill="FFFFFF"/>
            <w:vAlign w:val="center"/>
          </w:tcPr>
          <w:p w14:paraId="346DA044">
            <w:pPr>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包名称</w:t>
            </w:r>
          </w:p>
        </w:tc>
        <w:tc>
          <w:tcPr>
            <w:tcW w:w="1710" w:type="dxa"/>
            <w:tcBorders>
              <w:top w:val="single" w:color="000000" w:sz="8" w:space="0"/>
              <w:left w:val="single" w:color="auto" w:sz="4" w:space="0"/>
              <w:bottom w:val="single" w:color="auto" w:sz="4" w:space="0"/>
              <w:right w:val="single" w:color="auto" w:sz="4" w:space="0"/>
            </w:tcBorders>
            <w:shd w:val="clear" w:color="auto" w:fill="FFFFFF"/>
            <w:vAlign w:val="center"/>
          </w:tcPr>
          <w:p w14:paraId="7D3E6319">
            <w:pPr>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标的名称</w:t>
            </w:r>
          </w:p>
        </w:tc>
        <w:tc>
          <w:tcPr>
            <w:tcW w:w="795" w:type="dxa"/>
            <w:tcBorders>
              <w:top w:val="single" w:color="000000" w:sz="8" w:space="0"/>
              <w:left w:val="single" w:color="auto" w:sz="4" w:space="0"/>
              <w:bottom w:val="single" w:color="auto" w:sz="4" w:space="0"/>
              <w:right w:val="single" w:color="auto" w:sz="4" w:space="0"/>
            </w:tcBorders>
            <w:shd w:val="clear" w:color="auto" w:fill="FFFFFF"/>
            <w:vAlign w:val="center"/>
          </w:tcPr>
          <w:p w14:paraId="4036C81E">
            <w:pPr>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数量</w:t>
            </w:r>
          </w:p>
        </w:tc>
        <w:tc>
          <w:tcPr>
            <w:tcW w:w="3031" w:type="dxa"/>
            <w:tcBorders>
              <w:top w:val="single" w:color="000000" w:sz="8" w:space="0"/>
              <w:left w:val="single" w:color="auto" w:sz="4" w:space="0"/>
              <w:bottom w:val="single" w:color="auto" w:sz="4" w:space="0"/>
              <w:right w:val="single" w:color="auto" w:sz="4" w:space="0"/>
            </w:tcBorders>
            <w:shd w:val="clear" w:color="auto" w:fill="FFFFFF"/>
            <w:vAlign w:val="center"/>
          </w:tcPr>
          <w:p w14:paraId="66589941">
            <w:pPr>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简要技术要求</w:t>
            </w:r>
          </w:p>
        </w:tc>
        <w:tc>
          <w:tcPr>
            <w:tcW w:w="624" w:type="dxa"/>
            <w:tcBorders>
              <w:top w:val="single" w:color="000000" w:sz="8" w:space="0"/>
              <w:left w:val="single" w:color="auto" w:sz="4" w:space="0"/>
              <w:bottom w:val="single" w:color="auto" w:sz="4" w:space="0"/>
              <w:right w:val="single" w:color="auto" w:sz="4" w:space="0"/>
            </w:tcBorders>
            <w:shd w:val="clear" w:color="auto" w:fill="FFFFFF"/>
            <w:vAlign w:val="center"/>
          </w:tcPr>
          <w:p w14:paraId="2ED6B4A8">
            <w:pPr>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节能产品</w:t>
            </w:r>
          </w:p>
        </w:tc>
        <w:tc>
          <w:tcPr>
            <w:tcW w:w="567" w:type="dxa"/>
            <w:tcBorders>
              <w:top w:val="single" w:color="000000" w:sz="8" w:space="0"/>
              <w:left w:val="single" w:color="auto" w:sz="4" w:space="0"/>
              <w:bottom w:val="single" w:color="auto" w:sz="4" w:space="0"/>
              <w:right w:val="single" w:color="auto" w:sz="8" w:space="0"/>
            </w:tcBorders>
            <w:shd w:val="clear" w:color="auto" w:fill="FFFFFF"/>
            <w:vAlign w:val="center"/>
          </w:tcPr>
          <w:p w14:paraId="72E02596">
            <w:pPr>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进口产品</w:t>
            </w:r>
          </w:p>
        </w:tc>
      </w:tr>
      <w:tr w14:paraId="2D2FF7B5">
        <w:tblPrEx>
          <w:tblCellMar>
            <w:top w:w="0" w:type="dxa"/>
            <w:left w:w="0" w:type="dxa"/>
            <w:bottom w:w="0" w:type="dxa"/>
            <w:right w:w="0" w:type="dxa"/>
          </w:tblCellMar>
        </w:tblPrEx>
        <w:trPr>
          <w:trHeight w:val="461" w:hRule="atLeast"/>
          <w:jc w:val="center"/>
        </w:trPr>
        <w:tc>
          <w:tcPr>
            <w:tcW w:w="676" w:type="dxa"/>
            <w:tcBorders>
              <w:top w:val="single" w:color="auto" w:sz="4" w:space="0"/>
              <w:left w:val="single" w:color="000000" w:sz="8" w:space="0"/>
              <w:bottom w:val="single" w:color="auto" w:sz="4" w:space="0"/>
              <w:right w:val="single" w:color="auto" w:sz="4" w:space="0"/>
            </w:tcBorders>
            <w:shd w:val="clear" w:color="auto" w:fill="FFFFFF"/>
            <w:tcMar>
              <w:top w:w="0" w:type="dxa"/>
              <w:left w:w="108" w:type="dxa"/>
              <w:bottom w:w="0" w:type="dxa"/>
              <w:right w:w="108" w:type="dxa"/>
            </w:tcMar>
            <w:vAlign w:val="center"/>
          </w:tcPr>
          <w:p w14:paraId="3D0DFDAC">
            <w:pPr>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01</w:t>
            </w:r>
          </w:p>
        </w:tc>
        <w:tc>
          <w:tcPr>
            <w:tcW w:w="1005" w:type="dxa"/>
            <w:tcBorders>
              <w:top w:val="single" w:color="auto" w:sz="4" w:space="0"/>
              <w:left w:val="single" w:color="auto" w:sz="4" w:space="0"/>
              <w:bottom w:val="single" w:color="auto" w:sz="4" w:space="0"/>
              <w:right w:val="single" w:color="auto" w:sz="4" w:space="0"/>
            </w:tcBorders>
            <w:shd w:val="clear" w:color="auto" w:fill="FFFFFF"/>
            <w:vAlign w:val="center"/>
          </w:tcPr>
          <w:p w14:paraId="1C6AFDB5">
            <w:pPr>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包1</w:t>
            </w:r>
          </w:p>
        </w:tc>
        <w:tc>
          <w:tcPr>
            <w:tcW w:w="1710" w:type="dxa"/>
            <w:tcBorders>
              <w:top w:val="single" w:color="auto" w:sz="4" w:space="0"/>
              <w:left w:val="single" w:color="auto" w:sz="4" w:space="0"/>
              <w:bottom w:val="single" w:color="auto" w:sz="4" w:space="0"/>
              <w:right w:val="single" w:color="auto" w:sz="4" w:space="0"/>
            </w:tcBorders>
            <w:shd w:val="clear" w:color="auto" w:fill="FFFFFF"/>
            <w:vAlign w:val="center"/>
          </w:tcPr>
          <w:p w14:paraId="699BAF27">
            <w:pPr>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新化县第十一中学新校区设备采购</w:t>
            </w:r>
          </w:p>
        </w:tc>
        <w:tc>
          <w:tcPr>
            <w:tcW w:w="795" w:type="dxa"/>
            <w:tcBorders>
              <w:top w:val="single" w:color="auto" w:sz="4" w:space="0"/>
              <w:left w:val="single" w:color="auto" w:sz="4" w:space="0"/>
              <w:bottom w:val="single" w:color="auto" w:sz="4" w:space="0"/>
              <w:right w:val="single" w:color="auto" w:sz="4" w:space="0"/>
            </w:tcBorders>
            <w:shd w:val="clear" w:color="auto" w:fill="FFFFFF"/>
            <w:vAlign w:val="center"/>
          </w:tcPr>
          <w:p w14:paraId="7AC31C2D">
            <w:pPr>
              <w:jc w:val="center"/>
              <w:rPr>
                <w:rFonts w:hint="eastAsia" w:ascii="宋体" w:hAnsi="宋体" w:eastAsia="宋体" w:cs="宋体"/>
                <w:color w:val="auto"/>
                <w:kern w:val="0"/>
                <w:highlight w:val="none"/>
                <w:lang w:val="en-US" w:eastAsia="zh-CN"/>
              </w:rPr>
            </w:pPr>
            <w:r>
              <w:rPr>
                <w:rFonts w:hint="eastAsia" w:ascii="宋体" w:hAnsi="宋体" w:eastAsia="宋体" w:cs="宋体"/>
                <w:color w:val="auto"/>
                <w:kern w:val="0"/>
                <w:highlight w:val="none"/>
                <w:lang w:val="en-US" w:eastAsia="zh-CN"/>
              </w:rPr>
              <w:t>1批</w:t>
            </w:r>
          </w:p>
        </w:tc>
        <w:tc>
          <w:tcPr>
            <w:tcW w:w="3031" w:type="dxa"/>
            <w:tcBorders>
              <w:top w:val="single" w:color="auto" w:sz="4" w:space="0"/>
              <w:left w:val="single" w:color="auto" w:sz="4" w:space="0"/>
              <w:bottom w:val="single" w:color="auto" w:sz="4" w:space="0"/>
              <w:right w:val="single" w:color="auto" w:sz="4" w:space="0"/>
            </w:tcBorders>
            <w:shd w:val="clear" w:color="auto" w:fill="FFFFFF"/>
            <w:vAlign w:val="center"/>
          </w:tcPr>
          <w:p w14:paraId="6F237215">
            <w:pPr>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课桌:600套；电子白板:15块；教师床:40张；办公桌:40张；资料柜:40个；办公椅:40条；办公室电脑15台；食堂就餐桌:160套。</w:t>
            </w:r>
          </w:p>
        </w:tc>
        <w:tc>
          <w:tcPr>
            <w:tcW w:w="624" w:type="dxa"/>
            <w:tcBorders>
              <w:top w:val="single" w:color="auto" w:sz="4" w:space="0"/>
              <w:left w:val="single" w:color="auto" w:sz="4" w:space="0"/>
              <w:bottom w:val="single" w:color="auto" w:sz="4" w:space="0"/>
              <w:right w:val="single" w:color="auto" w:sz="4" w:space="0"/>
            </w:tcBorders>
            <w:shd w:val="clear" w:color="auto" w:fill="FFFFFF"/>
            <w:vAlign w:val="center"/>
          </w:tcPr>
          <w:p w14:paraId="3098DCF7">
            <w:pPr>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sym w:font="Wingdings" w:char="00FE"/>
            </w:r>
          </w:p>
        </w:tc>
        <w:tc>
          <w:tcPr>
            <w:tcW w:w="567" w:type="dxa"/>
            <w:tcBorders>
              <w:top w:val="single" w:color="auto" w:sz="4" w:space="0"/>
              <w:left w:val="single" w:color="auto" w:sz="4" w:space="0"/>
              <w:bottom w:val="single" w:color="auto" w:sz="4" w:space="0"/>
              <w:right w:val="single" w:color="auto" w:sz="8" w:space="0"/>
            </w:tcBorders>
            <w:shd w:val="clear" w:color="auto" w:fill="FFFFFF"/>
            <w:vAlign w:val="center"/>
          </w:tcPr>
          <w:p w14:paraId="7745FCAC">
            <w:pPr>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sym w:font="Wingdings" w:char="00A8"/>
            </w:r>
          </w:p>
        </w:tc>
      </w:tr>
    </w:tbl>
    <w:p w14:paraId="0D85458E">
      <w:pPr>
        <w:rPr>
          <w:rFonts w:hint="eastAsia" w:ascii="宋体" w:hAnsi="宋体" w:eastAsia="宋体" w:cs="宋体"/>
          <w:color w:val="auto"/>
        </w:rPr>
      </w:pPr>
    </w:p>
    <w:p w14:paraId="7D0E689C">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注：1.“包”为最小合同单位（最小投标单位）。每“包”内容应细化到具体标的。</w:t>
      </w:r>
    </w:p>
    <w:p w14:paraId="76A72CF6">
      <w:pPr>
        <w:adjustRightInd w:val="0"/>
        <w:snapToGrid w:val="0"/>
        <w:spacing w:before="156"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2.投标人必须对一个完整、独立的包进行投标，不得仅对一个包中的部分标的投标，否则</w:t>
      </w:r>
      <w:r>
        <w:rPr>
          <w:rFonts w:hint="eastAsia" w:ascii="宋体" w:hAnsi="宋体" w:eastAsia="宋体" w:cs="宋体"/>
          <w:b/>
          <w:color w:val="auto"/>
          <w:szCs w:val="21"/>
        </w:rPr>
        <w:t>投标无效。</w:t>
      </w:r>
    </w:p>
    <w:p w14:paraId="6F9BDC78">
      <w:pPr>
        <w:adjustRightInd w:val="0"/>
        <w:snapToGrid w:val="0"/>
        <w:spacing w:before="156" w:beforeLines="50"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szCs w:val="21"/>
        </w:rPr>
        <w:t>3.货物的主要技术参数或规格：</w:t>
      </w:r>
      <w:r>
        <w:rPr>
          <w:rFonts w:hint="eastAsia" w:ascii="宋体" w:hAnsi="宋体" w:eastAsia="宋体" w:cs="宋体"/>
          <w:color w:val="auto"/>
          <w:kern w:val="0"/>
          <w:szCs w:val="21"/>
        </w:rPr>
        <w:t>详见“技术要求”中的具体技术参数。</w:t>
      </w:r>
    </w:p>
    <w:p w14:paraId="3BCB04B1">
      <w:pPr>
        <w:adjustRightInd w:val="0"/>
        <w:snapToGrid w:val="0"/>
        <w:spacing w:before="156" w:beforeLines="50" w:line="360" w:lineRule="auto"/>
        <w:ind w:firstLine="420" w:firstLineChars="200"/>
        <w:rPr>
          <w:rFonts w:hint="eastAsia" w:ascii="宋体" w:hAnsi="宋体" w:eastAsia="宋体" w:cs="宋体"/>
          <w:color w:val="auto"/>
          <w:kern w:val="0"/>
          <w:szCs w:val="21"/>
        </w:rPr>
      </w:pPr>
      <w:r>
        <w:rPr>
          <w:rFonts w:hint="eastAsia" w:ascii="宋体" w:hAnsi="宋体" w:eastAsia="宋体" w:cs="宋体"/>
          <w:bCs/>
          <w:color w:val="auto"/>
          <w:kern w:val="0"/>
          <w:szCs w:val="21"/>
        </w:rPr>
        <w:t>4.投标人应</w:t>
      </w:r>
      <w:r>
        <w:rPr>
          <w:rFonts w:hint="eastAsia" w:ascii="宋体" w:hAnsi="宋体" w:eastAsia="宋体" w:cs="宋体"/>
          <w:color w:val="auto"/>
          <w:kern w:val="0"/>
          <w:szCs w:val="21"/>
        </w:rPr>
        <w:t>在投标文件《分项报价明细表》中按</w:t>
      </w:r>
      <w:r>
        <w:rPr>
          <w:rFonts w:hint="eastAsia" w:ascii="宋体" w:hAnsi="宋体" w:eastAsia="宋体" w:cs="宋体"/>
          <w:color w:val="auto"/>
          <w:szCs w:val="21"/>
        </w:rPr>
        <w:t>标的名称</w:t>
      </w:r>
      <w:r>
        <w:rPr>
          <w:rFonts w:hint="eastAsia" w:ascii="宋体" w:hAnsi="宋体" w:eastAsia="宋体" w:cs="宋体"/>
          <w:color w:val="auto"/>
          <w:kern w:val="0"/>
          <w:szCs w:val="21"/>
        </w:rPr>
        <w:t>顺序逐项填写，且每个标的中的条目均需按招标文件规定报价。如有缺项、漏项，其</w:t>
      </w:r>
      <w:r>
        <w:rPr>
          <w:rFonts w:hint="eastAsia" w:ascii="宋体" w:hAnsi="宋体" w:eastAsia="宋体" w:cs="宋体"/>
          <w:b/>
          <w:color w:val="auto"/>
          <w:kern w:val="0"/>
          <w:szCs w:val="21"/>
        </w:rPr>
        <w:t>投标无效</w:t>
      </w:r>
      <w:r>
        <w:rPr>
          <w:rFonts w:hint="eastAsia" w:ascii="宋体" w:hAnsi="宋体" w:eastAsia="宋体" w:cs="宋体"/>
          <w:color w:val="auto"/>
          <w:kern w:val="0"/>
          <w:szCs w:val="21"/>
        </w:rPr>
        <w:t>。</w:t>
      </w:r>
    </w:p>
    <w:p w14:paraId="3267E3E3">
      <w:pPr>
        <w:adjustRightInd w:val="0"/>
        <w:snapToGrid w:val="0"/>
        <w:spacing w:line="36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5、</w:t>
      </w:r>
      <w:r>
        <w:rPr>
          <w:rFonts w:hint="eastAsia" w:ascii="宋体" w:hAnsi="宋体" w:eastAsia="宋体" w:cs="宋体"/>
          <w:color w:val="auto"/>
          <w:szCs w:val="21"/>
          <w:highlight w:val="none"/>
        </w:rPr>
        <w:t>上述设备中实行强制采购的节能产品详见最新一期《节能产品政府采购品目清单》，各潜在</w:t>
      </w:r>
      <w:r>
        <w:rPr>
          <w:rFonts w:hint="eastAsia" w:ascii="宋体" w:hAnsi="宋体" w:eastAsia="宋体" w:cs="宋体"/>
          <w:color w:val="auto"/>
          <w:kern w:val="0"/>
          <w:szCs w:val="21"/>
          <w:highlight w:val="none"/>
        </w:rPr>
        <w:t>投标人需自行查询。</w:t>
      </w:r>
    </w:p>
    <w:p w14:paraId="4E57DE44">
      <w:pPr>
        <w:widowControl/>
        <w:spacing w:line="400" w:lineRule="exact"/>
        <w:jc w:val="left"/>
        <w:rPr>
          <w:rFonts w:hint="eastAsia" w:ascii="宋体" w:hAnsi="宋体" w:eastAsia="宋体" w:cs="宋体"/>
          <w:color w:val="auto"/>
          <w:szCs w:val="21"/>
          <w:highlight w:val="red"/>
          <w:lang w:eastAsia="zh-CN"/>
        </w:rPr>
      </w:pPr>
      <w:r>
        <w:rPr>
          <w:rFonts w:hint="eastAsia" w:ascii="宋体" w:hAnsi="宋体" w:eastAsia="宋体" w:cs="宋体"/>
          <w:color w:val="auto"/>
          <w:kern w:val="0"/>
          <w:szCs w:val="21"/>
          <w:highlight w:val="none"/>
          <w:lang w:val="en-US" w:eastAsia="zh-CN"/>
        </w:rPr>
        <w:t>6、本项目</w:t>
      </w:r>
      <w:r>
        <w:rPr>
          <w:rFonts w:hint="eastAsia" w:ascii="宋体" w:hAnsi="宋体" w:eastAsia="宋体" w:cs="宋体"/>
          <w:color w:val="auto"/>
          <w:szCs w:val="21"/>
          <w:highlight w:val="none"/>
        </w:rPr>
        <w:t>采购项目最高限价</w:t>
      </w:r>
      <w:r>
        <w:rPr>
          <w:rFonts w:hint="eastAsia" w:ascii="宋体" w:hAnsi="宋体" w:eastAsia="宋体" w:cs="宋体"/>
          <w:color w:val="auto"/>
          <w:sz w:val="21"/>
          <w:szCs w:val="21"/>
          <w:highlight w:val="none"/>
          <w:lang w:eastAsia="zh-CN"/>
        </w:rPr>
        <w:t>：</w:t>
      </w:r>
      <w:r>
        <w:rPr>
          <w:rFonts w:hint="eastAsia" w:ascii="宋体" w:hAnsi="宋体" w:eastAsia="宋体" w:cs="Times New Roman"/>
          <w:color w:val="000000"/>
          <w:sz w:val="21"/>
          <w:szCs w:val="21"/>
          <w:lang w:val="en-US" w:eastAsia="zh-CN"/>
        </w:rPr>
        <w:t>692800元</w:t>
      </w:r>
      <w:r>
        <w:rPr>
          <w:rFonts w:hint="eastAsia" w:ascii="宋体" w:hAnsi="宋体" w:cs="Times New Roman"/>
          <w:color w:val="000000"/>
          <w:sz w:val="21"/>
          <w:szCs w:val="21"/>
          <w:lang w:val="en-US" w:eastAsia="zh-CN"/>
        </w:rPr>
        <w:t>。</w:t>
      </w:r>
    </w:p>
    <w:p w14:paraId="3C870772">
      <w:pPr>
        <w:adjustRightInd w:val="0"/>
        <w:snapToGrid w:val="0"/>
        <w:spacing w:line="360" w:lineRule="exact"/>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投标人报价不得超过最高总价限价</w:t>
      </w:r>
      <w:r>
        <w:rPr>
          <w:rFonts w:hint="eastAsia" w:ascii="宋体" w:hAnsi="宋体" w:eastAsia="宋体" w:cs="宋体"/>
          <w:color w:val="auto"/>
          <w:kern w:val="0"/>
          <w:szCs w:val="21"/>
          <w:highlight w:val="none"/>
          <w:lang w:eastAsia="zh-CN"/>
        </w:rPr>
        <w:t>，</w:t>
      </w:r>
      <w:r>
        <w:rPr>
          <w:rFonts w:hint="eastAsia" w:ascii="宋体" w:hAnsi="宋体" w:eastAsia="宋体" w:cs="宋体"/>
          <w:color w:val="auto"/>
          <w:kern w:val="0"/>
          <w:szCs w:val="21"/>
          <w:highlight w:val="none"/>
        </w:rPr>
        <w:t>否则投标无效。</w:t>
      </w:r>
    </w:p>
    <w:p w14:paraId="7ACD5594">
      <w:pPr>
        <w:adjustRightInd w:val="0"/>
        <w:snapToGrid w:val="0"/>
        <w:spacing w:line="360" w:lineRule="exact"/>
        <w:rPr>
          <w:rFonts w:hint="eastAsia" w:ascii="宋体" w:hAnsi="宋体" w:eastAsia="宋体" w:cs="宋体"/>
          <w:color w:val="auto"/>
          <w:szCs w:val="21"/>
          <w:highlight w:val="red"/>
          <w:lang w:eastAsia="zh-CN"/>
        </w:rPr>
      </w:pPr>
    </w:p>
    <w:p w14:paraId="26203778">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8"/>
          <w:szCs w:val="28"/>
          <w:highlight w:val="none"/>
        </w:rPr>
      </w:pPr>
      <w:bookmarkStart w:id="1186" w:name="_Toc16251"/>
      <w:bookmarkStart w:id="1187" w:name="_Toc22929"/>
    </w:p>
    <w:p w14:paraId="7132E875">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auto"/>
          <w:sz w:val="28"/>
          <w:szCs w:val="28"/>
          <w:highlight w:val="none"/>
        </w:rPr>
      </w:pPr>
    </w:p>
    <w:p w14:paraId="5C4C0946">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r>
        <w:rPr>
          <w:rFonts w:hint="eastAsia" w:ascii="宋体" w:hAnsi="宋体" w:eastAsia="宋体" w:cs="宋体"/>
          <w:color w:val="auto"/>
          <w:sz w:val="28"/>
          <w:szCs w:val="28"/>
          <w:highlight w:val="none"/>
        </w:rPr>
        <w:t>技术要求</w:t>
      </w:r>
      <w:bookmarkEnd w:id="1186"/>
      <w:bookmarkEnd w:id="1187"/>
    </w:p>
    <w:tbl>
      <w:tblPr>
        <w:tblStyle w:val="47"/>
        <w:tblW w:w="894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3"/>
        <w:gridCol w:w="1435"/>
        <w:gridCol w:w="5502"/>
        <w:gridCol w:w="692"/>
        <w:gridCol w:w="692"/>
      </w:tblGrid>
      <w:tr w14:paraId="6FBFA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756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B00D9">
            <w:pPr>
              <w:keepNext w:val="0"/>
              <w:keepLines w:val="0"/>
              <w:widowControl/>
              <w:suppressLineNumbers w:val="0"/>
              <w:jc w:val="left"/>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一、教学一体机的清单表</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A251E">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 xml:space="preserve"> </w:t>
            </w:r>
          </w:p>
        </w:tc>
        <w:tc>
          <w:tcPr>
            <w:tcW w:w="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793FE">
            <w:pPr>
              <w:jc w:val="center"/>
              <w:rPr>
                <w:rFonts w:hint="eastAsia" w:ascii="宋体" w:hAnsi="宋体" w:eastAsia="宋体" w:cs="宋体"/>
                <w:i w:val="0"/>
                <w:iCs w:val="0"/>
                <w:color w:val="FF0000"/>
                <w:sz w:val="20"/>
                <w:szCs w:val="20"/>
                <w:u w:val="none"/>
              </w:rPr>
            </w:pPr>
          </w:p>
        </w:tc>
      </w:tr>
      <w:tr w14:paraId="45A1D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58FE4">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序号</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FD0B8">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名称</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70EEA">
            <w:pPr>
              <w:keepNext w:val="0"/>
              <w:keepLines w:val="0"/>
              <w:widowControl/>
              <w:suppressLineNumbers w:val="0"/>
              <w:jc w:val="left"/>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规格参数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907C5">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数量</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2F4EC">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单位</w:t>
            </w:r>
          </w:p>
        </w:tc>
      </w:tr>
      <w:tr w14:paraId="5576C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5" w:hRule="atLeast"/>
        </w:trPr>
        <w:tc>
          <w:tcPr>
            <w:tcW w:w="623" w:type="dxa"/>
            <w:vMerge w:val="restart"/>
            <w:tcBorders>
              <w:top w:val="single" w:color="000000" w:sz="4" w:space="0"/>
              <w:left w:val="single" w:color="000000" w:sz="4" w:space="0"/>
              <w:right w:val="single" w:color="000000" w:sz="4" w:space="0"/>
            </w:tcBorders>
            <w:shd w:val="clear" w:color="auto" w:fill="auto"/>
            <w:noWrap/>
            <w:vAlign w:val="center"/>
          </w:tcPr>
          <w:p w14:paraId="5397F48C">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1</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E2DDE">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75寸一体机</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8EEDC">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一、屏体及触控技术要求</w:t>
            </w:r>
          </w:p>
          <w:p w14:paraId="163E3845">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rPr>
              <w:t>1.整机屏幕采用86英寸液晶显示器，采⽤超⾼清LED液晶屏，显示分辨率3840x2160，可视角度≥178°；屏幕边缘采用金属圆角包边防护，整机背板采用金属材质，有效屏蔽内部电路器件辐射；防潮耐盐雾蚀锈，适应多种教学环境。</w:t>
            </w:r>
          </w:p>
          <w:p w14:paraId="28DB5171">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rPr>
              <w:t>2.需要提供带有CMA或CNAS标识并加盖投标人公章</w:t>
            </w:r>
            <w:r>
              <w:rPr>
                <w:rFonts w:hint="eastAsia" w:ascii="宋体" w:hAnsi="宋体" w:eastAsia="宋体" w:cs="宋体"/>
                <w:color w:val="FF0000"/>
                <w:lang w:val="en-US" w:eastAsia="zh-CN"/>
              </w:rPr>
              <w:t>的检测报告，说明</w:t>
            </w:r>
            <w:r>
              <w:rPr>
                <w:rFonts w:hint="eastAsia" w:ascii="宋体" w:hAnsi="宋体" w:eastAsia="宋体" w:cs="宋体"/>
                <w:color w:val="FF0000"/>
              </w:rPr>
              <w:t>整机采用红外触控技术，Windows系统和Android系统均支持≥50点触控及书写划线。</w:t>
            </w:r>
          </w:p>
          <w:p w14:paraId="6E4D2999">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3.侧置输入接口具备≥2路HDMI、≥1路RS232（RJ45形态）、≥1路USB接口；侧置输出接口具备≥1路音频输出、≥1路触控USB输出；前置输入接口≥3路USB接口（包含1路Type-C、2路USB）。</w:t>
            </w:r>
          </w:p>
          <w:p w14:paraId="7BFA7034">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二、安全及能效要求</w:t>
            </w:r>
          </w:p>
          <w:p w14:paraId="68086B7A">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1.整机背光系统支持DC调光方式，多级亮度调节，支持白颜色背景下最暗亮度≤100nit，用于提升显示对比度。</w:t>
            </w:r>
          </w:p>
          <w:p w14:paraId="4414F410">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2.整机视网膜蓝光危害（蓝光加权辐射亮度LB）满足蓝光危害RG0级别。</w:t>
            </w:r>
          </w:p>
          <w:p w14:paraId="4053EFC6">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3.整机全通道支持纸质护眼模式，可实现画面纹理的实时调整；支持纸质纹理：牛皮纸、素描纸、宣纸、水彩纸、水纹纸；支持透明度调节；支持色温调节。</w:t>
            </w:r>
          </w:p>
          <w:p w14:paraId="408D73CD">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4.整机内置专业硬件自检维护工具（非第三方工具），支持对整机内部的板卡及部件模块进行故障检测、系统还原功能。</w:t>
            </w:r>
          </w:p>
          <w:p w14:paraId="443F2287">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rPr>
              <w:t>5.整机采用≥12核国产化嵌入式芯片，CPU≥8核，整机嵌入式系统版本≥Android 15，主频≥1.6GHz，内存≥2GB，DDR最大速率≥2666MT/S，存储空间≥32GB。</w:t>
            </w:r>
          </w:p>
          <w:p w14:paraId="20C42D75">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6.整机关机状态下，通过电源键，可点击屏幕选择恢复Android系统及Windows操作系统到出厂默认状态，无需额外工具辅助。</w:t>
            </w:r>
          </w:p>
          <w:p w14:paraId="39EB196F">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7.整机无线模块（Wi-Fi和蓝牙）采用独立模块化设计，无需拆卸整机后壳即可独立拆装。</w:t>
            </w:r>
          </w:p>
          <w:p w14:paraId="2228B5F3">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三、教学要求</w:t>
            </w:r>
          </w:p>
          <w:p w14:paraId="2D556AFF">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rPr>
              <w:t>1.整机内置2.2 声道扬声器，位于设备上边框，顶置朝前发声，12W高音扬声器2个，上朝向30W中低音扬声器2个，最大功率≥84W，单个扬声器容积≥0.62L，最低谐振频率≤85Hz。</w:t>
            </w:r>
          </w:p>
          <w:p w14:paraId="49551A53">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2.整机内置麦克风声源定位算法，声源定位精度≤5度，可以识别回答问题的学生方位。</w:t>
            </w:r>
          </w:p>
          <w:p w14:paraId="65249900">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3.整机听力模式下具备AI人声语言增强功能，支持三挡强弱调节，通过AI算法提取视频/音频中的语言进行效果增强，在不增加音量的情况下提升语言清晰度，扩声系统语言传输指数（STIPA）≥0.75。</w:t>
            </w:r>
          </w:p>
          <w:p w14:paraId="70E5BBD7">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4.整机内置语音助手，通过整机麦克风及智能笔以唤醒词调起语音助手，支持语音交互的方式调节整机音量、亮度，语音操控打开系统已安装应用如：教学白板、浏览器、计算器、画板，语音搜索指定网页内容，支持选择网页中的视频进行播放或暂停。</w:t>
            </w:r>
          </w:p>
          <w:p w14:paraId="491DD8E5">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5.整机无线模块（Wi-Fi和蓝牙）采用独立模块化设计，无需拆卸整机后壳即可独立拆装。</w:t>
            </w:r>
          </w:p>
          <w:p w14:paraId="1DFFC111">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6.需要提供带有CMA或CNAS标识并加盖投标人公章</w:t>
            </w:r>
            <w:r>
              <w:rPr>
                <w:rFonts w:hint="eastAsia" w:ascii="宋体" w:hAnsi="宋体" w:eastAsia="宋体" w:cs="宋体"/>
                <w:color w:val="FF0000"/>
                <w:lang w:val="en-US" w:eastAsia="zh-CN"/>
              </w:rPr>
              <w:t>的检测报告，说明</w:t>
            </w:r>
            <w:r>
              <w:rPr>
                <w:rFonts w:hint="eastAsia" w:ascii="宋体" w:hAnsi="宋体" w:eastAsia="宋体" w:cs="宋体"/>
                <w:color w:val="FF0000"/>
              </w:rPr>
              <w:t>整机支持发出频率为18kHz-22kHz超声波信号，智能手机和笔记本电脑接收超声波信号后可以自动识别附近投屏设备，点击对应设备即可完成投屏操作。</w:t>
            </w:r>
          </w:p>
          <w:p w14:paraId="43F43F42">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7.整机PC通道及安卓通道各具备一颗WiFi6无线芯片，PC和安卓通道均可通过大屏发送WiFi6热点以及连接WiFi6的路由器。</w:t>
            </w:r>
          </w:p>
          <w:p w14:paraId="53ECFBA7">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四、应用功能要求</w:t>
            </w:r>
          </w:p>
          <w:p w14:paraId="0AB085F6">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1.整机具备班级视力检测功能，学⽣站在距离屏幕前5m处，可通过⼿势识别方式来标识方向进行视力测试，测试完成后可直接生成视力检测结果，并建立学生视力档案，对学生视力情况进⾏管理。</w:t>
            </w:r>
          </w:p>
          <w:p w14:paraId="677548F8">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2.整机配套教学应用APP可通过wifi直连技术，近场发现附近教学大屏设备，无需扫码、账号密码输入步骤，即可直接连接并登录教学大屏设备，基于统一身份认证机制可实现其他教学软件免登录操作。</w:t>
            </w:r>
          </w:p>
          <w:p w14:paraId="6EDA6AF0">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3.整机设备开机启动后，自动进入教学桌面，支持账号登录、退出，自动获取个人云端教学课件列表、并可进入全部课件列表。</w:t>
            </w:r>
          </w:p>
          <w:p w14:paraId="52B89503">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4.需要提供带有CMA或CNAS标识并加盖投标人公章</w:t>
            </w:r>
            <w:r>
              <w:rPr>
                <w:rFonts w:hint="eastAsia" w:ascii="宋体" w:hAnsi="宋体" w:eastAsia="宋体" w:cs="宋体"/>
                <w:color w:val="FF0000"/>
                <w:lang w:val="en-US" w:eastAsia="zh-CN"/>
              </w:rPr>
              <w:t>的检测报告，说明该</w:t>
            </w:r>
            <w:r>
              <w:rPr>
                <w:rFonts w:hint="eastAsia" w:ascii="宋体" w:hAnsi="宋体" w:eastAsia="宋体" w:cs="宋体"/>
                <w:color w:val="FF0000"/>
              </w:rPr>
              <w:t>整机设备支持多种身份识别方式，支持通过账号登录、手机扫码登录、人脸识别登录、声纹识别登录、近场发现登录，并支持账号安全登录检测。</w:t>
            </w:r>
          </w:p>
          <w:p w14:paraId="2D629475">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5.整机支持统一互通的用户身份认证服务，账号登录后，打开教学白板软件教学应用工具时无需再次输入账号密码重复登录。</w:t>
            </w:r>
          </w:p>
          <w:p w14:paraId="2BBE6F39">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6.整机Windows通道支持文件传输应用，支持通过扫码、超声、wifi直连三种方式与手机进行握手连接，实现文件传输功能。</w:t>
            </w:r>
          </w:p>
          <w:p w14:paraId="1B2DACDB">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7.整机侧边栏内置朗读工具，通过整机麦克风监测教室中学生的朗读情况，并以游戏化界面反馈学生朗读音量大小。</w:t>
            </w:r>
          </w:p>
          <w:p w14:paraId="6DB6A725">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8.整机侧边栏内置自习工具，通过整机麦克风监测教室中学生音量大小，当学生音量大于阈值时，屏幕自动弹窗提醒进行自习纪律干预。</w:t>
            </w:r>
          </w:p>
          <w:p w14:paraId="647489B2">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9.整机支持在无任何外部设备的情况下，实时录制用户朗读内容，识别用户声纹并进行统一身份登录，登录后自动获取个人云端教学课件列表，打开教学白板软件时可跳过软件自带登录步骤。</w:t>
            </w:r>
          </w:p>
          <w:p w14:paraId="7F064ECE">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10.整机白板软件支持智能图表绘制，可将手绘表格转化为智能表格，形成表格对象后表格中书写区域可根据书写内容自适应调整大小，支持将表格外书写内容一键拖动到表格中。</w:t>
            </w:r>
          </w:p>
          <w:p w14:paraId="20D4DEFC">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11.交互式白板软件支持手写笔迹的智能编辑，支持通过手绘置换符置换前后文字语序，支持手动涂抹笔迹对象进行删除，支持圈选笔迹对象进行手写笔迹缩放，支持文字间手绘竖线进行文字间距的调整。</w:t>
            </w:r>
          </w:p>
          <w:p w14:paraId="7B16A826">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12.整机侧边栏内置智能语音转文字工具，将整机内置麦克风拾取的语音进行文字转译，以悬浮字幕形式将转译文字显示在屏幕上。</w:t>
            </w:r>
          </w:p>
          <w:p w14:paraId="2AB33998">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13.整机侧边栏内置智能语音转文字工具，支持实时拾取整机系统播放的音视频源内容并进行文字转译，以悬浮字幕形式将文字显示在屏幕上。</w:t>
            </w:r>
          </w:p>
          <w:p w14:paraId="17CE9E82">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14.整机内置计算器应用，支持多项式复杂计算，对多项式进行积分、求导、多项式展开和多项式分解，支持对多项式进行绘制图像，展示绘制结果。</w:t>
            </w:r>
          </w:p>
          <w:p w14:paraId="362E026C">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15.支持通过悬浮球调起元素周期表，支持对不同类别元素进行颜色区分，可通过点击对不同元素进行分类展示，展示样式支持按原子数/原子结构/相对原子质量/电子构型配置元素方式进行调整。</w:t>
            </w:r>
          </w:p>
          <w:p w14:paraId="590A02E4">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16.整机内置交互式白板软件支持汉字语音测评功能，通过整机拾音麦进行用户声音采集分析，判断用户发音是否标准。</w:t>
            </w:r>
          </w:p>
          <w:p w14:paraId="124071E9">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17.整机内置趣味画板功能，支持自由画、涂色和拼图模式；保存绘画作品时，支持调用整机麦克风进行录音，并将录音和画作合成为作品保存在画廊；在画廊查看作品时支持录音回放功能。</w:t>
            </w:r>
          </w:p>
          <w:p w14:paraId="6EDA0DE9">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18.整机内置学生日历功能，支持全屏查看日历、显示法定节日；用户可以添加日历事件，设定特定时间并关联本机安卓应用，事件到期后，可以通过事件提醒打开关联的应用，如欢迎词、白板应用。</w:t>
            </w:r>
          </w:p>
          <w:p w14:paraId="47C58C80">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19.整机内置AR授课工具，支持对视频展台所采集的画面中叠加动态的3D 模型。3D模型包括：动物、微生物、人体骨骼、乐器、星球、地形。</w:t>
            </w:r>
          </w:p>
          <w:p w14:paraId="7934569E">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五、内置电脑</w:t>
            </w:r>
          </w:p>
          <w:p w14:paraId="4FD9160E">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rPr>
              <w:t>1.插拔式电脑架构: 采用插拔式电脑架构，电脑与大屏无单独接线。</w:t>
            </w:r>
          </w:p>
          <w:p w14:paraId="06BB395A">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2.超低静音侧出风散热设计。</w:t>
            </w:r>
          </w:p>
          <w:p w14:paraId="3AC0B93D">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rPr>
              <w:t>3.处理器性能:≥8核、≥12线程、主频不低于2.0G Hz。</w:t>
            </w:r>
          </w:p>
          <w:p w14:paraId="3E513B7D">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rPr>
              <w:t>4.内存性能:≥ 8G DDR4或以上配置。</w:t>
            </w:r>
          </w:p>
          <w:p w14:paraId="46718955">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rPr>
              <w:t>5.硬盘性能:存储空间≥ 256 G固态硬盘或以上。</w:t>
            </w:r>
          </w:p>
          <w:p w14:paraId="09DAC212">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rPr>
              <w:t>6.网络接入:内置10/100/1000M自适应网卡。</w:t>
            </w:r>
          </w:p>
          <w:p w14:paraId="53CDF610">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7.采用模块化电脑，抽拉内置式，需实现无单独接线的插拔，低噪音热管传导散热设计。</w:t>
            </w:r>
          </w:p>
          <w:p w14:paraId="7DDC6C73">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8.电脑模块和整机连接采用万兆级接口，传输速率≥10Gpbs。</w:t>
            </w:r>
          </w:p>
          <w:p w14:paraId="6D833E77">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9.采用按压式卡扣，无需工具就可快速拆卸电脑模块。</w:t>
            </w:r>
          </w:p>
          <w:p w14:paraId="3F2810C2">
            <w:pPr>
              <w:keepNext w:val="0"/>
              <w:keepLines w:val="0"/>
              <w:widowControl/>
              <w:suppressLineNumbers w:val="0"/>
              <w:jc w:val="left"/>
              <w:textAlignment w:val="center"/>
              <w:rPr>
                <w:rFonts w:hint="eastAsia" w:ascii="宋体" w:hAnsi="宋体" w:eastAsia="宋体" w:cs="宋体"/>
                <w:i w:val="0"/>
                <w:iCs w:val="0"/>
                <w:color w:val="FF0000"/>
                <w:sz w:val="20"/>
                <w:szCs w:val="20"/>
                <w:u w:val="none"/>
              </w:rPr>
            </w:pPr>
            <w:r>
              <w:rPr>
                <w:rFonts w:hint="eastAsia" w:ascii="宋体" w:hAnsi="宋体" w:eastAsia="宋体" w:cs="宋体"/>
                <w:color w:val="FF0000"/>
              </w:rPr>
              <w:t>10.PC模块的USB接口须为冗余备份接口，在正常使用整机的内置摄像头、内置麦克风功能时，USB接口不被占用，确保教师有足够的接口外接存储设备及显示设备。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130CC">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DB60C">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台</w:t>
            </w:r>
          </w:p>
        </w:tc>
      </w:tr>
      <w:tr w14:paraId="18EE5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623" w:type="dxa"/>
            <w:vMerge w:val="continue"/>
            <w:tcBorders>
              <w:left w:val="single" w:color="000000" w:sz="4" w:space="0"/>
              <w:bottom w:val="single" w:color="000000" w:sz="4" w:space="0"/>
              <w:right w:val="single" w:color="000000" w:sz="4" w:space="0"/>
            </w:tcBorders>
            <w:shd w:val="clear" w:color="auto" w:fill="auto"/>
            <w:noWrap/>
            <w:vAlign w:val="center"/>
          </w:tcPr>
          <w:p w14:paraId="1466A1CB">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E7860">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FF0000"/>
                <w:kern w:val="0"/>
                <w:sz w:val="20"/>
                <w:szCs w:val="20"/>
                <w:u w:val="none"/>
                <w:lang w:val="en-US" w:eastAsia="zh-CN" w:bidi="ar"/>
              </w:rPr>
              <w:t>教学白板软件</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B4CFB">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一、教学白板软件电脑端：</w:t>
            </w:r>
          </w:p>
          <w:p w14:paraId="2907C947">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1、为使用方全体教师配备个人账号，形成一体的信息化教学账号体系；根据教师账号信息将教师云空间匹配至对应学校、学科校本资源库。支持通过数字账号、微信二维码、硬件密钥方式登录教师个人账号。</w:t>
            </w:r>
          </w:p>
          <w:p w14:paraId="00A57E0B">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2、互动课件支持开放式云分享，分享者可将互动课件、课件组以公开或加密的 web 链接和二维码形式进行分享，分享链接可设置访问有效期。</w:t>
            </w:r>
          </w:p>
          <w:p w14:paraId="31695EA6">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3、云教案内容可自动同步至云空间，支持以链接方式进行定向式分享和开放式分享，接收者可直接在桌面浏览器、微信内打开预览。</w:t>
            </w:r>
          </w:p>
          <w:p w14:paraId="3434F1D7">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4、提供校本资源库，支持实现校本资源共建共享，支持上传课件、教案及多媒体文件。支持全局资源搜索或按年级、学科筛选资源。备课时支持获取校本多媒体资源到本地查看，也可选择插入校本资源库中的多媒体资源。</w:t>
            </w:r>
          </w:p>
          <w:p w14:paraId="504E15DB">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5、支持电子化听评课。在授课模式中发起授课评价，根据课程和评课表生成二维码，评课人通过扫码即可参与评课并获取课件。支持导出评课报告和听课记录。</w:t>
            </w:r>
          </w:p>
          <w:p w14:paraId="73FBDFF4">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6、支持实现信息化集体备课，选择教案、课件资源上传发起集备研讨，可通过手机号搜索即可邀请外校老师，可用于跨校教研场景。可对集备中多稿的课件、教案进行内容的横向对比，支持批注研讨过程数据对比回溯。</w:t>
            </w:r>
          </w:p>
          <w:p w14:paraId="7F4B3B50">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7、完成集备研讨后，集备终稿会自动上传到校本资源库，并生成集体备课报告，报告内包含集备信息、数据统计、研讨记录的具体内容。</w:t>
            </w:r>
          </w:p>
          <w:p w14:paraId="74A7A3A1">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二、教学白板软件直播工具：</w:t>
            </w:r>
          </w:p>
          <w:p w14:paraId="7736600F">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1.一键开课：教师可一键开课生成课程海报；学生扫描课程海报微信二维码即可加入直播课堂，无需额外安装APP。</w:t>
            </w:r>
          </w:p>
          <w:p w14:paraId="5D628C92">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2.互动答题工具：教师根据讲解内容发布答题板供学生选择作答，学生提交答案后系统自动统计正确率和答题详情。</w:t>
            </w:r>
          </w:p>
          <w:p w14:paraId="0934D565">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3.远程互动工具：在直播课堂中，教师可指定授权学生远程互动，学生可在直播的课件画面进行书写、移动、擦除、参与互动活动等，学生操作过程实时同步至班级其他学生，可支持不少于5位学生同时参与远程互动；</w:t>
            </w:r>
          </w:p>
          <w:p w14:paraId="44D29D50">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 xml:space="preserve">4.远程考勤管理：直播课程结束后，后台自动统计报名学生名单和学生学习清单。 </w:t>
            </w:r>
          </w:p>
          <w:p w14:paraId="7C7C01A5">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三、教学白板手机移动端：</w:t>
            </w:r>
          </w:p>
          <w:p w14:paraId="50944076">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1.手机端可查看教师个人云空间里所有互动课件列表，并可打开互动课件进行预览，预览时支持上下翻页、页面缩略图预览、页面跳转。</w:t>
            </w:r>
          </w:p>
          <w:p w14:paraId="3830B728">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2.无需局域网环境部署，教师可使用移动端进行课件翻页，课件预览、课件跳页、播放视频、播放课堂活动、展开思维导图。支持横竖屏两种模式。</w:t>
            </w:r>
          </w:p>
          <w:p w14:paraId="1E3916E9">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3.手机端可将教师的课件通过微信、朋友圈、云空间帐号、二维码、公开链接、加密链接的方式进行分享，分享有效期支持教师自定义。</w:t>
            </w:r>
          </w:p>
          <w:p w14:paraId="5AA445F9">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4.手机端可对云空间互动课件和课件组移动、删除和重命名，课件及课件组支持批量移动、删除。删除的课件可以在移动平台的回收站中恢复或永久清除。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FD76B">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759E0">
            <w:pPr>
              <w:keepNext w:val="0"/>
              <w:keepLines w:val="0"/>
              <w:widowControl/>
              <w:suppressLineNumbers w:val="0"/>
              <w:jc w:val="center"/>
              <w:textAlignment w:val="center"/>
              <w:rPr>
                <w:rFonts w:hint="eastAsia" w:ascii="宋体" w:hAnsi="宋体" w:eastAsia="宋体" w:cs="宋体"/>
                <w:i w:val="0"/>
                <w:iCs w:val="0"/>
                <w:color w:val="FF0000"/>
                <w:kern w:val="0"/>
                <w:sz w:val="20"/>
                <w:szCs w:val="20"/>
                <w:u w:val="none"/>
                <w:lang w:val="en-US" w:eastAsia="zh-CN" w:bidi="ar"/>
              </w:rPr>
            </w:pPr>
          </w:p>
        </w:tc>
      </w:tr>
      <w:tr w14:paraId="117F3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06231">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2652F">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智能笔</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32C71">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1.采用笔型设计，具有三个遥控按键（上下翻页和功能键），既可用于触摸书写，也可用于远程操控。</w:t>
            </w:r>
          </w:p>
          <w:p w14:paraId="50B969B0">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2.采用2.4G蓝牙无线连接技术，无线接收距离最大可达15米。</w:t>
            </w:r>
          </w:p>
          <w:p w14:paraId="47C25494">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3.无线接收器采用微型nano设计，整洁美观。</w:t>
            </w:r>
          </w:p>
          <w:p w14:paraId="13066958">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4.笔尖采用PE材质，经久耐磨，书写精度≤3mm。</w:t>
            </w:r>
          </w:p>
          <w:p w14:paraId="17E2AF6F">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5.使用单节7号电池驱动，并带自动休眠节电设计。</w:t>
            </w:r>
          </w:p>
          <w:p w14:paraId="77E9D032">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6.单接收器设计，支持android、windows双系统响应智能笔的操作指令。7.支持白板课件、PPT、WPS、PDF等多种格式的课件进行远程无线翻页。</w:t>
            </w:r>
          </w:p>
          <w:p w14:paraId="1A5C95F1">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rPr>
              <w:t>8.功能按键可通过长按/短按实现两种快捷功能，方便教师操作。</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C32A3">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A4CE7">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支</w:t>
            </w:r>
          </w:p>
        </w:tc>
      </w:tr>
      <w:tr w14:paraId="66C4F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1C386">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3</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469E8">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推拉绿板</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FFB1F">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lang w:val="en-US" w:eastAsia="zh-CN"/>
              </w:rPr>
              <w:t>1.</w:t>
            </w:r>
            <w:r>
              <w:rPr>
                <w:rFonts w:hint="eastAsia" w:ascii="宋体" w:hAnsi="宋体" w:eastAsia="宋体" w:cs="宋体"/>
                <w:color w:val="FF0000"/>
              </w:rPr>
              <w:t>结构：双层结构，内层为两块固定书写板左右各一块，中间预留放置电子产品空间，外层为两块滑动书写板</w:t>
            </w:r>
            <w:r>
              <w:rPr>
                <w:rFonts w:hint="eastAsia" w:ascii="宋体" w:hAnsi="宋体" w:eastAsia="宋体" w:cs="宋体"/>
                <w:color w:val="FF0000"/>
                <w:lang w:eastAsia="zh-CN"/>
              </w:rPr>
              <w:t>，</w:t>
            </w:r>
            <w:r>
              <w:rPr>
                <w:rFonts w:hint="eastAsia" w:ascii="宋体" w:hAnsi="宋体" w:eastAsia="宋体" w:cs="宋体"/>
                <w:color w:val="FF0000"/>
                <w:lang w:val="en-US" w:eastAsia="zh-CN"/>
              </w:rPr>
              <w:t>开闭自如确保一体机的安全管理，支持电子产品居中放置</w:t>
            </w:r>
            <w:r>
              <w:rPr>
                <w:rFonts w:hint="eastAsia" w:ascii="宋体" w:hAnsi="宋体" w:eastAsia="宋体" w:cs="宋体"/>
                <w:color w:val="FF0000"/>
              </w:rPr>
              <w:t>。</w:t>
            </w:r>
          </w:p>
          <w:p w14:paraId="4DD9AC11">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lang w:val="en-US" w:eastAsia="zh-CN"/>
              </w:rPr>
              <w:t>2.</w:t>
            </w:r>
            <w:r>
              <w:rPr>
                <w:rFonts w:hint="eastAsia" w:ascii="宋体" w:hAnsi="宋体" w:eastAsia="宋体" w:cs="宋体"/>
                <w:color w:val="FF0000"/>
              </w:rPr>
              <w:t>尺寸：</w:t>
            </w:r>
            <w:r>
              <w:rPr>
                <w:rFonts w:hint="eastAsia" w:ascii="宋体" w:hAnsi="宋体" w:eastAsia="宋体" w:cs="宋体"/>
                <w:color w:val="FF0000"/>
                <w:lang w:val="en-US" w:eastAsia="zh-CN"/>
              </w:rPr>
              <w:t>长度≥4000mm，高度可根据所配电子产品适当调整，确保与电子产品的有效配套。</w:t>
            </w:r>
          </w:p>
          <w:p w14:paraId="288FBADA">
            <w:pPr>
              <w:keepNext w:val="0"/>
              <w:keepLines w:val="0"/>
              <w:widowControl/>
              <w:suppressLineNumbers w:val="0"/>
              <w:jc w:val="left"/>
              <w:textAlignment w:val="center"/>
              <w:rPr>
                <w:rFonts w:hint="eastAsia" w:ascii="宋体" w:hAnsi="宋体" w:eastAsia="宋体" w:cs="宋体"/>
                <w:color w:val="FF0000"/>
                <w:lang w:val="en-US" w:eastAsia="zh-CN"/>
              </w:rPr>
            </w:pPr>
            <w:r>
              <w:rPr>
                <w:rFonts w:hint="eastAsia" w:ascii="宋体" w:hAnsi="宋体" w:eastAsia="宋体" w:cs="宋体"/>
                <w:color w:val="FF0000"/>
                <w:szCs w:val="21"/>
              </w:rPr>
              <w:t>▲</w:t>
            </w:r>
            <w:r>
              <w:rPr>
                <w:rFonts w:hint="eastAsia" w:ascii="宋体" w:hAnsi="宋体" w:eastAsia="宋体" w:cs="宋体"/>
                <w:color w:val="FF0000"/>
                <w:lang w:val="en-US" w:eastAsia="zh-CN"/>
              </w:rPr>
              <w:t>3.</w:t>
            </w:r>
            <w:r>
              <w:rPr>
                <w:rFonts w:hint="eastAsia" w:ascii="宋体" w:hAnsi="宋体" w:eastAsia="宋体" w:cs="宋体"/>
                <w:color w:val="FF0000"/>
              </w:rPr>
              <w:t>内板：</w:t>
            </w:r>
            <w:r>
              <w:rPr>
                <w:rFonts w:hint="eastAsia" w:ascii="宋体" w:hAnsi="宋体" w:eastAsia="宋体" w:cs="宋体"/>
                <w:color w:val="FF0000"/>
                <w:lang w:val="en-US" w:eastAsia="zh-CN"/>
              </w:rPr>
              <w:t>正面左右两侧无边框设计，上下边框正面高度不超15mm，最大限度的增大书写面。内板四角应配有带弧形的ABS塑料角，降低撞伤伤害。</w:t>
            </w:r>
          </w:p>
          <w:p w14:paraId="3B792757">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lang w:val="en-US" w:eastAsia="zh-CN"/>
              </w:rPr>
              <w:t>4.</w:t>
            </w:r>
            <w:r>
              <w:rPr>
                <w:rFonts w:hint="eastAsia" w:ascii="宋体" w:hAnsi="宋体" w:eastAsia="宋体" w:cs="宋体"/>
                <w:color w:val="FF0000"/>
              </w:rPr>
              <w:t>板面：</w:t>
            </w:r>
            <w:r>
              <w:rPr>
                <w:rFonts w:hint="eastAsia" w:ascii="宋体" w:hAnsi="宋体" w:eastAsia="宋体" w:cs="宋体"/>
                <w:color w:val="FF0000"/>
                <w:lang w:val="en-US" w:eastAsia="zh-CN"/>
              </w:rPr>
              <w:t>采用金属烤漆书写板面，亚光、墨绿色，光泽度≤12光泽单位，没有因教学书写板本身原因产生的眩光，书写流畅字迹清晰、色彩协调可视效果佳，有效的缓解学生视觉疲劳；可吸附磁钉、磁片，便于教学。</w:t>
            </w:r>
          </w:p>
          <w:p w14:paraId="128E9721">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lang w:val="en-US" w:eastAsia="zh-CN"/>
              </w:rPr>
              <w:t>5.</w:t>
            </w:r>
            <w:r>
              <w:rPr>
                <w:rFonts w:hint="eastAsia" w:ascii="宋体" w:hAnsi="宋体" w:eastAsia="宋体" w:cs="宋体"/>
                <w:color w:val="FF0000"/>
                <w:lang w:eastAsia="zh-CN"/>
              </w:rPr>
              <w:t>背板：</w:t>
            </w:r>
            <w:r>
              <w:rPr>
                <w:rFonts w:hint="eastAsia" w:ascii="宋体" w:hAnsi="宋体" w:eastAsia="宋体" w:cs="宋体"/>
                <w:color w:val="FF0000"/>
                <w:lang w:val="en-US" w:eastAsia="zh-CN"/>
              </w:rPr>
              <w:t>采用镀锌钢板，机械化流水线一次成型。</w:t>
            </w:r>
          </w:p>
          <w:p w14:paraId="6DC35079">
            <w:pPr>
              <w:keepNext w:val="0"/>
              <w:keepLines w:val="0"/>
              <w:widowControl/>
              <w:suppressLineNumbers w:val="0"/>
              <w:jc w:val="left"/>
              <w:textAlignment w:val="center"/>
              <w:rPr>
                <w:rFonts w:hint="eastAsia" w:ascii="宋体" w:hAnsi="宋体" w:eastAsia="宋体" w:cs="宋体"/>
                <w:color w:val="FF0000"/>
                <w:lang w:val="en-US" w:eastAsia="zh-CN"/>
              </w:rPr>
            </w:pPr>
            <w:r>
              <w:rPr>
                <w:rFonts w:hint="eastAsia" w:ascii="宋体" w:hAnsi="宋体" w:eastAsia="宋体" w:cs="宋体"/>
                <w:color w:val="FF0000"/>
                <w:lang w:val="en-US" w:eastAsia="zh-CN"/>
              </w:rPr>
              <w:t>6.衬板：选用高强度、吸音、防潮、阻燃聚苯乙烯板,厚度≥14mm。</w:t>
            </w:r>
          </w:p>
          <w:p w14:paraId="739C8006">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lang w:val="en-US" w:eastAsia="zh-CN"/>
              </w:rPr>
              <w:t>7.</w:t>
            </w:r>
            <w:r>
              <w:rPr>
                <w:rFonts w:hint="eastAsia" w:ascii="宋体" w:hAnsi="宋体" w:eastAsia="宋体" w:cs="宋体"/>
                <w:color w:val="FF0000"/>
              </w:rPr>
              <w:t>边框：</w:t>
            </w:r>
            <w:r>
              <w:rPr>
                <w:rFonts w:hint="eastAsia" w:ascii="宋体" w:hAnsi="宋体" w:eastAsia="宋体" w:cs="宋体"/>
                <w:color w:val="FF0000"/>
                <w:lang w:val="en-US" w:eastAsia="zh-CN"/>
              </w:rPr>
              <w:t>采用香槟色电泳铝合金型材，横框规格≥5</w:t>
            </w:r>
            <w:r>
              <w:rPr>
                <w:rFonts w:hint="eastAsia" w:ascii="宋体" w:hAnsi="宋体" w:eastAsia="宋体" w:cs="宋体"/>
                <w:color w:val="FF0000"/>
                <w:lang w:eastAsia="zh-CN"/>
              </w:rPr>
              <w:t>5</w:t>
            </w:r>
            <w:r>
              <w:rPr>
                <w:rFonts w:hint="eastAsia" w:ascii="宋体" w:hAnsi="宋体" w:eastAsia="宋体" w:cs="宋体"/>
                <w:color w:val="FF0000"/>
                <w:lang w:val="en-US" w:eastAsia="zh-CN"/>
              </w:rPr>
              <w:t>mm×</w:t>
            </w:r>
            <w:r>
              <w:rPr>
                <w:rFonts w:hint="eastAsia" w:ascii="宋体" w:hAnsi="宋体" w:eastAsia="宋体" w:cs="宋体"/>
                <w:color w:val="FF0000"/>
                <w:lang w:eastAsia="zh-CN"/>
              </w:rPr>
              <w:t>75</w:t>
            </w:r>
            <w:r>
              <w:rPr>
                <w:rFonts w:hint="eastAsia" w:ascii="宋体" w:hAnsi="宋体" w:eastAsia="宋体" w:cs="宋体"/>
                <w:color w:val="FF0000"/>
                <w:lang w:val="en-US" w:eastAsia="zh-CN"/>
              </w:rPr>
              <w:t>mm。轨道上置隐藏式滑动系统，杜绝灰尘及杂物进入，结构性解决滑动受灰尘影响的问题。边框应具有良好的耐磨性及耐腐蚀性，耐腐蚀性CASS 72H不得低于10级，耐磨性（落沙试验）应不低于3900g，并提供加盖投标人公章的边框型材耐磨性、耐腐蚀性相关第三方权威机构检测报告</w:t>
            </w:r>
            <w:r>
              <w:rPr>
                <w:rFonts w:hint="eastAsia" w:ascii="宋体" w:hAnsi="宋体" w:eastAsia="宋体" w:cs="宋体"/>
                <w:color w:val="FF0000"/>
              </w:rPr>
              <w:t>。</w:t>
            </w:r>
          </w:p>
          <w:p w14:paraId="3CACE152">
            <w:pPr>
              <w:keepNext w:val="0"/>
              <w:keepLines w:val="0"/>
              <w:widowControl/>
              <w:suppressLineNumbers w:val="0"/>
              <w:jc w:val="left"/>
              <w:textAlignment w:val="center"/>
              <w:rPr>
                <w:rFonts w:hint="eastAsia" w:ascii="宋体" w:hAnsi="宋体" w:eastAsia="宋体" w:cs="宋体"/>
                <w:color w:val="FF0000"/>
                <w:lang w:val="en-US" w:eastAsia="zh-CN"/>
              </w:rPr>
            </w:pPr>
            <w:r>
              <w:rPr>
                <w:rFonts w:hint="eastAsia" w:ascii="宋体" w:hAnsi="宋体" w:eastAsia="宋体" w:cs="宋体"/>
                <w:color w:val="FF0000"/>
                <w:lang w:val="en-US" w:eastAsia="zh-CN"/>
              </w:rPr>
              <w:t>8.粉尘槽：应配有宽度≥25mm的粉尘槽，粉尘槽应与滑动系统分离，不影响滑动板滑动。可放置书写笔、教鞭等教具，也可用于灰尘集中处理；粉尘槽采用U或L型结构以便于承载粉笔末。粉尘槽应与边框一体式设计，以增加强度。</w:t>
            </w:r>
          </w:p>
          <w:p w14:paraId="554C5095">
            <w:pPr>
              <w:keepNext w:val="0"/>
              <w:keepLines w:val="0"/>
              <w:widowControl/>
              <w:suppressLineNumbers w:val="0"/>
              <w:jc w:val="left"/>
              <w:textAlignment w:val="center"/>
              <w:rPr>
                <w:rFonts w:hint="eastAsia" w:ascii="宋体" w:hAnsi="宋体" w:eastAsia="宋体" w:cs="宋体"/>
                <w:color w:val="FF0000"/>
              </w:rPr>
            </w:pPr>
            <w:r>
              <w:rPr>
                <w:rFonts w:hint="eastAsia" w:ascii="宋体" w:hAnsi="宋体" w:eastAsia="宋体" w:cs="宋体"/>
                <w:color w:val="FF0000"/>
                <w:lang w:val="en-US" w:eastAsia="zh-CN"/>
              </w:rPr>
              <w:t>9.</w:t>
            </w:r>
            <w:r>
              <w:rPr>
                <w:rFonts w:hint="eastAsia" w:ascii="宋体" w:hAnsi="宋体" w:eastAsia="宋体" w:cs="宋体"/>
                <w:color w:val="FF0000"/>
              </w:rPr>
              <w:t>限位档：横框内部两侧安装限位档，避免滑动板推拉过程中撞击立框及夹手</w:t>
            </w:r>
            <w:r>
              <w:rPr>
                <w:rFonts w:hint="eastAsia" w:ascii="宋体" w:hAnsi="宋体" w:eastAsia="宋体" w:cs="宋体"/>
                <w:color w:val="FF0000"/>
                <w:lang w:val="en-US" w:eastAsia="zh-CN"/>
              </w:rPr>
              <w:t>，禁止安装于立框</w:t>
            </w:r>
            <w:r>
              <w:rPr>
                <w:rFonts w:hint="eastAsia" w:ascii="宋体" w:hAnsi="宋体" w:eastAsia="宋体" w:cs="宋体"/>
                <w:color w:val="FF0000"/>
              </w:rPr>
              <w:t>。</w:t>
            </w:r>
          </w:p>
          <w:p w14:paraId="3BCECDA8">
            <w:pPr>
              <w:keepNext w:val="0"/>
              <w:keepLines w:val="0"/>
              <w:widowControl/>
              <w:suppressLineNumbers w:val="0"/>
              <w:jc w:val="left"/>
              <w:textAlignment w:val="center"/>
              <w:rPr>
                <w:rFonts w:hint="eastAsia" w:ascii="宋体" w:hAnsi="宋体" w:eastAsia="宋体" w:cs="宋体"/>
                <w:color w:val="FF0000"/>
                <w:lang w:val="en-US" w:eastAsia="zh-CN"/>
              </w:rPr>
            </w:pPr>
            <w:r>
              <w:rPr>
                <w:rFonts w:hint="eastAsia" w:ascii="宋体" w:hAnsi="宋体" w:eastAsia="宋体" w:cs="宋体"/>
                <w:color w:val="FF0000"/>
                <w:lang w:val="en-US" w:eastAsia="zh-CN"/>
              </w:rPr>
              <w:t>10.滑轮：双组高精度轴承上吊轮，下平滑动系统，上下均匀安装，上部滑轮应采用包胶轮以减少噪音，下部设有滑块。为确保产品耐久性，滑轮使用寿命应不低于10万次，并提供加盖投标人公章的滑轮寿命相关第三方权威机构检测报告。</w:t>
            </w:r>
          </w:p>
          <w:p w14:paraId="4B9034F2">
            <w:pPr>
              <w:keepNext w:val="0"/>
              <w:keepLines w:val="0"/>
              <w:widowControl/>
              <w:suppressLineNumbers w:val="0"/>
              <w:jc w:val="left"/>
              <w:textAlignment w:val="center"/>
              <w:rPr>
                <w:rFonts w:hint="eastAsia" w:ascii="宋体" w:hAnsi="宋体" w:eastAsia="宋体" w:cs="宋体"/>
                <w:color w:val="FF0000"/>
                <w:lang w:val="en-US" w:eastAsia="zh-CN"/>
              </w:rPr>
            </w:pPr>
            <w:r>
              <w:rPr>
                <w:rFonts w:hint="eastAsia" w:ascii="宋体" w:hAnsi="宋体" w:eastAsia="宋体" w:cs="宋体"/>
                <w:color w:val="FF0000"/>
                <w:lang w:val="en-US" w:eastAsia="zh-CN"/>
              </w:rPr>
              <w:t>1</w:t>
            </w:r>
            <w:r>
              <w:rPr>
                <w:rFonts w:hint="eastAsia" w:ascii="宋体" w:hAnsi="宋体" w:eastAsia="宋体" w:cs="宋体"/>
                <w:color w:val="FF0000"/>
                <w:lang w:eastAsia="zh-CN"/>
              </w:rPr>
              <w:t>1</w:t>
            </w:r>
            <w:r>
              <w:rPr>
                <w:rFonts w:hint="eastAsia" w:ascii="宋体" w:hAnsi="宋体" w:eastAsia="宋体" w:cs="宋体"/>
                <w:color w:val="FF0000"/>
                <w:lang w:val="en-US" w:eastAsia="zh-CN"/>
              </w:rPr>
              <w:t>.包角：采用抗老化高强度ABS工程塑料注塑成型，采用双壁成腔流线型设计，教学书写板品牌标识与包角一次模具成型，无尖角毛刺。当搭配电子产品为液晶屏时，包角应做可部分掰除设计，以更好的适配液晶屏厚度</w:t>
            </w:r>
          </w:p>
          <w:p w14:paraId="4E168916">
            <w:pPr>
              <w:keepNext w:val="0"/>
              <w:keepLines w:val="0"/>
              <w:widowControl/>
              <w:suppressLineNumbers w:val="0"/>
              <w:jc w:val="left"/>
              <w:textAlignment w:val="center"/>
              <w:rPr>
                <w:rFonts w:hint="eastAsia" w:ascii="宋体" w:hAnsi="宋体" w:eastAsia="宋体" w:cs="宋体"/>
                <w:color w:val="FF0000"/>
                <w:lang w:val="en-US" w:eastAsia="zh-CN"/>
              </w:rPr>
            </w:pPr>
            <w:r>
              <w:rPr>
                <w:rFonts w:hint="eastAsia" w:ascii="宋体" w:hAnsi="宋体" w:eastAsia="宋体" w:cs="宋体"/>
                <w:color w:val="FF0000"/>
                <w:lang w:val="en-US" w:eastAsia="zh-CN"/>
              </w:rPr>
              <w:t>12.挡板：黑板与液晶屏上下如有缝隙的，应采用挡板等物品进行遮挡，当液晶屏上下均无凸起时，不应露墙。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41936">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EC44B">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台</w:t>
            </w:r>
          </w:p>
        </w:tc>
      </w:tr>
      <w:tr w14:paraId="6296D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85A43">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4</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37879">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防 雷 插 座</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8E28F">
            <w:pPr>
              <w:keepNext w:val="0"/>
              <w:keepLines w:val="0"/>
              <w:widowControl/>
              <w:suppressLineNumbers w:val="0"/>
              <w:jc w:val="left"/>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1、外观尺寸：适应19英寸标准机柜。</w:t>
            </w:r>
            <w:r>
              <w:rPr>
                <w:rFonts w:hint="eastAsia" w:ascii="宋体" w:hAnsi="宋体" w:eastAsia="宋体" w:cs="宋体"/>
                <w:i w:val="0"/>
                <w:iCs w:val="0"/>
                <w:color w:val="FF0000"/>
                <w:kern w:val="0"/>
                <w:sz w:val="20"/>
                <w:szCs w:val="20"/>
                <w:u w:val="none"/>
                <w:lang w:val="en-US" w:eastAsia="zh-CN" w:bidi="ar"/>
              </w:rPr>
              <w:br w:type="textWrapping"/>
            </w:r>
            <w:r>
              <w:rPr>
                <w:rFonts w:hint="eastAsia" w:ascii="宋体" w:hAnsi="宋体" w:eastAsia="宋体" w:cs="宋体"/>
                <w:i w:val="0"/>
                <w:iCs w:val="0"/>
                <w:color w:val="FF0000"/>
                <w:kern w:val="0"/>
                <w:sz w:val="20"/>
                <w:szCs w:val="20"/>
                <w:u w:val="none"/>
                <w:lang w:val="en-US" w:eastAsia="zh-CN" w:bidi="ar"/>
              </w:rPr>
              <w:t>2、额定电流：主线（13A/16A）  单位(10 A)</w:t>
            </w:r>
            <w:r>
              <w:rPr>
                <w:rFonts w:hint="eastAsia" w:ascii="宋体" w:hAnsi="宋体" w:eastAsia="宋体" w:cs="宋体"/>
                <w:i w:val="0"/>
                <w:iCs w:val="0"/>
                <w:color w:val="FF0000"/>
                <w:kern w:val="0"/>
                <w:sz w:val="20"/>
                <w:szCs w:val="20"/>
                <w:u w:val="none"/>
                <w:lang w:val="en-US" w:eastAsia="zh-CN" w:bidi="ar"/>
              </w:rPr>
              <w:br w:type="textWrapping"/>
            </w:r>
            <w:r>
              <w:rPr>
                <w:rFonts w:hint="eastAsia" w:ascii="宋体" w:hAnsi="宋体" w:eastAsia="宋体" w:cs="宋体"/>
                <w:i w:val="0"/>
                <w:iCs w:val="0"/>
                <w:color w:val="FF0000"/>
                <w:kern w:val="0"/>
                <w:sz w:val="20"/>
                <w:szCs w:val="20"/>
                <w:u w:val="none"/>
                <w:lang w:val="en-US" w:eastAsia="zh-CN" w:bidi="ar"/>
              </w:rPr>
              <w:t xml:space="preserve">3、额定工作电压Un Uc: 220V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209E2">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3606F">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块</w:t>
            </w:r>
          </w:p>
        </w:tc>
      </w:tr>
      <w:tr w14:paraId="18638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C3420">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5</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17319">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壁挂式视频展台</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0D39F">
            <w:pPr>
              <w:keepNext w:val="0"/>
              <w:keepLines w:val="0"/>
              <w:widowControl/>
              <w:suppressLineNumbers w:val="0"/>
              <w:jc w:val="left"/>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FF0000"/>
                <w:kern w:val="0"/>
                <w:sz w:val="20"/>
                <w:szCs w:val="20"/>
                <w:u w:val="none"/>
                <w:lang w:val="en-US" w:eastAsia="zh-CN" w:bidi="ar"/>
              </w:rPr>
              <w:t>1.安全可靠，防止意外事故的发生，采用壁挂式安装，无锐角无利边设计，有效防止师生碰伤，防盗防破坏。</w:t>
            </w:r>
          </w:p>
          <w:p w14:paraId="150609AF">
            <w:pPr>
              <w:keepNext w:val="0"/>
              <w:keepLines w:val="0"/>
              <w:widowControl/>
              <w:suppressLineNumbers w:val="0"/>
              <w:jc w:val="left"/>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FF0000"/>
                <w:kern w:val="0"/>
                <w:sz w:val="20"/>
                <w:szCs w:val="20"/>
                <w:u w:val="none"/>
                <w:lang w:val="en-US" w:eastAsia="zh-CN" w:bidi="ar"/>
              </w:rPr>
              <w:t>2.减少无使用时占用空间，采用三折叠开合式托板，展开后托板尺寸≥A4面积，收起时小巧不占空间，高效利用挂墙面积。</w:t>
            </w:r>
          </w:p>
          <w:p w14:paraId="59B53835">
            <w:pPr>
              <w:keepNext w:val="0"/>
              <w:keepLines w:val="0"/>
              <w:widowControl/>
              <w:suppressLineNumbers w:val="0"/>
              <w:jc w:val="left"/>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FF0000"/>
                <w:kern w:val="0"/>
                <w:sz w:val="20"/>
                <w:szCs w:val="20"/>
                <w:u w:val="none"/>
                <w:lang w:val="en-US" w:eastAsia="zh-CN" w:bidi="ar"/>
              </w:rPr>
              <w:t>3.极简设计，采用USB高速接口，单根USB线实现供电、高清数据传输需求。</w:t>
            </w:r>
          </w:p>
          <w:p w14:paraId="5958961F">
            <w:pPr>
              <w:keepNext w:val="0"/>
              <w:keepLines w:val="0"/>
              <w:widowControl/>
              <w:suppressLineNumbers w:val="0"/>
              <w:jc w:val="left"/>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FF0000"/>
                <w:kern w:val="0"/>
                <w:sz w:val="20"/>
                <w:szCs w:val="20"/>
                <w:u w:val="none"/>
                <w:lang w:val="en-US" w:eastAsia="zh-CN" w:bidi="ar"/>
              </w:rPr>
              <w:t>4.保障清晰度，采用不低于800W像素摄像头，过程中支持自动对焦，可拍摄A4画幅。</w:t>
            </w:r>
          </w:p>
          <w:p w14:paraId="6FDC7607">
            <w:pPr>
              <w:keepNext w:val="0"/>
              <w:keepLines w:val="0"/>
              <w:widowControl/>
              <w:suppressLineNumbers w:val="0"/>
              <w:jc w:val="left"/>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FF0000"/>
                <w:kern w:val="0"/>
                <w:sz w:val="20"/>
                <w:szCs w:val="20"/>
                <w:u w:val="none"/>
                <w:lang w:val="en-US" w:eastAsia="zh-CN" w:bidi="ar"/>
              </w:rPr>
              <w:t>5.展台按键采用触摸按键，可实现一键启动展台画面、画面放大、画面缩小、画面旋转、拍照截图等功能，同时也支持在一体机或电脑上进行同样的操作。</w:t>
            </w:r>
          </w:p>
          <w:p w14:paraId="1E1A16A2">
            <w:pPr>
              <w:keepNext w:val="0"/>
              <w:keepLines w:val="0"/>
              <w:widowControl/>
              <w:suppressLineNumbers w:val="0"/>
              <w:jc w:val="left"/>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FF0000"/>
                <w:kern w:val="0"/>
                <w:sz w:val="20"/>
                <w:szCs w:val="20"/>
                <w:u w:val="none"/>
                <w:lang w:val="en-US" w:eastAsia="zh-CN" w:bidi="ar"/>
              </w:rPr>
              <w:t>6.便捷使用，自带LED补光灯，光线不足时可进行亮度补充，亮度均匀。</w:t>
            </w:r>
          </w:p>
          <w:p w14:paraId="1C18D4E1">
            <w:pPr>
              <w:keepNext w:val="0"/>
              <w:keepLines w:val="0"/>
              <w:widowControl/>
              <w:suppressLineNumbers w:val="0"/>
              <w:jc w:val="left"/>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FF0000"/>
                <w:kern w:val="0"/>
                <w:sz w:val="20"/>
                <w:szCs w:val="20"/>
                <w:u w:val="none"/>
                <w:lang w:val="en-US" w:eastAsia="zh-CN" w:bidi="ar"/>
              </w:rPr>
              <w:t>7.外壳在摄像头部分带保护镜片密封，防止灰尘沾染摄像头，防护等级达到IP4X级别。"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0E227">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5ED75">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台</w:t>
            </w:r>
          </w:p>
        </w:tc>
      </w:tr>
      <w:tr w14:paraId="40BFC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43ABD">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6</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E5A0F">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空气盒开关及线材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FB921">
            <w:pPr>
              <w:jc w:val="left"/>
              <w:rPr>
                <w:rFonts w:hint="eastAsia" w:ascii="宋体" w:hAnsi="宋体" w:eastAsia="宋体" w:cs="宋体"/>
                <w:i w:val="0"/>
                <w:iCs w:val="0"/>
                <w:color w:val="FF0000"/>
                <w:sz w:val="20"/>
                <w:szCs w:val="20"/>
                <w:u w:val="none"/>
                <w:lang w:val="en-US" w:eastAsia="zh-CN"/>
              </w:rPr>
            </w:pPr>
            <w:r>
              <w:rPr>
                <w:rFonts w:hint="eastAsia" w:ascii="宋体" w:hAnsi="宋体" w:eastAsia="宋体" w:cs="宋体"/>
                <w:i w:val="0"/>
                <w:iCs w:val="0"/>
                <w:color w:val="FF0000"/>
                <w:sz w:val="20"/>
                <w:szCs w:val="20"/>
                <w:u w:val="none"/>
                <w:lang w:val="en-US" w:eastAsia="zh-CN"/>
              </w:rPr>
              <w:t>国标，配套。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111F8">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D3681">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套</w:t>
            </w:r>
          </w:p>
        </w:tc>
      </w:tr>
      <w:tr w14:paraId="1AF13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B3DC0">
            <w:pPr>
              <w:keepNext w:val="0"/>
              <w:keepLines w:val="0"/>
              <w:widowControl/>
              <w:suppressLineNumbers w:val="0"/>
              <w:jc w:val="left"/>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二、教学办公及宿舍设备清单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5ADFD">
            <w:pPr>
              <w:jc w:val="center"/>
              <w:rPr>
                <w:rFonts w:hint="eastAsia" w:ascii="宋体" w:hAnsi="宋体" w:eastAsia="宋体" w:cs="宋体"/>
                <w:i w:val="0"/>
                <w:iCs w:val="0"/>
                <w:color w:val="FF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0E3CD">
            <w:pPr>
              <w:jc w:val="center"/>
              <w:rPr>
                <w:rFonts w:hint="eastAsia" w:ascii="宋体" w:hAnsi="宋体" w:eastAsia="宋体" w:cs="宋体"/>
                <w:i w:val="0"/>
                <w:iCs w:val="0"/>
                <w:color w:val="FF0000"/>
                <w:sz w:val="20"/>
                <w:szCs w:val="20"/>
                <w:u w:val="none"/>
              </w:rPr>
            </w:pPr>
          </w:p>
        </w:tc>
      </w:tr>
      <w:tr w14:paraId="5A3D9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5C5D4">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序号</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C7E91">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名称</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8EF28">
            <w:pPr>
              <w:keepNext w:val="0"/>
              <w:keepLines w:val="0"/>
              <w:widowControl/>
              <w:suppressLineNumbers w:val="0"/>
              <w:jc w:val="left"/>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规格参数</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8582D">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数量</w:t>
            </w:r>
          </w:p>
        </w:tc>
        <w:tc>
          <w:tcPr>
            <w:tcW w:w="6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A49C1">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单位</w:t>
            </w:r>
          </w:p>
        </w:tc>
      </w:tr>
      <w:tr w14:paraId="58CDE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A11B5">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1</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AE8B">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课桌椅</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top"/>
          </w:tcPr>
          <w:p w14:paraId="68805DA4">
            <w:pPr>
              <w:keepNext w:val="0"/>
              <w:keepLines w:val="0"/>
              <w:widowControl/>
              <w:suppressLineNumbers w:val="0"/>
              <w:jc w:val="left"/>
              <w:textAlignment w:val="top"/>
              <w:rPr>
                <w:rFonts w:hint="eastAsia"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rPr>
              <w:t>1、整体规格：600mm*400mm*（670mm*760mm）（允许正负偏差2%）钢木结构、可升降、单人课桌。</w:t>
            </w:r>
          </w:p>
          <w:p w14:paraId="76912CDA">
            <w:pPr>
              <w:keepNext w:val="0"/>
              <w:keepLines w:val="0"/>
              <w:widowControl/>
              <w:suppressLineNumbers w:val="0"/>
              <w:jc w:val="left"/>
              <w:textAlignment w:val="top"/>
              <w:rPr>
                <w:rFonts w:hint="eastAsia"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rPr>
              <w:t>2、桌面规格：600mm*400mm，厚度18mm，桌面材质优质热压密度板，四周采用PP工程塑料无接头一次性注塑封边、带笔槽。</w:t>
            </w:r>
          </w:p>
          <w:p w14:paraId="637F83C0">
            <w:pPr>
              <w:keepNext w:val="0"/>
              <w:keepLines w:val="0"/>
              <w:widowControl/>
              <w:suppressLineNumbers w:val="0"/>
              <w:jc w:val="left"/>
              <w:textAlignment w:val="top"/>
              <w:rPr>
                <w:rFonts w:hint="eastAsia" w:ascii="宋体" w:hAnsi="宋体" w:eastAsia="宋体" w:cs="宋体"/>
                <w:color w:val="FF0000"/>
              </w:rPr>
            </w:pPr>
            <w:r>
              <w:rPr>
                <w:rFonts w:hint="eastAsia" w:ascii="宋体" w:hAnsi="宋体" w:eastAsia="宋体" w:cs="宋体"/>
                <w:color w:val="FF0000"/>
              </w:rPr>
              <w:t>3、桌斗规格：层板、升降片板用优质金属冷板成型板镶嵌，升降片0.8mm，层板0.6mm,接触缝及外立面平整。</w:t>
            </w:r>
          </w:p>
          <w:p w14:paraId="73E35E94">
            <w:pPr>
              <w:keepNext w:val="0"/>
              <w:keepLines w:val="0"/>
              <w:widowControl/>
              <w:suppressLineNumbers w:val="0"/>
              <w:jc w:val="left"/>
              <w:textAlignment w:val="top"/>
              <w:rPr>
                <w:rFonts w:hint="eastAsia" w:ascii="宋体" w:hAnsi="宋体" w:eastAsia="宋体" w:cs="宋体"/>
                <w:color w:val="FF0000"/>
              </w:rPr>
            </w:pPr>
            <w:r>
              <w:rPr>
                <w:rFonts w:hint="eastAsia" w:ascii="宋体" w:hAnsi="宋体" w:eastAsia="宋体" w:cs="宋体"/>
                <w:color w:val="FF0000"/>
              </w:rPr>
              <w:t>4、桌架结构和材料：桌架用直立四柱平脚结构整体焊接成型。桌架用20mm*50mm方钢管制作，材料壁厚0.9mmQ235，其它辅助部分材料厚度0.9mm，钢质材料边缘做加强处理。设有桌撑，材质及规格同桌腿。横杆为双拉杆。</w:t>
            </w:r>
          </w:p>
          <w:p w14:paraId="45491FE9">
            <w:pPr>
              <w:keepNext w:val="0"/>
              <w:keepLines w:val="0"/>
              <w:widowControl/>
              <w:suppressLineNumbers w:val="0"/>
              <w:jc w:val="left"/>
              <w:textAlignment w:val="top"/>
              <w:rPr>
                <w:rFonts w:hint="eastAsia"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rPr>
              <w:t>5、学生凳：整体规格 340mm*240mm*（380mm*420mm）（允许正负偏差2%）钢木结构、可升降、单凳。</w:t>
            </w:r>
          </w:p>
          <w:p w14:paraId="3FA9120B">
            <w:pPr>
              <w:keepNext w:val="0"/>
              <w:keepLines w:val="0"/>
              <w:widowControl/>
              <w:suppressLineNumbers w:val="0"/>
              <w:jc w:val="left"/>
              <w:textAlignment w:val="top"/>
              <w:rPr>
                <w:rFonts w:hint="eastAsia"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rPr>
              <w:t>6、凳面规格：340mm*240mm，误差±10mm，厚度18mm，凳面材质优质热压密度板、防火板贴面，四周采用PP工程塑料无接头一次性注塑封边。</w:t>
            </w:r>
          </w:p>
          <w:p w14:paraId="49837259">
            <w:pPr>
              <w:keepNext w:val="0"/>
              <w:keepLines w:val="0"/>
              <w:widowControl/>
              <w:suppressLineNumbers w:val="0"/>
              <w:jc w:val="left"/>
              <w:textAlignment w:val="top"/>
              <w:rPr>
                <w:rFonts w:hint="eastAsia" w:ascii="宋体" w:hAnsi="宋体" w:eastAsia="宋体" w:cs="宋体"/>
                <w:color w:val="FF0000"/>
              </w:rPr>
            </w:pPr>
            <w:r>
              <w:rPr>
                <w:rFonts w:hint="eastAsia" w:ascii="宋体" w:hAnsi="宋体" w:eastAsia="宋体" w:cs="宋体"/>
                <w:color w:val="FF0000"/>
                <w:szCs w:val="21"/>
              </w:rPr>
              <w:t>▲</w:t>
            </w:r>
            <w:r>
              <w:rPr>
                <w:rFonts w:hint="eastAsia" w:ascii="宋体" w:hAnsi="宋体" w:eastAsia="宋体" w:cs="宋体"/>
                <w:color w:val="FF0000"/>
              </w:rPr>
              <w:t>7、凳子脚架：凳子立柱扁圆管20*50*0.9mm，横杆扁圆管20*50*0.9mm 。</w:t>
            </w:r>
          </w:p>
          <w:p w14:paraId="0968F298">
            <w:pPr>
              <w:keepNext w:val="0"/>
              <w:keepLines w:val="0"/>
              <w:widowControl/>
              <w:suppressLineNumbers w:val="0"/>
              <w:jc w:val="left"/>
              <w:textAlignment w:val="top"/>
              <w:rPr>
                <w:rFonts w:hint="eastAsia" w:ascii="宋体" w:hAnsi="宋体" w:eastAsia="宋体" w:cs="宋体"/>
                <w:color w:val="FF0000"/>
              </w:rPr>
            </w:pPr>
            <w:r>
              <w:rPr>
                <w:rFonts w:hint="eastAsia" w:ascii="宋体" w:hAnsi="宋体" w:eastAsia="宋体" w:cs="宋体"/>
                <w:color w:val="FF0000"/>
              </w:rPr>
              <w:t>8、凳侧板：采用钢板，厚度0.8mm，一次冲压成型，边沿及中间均有加强部分。</w:t>
            </w:r>
          </w:p>
          <w:p w14:paraId="59E36245">
            <w:pPr>
              <w:keepNext w:val="0"/>
              <w:keepLines w:val="0"/>
              <w:widowControl/>
              <w:suppressLineNumbers w:val="0"/>
              <w:jc w:val="left"/>
              <w:textAlignment w:val="top"/>
              <w:rPr>
                <w:rFonts w:hint="eastAsia" w:ascii="宋体" w:hAnsi="宋体" w:eastAsia="宋体" w:cs="宋体"/>
                <w:color w:val="FF0000"/>
              </w:rPr>
            </w:pPr>
            <w:r>
              <w:rPr>
                <w:rFonts w:hint="eastAsia" w:ascii="宋体" w:hAnsi="宋体" w:eastAsia="宋体" w:cs="宋体"/>
                <w:color w:val="FF0000"/>
              </w:rPr>
              <w:t>8、桌椅脚垫：封头及脚垫用PP工程塑料注塑成型。</w:t>
            </w:r>
          </w:p>
          <w:p w14:paraId="4AE36678">
            <w:pPr>
              <w:keepNext w:val="0"/>
              <w:keepLines w:val="0"/>
              <w:widowControl/>
              <w:suppressLineNumbers w:val="0"/>
              <w:jc w:val="left"/>
              <w:textAlignment w:val="top"/>
              <w:rPr>
                <w:rFonts w:hint="eastAsia" w:ascii="宋体" w:hAnsi="宋体" w:eastAsia="宋体" w:cs="宋体"/>
                <w:i w:val="0"/>
                <w:iCs w:val="0"/>
                <w:color w:val="FF0000"/>
                <w:sz w:val="20"/>
                <w:szCs w:val="20"/>
                <w:u w:val="none"/>
              </w:rPr>
            </w:pPr>
            <w:r>
              <w:rPr>
                <w:rFonts w:hint="eastAsia" w:ascii="宋体" w:hAnsi="宋体" w:eastAsia="宋体" w:cs="宋体"/>
                <w:color w:val="FF0000"/>
              </w:rPr>
              <w:t>9、桌椅要求：材料、工艺、金属表面处理、漆膜理化性能、力学性能、安全卫生要求符合相关国家标准。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042EC">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03830">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套</w:t>
            </w:r>
          </w:p>
        </w:tc>
      </w:tr>
      <w:tr w14:paraId="47973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C2C6B">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93465D">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办公桌</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F3E76">
            <w:pPr>
              <w:keepNext w:val="0"/>
              <w:keepLines w:val="0"/>
              <w:widowControl/>
              <w:suppressLineNumbers w:val="0"/>
              <w:jc w:val="left"/>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面材：优质中纤板贴0.6mm木皮，表面平整，纹理清晰自然，光亮平整、油漆无颗粒，</w:t>
            </w:r>
            <w:r>
              <w:rPr>
                <w:rFonts w:hint="eastAsia" w:ascii="宋体" w:hAnsi="宋体" w:eastAsia="宋体" w:cs="宋体"/>
                <w:i w:val="0"/>
                <w:iCs w:val="0"/>
                <w:color w:val="FF0000"/>
                <w:kern w:val="0"/>
                <w:sz w:val="20"/>
                <w:szCs w:val="20"/>
                <w:u w:val="none"/>
                <w:lang w:val="en-US" w:eastAsia="zh-CN" w:bidi="ar"/>
              </w:rPr>
              <w:br w:type="textWrapping"/>
            </w:r>
            <w:r>
              <w:rPr>
                <w:rFonts w:hint="eastAsia" w:ascii="宋体" w:hAnsi="宋体" w:eastAsia="宋体" w:cs="宋体"/>
                <w:i w:val="0"/>
                <w:iCs w:val="0"/>
                <w:color w:val="FF0000"/>
                <w:kern w:val="0"/>
                <w:sz w:val="20"/>
                <w:szCs w:val="20"/>
                <w:u w:val="none"/>
                <w:lang w:val="en-US" w:eastAsia="zh-CN" w:bidi="ar"/>
              </w:rPr>
              <w:t>气泡、粗点、颜色均匀。基材：采用优质绿色环保1.5cm厚高密度中纤板基材，</w:t>
            </w:r>
            <w:r>
              <w:rPr>
                <w:rFonts w:hint="eastAsia" w:ascii="宋体" w:hAnsi="宋体" w:eastAsia="宋体" w:cs="宋体"/>
                <w:i w:val="0"/>
                <w:iCs w:val="0"/>
                <w:color w:val="FF0000"/>
                <w:kern w:val="0"/>
                <w:sz w:val="20"/>
                <w:szCs w:val="20"/>
                <w:u w:val="none"/>
                <w:lang w:val="en-US" w:eastAsia="zh-CN" w:bidi="ar"/>
              </w:rPr>
              <w:br w:type="textWrapping"/>
            </w:r>
            <w:r>
              <w:rPr>
                <w:rFonts w:hint="eastAsia" w:ascii="宋体" w:hAnsi="宋体" w:eastAsia="宋体" w:cs="宋体"/>
                <w:i w:val="0"/>
                <w:iCs w:val="0"/>
                <w:color w:val="FF0000"/>
                <w:kern w:val="0"/>
                <w:sz w:val="20"/>
                <w:szCs w:val="20"/>
                <w:u w:val="none"/>
                <w:lang w:val="en-US" w:eastAsia="zh-CN" w:bidi="ar"/>
              </w:rPr>
              <w:t>经过防静电、防虫、防腐等化学处理及三次烘干处理板材</w:t>
            </w:r>
            <w:r>
              <w:rPr>
                <w:rFonts w:hint="eastAsia" w:ascii="宋体" w:hAnsi="宋体" w:eastAsia="宋体" w:cs="宋体"/>
                <w:i w:val="0"/>
                <w:iCs w:val="0"/>
                <w:color w:val="FF0000"/>
                <w:kern w:val="0"/>
                <w:sz w:val="20"/>
                <w:szCs w:val="20"/>
                <w:u w:val="none"/>
                <w:lang w:val="en-US" w:eastAsia="zh-CN" w:bidi="ar"/>
              </w:rPr>
              <w:br w:type="textWrapping"/>
            </w:r>
            <w:r>
              <w:rPr>
                <w:rFonts w:hint="eastAsia" w:ascii="宋体" w:hAnsi="宋体" w:eastAsia="宋体" w:cs="宋体"/>
                <w:i w:val="0"/>
                <w:iCs w:val="0"/>
                <w:color w:val="FF0000"/>
                <w:kern w:val="0"/>
                <w:sz w:val="20"/>
                <w:szCs w:val="20"/>
                <w:u w:val="none"/>
                <w:lang w:val="en-US" w:eastAsia="zh-CN" w:bidi="ar"/>
              </w:rPr>
              <w:t>颜色：科技木胡色。油漆：环保油漆面漆、底漆、色漆，无苯聚酯底漆，油漆喷涂、打磨。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74E00">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3ACDA">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张</w:t>
            </w:r>
          </w:p>
        </w:tc>
      </w:tr>
      <w:tr w14:paraId="57EDD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E337E">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ABB95">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办公椅</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B02AC">
            <w:pPr>
              <w:keepNext w:val="0"/>
              <w:keepLines w:val="0"/>
              <w:widowControl/>
              <w:suppressLineNumbers w:val="0"/>
              <w:jc w:val="left"/>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1.面料：选用品牌优质加厚西皮，厚度1.5mm，撕裂强度＞4.5/3.5（干/湿）。</w:t>
            </w:r>
            <w:r>
              <w:rPr>
                <w:rFonts w:hint="eastAsia" w:ascii="宋体" w:hAnsi="宋体" w:eastAsia="宋体" w:cs="宋体"/>
                <w:i w:val="0"/>
                <w:iCs w:val="0"/>
                <w:color w:val="FF0000"/>
                <w:kern w:val="0"/>
                <w:sz w:val="20"/>
                <w:szCs w:val="20"/>
                <w:u w:val="none"/>
                <w:lang w:val="en-US" w:eastAsia="zh-CN" w:bidi="ar"/>
              </w:rPr>
              <w:br w:type="textWrapping"/>
            </w:r>
            <w:r>
              <w:rPr>
                <w:rFonts w:hint="eastAsia" w:ascii="宋体" w:hAnsi="宋体" w:eastAsia="宋体" w:cs="宋体"/>
                <w:i w:val="0"/>
                <w:iCs w:val="0"/>
                <w:color w:val="FF0000"/>
                <w:kern w:val="0"/>
                <w:sz w:val="20"/>
                <w:szCs w:val="20"/>
                <w:u w:val="none"/>
                <w:lang w:val="en-US" w:eastAsia="zh-CN" w:bidi="ar"/>
              </w:rPr>
              <w:t>2.海绵：采用品牌成型高密度阻燃海绵，靠背密度＞40KG/M3；座垫密度55kg/m3。</w:t>
            </w:r>
            <w:r>
              <w:rPr>
                <w:rFonts w:hint="eastAsia" w:ascii="宋体" w:hAnsi="宋体" w:eastAsia="宋体" w:cs="宋体"/>
                <w:i w:val="0"/>
                <w:iCs w:val="0"/>
                <w:color w:val="FF0000"/>
                <w:kern w:val="0"/>
                <w:sz w:val="20"/>
                <w:szCs w:val="20"/>
                <w:u w:val="none"/>
                <w:lang w:val="en-US" w:eastAsia="zh-CN" w:bidi="ar"/>
              </w:rPr>
              <w:br w:type="textWrapping"/>
            </w:r>
            <w:r>
              <w:rPr>
                <w:rFonts w:hint="eastAsia" w:ascii="宋体" w:hAnsi="宋体" w:eastAsia="宋体" w:cs="宋体"/>
                <w:i w:val="0"/>
                <w:iCs w:val="0"/>
                <w:color w:val="FF0000"/>
                <w:kern w:val="0"/>
                <w:sz w:val="20"/>
                <w:szCs w:val="20"/>
                <w:u w:val="none"/>
                <w:lang w:val="en-US" w:eastAsia="zh-CN" w:bidi="ar"/>
              </w:rPr>
              <w:t>3.框架：采用实木制作，经过防虫、防腐处理，承托力强。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640BE">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5C683">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条</w:t>
            </w:r>
          </w:p>
        </w:tc>
      </w:tr>
      <w:tr w14:paraId="57371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388FE">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F87FE">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教师床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D025A">
            <w:pPr>
              <w:keepNext w:val="0"/>
              <w:keepLines w:val="0"/>
              <w:widowControl/>
              <w:suppressLineNumbers w:val="0"/>
              <w:jc w:val="left"/>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1.5*2m，含床板和增垫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AFBF1">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72F72">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张</w:t>
            </w:r>
          </w:p>
        </w:tc>
      </w:tr>
      <w:tr w14:paraId="4A1A1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2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5EA90">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5</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1DB65">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台式电脑</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751A3">
            <w:pPr>
              <w:keepNext w:val="0"/>
              <w:keepLines w:val="0"/>
              <w:widowControl/>
              <w:numPr>
                <w:ilvl w:val="0"/>
                <w:numId w:val="5"/>
              </w:numPr>
              <w:suppressLineNumbers w:val="0"/>
              <w:ind w:left="425" w:leftChars="0" w:hanging="425" w:firstLineChars="0"/>
              <w:jc w:val="left"/>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color w:val="FF0000"/>
                <w:szCs w:val="21"/>
              </w:rPr>
              <w:t>▲</w:t>
            </w:r>
            <w:r>
              <w:rPr>
                <w:rFonts w:hint="eastAsia" w:ascii="宋体" w:hAnsi="宋体" w:eastAsia="宋体" w:cs="宋体"/>
                <w:i w:val="0"/>
                <w:iCs w:val="0"/>
                <w:color w:val="FF0000"/>
                <w:kern w:val="0"/>
                <w:sz w:val="20"/>
                <w:szCs w:val="20"/>
                <w:u w:val="none"/>
                <w:lang w:val="en-US" w:eastAsia="zh-CN" w:bidi="ar"/>
              </w:rPr>
              <w:t>处理器：配置1颗CPU兼容x86 指令集 ，物理核心数≥8核，主频≥2.7GHz；</w:t>
            </w:r>
          </w:p>
          <w:p w14:paraId="6B03A31E">
            <w:pPr>
              <w:keepNext w:val="0"/>
              <w:keepLines w:val="0"/>
              <w:widowControl/>
              <w:numPr>
                <w:ilvl w:val="0"/>
                <w:numId w:val="5"/>
              </w:numPr>
              <w:suppressLineNumbers w:val="0"/>
              <w:ind w:left="425" w:leftChars="0" w:hanging="425" w:firstLineChars="0"/>
              <w:jc w:val="left"/>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color w:val="FF0000"/>
                <w:szCs w:val="21"/>
              </w:rPr>
              <w:t>▲</w:t>
            </w:r>
            <w:r>
              <w:rPr>
                <w:rFonts w:hint="eastAsia" w:ascii="宋体" w:hAnsi="宋体" w:eastAsia="宋体" w:cs="宋体"/>
                <w:i w:val="0"/>
                <w:iCs w:val="0"/>
                <w:color w:val="FF0000"/>
                <w:kern w:val="0"/>
                <w:sz w:val="20"/>
                <w:szCs w:val="20"/>
                <w:u w:val="none"/>
                <w:lang w:val="en-US" w:eastAsia="zh-CN" w:bidi="ar"/>
              </w:rPr>
              <w:t>内存：配置≥8GB内存，支持2个内存插槽，最大支持扩展容量≥64GB；</w:t>
            </w:r>
          </w:p>
          <w:p w14:paraId="0595ABFD">
            <w:pPr>
              <w:keepNext w:val="0"/>
              <w:keepLines w:val="0"/>
              <w:widowControl/>
              <w:numPr>
                <w:ilvl w:val="0"/>
                <w:numId w:val="5"/>
              </w:numPr>
              <w:suppressLineNumbers w:val="0"/>
              <w:ind w:left="425" w:leftChars="0" w:hanging="425" w:firstLineChars="0"/>
              <w:jc w:val="left"/>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color w:val="FF0000"/>
                <w:szCs w:val="21"/>
              </w:rPr>
              <w:t>▲</w:t>
            </w:r>
            <w:r>
              <w:rPr>
                <w:rFonts w:hint="eastAsia" w:ascii="宋体" w:hAnsi="宋体" w:eastAsia="宋体" w:cs="宋体"/>
                <w:i w:val="0"/>
                <w:iCs w:val="0"/>
                <w:color w:val="FF0000"/>
                <w:kern w:val="0"/>
                <w:sz w:val="20"/>
                <w:szCs w:val="20"/>
                <w:u w:val="none"/>
                <w:lang w:val="en-US" w:eastAsia="zh-CN" w:bidi="ar"/>
              </w:rPr>
              <w:t>硬盘：配置≥256GB 固态硬盘；支持机械硬盘扩展，配置≥1T 机械硬盘;</w:t>
            </w:r>
          </w:p>
          <w:p w14:paraId="59F3C693">
            <w:pPr>
              <w:keepNext w:val="0"/>
              <w:keepLines w:val="0"/>
              <w:widowControl/>
              <w:numPr>
                <w:ilvl w:val="0"/>
                <w:numId w:val="5"/>
              </w:numPr>
              <w:suppressLineNumbers w:val="0"/>
              <w:ind w:left="425" w:leftChars="0" w:hanging="425" w:firstLineChars="0"/>
              <w:jc w:val="left"/>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color w:val="FF0000"/>
                <w:szCs w:val="21"/>
              </w:rPr>
              <w:t>▲</w:t>
            </w:r>
            <w:r>
              <w:rPr>
                <w:rFonts w:hint="eastAsia" w:ascii="宋体" w:hAnsi="宋体" w:eastAsia="宋体" w:cs="宋体"/>
                <w:i w:val="0"/>
                <w:iCs w:val="0"/>
                <w:color w:val="FF0000"/>
                <w:kern w:val="0"/>
                <w:sz w:val="20"/>
                <w:szCs w:val="20"/>
                <w:u w:val="none"/>
                <w:lang w:val="en-US" w:eastAsia="zh-CN" w:bidi="ar"/>
              </w:rPr>
              <w:t>扩展性：板载SATA 接口≥4个，PCIe插槽≥3个，RS232串口≥1个；</w:t>
            </w:r>
          </w:p>
          <w:p w14:paraId="7815E20C">
            <w:pPr>
              <w:keepNext w:val="0"/>
              <w:keepLines w:val="0"/>
              <w:widowControl/>
              <w:numPr>
                <w:ilvl w:val="0"/>
                <w:numId w:val="5"/>
              </w:numPr>
              <w:suppressLineNumbers w:val="0"/>
              <w:ind w:left="425" w:leftChars="0" w:hanging="425" w:firstLineChars="0"/>
              <w:jc w:val="left"/>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color w:val="FF0000"/>
                <w:szCs w:val="21"/>
              </w:rPr>
              <w:t>▲</w:t>
            </w:r>
            <w:r>
              <w:rPr>
                <w:rFonts w:hint="eastAsia" w:ascii="宋体" w:hAnsi="宋体" w:eastAsia="宋体" w:cs="宋体"/>
                <w:i w:val="0"/>
                <w:iCs w:val="0"/>
                <w:color w:val="FF0000"/>
                <w:kern w:val="0"/>
                <w:sz w:val="20"/>
                <w:szCs w:val="20"/>
                <w:u w:val="none"/>
                <w:lang w:val="en-US" w:eastAsia="zh-CN" w:bidi="ar"/>
              </w:rPr>
              <w:t>显卡：支持集成显卡或独立显卡；</w:t>
            </w:r>
          </w:p>
          <w:p w14:paraId="7A8DCEBB">
            <w:pPr>
              <w:keepNext w:val="0"/>
              <w:keepLines w:val="0"/>
              <w:widowControl/>
              <w:numPr>
                <w:ilvl w:val="0"/>
                <w:numId w:val="5"/>
              </w:numPr>
              <w:suppressLineNumbers w:val="0"/>
              <w:ind w:left="425" w:leftChars="0" w:hanging="425" w:firstLineChars="0"/>
              <w:jc w:val="left"/>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color w:val="FF0000"/>
                <w:szCs w:val="21"/>
              </w:rPr>
              <w:t>▲</w:t>
            </w:r>
            <w:r>
              <w:rPr>
                <w:rFonts w:hint="eastAsia" w:ascii="宋体" w:hAnsi="宋体" w:eastAsia="宋体" w:cs="宋体"/>
                <w:i w:val="0"/>
                <w:iCs w:val="0"/>
                <w:color w:val="FF0000"/>
                <w:kern w:val="0"/>
                <w:sz w:val="20"/>
                <w:szCs w:val="20"/>
                <w:u w:val="none"/>
                <w:lang w:val="en-US" w:eastAsia="zh-CN" w:bidi="ar"/>
              </w:rPr>
              <w:t>网络：1个RJ45 10/100/1000自适应以太网口；支持无线网络</w:t>
            </w:r>
          </w:p>
          <w:p w14:paraId="2D40DD30">
            <w:pPr>
              <w:keepNext w:val="0"/>
              <w:keepLines w:val="0"/>
              <w:widowControl/>
              <w:numPr>
                <w:ilvl w:val="0"/>
                <w:numId w:val="5"/>
              </w:numPr>
              <w:suppressLineNumbers w:val="0"/>
              <w:ind w:left="425" w:leftChars="0" w:hanging="425" w:firstLineChars="0"/>
              <w:jc w:val="left"/>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FF0000"/>
                <w:kern w:val="0"/>
                <w:sz w:val="20"/>
                <w:szCs w:val="20"/>
                <w:u w:val="none"/>
                <w:lang w:val="en-US" w:eastAsia="zh-CN" w:bidi="ar"/>
              </w:rPr>
              <w:t>接口：主板或机箱原生USB接口数量≥10个； 1个HDMI接口，1个VGA接口，1组音频接口;</w:t>
            </w:r>
          </w:p>
          <w:p w14:paraId="2C723AA7">
            <w:pPr>
              <w:keepNext w:val="0"/>
              <w:keepLines w:val="0"/>
              <w:widowControl/>
              <w:numPr>
                <w:ilvl w:val="0"/>
                <w:numId w:val="5"/>
              </w:numPr>
              <w:suppressLineNumbers w:val="0"/>
              <w:ind w:left="425" w:leftChars="0" w:hanging="425" w:firstLineChars="0"/>
              <w:jc w:val="left"/>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color w:val="FF0000"/>
                <w:szCs w:val="21"/>
              </w:rPr>
              <w:t>▲</w:t>
            </w:r>
            <w:r>
              <w:rPr>
                <w:rFonts w:hint="eastAsia" w:ascii="宋体" w:hAnsi="宋体" w:eastAsia="宋体" w:cs="宋体"/>
                <w:i w:val="0"/>
                <w:iCs w:val="0"/>
                <w:color w:val="FF0000"/>
                <w:kern w:val="0"/>
                <w:sz w:val="20"/>
                <w:szCs w:val="20"/>
                <w:u w:val="none"/>
                <w:lang w:val="en-US" w:eastAsia="zh-CN" w:bidi="ar"/>
              </w:rPr>
              <w:t>电源：配置≥200W电源；</w:t>
            </w:r>
          </w:p>
          <w:p w14:paraId="3540E5B2">
            <w:pPr>
              <w:keepNext w:val="0"/>
              <w:keepLines w:val="0"/>
              <w:widowControl/>
              <w:numPr>
                <w:ilvl w:val="0"/>
                <w:numId w:val="5"/>
              </w:numPr>
              <w:suppressLineNumbers w:val="0"/>
              <w:ind w:left="425" w:leftChars="0" w:hanging="425" w:firstLineChars="0"/>
              <w:jc w:val="left"/>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i w:val="0"/>
                <w:iCs w:val="0"/>
                <w:color w:val="FF0000"/>
                <w:kern w:val="0"/>
                <w:sz w:val="20"/>
                <w:szCs w:val="20"/>
                <w:u w:val="none"/>
                <w:lang w:val="en-US" w:eastAsia="zh-CN" w:bidi="ar"/>
              </w:rPr>
              <w:t xml:space="preserve">机箱：所投产品机箱尺寸≥12L，机箱自带脚垫，可立可卧；自带可拆卸机箱脚架，稳固防滑、优化散热、减震降噪 </w:t>
            </w:r>
          </w:p>
          <w:p w14:paraId="3490F698">
            <w:pPr>
              <w:keepNext w:val="0"/>
              <w:keepLines w:val="0"/>
              <w:widowControl/>
              <w:numPr>
                <w:ilvl w:val="0"/>
                <w:numId w:val="5"/>
              </w:numPr>
              <w:suppressLineNumbers w:val="0"/>
              <w:ind w:left="425" w:leftChars="0" w:hanging="425" w:firstLineChars="0"/>
              <w:jc w:val="left"/>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color w:val="FF0000"/>
                <w:szCs w:val="21"/>
              </w:rPr>
              <w:t>▲</w:t>
            </w:r>
            <w:r>
              <w:rPr>
                <w:rFonts w:hint="eastAsia" w:ascii="宋体" w:hAnsi="宋体" w:eastAsia="宋体" w:cs="宋体"/>
                <w:i w:val="0"/>
                <w:iCs w:val="0"/>
                <w:color w:val="FF0000"/>
                <w:kern w:val="0"/>
                <w:sz w:val="20"/>
                <w:szCs w:val="20"/>
                <w:u w:val="none"/>
                <w:lang w:val="en-US" w:eastAsia="zh-CN" w:bidi="ar"/>
              </w:rPr>
              <w:t xml:space="preserve">显示器：配置和主机同品牌的显示器，显示器屏幕尺寸：≥23.8 英寸，分辨率：≥1920×1080，刷新率≥100Hz，对比度≥3000:1，可视角度≥178H/178V，响应时间≤5ms，屏占比≥89%，蓝光加权辐射亮度比≤0.0012，显示屏频闪≤-35dB，显示屏镜面反射率≤10%；具有3C、节能、硬件环境、恶劣供电（165-265VAC)等认证证书；  </w:t>
            </w:r>
          </w:p>
          <w:p w14:paraId="0682A86B">
            <w:pPr>
              <w:keepNext w:val="0"/>
              <w:keepLines w:val="0"/>
              <w:widowControl/>
              <w:numPr>
                <w:ilvl w:val="0"/>
                <w:numId w:val="5"/>
              </w:numPr>
              <w:suppressLineNumbers w:val="0"/>
              <w:ind w:left="425" w:leftChars="0" w:hanging="425" w:firstLineChars="0"/>
              <w:jc w:val="left"/>
              <w:textAlignment w:val="center"/>
              <w:rPr>
                <w:rFonts w:hint="eastAsia" w:ascii="宋体" w:hAnsi="宋体" w:eastAsia="宋体" w:cs="宋体"/>
                <w:i w:val="0"/>
                <w:iCs w:val="0"/>
                <w:color w:val="FF0000"/>
                <w:kern w:val="0"/>
                <w:sz w:val="20"/>
                <w:szCs w:val="20"/>
                <w:u w:val="none"/>
                <w:lang w:val="en-US" w:eastAsia="zh-CN" w:bidi="ar"/>
              </w:rPr>
            </w:pPr>
            <w:r>
              <w:rPr>
                <w:rFonts w:hint="eastAsia" w:ascii="宋体" w:hAnsi="宋体" w:eastAsia="宋体" w:cs="宋体"/>
                <w:color w:val="FF0000"/>
                <w:szCs w:val="21"/>
              </w:rPr>
              <w:t>▲</w:t>
            </w:r>
            <w:r>
              <w:rPr>
                <w:rFonts w:hint="eastAsia" w:ascii="宋体" w:hAnsi="宋体" w:eastAsia="宋体" w:cs="宋体"/>
                <w:i w:val="0"/>
                <w:iCs w:val="0"/>
                <w:color w:val="FF0000"/>
                <w:kern w:val="0"/>
                <w:sz w:val="20"/>
                <w:szCs w:val="20"/>
                <w:u w:val="none"/>
                <w:lang w:val="en-US" w:eastAsia="zh-CN" w:bidi="ar"/>
              </w:rPr>
              <w:t>三年售后服务。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78541">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AE37D">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台</w:t>
            </w:r>
          </w:p>
        </w:tc>
      </w:tr>
      <w:tr w14:paraId="0AEFC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D3582">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6</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41A6B">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终端操作系统</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45F2D">
            <w:pPr>
              <w:keepNext w:val="0"/>
              <w:keepLines w:val="0"/>
              <w:widowControl/>
              <w:suppressLineNumbers w:val="0"/>
              <w:jc w:val="left"/>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具备设备管理、文件系统管理、用户管理、个性化设置等基本功能，提供国产软件中心、雷鸟邮件客户端、图片查看器、视频播放器、备份还原等常用工具；包括电话、电邮、远程连接。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CD4EF">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775AC">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套</w:t>
            </w:r>
          </w:p>
        </w:tc>
      </w:tr>
      <w:tr w14:paraId="5D700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A7C44">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7</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D4EF6">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办公软件</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32A19">
            <w:pPr>
              <w:keepNext w:val="0"/>
              <w:keepLines w:val="0"/>
              <w:widowControl/>
              <w:suppressLineNumbers w:val="0"/>
              <w:jc w:val="left"/>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用于处理文字，表格及幻灯片的流式办公软件，包含wps文字、wps表格、wps演示三个应用，支持电子公文系统流转的wps、doc、et、dps等常用公文格式。操作系统：支持国产系统等，3年内新版本免费升级服务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57123">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2BBC5">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套</w:t>
            </w:r>
          </w:p>
        </w:tc>
      </w:tr>
      <w:tr w14:paraId="66F84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25845">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8</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06790">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教师资料柜</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D7EA2">
            <w:pPr>
              <w:keepNext w:val="0"/>
              <w:keepLines w:val="0"/>
              <w:widowControl/>
              <w:suppressLineNumbers w:val="0"/>
              <w:jc w:val="left"/>
              <w:textAlignment w:val="center"/>
              <w:rPr>
                <w:rFonts w:hint="eastAsia" w:ascii="宋体" w:hAnsi="宋体" w:eastAsia="宋体" w:cs="宋体"/>
                <w:i w:val="0"/>
                <w:iCs w:val="0"/>
                <w:color w:val="FF0000"/>
                <w:sz w:val="20"/>
                <w:szCs w:val="20"/>
                <w:u w:val="none"/>
              </w:rPr>
            </w:pPr>
            <w:r>
              <w:rPr>
                <w:rFonts w:hint="eastAsia" w:ascii="宋体" w:hAnsi="宋体" w:eastAsia="宋体" w:cs="宋体"/>
                <w:color w:val="FF0000"/>
                <w:szCs w:val="21"/>
              </w:rPr>
              <w:t>▲</w:t>
            </w:r>
            <w:r>
              <w:rPr>
                <w:rFonts w:hint="eastAsia" w:ascii="宋体" w:hAnsi="宋体" w:eastAsia="宋体" w:cs="宋体"/>
                <w:i w:val="0"/>
                <w:iCs w:val="0"/>
                <w:color w:val="FF0000"/>
                <w:kern w:val="0"/>
                <w:sz w:val="20"/>
                <w:szCs w:val="20"/>
                <w:u w:val="none"/>
                <w:lang w:val="en-US" w:eastAsia="zh-CN" w:bidi="ar"/>
              </w:rPr>
              <w:t>尺寸：850*390*1850MM   采用国产一级冷轧钢板；符合《GB/T 708－2006冷轧钢板和钢带的尺寸、外形、重量及允许偏差》及《GB/T 12253-2007碳素结构钢冷轧薄钢板和钢带》标准，厚度≥0.6mm，活动压条采用SGD光圆铁，涂装防锈处理，喷涂膜厚20UM以上,硬度达H级。结构：上下平开双门，中部带抽屉2格。裸厚0.5mm，喷涂0.6mm,皱纹粉,颜色如图所示，冷轧板制作，上玻下铁，对开门，中间两个抽屉，上下内置活隔板一块，柜子底部四角钉直角塑料防潮垫。</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D1B2B">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7808F">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个</w:t>
            </w:r>
          </w:p>
        </w:tc>
      </w:tr>
      <w:tr w14:paraId="27066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75B06">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9</w:t>
            </w:r>
          </w:p>
        </w:tc>
        <w:tc>
          <w:tcPr>
            <w:tcW w:w="1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4BF24">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4人食堂餐桌椅</w:t>
            </w:r>
          </w:p>
        </w:tc>
        <w:tc>
          <w:tcPr>
            <w:tcW w:w="5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D6A2C">
            <w:pPr>
              <w:keepNext w:val="0"/>
              <w:keepLines w:val="0"/>
              <w:widowControl/>
              <w:suppressLineNumbers w:val="0"/>
              <w:jc w:val="left"/>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 xml:space="preserve">优质201#磨砂不锈钢板材制作，板材厚度1.0MM，                           </w:t>
            </w:r>
            <w:r>
              <w:rPr>
                <w:rFonts w:hint="eastAsia" w:ascii="宋体" w:hAnsi="宋体" w:eastAsia="宋体" w:cs="宋体"/>
                <w:i w:val="0"/>
                <w:iCs w:val="0"/>
                <w:color w:val="FF0000"/>
                <w:kern w:val="0"/>
                <w:sz w:val="20"/>
                <w:szCs w:val="20"/>
                <w:u w:val="none"/>
                <w:lang w:val="en-US" w:eastAsia="zh-CN" w:bidi="ar"/>
              </w:rPr>
              <w:br w:type="textWrapping"/>
            </w:r>
            <w:r>
              <w:rPr>
                <w:rFonts w:hint="eastAsia" w:ascii="宋体" w:hAnsi="宋体" w:eastAsia="宋体" w:cs="宋体"/>
                <w:color w:val="FF0000"/>
                <w:szCs w:val="21"/>
              </w:rPr>
              <w:t>▲</w:t>
            </w:r>
            <w:r>
              <w:rPr>
                <w:rFonts w:hint="eastAsia" w:ascii="宋体" w:hAnsi="宋体" w:eastAsia="宋体" w:cs="宋体"/>
                <w:i w:val="0"/>
                <w:iCs w:val="0"/>
                <w:color w:val="FF0000"/>
                <w:kern w:val="0"/>
                <w:sz w:val="20"/>
                <w:szCs w:val="20"/>
                <w:u w:val="none"/>
                <w:lang w:val="en-US" w:eastAsia="zh-CN" w:bidi="ar"/>
              </w:rPr>
              <w:t>支撑管采用38不锈钢管配可活动脚1200*600*750。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0B49F">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9BE47">
            <w:pPr>
              <w:keepNext w:val="0"/>
              <w:keepLines w:val="0"/>
              <w:widowControl/>
              <w:suppressLineNumbers w:val="0"/>
              <w:jc w:val="center"/>
              <w:textAlignment w:val="center"/>
              <w:rPr>
                <w:rFonts w:hint="eastAsia" w:ascii="宋体" w:hAnsi="宋体" w:eastAsia="宋体" w:cs="宋体"/>
                <w:i w:val="0"/>
                <w:iCs w:val="0"/>
                <w:color w:val="FF0000"/>
                <w:sz w:val="20"/>
                <w:szCs w:val="20"/>
                <w:u w:val="none"/>
              </w:rPr>
            </w:pPr>
            <w:r>
              <w:rPr>
                <w:rFonts w:hint="eastAsia" w:ascii="宋体" w:hAnsi="宋体" w:eastAsia="宋体" w:cs="宋体"/>
                <w:i w:val="0"/>
                <w:iCs w:val="0"/>
                <w:color w:val="FF0000"/>
                <w:kern w:val="0"/>
                <w:sz w:val="20"/>
                <w:szCs w:val="20"/>
                <w:u w:val="none"/>
                <w:lang w:val="en-US" w:eastAsia="zh-CN" w:bidi="ar"/>
              </w:rPr>
              <w:t>套</w:t>
            </w:r>
          </w:p>
        </w:tc>
      </w:tr>
    </w:tbl>
    <w:p w14:paraId="455A9326">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FF0000"/>
          <w:szCs w:val="21"/>
          <w:highlight w:val="none"/>
        </w:rPr>
      </w:pPr>
      <w:r>
        <w:rPr>
          <w:rFonts w:hint="eastAsia" w:ascii="宋体" w:hAnsi="宋体" w:eastAsia="宋体" w:cs="宋体"/>
          <w:color w:val="FF0000"/>
          <w:szCs w:val="21"/>
          <w:highlight w:val="none"/>
        </w:rPr>
        <w:t>注：</w:t>
      </w:r>
      <w:bookmarkStart w:id="1188" w:name="_Toc17069"/>
      <w:bookmarkStart w:id="1189" w:name="_Toc200569680"/>
      <w:bookmarkStart w:id="1190" w:name="_Toc20962"/>
      <w:bookmarkStart w:id="1191" w:name="_Toc29836"/>
      <w:bookmarkStart w:id="1192" w:name="_Toc192949742"/>
      <w:bookmarkStart w:id="1193" w:name="_Toc112704984"/>
      <w:bookmarkStart w:id="1194" w:name="_Toc32524"/>
      <w:bookmarkStart w:id="1195" w:name="_Toc192951253"/>
      <w:bookmarkStart w:id="1196" w:name="_Toc23063"/>
    </w:p>
    <w:p w14:paraId="6BA74AC7">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FF0000"/>
          <w:szCs w:val="21"/>
          <w:highlight w:val="none"/>
        </w:rPr>
      </w:pPr>
      <w:r>
        <w:rPr>
          <w:rFonts w:hint="eastAsia" w:ascii="宋体" w:hAnsi="宋体" w:eastAsia="宋体" w:cs="宋体"/>
          <w:color w:val="FF0000"/>
          <w:szCs w:val="21"/>
          <w:highlight w:val="none"/>
          <w:lang w:val="en-US" w:eastAsia="zh-CN"/>
        </w:rPr>
        <w:t>1，</w:t>
      </w:r>
      <w:r>
        <w:rPr>
          <w:rFonts w:hint="eastAsia" w:ascii="宋体" w:hAnsi="宋体" w:eastAsia="宋体" w:cs="宋体"/>
          <w:color w:val="FF0000"/>
          <w:szCs w:val="21"/>
          <w:highlight w:val="none"/>
        </w:rPr>
        <w:t>以上产品如涉及到品牌或型号，仅起参数说明作用，不指定品牌，但供应商所投产品的参数须等于或优于上述参数要求。</w:t>
      </w:r>
    </w:p>
    <w:p w14:paraId="661D51BB">
      <w:pPr>
        <w:keepNext w:val="0"/>
        <w:keepLines w:val="0"/>
        <w:pageBreakBefore w:val="0"/>
        <w:widowControl/>
        <w:kinsoku/>
        <w:wordWrap/>
        <w:overflowPunct/>
        <w:topLinePunct w:val="0"/>
        <w:autoSpaceDE/>
        <w:autoSpaceDN/>
        <w:bidi w:val="0"/>
        <w:adjustRightInd/>
        <w:snapToGrid/>
        <w:spacing w:after="0" w:line="360" w:lineRule="auto"/>
        <w:jc w:val="left"/>
        <w:textAlignment w:val="auto"/>
        <w:rPr>
          <w:rFonts w:hint="eastAsia" w:ascii="宋体" w:hAnsi="宋体" w:eastAsia="宋体" w:cs="宋体"/>
          <w:color w:val="FF0000"/>
          <w:szCs w:val="21"/>
          <w:highlight w:val="none"/>
          <w:lang w:val="en-US" w:eastAsia="zh-CN"/>
        </w:rPr>
      </w:pPr>
      <w:r>
        <w:rPr>
          <w:rFonts w:hint="eastAsia" w:ascii="宋体" w:hAnsi="宋体" w:eastAsia="宋体" w:cs="宋体"/>
          <w:color w:val="FF0000"/>
          <w:szCs w:val="21"/>
          <w:highlight w:val="none"/>
          <w:lang w:val="en-US" w:eastAsia="zh-CN"/>
        </w:rPr>
        <w:t>2，以上产品参数如需提供检测而报告，均需加盖投标人公章。</w:t>
      </w:r>
    </w:p>
    <w:p w14:paraId="5BA5D247">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3A2D1E60">
      <w:pPr>
        <w:pStyle w:val="4"/>
        <w:jc w:val="center"/>
        <w:rPr>
          <w:rFonts w:hint="eastAsia" w:ascii="宋体" w:hAnsi="宋体" w:eastAsia="宋体" w:cs="宋体"/>
          <w:color w:val="auto"/>
          <w:sz w:val="28"/>
          <w:szCs w:val="28"/>
          <w:highlight w:val="none"/>
        </w:rPr>
      </w:pPr>
      <w:bookmarkStart w:id="1197" w:name="_Toc14628"/>
      <w:r>
        <w:rPr>
          <w:rFonts w:hint="eastAsia" w:ascii="宋体" w:hAnsi="宋体" w:eastAsia="宋体" w:cs="宋体"/>
          <w:color w:val="auto"/>
          <w:sz w:val="28"/>
          <w:szCs w:val="28"/>
          <w:highlight w:val="none"/>
        </w:rPr>
        <w:t>第三节 商务要求</w:t>
      </w:r>
      <w:bookmarkEnd w:id="1188"/>
      <w:bookmarkEnd w:id="1189"/>
      <w:bookmarkEnd w:id="1190"/>
      <w:bookmarkEnd w:id="1191"/>
      <w:bookmarkEnd w:id="1192"/>
      <w:bookmarkEnd w:id="1193"/>
      <w:bookmarkEnd w:id="1194"/>
      <w:bookmarkEnd w:id="1195"/>
      <w:bookmarkEnd w:id="1196"/>
      <w:bookmarkEnd w:id="1197"/>
    </w:p>
    <w:p w14:paraId="24E63FC6">
      <w:pPr>
        <w:keepNext w:val="0"/>
        <w:keepLines w:val="0"/>
        <w:pageBreakBefore w:val="0"/>
        <w:kinsoku/>
        <w:wordWrap/>
        <w:overflowPunct/>
        <w:topLinePunct w:val="0"/>
        <w:autoSpaceDE/>
        <w:autoSpaceDN/>
        <w:bidi w:val="0"/>
        <w:adjustRightInd w:val="0"/>
        <w:snapToGrid w:val="0"/>
        <w:spacing w:after="0" w:line="360" w:lineRule="auto"/>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一、采购要求：</w:t>
      </w:r>
    </w:p>
    <w:p w14:paraId="60796D6E">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1、交货期：</w:t>
      </w:r>
      <w:r>
        <w:rPr>
          <w:rFonts w:hint="eastAsia" w:ascii="宋体" w:hAnsi="宋体" w:eastAsia="宋体" w:cs="宋体"/>
          <w:color w:val="auto"/>
          <w:szCs w:val="21"/>
          <w:highlight w:val="none"/>
          <w:lang w:eastAsia="zh-CN"/>
        </w:rPr>
        <w:t>合同签订后</w:t>
      </w:r>
      <w:r>
        <w:rPr>
          <w:rFonts w:hint="eastAsia" w:ascii="宋体" w:hAnsi="宋体" w:eastAsia="宋体" w:cs="宋体"/>
          <w:color w:val="auto"/>
          <w:szCs w:val="21"/>
          <w:highlight w:val="none"/>
          <w:lang w:val="en-US" w:eastAsia="zh-CN"/>
        </w:rPr>
        <w:t>35</w:t>
      </w:r>
      <w:r>
        <w:rPr>
          <w:rFonts w:hint="eastAsia" w:ascii="宋体" w:hAnsi="宋体" w:eastAsia="宋体" w:cs="宋体"/>
          <w:color w:val="auto"/>
          <w:szCs w:val="21"/>
          <w:highlight w:val="none"/>
          <w:lang w:eastAsia="zh-CN"/>
        </w:rPr>
        <w:t>天内交货，并安装调试验收合格交付使用</w:t>
      </w:r>
      <w:r>
        <w:rPr>
          <w:rFonts w:hint="eastAsia" w:ascii="宋体" w:hAnsi="宋体" w:eastAsia="宋体" w:cs="宋体"/>
          <w:color w:val="auto"/>
          <w:szCs w:val="21"/>
          <w:highlight w:val="none"/>
        </w:rPr>
        <w:t>。</w:t>
      </w:r>
    </w:p>
    <w:p w14:paraId="0532C2A1">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2、项目现场：采购人指定地点</w:t>
      </w:r>
    </w:p>
    <w:p w14:paraId="4B624F85">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3、交货方式：供应商负责运输，装卸、保管等；</w:t>
      </w:r>
    </w:p>
    <w:p w14:paraId="7AE5B1B9">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4、付款方式：</w:t>
      </w:r>
      <w:r>
        <w:rPr>
          <w:rFonts w:hint="eastAsia" w:ascii="宋体" w:hAnsi="宋体" w:eastAsia="宋体" w:cs="宋体"/>
          <w:color w:val="auto"/>
          <w:szCs w:val="21"/>
          <w:highlight w:val="none"/>
          <w:u w:val="single"/>
        </w:rPr>
        <w:t>货物全部到达采购人指定地点</w:t>
      </w:r>
      <w:r>
        <w:rPr>
          <w:rFonts w:hint="eastAsia" w:ascii="宋体" w:hAnsi="宋体" w:eastAsia="宋体" w:cs="宋体"/>
          <w:color w:val="auto"/>
          <w:szCs w:val="21"/>
          <w:highlight w:val="none"/>
          <w:u w:val="single"/>
          <w:lang w:eastAsia="zh-CN"/>
        </w:rPr>
        <w:t>、</w:t>
      </w:r>
      <w:r>
        <w:rPr>
          <w:rFonts w:hint="eastAsia" w:ascii="宋体" w:hAnsi="宋体" w:eastAsia="宋体" w:cs="宋体"/>
          <w:color w:val="auto"/>
          <w:szCs w:val="21"/>
          <w:highlight w:val="none"/>
          <w:u w:val="single"/>
          <w:lang w:val="en-US" w:eastAsia="zh-CN"/>
        </w:rPr>
        <w:t>按要求安装到位并</w:t>
      </w:r>
      <w:r>
        <w:rPr>
          <w:rFonts w:hint="eastAsia" w:ascii="宋体" w:hAnsi="宋体" w:eastAsia="宋体" w:cs="宋体"/>
          <w:color w:val="auto"/>
          <w:szCs w:val="21"/>
          <w:highlight w:val="none"/>
          <w:u w:val="single"/>
        </w:rPr>
        <w:t>经采购人验收合格</w:t>
      </w:r>
      <w:r>
        <w:rPr>
          <w:rFonts w:hint="eastAsia" w:ascii="宋体" w:hAnsi="宋体" w:cs="宋体"/>
          <w:color w:val="auto"/>
          <w:szCs w:val="21"/>
          <w:highlight w:val="none"/>
          <w:u w:val="single"/>
          <w:lang w:eastAsia="zh-CN"/>
        </w:rPr>
        <w:t>，乙方提供正式的税务发票及相关附件资料，一次性支付给供货商</w:t>
      </w:r>
      <w:r>
        <w:rPr>
          <w:rStyle w:val="112"/>
          <w:rFonts w:hint="eastAsia" w:ascii="宋体" w:hAnsi="宋体" w:eastAsia="宋体" w:cs="宋体"/>
          <w:bCs/>
          <w:color w:val="auto"/>
          <w:spacing w:val="-5"/>
          <w:szCs w:val="21"/>
          <w:u w:val="single"/>
        </w:rPr>
        <w:t>。</w:t>
      </w:r>
      <w:r>
        <w:rPr>
          <w:rFonts w:hint="eastAsia" w:ascii="宋体" w:hAnsi="宋体" w:eastAsia="宋体" w:cs="宋体"/>
          <w:color w:val="auto"/>
          <w:szCs w:val="21"/>
          <w:highlight w:val="none"/>
          <w:lang w:val="en-US" w:eastAsia="zh-CN"/>
        </w:rPr>
        <w:t>以上费用支付由采购方按规定时间负责完成报账手续，具体支付时间以财政部门审批的为准。</w:t>
      </w:r>
    </w:p>
    <w:p w14:paraId="681056D0">
      <w:pPr>
        <w:keepNext w:val="0"/>
        <w:keepLines w:val="0"/>
        <w:pageBreakBefore w:val="0"/>
        <w:widowControl/>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本项目采用费用包干方式，供应商应根据项目要求及实际需求，详细列明项目所需的设备及材料购置，以及产品运输保险保管、产品安装、验收、质保期免费保修维护、运费、税金等所有人工、管理、财务等费用，如一旦中标，在项目实施中出现任何遗漏，均由中标人免费提供，采购人不再支付任何费用。</w:t>
      </w:r>
    </w:p>
    <w:p w14:paraId="06C6E872">
      <w:pPr>
        <w:keepNext w:val="0"/>
        <w:keepLines w:val="0"/>
        <w:pageBreakBefore w:val="0"/>
        <w:kinsoku/>
        <w:wordWrap/>
        <w:overflowPunct/>
        <w:topLinePunct w:val="0"/>
        <w:autoSpaceDE/>
        <w:autoSpaceDN/>
        <w:bidi w:val="0"/>
        <w:spacing w:after="0" w:line="360" w:lineRule="auto"/>
        <w:ind w:firstLine="422" w:firstLineChars="2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二、其他要求：</w:t>
      </w:r>
    </w:p>
    <w:p w14:paraId="7C244151">
      <w:pPr>
        <w:keepNext w:val="0"/>
        <w:keepLines w:val="0"/>
        <w:pageBreakBefore w:val="0"/>
        <w:kinsoku/>
        <w:wordWrap/>
        <w:overflowPunct/>
        <w:topLinePunct w:val="0"/>
        <w:autoSpaceDE/>
        <w:autoSpaceDN/>
        <w:bidi w:val="0"/>
        <w:spacing w:after="0"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1．产品运输、保险及保管</w:t>
      </w:r>
    </w:p>
    <w:p w14:paraId="41057D4D">
      <w:pPr>
        <w:keepNext w:val="0"/>
        <w:keepLines w:val="0"/>
        <w:pageBreakBefore w:val="0"/>
        <w:kinsoku/>
        <w:wordWrap/>
        <w:overflowPunct/>
        <w:topLinePunct w:val="0"/>
        <w:autoSpaceDE/>
        <w:autoSpaceDN/>
        <w:bidi w:val="0"/>
        <w:spacing w:after="0"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1.1中标人负责产品到实施地点的全部运输，包括装卸及现场搬运等。</w:t>
      </w:r>
    </w:p>
    <w:p w14:paraId="3FC3C89C">
      <w:pPr>
        <w:keepNext w:val="0"/>
        <w:keepLines w:val="0"/>
        <w:pageBreakBefore w:val="0"/>
        <w:kinsoku/>
        <w:wordWrap/>
        <w:overflowPunct/>
        <w:topLinePunct w:val="0"/>
        <w:autoSpaceDE/>
        <w:autoSpaceDN/>
        <w:bidi w:val="0"/>
        <w:spacing w:after="0"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1.2中标人负责产品在实施地点的保管，直至项目验收合格。</w:t>
      </w:r>
    </w:p>
    <w:p w14:paraId="19A2A29B">
      <w:pPr>
        <w:keepNext w:val="0"/>
        <w:keepLines w:val="0"/>
        <w:pageBreakBefore w:val="0"/>
        <w:kinsoku/>
        <w:wordWrap/>
        <w:overflowPunct/>
        <w:topLinePunct w:val="0"/>
        <w:autoSpaceDE/>
        <w:autoSpaceDN/>
        <w:bidi w:val="0"/>
        <w:spacing w:after="0"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1.3中标人负责其派出的项目实施人员的人身意外保险。</w:t>
      </w:r>
    </w:p>
    <w:p w14:paraId="16DB079E">
      <w:pPr>
        <w:keepNext w:val="0"/>
        <w:keepLines w:val="0"/>
        <w:pageBreakBefore w:val="0"/>
        <w:kinsoku/>
        <w:wordWrap/>
        <w:overflowPunct/>
        <w:topLinePunct w:val="0"/>
        <w:autoSpaceDE/>
        <w:autoSpaceDN/>
        <w:bidi w:val="0"/>
        <w:spacing w:after="0"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2.安装调试</w:t>
      </w:r>
    </w:p>
    <w:p w14:paraId="3D1C9E3A">
      <w:pPr>
        <w:keepNext w:val="0"/>
        <w:keepLines w:val="0"/>
        <w:pageBreakBefore w:val="0"/>
        <w:kinsoku/>
        <w:wordWrap/>
        <w:overflowPunct/>
        <w:topLinePunct w:val="0"/>
        <w:autoSpaceDE/>
        <w:autoSpaceDN/>
        <w:bidi w:val="0"/>
        <w:spacing w:after="0"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2.1中标人须负责所有设备的安装调试，在项目实施过程中须加强项目实施的组织管理，所有人员应遵守有关规章制度。</w:t>
      </w:r>
      <w:r>
        <w:rPr>
          <w:rFonts w:hint="eastAsia" w:ascii="宋体" w:hAnsi="宋体" w:eastAsia="宋体" w:cs="宋体"/>
          <w:snapToGrid w:val="0"/>
          <w:color w:val="auto"/>
          <w:spacing w:val="-4"/>
          <w:kern w:val="0"/>
          <w:szCs w:val="21"/>
          <w:highlight w:val="none"/>
        </w:rPr>
        <w:t>中标人应自行采取一切有效的措施做好安全防护、警戒、照明、告示、安全保卫等措施，凡在施工中因中标人原因造成的一切安全事故的责任和损失概由中标人负责，采购人概不承担任何责任。</w:t>
      </w:r>
    </w:p>
    <w:p w14:paraId="73993A8B">
      <w:pPr>
        <w:keepNext w:val="0"/>
        <w:keepLines w:val="0"/>
        <w:pageBreakBefore w:val="0"/>
        <w:kinsoku/>
        <w:wordWrap/>
        <w:overflowPunct/>
        <w:topLinePunct w:val="0"/>
        <w:autoSpaceDE/>
        <w:autoSpaceDN/>
        <w:bidi w:val="0"/>
        <w:spacing w:after="0"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2.2项目完成后，中标人应将项目有关的全部资料，包括产品资料、技术文档等移交采购人。</w:t>
      </w:r>
    </w:p>
    <w:p w14:paraId="1BF7D2D0">
      <w:pPr>
        <w:keepNext w:val="0"/>
        <w:keepLines w:val="0"/>
        <w:pageBreakBefore w:val="0"/>
        <w:kinsoku/>
        <w:wordWrap/>
        <w:overflowPunct/>
        <w:topLinePunct w:val="0"/>
        <w:autoSpaceDE/>
        <w:autoSpaceDN/>
        <w:bidi w:val="0"/>
        <w:spacing w:after="0"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2.3本项目为交钥匙工程，如招标文件中遗漏了必须具备的设备、配件或服务，请投标人在投标文件中指出，并提出解决方案供采购人参考；中标人有义务保证采购项目的完整性，如项目实施过程中因缺少设备、配件或服务导致采购人无法正常使用，中标人须承诺免费提供。</w:t>
      </w:r>
    </w:p>
    <w:p w14:paraId="24A58714">
      <w:pPr>
        <w:keepNext w:val="0"/>
        <w:keepLines w:val="0"/>
        <w:pageBreakBefore w:val="0"/>
        <w:kinsoku/>
        <w:wordWrap/>
        <w:overflowPunct/>
        <w:topLinePunct w:val="0"/>
        <w:autoSpaceDE/>
        <w:autoSpaceDN/>
        <w:bidi w:val="0"/>
        <w:spacing w:after="0"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3.测试验收</w:t>
      </w:r>
    </w:p>
    <w:p w14:paraId="6AF7202D">
      <w:pPr>
        <w:keepNext w:val="0"/>
        <w:keepLines w:val="0"/>
        <w:pageBreakBefore w:val="0"/>
        <w:kinsoku/>
        <w:wordWrap/>
        <w:overflowPunct/>
        <w:topLinePunct w:val="0"/>
        <w:autoSpaceDE/>
        <w:autoSpaceDN/>
        <w:bidi w:val="0"/>
        <w:spacing w:after="0"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3.1项目验收</w:t>
      </w:r>
      <w:r>
        <w:rPr>
          <w:rFonts w:hint="eastAsia" w:ascii="宋体" w:hAnsi="宋体" w:eastAsia="宋体" w:cs="宋体"/>
          <w:color w:val="auto"/>
          <w:szCs w:val="21"/>
          <w:highlight w:val="none"/>
        </w:rPr>
        <w:t>国家有强制性规定的，按国家规定执行，验收费用由中标人承担。</w:t>
      </w:r>
    </w:p>
    <w:p w14:paraId="35B863AF">
      <w:pPr>
        <w:keepNext w:val="0"/>
        <w:keepLines w:val="0"/>
        <w:pageBreakBefore w:val="0"/>
        <w:kinsoku/>
        <w:wordWrap/>
        <w:overflowPunct/>
        <w:topLinePunct w:val="0"/>
        <w:autoSpaceDE/>
        <w:autoSpaceDN/>
        <w:bidi w:val="0"/>
        <w:spacing w:after="0"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3.2验收过程中产生纠纷的，由质量技术监督部门认定的检测机构检测，如为中标人原因造成的，由中标人承担检测费用；否则，由采购人承担。</w:t>
      </w:r>
    </w:p>
    <w:p w14:paraId="6064D646">
      <w:pPr>
        <w:keepNext w:val="0"/>
        <w:keepLines w:val="0"/>
        <w:pageBreakBefore w:val="0"/>
        <w:kinsoku/>
        <w:wordWrap/>
        <w:overflowPunct/>
        <w:topLinePunct w:val="0"/>
        <w:autoSpaceDE/>
        <w:autoSpaceDN/>
        <w:bidi w:val="0"/>
        <w:spacing w:after="0"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3.3项目验收不合格，由中标人返工直至合格，有关返工、再行验收，以及给采购人造成的损失等费用由中标人承担。连续两次项目验收不合格的，采购人可终止合同，另行按规定选择其他供应商采购，由此带来的一切损失由中标人承担。</w:t>
      </w:r>
    </w:p>
    <w:p w14:paraId="7CBABCB9">
      <w:pPr>
        <w:keepNext w:val="0"/>
        <w:keepLines w:val="0"/>
        <w:pageBreakBefore w:val="0"/>
        <w:kinsoku/>
        <w:wordWrap/>
        <w:overflowPunct/>
        <w:topLinePunct w:val="0"/>
        <w:autoSpaceDE/>
        <w:autoSpaceDN/>
        <w:bidi w:val="0"/>
        <w:spacing w:after="0"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4.质量保证</w:t>
      </w:r>
    </w:p>
    <w:p w14:paraId="385B93C2">
      <w:pPr>
        <w:keepNext w:val="0"/>
        <w:keepLines w:val="0"/>
        <w:pageBreakBefore w:val="0"/>
        <w:kinsoku/>
        <w:wordWrap/>
        <w:overflowPunct/>
        <w:topLinePunct w:val="0"/>
        <w:autoSpaceDE/>
        <w:autoSpaceDN/>
        <w:bidi w:val="0"/>
        <w:spacing w:after="0"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4.1中标人提供的产品应是原装正品，符合国家质量检测标准，具有出厂合格证或国家鉴定合格证。</w:t>
      </w:r>
    </w:p>
    <w:p w14:paraId="0AC3D48D">
      <w:pPr>
        <w:keepNext w:val="0"/>
        <w:keepLines w:val="0"/>
        <w:pageBreakBefore w:val="0"/>
        <w:kinsoku/>
        <w:wordWrap/>
        <w:overflowPunct/>
        <w:topLinePunct w:val="0"/>
        <w:autoSpaceDE/>
        <w:autoSpaceDN/>
        <w:bidi w:val="0"/>
        <w:spacing w:after="0" w:line="360" w:lineRule="auto"/>
        <w:ind w:firstLine="420" w:firstLineChars="200"/>
        <w:textAlignment w:val="auto"/>
        <w:rPr>
          <w:rFonts w:hint="eastAsia" w:ascii="宋体" w:hAnsi="宋体" w:eastAsia="宋体" w:cs="宋体"/>
          <w:b/>
          <w:bCs/>
          <w:color w:val="auto"/>
          <w:szCs w:val="21"/>
          <w:highlight w:val="none"/>
        </w:rPr>
      </w:pPr>
      <w:r>
        <w:rPr>
          <w:rFonts w:hint="eastAsia" w:ascii="宋体" w:hAnsi="宋体" w:eastAsia="宋体" w:cs="宋体"/>
          <w:bCs/>
          <w:color w:val="auto"/>
          <w:szCs w:val="21"/>
          <w:highlight w:val="none"/>
        </w:rPr>
        <w:t>4.2整体项目质保期要求不少于</w:t>
      </w:r>
      <w:r>
        <w:rPr>
          <w:rFonts w:hint="eastAsia" w:ascii="宋体" w:hAnsi="宋体" w:eastAsia="宋体" w:cs="宋体"/>
          <w:bCs/>
          <w:color w:val="auto"/>
          <w:szCs w:val="21"/>
          <w:highlight w:val="none"/>
          <w:u w:val="single"/>
          <w:lang w:val="en-US" w:eastAsia="zh-CN"/>
        </w:rPr>
        <w:t>壹</w:t>
      </w:r>
      <w:r>
        <w:rPr>
          <w:rFonts w:hint="eastAsia" w:ascii="宋体" w:hAnsi="宋体" w:eastAsia="宋体" w:cs="宋体"/>
          <w:bCs/>
          <w:color w:val="auto"/>
          <w:szCs w:val="21"/>
          <w:highlight w:val="none"/>
          <w:lang w:eastAsia="zh-CN"/>
        </w:rPr>
        <w:t>年</w:t>
      </w:r>
      <w:r>
        <w:rPr>
          <w:rFonts w:hint="eastAsia" w:ascii="宋体" w:hAnsi="宋体" w:eastAsia="宋体" w:cs="宋体"/>
          <w:bCs/>
          <w:color w:val="auto"/>
          <w:szCs w:val="21"/>
          <w:highlight w:val="none"/>
        </w:rPr>
        <w:t>，货物清单及技术参数中另有规定的，按其规定。超出生产厂家正常保修范围的，中标人需向生产厂家购买；未在投标报价表中单列其费用的，视为免费提供。</w:t>
      </w:r>
    </w:p>
    <w:p w14:paraId="49E727E8">
      <w:pPr>
        <w:keepNext w:val="0"/>
        <w:keepLines w:val="0"/>
        <w:pageBreakBefore w:val="0"/>
        <w:kinsoku/>
        <w:wordWrap/>
        <w:overflowPunct/>
        <w:topLinePunct w:val="0"/>
        <w:autoSpaceDE/>
        <w:autoSpaceDN/>
        <w:bidi w:val="0"/>
        <w:spacing w:after="0" w:line="360" w:lineRule="auto"/>
        <w:ind w:firstLine="420" w:firstLineChars="200"/>
        <w:textAlignment w:val="auto"/>
        <w:rPr>
          <w:rFonts w:hint="eastAsia" w:ascii="宋体" w:hAnsi="宋体" w:eastAsia="宋体" w:cs="宋体"/>
          <w:b/>
          <w:bCs/>
          <w:color w:val="auto"/>
          <w:szCs w:val="21"/>
          <w:highlight w:val="none"/>
        </w:rPr>
      </w:pPr>
      <w:r>
        <w:rPr>
          <w:rFonts w:hint="eastAsia" w:ascii="宋体" w:hAnsi="宋体" w:eastAsia="宋体" w:cs="宋体"/>
          <w:bCs/>
          <w:color w:val="auto"/>
          <w:szCs w:val="21"/>
          <w:highlight w:val="none"/>
        </w:rPr>
        <w:t>4.3质保期从验收合格之日起开始计算。质保期内所有设备维护维修等要求免费上门服务。</w:t>
      </w:r>
    </w:p>
    <w:p w14:paraId="30A13F08">
      <w:pPr>
        <w:keepNext w:val="0"/>
        <w:keepLines w:val="0"/>
        <w:pageBreakBefore w:val="0"/>
        <w:kinsoku/>
        <w:wordWrap/>
        <w:overflowPunct/>
        <w:topLinePunct w:val="0"/>
        <w:autoSpaceDE/>
        <w:autoSpaceDN/>
        <w:bidi w:val="0"/>
        <w:spacing w:after="0"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5.售后服务</w:t>
      </w:r>
    </w:p>
    <w:p w14:paraId="38FCC29C">
      <w:pPr>
        <w:keepNext w:val="0"/>
        <w:keepLines w:val="0"/>
        <w:pageBreakBefore w:val="0"/>
        <w:widowControl w:val="0"/>
        <w:kinsoku/>
        <w:wordWrap/>
        <w:overflowPunct/>
        <w:topLinePunct w:val="0"/>
        <w:autoSpaceDE w:val="0"/>
        <w:autoSpaceDN w:val="0"/>
        <w:bidi w:val="0"/>
        <w:adjustRightInd/>
        <w:snapToGrid w:val="0"/>
        <w:spacing w:line="380" w:lineRule="exact"/>
        <w:ind w:firstLine="420" w:firstLineChars="200"/>
        <w:jc w:val="left"/>
        <w:textAlignment w:val="center"/>
        <w:rPr>
          <w:rFonts w:hint="eastAsia" w:ascii="宋体" w:hAnsi="宋体" w:eastAsia="宋体" w:cs="宋体"/>
          <w:color w:val="auto"/>
          <w:sz w:val="21"/>
          <w:szCs w:val="21"/>
          <w:highlight w:val="none"/>
          <w:lang w:eastAsia="zh-CN"/>
        </w:rPr>
      </w:pPr>
      <w:r>
        <w:rPr>
          <w:rFonts w:hint="eastAsia" w:ascii="宋体" w:hAnsi="宋体" w:eastAsia="宋体" w:cs="宋体"/>
          <w:bCs/>
          <w:color w:val="auto"/>
          <w:szCs w:val="21"/>
          <w:lang w:val="en-US" w:eastAsia="zh-CN"/>
        </w:rPr>
        <w:t>▲</w:t>
      </w:r>
      <w:r>
        <w:rPr>
          <w:rFonts w:hint="eastAsia" w:ascii="宋体" w:hAnsi="宋体" w:eastAsia="宋体" w:cs="宋体"/>
          <w:b/>
          <w:bCs/>
          <w:color w:val="auto"/>
          <w:szCs w:val="21"/>
          <w:highlight w:val="none"/>
        </w:rPr>
        <w:t>5.</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投标人</w:t>
      </w:r>
      <w:r>
        <w:rPr>
          <w:rFonts w:hint="eastAsia" w:ascii="宋体" w:hAnsi="宋体" w:eastAsia="宋体" w:cs="宋体"/>
          <w:color w:val="auto"/>
          <w:sz w:val="21"/>
          <w:szCs w:val="21"/>
          <w:highlight w:val="none"/>
          <w:lang w:val="en-US" w:eastAsia="zh-CN"/>
        </w:rPr>
        <w:t>需</w:t>
      </w:r>
      <w:r>
        <w:rPr>
          <w:rFonts w:hint="eastAsia" w:ascii="宋体" w:hAnsi="宋体" w:eastAsia="宋体" w:cs="宋体"/>
          <w:color w:val="auto"/>
          <w:sz w:val="21"/>
          <w:szCs w:val="21"/>
          <w:highlight w:val="none"/>
        </w:rPr>
        <w:t>及时排除故障，提供备件，</w:t>
      </w:r>
      <w:r>
        <w:rPr>
          <w:rFonts w:hint="eastAsia" w:ascii="宋体" w:hAnsi="宋体" w:eastAsia="宋体" w:cs="宋体"/>
          <w:color w:val="auto"/>
          <w:sz w:val="21"/>
          <w:szCs w:val="21"/>
          <w:highlight w:val="none"/>
          <w:lang w:val="en-US" w:eastAsia="zh-CN"/>
        </w:rPr>
        <w:t>需</w:t>
      </w:r>
      <w:r>
        <w:rPr>
          <w:rFonts w:hint="eastAsia" w:ascii="宋体" w:hAnsi="宋体" w:eastAsia="宋体" w:cs="宋体"/>
          <w:color w:val="auto"/>
          <w:sz w:val="21"/>
          <w:szCs w:val="21"/>
          <w:highlight w:val="none"/>
        </w:rPr>
        <w:t>解答使用方的相关问题，</w:t>
      </w:r>
      <w:r>
        <w:rPr>
          <w:rFonts w:hint="eastAsia" w:ascii="宋体" w:hAnsi="宋体" w:eastAsia="宋体" w:cs="宋体"/>
          <w:color w:val="auto"/>
          <w:sz w:val="21"/>
          <w:szCs w:val="21"/>
          <w:highlight w:val="none"/>
          <w:lang w:val="en-US" w:eastAsia="zh-CN"/>
        </w:rPr>
        <w:t>需</w:t>
      </w:r>
      <w:r>
        <w:rPr>
          <w:rFonts w:hint="eastAsia" w:ascii="宋体" w:hAnsi="宋体" w:eastAsia="宋体" w:cs="宋体"/>
          <w:color w:val="auto"/>
          <w:sz w:val="21"/>
          <w:szCs w:val="21"/>
          <w:highlight w:val="none"/>
        </w:rPr>
        <w:t>提供专用技术人员进行有关货物安装、调试、维护、操作、保养等服务费用已综合计入合同价款中，采购人无需另行支付相关费用</w:t>
      </w:r>
      <w:r>
        <w:rPr>
          <w:rFonts w:hint="eastAsia" w:ascii="宋体" w:hAnsi="宋体" w:eastAsia="宋体" w:cs="宋体"/>
          <w:color w:val="auto"/>
          <w:sz w:val="21"/>
          <w:szCs w:val="21"/>
          <w:highlight w:val="none"/>
          <w:lang w:eastAsia="zh-CN"/>
        </w:rPr>
        <w:t>。</w:t>
      </w:r>
    </w:p>
    <w:p w14:paraId="33622DAA">
      <w:pPr>
        <w:keepNext w:val="0"/>
        <w:keepLines w:val="0"/>
        <w:pageBreakBefore w:val="0"/>
        <w:widowControl w:val="0"/>
        <w:kinsoku/>
        <w:wordWrap/>
        <w:overflowPunct/>
        <w:topLinePunct w:val="0"/>
        <w:autoSpaceDE w:val="0"/>
        <w:autoSpaceDN w:val="0"/>
        <w:bidi w:val="0"/>
        <w:adjustRightInd/>
        <w:snapToGrid w:val="0"/>
        <w:spacing w:line="380" w:lineRule="exact"/>
        <w:ind w:firstLine="422" w:firstLineChars="200"/>
        <w:jc w:val="left"/>
        <w:textAlignment w:val="center"/>
        <w:rPr>
          <w:rFonts w:hint="eastAsia" w:ascii="宋体" w:hAnsi="宋体" w:eastAsia="宋体" w:cs="宋体"/>
          <w:color w:val="auto"/>
          <w:sz w:val="21"/>
          <w:szCs w:val="21"/>
        </w:rPr>
      </w:pPr>
      <w:r>
        <w:rPr>
          <w:rFonts w:hint="eastAsia" w:ascii="宋体" w:hAnsi="宋体" w:eastAsia="宋体" w:cs="宋体"/>
          <w:b/>
          <w:bCs/>
          <w:color w:val="auto"/>
          <w:szCs w:val="21"/>
          <w:highlight w:val="none"/>
        </w:rPr>
        <w:t>5.</w:t>
      </w:r>
      <w:r>
        <w:rPr>
          <w:rFonts w:hint="eastAsia" w:ascii="宋体" w:hAnsi="宋体" w:eastAsia="宋体" w:cs="宋体"/>
          <w:color w:val="auto"/>
          <w:sz w:val="21"/>
          <w:szCs w:val="21"/>
          <w:lang w:val="en-US" w:eastAsia="zh-CN"/>
        </w:rPr>
        <w:t>2、投标人应负责对采购人进行必要的人员培训，达到熟练掌握产品性能、操作技能及排除一般故障的程度。投标人应提供及时周到的售后服务，</w:t>
      </w:r>
      <w:r>
        <w:rPr>
          <w:rFonts w:hint="eastAsia" w:ascii="宋体" w:hAnsi="宋体" w:eastAsia="宋体" w:cs="宋体"/>
          <w:color w:val="auto"/>
          <w:sz w:val="21"/>
          <w:szCs w:val="21"/>
        </w:rPr>
        <w:t>质量保证期内</w:t>
      </w:r>
      <w:r>
        <w:rPr>
          <w:rFonts w:hint="eastAsia" w:ascii="宋体" w:hAnsi="宋体" w:eastAsia="宋体" w:cs="宋体"/>
          <w:color w:val="auto"/>
          <w:sz w:val="21"/>
          <w:szCs w:val="21"/>
          <w:lang w:val="en-US" w:eastAsia="zh-CN"/>
        </w:rPr>
        <w:t>应保证每半年至少一次上门回访、检修。</w:t>
      </w:r>
    </w:p>
    <w:p w14:paraId="6EBE9ECC">
      <w:pPr>
        <w:keepNext w:val="0"/>
        <w:keepLines w:val="0"/>
        <w:pageBreakBefore w:val="0"/>
        <w:widowControl w:val="0"/>
        <w:kinsoku/>
        <w:wordWrap/>
        <w:overflowPunct/>
        <w:topLinePunct w:val="0"/>
        <w:autoSpaceDE w:val="0"/>
        <w:autoSpaceDN w:val="0"/>
        <w:bidi w:val="0"/>
        <w:adjustRightInd/>
        <w:snapToGrid w:val="0"/>
        <w:spacing w:line="38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bCs/>
          <w:color w:val="auto"/>
          <w:szCs w:val="21"/>
          <w:lang w:val="en-US" w:eastAsia="zh-CN"/>
        </w:rPr>
        <w:t>▲</w:t>
      </w:r>
      <w:r>
        <w:rPr>
          <w:rFonts w:hint="eastAsia" w:ascii="宋体" w:hAnsi="宋体" w:eastAsia="宋体" w:cs="宋体"/>
          <w:b/>
          <w:bCs/>
          <w:color w:val="auto"/>
          <w:szCs w:val="21"/>
          <w:highlight w:val="none"/>
        </w:rPr>
        <w:t>5.</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质量保证期内发生故障时，投标人应在收到使用方电话通知后10分钟内响应，1小时内给与指导解决，重大问题或其他无法立刻解决的问题应在24小时内解决或提出明确解决方案并到现场解决。</w:t>
      </w:r>
    </w:p>
    <w:p w14:paraId="0C5F56F7">
      <w:pPr>
        <w:keepNext w:val="0"/>
        <w:keepLines w:val="0"/>
        <w:pageBreakBefore w:val="0"/>
        <w:widowControl w:val="0"/>
        <w:kinsoku/>
        <w:wordWrap/>
        <w:overflowPunct/>
        <w:topLinePunct w:val="0"/>
        <w:autoSpaceDE w:val="0"/>
        <w:autoSpaceDN w:val="0"/>
        <w:bidi w:val="0"/>
        <w:adjustRightInd/>
        <w:snapToGrid w:val="0"/>
        <w:spacing w:line="38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bCs/>
          <w:color w:val="auto"/>
          <w:szCs w:val="21"/>
          <w:lang w:val="en-US" w:eastAsia="zh-CN"/>
        </w:rPr>
        <w:t>▲</w:t>
      </w:r>
      <w:r>
        <w:rPr>
          <w:rFonts w:hint="eastAsia" w:ascii="宋体" w:hAnsi="宋体" w:eastAsia="宋体" w:cs="宋体"/>
          <w:b/>
          <w:bCs/>
          <w:color w:val="auto"/>
          <w:szCs w:val="21"/>
          <w:highlight w:val="none"/>
        </w:rPr>
        <w:t>5.</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质保期结束后，中标人也必须提供8小时对</w:t>
      </w:r>
      <w:r>
        <w:rPr>
          <w:rFonts w:hint="eastAsia" w:ascii="宋体" w:hAnsi="宋体" w:eastAsia="宋体" w:cs="宋体"/>
          <w:color w:val="auto"/>
          <w:sz w:val="21"/>
          <w:szCs w:val="21"/>
          <w:lang w:eastAsia="zh-CN"/>
        </w:rPr>
        <w:t>产品</w:t>
      </w:r>
      <w:r>
        <w:rPr>
          <w:rFonts w:hint="eastAsia" w:ascii="宋体" w:hAnsi="宋体" w:eastAsia="宋体" w:cs="宋体"/>
          <w:color w:val="auto"/>
          <w:sz w:val="21"/>
          <w:szCs w:val="21"/>
        </w:rPr>
        <w:t>故障做出响应和48小时解决问题的技术服务，不能在规定时间内修好的须免费提供备品备件。</w:t>
      </w:r>
    </w:p>
    <w:p w14:paraId="0A0705C9">
      <w:pPr>
        <w:keepNext w:val="0"/>
        <w:keepLines w:val="0"/>
        <w:pageBreakBefore w:val="0"/>
        <w:widowControl w:val="0"/>
        <w:kinsoku/>
        <w:wordWrap/>
        <w:overflowPunct/>
        <w:topLinePunct w:val="0"/>
        <w:autoSpaceDE w:val="0"/>
        <w:autoSpaceDN w:val="0"/>
        <w:bidi w:val="0"/>
        <w:adjustRightInd/>
        <w:snapToGrid w:val="0"/>
        <w:spacing w:line="380" w:lineRule="exact"/>
        <w:ind w:firstLine="422" w:firstLineChars="200"/>
        <w:jc w:val="left"/>
        <w:textAlignment w:val="center"/>
        <w:rPr>
          <w:rFonts w:hint="eastAsia" w:ascii="宋体" w:hAnsi="宋体" w:eastAsia="宋体" w:cs="宋体"/>
          <w:color w:val="auto"/>
          <w:sz w:val="21"/>
          <w:szCs w:val="21"/>
        </w:rPr>
      </w:pPr>
      <w:r>
        <w:rPr>
          <w:rFonts w:hint="eastAsia" w:ascii="宋体" w:hAnsi="宋体" w:eastAsia="宋体" w:cs="宋体"/>
          <w:b/>
          <w:bCs/>
          <w:color w:val="auto"/>
          <w:szCs w:val="21"/>
          <w:highlight w:val="none"/>
        </w:rPr>
        <w:t>5.</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投标人须针对以上售后服务内容提供详细的售后方案。</w:t>
      </w:r>
    </w:p>
    <w:p w14:paraId="7EC8D15B">
      <w:pPr>
        <w:keepNext w:val="0"/>
        <w:keepLines w:val="0"/>
        <w:pageBreakBefore w:val="0"/>
        <w:widowControl w:val="0"/>
        <w:kinsoku/>
        <w:wordWrap/>
        <w:overflowPunct/>
        <w:topLinePunct w:val="0"/>
        <w:autoSpaceDE w:val="0"/>
        <w:autoSpaceDN w:val="0"/>
        <w:bidi w:val="0"/>
        <w:adjustRightInd/>
        <w:snapToGrid w:val="0"/>
        <w:spacing w:line="380" w:lineRule="exact"/>
        <w:ind w:firstLine="422" w:firstLineChars="200"/>
        <w:jc w:val="left"/>
        <w:textAlignment w:val="center"/>
        <w:rPr>
          <w:rFonts w:hint="eastAsia" w:ascii="宋体" w:hAnsi="宋体" w:eastAsia="宋体" w:cs="宋体"/>
          <w:color w:val="auto"/>
          <w:sz w:val="21"/>
          <w:szCs w:val="21"/>
        </w:rPr>
      </w:pPr>
      <w:r>
        <w:rPr>
          <w:rFonts w:hint="eastAsia" w:ascii="宋体" w:hAnsi="宋体" w:eastAsia="宋体" w:cs="宋体"/>
          <w:b/>
          <w:bCs/>
          <w:color w:val="auto"/>
          <w:sz w:val="21"/>
          <w:szCs w:val="21"/>
          <w:lang w:val="en-US" w:eastAsia="zh-CN"/>
        </w:rPr>
        <w:t>6</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服务要求：</w:t>
      </w:r>
    </w:p>
    <w:p w14:paraId="1F7013D2">
      <w:pPr>
        <w:keepNext w:val="0"/>
        <w:keepLines w:val="0"/>
        <w:pageBreakBefore w:val="0"/>
        <w:widowControl w:val="0"/>
        <w:kinsoku/>
        <w:wordWrap/>
        <w:overflowPunct/>
        <w:topLinePunct w:val="0"/>
        <w:autoSpaceDE w:val="0"/>
        <w:autoSpaceDN w:val="0"/>
        <w:bidi w:val="0"/>
        <w:adjustRightInd/>
        <w:snapToGrid w:val="0"/>
        <w:spacing w:line="380" w:lineRule="exact"/>
        <w:ind w:firstLine="420" w:firstLineChars="200"/>
        <w:jc w:val="left"/>
        <w:textAlignment w:val="center"/>
        <w:rPr>
          <w:rFonts w:hint="eastAsia" w:ascii="宋体" w:hAnsi="宋体" w:eastAsia="宋体" w:cs="宋体"/>
          <w:color w:val="auto"/>
          <w:sz w:val="21"/>
          <w:szCs w:val="21"/>
        </w:rPr>
      </w:pPr>
      <w:r>
        <w:rPr>
          <w:rFonts w:hint="eastAsia" w:ascii="宋体" w:hAnsi="宋体" w:eastAsia="宋体" w:cs="宋体"/>
          <w:bCs/>
          <w:color w:val="auto"/>
          <w:szCs w:val="21"/>
          <w:lang w:val="en-US" w:eastAsia="zh-CN"/>
        </w:rPr>
        <w:t>▲</w:t>
      </w:r>
      <w:r>
        <w:rPr>
          <w:rFonts w:hint="eastAsia" w:ascii="宋体" w:hAnsi="宋体" w:eastAsia="宋体" w:cs="宋体"/>
          <w:color w:val="auto"/>
          <w:sz w:val="21"/>
          <w:szCs w:val="21"/>
          <w:lang w:val="en-US" w:eastAsia="zh-CN"/>
        </w:rPr>
        <w:t>6.1、</w:t>
      </w:r>
      <w:r>
        <w:rPr>
          <w:rFonts w:hint="eastAsia" w:ascii="宋体" w:hAnsi="宋体" w:eastAsia="宋体" w:cs="宋体"/>
          <w:color w:val="auto"/>
          <w:sz w:val="21"/>
          <w:szCs w:val="21"/>
        </w:rPr>
        <w:t>投标</w:t>
      </w:r>
      <w:r>
        <w:rPr>
          <w:rFonts w:hint="eastAsia" w:ascii="宋体" w:hAnsi="宋体" w:eastAsia="宋体" w:cs="宋体"/>
          <w:color w:val="auto"/>
          <w:sz w:val="21"/>
          <w:szCs w:val="21"/>
          <w:lang w:eastAsia="zh-CN"/>
        </w:rPr>
        <w:t>人提供的产品应完全满足采购人的技术参数与设计方案要求</w:t>
      </w:r>
      <w:r>
        <w:rPr>
          <w:rFonts w:hint="eastAsia" w:ascii="宋体" w:hAnsi="宋体" w:eastAsia="宋体" w:cs="宋体"/>
          <w:color w:val="auto"/>
          <w:sz w:val="21"/>
          <w:szCs w:val="21"/>
        </w:rPr>
        <w:t>，符合国家质量检测标准，</w:t>
      </w:r>
      <w:r>
        <w:rPr>
          <w:rFonts w:hint="eastAsia" w:ascii="宋体" w:hAnsi="宋体" w:eastAsia="宋体" w:cs="宋体"/>
          <w:color w:val="auto"/>
          <w:sz w:val="21"/>
          <w:szCs w:val="21"/>
          <w:lang w:val="en-US" w:eastAsia="zh-CN"/>
        </w:rPr>
        <w:t>验收时提供</w:t>
      </w:r>
      <w:r>
        <w:rPr>
          <w:rFonts w:hint="eastAsia" w:ascii="宋体" w:hAnsi="宋体" w:eastAsia="宋体" w:cs="宋体"/>
          <w:color w:val="auto"/>
          <w:sz w:val="21"/>
          <w:szCs w:val="21"/>
        </w:rPr>
        <w:t>货物的出厂检验报告</w:t>
      </w:r>
      <w:r>
        <w:rPr>
          <w:rFonts w:hint="eastAsia" w:ascii="宋体" w:hAnsi="宋体" w:eastAsia="宋体" w:cs="宋体"/>
          <w:color w:val="auto"/>
          <w:sz w:val="21"/>
          <w:szCs w:val="21"/>
          <w:lang w:val="en-US" w:eastAsia="zh-CN"/>
        </w:rPr>
        <w:t>和</w:t>
      </w:r>
      <w:r>
        <w:rPr>
          <w:rFonts w:hint="eastAsia" w:ascii="宋体" w:hAnsi="宋体" w:eastAsia="宋体" w:cs="宋体"/>
          <w:color w:val="auto"/>
          <w:sz w:val="21"/>
          <w:szCs w:val="21"/>
        </w:rPr>
        <w:t>质量合格证书。</w:t>
      </w:r>
    </w:p>
    <w:p w14:paraId="2769DE83">
      <w:pPr>
        <w:keepNext w:val="0"/>
        <w:keepLines w:val="0"/>
        <w:pageBreakBefore w:val="0"/>
        <w:widowControl w:val="0"/>
        <w:kinsoku/>
        <w:wordWrap/>
        <w:overflowPunct/>
        <w:topLinePunct w:val="0"/>
        <w:autoSpaceDE w:val="0"/>
        <w:autoSpaceDN w:val="0"/>
        <w:bidi w:val="0"/>
        <w:adjustRightInd/>
        <w:snapToGrid w:val="0"/>
        <w:spacing w:line="380" w:lineRule="exact"/>
        <w:ind w:firstLine="420" w:firstLineChars="200"/>
        <w:jc w:val="left"/>
        <w:textAlignment w:val="center"/>
        <w:rPr>
          <w:rFonts w:hint="eastAsia" w:ascii="宋体" w:hAnsi="宋体" w:eastAsia="宋体" w:cs="宋体"/>
          <w:bCs/>
          <w:color w:val="auto"/>
          <w:szCs w:val="21"/>
          <w:highlight w:val="none"/>
        </w:rPr>
      </w:pPr>
      <w:r>
        <w:rPr>
          <w:rFonts w:hint="eastAsia" w:ascii="宋体" w:hAnsi="宋体" w:eastAsia="宋体" w:cs="宋体"/>
          <w:bCs/>
          <w:color w:val="auto"/>
          <w:szCs w:val="21"/>
          <w:lang w:val="en-US" w:eastAsia="zh-CN"/>
        </w:rPr>
        <w:t>▲</w:t>
      </w:r>
      <w:r>
        <w:rPr>
          <w:rFonts w:hint="eastAsia" w:ascii="宋体" w:hAnsi="宋体" w:eastAsia="宋体" w:cs="宋体"/>
          <w:color w:val="auto"/>
          <w:sz w:val="21"/>
          <w:szCs w:val="21"/>
          <w:lang w:val="en-US" w:eastAsia="zh-CN"/>
        </w:rPr>
        <w:t>6.2、</w:t>
      </w:r>
      <w:r>
        <w:rPr>
          <w:rFonts w:hint="eastAsia" w:ascii="宋体" w:hAnsi="宋体" w:eastAsia="宋体" w:cs="宋体"/>
          <w:color w:val="auto"/>
          <w:sz w:val="21"/>
          <w:szCs w:val="21"/>
        </w:rPr>
        <w:t>投标人应在规定时间内负责所有货物的安装、调试及现场清理等服务，并经由采购人组织相关人员进行验收合格后交付使用，一切费用由投标人承担。</w:t>
      </w:r>
    </w:p>
    <w:p w14:paraId="4A21732F">
      <w:pPr>
        <w:keepNext w:val="0"/>
        <w:keepLines w:val="0"/>
        <w:pageBreakBefore w:val="0"/>
        <w:kinsoku/>
        <w:wordWrap/>
        <w:overflowPunct/>
        <w:topLinePunct w:val="0"/>
        <w:autoSpaceDE/>
        <w:autoSpaceDN/>
        <w:bidi w:val="0"/>
        <w:spacing w:after="0" w:line="360" w:lineRule="auto"/>
        <w:ind w:firstLine="422" w:firstLineChars="200"/>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7</w:t>
      </w:r>
      <w:r>
        <w:rPr>
          <w:rFonts w:hint="eastAsia" w:ascii="宋体" w:hAnsi="宋体" w:eastAsia="宋体" w:cs="宋体"/>
          <w:b/>
          <w:bCs/>
          <w:color w:val="auto"/>
          <w:szCs w:val="21"/>
          <w:highlight w:val="none"/>
        </w:rPr>
        <w:t>.培训</w:t>
      </w:r>
    </w:p>
    <w:p w14:paraId="42E45256">
      <w:pPr>
        <w:keepNext w:val="0"/>
        <w:keepLines w:val="0"/>
        <w:pageBreakBefore w:val="0"/>
        <w:kinsoku/>
        <w:wordWrap/>
        <w:overflowPunct/>
        <w:topLinePunct w:val="0"/>
        <w:autoSpaceDE/>
        <w:autoSpaceDN/>
        <w:bidi w:val="0"/>
        <w:adjustRightInd w:val="0"/>
        <w:snapToGrid w:val="0"/>
        <w:spacing w:after="0" w:line="360" w:lineRule="auto"/>
        <w:ind w:firstLine="420" w:firstLineChars="200"/>
        <w:textAlignment w:val="auto"/>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中标人应按招标文件要求负责进行必要的人员培训，达到熟练掌握产品性能、操作技能及排除一般故障的程度。</w:t>
      </w:r>
    </w:p>
    <w:p w14:paraId="707DC098">
      <w:pPr>
        <w:keepNext w:val="0"/>
        <w:keepLines w:val="0"/>
        <w:pageBreakBefore w:val="0"/>
        <w:kinsoku/>
        <w:wordWrap/>
        <w:overflowPunct/>
        <w:topLinePunct w:val="0"/>
        <w:autoSpaceDE/>
        <w:autoSpaceDN/>
        <w:bidi w:val="0"/>
        <w:adjustRightInd w:val="0"/>
        <w:snapToGrid w:val="0"/>
        <w:spacing w:after="0" w:line="360" w:lineRule="auto"/>
        <w:ind w:firstLine="422" w:firstLineChars="200"/>
        <w:textAlignment w:val="auto"/>
        <w:rPr>
          <w:rFonts w:hint="eastAsia" w:ascii="宋体" w:hAnsi="宋体" w:eastAsia="宋体" w:cs="宋体"/>
          <w:bCs/>
          <w:color w:val="auto"/>
          <w:szCs w:val="21"/>
          <w:highlight w:val="none"/>
        </w:rPr>
      </w:pPr>
      <w:r>
        <w:rPr>
          <w:rFonts w:hint="eastAsia" w:ascii="宋体" w:hAnsi="宋体" w:eastAsia="宋体" w:cs="宋体"/>
          <w:b/>
          <w:color w:val="auto"/>
          <w:szCs w:val="21"/>
          <w:highlight w:val="none"/>
        </w:rPr>
        <w:t>三、其他未尽事宜双方签订合同时约定。</w:t>
      </w:r>
    </w:p>
    <w:p w14:paraId="5793DD24">
      <w:pPr>
        <w:keepNext w:val="0"/>
        <w:keepLines w:val="0"/>
        <w:pageBreakBefore w:val="0"/>
        <w:widowControl w:val="0"/>
        <w:kinsoku/>
        <w:wordWrap/>
        <w:overflowPunct/>
        <w:topLinePunct w:val="0"/>
        <w:bidi w:val="0"/>
        <w:adjustRightInd/>
        <w:spacing w:line="380" w:lineRule="exact"/>
        <w:ind w:firstLine="422" w:firstLineChars="200"/>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rPr>
        <w:t>注明：对于上述项目要求，投标人应在响应文件中进行回应，作出承诺及说明</w:t>
      </w:r>
      <w:r>
        <w:rPr>
          <w:rFonts w:hint="eastAsia" w:ascii="宋体" w:hAnsi="宋体" w:eastAsia="宋体" w:cs="宋体"/>
          <w:b/>
          <w:bCs/>
          <w:color w:val="auto"/>
          <w:sz w:val="21"/>
          <w:szCs w:val="21"/>
          <w:lang w:eastAsia="zh-CN"/>
        </w:rPr>
        <w:t>。</w:t>
      </w:r>
    </w:p>
    <w:p w14:paraId="734C3C90">
      <w:pPr>
        <w:pStyle w:val="24"/>
        <w:adjustRightInd w:val="0"/>
        <w:snapToGrid w:val="0"/>
        <w:spacing w:line="360" w:lineRule="auto"/>
        <w:jc w:val="both"/>
        <w:outlineLvl w:val="0"/>
        <w:rPr>
          <w:rFonts w:hint="eastAsia" w:ascii="黑体" w:hAnsi="华文中宋" w:eastAsia="黑体"/>
          <w:b/>
          <w:color w:val="auto"/>
          <w:sz w:val="32"/>
          <w:szCs w:val="32"/>
        </w:rPr>
      </w:pPr>
    </w:p>
    <w:p w14:paraId="0BEFA27D">
      <w:pPr>
        <w:pStyle w:val="24"/>
        <w:adjustRightInd w:val="0"/>
        <w:snapToGrid w:val="0"/>
        <w:spacing w:line="360" w:lineRule="auto"/>
        <w:jc w:val="center"/>
        <w:outlineLvl w:val="0"/>
        <w:rPr>
          <w:rFonts w:ascii="黑体" w:hAnsi="华文中宋" w:eastAsia="黑体"/>
          <w:b/>
          <w:color w:val="auto"/>
          <w:sz w:val="32"/>
          <w:szCs w:val="32"/>
        </w:rPr>
      </w:pPr>
      <w:bookmarkStart w:id="1198" w:name="_Toc10794"/>
      <w:r>
        <w:rPr>
          <w:rFonts w:hint="eastAsia" w:ascii="黑体" w:hAnsi="华文中宋" w:eastAsia="黑体"/>
          <w:b/>
          <w:color w:val="auto"/>
          <w:sz w:val="32"/>
          <w:szCs w:val="32"/>
        </w:rPr>
        <w:t>第六章 政府采购合同</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98"/>
    </w:p>
    <w:p w14:paraId="60179558">
      <w:pPr>
        <w:pStyle w:val="4"/>
        <w:adjustRightInd w:val="0"/>
        <w:snapToGrid w:val="0"/>
        <w:spacing w:before="156" w:beforeLines="50"/>
        <w:jc w:val="center"/>
        <w:rPr>
          <w:rFonts w:ascii="黑体" w:hAnsi="华文中宋" w:eastAsia="黑体"/>
          <w:color w:val="auto"/>
          <w:sz w:val="28"/>
          <w:szCs w:val="28"/>
        </w:rPr>
      </w:pPr>
      <w:bookmarkStart w:id="1199" w:name="_Toc22201110"/>
      <w:bookmarkStart w:id="1200" w:name="_Toc34637778"/>
      <w:bookmarkStart w:id="1201" w:name="_Toc1225"/>
      <w:bookmarkStart w:id="1202" w:name="_Toc25235"/>
      <w:bookmarkStart w:id="1203" w:name="_Toc29470"/>
      <w:r>
        <w:rPr>
          <w:rFonts w:hint="eastAsia" w:ascii="黑体" w:hAnsi="华文中宋" w:eastAsia="黑体"/>
          <w:color w:val="auto"/>
          <w:sz w:val="28"/>
          <w:szCs w:val="28"/>
        </w:rPr>
        <w:t xml:space="preserve">第一节 </w:t>
      </w:r>
      <w:bookmarkEnd w:id="1199"/>
      <w:bookmarkEnd w:id="1200"/>
      <w:bookmarkEnd w:id="1201"/>
      <w:r>
        <w:rPr>
          <w:rFonts w:hint="eastAsia" w:ascii="宋体" w:hAnsi="宋体" w:cs="黑体"/>
          <w:color w:val="auto"/>
          <w:sz w:val="32"/>
        </w:rPr>
        <w:t xml:space="preserve"> 政府采购合同协议书</w:t>
      </w:r>
      <w:bookmarkEnd w:id="1202"/>
      <w:bookmarkEnd w:id="1203"/>
    </w:p>
    <w:p w14:paraId="51C33105">
      <w:pPr>
        <w:adjustRightInd w:val="0"/>
        <w:snapToGrid w:val="0"/>
        <w:spacing w:before="156" w:beforeLines="50" w:line="360" w:lineRule="auto"/>
        <w:ind w:firstLine="5460" w:firstLineChars="2600"/>
        <w:rPr>
          <w:rFonts w:ascii="宋体" w:hAnsi="宋体"/>
          <w:b/>
          <w:color w:val="auto"/>
          <w:szCs w:val="21"/>
        </w:rPr>
      </w:pPr>
      <w:r>
        <w:rPr>
          <w:rFonts w:hint="eastAsia" w:ascii="宋体" w:hAnsi="宋体"/>
          <w:color w:val="auto"/>
          <w:szCs w:val="21"/>
        </w:rPr>
        <w:t>采购合同编号：</w:t>
      </w:r>
    </w:p>
    <w:p w14:paraId="7D5D721F">
      <w:pPr>
        <w:adjustRightInd w:val="0"/>
        <w:snapToGrid w:val="0"/>
        <w:spacing w:before="156" w:beforeLines="50" w:line="360" w:lineRule="auto"/>
        <w:rPr>
          <w:rFonts w:ascii="宋体" w:hAnsi="宋体"/>
          <w:color w:val="auto"/>
          <w:szCs w:val="21"/>
        </w:rPr>
      </w:pPr>
      <w:r>
        <w:rPr>
          <w:rFonts w:hint="eastAsia" w:ascii="宋体" w:hAnsi="宋体"/>
          <w:color w:val="auto"/>
          <w:szCs w:val="21"/>
        </w:rPr>
        <w:t>采购人（全称）：</w:t>
      </w:r>
      <w:r>
        <w:rPr>
          <w:rFonts w:hint="eastAsia" w:ascii="宋体" w:hAnsi="宋体"/>
          <w:bCs/>
          <w:color w:val="auto"/>
          <w:szCs w:val="21"/>
          <w:u w:val="single"/>
        </w:rPr>
        <w:t xml:space="preserve">                      </w:t>
      </w:r>
      <w:r>
        <w:rPr>
          <w:rFonts w:hint="eastAsia" w:ascii="宋体" w:hAnsi="宋体"/>
          <w:color w:val="auto"/>
          <w:szCs w:val="21"/>
        </w:rPr>
        <w:t>（甲方）</w:t>
      </w:r>
    </w:p>
    <w:p w14:paraId="720E6ABB">
      <w:pPr>
        <w:adjustRightInd w:val="0"/>
        <w:snapToGrid w:val="0"/>
        <w:spacing w:before="156" w:beforeLines="50" w:line="360" w:lineRule="auto"/>
        <w:rPr>
          <w:rFonts w:ascii="宋体" w:hAnsi="宋体"/>
          <w:color w:val="auto"/>
          <w:szCs w:val="21"/>
        </w:rPr>
      </w:pPr>
      <w:r>
        <w:rPr>
          <w:rFonts w:hint="eastAsia" w:ascii="宋体" w:hAnsi="宋体"/>
          <w:color w:val="auto"/>
          <w:szCs w:val="21"/>
        </w:rPr>
        <w:t>供应商（全称）：</w:t>
      </w:r>
      <w:r>
        <w:rPr>
          <w:rFonts w:hint="eastAsia" w:ascii="宋体" w:hAnsi="宋体"/>
          <w:bCs/>
          <w:color w:val="auto"/>
          <w:szCs w:val="21"/>
          <w:u w:val="single"/>
        </w:rPr>
        <w:t xml:space="preserve">                      </w:t>
      </w:r>
      <w:r>
        <w:rPr>
          <w:rFonts w:hint="eastAsia" w:ascii="宋体" w:hAnsi="宋体"/>
          <w:color w:val="auto"/>
          <w:szCs w:val="21"/>
          <w:lang w:eastAsia="zh-CN"/>
        </w:rPr>
        <w:t>（</w:t>
      </w:r>
      <w:r>
        <w:rPr>
          <w:rFonts w:hint="eastAsia" w:ascii="宋体" w:hAnsi="宋体"/>
          <w:color w:val="auto"/>
          <w:szCs w:val="21"/>
        </w:rPr>
        <w:t>乙方）</w:t>
      </w:r>
    </w:p>
    <w:p w14:paraId="4F1FC1AF">
      <w:pPr>
        <w:pStyle w:val="19"/>
        <w:adjustRightInd w:val="0"/>
        <w:snapToGrid w:val="0"/>
        <w:spacing w:before="156" w:beforeLines="50" w:after="0" w:line="360" w:lineRule="auto"/>
        <w:ind w:left="0" w:leftChars="0" w:firstLine="400" w:firstLineChars="200"/>
        <w:rPr>
          <w:rFonts w:ascii="宋体" w:hAnsi="宋体"/>
          <w:color w:val="auto"/>
          <w:szCs w:val="21"/>
        </w:rPr>
      </w:pPr>
      <w:r>
        <w:rPr>
          <w:rFonts w:hint="eastAsia" w:ascii="宋体" w:hAnsi="宋体"/>
          <w:color w:val="auto"/>
          <w:szCs w:val="21"/>
        </w:rPr>
        <w:t>为了保护甲、乙双方合法权益，根据《中华人民共和国民法典》、《中华人民共和国政府采购法》及其他有关法律、法规、规章，双方签订本合同协议书。</w:t>
      </w:r>
    </w:p>
    <w:p w14:paraId="5A9A907A">
      <w:pPr>
        <w:pStyle w:val="5"/>
        <w:adjustRightInd w:val="0"/>
        <w:snapToGrid w:val="0"/>
        <w:spacing w:before="50" w:line="360" w:lineRule="auto"/>
        <w:rPr>
          <w:rFonts w:ascii="黑体" w:hAnsi="华文中宋" w:eastAsia="黑体"/>
          <w:color w:val="auto"/>
          <w:sz w:val="24"/>
          <w:szCs w:val="24"/>
        </w:rPr>
      </w:pPr>
      <w:bookmarkStart w:id="1204" w:name="_Toc13785"/>
      <w:bookmarkStart w:id="1205" w:name="_Toc34637779"/>
      <w:bookmarkStart w:id="1206" w:name="_Toc20239"/>
      <w:r>
        <w:rPr>
          <w:rFonts w:ascii="黑体" w:hAnsi="华文中宋" w:eastAsia="黑体"/>
          <w:color w:val="auto"/>
          <w:sz w:val="24"/>
          <w:szCs w:val="24"/>
        </w:rPr>
        <w:t>1.项目信息</w:t>
      </w:r>
      <w:bookmarkEnd w:id="1204"/>
      <w:bookmarkEnd w:id="1205"/>
      <w:bookmarkEnd w:id="1206"/>
    </w:p>
    <w:p w14:paraId="0CECF779">
      <w:pPr>
        <w:pStyle w:val="19"/>
        <w:adjustRightInd w:val="0"/>
        <w:snapToGrid w:val="0"/>
        <w:spacing w:before="156" w:beforeLines="50" w:after="0" w:line="360" w:lineRule="auto"/>
        <w:ind w:left="3420" w:hanging="3000" w:hangingChars="1500"/>
        <w:rPr>
          <w:rFonts w:hint="default" w:ascii="宋体" w:hAnsi="宋体"/>
          <w:color w:val="auto"/>
          <w:szCs w:val="21"/>
          <w:u w:val="single"/>
          <w:lang w:val="en-US" w:eastAsia="zh-CN"/>
        </w:rPr>
      </w:pPr>
      <w:r>
        <w:rPr>
          <w:rFonts w:hint="eastAsia" w:ascii="宋体" w:hAnsi="宋体"/>
          <w:color w:val="auto"/>
          <w:szCs w:val="21"/>
        </w:rPr>
        <w:t>（1）采购项目名称（含包名称）：</w:t>
      </w:r>
      <w:r>
        <w:rPr>
          <w:rFonts w:hint="eastAsia" w:ascii="宋体" w:hAnsi="宋体"/>
          <w:color w:val="auto"/>
          <w:szCs w:val="21"/>
          <w:u w:val="single"/>
          <w:lang w:val="en-US" w:eastAsia="zh-CN"/>
        </w:rPr>
        <w:t xml:space="preserve">                      </w:t>
      </w:r>
    </w:p>
    <w:p w14:paraId="057BFBE3">
      <w:pPr>
        <w:pStyle w:val="19"/>
        <w:adjustRightInd w:val="0"/>
        <w:snapToGrid w:val="0"/>
        <w:spacing w:before="156" w:beforeLines="50" w:after="0" w:line="360" w:lineRule="auto"/>
        <w:rPr>
          <w:rFonts w:ascii="宋体" w:hAnsi="宋体"/>
          <w:color w:val="auto"/>
          <w:szCs w:val="21"/>
        </w:rPr>
      </w:pPr>
      <w:r>
        <w:rPr>
          <w:rFonts w:hint="eastAsia" w:ascii="宋体" w:hAnsi="宋体"/>
          <w:color w:val="auto"/>
          <w:szCs w:val="21"/>
        </w:rPr>
        <w:t>（2）采购计划编号：</w:t>
      </w:r>
      <w:r>
        <w:rPr>
          <w:rFonts w:hint="eastAsia" w:ascii="宋体" w:hAnsi="宋体"/>
          <w:bCs/>
          <w:color w:val="auto"/>
          <w:szCs w:val="21"/>
          <w:u w:val="single"/>
        </w:rPr>
        <w:t xml:space="preserve">                      </w:t>
      </w:r>
    </w:p>
    <w:p w14:paraId="748EA560">
      <w:pPr>
        <w:adjustRightInd w:val="0"/>
        <w:snapToGrid w:val="0"/>
        <w:spacing w:before="156" w:beforeLines="50" w:line="360" w:lineRule="auto"/>
        <w:ind w:firstLine="420" w:firstLineChars="200"/>
        <w:rPr>
          <w:rFonts w:hint="eastAsia" w:ascii="宋体" w:hAnsi="宋体"/>
          <w:color w:val="auto"/>
          <w:szCs w:val="21"/>
        </w:rPr>
      </w:pPr>
      <w:r>
        <w:rPr>
          <w:rFonts w:hint="eastAsia" w:ascii="宋体" w:hAnsi="宋体"/>
          <w:color w:val="auto"/>
          <w:szCs w:val="21"/>
        </w:rPr>
        <w:t>（3）项目内容：</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    </w:t>
      </w:r>
    </w:p>
    <w:p w14:paraId="07CBC27F">
      <w:pPr>
        <w:adjustRightInd w:val="0"/>
        <w:snapToGrid w:val="0"/>
        <w:spacing w:before="156" w:beforeLines="50" w:line="360" w:lineRule="auto"/>
        <w:ind w:firstLine="420" w:firstLineChars="200"/>
        <w:rPr>
          <w:rFonts w:hint="default" w:ascii="宋体" w:hAnsi="宋体" w:eastAsia="宋体"/>
          <w:color w:val="auto"/>
          <w:szCs w:val="21"/>
          <w:lang w:val="en-US" w:eastAsia="zh-CN"/>
        </w:rPr>
      </w:pPr>
      <w:r>
        <w:rPr>
          <w:rFonts w:hint="eastAsia" w:ascii="宋体" w:hAnsi="宋体"/>
          <w:color w:val="auto"/>
          <w:szCs w:val="21"/>
          <w:lang w:eastAsia="zh-CN"/>
        </w:rPr>
        <w:t>（</w:t>
      </w:r>
      <w:r>
        <w:rPr>
          <w:rFonts w:hint="eastAsia" w:ascii="宋体" w:hAnsi="宋体"/>
          <w:color w:val="auto"/>
          <w:szCs w:val="21"/>
          <w:lang w:val="en-US" w:eastAsia="zh-CN"/>
        </w:rPr>
        <w:t>4）是否分包：</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   </w:t>
      </w:r>
    </w:p>
    <w:p w14:paraId="2F9387CB">
      <w:pPr>
        <w:adjustRightInd w:val="0"/>
        <w:snapToGrid w:val="0"/>
        <w:spacing w:before="156" w:beforeLines="50" w:line="360" w:lineRule="auto"/>
        <w:ind w:firstLine="420" w:firstLineChars="200"/>
        <w:rPr>
          <w:rFonts w:hint="eastAsia" w:ascii="宋体" w:hAnsi="宋体"/>
          <w:color w:val="auto"/>
          <w:szCs w:val="21"/>
        </w:rPr>
      </w:pPr>
      <w:r>
        <w:rPr>
          <w:rFonts w:hint="eastAsia" w:ascii="宋体" w:hAnsi="宋体"/>
          <w:color w:val="auto"/>
          <w:szCs w:val="21"/>
        </w:rPr>
        <w:t>（4）项目负责人：</w:t>
      </w:r>
      <w:r>
        <w:rPr>
          <w:rFonts w:hint="eastAsia" w:ascii="宋体" w:hAnsi="宋体"/>
          <w:bCs/>
          <w:color w:val="auto"/>
          <w:szCs w:val="21"/>
          <w:u w:val="single"/>
        </w:rPr>
        <w:t xml:space="preserve">                      </w:t>
      </w:r>
    </w:p>
    <w:p w14:paraId="61C6318F">
      <w:pPr>
        <w:adjustRightInd w:val="0"/>
        <w:snapToGrid w:val="0"/>
        <w:spacing w:before="156" w:beforeLines="50" w:line="360" w:lineRule="auto"/>
        <w:ind w:firstLine="420" w:firstLineChars="200"/>
        <w:rPr>
          <w:rFonts w:hint="eastAsia" w:ascii="宋体" w:hAnsi="宋体" w:eastAsia="宋体"/>
          <w:color w:val="auto"/>
          <w:szCs w:val="21"/>
          <w:lang w:val="en-US" w:eastAsia="zh-CN"/>
        </w:rPr>
      </w:pPr>
      <w:r>
        <w:rPr>
          <w:rFonts w:hint="eastAsia" w:ascii="宋体" w:hAnsi="宋体"/>
          <w:color w:val="auto"/>
          <w:szCs w:val="21"/>
          <w:lang w:eastAsia="zh-CN"/>
        </w:rPr>
        <w:t>（</w:t>
      </w:r>
      <w:r>
        <w:rPr>
          <w:rFonts w:hint="eastAsia" w:ascii="宋体" w:hAnsi="宋体"/>
          <w:color w:val="auto"/>
          <w:szCs w:val="21"/>
          <w:lang w:val="en-US" w:eastAsia="zh-CN"/>
        </w:rPr>
        <w:t>5）联系电话：</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r>
        <w:rPr>
          <w:rFonts w:hint="eastAsia" w:ascii="宋体" w:hAnsi="宋体"/>
          <w:bCs/>
          <w:color w:val="auto"/>
          <w:szCs w:val="21"/>
          <w:u w:val="single"/>
        </w:rPr>
        <w:t xml:space="preserve">       </w:t>
      </w:r>
      <w:r>
        <w:rPr>
          <w:rFonts w:hint="eastAsia" w:ascii="宋体" w:hAnsi="宋体"/>
          <w:color w:val="auto"/>
          <w:szCs w:val="21"/>
          <w:lang w:val="en-US" w:eastAsia="zh-CN"/>
        </w:rPr>
        <w:t xml:space="preserve">  </w:t>
      </w:r>
      <w:r>
        <w:rPr>
          <w:rFonts w:hint="eastAsia" w:ascii="宋体" w:hAnsi="宋体"/>
          <w:color w:val="auto"/>
          <w:szCs w:val="21"/>
        </w:rPr>
        <w:t xml:space="preserve"> </w:t>
      </w:r>
      <w:r>
        <w:rPr>
          <w:rFonts w:hint="eastAsia" w:ascii="宋体" w:hAnsi="宋体"/>
          <w:color w:val="auto"/>
          <w:szCs w:val="21"/>
          <w:lang w:val="en-US" w:eastAsia="zh-CN"/>
        </w:rPr>
        <w:t xml:space="preserve"> </w:t>
      </w:r>
    </w:p>
    <w:p w14:paraId="2F6D8CA7">
      <w:pPr>
        <w:pStyle w:val="5"/>
        <w:adjustRightInd w:val="0"/>
        <w:snapToGrid w:val="0"/>
        <w:spacing w:before="50" w:line="360" w:lineRule="auto"/>
        <w:rPr>
          <w:rFonts w:ascii="黑体" w:hAnsi="华文中宋" w:eastAsia="黑体"/>
          <w:color w:val="auto"/>
          <w:sz w:val="24"/>
          <w:szCs w:val="24"/>
        </w:rPr>
      </w:pPr>
      <w:bookmarkStart w:id="1207" w:name="_Toc10680"/>
      <w:bookmarkStart w:id="1208" w:name="_Toc34637780"/>
      <w:bookmarkStart w:id="1209" w:name="_Toc17250"/>
      <w:r>
        <w:rPr>
          <w:rFonts w:ascii="黑体" w:hAnsi="华文中宋" w:eastAsia="黑体"/>
          <w:color w:val="auto"/>
          <w:sz w:val="24"/>
          <w:szCs w:val="24"/>
        </w:rPr>
        <w:t>2.合同金额</w:t>
      </w:r>
      <w:bookmarkEnd w:id="1207"/>
      <w:bookmarkEnd w:id="1208"/>
      <w:bookmarkEnd w:id="1209"/>
    </w:p>
    <w:p w14:paraId="24526755">
      <w:pPr>
        <w:adjustRightInd w:val="0"/>
        <w:snapToGrid w:val="0"/>
        <w:spacing w:before="156" w:beforeLines="50" w:line="360" w:lineRule="auto"/>
        <w:ind w:firstLine="420" w:firstLineChars="200"/>
        <w:rPr>
          <w:rFonts w:hint="eastAsia" w:ascii="宋体" w:hAnsi="宋体"/>
          <w:bCs/>
          <w:color w:val="auto"/>
          <w:szCs w:val="21"/>
          <w:u w:val="single"/>
        </w:rPr>
      </w:pPr>
      <w:r>
        <w:rPr>
          <w:rFonts w:hint="eastAsia" w:ascii="宋体" w:hAnsi="宋体"/>
          <w:color w:val="auto"/>
          <w:szCs w:val="21"/>
        </w:rPr>
        <w:t>（1）合同金额小写：</w:t>
      </w:r>
      <w:r>
        <w:rPr>
          <w:rFonts w:hint="eastAsia" w:ascii="宋体" w:hAnsi="宋体"/>
          <w:bCs/>
          <w:color w:val="auto"/>
          <w:szCs w:val="21"/>
          <w:u w:val="single"/>
        </w:rPr>
        <w:t xml:space="preserve">                      </w:t>
      </w:r>
    </w:p>
    <w:p w14:paraId="6FAB91C9">
      <w:pPr>
        <w:adjustRightInd w:val="0"/>
        <w:snapToGrid w:val="0"/>
        <w:spacing w:before="156" w:beforeLines="50" w:line="360" w:lineRule="auto"/>
        <w:ind w:firstLine="420" w:firstLineChars="200"/>
        <w:rPr>
          <w:rFonts w:hint="default" w:ascii="宋体" w:hAnsi="宋体" w:eastAsia="宋体"/>
          <w:b/>
          <w:color w:val="auto"/>
          <w:szCs w:val="21"/>
          <w:lang w:val="en-US" w:eastAsia="zh-CN"/>
        </w:rPr>
      </w:pPr>
      <w:r>
        <w:rPr>
          <w:rFonts w:hint="eastAsia" w:ascii="宋体" w:hAnsi="宋体"/>
          <w:color w:val="auto"/>
          <w:szCs w:val="21"/>
        </w:rPr>
        <w:t xml:space="preserve">           大写：</w:t>
      </w:r>
      <w:r>
        <w:rPr>
          <w:rFonts w:hint="eastAsia" w:ascii="宋体" w:hAnsi="宋体"/>
          <w:bCs/>
          <w:color w:val="auto"/>
          <w:szCs w:val="21"/>
          <w:u w:val="single"/>
        </w:rPr>
        <w:t xml:space="preserve">                      </w:t>
      </w:r>
      <w:r>
        <w:rPr>
          <w:rFonts w:hint="eastAsia" w:ascii="宋体" w:hAnsi="宋体"/>
          <w:bCs/>
          <w:color w:val="auto"/>
          <w:szCs w:val="21"/>
          <w:u w:val="single"/>
          <w:lang w:val="en-US" w:eastAsia="zh-CN"/>
        </w:rPr>
        <w:t xml:space="preserve">  </w:t>
      </w:r>
    </w:p>
    <w:p w14:paraId="207BB5AB">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（2）具体标的见附件。</w:t>
      </w:r>
    </w:p>
    <w:p w14:paraId="7E3B3155">
      <w:pPr>
        <w:adjustRightInd w:val="0"/>
        <w:snapToGrid w:val="0"/>
        <w:spacing w:before="156" w:beforeLines="50" w:line="360" w:lineRule="auto"/>
        <w:ind w:firstLine="420" w:firstLineChars="200"/>
        <w:rPr>
          <w:rFonts w:hint="eastAsia" w:ascii="宋体" w:hAnsi="宋体"/>
          <w:iCs/>
          <w:color w:val="auto"/>
          <w:lang w:val="en-US" w:eastAsia="zh-CN"/>
        </w:rPr>
      </w:pPr>
      <w:r>
        <w:rPr>
          <w:rFonts w:hint="eastAsia" w:ascii="宋体" w:hAnsi="宋体"/>
          <w:color w:val="auto"/>
          <w:szCs w:val="21"/>
        </w:rPr>
        <w:t>（3）合同价格形式：</w:t>
      </w:r>
      <w:r>
        <w:rPr>
          <w:rFonts w:hint="eastAsia" w:ascii="宋体" w:hAnsi="宋体"/>
          <w:iCs/>
          <w:color w:val="auto"/>
        </w:rPr>
        <w:sym w:font="Wingdings" w:char="00A8"/>
      </w:r>
      <w:r>
        <w:rPr>
          <w:rFonts w:hint="eastAsia" w:ascii="宋体" w:hAnsi="宋体"/>
          <w:iCs/>
          <w:color w:val="auto"/>
          <w:lang w:val="en-US" w:eastAsia="zh-CN"/>
        </w:rPr>
        <w:t xml:space="preserve">固定总价 </w:t>
      </w:r>
      <w:r>
        <w:rPr>
          <w:rFonts w:hint="eastAsia" w:ascii="宋体" w:hAnsi="宋体"/>
          <w:iCs/>
          <w:color w:val="auto"/>
        </w:rPr>
        <w:sym w:font="Wingdings" w:char="00A8"/>
      </w:r>
      <w:r>
        <w:rPr>
          <w:rFonts w:hint="eastAsia" w:ascii="宋体" w:hAnsi="宋体"/>
          <w:iCs/>
          <w:color w:val="auto"/>
          <w:lang w:val="en-US" w:eastAsia="zh-CN"/>
        </w:rPr>
        <w:t xml:space="preserve">固定单价 </w:t>
      </w:r>
      <w:r>
        <w:rPr>
          <w:rFonts w:hint="eastAsia" w:ascii="宋体" w:hAnsi="宋体"/>
          <w:iCs/>
          <w:color w:val="auto"/>
        </w:rPr>
        <w:sym w:font="Wingdings" w:char="00A8"/>
      </w:r>
      <w:r>
        <w:rPr>
          <w:rFonts w:hint="eastAsia" w:ascii="宋体" w:hAnsi="宋体"/>
          <w:iCs/>
          <w:color w:val="auto"/>
          <w:lang w:val="en-US" w:eastAsia="zh-CN"/>
        </w:rPr>
        <w:t xml:space="preserve"> 成本补偿  </w:t>
      </w:r>
      <w:r>
        <w:rPr>
          <w:rFonts w:hint="eastAsia" w:ascii="宋体" w:hAnsi="宋体"/>
          <w:iCs/>
          <w:color w:val="auto"/>
        </w:rPr>
        <w:sym w:font="Wingdings" w:char="00A8"/>
      </w:r>
      <w:r>
        <w:rPr>
          <w:rFonts w:hint="eastAsia" w:ascii="宋体" w:hAnsi="宋体"/>
          <w:iCs/>
          <w:color w:val="auto"/>
          <w:lang w:val="en-US" w:eastAsia="zh-CN"/>
        </w:rPr>
        <w:t>绩效激励</w:t>
      </w:r>
    </w:p>
    <w:p w14:paraId="3C902AC6">
      <w:pPr>
        <w:adjustRightInd w:val="0"/>
        <w:snapToGrid w:val="0"/>
        <w:spacing w:before="156" w:beforeLines="50" w:line="360" w:lineRule="auto"/>
        <w:ind w:firstLine="420" w:firstLineChars="200"/>
        <w:rPr>
          <w:rFonts w:hint="eastAsia" w:ascii="宋体" w:hAnsi="宋体"/>
          <w:iCs/>
          <w:color w:val="auto"/>
          <w:lang w:val="en-US" w:eastAsia="zh-CN"/>
        </w:rPr>
      </w:pPr>
      <w:r>
        <w:rPr>
          <w:rFonts w:hint="eastAsia" w:ascii="宋体" w:hAnsi="宋体"/>
          <w:iCs/>
          <w:color w:val="auto"/>
          <w:lang w:val="en-US" w:eastAsia="zh-CN"/>
        </w:rPr>
        <w:t>（4）付款方式（按项目实际勾选填写）：</w:t>
      </w:r>
    </w:p>
    <w:p w14:paraId="7EA20582">
      <w:pPr>
        <w:adjustRightInd w:val="0"/>
        <w:snapToGrid w:val="0"/>
        <w:spacing w:before="156" w:beforeLines="50" w:line="360" w:lineRule="auto"/>
        <w:ind w:firstLine="420" w:firstLineChars="200"/>
        <w:rPr>
          <w:rFonts w:hint="default" w:ascii="宋体" w:hAnsi="宋体"/>
          <w:iCs/>
          <w:color w:val="auto"/>
          <w:u w:val="single"/>
          <w:lang w:val="en-US" w:eastAsia="zh-CN"/>
        </w:rPr>
      </w:pPr>
      <w:r>
        <w:rPr>
          <w:rFonts w:hint="eastAsia" w:ascii="宋体" w:hAnsi="宋体"/>
          <w:iCs/>
          <w:color w:val="auto"/>
        </w:rPr>
        <w:sym w:font="Wingdings" w:char="00A8"/>
      </w:r>
      <w:r>
        <w:rPr>
          <w:rFonts w:hint="eastAsia" w:ascii="宋体" w:hAnsi="宋体"/>
          <w:iCs/>
          <w:color w:val="auto"/>
          <w:lang w:val="en-US" w:eastAsia="zh-CN"/>
        </w:rPr>
        <w:t>全额付款：</w:t>
      </w:r>
      <w:r>
        <w:rPr>
          <w:rFonts w:hint="eastAsia" w:ascii="宋体" w:hAnsi="宋体"/>
          <w:iCs/>
          <w:color w:val="auto"/>
          <w:u w:val="single"/>
          <w:lang w:val="en-US" w:eastAsia="zh-CN"/>
        </w:rPr>
        <w:t xml:space="preserve">（应一次性支付全部合同款项）   </w:t>
      </w:r>
    </w:p>
    <w:p w14:paraId="0BC7585C">
      <w:pPr>
        <w:adjustRightInd w:val="0"/>
        <w:snapToGrid w:val="0"/>
        <w:spacing w:before="156" w:beforeLines="50" w:line="360" w:lineRule="auto"/>
        <w:ind w:firstLine="420" w:firstLineChars="200"/>
        <w:rPr>
          <w:rFonts w:hint="default" w:ascii="宋体" w:hAnsi="宋体"/>
          <w:iCs/>
          <w:color w:val="auto"/>
          <w:u w:val="single"/>
          <w:lang w:val="en-US" w:eastAsia="zh-CN"/>
        </w:rPr>
      </w:pPr>
      <w:r>
        <w:rPr>
          <w:rFonts w:hint="eastAsia" w:ascii="宋体" w:hAnsi="宋体"/>
          <w:iCs/>
          <w:color w:val="auto"/>
        </w:rPr>
        <w:sym w:font="Wingdings" w:char="00A8"/>
      </w:r>
      <w:r>
        <w:rPr>
          <w:rFonts w:hint="eastAsia" w:ascii="宋体" w:hAnsi="宋体"/>
          <w:iCs/>
          <w:color w:val="auto"/>
          <w:lang w:val="en-US" w:eastAsia="zh-CN"/>
        </w:rPr>
        <w:t>预付款：</w:t>
      </w:r>
      <w:r>
        <w:rPr>
          <w:rFonts w:hint="eastAsia" w:ascii="宋体" w:hAnsi="宋体"/>
          <w:iCs/>
          <w:color w:val="auto"/>
          <w:u w:val="single"/>
          <w:lang w:val="en-US" w:eastAsia="zh-CN"/>
        </w:rPr>
        <w:t xml:space="preserve">（应明确预付款的支付比例和支付条件）   </w:t>
      </w:r>
    </w:p>
    <w:p w14:paraId="02100E20">
      <w:pPr>
        <w:adjustRightInd w:val="0"/>
        <w:snapToGrid w:val="0"/>
        <w:spacing w:before="156" w:beforeLines="50" w:line="360" w:lineRule="auto"/>
        <w:ind w:firstLine="420" w:firstLineChars="200"/>
        <w:rPr>
          <w:rFonts w:hint="default" w:ascii="宋体" w:hAnsi="宋体"/>
          <w:iCs/>
          <w:color w:val="auto"/>
          <w:lang w:val="en-US" w:eastAsia="zh-CN"/>
        </w:rPr>
      </w:pPr>
      <w:r>
        <w:rPr>
          <w:rFonts w:hint="eastAsia" w:ascii="宋体" w:hAnsi="宋体"/>
          <w:iCs/>
          <w:color w:val="auto"/>
        </w:rPr>
        <w:sym w:font="Wingdings" w:char="00A8"/>
      </w:r>
      <w:r>
        <w:rPr>
          <w:rFonts w:hint="eastAsia" w:ascii="宋体" w:hAnsi="宋体"/>
          <w:iCs/>
          <w:color w:val="auto"/>
          <w:lang w:val="en-US" w:eastAsia="zh-CN"/>
        </w:rPr>
        <w:t>分期付款：</w:t>
      </w:r>
      <w:r>
        <w:rPr>
          <w:rFonts w:hint="eastAsia" w:ascii="宋体" w:hAnsi="宋体"/>
          <w:iCs/>
          <w:color w:val="auto"/>
          <w:u w:val="single"/>
          <w:lang w:val="en-US" w:eastAsia="zh-CN"/>
        </w:rPr>
        <w:t xml:space="preserve">（应安照季度分期支付合同款项）   </w:t>
      </w:r>
    </w:p>
    <w:p w14:paraId="4785757D">
      <w:pPr>
        <w:adjustRightInd w:val="0"/>
        <w:snapToGrid w:val="0"/>
        <w:spacing w:before="156" w:beforeLines="50" w:line="360" w:lineRule="auto"/>
        <w:ind w:firstLine="420" w:firstLineChars="200"/>
        <w:rPr>
          <w:rFonts w:hint="default" w:ascii="宋体" w:hAnsi="宋体"/>
          <w:iCs/>
          <w:color w:val="auto"/>
          <w:u w:val="single"/>
          <w:lang w:val="en-US" w:eastAsia="zh-CN"/>
        </w:rPr>
      </w:pPr>
      <w:r>
        <w:rPr>
          <w:rFonts w:hint="eastAsia" w:ascii="宋体" w:hAnsi="宋体"/>
          <w:iCs/>
          <w:color w:val="auto"/>
        </w:rPr>
        <w:sym w:font="Wingdings" w:char="00A8"/>
      </w:r>
      <w:r>
        <w:rPr>
          <w:rFonts w:hint="eastAsia" w:ascii="宋体" w:hAnsi="宋体"/>
          <w:iCs/>
          <w:color w:val="auto"/>
          <w:lang w:val="en-US" w:eastAsia="zh-CN"/>
        </w:rPr>
        <w:t>成本补偿：</w:t>
      </w:r>
      <w:r>
        <w:rPr>
          <w:rFonts w:hint="eastAsia" w:ascii="宋体" w:hAnsi="宋体"/>
          <w:iCs/>
          <w:color w:val="auto"/>
          <w:u w:val="single"/>
          <w:lang w:val="en-US" w:eastAsia="zh-CN"/>
        </w:rPr>
        <w:t xml:space="preserve">（应明确按照成本补偿方式的支付方式和支付条件）   </w:t>
      </w:r>
    </w:p>
    <w:p w14:paraId="19BCED56">
      <w:pPr>
        <w:adjustRightInd w:val="0"/>
        <w:snapToGrid w:val="0"/>
        <w:spacing w:before="156" w:beforeLines="50" w:line="360" w:lineRule="auto"/>
        <w:ind w:firstLine="420" w:firstLineChars="200"/>
        <w:rPr>
          <w:rFonts w:hint="default" w:ascii="宋体" w:hAnsi="宋体" w:eastAsia="宋体"/>
          <w:iCs/>
          <w:color w:val="auto"/>
          <w:u w:val="single"/>
          <w:lang w:val="en-US" w:eastAsia="zh-CN"/>
        </w:rPr>
      </w:pPr>
      <w:r>
        <w:rPr>
          <w:rFonts w:hint="eastAsia" w:ascii="宋体" w:hAnsi="宋体"/>
          <w:iCs/>
          <w:color w:val="auto"/>
        </w:rPr>
        <w:sym w:font="Wingdings" w:char="00A8"/>
      </w:r>
      <w:r>
        <w:rPr>
          <w:rFonts w:hint="eastAsia" w:ascii="宋体" w:hAnsi="宋体"/>
          <w:iCs/>
          <w:color w:val="auto"/>
          <w:lang w:val="en-US" w:eastAsia="zh-CN"/>
        </w:rPr>
        <w:t>绩效激励：</w:t>
      </w:r>
      <w:r>
        <w:rPr>
          <w:rFonts w:hint="eastAsia" w:ascii="宋体" w:hAnsi="宋体"/>
          <w:iCs/>
          <w:color w:val="auto"/>
          <w:u w:val="single"/>
          <w:lang w:val="en-US" w:eastAsia="zh-CN"/>
        </w:rPr>
        <w:t xml:space="preserve">（应明确按照绩效激励方式的支付方式和支付条件）    </w:t>
      </w:r>
    </w:p>
    <w:p w14:paraId="3C620E77">
      <w:pPr>
        <w:pStyle w:val="5"/>
        <w:adjustRightInd w:val="0"/>
        <w:snapToGrid w:val="0"/>
        <w:spacing w:before="50" w:line="360" w:lineRule="auto"/>
        <w:rPr>
          <w:rFonts w:ascii="黑体" w:hAnsi="华文中宋" w:eastAsia="黑体"/>
          <w:color w:val="auto"/>
          <w:sz w:val="24"/>
          <w:szCs w:val="24"/>
        </w:rPr>
      </w:pPr>
      <w:bookmarkStart w:id="1210" w:name="_Toc3366"/>
      <w:bookmarkStart w:id="1211" w:name="_Toc7027"/>
      <w:bookmarkStart w:id="1212" w:name="_Toc34637781"/>
      <w:r>
        <w:rPr>
          <w:rFonts w:ascii="黑体" w:hAnsi="华文中宋" w:eastAsia="黑体"/>
          <w:color w:val="auto"/>
          <w:sz w:val="24"/>
          <w:szCs w:val="24"/>
        </w:rPr>
        <w:t>3.履行合同的时间、地点及方式</w:t>
      </w:r>
      <w:bookmarkEnd w:id="1210"/>
      <w:bookmarkEnd w:id="1211"/>
      <w:bookmarkEnd w:id="1212"/>
    </w:p>
    <w:p w14:paraId="6E389CCB">
      <w:pPr>
        <w:adjustRightInd w:val="0"/>
        <w:snapToGrid w:val="0"/>
        <w:spacing w:before="156" w:beforeLines="50" w:line="360" w:lineRule="auto"/>
        <w:rPr>
          <w:rFonts w:ascii="宋体" w:hAnsi="宋体"/>
          <w:color w:val="auto"/>
          <w:szCs w:val="21"/>
        </w:rPr>
      </w:pPr>
      <w:r>
        <w:rPr>
          <w:rFonts w:hint="eastAsia" w:ascii="宋体" w:hAnsi="宋体"/>
          <w:color w:val="auto"/>
          <w:szCs w:val="21"/>
          <w:lang w:eastAsia="zh-CN"/>
        </w:rPr>
        <w:t>（</w:t>
      </w:r>
      <w:r>
        <w:rPr>
          <w:rFonts w:hint="eastAsia" w:ascii="宋体" w:hAnsi="宋体"/>
          <w:color w:val="auto"/>
          <w:szCs w:val="21"/>
          <w:lang w:val="en-US" w:eastAsia="zh-CN"/>
        </w:rPr>
        <w:t>1）</w:t>
      </w:r>
      <w:r>
        <w:rPr>
          <w:rFonts w:hint="eastAsia" w:ascii="宋体" w:hAnsi="宋体"/>
          <w:color w:val="auto"/>
          <w:szCs w:val="21"/>
        </w:rPr>
        <w:t>起始日期：</w:t>
      </w:r>
      <w:r>
        <w:rPr>
          <w:rFonts w:hint="eastAsia" w:ascii="宋体" w:hAnsi="宋体"/>
          <w:color w:val="auto"/>
          <w:szCs w:val="21"/>
          <w:lang w:val="en-US" w:eastAsia="zh-CN"/>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年</w:t>
      </w:r>
      <w:r>
        <w:rPr>
          <w:rFonts w:hint="eastAsia" w:ascii="宋体" w:hAnsi="宋体"/>
          <w:color w:val="auto"/>
          <w:szCs w:val="21"/>
          <w:u w:val="single"/>
          <w:lang w:val="en-US" w:eastAsia="zh-CN"/>
        </w:rPr>
        <w:t xml:space="preserve">   </w:t>
      </w:r>
      <w:r>
        <w:rPr>
          <w:rFonts w:hint="eastAsia" w:ascii="宋体" w:hAnsi="宋体"/>
          <w:color w:val="auto"/>
          <w:szCs w:val="21"/>
        </w:rPr>
        <w:t>月</w:t>
      </w:r>
      <w:r>
        <w:rPr>
          <w:rFonts w:hint="eastAsia" w:ascii="宋体" w:hAnsi="宋体"/>
          <w:color w:val="auto"/>
          <w:szCs w:val="21"/>
          <w:u w:val="single"/>
          <w:lang w:val="en-US" w:eastAsia="zh-CN"/>
        </w:rPr>
        <w:t xml:space="preserve">   </w:t>
      </w:r>
      <w:r>
        <w:rPr>
          <w:rFonts w:hint="eastAsia" w:ascii="宋体" w:hAnsi="宋体"/>
          <w:color w:val="auto"/>
          <w:szCs w:val="21"/>
        </w:rPr>
        <w:t>日，完成日期：</w:t>
      </w:r>
      <w:r>
        <w:rPr>
          <w:rFonts w:hint="eastAsia" w:ascii="宋体" w:hAnsi="宋体"/>
          <w:color w:val="auto"/>
          <w:szCs w:val="21"/>
          <w:u w:val="single"/>
          <w:lang w:val="en-US" w:eastAsia="zh-CN"/>
        </w:rPr>
        <w:t xml:space="preserve">     </w:t>
      </w:r>
      <w:r>
        <w:rPr>
          <w:rFonts w:hint="eastAsia" w:ascii="宋体" w:hAnsi="宋体"/>
          <w:color w:val="auto"/>
          <w:szCs w:val="21"/>
          <w:lang w:val="en-US" w:eastAsia="zh-CN"/>
        </w:rPr>
        <w:t xml:space="preserve"> </w:t>
      </w:r>
      <w:r>
        <w:rPr>
          <w:rFonts w:hint="eastAsia" w:ascii="宋体" w:hAnsi="宋体"/>
          <w:color w:val="auto"/>
          <w:szCs w:val="21"/>
        </w:rPr>
        <w:t>年</w:t>
      </w:r>
      <w:r>
        <w:rPr>
          <w:rFonts w:hint="eastAsia" w:ascii="宋体" w:hAnsi="宋体"/>
          <w:color w:val="auto"/>
          <w:szCs w:val="21"/>
          <w:u w:val="single"/>
          <w:lang w:val="en-US" w:eastAsia="zh-CN"/>
        </w:rPr>
        <w:t xml:space="preserve">   </w:t>
      </w:r>
      <w:r>
        <w:rPr>
          <w:rFonts w:hint="eastAsia" w:ascii="宋体" w:hAnsi="宋体"/>
          <w:color w:val="auto"/>
          <w:szCs w:val="21"/>
        </w:rPr>
        <w:t>月</w:t>
      </w:r>
      <w:r>
        <w:rPr>
          <w:rFonts w:hint="eastAsia" w:ascii="宋体" w:hAnsi="宋体"/>
          <w:color w:val="auto"/>
          <w:szCs w:val="21"/>
          <w:u w:val="single"/>
          <w:lang w:val="en-US" w:eastAsia="zh-CN"/>
        </w:rPr>
        <w:t xml:space="preserve">   </w:t>
      </w:r>
      <w:r>
        <w:rPr>
          <w:rFonts w:hint="eastAsia" w:ascii="宋体" w:hAnsi="宋体"/>
          <w:color w:val="auto"/>
          <w:szCs w:val="21"/>
        </w:rPr>
        <w:t>日。总日历天数：</w:t>
      </w:r>
      <w:r>
        <w:rPr>
          <w:rFonts w:hint="eastAsia" w:ascii="宋体" w:hAnsi="宋体"/>
          <w:color w:val="auto"/>
          <w:szCs w:val="21"/>
          <w:u w:val="single"/>
          <w:lang w:val="en-US" w:eastAsia="zh-CN"/>
        </w:rPr>
        <w:t xml:space="preserve">    </w:t>
      </w:r>
      <w:r>
        <w:rPr>
          <w:rFonts w:hint="eastAsia" w:ascii="宋体" w:hAnsi="宋体"/>
          <w:color w:val="auto"/>
          <w:szCs w:val="21"/>
        </w:rPr>
        <w:t>天。</w:t>
      </w:r>
    </w:p>
    <w:p w14:paraId="0D8D74F8">
      <w:pPr>
        <w:adjustRightInd w:val="0"/>
        <w:snapToGrid w:val="0"/>
        <w:spacing w:before="156" w:beforeLines="50" w:line="360" w:lineRule="auto"/>
        <w:rPr>
          <w:rFonts w:hint="eastAsia" w:ascii="宋体" w:hAnsi="宋体"/>
          <w:color w:val="auto"/>
          <w:szCs w:val="21"/>
          <w:u w:val="single"/>
          <w:lang w:val="en-US" w:eastAsia="zh-CN"/>
        </w:rPr>
      </w:pPr>
      <w:r>
        <w:rPr>
          <w:rFonts w:hint="eastAsia" w:ascii="宋体" w:hAnsi="宋体"/>
          <w:color w:val="auto"/>
          <w:szCs w:val="21"/>
          <w:lang w:eastAsia="zh-CN"/>
        </w:rPr>
        <w:t>（</w:t>
      </w:r>
      <w:r>
        <w:rPr>
          <w:rFonts w:hint="eastAsia" w:ascii="宋体" w:hAnsi="宋体"/>
          <w:color w:val="auto"/>
          <w:szCs w:val="21"/>
          <w:lang w:val="en-US" w:eastAsia="zh-CN"/>
        </w:rPr>
        <w:t>2)</w:t>
      </w:r>
      <w:r>
        <w:rPr>
          <w:rFonts w:hint="eastAsia" w:ascii="宋体" w:hAnsi="宋体"/>
          <w:color w:val="auto"/>
          <w:szCs w:val="21"/>
        </w:rPr>
        <w:t>地点</w:t>
      </w:r>
      <w:r>
        <w:rPr>
          <w:rFonts w:hint="eastAsia" w:ascii="宋体" w:hAnsi="宋体"/>
          <w:b/>
          <w:color w:val="auto"/>
          <w:szCs w:val="21"/>
        </w:rPr>
        <w:t>：</w:t>
      </w:r>
      <w:r>
        <w:rPr>
          <w:rFonts w:hint="eastAsia" w:ascii="宋体" w:hAnsi="宋体"/>
          <w:color w:val="auto"/>
          <w:szCs w:val="21"/>
          <w:lang w:val="en-US" w:eastAsia="zh-CN"/>
        </w:rPr>
        <w:t xml:space="preserve"> </w:t>
      </w:r>
      <w:r>
        <w:rPr>
          <w:rFonts w:hint="eastAsia" w:ascii="宋体" w:hAnsi="宋体"/>
          <w:color w:val="auto"/>
          <w:szCs w:val="21"/>
          <w:u w:val="single"/>
          <w:lang w:val="en-US" w:eastAsia="zh-CN"/>
        </w:rPr>
        <w:t xml:space="preserve">         </w:t>
      </w:r>
    </w:p>
    <w:p w14:paraId="32E014C0">
      <w:pPr>
        <w:adjustRightInd w:val="0"/>
        <w:snapToGrid w:val="0"/>
        <w:spacing w:before="156" w:beforeLines="50" w:line="360" w:lineRule="auto"/>
        <w:rPr>
          <w:rFonts w:hint="eastAsia" w:ascii="宋体" w:hAnsi="宋体"/>
          <w:color w:val="auto"/>
          <w:szCs w:val="21"/>
          <w:u w:val="none"/>
          <w:lang w:val="en-US" w:eastAsia="zh-CN"/>
        </w:rPr>
      </w:pPr>
      <w:r>
        <w:rPr>
          <w:rFonts w:hint="eastAsia" w:ascii="宋体" w:hAnsi="宋体"/>
          <w:color w:val="auto"/>
          <w:szCs w:val="21"/>
          <w:u w:val="none"/>
          <w:lang w:val="en-US" w:eastAsia="zh-CN"/>
        </w:rPr>
        <w:t>(3）方式：</w:t>
      </w:r>
      <w:r>
        <w:rPr>
          <w:rFonts w:hint="eastAsia" w:ascii="宋体" w:hAnsi="宋体"/>
          <w:color w:val="auto"/>
          <w:szCs w:val="21"/>
          <w:u w:val="single"/>
          <w:lang w:val="en-US" w:eastAsia="zh-CN"/>
        </w:rPr>
        <w:t xml:space="preserve">         </w:t>
      </w:r>
    </w:p>
    <w:p w14:paraId="6F2E1F34">
      <w:pPr>
        <w:adjustRightInd w:val="0"/>
        <w:snapToGrid w:val="0"/>
        <w:spacing w:before="156" w:beforeLines="50" w:line="360" w:lineRule="auto"/>
        <w:rPr>
          <w:rFonts w:hint="default" w:ascii="宋体" w:hAnsi="宋体"/>
          <w:color w:val="auto"/>
          <w:szCs w:val="21"/>
          <w:u w:val="single"/>
          <w:lang w:val="en-US" w:eastAsia="zh-CN"/>
        </w:rPr>
      </w:pPr>
      <w:r>
        <w:rPr>
          <w:rFonts w:hint="eastAsia" w:ascii="宋体" w:hAnsi="宋体"/>
          <w:color w:val="auto"/>
          <w:szCs w:val="21"/>
          <w:u w:val="none"/>
          <w:lang w:val="en-US" w:eastAsia="zh-CN"/>
        </w:rPr>
        <w:t>（4）履约担保：</w:t>
      </w:r>
      <w:r>
        <w:rPr>
          <w:rFonts w:hint="eastAsia" w:ascii="宋体" w:hAnsi="宋体"/>
          <w:color w:val="auto"/>
          <w:szCs w:val="21"/>
          <w:u w:val="single"/>
          <w:lang w:val="en-US" w:eastAsia="zh-CN"/>
        </w:rPr>
        <w:t>履约担保的金额、形式和期限要求。</w:t>
      </w:r>
    </w:p>
    <w:p w14:paraId="6C78888E">
      <w:pPr>
        <w:adjustRightInd w:val="0"/>
        <w:snapToGrid w:val="0"/>
        <w:spacing w:before="156" w:beforeLines="50" w:line="360" w:lineRule="auto"/>
        <w:rPr>
          <w:rFonts w:ascii="宋体" w:hAnsi="宋体"/>
          <w:color w:val="auto"/>
          <w:szCs w:val="21"/>
        </w:rPr>
      </w:pPr>
      <w:r>
        <w:rPr>
          <w:rFonts w:hint="eastAsia" w:ascii="宋体" w:hAnsi="宋体"/>
          <w:color w:val="auto"/>
          <w:szCs w:val="21"/>
          <w:u w:val="none"/>
          <w:lang w:eastAsia="zh-CN"/>
        </w:rPr>
        <w:t>（</w:t>
      </w:r>
      <w:r>
        <w:rPr>
          <w:rFonts w:hint="eastAsia" w:ascii="宋体" w:hAnsi="宋体"/>
          <w:color w:val="auto"/>
          <w:szCs w:val="21"/>
          <w:u w:val="none"/>
          <w:lang w:val="en-US" w:eastAsia="zh-CN"/>
        </w:rPr>
        <w:t>5）质量保证金：</w:t>
      </w:r>
      <w:r>
        <w:rPr>
          <w:rFonts w:hint="eastAsia" w:ascii="宋体" w:hAnsi="宋体"/>
          <w:color w:val="auto"/>
          <w:szCs w:val="21"/>
          <w:u w:val="single"/>
          <w:lang w:val="en-US" w:eastAsia="zh-CN"/>
        </w:rPr>
        <w:t>质量保证金的金额、形式和期限要求。</w:t>
      </w:r>
      <w:r>
        <w:rPr>
          <w:rFonts w:hint="eastAsia" w:ascii="宋体" w:hAnsi="宋体"/>
          <w:color w:val="auto"/>
          <w:szCs w:val="21"/>
        </w:rPr>
        <w:t xml:space="preserve"> </w:t>
      </w:r>
    </w:p>
    <w:p w14:paraId="1E5BCCCF">
      <w:pPr>
        <w:adjustRightInd w:val="0"/>
        <w:snapToGrid w:val="0"/>
        <w:spacing w:before="156" w:beforeLines="50" w:line="360" w:lineRule="auto"/>
        <w:rPr>
          <w:rFonts w:hint="default" w:ascii="黑体" w:hAnsi="华文中宋" w:eastAsia="黑体" w:cs="Times New Roman"/>
          <w:b/>
          <w:bCs/>
          <w:color w:val="auto"/>
          <w:kern w:val="0"/>
          <w:sz w:val="24"/>
          <w:szCs w:val="24"/>
          <w:lang w:val="en-US" w:eastAsia="zh-CN" w:bidi="ar-SA"/>
        </w:rPr>
      </w:pPr>
      <w:bookmarkStart w:id="1213" w:name="_Toc34637782"/>
      <w:bookmarkStart w:id="1214" w:name="_Toc15890"/>
      <w:r>
        <w:rPr>
          <w:rFonts w:ascii="黑体" w:hAnsi="华文中宋" w:eastAsia="黑体" w:cs="Times New Roman"/>
          <w:b/>
          <w:bCs/>
          <w:color w:val="auto"/>
          <w:kern w:val="0"/>
          <w:sz w:val="24"/>
          <w:szCs w:val="24"/>
          <w:lang w:val="en-US" w:eastAsia="zh-CN" w:bidi="ar-SA"/>
        </w:rPr>
        <w:t>4</w:t>
      </w:r>
      <w:r>
        <w:rPr>
          <w:rFonts w:hint="eastAsia" w:ascii="黑体" w:hAnsi="华文中宋" w:eastAsia="黑体" w:cs="Times New Roman"/>
          <w:b/>
          <w:bCs/>
          <w:color w:val="auto"/>
          <w:kern w:val="0"/>
          <w:sz w:val="24"/>
          <w:szCs w:val="24"/>
          <w:lang w:val="en-US" w:eastAsia="zh-CN" w:bidi="ar-SA"/>
        </w:rPr>
        <w:t>.</w:t>
      </w:r>
      <w:bookmarkEnd w:id="1213"/>
      <w:bookmarkEnd w:id="1214"/>
      <w:r>
        <w:rPr>
          <w:rFonts w:hint="eastAsia" w:ascii="黑体" w:hAnsi="华文中宋" w:eastAsia="黑体" w:cs="Times New Roman"/>
          <w:b/>
          <w:bCs/>
          <w:color w:val="auto"/>
          <w:kern w:val="0"/>
          <w:sz w:val="24"/>
          <w:szCs w:val="24"/>
          <w:lang w:val="en-US" w:eastAsia="zh-CN" w:bidi="ar-SA"/>
        </w:rPr>
        <w:t>合同验收</w:t>
      </w:r>
    </w:p>
    <w:p w14:paraId="46D2E8B1">
      <w:pPr>
        <w:adjustRightInd w:val="0"/>
        <w:snapToGrid w:val="0"/>
        <w:spacing w:before="156" w:beforeLines="50" w:line="360" w:lineRule="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（1）验收主体：</w:t>
      </w:r>
      <w:r>
        <w:rPr>
          <w:rFonts w:hint="eastAsia" w:ascii="宋体" w:hAnsi="宋体" w:eastAsia="宋体" w:cs="Times New Roman"/>
          <w:color w:val="auto"/>
          <w:szCs w:val="21"/>
          <w:u w:val="single"/>
          <w:lang w:val="en-US" w:eastAsia="zh-CN"/>
        </w:rPr>
        <w:t xml:space="preserve">                    </w:t>
      </w:r>
      <w:r>
        <w:rPr>
          <w:rFonts w:hint="eastAsia" w:ascii="宋体" w:hAnsi="宋体" w:eastAsia="宋体" w:cs="Times New Roman"/>
          <w:color w:val="auto"/>
          <w:szCs w:val="21"/>
          <w:lang w:val="en-US" w:eastAsia="zh-CN"/>
        </w:rPr>
        <w:t xml:space="preserve"> 。 </w:t>
      </w:r>
    </w:p>
    <w:p w14:paraId="155DEAB8">
      <w:pPr>
        <w:adjustRightInd w:val="0"/>
        <w:snapToGrid w:val="0"/>
        <w:spacing w:before="156" w:beforeLines="50" w:line="360" w:lineRule="auto"/>
        <w:rPr>
          <w:rFonts w:hint="eastAsia" w:ascii="宋体" w:hAnsi="宋体" w:eastAsia="宋体" w:cs="Times New Roman"/>
          <w:color w:val="auto"/>
          <w:szCs w:val="21"/>
          <w:lang w:val="en-US" w:eastAsia="zh-CN"/>
        </w:rPr>
      </w:pPr>
      <w:bookmarkStart w:id="1215" w:name="_Toc34637783"/>
      <w:r>
        <w:rPr>
          <w:rFonts w:hint="eastAsia" w:ascii="宋体" w:hAnsi="宋体" w:eastAsia="宋体" w:cs="Times New Roman"/>
          <w:color w:val="auto"/>
          <w:szCs w:val="21"/>
          <w:lang w:val="en-US" w:eastAsia="zh-CN"/>
        </w:rPr>
        <w:t xml:space="preserve">（2）验收方式： </w:t>
      </w:r>
      <w:r>
        <w:rPr>
          <w:rFonts w:hint="eastAsia" w:ascii="宋体" w:hAnsi="宋体"/>
          <w:color w:val="auto"/>
          <w:szCs w:val="21"/>
          <w:u w:val="single"/>
          <w:lang w:val="en-US" w:eastAsia="zh-CN"/>
        </w:rPr>
        <w:t xml:space="preserve">                   </w:t>
      </w:r>
      <w:r>
        <w:rPr>
          <w:rFonts w:hint="eastAsia" w:ascii="宋体" w:hAnsi="宋体" w:eastAsia="宋体" w:cs="Times New Roman"/>
          <w:color w:val="auto"/>
          <w:szCs w:val="21"/>
          <w:lang w:val="en-US" w:eastAsia="zh-CN"/>
        </w:rPr>
        <w:t>。</w:t>
      </w:r>
    </w:p>
    <w:p w14:paraId="0C12DA59">
      <w:pPr>
        <w:adjustRightInd w:val="0"/>
        <w:snapToGrid w:val="0"/>
        <w:spacing w:before="156" w:beforeLines="50" w:line="360" w:lineRule="auto"/>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（3）验收标准：</w:t>
      </w:r>
      <w:r>
        <w:rPr>
          <w:rFonts w:hint="eastAsia" w:ascii="宋体" w:hAnsi="宋体"/>
          <w:color w:val="auto"/>
          <w:szCs w:val="21"/>
          <w:u w:val="single"/>
          <w:lang w:val="en-US" w:eastAsia="zh-CN"/>
        </w:rPr>
        <w:t xml:space="preserve">                   </w:t>
      </w:r>
      <w:r>
        <w:rPr>
          <w:rFonts w:hint="eastAsia" w:ascii="宋体" w:hAnsi="宋体" w:eastAsia="宋体" w:cs="Times New Roman"/>
          <w:color w:val="auto"/>
          <w:szCs w:val="21"/>
          <w:lang w:val="en-US" w:eastAsia="zh-CN"/>
        </w:rPr>
        <w:t>。</w:t>
      </w:r>
    </w:p>
    <w:p w14:paraId="30EF64D4">
      <w:pPr>
        <w:adjustRightInd w:val="0"/>
        <w:snapToGrid w:val="0"/>
        <w:spacing w:before="156" w:beforeLines="50" w:line="360" w:lineRule="auto"/>
        <w:rPr>
          <w:rFonts w:hint="eastAsia" w:ascii="黑体" w:hAnsi="华文中宋" w:eastAsia="黑体" w:cs="Times New Roman"/>
          <w:b/>
          <w:bCs/>
          <w:color w:val="auto"/>
          <w:kern w:val="0"/>
          <w:sz w:val="24"/>
          <w:szCs w:val="24"/>
          <w:lang w:val="en-US" w:eastAsia="zh-CN" w:bidi="ar-SA"/>
        </w:rPr>
      </w:pPr>
      <w:r>
        <w:rPr>
          <w:rFonts w:hint="eastAsia" w:ascii="黑体" w:hAnsi="华文中宋" w:eastAsia="黑体" w:cs="Times New Roman"/>
          <w:b/>
          <w:bCs/>
          <w:color w:val="auto"/>
          <w:kern w:val="0"/>
          <w:sz w:val="24"/>
          <w:szCs w:val="24"/>
          <w:lang w:val="en-US" w:eastAsia="zh-CN" w:bidi="ar-SA"/>
        </w:rPr>
        <w:t>5.</w:t>
      </w:r>
      <w:bookmarkEnd w:id="1215"/>
      <w:r>
        <w:rPr>
          <w:rFonts w:hint="eastAsia" w:ascii="黑体" w:hAnsi="华文中宋" w:eastAsia="黑体" w:cs="Times New Roman"/>
          <w:b/>
          <w:bCs/>
          <w:color w:val="auto"/>
          <w:kern w:val="0"/>
          <w:sz w:val="24"/>
          <w:szCs w:val="24"/>
          <w:lang w:val="en-US" w:eastAsia="zh-CN" w:bidi="ar-SA"/>
        </w:rPr>
        <w:t>组成合同的文件</w:t>
      </w:r>
    </w:p>
    <w:p w14:paraId="7764E4CC">
      <w:pPr>
        <w:adjustRightInd w:val="0"/>
        <w:snapToGrid w:val="0"/>
        <w:spacing w:before="156" w:beforeLines="50" w:line="360" w:lineRule="auto"/>
        <w:ind w:firstLine="420" w:firstLineChars="200"/>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本协议书与下列文件一起构成合同文件，如下述文件之间有任何抵触、矛盾或歧义，应按以下顺序解释：</w:t>
      </w:r>
    </w:p>
    <w:p w14:paraId="69A12624">
      <w:pPr>
        <w:adjustRightInd w:val="0"/>
        <w:snapToGrid w:val="0"/>
        <w:spacing w:before="156" w:beforeLines="50" w:line="360" w:lineRule="auto"/>
        <w:ind w:firstLine="210" w:firstLineChars="100"/>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（1）在采购或合同履行过程中乙方作出的承诺以及双方协商达成的变更或补充协议</w:t>
      </w:r>
    </w:p>
    <w:p w14:paraId="1B8C1BE0">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（2)本合同协议书</w:t>
      </w:r>
    </w:p>
    <w:p w14:paraId="4D3DA4FF">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(3)中标通知书</w:t>
      </w:r>
    </w:p>
    <w:p w14:paraId="71FC7E4D">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(4)投标文件</w:t>
      </w:r>
    </w:p>
    <w:p w14:paraId="4C718809">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（5）政府采购合同专用条款</w:t>
      </w:r>
    </w:p>
    <w:p w14:paraId="1E375D07">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（6）政府采购合同通用条款</w:t>
      </w:r>
    </w:p>
    <w:p w14:paraId="5961F73C">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（7）标准、规范及有关技术文件，图纸。</w:t>
      </w:r>
    </w:p>
    <w:p w14:paraId="28110BA6">
      <w:pPr>
        <w:adjustRightInd w:val="0"/>
        <w:snapToGrid w:val="0"/>
        <w:spacing w:before="156" w:beforeLines="50" w:line="360" w:lineRule="auto"/>
        <w:ind w:firstLine="210" w:firstLineChars="1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（8）其他合同文件。</w:t>
      </w:r>
    </w:p>
    <w:p w14:paraId="25FB5763">
      <w:pPr>
        <w:pStyle w:val="5"/>
        <w:adjustRightInd w:val="0"/>
        <w:snapToGrid w:val="0"/>
        <w:spacing w:before="50" w:line="360" w:lineRule="auto"/>
        <w:rPr>
          <w:rFonts w:ascii="黑体" w:hAnsi="华文中宋" w:eastAsia="黑体"/>
          <w:color w:val="auto"/>
          <w:sz w:val="24"/>
          <w:szCs w:val="24"/>
        </w:rPr>
      </w:pPr>
      <w:bookmarkStart w:id="1216" w:name="_Toc23275"/>
      <w:bookmarkStart w:id="1217" w:name="_Toc34637785"/>
      <w:bookmarkStart w:id="1218" w:name="_Toc72"/>
      <w:r>
        <w:rPr>
          <w:rFonts w:hint="eastAsia" w:ascii="黑体" w:hAnsi="华文中宋" w:eastAsia="黑体"/>
          <w:color w:val="auto"/>
          <w:sz w:val="24"/>
          <w:szCs w:val="24"/>
          <w:lang w:val="en-US" w:eastAsia="zh-CN"/>
        </w:rPr>
        <w:t>6</w:t>
      </w:r>
      <w:r>
        <w:rPr>
          <w:rFonts w:ascii="黑体" w:hAnsi="华文中宋" w:eastAsia="黑体"/>
          <w:color w:val="auto"/>
          <w:sz w:val="24"/>
          <w:szCs w:val="24"/>
        </w:rPr>
        <w:t>.合同生效</w:t>
      </w:r>
      <w:bookmarkEnd w:id="1216"/>
      <w:bookmarkEnd w:id="1217"/>
      <w:bookmarkEnd w:id="1218"/>
    </w:p>
    <w:p w14:paraId="51925A83">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本合同自</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生效。</w:t>
      </w:r>
    </w:p>
    <w:p w14:paraId="4AA1AC71">
      <w:pPr>
        <w:pStyle w:val="5"/>
        <w:adjustRightInd w:val="0"/>
        <w:snapToGrid w:val="0"/>
        <w:spacing w:before="50" w:line="360" w:lineRule="auto"/>
        <w:rPr>
          <w:rFonts w:ascii="黑体" w:hAnsi="华文中宋" w:eastAsia="黑体"/>
          <w:color w:val="auto"/>
          <w:sz w:val="24"/>
          <w:szCs w:val="24"/>
        </w:rPr>
      </w:pPr>
      <w:bookmarkStart w:id="1219" w:name="_Toc34637786"/>
      <w:bookmarkStart w:id="1220" w:name="_Toc11851"/>
      <w:bookmarkStart w:id="1221" w:name="_Toc10358"/>
      <w:r>
        <w:rPr>
          <w:rFonts w:hint="eastAsia" w:ascii="黑体" w:hAnsi="华文中宋" w:eastAsia="黑体"/>
          <w:color w:val="auto"/>
          <w:sz w:val="24"/>
          <w:szCs w:val="24"/>
          <w:lang w:val="en-US" w:eastAsia="zh-CN"/>
        </w:rPr>
        <w:t>7</w:t>
      </w:r>
      <w:r>
        <w:rPr>
          <w:rFonts w:ascii="黑体" w:hAnsi="华文中宋" w:eastAsia="黑体"/>
          <w:color w:val="auto"/>
          <w:sz w:val="24"/>
          <w:szCs w:val="24"/>
        </w:rPr>
        <w:t>.合同份数</w:t>
      </w:r>
      <w:bookmarkEnd w:id="1219"/>
      <w:bookmarkEnd w:id="1220"/>
      <w:bookmarkEnd w:id="1221"/>
    </w:p>
    <w:p w14:paraId="1906D271">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本合同一式</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份，采购人</w:t>
      </w:r>
      <w:r>
        <w:rPr>
          <w:rFonts w:hint="eastAsia" w:ascii="宋体" w:hAnsi="宋体"/>
          <w:color w:val="auto"/>
          <w:szCs w:val="21"/>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份，供应商执</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份，均具有同等法律效力。</w:t>
      </w:r>
    </w:p>
    <w:p w14:paraId="581BBD5D">
      <w:pPr>
        <w:adjustRightInd w:val="0"/>
        <w:snapToGrid w:val="0"/>
        <w:spacing w:before="156" w:beforeLines="50" w:line="360" w:lineRule="auto"/>
        <w:rPr>
          <w:rFonts w:ascii="宋体" w:hAnsi="宋体"/>
          <w:color w:val="auto"/>
          <w:szCs w:val="21"/>
        </w:rPr>
      </w:pPr>
      <w:r>
        <w:rPr>
          <w:rFonts w:hint="eastAsia" w:ascii="宋体" w:hAnsi="宋体"/>
          <w:color w:val="auto"/>
          <w:szCs w:val="21"/>
        </w:rPr>
        <w:t>合同订立时间：</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年</w:t>
      </w:r>
      <w:r>
        <w:rPr>
          <w:rFonts w:hint="eastAsia" w:ascii="宋体" w:hAnsi="宋体"/>
          <w:color w:val="auto"/>
          <w:szCs w:val="21"/>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lang w:val="en-US" w:eastAsia="zh-CN"/>
        </w:rPr>
        <w:t xml:space="preserve"> </w:t>
      </w:r>
      <w:r>
        <w:rPr>
          <w:rFonts w:hint="eastAsia" w:ascii="宋体" w:hAnsi="宋体"/>
          <w:color w:val="auto"/>
          <w:szCs w:val="21"/>
        </w:rPr>
        <w:t>月</w:t>
      </w:r>
      <w:r>
        <w:rPr>
          <w:rFonts w:hint="eastAsia" w:ascii="宋体" w:hAnsi="宋体"/>
          <w:color w:val="auto"/>
          <w:szCs w:val="21"/>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rPr>
        <w:t>日</w:t>
      </w:r>
    </w:p>
    <w:p w14:paraId="5BF3C10F">
      <w:pPr>
        <w:adjustRightInd w:val="0"/>
        <w:snapToGrid w:val="0"/>
        <w:spacing w:before="156" w:beforeLines="50" w:line="360" w:lineRule="auto"/>
        <w:rPr>
          <w:rFonts w:hint="eastAsia" w:ascii="宋体" w:hAnsi="宋体"/>
          <w:color w:val="auto"/>
          <w:szCs w:val="21"/>
          <w:u w:val="single"/>
          <w:lang w:val="en-US" w:eastAsia="zh-CN"/>
        </w:rPr>
      </w:pPr>
      <w:r>
        <w:rPr>
          <w:rFonts w:hint="eastAsia" w:ascii="宋体" w:hAnsi="宋体"/>
          <w:color w:val="auto"/>
          <w:szCs w:val="21"/>
        </w:rPr>
        <w:t>合同订立地点：</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p>
    <w:p w14:paraId="0F9B24E3">
      <w:pPr>
        <w:adjustRightInd w:val="0"/>
        <w:snapToGrid w:val="0"/>
        <w:spacing w:before="156" w:beforeLines="50" w:line="360" w:lineRule="auto"/>
        <w:rPr>
          <w:rFonts w:hint="default" w:ascii="宋体" w:hAnsi="宋体" w:eastAsia="宋体"/>
          <w:color w:val="auto"/>
          <w:szCs w:val="21"/>
          <w:lang w:val="en-US" w:eastAsia="zh-CN"/>
        </w:rPr>
      </w:pPr>
      <w:r>
        <w:rPr>
          <w:rFonts w:hint="eastAsia" w:ascii="宋体" w:hAnsi="宋体"/>
          <w:color w:val="auto"/>
          <w:szCs w:val="21"/>
          <w:lang w:val="en-US" w:eastAsia="zh-CN"/>
        </w:rPr>
        <w:t>附件：具体标的明细、分包合同等。</w:t>
      </w:r>
    </w:p>
    <w:p w14:paraId="580B3DDC">
      <w:pPr>
        <w:adjustRightInd w:val="0"/>
        <w:snapToGrid w:val="0"/>
        <w:spacing w:before="156" w:beforeLines="50" w:line="360" w:lineRule="auto"/>
        <w:rPr>
          <w:rFonts w:ascii="宋体" w:hAnsi="宋体"/>
          <w:color w:val="auto"/>
          <w:szCs w:val="21"/>
        </w:rPr>
      </w:pPr>
      <w:r>
        <w:rPr>
          <w:rFonts w:hint="eastAsia" w:ascii="宋体" w:hAnsi="宋体"/>
          <w:color w:val="auto"/>
          <w:szCs w:val="21"/>
        </w:rPr>
        <w:t>甲      方：（公章）                     乙      方：（公章）</w:t>
      </w:r>
    </w:p>
    <w:p w14:paraId="0FBFE731">
      <w:pPr>
        <w:adjustRightInd w:val="0"/>
        <w:snapToGrid w:val="0"/>
        <w:spacing w:before="156" w:beforeLines="50" w:line="360" w:lineRule="auto"/>
        <w:rPr>
          <w:rFonts w:ascii="宋体" w:hAnsi="宋体"/>
          <w:color w:val="auto"/>
          <w:szCs w:val="21"/>
        </w:rPr>
      </w:pPr>
      <w:r>
        <w:rPr>
          <w:rFonts w:hint="eastAsia" w:ascii="宋体" w:hAnsi="宋体"/>
          <w:color w:val="auto"/>
          <w:szCs w:val="21"/>
        </w:rPr>
        <w:t>法定代表人：                            法定代表人：</w:t>
      </w:r>
    </w:p>
    <w:p w14:paraId="24B3D13F">
      <w:pPr>
        <w:adjustRightInd w:val="0"/>
        <w:snapToGrid w:val="0"/>
        <w:spacing w:before="156" w:beforeLines="50" w:line="360" w:lineRule="auto"/>
        <w:rPr>
          <w:rFonts w:ascii="宋体" w:hAnsi="宋体"/>
          <w:color w:val="auto"/>
          <w:szCs w:val="21"/>
        </w:rPr>
      </w:pPr>
      <w:r>
        <w:rPr>
          <w:rFonts w:hint="eastAsia" w:ascii="宋体" w:hAnsi="宋体"/>
          <w:color w:val="auto"/>
          <w:szCs w:val="21"/>
        </w:rPr>
        <w:t>委托代理人：                            委托代理人：</w:t>
      </w:r>
    </w:p>
    <w:p w14:paraId="679B8572">
      <w:pPr>
        <w:tabs>
          <w:tab w:val="left" w:pos="7307"/>
        </w:tabs>
        <w:adjustRightInd w:val="0"/>
        <w:snapToGrid w:val="0"/>
        <w:spacing w:before="156" w:beforeLines="50" w:line="360" w:lineRule="auto"/>
        <w:rPr>
          <w:rFonts w:hint="eastAsia" w:ascii="宋体" w:hAnsi="宋体"/>
          <w:color w:val="auto"/>
          <w:szCs w:val="21"/>
        </w:rPr>
      </w:pPr>
      <w:r>
        <w:rPr>
          <w:rFonts w:hint="eastAsia" w:ascii="宋体" w:hAnsi="宋体"/>
          <w:color w:val="auto"/>
          <w:szCs w:val="21"/>
        </w:rPr>
        <w:t>电      话：                            电      话：</w:t>
      </w:r>
      <w:r>
        <w:rPr>
          <w:rFonts w:hint="eastAsia" w:ascii="宋体" w:hAnsi="宋体"/>
          <w:color w:val="auto"/>
          <w:szCs w:val="21"/>
        </w:rPr>
        <w:tab/>
      </w:r>
    </w:p>
    <w:p w14:paraId="7F14CB31">
      <w:pPr>
        <w:adjustRightInd w:val="0"/>
        <w:snapToGrid w:val="0"/>
        <w:spacing w:before="156" w:beforeLines="50" w:line="360" w:lineRule="auto"/>
        <w:rPr>
          <w:rFonts w:ascii="宋体" w:hAnsi="宋体"/>
          <w:color w:val="auto"/>
          <w:szCs w:val="21"/>
        </w:rPr>
      </w:pPr>
      <w:r>
        <w:rPr>
          <w:rFonts w:hint="eastAsia" w:ascii="宋体" w:hAnsi="宋体"/>
          <w:color w:val="auto"/>
          <w:szCs w:val="21"/>
        </w:rPr>
        <w:t>传      真：                            传      真：</w:t>
      </w:r>
    </w:p>
    <w:p w14:paraId="524F1246">
      <w:pPr>
        <w:adjustRightInd w:val="0"/>
        <w:snapToGrid w:val="0"/>
        <w:spacing w:before="156" w:beforeLines="50" w:line="360" w:lineRule="auto"/>
        <w:ind w:firstLine="420" w:firstLineChars="200"/>
        <w:rPr>
          <w:rFonts w:ascii="宋体" w:hAnsi="宋体"/>
          <w:color w:val="auto"/>
          <w:szCs w:val="21"/>
        </w:rPr>
      </w:pPr>
      <w:r>
        <w:rPr>
          <w:rFonts w:hint="eastAsia" w:ascii="宋体" w:hAnsi="宋体"/>
          <w:color w:val="auto"/>
          <w:szCs w:val="21"/>
        </w:rPr>
        <w:t xml:space="preserve">                                    开 户 银 行：</w:t>
      </w:r>
    </w:p>
    <w:p w14:paraId="0CFE8796">
      <w:pPr>
        <w:adjustRightInd w:val="0"/>
        <w:snapToGrid w:val="0"/>
        <w:spacing w:before="156" w:beforeLines="50" w:line="360" w:lineRule="auto"/>
        <w:jc w:val="center"/>
        <w:rPr>
          <w:rFonts w:ascii="宋体" w:hAnsi="宋体"/>
          <w:b/>
          <w:color w:val="auto"/>
          <w:szCs w:val="21"/>
        </w:rPr>
      </w:pPr>
      <w:r>
        <w:rPr>
          <w:rFonts w:hint="eastAsia" w:ascii="宋体" w:hAnsi="宋体"/>
          <w:color w:val="auto"/>
          <w:szCs w:val="21"/>
        </w:rPr>
        <w:t xml:space="preserve">     </w:t>
      </w:r>
      <w:r>
        <w:rPr>
          <w:rFonts w:hint="eastAsia" w:ascii="宋体" w:hAnsi="宋体"/>
          <w:color w:val="auto"/>
          <w:szCs w:val="21"/>
          <w:lang w:val="en-US" w:eastAsia="zh-CN"/>
        </w:rPr>
        <w:t xml:space="preserve">   </w:t>
      </w:r>
      <w:r>
        <w:rPr>
          <w:rFonts w:hint="eastAsia" w:ascii="宋体" w:hAnsi="宋体"/>
          <w:color w:val="auto"/>
          <w:szCs w:val="21"/>
        </w:rPr>
        <w:t xml:space="preserve">    帐       号：</w:t>
      </w:r>
    </w:p>
    <w:p w14:paraId="4B6B00E5">
      <w:pPr>
        <w:pStyle w:val="4"/>
        <w:adjustRightInd w:val="0"/>
        <w:snapToGrid w:val="0"/>
        <w:spacing w:before="156" w:beforeLines="50"/>
        <w:ind w:firstLine="2249" w:firstLineChars="800"/>
        <w:jc w:val="both"/>
        <w:rPr>
          <w:rFonts w:hint="eastAsia" w:ascii="黑体" w:hAnsi="黑体" w:eastAsia="黑体"/>
          <w:color w:val="auto"/>
          <w:sz w:val="28"/>
          <w:szCs w:val="28"/>
        </w:rPr>
      </w:pPr>
      <w:bookmarkStart w:id="1222" w:name="_Toc27523"/>
      <w:bookmarkStart w:id="1223" w:name="_Toc154428433"/>
      <w:bookmarkStart w:id="1224" w:name="_Toc77199448"/>
      <w:bookmarkStart w:id="1225" w:name="_Toc112704987"/>
      <w:bookmarkStart w:id="1226" w:name="_Toc117192494"/>
      <w:bookmarkStart w:id="1227" w:name="_Toc192949745"/>
      <w:bookmarkStart w:id="1228" w:name="_Toc114036758"/>
      <w:bookmarkStart w:id="1229" w:name="_Toc75289594"/>
      <w:bookmarkStart w:id="1230" w:name="_Toc28139"/>
      <w:bookmarkStart w:id="1231" w:name="_Toc7939"/>
      <w:bookmarkStart w:id="1232" w:name="_Toc77676512"/>
      <w:bookmarkStart w:id="1233" w:name="_Toc15888524"/>
      <w:bookmarkStart w:id="1234" w:name="_Toc75289276"/>
      <w:bookmarkStart w:id="1235" w:name="_Toc285"/>
      <w:bookmarkStart w:id="1236" w:name="_Toc13532"/>
      <w:bookmarkStart w:id="1237" w:name="_Toc192951256"/>
      <w:bookmarkStart w:id="1238" w:name="_Toc94367924"/>
      <w:bookmarkStart w:id="1239" w:name="_Toc100670717"/>
      <w:bookmarkStart w:id="1240" w:name="_Toc100670469"/>
      <w:bookmarkStart w:id="1241" w:name="_Toc20466"/>
      <w:bookmarkStart w:id="1242" w:name="_Toc171273715"/>
      <w:bookmarkStart w:id="1243" w:name="_Toc192949646"/>
      <w:bookmarkStart w:id="1244" w:name="_Toc21989"/>
      <w:bookmarkStart w:id="1245" w:name="_Toc85972974"/>
      <w:bookmarkStart w:id="1246" w:name="_Toc23724"/>
      <w:bookmarkStart w:id="1247" w:name="_Toc78314308"/>
      <w:bookmarkStart w:id="1248" w:name="_Toc78450001"/>
      <w:bookmarkStart w:id="1249" w:name="_Toc95601409"/>
      <w:bookmarkStart w:id="1250" w:name="_Toc108341984"/>
    </w:p>
    <w:p w14:paraId="7B250878">
      <w:pPr>
        <w:pStyle w:val="4"/>
        <w:adjustRightInd w:val="0"/>
        <w:snapToGrid w:val="0"/>
        <w:spacing w:before="156" w:beforeLines="50"/>
        <w:jc w:val="both"/>
        <w:rPr>
          <w:rFonts w:hint="eastAsia" w:ascii="黑体" w:hAnsi="黑体" w:eastAsia="黑体"/>
          <w:color w:val="auto"/>
          <w:sz w:val="28"/>
          <w:szCs w:val="28"/>
        </w:rPr>
      </w:pPr>
    </w:p>
    <w:p w14:paraId="4097F668">
      <w:pPr>
        <w:rPr>
          <w:rFonts w:hint="eastAsia" w:ascii="黑体" w:hAnsi="黑体" w:eastAsia="黑体"/>
          <w:color w:val="auto"/>
          <w:sz w:val="28"/>
          <w:szCs w:val="28"/>
        </w:rPr>
      </w:pPr>
    </w:p>
    <w:p w14:paraId="695ECFB7">
      <w:pPr>
        <w:rPr>
          <w:rFonts w:hint="eastAsia" w:ascii="黑体" w:hAnsi="黑体" w:eastAsia="黑体"/>
          <w:color w:val="auto"/>
          <w:sz w:val="28"/>
          <w:szCs w:val="28"/>
        </w:rPr>
      </w:pPr>
    </w:p>
    <w:p w14:paraId="3C7AC8B5">
      <w:pPr>
        <w:rPr>
          <w:rFonts w:hint="eastAsia" w:ascii="黑体" w:hAnsi="黑体" w:eastAsia="黑体"/>
          <w:color w:val="auto"/>
          <w:sz w:val="28"/>
          <w:szCs w:val="28"/>
        </w:rPr>
      </w:pPr>
    </w:p>
    <w:p w14:paraId="6193F79D">
      <w:pPr>
        <w:rPr>
          <w:rFonts w:hint="eastAsia" w:ascii="黑体" w:hAnsi="黑体" w:eastAsia="黑体"/>
          <w:color w:val="auto"/>
          <w:sz w:val="28"/>
          <w:szCs w:val="28"/>
        </w:rPr>
      </w:pPr>
    </w:p>
    <w:p w14:paraId="0737BDD4">
      <w:pPr>
        <w:rPr>
          <w:rFonts w:hint="eastAsia" w:ascii="黑体" w:hAnsi="黑体" w:eastAsia="黑体"/>
          <w:color w:val="auto"/>
          <w:sz w:val="28"/>
          <w:szCs w:val="28"/>
        </w:rPr>
      </w:pPr>
    </w:p>
    <w:p w14:paraId="43CC999A">
      <w:pPr>
        <w:rPr>
          <w:rFonts w:hint="eastAsia" w:ascii="黑体" w:hAnsi="黑体" w:eastAsia="黑体"/>
          <w:color w:val="auto"/>
          <w:sz w:val="28"/>
          <w:szCs w:val="28"/>
        </w:rPr>
      </w:pPr>
    </w:p>
    <w:p w14:paraId="30D93903">
      <w:pPr>
        <w:rPr>
          <w:rFonts w:hint="eastAsia" w:ascii="黑体" w:hAnsi="黑体" w:eastAsia="黑体"/>
          <w:color w:val="auto"/>
          <w:sz w:val="28"/>
          <w:szCs w:val="28"/>
        </w:rPr>
      </w:pPr>
    </w:p>
    <w:p w14:paraId="711967BF">
      <w:pPr>
        <w:pStyle w:val="4"/>
        <w:adjustRightInd w:val="0"/>
        <w:snapToGrid w:val="0"/>
        <w:spacing w:before="156" w:beforeLines="50"/>
        <w:jc w:val="both"/>
        <w:rPr>
          <w:rFonts w:hint="eastAsia" w:ascii="黑体" w:hAnsi="黑体" w:eastAsia="黑体"/>
          <w:color w:val="auto"/>
          <w:sz w:val="28"/>
          <w:szCs w:val="28"/>
        </w:rPr>
      </w:pPr>
    </w:p>
    <w:p w14:paraId="444920C7">
      <w:pPr>
        <w:pStyle w:val="4"/>
        <w:adjustRightInd w:val="0"/>
        <w:snapToGrid w:val="0"/>
        <w:spacing w:before="156" w:beforeLines="50"/>
        <w:ind w:firstLine="1968" w:firstLineChars="700"/>
        <w:jc w:val="both"/>
        <w:rPr>
          <w:rFonts w:ascii="黑体" w:hAnsi="黑体" w:eastAsia="黑体"/>
          <w:color w:val="auto"/>
          <w:sz w:val="28"/>
          <w:szCs w:val="28"/>
        </w:rPr>
      </w:pPr>
      <w:bookmarkStart w:id="1251" w:name="_Toc32301"/>
      <w:r>
        <w:rPr>
          <w:rFonts w:hint="eastAsia" w:ascii="黑体" w:hAnsi="黑体" w:eastAsia="黑体"/>
          <w:color w:val="auto"/>
          <w:sz w:val="28"/>
          <w:szCs w:val="28"/>
        </w:rPr>
        <w:t>第二节 政府采购合同通用条款</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14:paraId="29EA7E82">
      <w:pPr>
        <w:tabs>
          <w:tab w:val="left" w:pos="8820"/>
          <w:tab w:val="left" w:pos="9345"/>
          <w:tab w:val="left" w:pos="9765"/>
        </w:tabs>
        <w:adjustRightInd w:val="0"/>
        <w:snapToGrid w:val="0"/>
        <w:spacing w:before="50" w:line="360" w:lineRule="auto"/>
        <w:jc w:val="left"/>
        <w:rPr>
          <w:rFonts w:ascii="宋体" w:hAnsi="宋体"/>
          <w:b/>
          <w:bCs/>
          <w:color w:val="auto"/>
          <w:sz w:val="24"/>
        </w:rPr>
      </w:pPr>
      <w:r>
        <w:rPr>
          <w:rFonts w:hint="eastAsia" w:ascii="宋体" w:hAnsi="宋体"/>
          <w:b/>
          <w:color w:val="auto"/>
          <w:sz w:val="24"/>
        </w:rPr>
        <w:t>1.</w:t>
      </w:r>
      <w:r>
        <w:rPr>
          <w:rFonts w:hint="eastAsia" w:ascii="宋体" w:hAnsi="宋体"/>
          <w:b/>
          <w:bCs/>
          <w:color w:val="auto"/>
          <w:sz w:val="24"/>
        </w:rPr>
        <w:t xml:space="preserve"> 定义</w:t>
      </w:r>
    </w:p>
    <w:p w14:paraId="00B6D809">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1.1合同当事人</w:t>
      </w:r>
    </w:p>
    <w:p w14:paraId="3480013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（1）采购人（以下称甲方）是指使用财政性资金，通过政府采购方式向供应商购买货物、服务的国家机关、事业单位、团体组织。本次采购的甲方名称、地址见</w:t>
      </w:r>
      <w:r>
        <w:rPr>
          <w:rFonts w:hint="eastAsia" w:ascii="宋体" w:hAnsi="宋体"/>
          <w:b/>
          <w:color w:val="auto"/>
          <w:szCs w:val="21"/>
        </w:rPr>
        <w:t>【政府采购合同专用条款】。</w:t>
      </w:r>
    </w:p>
    <w:p w14:paraId="1547430B">
      <w:pPr>
        <w:autoSpaceDE w:val="0"/>
        <w:autoSpaceDN w:val="0"/>
        <w:adjustRightInd w:val="0"/>
        <w:snapToGrid w:val="0"/>
        <w:spacing w:before="50" w:line="360" w:lineRule="auto"/>
        <w:ind w:firstLine="420" w:firstLineChars="200"/>
        <w:jc w:val="left"/>
        <w:rPr>
          <w:rFonts w:ascii="宋体" w:hAnsi="宋体"/>
          <w:b/>
          <w:color w:val="auto"/>
          <w:szCs w:val="21"/>
        </w:rPr>
      </w:pPr>
      <w:r>
        <w:rPr>
          <w:rFonts w:hint="eastAsia" w:ascii="宋体" w:hAnsi="宋体"/>
          <w:color w:val="auto"/>
          <w:szCs w:val="21"/>
        </w:rPr>
        <w:t>（2）供应商（以下称乙方）是指参加政府采购活动而取得中标结果，并向采购人提供货物、服务的法人、其他组织或者自然人。</w:t>
      </w:r>
    </w:p>
    <w:p w14:paraId="2E17FE92">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1.2本合同下列术语应解释为：</w:t>
      </w:r>
    </w:p>
    <w:p w14:paraId="3770368D">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（1）“合同”系指甲乙双方签署的、政府采购合同协议书中载明的甲乙双方所达成的协议，包括所有的附件、附录和上述文件所提到的构成合同的所有文件。</w:t>
      </w:r>
    </w:p>
    <w:p w14:paraId="5D288842">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（2）“合同价”系指根据本合同规定乙方在正确地完全履行合同义务后甲方应支付给乙方的价款。</w:t>
      </w:r>
    </w:p>
    <w:p w14:paraId="0B1A550E">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（3）“货物”系指乙方根据本合同规定须向甲方提供的各种形态和种类的物品，包括原材料、设备、产品（包括软件）及相关的其备品备件、工具、手册及其它技术资料和材料。</w:t>
      </w:r>
    </w:p>
    <w:p w14:paraId="35BA169A">
      <w:pPr>
        <w:tabs>
          <w:tab w:val="left" w:pos="570"/>
          <w:tab w:val="left" w:pos="888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742B100E">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（5）“合同条款”系指本合同及其附件、补充文件约定的全部条款。</w:t>
      </w:r>
    </w:p>
    <w:p w14:paraId="7D0531D3">
      <w:pPr>
        <w:tabs>
          <w:tab w:val="left" w:pos="570"/>
          <w:tab w:val="left" w:pos="9240"/>
          <w:tab w:val="left" w:pos="955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（6）“项目现场”系指本合同项下货物安装、运行的现场，其名称见</w:t>
      </w:r>
      <w:r>
        <w:rPr>
          <w:rFonts w:hint="eastAsia" w:ascii="宋体" w:hAnsi="宋体"/>
          <w:b/>
          <w:color w:val="auto"/>
          <w:szCs w:val="21"/>
        </w:rPr>
        <w:t>【政府采购合同专用条款】</w:t>
      </w:r>
      <w:r>
        <w:rPr>
          <w:rFonts w:hint="eastAsia" w:ascii="宋体" w:hAnsi="宋体"/>
          <w:color w:val="auto"/>
          <w:szCs w:val="21"/>
        </w:rPr>
        <w:t>。</w:t>
      </w:r>
    </w:p>
    <w:p w14:paraId="716E7357">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2.合同的适用范围</w:t>
      </w:r>
    </w:p>
    <w:p w14:paraId="758FC75F">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2.1 本合同条款适用于没有被本合同其他部分的条款所取代的范围。</w:t>
      </w:r>
    </w:p>
    <w:p w14:paraId="6DE1DEA1">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2.2 合同内容根据招标文件、投标文件而确定。</w:t>
      </w:r>
    </w:p>
    <w:p w14:paraId="5BA31415">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3.</w:t>
      </w:r>
      <w:r>
        <w:rPr>
          <w:rFonts w:hint="eastAsia" w:ascii="宋体" w:hAnsi="宋体"/>
          <w:b/>
          <w:color w:val="auto"/>
          <w:sz w:val="24"/>
        </w:rPr>
        <w:t>合同标的及金额</w:t>
      </w:r>
    </w:p>
    <w:p w14:paraId="3038E4A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3.1 合同标的及金额应与中标结果一致。</w:t>
      </w:r>
    </w:p>
    <w:p w14:paraId="3F7E5D64">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4.</w:t>
      </w:r>
      <w:r>
        <w:rPr>
          <w:rFonts w:hint="eastAsia" w:ascii="宋体" w:hAnsi="宋体"/>
          <w:b/>
          <w:color w:val="auto"/>
          <w:sz w:val="24"/>
        </w:rPr>
        <w:t>合同价款</w:t>
      </w:r>
    </w:p>
    <w:p w14:paraId="476A27E8">
      <w:pPr>
        <w:adjustRightInd w:val="0"/>
        <w:snapToGrid w:val="0"/>
        <w:spacing w:before="50" w:line="360" w:lineRule="auto"/>
        <w:ind w:firstLine="420" w:firstLineChars="200"/>
        <w:jc w:val="left"/>
        <w:rPr>
          <w:rFonts w:ascii="宋体" w:hAnsi="宋体"/>
          <w:b/>
          <w:bCs/>
          <w:i/>
          <w:iCs/>
          <w:color w:val="auto"/>
          <w:szCs w:val="21"/>
        </w:rPr>
      </w:pPr>
      <w:r>
        <w:rPr>
          <w:rFonts w:hint="eastAsia" w:ascii="宋体" w:hAnsi="宋体"/>
          <w:color w:val="auto"/>
          <w:szCs w:val="21"/>
        </w:rPr>
        <w:t>4.1具体合同价款见本合同第3.1条。乙方为履行本合同而发生的所有费用均应包含在合同价款中，甲方不再另行支付其它任何费用。</w:t>
      </w:r>
    </w:p>
    <w:p w14:paraId="5D8BF736">
      <w:pPr>
        <w:adjustRightInd w:val="0"/>
        <w:snapToGrid w:val="0"/>
        <w:spacing w:before="50" w:line="360" w:lineRule="auto"/>
        <w:jc w:val="left"/>
        <w:rPr>
          <w:rFonts w:ascii="宋体" w:hAnsi="宋体"/>
          <w:b/>
          <w:color w:val="auto"/>
          <w:sz w:val="24"/>
        </w:rPr>
      </w:pPr>
      <w:r>
        <w:rPr>
          <w:rFonts w:hint="eastAsia" w:ascii="宋体" w:hAnsi="宋体"/>
          <w:b/>
          <w:color w:val="auto"/>
          <w:sz w:val="24"/>
        </w:rPr>
        <w:t>5.履行合同的时间、地点和方式</w:t>
      </w:r>
    </w:p>
    <w:p w14:paraId="351750F5">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5.1 乙方应当在甲方确定的时间、指定的地点履行合同，具体的交货时间、地点和方式见</w:t>
      </w:r>
      <w:r>
        <w:rPr>
          <w:rFonts w:hint="eastAsia" w:ascii="宋体" w:hAnsi="宋体"/>
          <w:b/>
          <w:color w:val="auto"/>
          <w:szCs w:val="21"/>
        </w:rPr>
        <w:t>【政府采购合同专用条款】</w:t>
      </w:r>
      <w:r>
        <w:rPr>
          <w:rFonts w:hint="eastAsia" w:ascii="宋体" w:hAnsi="宋体"/>
          <w:color w:val="auto"/>
          <w:szCs w:val="21"/>
        </w:rPr>
        <w:t>。</w:t>
      </w:r>
    </w:p>
    <w:p w14:paraId="16C287CF">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5.2 乙方提供服务的应当在甲方指定的时间和地点完成服务项目。</w:t>
      </w:r>
    </w:p>
    <w:p w14:paraId="463D29E6">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6.</w:t>
      </w:r>
      <w:r>
        <w:rPr>
          <w:rFonts w:hint="eastAsia" w:ascii="宋体" w:hAnsi="宋体"/>
          <w:b/>
          <w:color w:val="auto"/>
          <w:sz w:val="24"/>
        </w:rPr>
        <w:t>货物的验收</w:t>
      </w:r>
    </w:p>
    <w:p w14:paraId="66EC17A5">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6.1 甲方在收到乙方交付的货物后应当及时组织验收。</w:t>
      </w:r>
    </w:p>
    <w:p w14:paraId="771FC2DB">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6.2 货物的表面瑕疵，甲方应在验收时当面提出；对质量问题有异议的应在安装调试后十个工作日内提出。</w:t>
      </w:r>
    </w:p>
    <w:p w14:paraId="0028D922">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6.3 在验收过程中发现数量不足或有质量、技术等问题，乙方应负责按照甲方的要求采取补足、更换或退货等处理措施，并承担由此发生的一切费用和损失。</w:t>
      </w:r>
    </w:p>
    <w:p w14:paraId="55002AE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6.4 甲方在乙方按合同规定交货或安装、调试后，无正当理由而拖延接收、验收或拒绝接收、验收的，应承担因此给乙方造成的直接损失。</w:t>
      </w:r>
    </w:p>
    <w:p w14:paraId="1244F72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6.5 甲方对货物进行检查验收合格后，应当收取发票并在《交货验收单》上签署验收意见及加盖单位印章。</w:t>
      </w:r>
    </w:p>
    <w:p w14:paraId="799B3517">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6.6 大型或者复杂的货物采购项目，甲方可以邀请国家认可的质量检测机构参加验收工作，并由其出具验收报告单。</w:t>
      </w:r>
    </w:p>
    <w:p w14:paraId="57812D62">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6.7 乙方提供的进口产品，乙方应出示中华人民共和国进出口商品检验部门出具的检验证书（招标文件第五章采购需求另有约定的除外）。</w:t>
      </w:r>
    </w:p>
    <w:p w14:paraId="7487436C">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7.货物包装要求</w:t>
      </w:r>
    </w:p>
    <w:p w14:paraId="7496818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4EA6EDDB">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7.2 每一个包装箱内应附一份详细装箱单、质量证书和保修保养证书。</w:t>
      </w:r>
    </w:p>
    <w:p w14:paraId="66FA8A73">
      <w:pPr>
        <w:adjustRightInd w:val="0"/>
        <w:snapToGrid w:val="0"/>
        <w:spacing w:before="50" w:line="360" w:lineRule="auto"/>
        <w:jc w:val="left"/>
        <w:rPr>
          <w:rFonts w:ascii="宋体" w:hAnsi="宋体"/>
          <w:b/>
          <w:color w:val="auto"/>
          <w:sz w:val="24"/>
        </w:rPr>
      </w:pPr>
      <w:r>
        <w:rPr>
          <w:rFonts w:hint="eastAsia" w:ascii="宋体" w:hAnsi="宋体"/>
          <w:b/>
          <w:color w:val="auto"/>
          <w:sz w:val="24"/>
        </w:rPr>
        <w:t>8.运输和保险</w:t>
      </w:r>
    </w:p>
    <w:p w14:paraId="2BAF8E67">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8.1乙方负责办理将货物运抵本合同第5.1条规定的交货地点的一切运输事项，相关费用应包括在合同总价中。</w:t>
      </w:r>
    </w:p>
    <w:p w14:paraId="144A8428">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8.2乙方应向保险公司投保以甲方为受益人的发运合同货物发票金额的110％运输一切险。</w:t>
      </w:r>
    </w:p>
    <w:p w14:paraId="2B88E7EF">
      <w:pPr>
        <w:adjustRightInd w:val="0"/>
        <w:snapToGrid w:val="0"/>
        <w:spacing w:before="50" w:line="360" w:lineRule="auto"/>
        <w:jc w:val="left"/>
        <w:rPr>
          <w:rFonts w:ascii="宋体" w:hAnsi="宋体"/>
          <w:b/>
          <w:color w:val="auto"/>
          <w:sz w:val="24"/>
        </w:rPr>
      </w:pPr>
      <w:r>
        <w:rPr>
          <w:rFonts w:hint="eastAsia" w:ascii="宋体" w:hAnsi="宋体"/>
          <w:b/>
          <w:color w:val="auto"/>
          <w:sz w:val="24"/>
        </w:rPr>
        <w:t>9.质量标准和保证</w:t>
      </w:r>
    </w:p>
    <w:p w14:paraId="304BFB6C">
      <w:pPr>
        <w:pStyle w:val="24"/>
        <w:adjustRightInd w:val="0"/>
        <w:snapToGrid w:val="0"/>
        <w:spacing w:before="50" w:line="360" w:lineRule="auto"/>
        <w:ind w:firstLine="400" w:firstLineChars="200"/>
        <w:jc w:val="left"/>
        <w:rPr>
          <w:rFonts w:hAnsi="宋体"/>
          <w:b/>
          <w:color w:val="auto"/>
        </w:rPr>
      </w:pPr>
      <w:r>
        <w:rPr>
          <w:rFonts w:hint="eastAsia" w:hAnsi="宋体"/>
          <w:color w:val="auto"/>
        </w:rPr>
        <w:t>9.1 质量标准</w:t>
      </w:r>
    </w:p>
    <w:p w14:paraId="506371B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（1）本合同下交付的货物应符合招标文件第四章“技术规格、参数与要求”所述的标准。如果没有提及适用标准，则应符合中华人民共和国有关机构发布的最新版本的标准。</w:t>
      </w:r>
    </w:p>
    <w:p w14:paraId="7DB49CCC">
      <w:pPr>
        <w:pStyle w:val="24"/>
        <w:adjustRightInd w:val="0"/>
        <w:snapToGrid w:val="0"/>
        <w:spacing w:before="50" w:line="360" w:lineRule="auto"/>
        <w:ind w:firstLine="400" w:firstLineChars="200"/>
        <w:jc w:val="left"/>
        <w:rPr>
          <w:rFonts w:hAnsi="宋体"/>
          <w:color w:val="auto"/>
        </w:rPr>
      </w:pPr>
      <w:r>
        <w:rPr>
          <w:rFonts w:hint="eastAsia" w:hAnsi="宋体"/>
          <w:color w:val="auto"/>
        </w:rPr>
        <w:t>（2）采用中华人民共和国法定计量单位。</w:t>
      </w:r>
    </w:p>
    <w:p w14:paraId="153DAEE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（3）乙方所出售的货物还应符合国家有关安全、环保、卫生之规定。</w:t>
      </w:r>
    </w:p>
    <w:p w14:paraId="15866D7F">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9.2 保证</w:t>
      </w:r>
    </w:p>
    <w:p w14:paraId="5957ED8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b/>
          <w:color w:val="auto"/>
          <w:szCs w:val="21"/>
        </w:rPr>
        <w:t>【政府采购合同专用条款】</w:t>
      </w:r>
      <w:r>
        <w:rPr>
          <w:rFonts w:hint="eastAsia" w:ascii="宋体" w:hAnsi="宋体"/>
          <w:color w:val="auto"/>
          <w:szCs w:val="21"/>
        </w:rPr>
        <w:t>规定或乙方承诺（两者以较长的为准）的质量保证期内，本保证保持有效。</w:t>
      </w:r>
    </w:p>
    <w:p w14:paraId="0D11A40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（2）在质量保证期内所发现的缺陷，甲方应尽快以书面形式通知乙方。</w:t>
      </w:r>
    </w:p>
    <w:p w14:paraId="6E7AEFA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（3）乙方收到通知后应在</w:t>
      </w:r>
      <w:r>
        <w:rPr>
          <w:rFonts w:hint="eastAsia" w:ascii="宋体" w:hAnsi="宋体"/>
          <w:b/>
          <w:color w:val="auto"/>
          <w:szCs w:val="21"/>
        </w:rPr>
        <w:t>【政府采购合同专用条款】</w:t>
      </w:r>
      <w:r>
        <w:rPr>
          <w:rFonts w:hint="eastAsia" w:ascii="宋体" w:hAnsi="宋体"/>
          <w:color w:val="auto"/>
          <w:szCs w:val="21"/>
        </w:rPr>
        <w:t>规定的响应时间内以合理的速度免费维修或更换有缺陷的货物或部件。</w:t>
      </w:r>
    </w:p>
    <w:p w14:paraId="202C01C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14:paraId="60F1FF31">
      <w:pPr>
        <w:adjustRightInd w:val="0"/>
        <w:snapToGrid w:val="0"/>
        <w:spacing w:before="50" w:line="360" w:lineRule="auto"/>
        <w:ind w:firstLine="420" w:firstLineChars="200"/>
        <w:jc w:val="left"/>
        <w:rPr>
          <w:rFonts w:ascii="宋体" w:hAnsi="宋体"/>
          <w:b/>
          <w:color w:val="auto"/>
          <w:szCs w:val="21"/>
        </w:rPr>
      </w:pPr>
      <w:r>
        <w:rPr>
          <w:rFonts w:hint="eastAsia" w:ascii="宋体" w:hAnsi="宋体"/>
          <w:color w:val="auto"/>
          <w:szCs w:val="21"/>
        </w:rPr>
        <w:t>（5）乙方在约定的时间内未能弥补缺陷，甲方可采取必要的补救措施，但其风险和费用将由乙方承担，甲方根据合同规定对乙方行使的其他权利不受影响。</w:t>
      </w:r>
    </w:p>
    <w:p w14:paraId="44BCA673">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10.权利瑕疵担保</w:t>
      </w:r>
    </w:p>
    <w:p w14:paraId="4960DF93">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10.1 乙方保证对其出售的货物享有合法的权利。</w:t>
      </w:r>
    </w:p>
    <w:p w14:paraId="2B531E9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10.2 乙方保证在其出售的货物上不存在任何未曾向甲方透露的担保物权，如抵押权、质押权、留置权等。</w:t>
      </w:r>
    </w:p>
    <w:p w14:paraId="40B180F7">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10.3 如甲方使用该货物构成上述侵权的，则由乙方承担全部责任。</w:t>
      </w:r>
    </w:p>
    <w:p w14:paraId="6A763A75">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11.知识产权保护</w:t>
      </w:r>
    </w:p>
    <w:p w14:paraId="6CB1466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11.1 乙方对其所销售的货物应当享有知识产权或经权利人合法授权，保证没有侵犯任何第三人的知识产权和商业秘密等权利。</w:t>
      </w:r>
    </w:p>
    <w:p w14:paraId="451068B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11.2 甲方使用乙方提供的货物对第三人构成侵权的，应当由乙方承担全部法律责任，给甲方造成损害的，乙方应当承担赔偿责任。</w:t>
      </w:r>
    </w:p>
    <w:p w14:paraId="00BD5A0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11.3 甲方委托乙方开发的产品，甲方享有知识产权，未经甲方许可不得转让任何第三人。</w:t>
      </w:r>
    </w:p>
    <w:p w14:paraId="312A63B5">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12.保密义务</w:t>
      </w:r>
    </w:p>
    <w:p w14:paraId="75194DB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12.1 甲、乙双方在采购和履行合同过程中所获悉的对方属于保密的内容，双方均有保密义务。</w:t>
      </w:r>
    </w:p>
    <w:p w14:paraId="4D01803C">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13.合同价款支付</w:t>
      </w:r>
    </w:p>
    <w:p w14:paraId="6E2FC7C8">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13.1验收合格后，乙方出具正规发票给甲方，凭甲方开具的《政府采购合同验收报告单》办理合同价</w:t>
      </w:r>
      <w:r>
        <w:rPr>
          <w:rFonts w:hint="eastAsia" w:ascii="宋体" w:hAnsi="宋体"/>
          <w:bCs/>
          <w:color w:val="auto"/>
          <w:szCs w:val="21"/>
        </w:rPr>
        <w:t>款</w:t>
      </w:r>
      <w:r>
        <w:rPr>
          <w:rFonts w:hint="eastAsia" w:ascii="宋体" w:hAnsi="宋体"/>
          <w:color w:val="auto"/>
          <w:szCs w:val="21"/>
        </w:rPr>
        <w:t>结算手续。</w:t>
      </w:r>
    </w:p>
    <w:p w14:paraId="7C30A279">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13.2 合同价款构成中应当由财政支付的部分，甲方应当在货物验收合格后的十五个工作日内向国库管理部门申请支付，经国库管理部门审核后直接支付给乙方。</w:t>
      </w:r>
    </w:p>
    <w:p w14:paraId="2E1A642D">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13.3 合同价款构成中应当由甲方自行支付的部分，甲方应当在货物验收合格后十五个工作日内支付。</w:t>
      </w:r>
    </w:p>
    <w:p w14:paraId="57179C26">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13.4支付合同价</w:t>
      </w:r>
      <w:r>
        <w:rPr>
          <w:rFonts w:hint="eastAsia" w:ascii="宋体" w:hAnsi="宋体"/>
          <w:bCs/>
          <w:color w:val="auto"/>
          <w:szCs w:val="21"/>
        </w:rPr>
        <w:t>款</w:t>
      </w:r>
      <w:r>
        <w:rPr>
          <w:rFonts w:hint="eastAsia" w:ascii="宋体" w:hAnsi="宋体"/>
          <w:color w:val="auto"/>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66F10407">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13.5 合同价款支付方式</w:t>
      </w:r>
      <w:r>
        <w:rPr>
          <w:rFonts w:hint="eastAsia" w:ascii="宋体" w:hAnsi="宋体"/>
          <w:bCs/>
          <w:color w:val="auto"/>
          <w:szCs w:val="21"/>
        </w:rPr>
        <w:t>和条件在</w:t>
      </w:r>
      <w:r>
        <w:rPr>
          <w:rFonts w:hint="eastAsia" w:ascii="宋体" w:hAnsi="宋体"/>
          <w:b/>
          <w:color w:val="auto"/>
          <w:szCs w:val="21"/>
        </w:rPr>
        <w:t>【政府采购合同专用条款】</w:t>
      </w:r>
      <w:r>
        <w:rPr>
          <w:rFonts w:hint="eastAsia" w:ascii="宋体" w:hAnsi="宋体"/>
          <w:color w:val="auto"/>
          <w:szCs w:val="21"/>
        </w:rPr>
        <w:t>中另有规定。</w:t>
      </w:r>
    </w:p>
    <w:p w14:paraId="35A7B6EA">
      <w:pPr>
        <w:autoSpaceDE w:val="0"/>
        <w:autoSpaceDN w:val="0"/>
        <w:adjustRightInd w:val="0"/>
        <w:snapToGrid w:val="0"/>
        <w:spacing w:before="50" w:line="360" w:lineRule="auto"/>
        <w:jc w:val="left"/>
        <w:rPr>
          <w:rFonts w:ascii="宋体" w:hAnsi="宋体"/>
          <w:b/>
          <w:color w:val="auto"/>
          <w:sz w:val="24"/>
        </w:rPr>
      </w:pPr>
      <w:r>
        <w:rPr>
          <w:rFonts w:hint="eastAsia" w:ascii="宋体" w:hAnsi="宋体"/>
          <w:b/>
          <w:bCs/>
          <w:color w:val="auto"/>
          <w:sz w:val="24"/>
        </w:rPr>
        <w:t>14.</w:t>
      </w:r>
      <w:r>
        <w:rPr>
          <w:rFonts w:hint="eastAsia"/>
          <w:b/>
          <w:color w:val="auto"/>
          <w:sz w:val="24"/>
        </w:rPr>
        <w:t>乙方应提供的</w:t>
      </w:r>
      <w:r>
        <w:rPr>
          <w:rFonts w:hint="eastAsia" w:ascii="宋体" w:hAnsi="宋体"/>
          <w:b/>
          <w:color w:val="auto"/>
          <w:sz w:val="24"/>
        </w:rPr>
        <w:t>服务</w:t>
      </w:r>
    </w:p>
    <w:p w14:paraId="3D577276">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14.1 乙方应向甲方提交所提供货物的技术文件，包括相应的中文技术文件，如：产品目录、图纸、操作手册、使用说明、维护手册或服务指南。这些文件应包装好随同货物一起发运。</w:t>
      </w:r>
    </w:p>
    <w:p w14:paraId="6747D89E">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14.2 乙方还应提供下列服务：</w:t>
      </w:r>
    </w:p>
    <w:p w14:paraId="687CCE3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（1）货物的现场移动、安装、调试、启动监督及技术支持；</w:t>
      </w:r>
    </w:p>
    <w:p w14:paraId="1D7159BB">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（2）提供货物组装和维修所需的专用工具和辅助材料；</w:t>
      </w:r>
    </w:p>
    <w:p w14:paraId="3B26CFD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（3）在合同各方商定的一定期限内对所有的货物实施运行监督、维修，但前提条件是该服务并不能免除乙方在质量保证期内所承担的义务；</w:t>
      </w:r>
    </w:p>
    <w:p w14:paraId="4AF05515">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（4）在制造商或项目现场就货物的安装、启动、运营、维护对甲方操作人员进行培训；</w:t>
      </w:r>
    </w:p>
    <w:p w14:paraId="617EE23B">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w:t>
      </w:r>
      <w:r>
        <w:rPr>
          <w:rFonts w:hint="eastAsia" w:ascii="宋体" w:hAnsi="宋体"/>
          <w:b/>
          <w:color w:val="auto"/>
          <w:szCs w:val="21"/>
        </w:rPr>
        <w:t>【政府采购合同专用条款】</w:t>
      </w:r>
      <w:r>
        <w:rPr>
          <w:rFonts w:hint="eastAsia" w:ascii="宋体" w:hAnsi="宋体"/>
          <w:color w:val="auto"/>
          <w:szCs w:val="21"/>
        </w:rPr>
        <w:t>规定由乙方提供的其他服务。</w:t>
      </w:r>
    </w:p>
    <w:p w14:paraId="06203C8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14.3 乙方提供的服务的费用应包含在合同价款中，甲方不再另行支付。</w:t>
      </w:r>
    </w:p>
    <w:p w14:paraId="06ACBED8">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15.违约责任</w:t>
      </w:r>
    </w:p>
    <w:p w14:paraId="6B48EDD2">
      <w:pPr>
        <w:adjustRightInd w:val="0"/>
        <w:snapToGrid w:val="0"/>
        <w:spacing w:before="50" w:line="360" w:lineRule="auto"/>
        <w:ind w:firstLine="420" w:firstLineChars="200"/>
        <w:jc w:val="left"/>
        <w:rPr>
          <w:rFonts w:ascii="宋体" w:hAnsi="宋体"/>
          <w:bCs/>
          <w:color w:val="auto"/>
          <w:szCs w:val="21"/>
        </w:rPr>
      </w:pPr>
      <w:r>
        <w:rPr>
          <w:rFonts w:hint="eastAsia" w:ascii="宋体" w:hAnsi="宋体"/>
          <w:bCs/>
          <w:color w:val="auto"/>
          <w:szCs w:val="21"/>
        </w:rPr>
        <w:t>15.1质量瑕疵的补救措施和索赔</w:t>
      </w:r>
    </w:p>
    <w:p w14:paraId="32CB2BE3">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29BF80A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①乙方同意退货并将货款退还给甲方，由此发生的一切费用和损失由乙方承担。</w:t>
      </w:r>
    </w:p>
    <w:p w14:paraId="312AC412">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②根据货物的质量状况以及甲方所遭受的损失，经过甲乙双方商定降低货物的价格。</w:t>
      </w:r>
    </w:p>
    <w:p w14:paraId="37DCCD22">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17D57293">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396C2799">
      <w:pPr>
        <w:autoSpaceDE w:val="0"/>
        <w:autoSpaceDN w:val="0"/>
        <w:adjustRightInd w:val="0"/>
        <w:snapToGrid w:val="0"/>
        <w:spacing w:before="50" w:line="360" w:lineRule="auto"/>
        <w:ind w:firstLine="420" w:firstLineChars="200"/>
        <w:jc w:val="left"/>
        <w:rPr>
          <w:rFonts w:ascii="宋体" w:hAnsi="宋体"/>
          <w:bCs/>
          <w:color w:val="auto"/>
          <w:szCs w:val="21"/>
        </w:rPr>
      </w:pPr>
      <w:r>
        <w:rPr>
          <w:rFonts w:hint="eastAsia" w:ascii="宋体" w:hAnsi="宋体"/>
          <w:bCs/>
          <w:color w:val="auto"/>
          <w:szCs w:val="21"/>
        </w:rPr>
        <w:t>15.2 迟延交货的违约责任</w:t>
      </w:r>
    </w:p>
    <w:p w14:paraId="69AF79D8">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7A09505E">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（2）除本合同</w:t>
      </w:r>
      <w:r>
        <w:rPr>
          <w:rFonts w:hint="eastAsia" w:ascii="宋体" w:hAnsi="宋体"/>
          <w:bCs/>
          <w:color w:val="auto"/>
          <w:szCs w:val="21"/>
        </w:rPr>
        <w:t>第20条</w:t>
      </w:r>
      <w:r>
        <w:rPr>
          <w:rFonts w:hint="eastAsia" w:ascii="宋体" w:hAnsi="宋体"/>
          <w:color w:val="auto"/>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5325E21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0FCDC6AB">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16.合同的变更</w:t>
      </w:r>
    </w:p>
    <w:p w14:paraId="5091963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16.1 在合同履行过程中，甲、乙双方可就合同履行的时间、地点和方式等协商进行变更。协商一致后，双方应签订书面的补充协议。</w:t>
      </w:r>
    </w:p>
    <w:p w14:paraId="3855D701">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16.2 在不改变合同其他条款的前提下，甲方有权在合同价款百分之十的范围内追加与合同标的相同的货物或服务，并就此与乙方签订补充合同，乙方不得拒绝。</w:t>
      </w:r>
    </w:p>
    <w:p w14:paraId="7D2BA7D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16.3 除双方签署书面协议，并成为合同不可分割的一部分外，本合同条件不得有任何变更。</w:t>
      </w:r>
    </w:p>
    <w:p w14:paraId="2D0A5C33">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17.合同中止与终止</w:t>
      </w:r>
    </w:p>
    <w:p w14:paraId="5A641BCC">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17.1合同的中止</w:t>
      </w:r>
    </w:p>
    <w:p w14:paraId="7FADD2F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（1）合同在履行过程中，因采购计划调整，甲方可以要求中止履行，待计划确定后继续履行；</w:t>
      </w:r>
    </w:p>
    <w:p w14:paraId="67F4DB1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（2）合同履行过程中因供应商就采购过程或结果提起投诉的，甲方认为有必要或财政部门责令中止的，应当中止合同的履行。</w:t>
      </w:r>
    </w:p>
    <w:p w14:paraId="3BF0BF31">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17.2合同的终止</w:t>
      </w:r>
    </w:p>
    <w:p w14:paraId="2A1A385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（1）合同因有效期限届满而终止；</w:t>
      </w:r>
    </w:p>
    <w:p w14:paraId="5931C77E">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（2）乙方未能依照本合同约定条件履行合同，已构成根本性违约的，甲方有权终止本合同，并追究乙方的违约责任。</w:t>
      </w:r>
    </w:p>
    <w:p w14:paraId="4737F760">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（3）如果乙方丧失履约能力或被宣告破产，甲方可在任何时候以书面形式通知乙方终止合同而不给乙方补偿。</w:t>
      </w:r>
    </w:p>
    <w:p w14:paraId="01F6459D">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（4）如果乙方在履行合同过程中有不正当竞争行为，甲方有权解除合同，并按《中华人民共和国反不正当竞争法》规定由有关部门追究其法律责任。</w:t>
      </w:r>
    </w:p>
    <w:p w14:paraId="08A8926C">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（5）如果合同的履行将损害国家利益或社会公共利益，甲方有权终止合同的履行，给乙方造成损失的予以相应补偿。</w:t>
      </w:r>
    </w:p>
    <w:p w14:paraId="1BC13F9E">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18.合同转让和分包</w:t>
      </w:r>
    </w:p>
    <w:p w14:paraId="13B57F8A">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18.1 乙方不得以任何形式将合同转包。</w:t>
      </w:r>
    </w:p>
    <w:p w14:paraId="417FB439">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18.2 乙方未在投标文件中说明，不得将</w:t>
      </w:r>
      <w:r>
        <w:rPr>
          <w:rFonts w:hint="eastAsia" w:ascii="宋体" w:hAnsi="宋体"/>
          <w:bCs/>
          <w:color w:val="auto"/>
          <w:szCs w:val="21"/>
        </w:rPr>
        <w:t>合同</w:t>
      </w:r>
      <w:r>
        <w:rPr>
          <w:rFonts w:hint="eastAsia" w:ascii="宋体" w:hAnsi="宋体"/>
          <w:color w:val="auto"/>
          <w:szCs w:val="21"/>
        </w:rPr>
        <w:t>的非主体、非关键性工作分包给他人。</w:t>
      </w:r>
    </w:p>
    <w:p w14:paraId="3F5A5149">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19.不可抗力</w:t>
      </w:r>
    </w:p>
    <w:p w14:paraId="179CD7C7">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19.1 不可抗力是指合同双方不可预见、不可避免、不可克服的自然灾害和社会事件。</w:t>
      </w:r>
    </w:p>
    <w:p w14:paraId="26AF68EF">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19.2 任何一方对由于不可抗力造成的部分或全部不能履行合同不承担违约责任。但迟延履行后发生不可抗力的，不能免除责任。</w:t>
      </w:r>
    </w:p>
    <w:p w14:paraId="352067F1">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19.3 遇有不可抗力的一方，应在三日内将事件的情况以书面形式通知另一方，并在事件发生后十日内，向另一方提交合同不能履行或部分不能履行或需要延期履行理由的报告。</w:t>
      </w:r>
    </w:p>
    <w:p w14:paraId="67B5C294">
      <w:pPr>
        <w:autoSpaceDE w:val="0"/>
        <w:autoSpaceDN w:val="0"/>
        <w:adjustRightInd w:val="0"/>
        <w:snapToGrid w:val="0"/>
        <w:spacing w:before="50" w:line="360" w:lineRule="auto"/>
        <w:jc w:val="left"/>
        <w:rPr>
          <w:rFonts w:ascii="宋体" w:hAnsi="宋体"/>
          <w:b/>
          <w:bCs/>
          <w:color w:val="auto"/>
          <w:sz w:val="24"/>
        </w:rPr>
      </w:pPr>
      <w:r>
        <w:rPr>
          <w:rFonts w:hint="eastAsia" w:ascii="宋体" w:hAnsi="宋体"/>
          <w:b/>
          <w:bCs/>
          <w:color w:val="auto"/>
          <w:sz w:val="24"/>
        </w:rPr>
        <w:t>20.解决争议的方法</w:t>
      </w:r>
    </w:p>
    <w:p w14:paraId="208B1211">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20.1 合同各方应通过友好协商，解决在执行合同过程中所发生的或与合同有关的一切争端。如从协商开始后十日内仍不能解决，可以向财政部门提请调解。</w:t>
      </w:r>
    </w:p>
    <w:p w14:paraId="2A8641A4">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20.2 调解不成可以向甲方所在地人民法院提起诉讼。</w:t>
      </w:r>
    </w:p>
    <w:p w14:paraId="6D9FC786">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20.3 如仲裁或诉讼事项不影响合同其它部分的履行，则在仲裁或诉讼期间，除正在进行仲裁或诉讼的部分外，合同的其它部分应继续执行。</w:t>
      </w:r>
    </w:p>
    <w:p w14:paraId="7AE8A407">
      <w:pPr>
        <w:autoSpaceDE w:val="0"/>
        <w:autoSpaceDN w:val="0"/>
        <w:adjustRightInd w:val="0"/>
        <w:snapToGrid w:val="0"/>
        <w:spacing w:before="50" w:line="360" w:lineRule="auto"/>
        <w:jc w:val="left"/>
        <w:rPr>
          <w:rFonts w:ascii="宋体" w:hAnsi="宋体"/>
          <w:b/>
          <w:color w:val="auto"/>
          <w:sz w:val="24"/>
        </w:rPr>
      </w:pPr>
      <w:r>
        <w:rPr>
          <w:rFonts w:hint="eastAsia" w:ascii="宋体" w:hAnsi="宋体"/>
          <w:b/>
          <w:color w:val="auto"/>
          <w:sz w:val="24"/>
        </w:rPr>
        <w:t>21.法律适用</w:t>
      </w:r>
    </w:p>
    <w:p w14:paraId="243196FE">
      <w:pPr>
        <w:autoSpaceDE w:val="0"/>
        <w:autoSpaceDN w:val="0"/>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21.1 本合同适用中华人民共和国现行法律、行政法规和规章，如合同条款与法律、行政法规和规章不一致的，按照法律、行政法规和规章修改本合同。</w:t>
      </w:r>
    </w:p>
    <w:p w14:paraId="512D45C6">
      <w:pPr>
        <w:autoSpaceDE w:val="0"/>
        <w:autoSpaceDN w:val="0"/>
        <w:adjustRightInd w:val="0"/>
        <w:snapToGrid w:val="0"/>
        <w:spacing w:before="50" w:line="360" w:lineRule="auto"/>
        <w:jc w:val="left"/>
        <w:rPr>
          <w:rFonts w:ascii="宋体" w:hAnsi="宋体"/>
          <w:b/>
          <w:color w:val="auto"/>
          <w:sz w:val="24"/>
        </w:rPr>
      </w:pPr>
      <w:r>
        <w:rPr>
          <w:rFonts w:hint="eastAsia" w:ascii="宋体" w:hAnsi="宋体"/>
          <w:b/>
          <w:bCs/>
          <w:color w:val="auto"/>
          <w:sz w:val="24"/>
        </w:rPr>
        <w:t>22.</w:t>
      </w:r>
      <w:r>
        <w:rPr>
          <w:rFonts w:hint="eastAsia" w:ascii="宋体" w:hAnsi="宋体"/>
          <w:b/>
          <w:color w:val="auto"/>
          <w:sz w:val="24"/>
        </w:rPr>
        <w:t>通知</w:t>
      </w:r>
    </w:p>
    <w:p w14:paraId="27EEB288">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22.1本合同一方给另一方的通知均应采用书面形式，传真或快递送到本合同中规定的对方的地址和办理签收手续，</w:t>
      </w:r>
    </w:p>
    <w:p w14:paraId="4B12F75B">
      <w:pPr>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22.2通知以送到之日或通知书中规定的生效之日起生效，两者中以较迟之日为准。</w:t>
      </w:r>
    </w:p>
    <w:p w14:paraId="159EB56B">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23. 合同未尽事项</w:t>
      </w:r>
    </w:p>
    <w:p w14:paraId="1EB75BA7">
      <w:pPr>
        <w:adjustRightInd w:val="0"/>
        <w:snapToGrid w:val="0"/>
        <w:spacing w:before="50" w:line="360" w:lineRule="auto"/>
        <w:ind w:firstLine="420" w:firstLineChars="200"/>
        <w:jc w:val="left"/>
        <w:rPr>
          <w:rFonts w:ascii="宋体" w:hAnsi="宋体"/>
          <w:bCs/>
          <w:color w:val="auto"/>
          <w:szCs w:val="21"/>
        </w:rPr>
      </w:pPr>
      <w:r>
        <w:rPr>
          <w:rFonts w:hint="eastAsia" w:ascii="宋体" w:hAnsi="宋体"/>
          <w:bCs/>
          <w:color w:val="auto"/>
          <w:szCs w:val="21"/>
        </w:rPr>
        <w:t>23.1合同未尽事项见</w:t>
      </w:r>
      <w:r>
        <w:rPr>
          <w:rFonts w:hint="eastAsia" w:ascii="宋体" w:hAnsi="宋体"/>
          <w:b/>
          <w:color w:val="auto"/>
          <w:szCs w:val="21"/>
        </w:rPr>
        <w:t>【政府采购合同专用条款】。</w:t>
      </w:r>
    </w:p>
    <w:p w14:paraId="4E177B7D">
      <w:pPr>
        <w:adjustRightInd w:val="0"/>
        <w:snapToGrid w:val="0"/>
        <w:spacing w:before="50" w:line="360" w:lineRule="auto"/>
        <w:jc w:val="left"/>
        <w:rPr>
          <w:rFonts w:ascii="宋体" w:hAnsi="宋体"/>
          <w:b/>
          <w:bCs/>
          <w:color w:val="auto"/>
          <w:sz w:val="24"/>
        </w:rPr>
      </w:pPr>
      <w:r>
        <w:rPr>
          <w:rFonts w:hint="eastAsia" w:ascii="宋体" w:hAnsi="宋体"/>
          <w:b/>
          <w:bCs/>
          <w:color w:val="auto"/>
          <w:sz w:val="24"/>
        </w:rPr>
        <w:t>24.合同生效</w:t>
      </w:r>
    </w:p>
    <w:p w14:paraId="5B4B41D0">
      <w:pPr>
        <w:tabs>
          <w:tab w:val="left" w:pos="8820"/>
          <w:tab w:val="left" w:pos="9345"/>
          <w:tab w:val="left" w:pos="9765"/>
        </w:tabs>
        <w:adjustRightInd w:val="0"/>
        <w:snapToGrid w:val="0"/>
        <w:spacing w:before="50" w:line="360" w:lineRule="auto"/>
        <w:ind w:firstLine="420" w:firstLineChars="200"/>
        <w:jc w:val="left"/>
        <w:rPr>
          <w:rFonts w:ascii="宋体" w:hAnsi="宋体"/>
          <w:color w:val="auto"/>
          <w:szCs w:val="21"/>
        </w:rPr>
      </w:pPr>
      <w:r>
        <w:rPr>
          <w:rFonts w:hint="eastAsia" w:ascii="宋体" w:hAnsi="宋体"/>
          <w:color w:val="auto"/>
          <w:szCs w:val="21"/>
        </w:rPr>
        <w:t>24.1 本合同在合同双方签字盖章后生效。</w:t>
      </w:r>
    </w:p>
    <w:p w14:paraId="3DC538B5">
      <w:pPr>
        <w:tabs>
          <w:tab w:val="left" w:pos="8820"/>
          <w:tab w:val="left" w:pos="9345"/>
          <w:tab w:val="left" w:pos="9765"/>
        </w:tabs>
        <w:adjustRightInd w:val="0"/>
        <w:snapToGrid w:val="0"/>
        <w:spacing w:before="50" w:line="360" w:lineRule="auto"/>
        <w:jc w:val="left"/>
        <w:rPr>
          <w:rFonts w:ascii="宋体" w:hAnsi="宋体"/>
          <w:color w:val="auto"/>
          <w:szCs w:val="21"/>
        </w:rPr>
      </w:pPr>
    </w:p>
    <w:p w14:paraId="666740EB">
      <w:pPr>
        <w:autoSpaceDE w:val="0"/>
        <w:autoSpaceDN w:val="0"/>
        <w:adjustRightInd w:val="0"/>
        <w:snapToGrid w:val="0"/>
        <w:jc w:val="center"/>
        <w:rPr>
          <w:rFonts w:ascii="黑体" w:hAnsi="黑体" w:eastAsia="黑体"/>
          <w:b/>
          <w:bCs/>
          <w:color w:val="auto"/>
          <w:szCs w:val="21"/>
        </w:rPr>
      </w:pPr>
      <w:r>
        <w:rPr>
          <w:rFonts w:ascii="黑体" w:hAnsi="黑体" w:eastAsia="黑体"/>
          <w:b/>
          <w:bCs/>
          <w:color w:val="auto"/>
          <w:sz w:val="32"/>
        </w:rPr>
        <w:br w:type="page"/>
      </w:r>
      <w:bookmarkStart w:id="1252" w:name="_Toc15888525"/>
    </w:p>
    <w:p w14:paraId="07212B68">
      <w:pPr>
        <w:pStyle w:val="4"/>
        <w:jc w:val="center"/>
        <w:rPr>
          <w:rFonts w:ascii="黑体" w:hAnsi="华文中宋" w:eastAsia="黑体"/>
          <w:color w:val="auto"/>
          <w:sz w:val="28"/>
          <w:szCs w:val="28"/>
        </w:rPr>
      </w:pPr>
      <w:bookmarkStart w:id="1253" w:name="_Toc192951257"/>
      <w:bookmarkStart w:id="1254" w:name="_Toc100670718"/>
      <w:bookmarkStart w:id="1255" w:name="_Toc114036759"/>
      <w:bookmarkStart w:id="1256" w:name="_Toc12627"/>
      <w:bookmarkStart w:id="1257" w:name="_Toc171273716"/>
      <w:bookmarkStart w:id="1258" w:name="_Toc6027"/>
      <w:bookmarkStart w:id="1259" w:name="_Toc85972975"/>
      <w:bookmarkStart w:id="1260" w:name="_Toc108341985"/>
      <w:bookmarkStart w:id="1261" w:name="_Toc117192495"/>
      <w:bookmarkStart w:id="1262" w:name="_Toc6614"/>
      <w:bookmarkStart w:id="1263" w:name="_Toc15948"/>
      <w:bookmarkStart w:id="1264" w:name="_Toc95601410"/>
      <w:bookmarkStart w:id="1265" w:name="_Toc192949647"/>
      <w:bookmarkStart w:id="1266" w:name="_Toc154428434"/>
      <w:bookmarkStart w:id="1267" w:name="_Toc192949746"/>
      <w:bookmarkStart w:id="1268" w:name="_Toc100670470"/>
      <w:bookmarkStart w:id="1269" w:name="_Toc9414"/>
      <w:bookmarkStart w:id="1270" w:name="_Toc77676513"/>
      <w:bookmarkStart w:id="1271" w:name="_Toc25357"/>
      <w:bookmarkStart w:id="1272" w:name="_Toc24010"/>
      <w:bookmarkStart w:id="1273" w:name="_Toc94367925"/>
      <w:bookmarkStart w:id="1274" w:name="_Toc112704988"/>
      <w:bookmarkStart w:id="1275" w:name="_Toc77199449"/>
      <w:bookmarkStart w:id="1276" w:name="_Toc78314309"/>
      <w:bookmarkStart w:id="1277" w:name="_Toc75289277"/>
      <w:bookmarkStart w:id="1278" w:name="_Toc9512"/>
      <w:bookmarkStart w:id="1279" w:name="_Toc78450002"/>
      <w:bookmarkStart w:id="1280" w:name="_Toc75289595"/>
      <w:bookmarkStart w:id="1281" w:name="_Toc23411"/>
      <w:r>
        <w:rPr>
          <w:rFonts w:hint="eastAsia" w:ascii="黑体" w:hAnsi="华文中宋" w:eastAsia="黑体"/>
          <w:color w:val="auto"/>
          <w:sz w:val="28"/>
          <w:szCs w:val="28"/>
        </w:rPr>
        <w:t>第三节 政府采购合同专用条款</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14:paraId="1006159A">
      <w:pPr>
        <w:adjustRightInd w:val="0"/>
        <w:snapToGrid w:val="0"/>
        <w:jc w:val="center"/>
        <w:rPr>
          <w:rFonts w:ascii="宋体" w:hAnsi="宋体"/>
          <w:color w:val="auto"/>
          <w:sz w:val="24"/>
        </w:rPr>
      </w:pPr>
    </w:p>
    <w:tbl>
      <w:tblPr>
        <w:tblStyle w:val="47"/>
        <w:tblW w:w="871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171"/>
      </w:tblGrid>
      <w:tr w14:paraId="669699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22" w:hRule="atLeast"/>
          <w:jc w:val="center"/>
        </w:trPr>
        <w:tc>
          <w:tcPr>
            <w:tcW w:w="1701" w:type="dxa"/>
            <w:vAlign w:val="center"/>
          </w:tcPr>
          <w:p w14:paraId="18487AE7">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186FC277">
            <w:pPr>
              <w:adjustRightInd w:val="0"/>
              <w:snapToGrid w:val="0"/>
              <w:spacing w:line="360" w:lineRule="exact"/>
              <w:jc w:val="center"/>
              <w:rPr>
                <w:rFonts w:ascii="宋体" w:hAnsi="宋体"/>
                <w:color w:val="auto"/>
                <w:szCs w:val="21"/>
              </w:rPr>
            </w:pPr>
            <w:r>
              <w:rPr>
                <w:rFonts w:hint="eastAsia" w:ascii="宋体" w:hAnsi="宋体"/>
                <w:color w:val="auto"/>
                <w:szCs w:val="21"/>
              </w:rPr>
              <w:t>第1.1款</w:t>
            </w:r>
          </w:p>
        </w:tc>
        <w:tc>
          <w:tcPr>
            <w:tcW w:w="1843" w:type="dxa"/>
            <w:vAlign w:val="center"/>
          </w:tcPr>
          <w:p w14:paraId="7486F499">
            <w:pPr>
              <w:adjustRightInd w:val="0"/>
              <w:snapToGrid w:val="0"/>
              <w:spacing w:line="360" w:lineRule="exact"/>
              <w:jc w:val="center"/>
              <w:rPr>
                <w:rFonts w:ascii="宋体" w:hAnsi="宋体"/>
                <w:color w:val="auto"/>
                <w:szCs w:val="21"/>
              </w:rPr>
            </w:pPr>
            <w:r>
              <w:rPr>
                <w:rFonts w:hint="eastAsia" w:ascii="宋体" w:hAnsi="宋体"/>
                <w:color w:val="auto"/>
                <w:szCs w:val="21"/>
              </w:rPr>
              <w:t>甲方名称、地址</w:t>
            </w:r>
          </w:p>
        </w:tc>
        <w:tc>
          <w:tcPr>
            <w:tcW w:w="5171" w:type="dxa"/>
            <w:vAlign w:val="center"/>
          </w:tcPr>
          <w:p w14:paraId="2506A7DF">
            <w:pPr>
              <w:adjustRightInd w:val="0"/>
              <w:snapToGrid w:val="0"/>
              <w:spacing w:line="360" w:lineRule="exact"/>
              <w:jc w:val="both"/>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名称：</w:t>
            </w:r>
            <w:r>
              <w:rPr>
                <w:rFonts w:hint="eastAsia" w:ascii="宋体" w:hAnsi="宋体" w:cs="Times New Roman"/>
                <w:color w:val="auto"/>
                <w:szCs w:val="21"/>
                <w:lang w:val="en-US" w:eastAsia="zh-CN"/>
              </w:rPr>
              <w:t>新化县田坪镇中心学校</w:t>
            </w:r>
          </w:p>
          <w:p w14:paraId="19F4075F">
            <w:pPr>
              <w:adjustRightInd w:val="0"/>
              <w:snapToGrid w:val="0"/>
              <w:spacing w:line="360" w:lineRule="exact"/>
              <w:jc w:val="both"/>
              <w:rPr>
                <w:rFonts w:hint="eastAsia" w:ascii="宋体" w:hAnsi="宋体" w:eastAsia="宋体" w:cs="Times New Roman"/>
                <w:color w:val="auto"/>
                <w:szCs w:val="21"/>
                <w:lang w:eastAsia="zh-CN"/>
              </w:rPr>
            </w:pPr>
            <w:r>
              <w:rPr>
                <w:rFonts w:hint="eastAsia" w:ascii="宋体" w:hAnsi="宋体" w:eastAsia="宋体" w:cs="Times New Roman"/>
                <w:color w:val="auto"/>
                <w:szCs w:val="21"/>
                <w:lang w:val="en-US" w:eastAsia="zh-CN"/>
              </w:rPr>
              <w:t>地址：</w:t>
            </w:r>
            <w:r>
              <w:rPr>
                <w:rFonts w:hint="eastAsia" w:ascii="宋体" w:hAnsi="宋体"/>
                <w:color w:val="auto"/>
                <w:szCs w:val="21"/>
                <w:lang w:val="en-US" w:eastAsia="zh-CN"/>
              </w:rPr>
              <w:t>新化县田坪镇田坪村</w:t>
            </w:r>
            <w:r>
              <w:rPr>
                <w:rFonts w:hint="eastAsia" w:ascii="宋体" w:hAnsi="宋体" w:eastAsia="宋体" w:cs="Times New Roman"/>
                <w:color w:val="auto"/>
                <w:szCs w:val="21"/>
                <w:lang w:val="en-US" w:eastAsia="zh-CN"/>
              </w:rPr>
              <w:t xml:space="preserve"> </w:t>
            </w:r>
          </w:p>
        </w:tc>
      </w:tr>
      <w:tr w14:paraId="2AB6B6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22" w:hRule="atLeast"/>
          <w:jc w:val="center"/>
        </w:trPr>
        <w:tc>
          <w:tcPr>
            <w:tcW w:w="1701" w:type="dxa"/>
            <w:vAlign w:val="center"/>
          </w:tcPr>
          <w:p w14:paraId="65D5F13B">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36757E0A">
            <w:pPr>
              <w:adjustRightInd w:val="0"/>
              <w:snapToGrid w:val="0"/>
              <w:spacing w:line="360" w:lineRule="exact"/>
              <w:jc w:val="center"/>
              <w:rPr>
                <w:rFonts w:ascii="宋体" w:hAnsi="宋体"/>
                <w:color w:val="auto"/>
                <w:szCs w:val="21"/>
              </w:rPr>
            </w:pPr>
            <w:r>
              <w:rPr>
                <w:rFonts w:hint="eastAsia" w:ascii="宋体" w:hAnsi="宋体"/>
                <w:color w:val="auto"/>
                <w:szCs w:val="21"/>
              </w:rPr>
              <w:t>第1.2（6）项</w:t>
            </w:r>
          </w:p>
        </w:tc>
        <w:tc>
          <w:tcPr>
            <w:tcW w:w="1843" w:type="dxa"/>
            <w:vAlign w:val="center"/>
          </w:tcPr>
          <w:p w14:paraId="37EDC7B0">
            <w:pPr>
              <w:adjustRightInd w:val="0"/>
              <w:snapToGrid w:val="0"/>
              <w:spacing w:line="360" w:lineRule="exact"/>
              <w:jc w:val="center"/>
              <w:rPr>
                <w:rFonts w:ascii="宋体" w:hAnsi="宋体"/>
                <w:color w:val="auto"/>
                <w:szCs w:val="21"/>
              </w:rPr>
            </w:pPr>
            <w:r>
              <w:rPr>
                <w:rFonts w:hint="eastAsia" w:ascii="宋体" w:hAnsi="宋体"/>
                <w:color w:val="auto"/>
                <w:szCs w:val="21"/>
              </w:rPr>
              <w:t>项目现场</w:t>
            </w:r>
          </w:p>
        </w:tc>
        <w:tc>
          <w:tcPr>
            <w:tcW w:w="5171" w:type="dxa"/>
            <w:vAlign w:val="center"/>
          </w:tcPr>
          <w:p w14:paraId="6F24AF7B">
            <w:pPr>
              <w:adjustRightInd w:val="0"/>
              <w:snapToGrid w:val="0"/>
              <w:spacing w:line="360" w:lineRule="exact"/>
              <w:jc w:val="both"/>
              <w:rPr>
                <w:rFonts w:hint="eastAsia" w:ascii="宋体" w:hAnsi="宋体" w:eastAsia="宋体" w:cs="Times New Roman"/>
                <w:color w:val="auto"/>
                <w:szCs w:val="21"/>
              </w:rPr>
            </w:pPr>
            <w:r>
              <w:rPr>
                <w:rFonts w:hint="eastAsia" w:ascii="宋体" w:hAnsi="宋体" w:eastAsia="宋体" w:cs="宋体"/>
                <w:color w:val="auto"/>
                <w:szCs w:val="21"/>
              </w:rPr>
              <w:t>具体由采购人指定</w:t>
            </w:r>
            <w:r>
              <w:rPr>
                <w:rFonts w:hint="eastAsia" w:ascii="宋体" w:hAnsi="宋体" w:eastAsia="宋体" w:cs="Times New Roman"/>
                <w:color w:val="auto"/>
                <w:szCs w:val="21"/>
                <w:lang w:val="en-US" w:eastAsia="zh-CN"/>
              </w:rPr>
              <w:t xml:space="preserve"> </w:t>
            </w:r>
          </w:p>
        </w:tc>
      </w:tr>
      <w:tr w14:paraId="350B72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89" w:hRule="atLeast"/>
          <w:jc w:val="center"/>
        </w:trPr>
        <w:tc>
          <w:tcPr>
            <w:tcW w:w="1701" w:type="dxa"/>
            <w:vAlign w:val="center"/>
          </w:tcPr>
          <w:p w14:paraId="21433A53">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0F7B4853">
            <w:pPr>
              <w:adjustRightInd w:val="0"/>
              <w:snapToGrid w:val="0"/>
              <w:spacing w:line="360" w:lineRule="exact"/>
              <w:jc w:val="center"/>
              <w:rPr>
                <w:rFonts w:ascii="宋体" w:hAnsi="宋体"/>
                <w:color w:val="auto"/>
                <w:szCs w:val="21"/>
              </w:rPr>
            </w:pPr>
            <w:r>
              <w:rPr>
                <w:rFonts w:hint="eastAsia" w:ascii="宋体" w:hAnsi="宋体"/>
                <w:color w:val="auto"/>
                <w:szCs w:val="21"/>
              </w:rPr>
              <w:t>第5.1款</w:t>
            </w:r>
          </w:p>
        </w:tc>
        <w:tc>
          <w:tcPr>
            <w:tcW w:w="1843" w:type="dxa"/>
            <w:vAlign w:val="center"/>
          </w:tcPr>
          <w:p w14:paraId="5F42489E">
            <w:pPr>
              <w:adjustRightInd w:val="0"/>
              <w:snapToGrid w:val="0"/>
              <w:spacing w:line="360" w:lineRule="exact"/>
              <w:jc w:val="center"/>
              <w:rPr>
                <w:rFonts w:ascii="宋体" w:hAnsi="宋体"/>
                <w:color w:val="auto"/>
                <w:szCs w:val="21"/>
              </w:rPr>
            </w:pPr>
            <w:r>
              <w:rPr>
                <w:rFonts w:hint="eastAsia" w:ascii="宋体" w:hAnsi="宋体"/>
                <w:color w:val="auto"/>
                <w:szCs w:val="21"/>
              </w:rPr>
              <w:t>履行合同的时间、地点及方式</w:t>
            </w:r>
          </w:p>
        </w:tc>
        <w:tc>
          <w:tcPr>
            <w:tcW w:w="5171" w:type="dxa"/>
            <w:vAlign w:val="center"/>
          </w:tcPr>
          <w:p w14:paraId="0CE92ECF">
            <w:pPr>
              <w:adjustRightInd w:val="0"/>
              <w:snapToGrid w:val="0"/>
              <w:spacing w:line="360" w:lineRule="exact"/>
              <w:jc w:val="both"/>
              <w:rPr>
                <w:rFonts w:hint="eastAsia" w:ascii="宋体" w:hAnsi="宋体" w:eastAsia="宋体" w:cs="Times New Roman"/>
                <w:color w:val="auto"/>
                <w:szCs w:val="21"/>
              </w:rPr>
            </w:pPr>
            <w:r>
              <w:rPr>
                <w:rFonts w:hint="eastAsia" w:ascii="宋体" w:hAnsi="宋体" w:eastAsia="宋体" w:cs="Times New Roman"/>
                <w:color w:val="auto"/>
                <w:szCs w:val="21"/>
              </w:rPr>
              <w:t>（1）交货时间：</w:t>
            </w:r>
            <w:r>
              <w:rPr>
                <w:rFonts w:hint="eastAsia" w:ascii="宋体" w:hAnsi="宋体" w:eastAsia="宋体" w:cs="宋体"/>
                <w:color w:val="auto"/>
                <w:szCs w:val="21"/>
                <w:highlight w:val="none"/>
                <w:lang w:eastAsia="zh-CN"/>
              </w:rPr>
              <w:t>合同签订后</w:t>
            </w:r>
            <w:r>
              <w:rPr>
                <w:rFonts w:hint="eastAsia" w:ascii="宋体" w:hAnsi="宋体" w:eastAsia="宋体" w:cs="宋体"/>
                <w:color w:val="auto"/>
                <w:szCs w:val="21"/>
                <w:highlight w:val="none"/>
                <w:lang w:val="en-US" w:eastAsia="zh-CN"/>
              </w:rPr>
              <w:t>35</w:t>
            </w:r>
            <w:r>
              <w:rPr>
                <w:rFonts w:hint="eastAsia" w:ascii="宋体" w:hAnsi="宋体" w:eastAsia="宋体" w:cs="宋体"/>
                <w:color w:val="auto"/>
                <w:szCs w:val="21"/>
                <w:highlight w:val="none"/>
                <w:lang w:eastAsia="zh-CN"/>
              </w:rPr>
              <w:t>天内交货，并安装调试验收合格交付使用</w:t>
            </w:r>
            <w:r>
              <w:rPr>
                <w:rFonts w:hint="eastAsia" w:ascii="宋体" w:hAnsi="宋体" w:eastAsia="宋体" w:cs="Times New Roman"/>
                <w:color w:val="auto"/>
                <w:szCs w:val="21"/>
                <w:lang w:val="en-US" w:eastAsia="zh-CN"/>
              </w:rPr>
              <w:t>。</w:t>
            </w:r>
          </w:p>
          <w:p w14:paraId="76EDF8CA">
            <w:pPr>
              <w:adjustRightInd w:val="0"/>
              <w:snapToGrid w:val="0"/>
              <w:spacing w:line="360" w:lineRule="exact"/>
              <w:jc w:val="both"/>
              <w:rPr>
                <w:rFonts w:hint="eastAsia" w:ascii="宋体" w:hAnsi="宋体" w:eastAsia="宋体" w:cs="Times New Roman"/>
                <w:color w:val="auto"/>
                <w:szCs w:val="21"/>
              </w:rPr>
            </w:pPr>
            <w:r>
              <w:rPr>
                <w:rFonts w:hint="eastAsia" w:ascii="宋体" w:hAnsi="宋体" w:eastAsia="宋体" w:cs="Times New Roman"/>
                <w:color w:val="auto"/>
                <w:szCs w:val="21"/>
              </w:rPr>
              <w:t>（2）交货地点：采购人</w:t>
            </w:r>
            <w:r>
              <w:rPr>
                <w:rFonts w:hint="eastAsia" w:ascii="宋体" w:hAnsi="宋体" w:cs="Times New Roman"/>
                <w:color w:val="auto"/>
                <w:szCs w:val="21"/>
                <w:lang w:val="en-US" w:eastAsia="zh-CN"/>
              </w:rPr>
              <w:t>指定</w:t>
            </w:r>
            <w:r>
              <w:rPr>
                <w:rFonts w:hint="eastAsia" w:ascii="宋体" w:hAnsi="宋体" w:eastAsia="宋体" w:cs="Times New Roman"/>
                <w:color w:val="auto"/>
                <w:szCs w:val="21"/>
              </w:rPr>
              <w:t>地点。</w:t>
            </w:r>
          </w:p>
          <w:p w14:paraId="72693A13">
            <w:pPr>
              <w:adjustRightInd w:val="0"/>
              <w:snapToGrid w:val="0"/>
              <w:spacing w:line="360" w:lineRule="exact"/>
              <w:jc w:val="both"/>
              <w:rPr>
                <w:rFonts w:hint="default" w:ascii="宋体" w:hAnsi="宋体" w:eastAsia="宋体" w:cs="Times New Roman"/>
                <w:color w:val="auto"/>
                <w:szCs w:val="21"/>
                <w:lang w:val="en-US" w:eastAsia="zh-CN"/>
              </w:rPr>
            </w:pPr>
            <w:r>
              <w:rPr>
                <w:rFonts w:hint="eastAsia" w:ascii="宋体" w:hAnsi="宋体" w:eastAsia="宋体" w:cs="Times New Roman"/>
                <w:color w:val="auto"/>
                <w:szCs w:val="21"/>
              </w:rPr>
              <w:t>（3）交货方式：</w:t>
            </w:r>
            <w:r>
              <w:rPr>
                <w:rFonts w:hint="eastAsia" w:ascii="宋体" w:hAnsi="宋体" w:eastAsia="宋体" w:cs="Times New Roman"/>
                <w:color w:val="auto"/>
                <w:szCs w:val="21"/>
                <w:lang w:val="en-US" w:eastAsia="zh-CN"/>
              </w:rPr>
              <w:t>现场。</w:t>
            </w:r>
          </w:p>
        </w:tc>
      </w:tr>
      <w:tr w14:paraId="657295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89" w:hRule="atLeast"/>
          <w:jc w:val="center"/>
        </w:trPr>
        <w:tc>
          <w:tcPr>
            <w:tcW w:w="1701" w:type="dxa"/>
            <w:vAlign w:val="center"/>
          </w:tcPr>
          <w:p w14:paraId="7268E60A">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536DC321">
            <w:pPr>
              <w:adjustRightInd w:val="0"/>
              <w:snapToGrid w:val="0"/>
              <w:spacing w:line="360" w:lineRule="exact"/>
              <w:jc w:val="center"/>
              <w:rPr>
                <w:rFonts w:ascii="宋体" w:hAnsi="宋体"/>
                <w:color w:val="auto"/>
                <w:szCs w:val="21"/>
              </w:rPr>
            </w:pPr>
            <w:r>
              <w:rPr>
                <w:rFonts w:hint="eastAsia" w:ascii="宋体" w:hAnsi="宋体"/>
                <w:color w:val="auto"/>
                <w:szCs w:val="21"/>
              </w:rPr>
              <w:t>第9.2（1）项</w:t>
            </w:r>
          </w:p>
        </w:tc>
        <w:tc>
          <w:tcPr>
            <w:tcW w:w="1843" w:type="dxa"/>
            <w:vAlign w:val="center"/>
          </w:tcPr>
          <w:p w14:paraId="02A739EA">
            <w:pPr>
              <w:adjustRightInd w:val="0"/>
              <w:snapToGrid w:val="0"/>
              <w:spacing w:line="360" w:lineRule="exact"/>
              <w:jc w:val="center"/>
              <w:rPr>
                <w:rFonts w:ascii="宋体" w:hAnsi="宋体"/>
                <w:color w:val="auto"/>
                <w:szCs w:val="21"/>
              </w:rPr>
            </w:pPr>
            <w:r>
              <w:rPr>
                <w:rFonts w:hint="eastAsia" w:ascii="宋体" w:hAnsi="宋体"/>
                <w:color w:val="auto"/>
                <w:szCs w:val="21"/>
              </w:rPr>
              <w:t>质保期</w:t>
            </w:r>
          </w:p>
        </w:tc>
        <w:tc>
          <w:tcPr>
            <w:tcW w:w="5171" w:type="dxa"/>
            <w:vAlign w:val="center"/>
          </w:tcPr>
          <w:p w14:paraId="3BBD0652">
            <w:pPr>
              <w:pStyle w:val="192"/>
              <w:keepNext w:val="0"/>
              <w:keepLines w:val="0"/>
              <w:pageBreakBefore w:val="0"/>
              <w:widowControl w:val="0"/>
              <w:kinsoku/>
              <w:overflowPunct/>
              <w:topLinePunct w:val="0"/>
              <w:autoSpaceDE/>
              <w:autoSpaceDN/>
              <w:bidi w:val="0"/>
              <w:spacing w:line="240" w:lineRule="auto"/>
              <w:textAlignment w:val="auto"/>
              <w:rPr>
                <w:rFonts w:hint="default" w:ascii="宋体" w:hAnsi="宋体" w:eastAsia="宋体" w:cs="Times New Roman"/>
                <w:color w:val="auto"/>
                <w:kern w:val="2"/>
                <w:sz w:val="21"/>
                <w:szCs w:val="21"/>
                <w:lang w:val="en-US" w:eastAsia="zh-CN" w:bidi="ar-SA"/>
              </w:rPr>
            </w:pPr>
            <w:r>
              <w:rPr>
                <w:rFonts w:hint="eastAsia" w:ascii="宋体" w:hAnsi="宋体" w:cs="Times New Roman"/>
                <w:color w:val="auto"/>
                <w:kern w:val="2"/>
                <w:sz w:val="21"/>
                <w:szCs w:val="21"/>
                <w:lang w:val="en-US" w:eastAsia="zh-CN" w:bidi="ar-SA"/>
              </w:rPr>
              <w:t>第五章 采购需求</w:t>
            </w:r>
          </w:p>
        </w:tc>
      </w:tr>
      <w:tr w14:paraId="3F8841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35" w:hRule="atLeast"/>
          <w:jc w:val="center"/>
        </w:trPr>
        <w:tc>
          <w:tcPr>
            <w:tcW w:w="1701" w:type="dxa"/>
            <w:vAlign w:val="center"/>
          </w:tcPr>
          <w:p w14:paraId="700C8D83">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6DFE8A3C">
            <w:pPr>
              <w:adjustRightInd w:val="0"/>
              <w:snapToGrid w:val="0"/>
              <w:spacing w:line="360" w:lineRule="exact"/>
              <w:jc w:val="center"/>
              <w:rPr>
                <w:rFonts w:ascii="宋体" w:hAnsi="宋体"/>
                <w:color w:val="auto"/>
                <w:szCs w:val="21"/>
              </w:rPr>
            </w:pPr>
            <w:r>
              <w:rPr>
                <w:rFonts w:hint="eastAsia" w:ascii="宋体" w:hAnsi="宋体"/>
                <w:color w:val="auto"/>
                <w:szCs w:val="21"/>
              </w:rPr>
              <w:t>第9.2（3）项</w:t>
            </w:r>
          </w:p>
        </w:tc>
        <w:tc>
          <w:tcPr>
            <w:tcW w:w="1843" w:type="dxa"/>
            <w:vAlign w:val="center"/>
          </w:tcPr>
          <w:p w14:paraId="4ABB7E2A">
            <w:pPr>
              <w:adjustRightInd w:val="0"/>
              <w:snapToGrid w:val="0"/>
              <w:spacing w:line="360" w:lineRule="exact"/>
              <w:jc w:val="center"/>
              <w:rPr>
                <w:rFonts w:ascii="宋体" w:hAnsi="宋体"/>
                <w:color w:val="auto"/>
                <w:szCs w:val="21"/>
              </w:rPr>
            </w:pPr>
            <w:r>
              <w:rPr>
                <w:rFonts w:hint="eastAsia" w:ascii="宋体" w:hAnsi="宋体"/>
                <w:color w:val="auto"/>
                <w:szCs w:val="21"/>
              </w:rPr>
              <w:t>响应时间</w:t>
            </w:r>
          </w:p>
        </w:tc>
        <w:tc>
          <w:tcPr>
            <w:tcW w:w="5171" w:type="dxa"/>
            <w:vAlign w:val="center"/>
          </w:tcPr>
          <w:p w14:paraId="43868134">
            <w:pPr>
              <w:adjustRightInd w:val="0"/>
              <w:snapToGrid w:val="0"/>
              <w:spacing w:line="360" w:lineRule="exact"/>
              <w:jc w:val="both"/>
              <w:rPr>
                <w:rFonts w:hint="default" w:ascii="宋体" w:hAnsi="宋体" w:eastAsia="宋体" w:cs="Times New Roman"/>
                <w:color w:val="auto"/>
                <w:kern w:val="2"/>
                <w:sz w:val="21"/>
                <w:szCs w:val="21"/>
                <w:lang w:val="en-US" w:eastAsia="zh-CN" w:bidi="ar-SA"/>
              </w:rPr>
            </w:pPr>
            <w:r>
              <w:rPr>
                <w:rFonts w:hint="eastAsia" w:ascii="宋体" w:hAnsi="宋体" w:cs="Times New Roman"/>
                <w:color w:val="auto"/>
                <w:kern w:val="2"/>
                <w:sz w:val="21"/>
                <w:szCs w:val="21"/>
                <w:lang w:val="en-US" w:eastAsia="zh-CN" w:bidi="ar-SA"/>
              </w:rPr>
              <w:t>第五章 采购需求（如有）</w:t>
            </w:r>
          </w:p>
        </w:tc>
      </w:tr>
      <w:tr w14:paraId="614F3B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5" w:hRule="atLeast"/>
          <w:jc w:val="center"/>
        </w:trPr>
        <w:tc>
          <w:tcPr>
            <w:tcW w:w="1701" w:type="dxa"/>
            <w:vAlign w:val="center"/>
          </w:tcPr>
          <w:p w14:paraId="5979E7DC">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385419F9">
            <w:pPr>
              <w:adjustRightInd w:val="0"/>
              <w:snapToGrid w:val="0"/>
              <w:spacing w:line="360" w:lineRule="exact"/>
              <w:jc w:val="center"/>
              <w:rPr>
                <w:rFonts w:ascii="宋体" w:hAnsi="宋体"/>
                <w:color w:val="auto"/>
                <w:szCs w:val="21"/>
              </w:rPr>
            </w:pPr>
            <w:r>
              <w:rPr>
                <w:rFonts w:hint="eastAsia" w:ascii="宋体" w:hAnsi="宋体"/>
                <w:color w:val="auto"/>
                <w:szCs w:val="21"/>
              </w:rPr>
              <w:t>第13.5款</w:t>
            </w:r>
          </w:p>
        </w:tc>
        <w:tc>
          <w:tcPr>
            <w:tcW w:w="1843" w:type="dxa"/>
            <w:vAlign w:val="center"/>
          </w:tcPr>
          <w:p w14:paraId="411722B7">
            <w:pPr>
              <w:adjustRightInd w:val="0"/>
              <w:snapToGrid w:val="0"/>
              <w:spacing w:line="360" w:lineRule="exact"/>
              <w:jc w:val="center"/>
              <w:rPr>
                <w:rFonts w:ascii="宋体" w:hAnsi="宋体"/>
                <w:color w:val="auto"/>
                <w:szCs w:val="21"/>
              </w:rPr>
            </w:pPr>
            <w:r>
              <w:rPr>
                <w:rFonts w:hint="eastAsia" w:ascii="宋体" w:hAnsi="宋体"/>
                <w:color w:val="auto"/>
                <w:szCs w:val="21"/>
              </w:rPr>
              <w:t>合同价款支付方式</w:t>
            </w:r>
            <w:r>
              <w:rPr>
                <w:rFonts w:hint="eastAsia" w:ascii="宋体" w:hAnsi="宋体"/>
                <w:bCs/>
                <w:color w:val="auto"/>
                <w:szCs w:val="21"/>
              </w:rPr>
              <w:t>和条件</w:t>
            </w:r>
          </w:p>
        </w:tc>
        <w:tc>
          <w:tcPr>
            <w:tcW w:w="5171" w:type="dxa"/>
            <w:vAlign w:val="center"/>
          </w:tcPr>
          <w:p w14:paraId="4AD123F7">
            <w:pPr>
              <w:adjustRightInd w:val="0"/>
              <w:snapToGrid w:val="0"/>
              <w:spacing w:line="360" w:lineRule="exact"/>
              <w:jc w:val="both"/>
              <w:rPr>
                <w:rFonts w:hint="default" w:ascii="宋体" w:hAnsi="宋体" w:eastAsia="宋体" w:cs="Times New Roman"/>
                <w:color w:val="auto"/>
                <w:kern w:val="2"/>
                <w:sz w:val="21"/>
                <w:szCs w:val="21"/>
                <w:lang w:val="en-US" w:eastAsia="zh-CN" w:bidi="ar-SA"/>
              </w:rPr>
            </w:pPr>
            <w:r>
              <w:rPr>
                <w:rFonts w:hint="eastAsia" w:ascii="宋体" w:hAnsi="宋体" w:eastAsia="宋体" w:cs="Times New Roman"/>
                <w:color w:val="auto"/>
                <w:szCs w:val="21"/>
                <w:lang w:val="en-US" w:eastAsia="zh-CN"/>
              </w:rPr>
              <w:t>付款方式：</w:t>
            </w:r>
            <w:r>
              <w:rPr>
                <w:rFonts w:hint="eastAsia" w:ascii="宋体" w:hAnsi="宋体" w:eastAsia="宋体" w:cs="Times New Roman"/>
                <w:color w:val="auto"/>
                <w:szCs w:val="21"/>
              </w:rPr>
              <w:t>货物全部到达采购人指定地点</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lang w:val="en-US" w:eastAsia="zh-CN"/>
              </w:rPr>
              <w:t>按要求安装到位并</w:t>
            </w:r>
            <w:r>
              <w:rPr>
                <w:rFonts w:hint="eastAsia" w:ascii="宋体" w:hAnsi="宋体" w:eastAsia="宋体" w:cs="Times New Roman"/>
                <w:color w:val="auto"/>
                <w:szCs w:val="21"/>
              </w:rPr>
              <w:t>经采购人验收合格</w:t>
            </w:r>
            <w:r>
              <w:rPr>
                <w:rFonts w:hint="eastAsia" w:ascii="宋体" w:hAnsi="宋体" w:eastAsia="宋体" w:cs="Times New Roman"/>
                <w:color w:val="auto"/>
                <w:szCs w:val="21"/>
                <w:lang w:eastAsia="zh-CN"/>
              </w:rPr>
              <w:t>，乙方提供正式的税务发票及相关附件资料，一次性支付给供货商</w:t>
            </w:r>
            <w:r>
              <w:rPr>
                <w:rFonts w:hint="eastAsia" w:ascii="宋体" w:hAnsi="宋体" w:eastAsia="宋体" w:cs="Times New Roman"/>
                <w:color w:val="auto"/>
                <w:szCs w:val="21"/>
              </w:rPr>
              <w:t>。</w:t>
            </w:r>
          </w:p>
        </w:tc>
      </w:tr>
      <w:tr w14:paraId="0BA311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vAlign w:val="center"/>
          </w:tcPr>
          <w:p w14:paraId="71D0CE10">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50B86C63">
            <w:pPr>
              <w:adjustRightInd w:val="0"/>
              <w:snapToGrid w:val="0"/>
              <w:spacing w:line="360" w:lineRule="exact"/>
              <w:jc w:val="center"/>
              <w:rPr>
                <w:rFonts w:ascii="宋体" w:hAnsi="宋体"/>
                <w:color w:val="auto"/>
                <w:szCs w:val="21"/>
              </w:rPr>
            </w:pPr>
            <w:r>
              <w:rPr>
                <w:rFonts w:hint="eastAsia" w:ascii="宋体" w:hAnsi="宋体"/>
                <w:color w:val="auto"/>
                <w:szCs w:val="21"/>
              </w:rPr>
              <w:t>第14.2（5）项</w:t>
            </w:r>
          </w:p>
        </w:tc>
        <w:tc>
          <w:tcPr>
            <w:tcW w:w="1843" w:type="dxa"/>
            <w:vAlign w:val="center"/>
          </w:tcPr>
          <w:p w14:paraId="5B952363">
            <w:pPr>
              <w:adjustRightInd w:val="0"/>
              <w:snapToGrid w:val="0"/>
              <w:spacing w:line="360" w:lineRule="exact"/>
              <w:jc w:val="center"/>
              <w:rPr>
                <w:rFonts w:ascii="宋体" w:hAnsi="宋体"/>
                <w:color w:val="auto"/>
                <w:szCs w:val="21"/>
              </w:rPr>
            </w:pPr>
            <w:r>
              <w:rPr>
                <w:rFonts w:hint="eastAsia" w:ascii="宋体" w:hAnsi="宋体"/>
                <w:color w:val="auto"/>
                <w:szCs w:val="21"/>
              </w:rPr>
              <w:t>伴随服务</w:t>
            </w:r>
          </w:p>
        </w:tc>
        <w:tc>
          <w:tcPr>
            <w:tcW w:w="5171" w:type="dxa"/>
            <w:vAlign w:val="center"/>
          </w:tcPr>
          <w:p w14:paraId="32C6976D">
            <w:pPr>
              <w:adjustRightInd w:val="0"/>
              <w:snapToGrid w:val="0"/>
              <w:spacing w:line="360" w:lineRule="exact"/>
              <w:jc w:val="both"/>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第五章 采购需求</w:t>
            </w:r>
          </w:p>
        </w:tc>
      </w:tr>
      <w:tr w14:paraId="5DA577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vAlign w:val="center"/>
          </w:tcPr>
          <w:p w14:paraId="54003DB0">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032B89C8">
            <w:pPr>
              <w:adjustRightInd w:val="0"/>
              <w:snapToGrid w:val="0"/>
              <w:spacing w:line="360" w:lineRule="exact"/>
              <w:jc w:val="center"/>
              <w:rPr>
                <w:rFonts w:ascii="宋体" w:hAnsi="宋体"/>
                <w:bCs/>
                <w:color w:val="auto"/>
                <w:szCs w:val="21"/>
              </w:rPr>
            </w:pPr>
            <w:r>
              <w:rPr>
                <w:rFonts w:hint="eastAsia" w:ascii="宋体" w:hAnsi="宋体"/>
                <w:color w:val="auto"/>
                <w:szCs w:val="21"/>
              </w:rPr>
              <w:t>第20.2款</w:t>
            </w:r>
          </w:p>
        </w:tc>
        <w:tc>
          <w:tcPr>
            <w:tcW w:w="1843" w:type="dxa"/>
            <w:vAlign w:val="center"/>
          </w:tcPr>
          <w:p w14:paraId="6C8DD0C8">
            <w:pPr>
              <w:adjustRightInd w:val="0"/>
              <w:snapToGrid w:val="0"/>
              <w:spacing w:line="360" w:lineRule="exact"/>
              <w:jc w:val="center"/>
              <w:rPr>
                <w:rFonts w:ascii="宋体" w:hAnsi="宋体"/>
                <w:bCs/>
                <w:color w:val="auto"/>
                <w:szCs w:val="21"/>
              </w:rPr>
            </w:pPr>
            <w:r>
              <w:rPr>
                <w:rFonts w:hint="eastAsia" w:ascii="宋体" w:hAnsi="宋体"/>
                <w:color w:val="auto"/>
                <w:szCs w:val="21"/>
              </w:rPr>
              <w:t>解决争议的方式</w:t>
            </w:r>
          </w:p>
        </w:tc>
        <w:tc>
          <w:tcPr>
            <w:tcW w:w="5171" w:type="dxa"/>
            <w:vAlign w:val="center"/>
          </w:tcPr>
          <w:p w14:paraId="196E233F">
            <w:pPr>
              <w:adjustRightInd w:val="0"/>
              <w:snapToGrid w:val="0"/>
              <w:spacing w:line="360" w:lineRule="exact"/>
              <w:jc w:val="both"/>
              <w:rPr>
                <w:rFonts w:hint="eastAsia" w:ascii="宋体" w:hAnsi="宋体" w:eastAsia="宋体" w:cs="Times New Roman"/>
                <w:color w:val="auto"/>
                <w:kern w:val="2"/>
                <w:sz w:val="21"/>
                <w:szCs w:val="21"/>
                <w:lang w:val="en-US" w:eastAsia="zh-CN" w:bidi="ar-SA"/>
              </w:rPr>
            </w:pPr>
            <w:r>
              <w:rPr>
                <w:rFonts w:hint="eastAsia" w:ascii="宋体" w:hAnsi="宋体" w:eastAsia="宋体" w:cs="宋体"/>
                <w:color w:val="auto"/>
                <w:szCs w:val="21"/>
              </w:rPr>
              <w:t>仲裁</w:t>
            </w:r>
          </w:p>
        </w:tc>
      </w:tr>
      <w:tr w14:paraId="4D6951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701" w:type="dxa"/>
            <w:vAlign w:val="center"/>
          </w:tcPr>
          <w:p w14:paraId="45836F5D">
            <w:pPr>
              <w:adjustRightInd w:val="0"/>
              <w:snapToGrid w:val="0"/>
              <w:spacing w:line="360" w:lineRule="exact"/>
              <w:jc w:val="center"/>
              <w:rPr>
                <w:rFonts w:ascii="宋体" w:hAnsi="宋体"/>
                <w:color w:val="auto"/>
                <w:szCs w:val="21"/>
              </w:rPr>
            </w:pPr>
            <w:r>
              <w:rPr>
                <w:rFonts w:hint="eastAsia" w:ascii="宋体" w:hAnsi="宋体"/>
                <w:color w:val="auto"/>
                <w:szCs w:val="21"/>
              </w:rPr>
              <w:t>第六章第二节</w:t>
            </w:r>
          </w:p>
          <w:p w14:paraId="65D7AAA8">
            <w:pPr>
              <w:adjustRightInd w:val="0"/>
              <w:snapToGrid w:val="0"/>
              <w:spacing w:line="360" w:lineRule="exact"/>
              <w:jc w:val="center"/>
              <w:rPr>
                <w:rFonts w:ascii="宋体" w:hAnsi="宋体"/>
                <w:color w:val="auto"/>
                <w:szCs w:val="21"/>
              </w:rPr>
            </w:pPr>
            <w:r>
              <w:rPr>
                <w:rFonts w:hint="eastAsia" w:ascii="宋体" w:hAnsi="宋体"/>
                <w:color w:val="auto"/>
                <w:szCs w:val="21"/>
              </w:rPr>
              <w:t>第23.1款</w:t>
            </w:r>
          </w:p>
        </w:tc>
        <w:tc>
          <w:tcPr>
            <w:tcW w:w="1843" w:type="dxa"/>
            <w:vAlign w:val="center"/>
          </w:tcPr>
          <w:p w14:paraId="565DAAA4">
            <w:pPr>
              <w:adjustRightInd w:val="0"/>
              <w:snapToGrid w:val="0"/>
              <w:spacing w:line="360" w:lineRule="exact"/>
              <w:jc w:val="center"/>
              <w:rPr>
                <w:rFonts w:ascii="宋体" w:hAnsi="宋体"/>
                <w:color w:val="auto"/>
                <w:szCs w:val="21"/>
              </w:rPr>
            </w:pPr>
            <w:r>
              <w:rPr>
                <w:rFonts w:hint="eastAsia" w:ascii="宋体" w:hAnsi="宋体"/>
                <w:bCs/>
                <w:color w:val="auto"/>
                <w:szCs w:val="21"/>
              </w:rPr>
              <w:t>合同未尽事项</w:t>
            </w:r>
          </w:p>
        </w:tc>
        <w:tc>
          <w:tcPr>
            <w:tcW w:w="5171" w:type="dxa"/>
            <w:vAlign w:val="center"/>
          </w:tcPr>
          <w:p w14:paraId="0CC0A2BE">
            <w:pPr>
              <w:adjustRightInd w:val="0"/>
              <w:snapToGrid w:val="0"/>
              <w:spacing w:line="360" w:lineRule="exact"/>
              <w:jc w:val="both"/>
              <w:rPr>
                <w:rFonts w:hint="eastAsia"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协商解决</w:t>
            </w:r>
          </w:p>
        </w:tc>
      </w:tr>
    </w:tbl>
    <w:p w14:paraId="4235B701">
      <w:pPr>
        <w:pStyle w:val="24"/>
        <w:adjustRightInd w:val="0"/>
        <w:snapToGrid w:val="0"/>
        <w:spacing w:before="156" w:beforeLines="50" w:line="360" w:lineRule="auto"/>
        <w:jc w:val="center"/>
        <w:outlineLvl w:val="0"/>
        <w:rPr>
          <w:rFonts w:ascii="黑体" w:hAnsi="华文中宋" w:eastAsia="黑体"/>
          <w:b/>
          <w:color w:val="auto"/>
          <w:sz w:val="32"/>
          <w:szCs w:val="32"/>
        </w:rPr>
      </w:pPr>
      <w:r>
        <w:rPr>
          <w:rFonts w:hAnsi="宋体"/>
          <w:b/>
          <w:bCs/>
          <w:color w:val="auto"/>
          <w:sz w:val="52"/>
          <w:szCs w:val="30"/>
        </w:rPr>
        <w:br w:type="page"/>
      </w:r>
      <w:bookmarkStart w:id="1282" w:name="_Toc77199450"/>
      <w:bookmarkStart w:id="1283" w:name="_Toc7687"/>
      <w:bookmarkStart w:id="1284" w:name="_Toc94367926"/>
      <w:bookmarkStart w:id="1285" w:name="_Toc100670719"/>
      <w:bookmarkStart w:id="1286" w:name="_Toc20293"/>
      <w:bookmarkStart w:id="1287" w:name="_Toc22663"/>
      <w:bookmarkStart w:id="1288" w:name="_Toc75289596"/>
      <w:bookmarkStart w:id="1289" w:name="_Toc77676514"/>
      <w:bookmarkStart w:id="1290" w:name="_Toc114036760"/>
      <w:bookmarkStart w:id="1291" w:name="_Toc78314310"/>
      <w:bookmarkStart w:id="1292" w:name="_Toc192949648"/>
      <w:bookmarkStart w:id="1293" w:name="_Toc2174"/>
      <w:bookmarkStart w:id="1294" w:name="_Toc100670471"/>
      <w:bookmarkStart w:id="1295" w:name="_Toc23782"/>
      <w:bookmarkStart w:id="1296" w:name="_Toc117192496"/>
      <w:bookmarkStart w:id="1297" w:name="_Toc78450003"/>
      <w:bookmarkStart w:id="1298" w:name="_Toc171273717"/>
      <w:bookmarkStart w:id="1299" w:name="_Toc95601411"/>
      <w:bookmarkStart w:id="1300" w:name="_Toc85972976"/>
      <w:bookmarkStart w:id="1301" w:name="_Toc112704989"/>
      <w:bookmarkStart w:id="1302" w:name="_Toc108341986"/>
      <w:bookmarkStart w:id="1303" w:name="_Toc7189"/>
      <w:bookmarkStart w:id="1304" w:name="_Toc192951258"/>
      <w:bookmarkStart w:id="1305" w:name="_Toc75289278"/>
      <w:bookmarkStart w:id="1306" w:name="_Toc154428435"/>
      <w:bookmarkStart w:id="1307" w:name="_Toc192949747"/>
      <w:bookmarkStart w:id="1308" w:name="_Toc31426"/>
      <w:bookmarkStart w:id="1309" w:name="_Toc14155"/>
      <w:bookmarkStart w:id="1310" w:name="_Toc15888526"/>
      <w:bookmarkStart w:id="1311" w:name="_Toc23728"/>
      <w:r>
        <w:rPr>
          <w:rFonts w:hint="eastAsia" w:ascii="黑体" w:hAnsi="华文中宋" w:eastAsia="黑体"/>
          <w:b/>
          <w:color w:val="auto"/>
          <w:sz w:val="32"/>
          <w:szCs w:val="32"/>
        </w:rPr>
        <w:t>第七章 投标文件的组成</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14:paraId="68FE089F">
      <w:pPr>
        <w:adjustRightInd w:val="0"/>
        <w:snapToGrid w:val="0"/>
        <w:spacing w:line="360" w:lineRule="auto"/>
        <w:ind w:left="-88" w:leftChars="-42"/>
        <w:jc w:val="center"/>
        <w:rPr>
          <w:b/>
          <w:bCs/>
          <w:color w:val="auto"/>
          <w:szCs w:val="21"/>
        </w:rPr>
      </w:pPr>
    </w:p>
    <w:p w14:paraId="57C78EBA">
      <w:pPr>
        <w:adjustRightInd w:val="0"/>
        <w:snapToGrid w:val="0"/>
        <w:spacing w:before="156" w:beforeLines="50" w:line="360" w:lineRule="auto"/>
        <w:jc w:val="left"/>
        <w:rPr>
          <w:rFonts w:ascii="宋体" w:hAnsi="宋体"/>
          <w:b/>
          <w:color w:val="auto"/>
          <w:szCs w:val="21"/>
        </w:rPr>
      </w:pPr>
      <w:r>
        <w:rPr>
          <w:rFonts w:hint="eastAsia" w:ascii="宋体" w:hAnsi="宋体"/>
          <w:b/>
          <w:color w:val="auto"/>
          <w:szCs w:val="21"/>
        </w:rPr>
        <w:t>第一部分 资格证明文件</w:t>
      </w:r>
    </w:p>
    <w:p w14:paraId="5ED99488">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一、开标一览表</w:t>
      </w:r>
    </w:p>
    <w:p w14:paraId="781176DD">
      <w:pPr>
        <w:adjustRightInd w:val="0"/>
        <w:snapToGrid w:val="0"/>
        <w:spacing w:before="156" w:beforeLines="50" w:line="360" w:lineRule="auto"/>
        <w:ind w:firstLine="420" w:firstLineChars="200"/>
        <w:jc w:val="left"/>
        <w:rPr>
          <w:rFonts w:hint="eastAsia" w:ascii="宋体" w:hAnsi="宋体" w:eastAsia="宋体" w:cs="Times New Roman"/>
          <w:color w:val="auto"/>
          <w:szCs w:val="21"/>
        </w:rPr>
      </w:pPr>
      <w:r>
        <w:rPr>
          <w:rFonts w:hint="eastAsia" w:ascii="宋体" w:hAnsi="宋体" w:eastAsia="宋体" w:cs="Times New Roman"/>
          <w:color w:val="auto"/>
          <w:szCs w:val="21"/>
        </w:rPr>
        <w:t>二、投标保证金</w:t>
      </w:r>
    </w:p>
    <w:p w14:paraId="6A571D15">
      <w:pPr>
        <w:tabs>
          <w:tab w:val="left" w:pos="386"/>
        </w:tabs>
        <w:adjustRightInd w:val="0"/>
        <w:snapToGrid w:val="0"/>
        <w:spacing w:before="156" w:beforeLines="50" w:line="360" w:lineRule="auto"/>
        <w:ind w:firstLine="420" w:firstLineChars="200"/>
        <w:jc w:val="left"/>
        <w:rPr>
          <w:rFonts w:hint="default" w:ascii="宋体" w:hAnsi="宋体" w:eastAsia="宋体"/>
          <w:color w:val="auto"/>
          <w:szCs w:val="21"/>
          <w:lang w:val="en-US" w:eastAsia="zh-CN"/>
        </w:rPr>
      </w:pPr>
      <w:r>
        <w:rPr>
          <w:rFonts w:hint="eastAsia" w:ascii="宋体" w:hAnsi="宋体"/>
          <w:color w:val="auto"/>
          <w:szCs w:val="21"/>
          <w:lang w:val="en-US" w:eastAsia="zh-CN"/>
        </w:rPr>
        <w:t>三</w:t>
      </w:r>
      <w:r>
        <w:rPr>
          <w:rFonts w:hint="eastAsia" w:ascii="宋体" w:hAnsi="宋体"/>
          <w:color w:val="auto"/>
          <w:szCs w:val="21"/>
        </w:rPr>
        <w:t>、授权委托书</w:t>
      </w:r>
    </w:p>
    <w:p w14:paraId="2CCEF1B3">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四</w:t>
      </w:r>
      <w:r>
        <w:rPr>
          <w:rFonts w:hint="eastAsia" w:ascii="宋体" w:hAnsi="宋体"/>
          <w:color w:val="auto"/>
          <w:szCs w:val="21"/>
        </w:rPr>
        <w:t>、投标人提供的资格证明文件</w:t>
      </w:r>
    </w:p>
    <w:p w14:paraId="00C7C9EC">
      <w:pPr>
        <w:adjustRightInd w:val="0"/>
        <w:snapToGrid w:val="0"/>
        <w:spacing w:before="156" w:beforeLines="50" w:line="360" w:lineRule="auto"/>
        <w:jc w:val="left"/>
        <w:rPr>
          <w:rFonts w:ascii="宋体" w:hAnsi="宋体"/>
          <w:b/>
          <w:color w:val="auto"/>
          <w:szCs w:val="21"/>
        </w:rPr>
      </w:pPr>
      <w:r>
        <w:rPr>
          <w:rFonts w:hint="eastAsia" w:ascii="宋体" w:hAnsi="宋体"/>
          <w:b/>
          <w:color w:val="auto"/>
          <w:szCs w:val="21"/>
        </w:rPr>
        <w:t>第二部分 商务技术文件</w:t>
      </w:r>
    </w:p>
    <w:p w14:paraId="24208444">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五</w:t>
      </w:r>
      <w:r>
        <w:rPr>
          <w:rFonts w:hint="eastAsia" w:ascii="宋体" w:hAnsi="宋体"/>
          <w:color w:val="auto"/>
          <w:szCs w:val="21"/>
        </w:rPr>
        <w:t>、投标函</w:t>
      </w:r>
    </w:p>
    <w:p w14:paraId="09DFB2A5">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六</w:t>
      </w:r>
      <w:r>
        <w:rPr>
          <w:rFonts w:hint="eastAsia" w:ascii="宋体" w:hAnsi="宋体"/>
          <w:color w:val="auto"/>
          <w:szCs w:val="21"/>
        </w:rPr>
        <w:t>、分项报价</w:t>
      </w:r>
    </w:p>
    <w:p w14:paraId="1182D6DE">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七</w:t>
      </w:r>
      <w:r>
        <w:rPr>
          <w:rFonts w:hint="eastAsia" w:ascii="宋体" w:hAnsi="宋体"/>
          <w:color w:val="auto"/>
          <w:szCs w:val="21"/>
        </w:rPr>
        <w:t>、采购需求响应</w:t>
      </w:r>
    </w:p>
    <w:p w14:paraId="7EA73796">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八</w:t>
      </w:r>
      <w:r>
        <w:rPr>
          <w:rFonts w:hint="eastAsia" w:ascii="宋体" w:hAnsi="宋体"/>
          <w:color w:val="auto"/>
          <w:szCs w:val="21"/>
        </w:rPr>
        <w:t>、合同条款偏离表</w:t>
      </w:r>
    </w:p>
    <w:p w14:paraId="68412939">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九</w:t>
      </w:r>
      <w:r>
        <w:rPr>
          <w:rFonts w:hint="eastAsia" w:ascii="宋体" w:hAnsi="宋体"/>
          <w:color w:val="auto"/>
          <w:szCs w:val="21"/>
        </w:rPr>
        <w:t>、采购需求偏离表</w:t>
      </w:r>
    </w:p>
    <w:p w14:paraId="73E26FFD">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lang w:val="en-US" w:eastAsia="zh-CN"/>
        </w:rPr>
        <w:t>十</w:t>
      </w:r>
      <w:r>
        <w:rPr>
          <w:rFonts w:hint="eastAsia" w:ascii="宋体" w:hAnsi="宋体"/>
          <w:color w:val="auto"/>
          <w:szCs w:val="21"/>
        </w:rPr>
        <w:t>、享受政府采购政策优惠的证明资料和清单表</w:t>
      </w:r>
    </w:p>
    <w:p w14:paraId="64FD6366">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十一、投标货物符合招标文件规定的证明文件</w:t>
      </w:r>
    </w:p>
    <w:p w14:paraId="7EE2BBF2">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十二、投标人认为需提供的其他资料</w:t>
      </w:r>
    </w:p>
    <w:p w14:paraId="22B50D09">
      <w:pPr>
        <w:adjustRightInd w:val="0"/>
        <w:snapToGrid w:val="0"/>
        <w:spacing w:before="156" w:beforeLines="50" w:line="360" w:lineRule="auto"/>
        <w:ind w:firstLine="420" w:firstLineChars="200"/>
        <w:jc w:val="left"/>
        <w:rPr>
          <w:rFonts w:ascii="宋体" w:hAnsi="宋体"/>
          <w:color w:val="auto"/>
          <w:szCs w:val="21"/>
        </w:rPr>
      </w:pPr>
      <w:r>
        <w:rPr>
          <w:rFonts w:hint="eastAsia" w:ascii="宋体" w:hAnsi="宋体"/>
          <w:color w:val="auto"/>
          <w:szCs w:val="21"/>
        </w:rPr>
        <w:t>注：投标人可编制资格审查索引表、符合性审查索引表、评审索引表，以便采购人及采购代理机构资格审查和评标委员会评审。</w:t>
      </w:r>
    </w:p>
    <w:p w14:paraId="69AF0522">
      <w:pPr>
        <w:adjustRightInd w:val="0"/>
        <w:snapToGrid w:val="0"/>
        <w:spacing w:line="360" w:lineRule="auto"/>
        <w:jc w:val="center"/>
        <w:rPr>
          <w:rFonts w:ascii="仿宋_GB2312" w:hAnsi="宋体" w:eastAsia="仿宋_GB2312"/>
          <w:color w:val="auto"/>
          <w:szCs w:val="21"/>
        </w:rPr>
      </w:pPr>
    </w:p>
    <w:p w14:paraId="00BBEAAF">
      <w:pPr>
        <w:adjustRightInd w:val="0"/>
        <w:snapToGrid w:val="0"/>
        <w:spacing w:line="360" w:lineRule="auto"/>
        <w:jc w:val="center"/>
        <w:rPr>
          <w:rFonts w:ascii="黑体" w:eastAsia="黑体"/>
          <w:color w:val="auto"/>
          <w:sz w:val="32"/>
          <w:szCs w:val="32"/>
        </w:rPr>
      </w:pPr>
      <w:r>
        <w:rPr>
          <w:rFonts w:ascii="仿宋_GB2312" w:hAnsi="宋体" w:eastAsia="仿宋_GB2312"/>
          <w:color w:val="auto"/>
          <w:szCs w:val="21"/>
        </w:rPr>
        <w:br w:type="page"/>
      </w:r>
    </w:p>
    <w:p w14:paraId="565E2B5E">
      <w:pPr>
        <w:adjustRightInd w:val="0"/>
        <w:snapToGrid w:val="0"/>
        <w:spacing w:line="360" w:lineRule="auto"/>
        <w:jc w:val="center"/>
        <w:rPr>
          <w:rFonts w:ascii="黑体" w:eastAsia="黑体"/>
          <w:color w:val="auto"/>
          <w:sz w:val="32"/>
          <w:szCs w:val="32"/>
        </w:rPr>
      </w:pPr>
    </w:p>
    <w:p w14:paraId="54D85394">
      <w:pPr>
        <w:adjustRightInd w:val="0"/>
        <w:snapToGrid w:val="0"/>
        <w:spacing w:line="360" w:lineRule="auto"/>
        <w:jc w:val="center"/>
        <w:rPr>
          <w:rFonts w:ascii="黑体" w:eastAsia="黑体"/>
          <w:color w:val="auto"/>
          <w:sz w:val="32"/>
          <w:szCs w:val="32"/>
        </w:rPr>
      </w:pPr>
    </w:p>
    <w:p w14:paraId="474553C4">
      <w:pPr>
        <w:pStyle w:val="24"/>
        <w:adjustRightInd w:val="0"/>
        <w:snapToGrid w:val="0"/>
        <w:spacing w:line="360" w:lineRule="auto"/>
        <w:jc w:val="center"/>
        <w:rPr>
          <w:rFonts w:hAnsi="宋体"/>
          <w:b/>
          <w:bCs/>
          <w:color w:val="auto"/>
          <w:sz w:val="72"/>
          <w:szCs w:val="72"/>
        </w:rPr>
      </w:pPr>
      <w:r>
        <w:rPr>
          <w:rFonts w:hint="eastAsia" w:hAnsi="宋体"/>
          <w:b/>
          <w:bCs/>
          <w:color w:val="auto"/>
          <w:sz w:val="72"/>
          <w:szCs w:val="72"/>
        </w:rPr>
        <w:t>政府采购</w:t>
      </w:r>
    </w:p>
    <w:p w14:paraId="44B272E0">
      <w:pPr>
        <w:adjustRightInd w:val="0"/>
        <w:snapToGrid w:val="0"/>
        <w:spacing w:line="360" w:lineRule="auto"/>
        <w:jc w:val="center"/>
        <w:rPr>
          <w:rFonts w:ascii="宋体" w:hAnsi="宋体"/>
          <w:b/>
          <w:bCs/>
          <w:color w:val="auto"/>
          <w:sz w:val="84"/>
          <w:szCs w:val="84"/>
        </w:rPr>
      </w:pPr>
      <w:r>
        <w:rPr>
          <w:rFonts w:hint="eastAsia" w:ascii="宋体" w:hAnsi="宋体"/>
          <w:b/>
          <w:bCs/>
          <w:color w:val="auto"/>
          <w:sz w:val="84"/>
          <w:szCs w:val="84"/>
        </w:rPr>
        <w:t>投 标 文 件</w:t>
      </w:r>
    </w:p>
    <w:p w14:paraId="0A04AC3D">
      <w:pPr>
        <w:pStyle w:val="4"/>
        <w:adjustRightInd w:val="0"/>
        <w:snapToGrid w:val="0"/>
        <w:jc w:val="center"/>
        <w:rPr>
          <w:rFonts w:ascii="黑体" w:hAnsi="黑体" w:eastAsia="黑体"/>
          <w:color w:val="auto"/>
          <w:sz w:val="44"/>
          <w:szCs w:val="44"/>
        </w:rPr>
      </w:pPr>
      <w:bookmarkStart w:id="1312" w:name="_Toc75289279"/>
      <w:bookmarkStart w:id="1313" w:name="_Toc32025"/>
      <w:bookmarkStart w:id="1314" w:name="_Toc108341987"/>
      <w:bookmarkStart w:id="1315" w:name="_Toc100670472"/>
      <w:bookmarkStart w:id="1316" w:name="_Toc12250"/>
      <w:bookmarkStart w:id="1317" w:name="_Toc112704990"/>
      <w:bookmarkStart w:id="1318" w:name="_Toc192949748"/>
      <w:bookmarkStart w:id="1319" w:name="_Toc114036761"/>
      <w:bookmarkStart w:id="1320" w:name="_Toc13762"/>
      <w:bookmarkStart w:id="1321" w:name="_Toc77199451"/>
      <w:bookmarkStart w:id="1322" w:name="_Toc1963"/>
      <w:bookmarkStart w:id="1323" w:name="_Toc3255"/>
      <w:bookmarkStart w:id="1324" w:name="_Toc95601412"/>
      <w:bookmarkStart w:id="1325" w:name="_Toc77676515"/>
      <w:bookmarkStart w:id="1326" w:name="_Toc22370"/>
      <w:bookmarkStart w:id="1327" w:name="_Toc29425"/>
      <w:bookmarkStart w:id="1328" w:name="_Toc15888527"/>
      <w:bookmarkStart w:id="1329" w:name="_Toc192949649"/>
      <w:bookmarkStart w:id="1330" w:name="_Toc94367927"/>
      <w:bookmarkStart w:id="1331" w:name="_Toc100670720"/>
      <w:bookmarkStart w:id="1332" w:name="_Toc85972977"/>
      <w:bookmarkStart w:id="1333" w:name="_Toc75289597"/>
      <w:bookmarkStart w:id="1334" w:name="_Toc171273718"/>
      <w:bookmarkStart w:id="1335" w:name="_Toc4447"/>
      <w:bookmarkStart w:id="1336" w:name="_Toc78314311"/>
      <w:bookmarkStart w:id="1337" w:name="_Toc154428436"/>
      <w:bookmarkStart w:id="1338" w:name="_Toc78450004"/>
      <w:bookmarkStart w:id="1339" w:name="_Toc117192497"/>
      <w:bookmarkStart w:id="1340" w:name="_Toc192951259"/>
      <w:bookmarkStart w:id="1341" w:name="_Toc1282"/>
      <w:r>
        <w:rPr>
          <w:rFonts w:hint="eastAsia" w:ascii="黑体" w:hAnsi="黑体" w:eastAsia="黑体"/>
          <w:color w:val="auto"/>
          <w:sz w:val="44"/>
          <w:szCs w:val="44"/>
        </w:rPr>
        <w:t>第一部分 资格证明文件</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14:paraId="3D90E3BF">
      <w:pPr>
        <w:adjustRightInd w:val="0"/>
        <w:snapToGrid w:val="0"/>
        <w:spacing w:line="360" w:lineRule="auto"/>
        <w:rPr>
          <w:rFonts w:ascii="黑体" w:hAnsi="黑体" w:eastAsia="黑体"/>
          <w:b/>
          <w:color w:val="auto"/>
          <w:sz w:val="32"/>
          <w:szCs w:val="32"/>
        </w:rPr>
      </w:pPr>
    </w:p>
    <w:p w14:paraId="4C7A469E">
      <w:pPr>
        <w:adjustRightInd w:val="0"/>
        <w:snapToGrid w:val="0"/>
        <w:spacing w:line="360" w:lineRule="auto"/>
        <w:rPr>
          <w:rFonts w:ascii="宋体" w:hAnsi="宋体"/>
          <w:b/>
          <w:color w:val="auto"/>
          <w:sz w:val="30"/>
          <w:szCs w:val="30"/>
        </w:rPr>
      </w:pPr>
    </w:p>
    <w:p w14:paraId="73DCF05C">
      <w:pPr>
        <w:pStyle w:val="24"/>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采购项目名称:</w:t>
      </w:r>
    </w:p>
    <w:p w14:paraId="5DCE4F00">
      <w:pPr>
        <w:pStyle w:val="24"/>
        <w:adjustRightInd w:val="0"/>
        <w:snapToGrid w:val="0"/>
        <w:spacing w:line="360" w:lineRule="auto"/>
        <w:ind w:firstLine="1988" w:firstLineChars="660"/>
        <w:rPr>
          <w:rFonts w:hAnsi="宋体"/>
          <w:b/>
          <w:bCs/>
          <w:color w:val="auto"/>
          <w:sz w:val="30"/>
          <w:szCs w:val="30"/>
        </w:rPr>
      </w:pPr>
      <w:r>
        <w:rPr>
          <w:rFonts w:hint="eastAsia" w:hAnsi="宋体"/>
          <w:b/>
          <w:bCs/>
          <w:color w:val="auto"/>
          <w:sz w:val="30"/>
          <w:szCs w:val="30"/>
        </w:rPr>
        <w:t>采   购   人：</w:t>
      </w:r>
    </w:p>
    <w:p w14:paraId="37B4330A">
      <w:pPr>
        <w:pStyle w:val="24"/>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政府采购计划编号:</w:t>
      </w:r>
    </w:p>
    <w:p w14:paraId="7122DBF1">
      <w:pPr>
        <w:pStyle w:val="24"/>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委托代理编号:</w:t>
      </w:r>
    </w:p>
    <w:p w14:paraId="20BDD7AB">
      <w:pPr>
        <w:pStyle w:val="24"/>
        <w:adjustRightInd w:val="0"/>
        <w:snapToGrid w:val="0"/>
        <w:spacing w:line="360" w:lineRule="auto"/>
        <w:ind w:firstLine="1988" w:firstLineChars="660"/>
        <w:rPr>
          <w:rFonts w:hAnsi="宋体"/>
          <w:b/>
          <w:bCs/>
          <w:color w:val="auto"/>
          <w:sz w:val="30"/>
          <w:szCs w:val="30"/>
          <w:u w:val="single"/>
        </w:rPr>
      </w:pPr>
      <w:r>
        <w:rPr>
          <w:rFonts w:hint="eastAsia" w:hAnsi="宋体"/>
          <w:b/>
          <w:bCs/>
          <w:color w:val="auto"/>
          <w:sz w:val="30"/>
          <w:szCs w:val="30"/>
        </w:rPr>
        <w:t>采购代理机构：</w:t>
      </w:r>
    </w:p>
    <w:p w14:paraId="03AC0A56">
      <w:pPr>
        <w:adjustRightInd w:val="0"/>
        <w:snapToGrid w:val="0"/>
        <w:spacing w:line="360" w:lineRule="auto"/>
        <w:rPr>
          <w:rFonts w:ascii="黑体" w:hAnsi="黑体" w:eastAsia="黑体"/>
          <w:color w:val="auto"/>
          <w:sz w:val="30"/>
          <w:szCs w:val="30"/>
        </w:rPr>
      </w:pPr>
    </w:p>
    <w:p w14:paraId="0A94CF87">
      <w:pPr>
        <w:adjustRightInd w:val="0"/>
        <w:snapToGrid w:val="0"/>
        <w:rPr>
          <w:rFonts w:ascii="黑体" w:hAnsi="宋体" w:eastAsia="黑体"/>
          <w:color w:val="auto"/>
          <w:sz w:val="30"/>
          <w:szCs w:val="30"/>
        </w:rPr>
      </w:pPr>
    </w:p>
    <w:p w14:paraId="63127607">
      <w:pPr>
        <w:adjustRightInd w:val="0"/>
        <w:snapToGrid w:val="0"/>
        <w:spacing w:line="360" w:lineRule="auto"/>
        <w:rPr>
          <w:rFonts w:ascii="黑体" w:hAnsi="宋体" w:eastAsia="黑体"/>
          <w:color w:val="auto"/>
          <w:sz w:val="30"/>
          <w:szCs w:val="30"/>
        </w:rPr>
      </w:pPr>
    </w:p>
    <w:p w14:paraId="3E0E1EF4">
      <w:pPr>
        <w:adjustRightInd w:val="0"/>
        <w:snapToGrid w:val="0"/>
        <w:spacing w:line="360" w:lineRule="auto"/>
        <w:rPr>
          <w:rFonts w:ascii="黑体" w:hAnsi="宋体" w:eastAsia="黑体"/>
          <w:color w:val="auto"/>
          <w:sz w:val="30"/>
          <w:szCs w:val="30"/>
        </w:rPr>
      </w:pPr>
    </w:p>
    <w:p w14:paraId="0A6DDD7E">
      <w:pPr>
        <w:adjustRightInd w:val="0"/>
        <w:snapToGrid w:val="0"/>
        <w:spacing w:line="360" w:lineRule="auto"/>
        <w:ind w:firstLine="2464" w:firstLineChars="770"/>
        <w:rPr>
          <w:rFonts w:ascii="黑体" w:hAnsi="宋体" w:eastAsia="黑体"/>
          <w:color w:val="auto"/>
          <w:sz w:val="32"/>
          <w:szCs w:val="32"/>
          <w:u w:val="single"/>
        </w:rPr>
      </w:pPr>
      <w:r>
        <w:rPr>
          <w:rFonts w:hint="eastAsia" w:ascii="黑体" w:hAnsi="宋体" w:eastAsia="黑体"/>
          <w:color w:val="auto"/>
          <w:sz w:val="32"/>
          <w:szCs w:val="32"/>
        </w:rPr>
        <w:t>投标人</w:t>
      </w:r>
    </w:p>
    <w:p w14:paraId="6FC67FE6">
      <w:pPr>
        <w:adjustRightInd w:val="0"/>
        <w:snapToGrid w:val="0"/>
        <w:jc w:val="center"/>
        <w:rPr>
          <w:rFonts w:ascii="黑体" w:hAnsi="宋体" w:eastAsia="黑体"/>
          <w:color w:val="auto"/>
          <w:sz w:val="32"/>
          <w:szCs w:val="32"/>
        </w:rPr>
      </w:pPr>
      <w:r>
        <w:rPr>
          <w:rFonts w:hint="eastAsia" w:ascii="黑体" w:hAnsi="宋体" w:eastAsia="黑体"/>
          <w:color w:val="auto"/>
          <w:sz w:val="32"/>
          <w:szCs w:val="32"/>
        </w:rPr>
        <w:t>年  月  日</w:t>
      </w:r>
    </w:p>
    <w:p w14:paraId="0B709416">
      <w:pPr>
        <w:adjustRightInd w:val="0"/>
        <w:snapToGrid w:val="0"/>
        <w:rPr>
          <w:rFonts w:ascii="黑体" w:hAnsi="宋体" w:eastAsia="黑体"/>
          <w:color w:val="auto"/>
          <w:szCs w:val="21"/>
        </w:rPr>
      </w:pPr>
      <w:r>
        <w:rPr>
          <w:rFonts w:ascii="黑体" w:eastAsia="黑体"/>
          <w:color w:val="auto"/>
          <w:sz w:val="28"/>
          <w:szCs w:val="28"/>
        </w:rPr>
        <w:br w:type="page"/>
      </w:r>
    </w:p>
    <w:p w14:paraId="204C424D">
      <w:pPr>
        <w:pStyle w:val="4"/>
        <w:jc w:val="center"/>
        <w:rPr>
          <w:rFonts w:ascii="黑体" w:hAnsi="宋体" w:eastAsia="黑体"/>
          <w:color w:val="auto"/>
          <w:sz w:val="28"/>
          <w:szCs w:val="28"/>
        </w:rPr>
      </w:pPr>
      <w:bookmarkStart w:id="1342" w:name="_Toc112704991"/>
      <w:bookmarkStart w:id="1343" w:name="_Toc78450006"/>
      <w:bookmarkStart w:id="1344" w:name="_Toc75289599"/>
      <w:bookmarkStart w:id="1345" w:name="_Toc95601414"/>
      <w:bookmarkStart w:id="1346" w:name="_Toc77676517"/>
      <w:bookmarkStart w:id="1347" w:name="_Toc100670474"/>
      <w:bookmarkStart w:id="1348" w:name="_Toc1660"/>
      <w:bookmarkStart w:id="1349" w:name="_Toc192949749"/>
      <w:bookmarkStart w:id="1350" w:name="_Toc6971"/>
      <w:bookmarkStart w:id="1351" w:name="_Toc30270"/>
      <w:bookmarkStart w:id="1352" w:name="_Toc154428437"/>
      <w:bookmarkStart w:id="1353" w:name="_Toc117192498"/>
      <w:bookmarkStart w:id="1354" w:name="_Toc20651243"/>
      <w:bookmarkStart w:id="1355" w:name="_Toc114036762"/>
      <w:bookmarkStart w:id="1356" w:name="_Toc14832"/>
      <w:bookmarkStart w:id="1357" w:name="_Toc192949650"/>
      <w:bookmarkStart w:id="1358" w:name="_Toc21940"/>
      <w:bookmarkStart w:id="1359" w:name="_Toc19753"/>
      <w:bookmarkStart w:id="1360" w:name="_Toc1834"/>
      <w:bookmarkStart w:id="1361" w:name="_Toc78314313"/>
      <w:bookmarkStart w:id="1362" w:name="_Toc100670722"/>
      <w:bookmarkStart w:id="1363" w:name="_Toc3062"/>
      <w:bookmarkStart w:id="1364" w:name="_Toc94367929"/>
      <w:bookmarkStart w:id="1365" w:name="_Toc75289281"/>
      <w:bookmarkStart w:id="1366" w:name="_Toc26419"/>
      <w:bookmarkStart w:id="1367" w:name="_Toc192951260"/>
      <w:bookmarkStart w:id="1368" w:name="_Toc171273719"/>
      <w:bookmarkStart w:id="1369" w:name="_Toc85972979"/>
      <w:bookmarkStart w:id="1370" w:name="_Toc108341989"/>
      <w:bookmarkStart w:id="1371" w:name="_Toc77199453"/>
      <w:r>
        <w:rPr>
          <w:rFonts w:hint="eastAsia" w:ascii="黑体" w:hAnsi="宋体" w:eastAsia="黑体"/>
          <w:color w:val="auto"/>
          <w:sz w:val="28"/>
          <w:szCs w:val="28"/>
        </w:rPr>
        <w:t>一、开标一览表</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14:paraId="49E484FE">
      <w:pPr>
        <w:adjustRightInd w:val="0"/>
        <w:snapToGrid w:val="0"/>
        <w:spacing w:line="360" w:lineRule="auto"/>
        <w:ind w:left="-88" w:leftChars="-42"/>
        <w:jc w:val="center"/>
        <w:rPr>
          <w:rFonts w:ascii="仿宋_GB2312" w:hAnsi="宋体" w:eastAsia="仿宋_GB2312"/>
          <w:color w:val="auto"/>
          <w:sz w:val="24"/>
        </w:rPr>
      </w:pPr>
    </w:p>
    <w:p w14:paraId="3D32D010">
      <w:pPr>
        <w:adjustRightInd w:val="0"/>
        <w:snapToGrid w:val="0"/>
        <w:spacing w:line="360" w:lineRule="auto"/>
        <w:rPr>
          <w:rFonts w:ascii="宋体" w:hAnsi="宋体"/>
          <w:color w:val="auto"/>
          <w:szCs w:val="21"/>
        </w:rPr>
      </w:pPr>
      <w:r>
        <w:rPr>
          <w:rFonts w:hint="eastAsia" w:ascii="宋体" w:hAnsi="宋体"/>
          <w:color w:val="auto"/>
          <w:szCs w:val="21"/>
        </w:rPr>
        <w:t>政府采购计划编号：</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u w:val="single"/>
        </w:rPr>
        <w:t xml:space="preserve">   </w:t>
      </w:r>
      <w:r>
        <w:rPr>
          <w:rFonts w:hint="eastAsia" w:ascii="宋体" w:hAnsi="宋体"/>
          <w:color w:val="auto"/>
          <w:szCs w:val="21"/>
        </w:rPr>
        <w:t xml:space="preserve">                   </w:t>
      </w:r>
      <w:r>
        <w:rPr>
          <w:rFonts w:hint="eastAsia" w:ascii="宋体" w:hAnsi="宋体"/>
          <w:color w:val="auto"/>
          <w:szCs w:val="21"/>
          <w:lang w:val="en-US" w:eastAsia="zh-CN"/>
        </w:rPr>
        <w:t xml:space="preserve">   </w:t>
      </w:r>
      <w:r>
        <w:rPr>
          <w:rFonts w:hint="eastAsia" w:ascii="宋体" w:hAnsi="宋体"/>
          <w:color w:val="auto"/>
          <w:szCs w:val="21"/>
        </w:rPr>
        <w:t>项目名称：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u w:val="single"/>
        </w:rPr>
        <w:t xml:space="preserve">    </w:t>
      </w:r>
    </w:p>
    <w:p w14:paraId="66637CB1">
      <w:pPr>
        <w:adjustRightInd w:val="0"/>
        <w:snapToGrid w:val="0"/>
        <w:spacing w:line="360" w:lineRule="auto"/>
        <w:rPr>
          <w:rFonts w:ascii="宋体" w:hAnsi="宋体"/>
          <w:b/>
          <w:color w:val="auto"/>
          <w:szCs w:val="21"/>
        </w:rPr>
      </w:pPr>
      <w:r>
        <w:rPr>
          <w:rFonts w:hint="eastAsia" w:ascii="宋体" w:hAnsi="宋体"/>
          <w:color w:val="auto"/>
          <w:szCs w:val="21"/>
        </w:rPr>
        <w:t>包号：</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u w:val="single"/>
        </w:rPr>
        <w:t xml:space="preserve">   </w:t>
      </w:r>
      <w:r>
        <w:rPr>
          <w:rFonts w:hint="eastAsia" w:ascii="宋体" w:hAnsi="宋体"/>
          <w:color w:val="auto"/>
          <w:szCs w:val="21"/>
        </w:rPr>
        <w:t xml:space="preserve">                               包名称：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 xml:space="preserve">            </w:t>
      </w:r>
      <w:r>
        <w:rPr>
          <w:rFonts w:hint="eastAsia" w:ascii="宋体" w:hAnsi="宋体" w:eastAsia="宋体" w:cs="宋体"/>
          <w:color w:val="auto"/>
          <w:szCs w:val="21"/>
          <w:u w:val="single"/>
        </w:rPr>
        <w:t xml:space="preserve">    </w:t>
      </w:r>
    </w:p>
    <w:tbl>
      <w:tblPr>
        <w:tblStyle w:val="47"/>
        <w:tblW w:w="878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7860A4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5670" w:type="dxa"/>
            <w:vAlign w:val="center"/>
          </w:tcPr>
          <w:p w14:paraId="2164B5A4">
            <w:pPr>
              <w:adjustRightInd w:val="0"/>
              <w:snapToGrid w:val="0"/>
              <w:spacing w:line="360" w:lineRule="auto"/>
              <w:jc w:val="center"/>
              <w:rPr>
                <w:rFonts w:ascii="宋体" w:hAnsi="宋体"/>
                <w:b/>
                <w:color w:val="auto"/>
                <w:kern w:val="0"/>
                <w:sz w:val="20"/>
                <w:szCs w:val="21"/>
              </w:rPr>
            </w:pPr>
            <w:r>
              <w:rPr>
                <w:rFonts w:hint="eastAsia" w:ascii="宋体" w:hAnsi="宋体"/>
                <w:b/>
                <w:color w:val="auto"/>
                <w:kern w:val="0"/>
                <w:szCs w:val="21"/>
              </w:rPr>
              <w:t>投标报价</w:t>
            </w:r>
          </w:p>
        </w:tc>
        <w:tc>
          <w:tcPr>
            <w:tcW w:w="3119" w:type="dxa"/>
            <w:vAlign w:val="center"/>
          </w:tcPr>
          <w:p w14:paraId="69727E15">
            <w:pPr>
              <w:adjustRightInd w:val="0"/>
              <w:snapToGrid w:val="0"/>
              <w:spacing w:line="360" w:lineRule="auto"/>
              <w:jc w:val="center"/>
              <w:rPr>
                <w:rFonts w:ascii="宋体" w:hAnsi="宋体"/>
                <w:b/>
                <w:color w:val="auto"/>
                <w:kern w:val="0"/>
                <w:szCs w:val="21"/>
              </w:rPr>
            </w:pPr>
            <w:r>
              <w:rPr>
                <w:rFonts w:hint="eastAsia" w:ascii="宋体" w:hAnsi="宋体"/>
                <w:b/>
                <w:color w:val="auto"/>
                <w:kern w:val="0"/>
                <w:szCs w:val="21"/>
              </w:rPr>
              <w:t>其他内容</w:t>
            </w:r>
          </w:p>
        </w:tc>
      </w:tr>
      <w:tr w14:paraId="7BF5EF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5670" w:type="dxa"/>
            <w:vAlign w:val="center"/>
          </w:tcPr>
          <w:p w14:paraId="17A47672">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小写金额：（</w:t>
            </w:r>
            <w:r>
              <w:rPr>
                <w:rFonts w:hint="eastAsia" w:ascii="宋体" w:hAnsi="宋体"/>
                <w:color w:val="auto"/>
                <w:kern w:val="0"/>
                <w:sz w:val="20"/>
                <w:szCs w:val="21"/>
              </w:rPr>
              <w:t>人民币元</w:t>
            </w:r>
            <w:r>
              <w:rPr>
                <w:rFonts w:hint="eastAsia" w:ascii="宋体" w:hAnsi="宋体"/>
                <w:color w:val="auto"/>
                <w:kern w:val="0"/>
                <w:szCs w:val="21"/>
              </w:rPr>
              <w:t>）</w:t>
            </w:r>
          </w:p>
          <w:p w14:paraId="43010B99">
            <w:pPr>
              <w:adjustRightInd w:val="0"/>
              <w:snapToGrid w:val="0"/>
              <w:spacing w:line="360" w:lineRule="auto"/>
              <w:jc w:val="center"/>
              <w:rPr>
                <w:rFonts w:ascii="宋体" w:hAnsi="宋体"/>
                <w:color w:val="auto"/>
                <w:kern w:val="0"/>
                <w:szCs w:val="21"/>
                <w:u w:val="single"/>
              </w:rPr>
            </w:pPr>
            <w:r>
              <w:rPr>
                <w:rFonts w:hint="eastAsia" w:ascii="宋体" w:hAnsi="宋体"/>
                <w:color w:val="auto"/>
                <w:kern w:val="0"/>
                <w:szCs w:val="21"/>
              </w:rPr>
              <w:t>大写金额：（</w:t>
            </w:r>
            <w:r>
              <w:rPr>
                <w:rFonts w:hint="eastAsia" w:ascii="宋体" w:hAnsi="宋体"/>
                <w:color w:val="auto"/>
                <w:kern w:val="0"/>
                <w:sz w:val="20"/>
                <w:szCs w:val="21"/>
              </w:rPr>
              <w:t>人民币元</w:t>
            </w:r>
            <w:r>
              <w:rPr>
                <w:rFonts w:hint="eastAsia" w:ascii="宋体" w:hAnsi="宋体"/>
                <w:color w:val="auto"/>
                <w:kern w:val="0"/>
                <w:szCs w:val="21"/>
              </w:rPr>
              <w:t>）</w:t>
            </w:r>
          </w:p>
          <w:p w14:paraId="6A27DF96">
            <w:pPr>
              <w:adjustRightInd w:val="0"/>
              <w:snapToGrid w:val="0"/>
              <w:spacing w:line="360" w:lineRule="auto"/>
              <w:jc w:val="center"/>
              <w:rPr>
                <w:rFonts w:ascii="宋体" w:hAnsi="宋体"/>
                <w:color w:val="auto"/>
                <w:kern w:val="0"/>
                <w:szCs w:val="21"/>
              </w:rPr>
            </w:pPr>
            <w:r>
              <w:rPr>
                <w:rFonts w:hint="eastAsia" w:ascii="宋体" w:hAnsi="宋体"/>
                <w:color w:val="auto"/>
                <w:kern w:val="0"/>
                <w:szCs w:val="21"/>
              </w:rPr>
              <w:t>（大写金额与小写金额不一致时，以大写金额为准）</w:t>
            </w:r>
          </w:p>
        </w:tc>
        <w:tc>
          <w:tcPr>
            <w:tcW w:w="3119" w:type="dxa"/>
            <w:vAlign w:val="center"/>
          </w:tcPr>
          <w:p w14:paraId="5A1FB109">
            <w:pPr>
              <w:rPr>
                <w:color w:val="auto"/>
                <w:szCs w:val="21"/>
              </w:rPr>
            </w:pPr>
          </w:p>
        </w:tc>
      </w:tr>
    </w:tbl>
    <w:p w14:paraId="7CE45EEE">
      <w:pPr>
        <w:adjustRightInd w:val="0"/>
        <w:snapToGrid w:val="0"/>
        <w:spacing w:line="360" w:lineRule="auto"/>
        <w:rPr>
          <w:rFonts w:ascii="宋体" w:hAnsi="宋体"/>
          <w:color w:val="auto"/>
          <w:szCs w:val="21"/>
        </w:rPr>
      </w:pPr>
      <w:r>
        <w:rPr>
          <w:rFonts w:hint="eastAsia" w:ascii="宋体" w:hAnsi="宋体"/>
          <w:b/>
          <w:color w:val="auto"/>
          <w:szCs w:val="21"/>
        </w:rPr>
        <w:t>备注：</w:t>
      </w:r>
      <w:r>
        <w:rPr>
          <w:rFonts w:hint="eastAsia" w:ascii="宋体" w:hAnsi="宋体"/>
          <w:color w:val="auto"/>
          <w:szCs w:val="21"/>
        </w:rPr>
        <w:t>1.本表须按包填写，一个“包号”一份。</w:t>
      </w:r>
    </w:p>
    <w:p w14:paraId="52E4CF55">
      <w:pPr>
        <w:adjustRightInd w:val="0"/>
        <w:snapToGrid w:val="0"/>
        <w:spacing w:line="360" w:lineRule="auto"/>
        <w:ind w:firstLine="630" w:firstLineChars="300"/>
        <w:rPr>
          <w:rFonts w:ascii="宋体" w:hAnsi="宋体"/>
          <w:color w:val="auto"/>
          <w:szCs w:val="21"/>
        </w:rPr>
      </w:pPr>
      <w:r>
        <w:rPr>
          <w:rFonts w:hint="eastAsia" w:ascii="宋体" w:hAnsi="宋体"/>
          <w:color w:val="auto"/>
          <w:szCs w:val="21"/>
        </w:rPr>
        <w:t>2.</w:t>
      </w:r>
      <w:r>
        <w:rPr>
          <w:rFonts w:hint="eastAsia" w:ascii="宋体" w:hAnsi="宋体"/>
          <w:color w:val="auto"/>
        </w:rPr>
        <w:t>投标人对采购项目内容只允许有一个投标报价，否则其</w:t>
      </w:r>
      <w:r>
        <w:rPr>
          <w:rFonts w:hint="eastAsia" w:ascii="宋体" w:hAnsi="宋体"/>
          <w:b/>
          <w:color w:val="auto"/>
        </w:rPr>
        <w:t>投标无效</w:t>
      </w:r>
      <w:r>
        <w:rPr>
          <w:rFonts w:hint="eastAsia" w:ascii="宋体" w:hAnsi="宋体"/>
          <w:color w:val="auto"/>
          <w:szCs w:val="21"/>
        </w:rPr>
        <w:t>。</w:t>
      </w:r>
    </w:p>
    <w:p w14:paraId="598B78A8">
      <w:pPr>
        <w:adjustRightInd w:val="0"/>
        <w:snapToGrid w:val="0"/>
        <w:spacing w:line="360" w:lineRule="auto"/>
        <w:ind w:firstLine="630" w:firstLineChars="300"/>
        <w:rPr>
          <w:rFonts w:ascii="宋体" w:hAnsi="宋体"/>
          <w:color w:val="auto"/>
        </w:rPr>
      </w:pPr>
      <w:r>
        <w:rPr>
          <w:rFonts w:hint="eastAsia" w:ascii="宋体" w:hAnsi="宋体"/>
          <w:color w:val="auto"/>
          <w:szCs w:val="21"/>
        </w:rPr>
        <w:t>3.</w:t>
      </w:r>
      <w:r>
        <w:rPr>
          <w:rFonts w:hint="eastAsia" w:ascii="宋体" w:hAnsi="宋体"/>
          <w:color w:val="auto"/>
        </w:rPr>
        <w:t>投标人在投标截止时间前修改“开标一览表”中的投标报价的，应同时修改投标文件“分项报价明细表”“享受政府采购政策优惠的证明资料”以及“联合体协议书”（如果影响）等相关内容。</w:t>
      </w:r>
    </w:p>
    <w:p w14:paraId="560DBC9F">
      <w:pPr>
        <w:adjustRightInd w:val="0"/>
        <w:snapToGrid w:val="0"/>
        <w:spacing w:line="360" w:lineRule="auto"/>
        <w:ind w:firstLine="420" w:firstLineChars="200"/>
        <w:rPr>
          <w:rFonts w:ascii="宋体" w:hAnsi="宋体"/>
          <w:color w:val="auto"/>
          <w:szCs w:val="21"/>
        </w:rPr>
      </w:pPr>
    </w:p>
    <w:p w14:paraId="134D11AA">
      <w:pPr>
        <w:adjustRightInd w:val="0"/>
        <w:snapToGrid w:val="0"/>
        <w:spacing w:line="360" w:lineRule="auto"/>
        <w:ind w:firstLine="420" w:firstLineChars="200"/>
        <w:rPr>
          <w:rFonts w:ascii="宋体" w:hAnsi="宋体"/>
          <w:color w:val="auto"/>
          <w:szCs w:val="21"/>
        </w:rPr>
      </w:pPr>
    </w:p>
    <w:p w14:paraId="79487BE6">
      <w:pPr>
        <w:adjustRightInd w:val="0"/>
        <w:snapToGrid w:val="0"/>
        <w:spacing w:line="360" w:lineRule="auto"/>
        <w:rPr>
          <w:rFonts w:ascii="宋体" w:hAnsi="宋体"/>
          <w:color w:val="auto"/>
          <w:szCs w:val="21"/>
        </w:rPr>
      </w:pPr>
    </w:p>
    <w:p w14:paraId="514AF8C0">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14:paraId="6E955B0F">
      <w:pPr>
        <w:adjustRightInd w:val="0"/>
        <w:snapToGrid w:val="0"/>
        <w:spacing w:line="360" w:lineRule="auto"/>
        <w:rPr>
          <w:rFonts w:hint="default" w:ascii="宋体" w:hAnsi="宋体" w:eastAsia="宋体"/>
          <w:color w:val="auto"/>
          <w:szCs w:val="21"/>
          <w:lang w:val="en-US" w:eastAsia="zh-CN"/>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或其授权的代理人（签字或印章）：</w:t>
      </w:r>
      <w:r>
        <w:rPr>
          <w:rFonts w:hint="eastAsia" w:ascii="宋体" w:hAnsi="宋体"/>
          <w:color w:val="auto"/>
          <w:szCs w:val="21"/>
          <w:lang w:val="en-US" w:eastAsia="zh-CN"/>
        </w:rPr>
        <w:t xml:space="preserve"> </w:t>
      </w:r>
      <w:r>
        <w:rPr>
          <w:rFonts w:hint="eastAsia" w:ascii="宋体" w:hAnsi="宋体" w:eastAsia="宋体" w:cs="宋体"/>
          <w:color w:val="auto"/>
          <w:szCs w:val="21"/>
          <w:u w:val="single"/>
        </w:rPr>
        <w:t xml:space="preserve">       </w:t>
      </w:r>
      <w:r>
        <w:rPr>
          <w:rFonts w:hint="eastAsia" w:ascii="宋体" w:hAnsi="宋体"/>
          <w:color w:val="auto"/>
          <w:szCs w:val="21"/>
          <w:lang w:val="en-US" w:eastAsia="zh-CN"/>
        </w:rPr>
        <w:t xml:space="preserve">     </w:t>
      </w:r>
    </w:p>
    <w:p w14:paraId="41BC5ADB">
      <w:pPr>
        <w:adjustRightInd w:val="0"/>
        <w:snapToGrid w:val="0"/>
        <w:spacing w:line="360" w:lineRule="auto"/>
        <w:rPr>
          <w:rFonts w:hint="eastAsia" w:ascii="宋体" w:hAnsi="宋体" w:eastAsia="宋体" w:cs="宋体"/>
          <w:color w:val="auto"/>
          <w:szCs w:val="21"/>
        </w:rPr>
      </w:pPr>
      <w:r>
        <w:rPr>
          <w:rFonts w:hint="eastAsia" w:ascii="宋体" w:hAnsi="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79EA11CD">
      <w:pPr>
        <w:adjustRightInd w:val="0"/>
        <w:snapToGrid w:val="0"/>
        <w:spacing w:line="360" w:lineRule="auto"/>
        <w:rPr>
          <w:rFonts w:ascii="宋体" w:hAnsi="宋体"/>
          <w:color w:val="auto"/>
          <w:szCs w:val="21"/>
        </w:rPr>
      </w:pPr>
    </w:p>
    <w:p w14:paraId="1BEE4E78">
      <w:pPr>
        <w:widowControl/>
        <w:jc w:val="left"/>
        <w:rPr>
          <w:rFonts w:ascii="宋体" w:hAnsi="宋体"/>
          <w:color w:val="auto"/>
          <w:szCs w:val="21"/>
        </w:rPr>
      </w:pPr>
      <w:r>
        <w:rPr>
          <w:rFonts w:ascii="宋体" w:hAnsi="宋体"/>
          <w:color w:val="auto"/>
          <w:szCs w:val="21"/>
        </w:rPr>
        <w:br w:type="page"/>
      </w:r>
    </w:p>
    <w:p w14:paraId="1BBD4D0B">
      <w:pPr>
        <w:pStyle w:val="4"/>
        <w:jc w:val="center"/>
        <w:rPr>
          <w:rFonts w:ascii="黑体" w:hAnsi="黑体" w:eastAsia="黑体"/>
          <w:color w:val="auto"/>
          <w:sz w:val="28"/>
          <w:szCs w:val="28"/>
        </w:rPr>
      </w:pPr>
      <w:bookmarkStart w:id="1372" w:name="_Toc171273720"/>
      <w:bookmarkStart w:id="1373" w:name="_Toc5163"/>
      <w:bookmarkStart w:id="1374" w:name="_Toc17876"/>
      <w:bookmarkStart w:id="1375" w:name="_Toc85972982"/>
      <w:bookmarkStart w:id="1376" w:name="_Toc78314316"/>
      <w:bookmarkStart w:id="1377" w:name="_Toc20651246"/>
      <w:bookmarkStart w:id="1378" w:name="_Toc78450009"/>
      <w:bookmarkStart w:id="1379" w:name="_Toc7143"/>
      <w:bookmarkStart w:id="1380" w:name="_Toc117192500"/>
      <w:bookmarkStart w:id="1381" w:name="_Toc100670724"/>
      <w:bookmarkStart w:id="1382" w:name="_Toc108341991"/>
      <w:bookmarkStart w:id="1383" w:name="_Toc77676520"/>
      <w:bookmarkStart w:id="1384" w:name="_Toc4949"/>
      <w:bookmarkStart w:id="1385" w:name="_Toc100670476"/>
      <w:bookmarkStart w:id="1386" w:name="_Toc77199455"/>
      <w:bookmarkStart w:id="1387" w:name="_Toc94367932"/>
      <w:bookmarkStart w:id="1388" w:name="_Toc192949750"/>
      <w:bookmarkStart w:id="1389" w:name="_Toc11374"/>
      <w:bookmarkStart w:id="1390" w:name="_Toc192951261"/>
      <w:bookmarkStart w:id="1391" w:name="_Toc31855"/>
      <w:bookmarkStart w:id="1392" w:name="_Toc25575"/>
      <w:bookmarkStart w:id="1393" w:name="_Toc6715"/>
      <w:bookmarkStart w:id="1394" w:name="_Toc75289283"/>
      <w:bookmarkStart w:id="1395" w:name="_Toc95601417"/>
      <w:bookmarkStart w:id="1396" w:name="_Toc27540"/>
      <w:bookmarkStart w:id="1397" w:name="_Toc192949651"/>
      <w:bookmarkStart w:id="1398" w:name="_Toc154428438"/>
      <w:bookmarkStart w:id="1399" w:name="_Toc112704993"/>
      <w:bookmarkStart w:id="1400" w:name="_Toc114036764"/>
      <w:bookmarkStart w:id="1401" w:name="_Toc75289601"/>
      <w:r>
        <w:rPr>
          <w:rFonts w:hint="eastAsia" w:ascii="黑体" w:hAnsi="黑体" w:eastAsia="黑体"/>
          <w:color w:val="auto"/>
          <w:sz w:val="28"/>
          <w:szCs w:val="28"/>
        </w:rPr>
        <w:t>二、投标保证金</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14:paraId="227D8914">
      <w:pPr>
        <w:tabs>
          <w:tab w:val="left" w:pos="3880"/>
        </w:tabs>
        <w:autoSpaceDE w:val="0"/>
        <w:autoSpaceDN w:val="0"/>
        <w:adjustRightInd w:val="0"/>
        <w:snapToGrid w:val="0"/>
        <w:spacing w:line="360" w:lineRule="auto"/>
        <w:ind w:left="100" w:right="-20"/>
        <w:jc w:val="left"/>
        <w:rPr>
          <w:rFonts w:ascii="宋体" w:hAnsi="宋体" w:cs="微软雅黑"/>
          <w:color w:val="auto"/>
          <w:kern w:val="0"/>
          <w:position w:val="-4"/>
          <w:szCs w:val="21"/>
        </w:rPr>
      </w:pPr>
    </w:p>
    <w:p w14:paraId="18F506AB">
      <w:pPr>
        <w:adjustRightInd w:val="0"/>
        <w:snapToGrid w:val="0"/>
        <w:spacing w:line="360" w:lineRule="auto"/>
        <w:ind w:right="420"/>
        <w:jc w:val="center"/>
        <w:rPr>
          <w:rFonts w:ascii="宋体" w:hAnsi="宋体" w:cs="微软雅黑"/>
          <w:color w:val="auto"/>
          <w:kern w:val="0"/>
          <w:position w:val="-4"/>
          <w:sz w:val="24"/>
        </w:rPr>
      </w:pPr>
      <w:r>
        <w:rPr>
          <w:rFonts w:hint="eastAsia" w:ascii="宋体" w:hAnsi="宋体" w:cs="微软雅黑"/>
          <w:color w:val="auto"/>
          <w:kern w:val="0"/>
          <w:position w:val="-4"/>
          <w:sz w:val="24"/>
        </w:rPr>
        <w:t>（不作要求）</w:t>
      </w:r>
    </w:p>
    <w:p w14:paraId="5D6D045D">
      <w:pPr>
        <w:pStyle w:val="18"/>
        <w:rPr>
          <w:color w:val="auto"/>
        </w:rPr>
      </w:pPr>
    </w:p>
    <w:p w14:paraId="43DF4F6D">
      <w:pPr>
        <w:keepNext/>
        <w:keepLines/>
        <w:adjustRightInd w:val="0"/>
        <w:snapToGrid w:val="0"/>
        <w:spacing w:line="360" w:lineRule="auto"/>
        <w:jc w:val="center"/>
        <w:outlineLvl w:val="2"/>
        <w:rPr>
          <w:rFonts w:ascii="黑体" w:hAnsi="宋体" w:eastAsia="黑体"/>
          <w:b/>
          <w:bCs/>
          <w:color w:val="auto"/>
          <w:sz w:val="28"/>
          <w:szCs w:val="28"/>
        </w:rPr>
      </w:pPr>
      <w:r>
        <w:rPr>
          <w:rFonts w:ascii="黑体" w:hAnsi="黑体" w:eastAsia="黑体"/>
          <w:color w:val="auto"/>
          <w:sz w:val="28"/>
          <w:szCs w:val="28"/>
        </w:rPr>
        <w:br w:type="page"/>
      </w:r>
      <w:bookmarkStart w:id="1402" w:name="_Toc21861"/>
      <w:bookmarkStart w:id="1403" w:name="_Toc20651247"/>
      <w:bookmarkStart w:id="1404" w:name="_Toc114036765"/>
      <w:bookmarkStart w:id="1405" w:name="_Toc192949652"/>
      <w:bookmarkStart w:id="1406" w:name="_Toc85972983"/>
      <w:bookmarkStart w:id="1407" w:name="_Toc112704994"/>
      <w:bookmarkStart w:id="1408" w:name="_Toc100670725"/>
      <w:bookmarkStart w:id="1409" w:name="_Toc75289602"/>
      <w:bookmarkStart w:id="1410" w:name="_Toc11472"/>
      <w:bookmarkStart w:id="1411" w:name="_Toc26273"/>
      <w:bookmarkStart w:id="1412" w:name="_Toc77676521"/>
      <w:bookmarkStart w:id="1413" w:name="_Toc23313"/>
      <w:bookmarkStart w:id="1414" w:name="_Toc171273721"/>
      <w:bookmarkStart w:id="1415" w:name="_Toc95601418"/>
      <w:bookmarkStart w:id="1416" w:name="_Toc1470"/>
      <w:bookmarkStart w:id="1417" w:name="_Toc78450010"/>
      <w:bookmarkStart w:id="1418" w:name="_Toc192951262"/>
      <w:bookmarkStart w:id="1419" w:name="_Toc94367933"/>
      <w:bookmarkStart w:id="1420" w:name="_Toc100670477"/>
      <w:bookmarkStart w:id="1421" w:name="_Toc192949751"/>
      <w:bookmarkStart w:id="1422" w:name="_Toc13500"/>
      <w:bookmarkStart w:id="1423" w:name="_Toc78314317"/>
      <w:bookmarkStart w:id="1424" w:name="_Toc154428439"/>
      <w:bookmarkStart w:id="1425" w:name="_Toc22219"/>
      <w:bookmarkStart w:id="1426" w:name="_Toc77199456"/>
      <w:bookmarkStart w:id="1427" w:name="_Toc117192501"/>
      <w:bookmarkStart w:id="1428" w:name="_Toc75289284"/>
      <w:bookmarkStart w:id="1429" w:name="_Toc108341992"/>
      <w:bookmarkStart w:id="1430" w:name="_Toc28122"/>
      <w:bookmarkStart w:id="1431" w:name="_Toc456"/>
      <w:r>
        <w:rPr>
          <w:rFonts w:hint="eastAsia" w:ascii="黑体" w:hAnsi="宋体" w:eastAsia="黑体"/>
          <w:color w:val="auto"/>
          <w:sz w:val="28"/>
          <w:szCs w:val="28"/>
        </w:rPr>
        <w:t>三、</w:t>
      </w:r>
      <w:r>
        <w:rPr>
          <w:rFonts w:hint="eastAsia" w:ascii="黑体" w:hAnsi="宋体" w:eastAsia="黑体"/>
          <w:b/>
          <w:bCs/>
          <w:color w:val="auto"/>
          <w:sz w:val="28"/>
          <w:szCs w:val="28"/>
        </w:rPr>
        <w:t>授权委托书</w:t>
      </w:r>
      <w:bookmarkEnd w:id="1402"/>
    </w:p>
    <w:p w14:paraId="2FB07460">
      <w:pPr>
        <w:autoSpaceDE w:val="0"/>
        <w:autoSpaceDN w:val="0"/>
        <w:adjustRightInd w:val="0"/>
        <w:snapToGrid w:val="0"/>
        <w:spacing w:line="360" w:lineRule="auto"/>
        <w:ind w:firstLine="446" w:firstLineChars="200"/>
        <w:jc w:val="left"/>
        <w:rPr>
          <w:rFonts w:ascii="宋体" w:hAnsi="宋体"/>
          <w:b/>
          <w:color w:val="auto"/>
          <w:spacing w:val="6"/>
          <w:szCs w:val="21"/>
        </w:rPr>
      </w:pPr>
    </w:p>
    <w:p w14:paraId="073F2241">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本人</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（姓名、职务）系</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olor w:val="auto"/>
          <w:szCs w:val="21"/>
        </w:rPr>
        <w:t>投标人</w:t>
      </w:r>
      <w:r>
        <w:rPr>
          <w:rFonts w:hint="eastAsia" w:ascii="宋体" w:hAnsi="宋体" w:cs="宋体"/>
          <w:color w:val="auto"/>
          <w:kern w:val="0"/>
          <w:szCs w:val="21"/>
        </w:rPr>
        <w:t>名称）的法定代表人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s="宋体"/>
          <w:color w:val="auto"/>
          <w:kern w:val="0"/>
          <w:szCs w:val="21"/>
        </w:rPr>
        <w:t>，现授权</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（姓名、职务）为我方代理人。代理人根据授权，以我方名义签署、澄清、说明、补正、递交、撤回、修改</w:t>
      </w:r>
      <w:r>
        <w:rPr>
          <w:rFonts w:hint="eastAsia" w:ascii="宋体" w:hAnsi="宋体" w:cs="宋体"/>
          <w:color w:val="auto"/>
          <w:kern w:val="0"/>
          <w:szCs w:val="21"/>
          <w:u w:val="single"/>
        </w:rPr>
        <w:t xml:space="preserve">              </w:t>
      </w:r>
      <w:r>
        <w:rPr>
          <w:rFonts w:hint="eastAsia" w:ascii="宋体" w:hAnsi="宋体" w:cs="宋体"/>
          <w:color w:val="auto"/>
          <w:kern w:val="0"/>
          <w:szCs w:val="21"/>
        </w:rPr>
        <w:t>（项目名称</w:t>
      </w:r>
      <w:r>
        <w:rPr>
          <w:rFonts w:ascii="宋体" w:hAnsi="宋体" w:cs="宋体"/>
          <w:color w:val="auto"/>
          <w:kern w:val="0"/>
          <w:szCs w:val="21"/>
        </w:rPr>
        <w:t>）</w:t>
      </w:r>
      <w:r>
        <w:rPr>
          <w:rFonts w:hint="eastAsia" w:ascii="宋体" w:hAnsi="宋体" w:cs="宋体"/>
          <w:color w:val="auto"/>
          <w:kern w:val="0"/>
          <w:szCs w:val="21"/>
        </w:rPr>
        <w:t>（</w:t>
      </w:r>
      <w:r>
        <w:rPr>
          <w:rFonts w:hint="eastAsia" w:ascii="宋体" w:hAnsi="宋体"/>
          <w:color w:val="auto"/>
        </w:rPr>
        <w:t>政府采购计划编号</w:t>
      </w:r>
      <w:r>
        <w:rPr>
          <w:rFonts w:hint="eastAsia" w:ascii="宋体" w:hAnsi="宋体"/>
          <w:iCs/>
          <w:color w:val="auto"/>
        </w:rPr>
        <w:t>：</w:t>
      </w:r>
      <w:r>
        <w:rPr>
          <w:rFonts w:hint="eastAsia" w:ascii="宋体" w:hAnsi="宋体"/>
          <w:iCs/>
          <w:color w:val="auto"/>
          <w:u w:val="single"/>
        </w:rPr>
        <w:t xml:space="preserve">      </w:t>
      </w:r>
      <w:r>
        <w:rPr>
          <w:rFonts w:hint="eastAsia" w:ascii="宋体" w:hAnsi="宋体"/>
          <w:iCs/>
          <w:color w:val="auto"/>
        </w:rPr>
        <w:t xml:space="preserve"> ，</w:t>
      </w:r>
      <w:r>
        <w:rPr>
          <w:rFonts w:hint="eastAsia" w:ascii="宋体" w:hAnsi="宋体" w:cs="宋体"/>
          <w:color w:val="auto"/>
          <w:kern w:val="0"/>
          <w:szCs w:val="21"/>
        </w:rPr>
        <w:t>委托代理编号：</w:t>
      </w:r>
      <w:r>
        <w:rPr>
          <w:rFonts w:hint="eastAsia" w:ascii="宋体" w:hAnsi="宋体" w:cs="宋体"/>
          <w:color w:val="auto"/>
          <w:kern w:val="0"/>
          <w:szCs w:val="21"/>
          <w:u w:val="single"/>
        </w:rPr>
        <w:t xml:space="preserve">       </w:t>
      </w:r>
      <w:r>
        <w:rPr>
          <w:rFonts w:hint="eastAsia" w:ascii="宋体" w:hAnsi="宋体" w:cs="宋体"/>
          <w:color w:val="auto"/>
          <w:kern w:val="0"/>
          <w:szCs w:val="21"/>
        </w:rPr>
        <w:t>）投标文件、签订合同和处理有关事宜，其法律后果由我方承担。</w:t>
      </w:r>
    </w:p>
    <w:p w14:paraId="2FDB9643">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61CF38E9">
      <w:pPr>
        <w:adjustRightInd w:val="0"/>
        <w:snapToGrid w:val="0"/>
        <w:spacing w:line="360" w:lineRule="auto"/>
        <w:ind w:firstLine="435"/>
        <w:rPr>
          <w:rFonts w:ascii="宋体" w:hAnsi="宋体" w:cs="宋体"/>
          <w:color w:val="auto"/>
          <w:kern w:val="0"/>
          <w:szCs w:val="21"/>
        </w:rPr>
      </w:pPr>
      <w:r>
        <w:rPr>
          <w:rFonts w:hint="eastAsia" w:ascii="宋体" w:hAnsi="宋体" w:cs="宋体"/>
          <w:color w:val="auto"/>
          <w:kern w:val="0"/>
          <w:szCs w:val="21"/>
        </w:rPr>
        <w:t>代理人无转委托权。</w:t>
      </w:r>
    </w:p>
    <w:p w14:paraId="54F70E59">
      <w:pPr>
        <w:adjustRightInd w:val="0"/>
        <w:snapToGrid w:val="0"/>
        <w:spacing w:line="360" w:lineRule="auto"/>
        <w:ind w:firstLine="435"/>
        <w:rPr>
          <w:rFonts w:ascii="宋体" w:hAnsi="宋体" w:cs="微软雅黑"/>
          <w:color w:val="auto"/>
          <w:kern w:val="0"/>
          <w:szCs w:val="21"/>
        </w:rPr>
      </w:pPr>
      <w:r>
        <w:rPr>
          <w:rFonts w:hint="eastAsia" w:ascii="宋体" w:hAnsi="宋体"/>
          <w:color w:val="auto"/>
          <w:szCs w:val="21"/>
        </w:rPr>
        <w:t>本授权书于</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日签字生效，特此声明。</w:t>
      </w:r>
    </w:p>
    <w:tbl>
      <w:tblPr>
        <w:tblStyle w:val="47"/>
        <w:tblW w:w="6982"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3510"/>
      </w:tblGrid>
      <w:tr w14:paraId="720A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5" w:hRule="atLeast"/>
        </w:trPr>
        <w:tc>
          <w:tcPr>
            <w:tcW w:w="3472" w:type="dxa"/>
            <w:tcBorders>
              <w:top w:val="single" w:color="auto" w:sz="4" w:space="0"/>
              <w:left w:val="single" w:color="auto" w:sz="4" w:space="0"/>
              <w:bottom w:val="single" w:color="auto" w:sz="4" w:space="0"/>
              <w:right w:val="single" w:color="auto" w:sz="4" w:space="0"/>
            </w:tcBorders>
            <w:shd w:val="clear" w:color="auto" w:fill="auto"/>
            <w:vAlign w:val="center"/>
          </w:tcPr>
          <w:p w14:paraId="1E55494B">
            <w:pPr>
              <w:adjustRightInd w:val="0"/>
              <w:snapToGrid w:val="0"/>
              <w:spacing w:line="360" w:lineRule="auto"/>
              <w:jc w:val="center"/>
              <w:rPr>
                <w:rFonts w:ascii="宋体" w:hAnsi="宋体"/>
                <w:color w:val="auto"/>
                <w:szCs w:val="21"/>
              </w:rPr>
            </w:pPr>
            <w:r>
              <w:rPr>
                <w:rFonts w:hint="eastAsia" w:ascii="宋体" w:hAnsi="宋体"/>
                <w:color w:val="auto"/>
                <w:szCs w:val="21"/>
              </w:rPr>
              <w:t>委托代理人身份证（正面）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14:paraId="7F62CC59">
            <w:pPr>
              <w:adjustRightInd w:val="0"/>
              <w:snapToGrid w:val="0"/>
              <w:spacing w:line="360" w:lineRule="auto"/>
              <w:jc w:val="center"/>
              <w:rPr>
                <w:rFonts w:ascii="宋体" w:hAnsi="宋体"/>
                <w:color w:val="auto"/>
                <w:szCs w:val="21"/>
              </w:rPr>
            </w:pPr>
            <w:r>
              <w:rPr>
                <w:rFonts w:hint="eastAsia" w:ascii="宋体" w:hAnsi="宋体"/>
                <w:color w:val="auto"/>
                <w:szCs w:val="21"/>
              </w:rPr>
              <w:t>委托代理人身份证（反面）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r>
      <w:tr w14:paraId="6AA8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5" w:hRule="atLeast"/>
        </w:trPr>
        <w:tc>
          <w:tcPr>
            <w:tcW w:w="3472" w:type="dxa"/>
            <w:tcBorders>
              <w:top w:val="single" w:color="auto" w:sz="4" w:space="0"/>
              <w:left w:val="single" w:color="auto" w:sz="4" w:space="0"/>
              <w:bottom w:val="single" w:color="auto" w:sz="4" w:space="0"/>
              <w:right w:val="single" w:color="auto" w:sz="4" w:space="0"/>
            </w:tcBorders>
            <w:shd w:val="clear" w:color="auto" w:fill="auto"/>
            <w:vAlign w:val="center"/>
          </w:tcPr>
          <w:p w14:paraId="57CF007E">
            <w:pPr>
              <w:adjustRightInd w:val="0"/>
              <w:snapToGrid w:val="0"/>
              <w:spacing w:line="360" w:lineRule="auto"/>
              <w:jc w:val="center"/>
              <w:rPr>
                <w:rFonts w:ascii="宋体" w:hAnsi="宋体"/>
                <w:color w:val="auto"/>
                <w:szCs w:val="21"/>
              </w:rPr>
            </w:pPr>
            <w:r>
              <w:rPr>
                <w:rFonts w:hint="eastAsia" w:ascii="宋体" w:hAnsi="宋体"/>
                <w:color w:val="auto"/>
                <w:szCs w:val="21"/>
              </w:rPr>
              <w:t>法定代表人身份证（正面）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c>
          <w:tcPr>
            <w:tcW w:w="3510" w:type="dxa"/>
            <w:tcBorders>
              <w:top w:val="single" w:color="auto" w:sz="4" w:space="0"/>
              <w:left w:val="single" w:color="auto" w:sz="4" w:space="0"/>
              <w:bottom w:val="single" w:color="auto" w:sz="4" w:space="0"/>
              <w:right w:val="single" w:color="auto" w:sz="4" w:space="0"/>
            </w:tcBorders>
            <w:shd w:val="clear" w:color="auto" w:fill="auto"/>
            <w:vAlign w:val="center"/>
          </w:tcPr>
          <w:p w14:paraId="0488A340">
            <w:pPr>
              <w:adjustRightInd w:val="0"/>
              <w:snapToGrid w:val="0"/>
              <w:spacing w:line="360" w:lineRule="auto"/>
              <w:jc w:val="center"/>
              <w:rPr>
                <w:rFonts w:ascii="宋体" w:hAnsi="宋体"/>
                <w:color w:val="auto"/>
                <w:szCs w:val="21"/>
              </w:rPr>
            </w:pPr>
            <w:r>
              <w:rPr>
                <w:rFonts w:hint="eastAsia" w:ascii="宋体" w:hAnsi="宋体"/>
                <w:color w:val="auto"/>
                <w:szCs w:val="21"/>
              </w:rPr>
              <w:t>法定代表人身份证（反面）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r>
    </w:tbl>
    <w:p w14:paraId="6C3A3356">
      <w:pPr>
        <w:adjustRightInd w:val="0"/>
        <w:snapToGrid w:val="0"/>
        <w:spacing w:line="360" w:lineRule="auto"/>
        <w:ind w:firstLine="420" w:firstLineChars="200"/>
        <w:rPr>
          <w:rFonts w:ascii="宋体" w:hAnsi="宋体"/>
          <w:color w:val="auto"/>
          <w:szCs w:val="21"/>
        </w:rPr>
      </w:pPr>
    </w:p>
    <w:p w14:paraId="35601606">
      <w:pPr>
        <w:adjustRightInd w:val="0"/>
        <w:snapToGrid w:val="0"/>
        <w:spacing w:line="360" w:lineRule="auto"/>
        <w:ind w:firstLine="420" w:firstLineChars="200"/>
        <w:rPr>
          <w:rFonts w:ascii="宋体" w:hAnsi="宋体"/>
          <w:color w:val="auto"/>
          <w:szCs w:val="21"/>
        </w:rPr>
      </w:pPr>
    </w:p>
    <w:p w14:paraId="61ECCD94">
      <w:pPr>
        <w:adjustRightInd w:val="0"/>
        <w:snapToGrid w:val="0"/>
        <w:spacing w:line="360" w:lineRule="auto"/>
        <w:rPr>
          <w:rFonts w:ascii="宋体" w:hAnsi="宋体"/>
          <w:color w:val="auto"/>
          <w:szCs w:val="21"/>
        </w:rPr>
      </w:pPr>
      <w:r>
        <w:rPr>
          <w:rFonts w:hint="eastAsia" w:ascii="宋体" w:hAnsi="宋体"/>
          <w:color w:val="auto"/>
          <w:szCs w:val="21"/>
        </w:rPr>
        <w:t>注：投标人代表不是投标人的法定代表人（单位负责人）的提供。</w:t>
      </w:r>
    </w:p>
    <w:p w14:paraId="366BAD28">
      <w:pPr>
        <w:adjustRightInd w:val="0"/>
        <w:snapToGrid w:val="0"/>
        <w:spacing w:line="360" w:lineRule="auto"/>
        <w:ind w:firstLine="420" w:firstLineChars="200"/>
        <w:rPr>
          <w:rFonts w:ascii="宋体" w:hAnsi="宋体"/>
          <w:color w:val="auto"/>
          <w:szCs w:val="21"/>
        </w:rPr>
      </w:pPr>
    </w:p>
    <w:p w14:paraId="472FDEB7">
      <w:pPr>
        <w:adjustRightInd w:val="0"/>
        <w:snapToGrid w:val="0"/>
        <w:spacing w:line="360" w:lineRule="auto"/>
        <w:ind w:firstLine="420" w:firstLineChars="200"/>
        <w:rPr>
          <w:rFonts w:ascii="宋体" w:hAnsi="宋体"/>
          <w:color w:val="auto"/>
          <w:szCs w:val="21"/>
        </w:rPr>
      </w:pPr>
    </w:p>
    <w:p w14:paraId="3B607828">
      <w:pPr>
        <w:adjustRightInd w:val="0"/>
        <w:snapToGrid w:val="0"/>
        <w:spacing w:line="360" w:lineRule="auto"/>
        <w:rPr>
          <w:rFonts w:ascii="宋体" w:hAnsi="宋体"/>
          <w:color w:val="auto"/>
          <w:szCs w:val="21"/>
        </w:rPr>
      </w:pPr>
      <w:r>
        <w:rPr>
          <w:rFonts w:hint="eastAsia" w:ascii="宋体" w:hAnsi="宋体"/>
          <w:color w:val="auto"/>
          <w:szCs w:val="21"/>
        </w:rPr>
        <w:t>投标人名称（盖单位章）：</w:t>
      </w:r>
    </w:p>
    <w:p w14:paraId="00916B2D">
      <w:pPr>
        <w:adjustRightInd w:val="0"/>
        <w:snapToGrid w:val="0"/>
        <w:spacing w:line="360" w:lineRule="auto"/>
        <w:ind w:right="420"/>
        <w:rPr>
          <w:rFonts w:ascii="宋体" w:hAnsi="宋体"/>
          <w:color w:val="auto"/>
          <w:szCs w:val="21"/>
        </w:rPr>
      </w:pPr>
      <w:r>
        <w:rPr>
          <w:rFonts w:hint="eastAsia" w:ascii="宋体" w:hAnsi="宋体" w:cs="微软雅黑"/>
          <w:color w:val="auto"/>
          <w:spacing w:val="-2"/>
          <w:kern w:val="0"/>
          <w:szCs w:val="21"/>
        </w:rPr>
        <w:t>法</w:t>
      </w:r>
      <w:r>
        <w:rPr>
          <w:rFonts w:hint="eastAsia" w:ascii="宋体" w:hAnsi="宋体" w:cs="微软雅黑"/>
          <w:color w:val="auto"/>
          <w:kern w:val="0"/>
          <w:szCs w:val="21"/>
        </w:rPr>
        <w:t>定</w:t>
      </w:r>
      <w:r>
        <w:rPr>
          <w:rFonts w:hint="eastAsia" w:ascii="宋体" w:hAnsi="宋体" w:cs="微软雅黑"/>
          <w:color w:val="auto"/>
          <w:spacing w:val="-2"/>
          <w:kern w:val="0"/>
          <w:szCs w:val="21"/>
        </w:rPr>
        <w:t>代</w:t>
      </w:r>
      <w:r>
        <w:rPr>
          <w:rFonts w:hint="eastAsia" w:ascii="宋体" w:hAnsi="宋体" w:cs="微软雅黑"/>
          <w:color w:val="auto"/>
          <w:kern w:val="0"/>
          <w:szCs w:val="21"/>
        </w:rPr>
        <w:t>表</w:t>
      </w:r>
      <w:r>
        <w:rPr>
          <w:rFonts w:hint="eastAsia" w:ascii="宋体" w:hAnsi="宋体" w:cs="微软雅黑"/>
          <w:color w:val="auto"/>
          <w:spacing w:val="-2"/>
          <w:kern w:val="0"/>
          <w:szCs w:val="21"/>
        </w:rPr>
        <w:t>人</w:t>
      </w:r>
      <w:r>
        <w:rPr>
          <w:rFonts w:hint="eastAsia" w:ascii="宋体" w:hAnsi="宋体" w:cs="微软雅黑"/>
          <w:color w:val="auto"/>
          <w:kern w:val="0"/>
          <w:szCs w:val="21"/>
        </w:rPr>
        <w:t>（</w:t>
      </w:r>
      <w:r>
        <w:rPr>
          <w:rFonts w:hint="eastAsia" w:ascii="宋体" w:hAnsi="宋体" w:cs="微软雅黑"/>
          <w:color w:val="auto"/>
          <w:spacing w:val="-2"/>
          <w:kern w:val="0"/>
          <w:szCs w:val="21"/>
        </w:rPr>
        <w:t>单</w:t>
      </w:r>
      <w:r>
        <w:rPr>
          <w:rFonts w:hint="eastAsia" w:ascii="宋体" w:hAnsi="宋体" w:cs="微软雅黑"/>
          <w:color w:val="auto"/>
          <w:kern w:val="0"/>
          <w:szCs w:val="21"/>
        </w:rPr>
        <w:t>位</w:t>
      </w:r>
      <w:r>
        <w:rPr>
          <w:rFonts w:hint="eastAsia" w:ascii="宋体" w:hAnsi="宋体" w:cs="微软雅黑"/>
          <w:color w:val="auto"/>
          <w:spacing w:val="-2"/>
          <w:kern w:val="0"/>
          <w:szCs w:val="21"/>
        </w:rPr>
        <w:t>负</w:t>
      </w:r>
      <w:r>
        <w:rPr>
          <w:rFonts w:hint="eastAsia" w:ascii="宋体" w:hAnsi="宋体" w:cs="微软雅黑"/>
          <w:color w:val="auto"/>
          <w:kern w:val="0"/>
          <w:szCs w:val="21"/>
        </w:rPr>
        <w:t>责人</w:t>
      </w:r>
      <w:r>
        <w:rPr>
          <w:rFonts w:hint="eastAsia" w:ascii="宋体" w:hAnsi="宋体" w:cs="微软雅黑"/>
          <w:color w:val="auto"/>
          <w:spacing w:val="-2"/>
          <w:kern w:val="0"/>
          <w:szCs w:val="21"/>
        </w:rPr>
        <w:t>）</w:t>
      </w:r>
      <w:r>
        <w:rPr>
          <w:rFonts w:hint="eastAsia" w:ascii="宋体" w:hAnsi="宋体"/>
          <w:color w:val="auto"/>
          <w:szCs w:val="21"/>
        </w:rPr>
        <w:t>（签字或印章）：</w:t>
      </w:r>
      <w:r>
        <w:rPr>
          <w:rFonts w:hint="eastAsia" w:ascii="宋体" w:hAnsi="宋体"/>
          <w:color w:val="auto"/>
          <w:szCs w:val="21"/>
          <w:u w:val="single"/>
        </w:rPr>
        <w:t xml:space="preserve">                     </w:t>
      </w:r>
    </w:p>
    <w:p w14:paraId="3A0C3A24">
      <w:pPr>
        <w:adjustRightInd w:val="0"/>
        <w:snapToGrid w:val="0"/>
        <w:spacing w:line="360" w:lineRule="auto"/>
        <w:ind w:right="420"/>
        <w:rPr>
          <w:rFonts w:ascii="宋体" w:hAnsi="宋体"/>
          <w:color w:val="auto"/>
          <w:szCs w:val="21"/>
        </w:rPr>
      </w:pPr>
      <w:r>
        <w:rPr>
          <w:rFonts w:hint="eastAsia" w:ascii="宋体" w:hAnsi="宋体"/>
          <w:color w:val="auto"/>
          <w:szCs w:val="21"/>
        </w:rPr>
        <w:t>委托代理人（签字或印章）：</w:t>
      </w:r>
      <w:r>
        <w:rPr>
          <w:rFonts w:hint="eastAsia" w:ascii="宋体" w:hAnsi="宋体"/>
          <w:color w:val="auto"/>
          <w:szCs w:val="21"/>
          <w:u w:val="single"/>
        </w:rPr>
        <w:t xml:space="preserve">                     </w:t>
      </w:r>
    </w:p>
    <w:p w14:paraId="7A4E7E56">
      <w:pPr>
        <w:adjustRightInd w:val="0"/>
        <w:snapToGrid w:val="0"/>
        <w:spacing w:line="360" w:lineRule="auto"/>
        <w:ind w:right="420"/>
        <w:rPr>
          <w:rFonts w:ascii="宋体" w:hAnsi="宋体"/>
          <w:color w:val="auto"/>
          <w:szCs w:val="21"/>
        </w:rPr>
      </w:pPr>
      <w:r>
        <w:rPr>
          <w:rFonts w:hint="eastAsia" w:ascii="宋体" w:hAnsi="宋体" w:cs="宋体"/>
          <w:color w:val="auto"/>
          <w:szCs w:val="21"/>
        </w:rPr>
        <w:t>日期：</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0439A689">
      <w:pPr>
        <w:widowControl/>
        <w:ind w:firstLine="1968" w:firstLineChars="700"/>
        <w:jc w:val="both"/>
        <w:rPr>
          <w:rFonts w:ascii="黑体" w:hAnsi="宋体" w:eastAsia="黑体" w:cs="黑体"/>
          <w:b/>
          <w:bCs/>
          <w:color w:val="auto"/>
          <w:kern w:val="0"/>
          <w:sz w:val="28"/>
          <w:szCs w:val="28"/>
          <w:lang w:bidi="ar"/>
        </w:rPr>
      </w:pPr>
    </w:p>
    <w:p w14:paraId="26E935C3">
      <w:pPr>
        <w:widowControl/>
        <w:ind w:firstLine="1968" w:firstLineChars="700"/>
        <w:jc w:val="both"/>
        <w:rPr>
          <w:rFonts w:ascii="黑体" w:hAnsi="宋体" w:eastAsia="黑体" w:cs="黑体"/>
          <w:b/>
          <w:bCs/>
          <w:color w:val="auto"/>
          <w:kern w:val="0"/>
          <w:sz w:val="28"/>
          <w:szCs w:val="28"/>
          <w:lang w:bidi="ar"/>
        </w:rPr>
      </w:pPr>
    </w:p>
    <w:p w14:paraId="2758836B">
      <w:pPr>
        <w:widowControl/>
        <w:ind w:firstLine="1968" w:firstLineChars="700"/>
        <w:jc w:val="both"/>
        <w:rPr>
          <w:rFonts w:ascii="黑体" w:hAnsi="宋体" w:eastAsia="黑体" w:cs="黑体"/>
          <w:b/>
          <w:bCs/>
          <w:color w:val="auto"/>
          <w:kern w:val="0"/>
          <w:sz w:val="28"/>
          <w:szCs w:val="28"/>
          <w:lang w:bidi="ar"/>
        </w:rPr>
      </w:pPr>
    </w:p>
    <w:p w14:paraId="236C01B8">
      <w:pPr>
        <w:widowControl/>
        <w:ind w:firstLine="1968" w:firstLineChars="700"/>
        <w:jc w:val="both"/>
        <w:rPr>
          <w:rFonts w:ascii="黑体" w:hAnsi="宋体" w:eastAsia="黑体" w:cs="黑体"/>
          <w:b/>
          <w:bCs/>
          <w:color w:val="auto"/>
          <w:kern w:val="0"/>
          <w:sz w:val="28"/>
          <w:szCs w:val="28"/>
          <w:lang w:bidi="ar"/>
        </w:rPr>
      </w:pPr>
    </w:p>
    <w:p w14:paraId="323825FC">
      <w:pPr>
        <w:widowControl/>
        <w:ind w:firstLine="1968" w:firstLineChars="700"/>
        <w:jc w:val="both"/>
        <w:rPr>
          <w:color w:val="auto"/>
        </w:rPr>
      </w:pPr>
      <w:r>
        <w:rPr>
          <w:rFonts w:ascii="黑体" w:hAnsi="宋体" w:eastAsia="黑体" w:cs="黑体"/>
          <w:b/>
          <w:bCs/>
          <w:color w:val="auto"/>
          <w:kern w:val="0"/>
          <w:sz w:val="28"/>
          <w:szCs w:val="28"/>
          <w:lang w:bidi="ar"/>
        </w:rPr>
        <w:t xml:space="preserve">法定代表人（单位负责人）身份证明 </w:t>
      </w:r>
    </w:p>
    <w:p w14:paraId="104AED9C">
      <w:pPr>
        <w:autoSpaceDE w:val="0"/>
        <w:autoSpaceDN w:val="0"/>
        <w:adjustRightInd w:val="0"/>
        <w:snapToGrid w:val="0"/>
        <w:spacing w:line="360" w:lineRule="auto"/>
        <w:ind w:firstLine="420" w:firstLineChars="200"/>
        <w:jc w:val="left"/>
        <w:rPr>
          <w:rFonts w:ascii="宋体" w:hAnsi="宋体" w:cs="宋体"/>
          <w:color w:val="auto"/>
          <w:kern w:val="0"/>
          <w:szCs w:val="21"/>
        </w:rPr>
      </w:pPr>
    </w:p>
    <w:p w14:paraId="01241CFC">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 xml:space="preserve">投标人名称：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4F78A6B9">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 xml:space="preserve">统一社会信用代码：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0F74FC57">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注册地址：</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29D6CE09">
      <w:pPr>
        <w:autoSpaceDE w:val="0"/>
        <w:autoSpaceDN w:val="0"/>
        <w:adjustRightInd w:val="0"/>
        <w:snapToGrid w:val="0"/>
        <w:spacing w:line="360" w:lineRule="auto"/>
        <w:ind w:firstLine="840" w:firstLineChars="400"/>
        <w:jc w:val="left"/>
        <w:rPr>
          <w:rFonts w:ascii="宋体" w:hAnsi="宋体" w:cs="宋体"/>
          <w:color w:val="auto"/>
          <w:kern w:val="0"/>
          <w:szCs w:val="21"/>
        </w:rPr>
      </w:pPr>
      <w:r>
        <w:rPr>
          <w:rFonts w:hint="eastAsia" w:ascii="宋体" w:hAnsi="宋体" w:cs="宋体"/>
          <w:color w:val="auto"/>
          <w:kern w:val="0"/>
          <w:szCs w:val="21"/>
        </w:rPr>
        <w:t xml:space="preserve">姓名： </w:t>
      </w:r>
      <w:r>
        <w:rPr>
          <w:rFonts w:hint="eastAsia" w:ascii="宋体" w:hAnsi="宋体" w:cs="宋体"/>
          <w:color w:val="auto"/>
          <w:kern w:val="0"/>
          <w:szCs w:val="21"/>
          <w:u w:val="single"/>
        </w:rPr>
        <w:t xml:space="preserve">        </w:t>
      </w:r>
      <w:r>
        <w:rPr>
          <w:rFonts w:hint="eastAsia" w:ascii="宋体" w:hAnsi="宋体" w:cs="宋体"/>
          <w:color w:val="auto"/>
          <w:kern w:val="0"/>
          <w:szCs w:val="21"/>
        </w:rPr>
        <w:t>性别：</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年龄：</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职务：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系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（投标人 </w:t>
      </w:r>
    </w:p>
    <w:p w14:paraId="3F84CEBF">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 xml:space="preserve">名称）的法定代表人（单位负责人）。 </w:t>
      </w:r>
    </w:p>
    <w:p w14:paraId="1A0BC563">
      <w:pPr>
        <w:autoSpaceDE w:val="0"/>
        <w:autoSpaceDN w:val="0"/>
        <w:adjustRightInd w:val="0"/>
        <w:snapToGrid w:val="0"/>
        <w:spacing w:line="360" w:lineRule="auto"/>
        <w:ind w:firstLine="840" w:firstLineChars="400"/>
        <w:jc w:val="left"/>
        <w:rPr>
          <w:rFonts w:ascii="宋体" w:hAnsi="宋体" w:cs="宋体"/>
          <w:color w:val="auto"/>
          <w:kern w:val="0"/>
          <w:szCs w:val="21"/>
        </w:rPr>
      </w:pPr>
      <w:r>
        <w:rPr>
          <w:rFonts w:hint="eastAsia" w:ascii="宋体" w:hAnsi="宋体" w:cs="宋体"/>
          <w:color w:val="auto"/>
          <w:kern w:val="0"/>
          <w:szCs w:val="21"/>
        </w:rPr>
        <w:t xml:space="preserve">特此证明。 </w:t>
      </w:r>
    </w:p>
    <w:p w14:paraId="30996315">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 xml:space="preserve">附：法定代表人（单位负责人）身份证复印件。 </w:t>
      </w:r>
    </w:p>
    <w:p w14:paraId="2AFB82D3">
      <w:pPr>
        <w:autoSpaceDE w:val="0"/>
        <w:autoSpaceDN w:val="0"/>
        <w:adjustRightInd w:val="0"/>
        <w:snapToGrid w:val="0"/>
        <w:spacing w:line="360" w:lineRule="auto"/>
        <w:ind w:firstLine="420" w:firstLineChars="200"/>
        <w:jc w:val="left"/>
        <w:rPr>
          <w:rFonts w:ascii="宋体" w:hAnsi="宋体" w:cs="宋体"/>
          <w:color w:val="auto"/>
          <w:kern w:val="0"/>
          <w:szCs w:val="21"/>
        </w:rPr>
      </w:pPr>
    </w:p>
    <w:tbl>
      <w:tblPr>
        <w:tblStyle w:val="47"/>
        <w:tblW w:w="7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06C8C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0" w:hRule="atLeast"/>
          <w:jc w:val="center"/>
        </w:trPr>
        <w:tc>
          <w:tcPr>
            <w:tcW w:w="3898" w:type="dxa"/>
            <w:vAlign w:val="center"/>
          </w:tcPr>
          <w:p w14:paraId="32F680F9">
            <w:pPr>
              <w:adjustRightInd w:val="0"/>
              <w:snapToGrid w:val="0"/>
              <w:spacing w:line="360" w:lineRule="auto"/>
              <w:jc w:val="center"/>
              <w:rPr>
                <w:rFonts w:ascii="宋体" w:hAnsi="宋体"/>
                <w:color w:val="auto"/>
                <w:szCs w:val="21"/>
              </w:rPr>
            </w:pPr>
            <w:r>
              <w:rPr>
                <w:rFonts w:hint="eastAsia" w:ascii="宋体" w:hAnsi="宋体"/>
                <w:color w:val="auto"/>
                <w:szCs w:val="21"/>
              </w:rPr>
              <w:t>身份证（正面）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c>
          <w:tcPr>
            <w:tcW w:w="3899" w:type="dxa"/>
            <w:vAlign w:val="center"/>
          </w:tcPr>
          <w:p w14:paraId="313CE7F6">
            <w:pPr>
              <w:adjustRightInd w:val="0"/>
              <w:snapToGrid w:val="0"/>
              <w:spacing w:line="360" w:lineRule="auto"/>
              <w:jc w:val="center"/>
              <w:rPr>
                <w:rFonts w:ascii="宋体" w:hAnsi="宋体"/>
                <w:color w:val="auto"/>
                <w:szCs w:val="21"/>
              </w:rPr>
            </w:pPr>
            <w:r>
              <w:rPr>
                <w:rFonts w:hint="eastAsia" w:ascii="宋体" w:hAnsi="宋体"/>
                <w:color w:val="auto"/>
                <w:szCs w:val="21"/>
              </w:rPr>
              <w:t>身份证（反面）</w:t>
            </w:r>
            <w:r>
              <w:rPr>
                <w:rFonts w:hint="eastAsia" w:ascii="宋体" w:hAnsi="宋体" w:cs="微软雅黑"/>
                <w:color w:val="auto"/>
                <w:spacing w:val="-2"/>
                <w:kern w:val="0"/>
                <w:szCs w:val="21"/>
              </w:rPr>
              <w:t>复</w:t>
            </w:r>
            <w:r>
              <w:rPr>
                <w:rFonts w:hint="eastAsia" w:ascii="宋体" w:hAnsi="宋体" w:cs="微软雅黑"/>
                <w:color w:val="auto"/>
                <w:kern w:val="0"/>
                <w:szCs w:val="21"/>
              </w:rPr>
              <w:t>印</w:t>
            </w:r>
            <w:r>
              <w:rPr>
                <w:rFonts w:hint="eastAsia" w:ascii="宋体" w:hAnsi="宋体" w:cs="微软雅黑"/>
                <w:color w:val="auto"/>
                <w:spacing w:val="-2"/>
                <w:kern w:val="0"/>
                <w:szCs w:val="21"/>
              </w:rPr>
              <w:t>件</w:t>
            </w:r>
          </w:p>
        </w:tc>
      </w:tr>
    </w:tbl>
    <w:p w14:paraId="0A30D6A1">
      <w:pPr>
        <w:autoSpaceDE w:val="0"/>
        <w:autoSpaceDN w:val="0"/>
        <w:adjustRightInd w:val="0"/>
        <w:snapToGrid w:val="0"/>
        <w:spacing w:line="360" w:lineRule="auto"/>
        <w:ind w:firstLine="420" w:firstLineChars="200"/>
        <w:jc w:val="left"/>
        <w:rPr>
          <w:rFonts w:ascii="宋体" w:hAnsi="宋体" w:cs="宋体"/>
          <w:color w:val="auto"/>
          <w:kern w:val="0"/>
          <w:szCs w:val="21"/>
        </w:rPr>
      </w:pPr>
    </w:p>
    <w:p w14:paraId="08E3A5BB">
      <w:pPr>
        <w:autoSpaceDE w:val="0"/>
        <w:autoSpaceDN w:val="0"/>
        <w:adjustRightInd w:val="0"/>
        <w:snapToGrid w:val="0"/>
        <w:spacing w:line="360" w:lineRule="auto"/>
        <w:ind w:firstLine="210" w:firstLineChars="100"/>
        <w:jc w:val="left"/>
        <w:rPr>
          <w:rFonts w:ascii="宋体" w:hAnsi="宋体" w:cs="宋体"/>
          <w:color w:val="auto"/>
          <w:kern w:val="0"/>
          <w:szCs w:val="21"/>
        </w:rPr>
      </w:pPr>
      <w:r>
        <w:rPr>
          <w:rFonts w:hint="eastAsia" w:ascii="宋体" w:hAnsi="宋体" w:cs="宋体"/>
          <w:color w:val="auto"/>
          <w:kern w:val="0"/>
          <w:szCs w:val="21"/>
        </w:rPr>
        <w:t xml:space="preserve">注：投标人为法定代表人（负责人）只需提供法定代表人（负责人）身份证明即可。 </w:t>
      </w:r>
    </w:p>
    <w:p w14:paraId="32F3356F">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投标人名称（盖单位公章）：</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15FC26FB">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法定代表人联系电话：</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329173F3">
      <w:pPr>
        <w:autoSpaceDE w:val="0"/>
        <w:autoSpaceDN w:val="0"/>
        <w:adjustRightInd w:val="0"/>
        <w:snapToGrid w:val="0"/>
        <w:spacing w:line="360" w:lineRule="auto"/>
        <w:ind w:firstLine="420" w:firstLineChars="200"/>
        <w:jc w:val="left"/>
        <w:rPr>
          <w:rFonts w:ascii="宋体" w:hAnsi="宋体" w:cs="宋体"/>
          <w:color w:val="auto"/>
          <w:kern w:val="0"/>
          <w:szCs w:val="21"/>
        </w:rPr>
      </w:pPr>
      <w:r>
        <w:rPr>
          <w:rFonts w:hint="eastAsia" w:ascii="宋体" w:hAnsi="宋体" w:cs="宋体"/>
          <w:color w:val="auto"/>
          <w:kern w:val="0"/>
          <w:szCs w:val="21"/>
        </w:rPr>
        <w:t>日期：</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 </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日</w:t>
      </w:r>
    </w:p>
    <w:p w14:paraId="0C49ABF2">
      <w:pPr>
        <w:pStyle w:val="4"/>
        <w:jc w:val="center"/>
        <w:rPr>
          <w:rFonts w:ascii="黑体" w:hAnsi="宋体" w:eastAsia="黑体"/>
          <w:color w:val="auto"/>
          <w:sz w:val="28"/>
          <w:szCs w:val="28"/>
        </w:rPr>
      </w:pPr>
    </w:p>
    <w:p w14:paraId="5B26A7BC">
      <w:pPr>
        <w:rPr>
          <w:color w:val="auto"/>
        </w:rPr>
      </w:pPr>
    </w:p>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14:paraId="1BD89A31">
      <w:pPr>
        <w:widowControl/>
        <w:ind w:firstLine="1968" w:firstLineChars="700"/>
        <w:jc w:val="left"/>
        <w:rPr>
          <w:rFonts w:ascii="黑体" w:hAnsi="宋体" w:eastAsia="黑体" w:cs="黑体"/>
          <w:b/>
          <w:bCs/>
          <w:color w:val="auto"/>
          <w:kern w:val="0"/>
          <w:sz w:val="28"/>
          <w:szCs w:val="28"/>
          <w:lang w:bidi="ar"/>
        </w:rPr>
      </w:pPr>
      <w:bookmarkStart w:id="1432" w:name="_Toc192949752"/>
      <w:bookmarkStart w:id="1433" w:name="_Toc11546"/>
      <w:bookmarkStart w:id="1434" w:name="_Toc75289603"/>
      <w:bookmarkStart w:id="1435" w:name="_Toc16899"/>
      <w:bookmarkStart w:id="1436" w:name="_Toc112704995"/>
      <w:bookmarkStart w:id="1437" w:name="_Toc94367934"/>
      <w:bookmarkStart w:id="1438" w:name="_Toc8389"/>
      <w:bookmarkStart w:id="1439" w:name="_Toc95601419"/>
      <w:bookmarkStart w:id="1440" w:name="_Toc14968"/>
      <w:bookmarkStart w:id="1441" w:name="_Toc7493"/>
      <w:bookmarkStart w:id="1442" w:name="_Toc171273722"/>
      <w:bookmarkStart w:id="1443" w:name="_Toc100670478"/>
      <w:bookmarkStart w:id="1444" w:name="_Toc77199457"/>
      <w:bookmarkStart w:id="1445" w:name="_Toc154428440"/>
      <w:bookmarkStart w:id="1446" w:name="_Toc192949653"/>
      <w:bookmarkStart w:id="1447" w:name="_Toc100670726"/>
      <w:bookmarkStart w:id="1448" w:name="_Toc22590"/>
      <w:bookmarkStart w:id="1449" w:name="_Toc108341993"/>
      <w:bookmarkStart w:id="1450" w:name="_Toc85972984"/>
      <w:bookmarkStart w:id="1451" w:name="_Toc114036766"/>
      <w:bookmarkStart w:id="1452" w:name="_Toc15888533"/>
      <w:bookmarkStart w:id="1453" w:name="_Toc192951263"/>
      <w:bookmarkStart w:id="1454" w:name="_Toc78314318"/>
      <w:bookmarkStart w:id="1455" w:name="_Toc117192502"/>
      <w:bookmarkStart w:id="1456" w:name="_Toc78450011"/>
      <w:bookmarkStart w:id="1457" w:name="_Toc20934"/>
      <w:bookmarkStart w:id="1458" w:name="_Toc77676522"/>
      <w:bookmarkStart w:id="1459" w:name="_Toc75289285"/>
      <w:bookmarkStart w:id="1460" w:name="_Toc7703"/>
    </w:p>
    <w:p w14:paraId="642BD306">
      <w:pPr>
        <w:widowControl/>
        <w:ind w:firstLine="1968" w:firstLineChars="700"/>
        <w:jc w:val="left"/>
        <w:rPr>
          <w:rFonts w:ascii="黑体" w:hAnsi="宋体" w:eastAsia="黑体" w:cs="黑体"/>
          <w:b/>
          <w:bCs/>
          <w:color w:val="auto"/>
          <w:kern w:val="0"/>
          <w:sz w:val="28"/>
          <w:szCs w:val="28"/>
          <w:lang w:bidi="ar"/>
        </w:rPr>
      </w:pPr>
    </w:p>
    <w:p w14:paraId="2A77DA28">
      <w:pPr>
        <w:widowControl/>
        <w:ind w:firstLine="1968" w:firstLineChars="700"/>
        <w:jc w:val="left"/>
        <w:rPr>
          <w:rFonts w:ascii="黑体" w:hAnsi="宋体" w:eastAsia="黑体" w:cs="黑体"/>
          <w:b/>
          <w:bCs/>
          <w:color w:val="auto"/>
          <w:kern w:val="0"/>
          <w:sz w:val="28"/>
          <w:szCs w:val="28"/>
          <w:lang w:bidi="ar"/>
        </w:rPr>
      </w:pPr>
    </w:p>
    <w:p w14:paraId="19C81B29">
      <w:pPr>
        <w:widowControl/>
        <w:ind w:firstLine="1968" w:firstLineChars="700"/>
        <w:jc w:val="left"/>
        <w:rPr>
          <w:rFonts w:ascii="黑体" w:hAnsi="宋体" w:eastAsia="黑体" w:cs="黑体"/>
          <w:b/>
          <w:bCs/>
          <w:color w:val="auto"/>
          <w:kern w:val="0"/>
          <w:sz w:val="28"/>
          <w:szCs w:val="28"/>
          <w:lang w:bidi="ar"/>
        </w:rPr>
      </w:pPr>
    </w:p>
    <w:p w14:paraId="5878295D">
      <w:pPr>
        <w:pStyle w:val="4"/>
        <w:jc w:val="both"/>
        <w:rPr>
          <w:rFonts w:hint="eastAsia" w:ascii="黑体" w:hAnsi="宋体" w:eastAsia="黑体"/>
          <w:color w:val="auto"/>
          <w:sz w:val="28"/>
          <w:szCs w:val="28"/>
        </w:rPr>
      </w:pPr>
    </w:p>
    <w:p w14:paraId="71621F97">
      <w:pPr>
        <w:rPr>
          <w:rFonts w:hint="eastAsia"/>
          <w:color w:val="auto"/>
        </w:rPr>
      </w:pPr>
    </w:p>
    <w:p w14:paraId="64990BF0">
      <w:pPr>
        <w:pStyle w:val="4"/>
        <w:jc w:val="center"/>
        <w:rPr>
          <w:rFonts w:ascii="黑体" w:hAnsi="宋体" w:eastAsia="黑体"/>
          <w:color w:val="auto"/>
          <w:sz w:val="28"/>
          <w:szCs w:val="28"/>
        </w:rPr>
      </w:pPr>
      <w:bookmarkStart w:id="1461" w:name="_Toc14857"/>
      <w:r>
        <w:rPr>
          <w:rFonts w:hint="eastAsia" w:ascii="黑体" w:hAnsi="宋体" w:eastAsia="黑体"/>
          <w:color w:val="auto"/>
          <w:sz w:val="28"/>
          <w:szCs w:val="28"/>
        </w:rPr>
        <w:t>四、投标人提供的资格证明文件</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Start w:id="1462" w:name="_Toc294186060"/>
      <w:bookmarkStart w:id="1463" w:name="_Toc294206743"/>
    </w:p>
    <w:p w14:paraId="33644CCA">
      <w:pPr>
        <w:pStyle w:val="24"/>
        <w:adjustRightInd w:val="0"/>
        <w:snapToGrid w:val="0"/>
        <w:spacing w:line="360" w:lineRule="auto"/>
        <w:jc w:val="center"/>
        <w:rPr>
          <w:rFonts w:hAnsi="宋体"/>
          <w:b/>
          <w:bCs/>
          <w:color w:val="auto"/>
          <w:sz w:val="24"/>
          <w:szCs w:val="24"/>
        </w:rPr>
      </w:pPr>
    </w:p>
    <w:p w14:paraId="005AB868">
      <w:pPr>
        <w:pStyle w:val="24"/>
        <w:adjustRightInd w:val="0"/>
        <w:snapToGrid w:val="0"/>
        <w:spacing w:line="360" w:lineRule="auto"/>
        <w:jc w:val="center"/>
        <w:rPr>
          <w:rFonts w:ascii="黑体" w:hAnsi="黑体" w:eastAsia="黑体"/>
          <w:b/>
          <w:bCs/>
          <w:color w:val="auto"/>
          <w:sz w:val="28"/>
          <w:szCs w:val="28"/>
        </w:rPr>
      </w:pPr>
      <w:r>
        <w:rPr>
          <w:rFonts w:hint="eastAsia" w:ascii="黑体" w:hAnsi="黑体" w:eastAsia="黑体"/>
          <w:b/>
          <w:bCs/>
          <w:color w:val="auto"/>
          <w:sz w:val="28"/>
          <w:szCs w:val="28"/>
        </w:rPr>
        <w:t>须  知</w:t>
      </w:r>
    </w:p>
    <w:bookmarkEnd w:id="1462"/>
    <w:bookmarkEnd w:id="1463"/>
    <w:p w14:paraId="2967E2A1">
      <w:pPr>
        <w:tabs>
          <w:tab w:val="left" w:pos="4725"/>
        </w:tabs>
        <w:adjustRightInd w:val="0"/>
        <w:snapToGrid w:val="0"/>
        <w:spacing w:before="156" w:beforeLines="50" w:line="360" w:lineRule="auto"/>
        <w:ind w:firstLine="422" w:firstLineChars="200"/>
        <w:rPr>
          <w:rFonts w:hint="eastAsia" w:ascii="宋体" w:hAnsi="宋体" w:eastAsia="宋体" w:cs="宋体"/>
          <w:b/>
          <w:bCs/>
          <w:color w:val="auto"/>
          <w:szCs w:val="21"/>
        </w:rPr>
      </w:pPr>
      <w:r>
        <w:rPr>
          <w:rFonts w:hint="eastAsia" w:ascii="宋体" w:hAnsi="宋体" w:eastAsia="宋体" w:cs="宋体"/>
          <w:b/>
          <w:color w:val="auto"/>
          <w:szCs w:val="21"/>
        </w:rPr>
        <w:t>1、投标人</w:t>
      </w:r>
      <w:r>
        <w:rPr>
          <w:rFonts w:hint="eastAsia" w:ascii="宋体" w:hAnsi="宋体" w:eastAsia="宋体" w:cs="宋体"/>
          <w:b/>
          <w:bCs/>
          <w:color w:val="auto"/>
          <w:szCs w:val="21"/>
        </w:rPr>
        <w:t>应按第二章第14.1款要求提供下列的证明材料</w:t>
      </w:r>
    </w:p>
    <w:p w14:paraId="65A091D8">
      <w:pPr>
        <w:tabs>
          <w:tab w:val="left" w:pos="4725"/>
        </w:tabs>
        <w:adjustRightInd w:val="0"/>
        <w:snapToGrid w:val="0"/>
        <w:spacing w:before="156" w:beforeLines="50" w:line="360" w:lineRule="auto"/>
        <w:ind w:firstLine="735" w:firstLineChars="350"/>
        <w:rPr>
          <w:rFonts w:hint="eastAsia" w:ascii="宋体" w:hAnsi="宋体" w:eastAsia="宋体" w:cs="宋体"/>
          <w:color w:val="auto"/>
          <w:szCs w:val="21"/>
        </w:rPr>
      </w:pPr>
      <w:r>
        <w:rPr>
          <w:rFonts w:hint="eastAsia" w:ascii="宋体" w:hAnsi="宋体" w:eastAsia="宋体" w:cs="宋体"/>
          <w:color w:val="auto"/>
          <w:szCs w:val="21"/>
        </w:rPr>
        <w:t>附件4-1 法人或者其他组织的营业执照等主体资格证明文件，自然人的身份证明</w:t>
      </w:r>
    </w:p>
    <w:p w14:paraId="21690364">
      <w:pPr>
        <w:tabs>
          <w:tab w:val="left" w:pos="4725"/>
        </w:tabs>
        <w:adjustRightInd w:val="0"/>
        <w:snapToGrid w:val="0"/>
        <w:spacing w:before="156" w:beforeLines="50" w:line="360" w:lineRule="auto"/>
        <w:ind w:firstLine="735" w:firstLineChars="350"/>
        <w:rPr>
          <w:rFonts w:hint="eastAsia" w:ascii="宋体" w:hAnsi="宋体" w:eastAsia="宋体" w:cs="宋体"/>
          <w:color w:val="auto"/>
          <w:szCs w:val="21"/>
        </w:rPr>
      </w:pPr>
      <w:r>
        <w:rPr>
          <w:rFonts w:hint="eastAsia" w:ascii="宋体" w:hAnsi="宋体" w:eastAsia="宋体" w:cs="宋体"/>
          <w:color w:val="auto"/>
          <w:szCs w:val="21"/>
        </w:rPr>
        <w:t>附件4-2 湖南省政府采购供应商资格承诺函(格式)</w:t>
      </w:r>
    </w:p>
    <w:p w14:paraId="2B6298A7">
      <w:pPr>
        <w:tabs>
          <w:tab w:val="left" w:pos="4725"/>
        </w:tabs>
        <w:adjustRightInd w:val="0"/>
        <w:snapToGrid w:val="0"/>
        <w:spacing w:before="156" w:beforeLines="50" w:line="360" w:lineRule="auto"/>
        <w:ind w:firstLine="735" w:firstLineChars="350"/>
        <w:rPr>
          <w:rFonts w:hint="eastAsia" w:ascii="宋体" w:hAnsi="宋体" w:eastAsia="宋体" w:cs="宋体"/>
          <w:color w:val="auto"/>
          <w:szCs w:val="21"/>
        </w:rPr>
      </w:pPr>
      <w:r>
        <w:rPr>
          <w:rFonts w:hint="eastAsia" w:ascii="宋体" w:hAnsi="宋体" w:eastAsia="宋体" w:cs="宋体"/>
          <w:color w:val="auto"/>
          <w:szCs w:val="21"/>
        </w:rPr>
        <w:t>附件4-3 符合特定资格条件证明材料</w:t>
      </w:r>
      <w:r>
        <w:rPr>
          <w:rFonts w:hint="eastAsia" w:ascii="宋体" w:hAnsi="宋体" w:eastAsia="宋体" w:cs="宋体"/>
          <w:color w:val="auto"/>
          <w:szCs w:val="21"/>
          <w:lang w:eastAsia="zh-CN"/>
        </w:rPr>
        <w:t>扫描件</w:t>
      </w:r>
      <w:r>
        <w:rPr>
          <w:rFonts w:hint="eastAsia" w:ascii="宋体" w:hAnsi="宋体" w:eastAsia="宋体" w:cs="宋体"/>
          <w:color w:val="auto"/>
          <w:szCs w:val="21"/>
        </w:rPr>
        <w:t>或者情况说明</w:t>
      </w:r>
    </w:p>
    <w:p w14:paraId="2441ABFD">
      <w:pPr>
        <w:tabs>
          <w:tab w:val="left" w:pos="4725"/>
        </w:tabs>
        <w:adjustRightInd w:val="0"/>
        <w:snapToGrid w:val="0"/>
        <w:spacing w:before="156" w:beforeLines="50" w:line="360" w:lineRule="auto"/>
        <w:ind w:firstLine="735" w:firstLineChars="350"/>
        <w:rPr>
          <w:rFonts w:hint="eastAsia" w:ascii="宋体" w:hAnsi="宋体" w:eastAsia="宋体" w:cs="宋体"/>
          <w:color w:val="auto"/>
          <w:szCs w:val="21"/>
        </w:rPr>
      </w:pPr>
      <w:r>
        <w:rPr>
          <w:rFonts w:hint="eastAsia" w:ascii="宋体" w:hAnsi="宋体" w:eastAsia="宋体" w:cs="宋体"/>
          <w:color w:val="auto"/>
          <w:szCs w:val="21"/>
        </w:rPr>
        <w:t>附件4-4 联合体协议书（格式）（联合体形式投标的提供）</w:t>
      </w:r>
    </w:p>
    <w:p w14:paraId="4F3F1E63">
      <w:pPr>
        <w:tabs>
          <w:tab w:val="left" w:pos="4725"/>
        </w:tabs>
        <w:adjustRightInd w:val="0"/>
        <w:snapToGrid w:val="0"/>
        <w:spacing w:before="156" w:beforeLines="50" w:line="360" w:lineRule="auto"/>
        <w:ind w:firstLine="735" w:firstLineChars="350"/>
        <w:rPr>
          <w:rFonts w:hint="eastAsia" w:ascii="宋体" w:hAnsi="宋体" w:eastAsia="宋体" w:cs="宋体"/>
          <w:color w:val="auto"/>
          <w:szCs w:val="21"/>
        </w:rPr>
      </w:pPr>
      <w:r>
        <w:rPr>
          <w:rFonts w:hint="eastAsia" w:ascii="宋体" w:hAnsi="宋体" w:eastAsia="宋体" w:cs="宋体"/>
          <w:color w:val="auto"/>
          <w:szCs w:val="21"/>
        </w:rPr>
        <w:t>附件4-5投标人资格声明(格式)</w:t>
      </w:r>
    </w:p>
    <w:p w14:paraId="6CD622A3">
      <w:pPr>
        <w:tabs>
          <w:tab w:val="left" w:pos="4725"/>
        </w:tabs>
        <w:adjustRightInd w:val="0"/>
        <w:snapToGrid w:val="0"/>
        <w:spacing w:before="156" w:beforeLines="50" w:line="360" w:lineRule="auto"/>
        <w:ind w:firstLine="735" w:firstLineChars="350"/>
        <w:rPr>
          <w:rFonts w:hint="eastAsia" w:ascii="宋体" w:hAnsi="宋体" w:eastAsia="宋体" w:cs="宋体"/>
          <w:color w:val="auto"/>
          <w:szCs w:val="21"/>
        </w:rPr>
      </w:pPr>
      <w:r>
        <w:rPr>
          <w:rFonts w:hint="eastAsia" w:ascii="宋体" w:hAnsi="宋体" w:eastAsia="宋体" w:cs="宋体"/>
          <w:color w:val="auto"/>
          <w:szCs w:val="21"/>
        </w:rPr>
        <w:t>附件4-6 投标人信用查询</w:t>
      </w:r>
    </w:p>
    <w:p w14:paraId="45D79AB1">
      <w:pPr>
        <w:tabs>
          <w:tab w:val="left" w:pos="4725"/>
        </w:tabs>
        <w:adjustRightInd w:val="0"/>
        <w:snapToGrid w:val="0"/>
        <w:spacing w:before="156" w:beforeLines="50" w:line="360" w:lineRule="auto"/>
        <w:ind w:firstLine="735" w:firstLineChars="350"/>
        <w:rPr>
          <w:rFonts w:hint="eastAsia" w:ascii="宋体" w:hAnsi="宋体" w:eastAsia="宋体" w:cs="宋体"/>
          <w:color w:val="auto"/>
        </w:rPr>
      </w:pPr>
      <w:r>
        <w:rPr>
          <w:rFonts w:hint="eastAsia" w:ascii="宋体" w:hAnsi="宋体" w:eastAsia="宋体" w:cs="宋体"/>
          <w:color w:val="auto"/>
          <w:szCs w:val="21"/>
        </w:rPr>
        <w:t>附件4-</w:t>
      </w:r>
      <w:r>
        <w:rPr>
          <w:rFonts w:hint="eastAsia" w:ascii="宋体" w:hAnsi="宋体" w:eastAsia="宋体" w:cs="宋体"/>
          <w:color w:val="auto"/>
          <w:szCs w:val="21"/>
          <w:lang w:val="en-US" w:eastAsia="zh-CN"/>
        </w:rPr>
        <w:t>7</w:t>
      </w:r>
      <w:r>
        <w:rPr>
          <w:rFonts w:hint="eastAsia" w:ascii="宋体" w:hAnsi="宋体" w:eastAsia="宋体" w:cs="宋体"/>
          <w:color w:val="auto"/>
          <w:szCs w:val="21"/>
        </w:rPr>
        <w:t xml:space="preserve"> 资格条件更新材料（已进行资格预审的）</w:t>
      </w:r>
    </w:p>
    <w:p w14:paraId="43A703A3">
      <w:pPr>
        <w:tabs>
          <w:tab w:val="left" w:pos="4725"/>
        </w:tabs>
        <w:adjustRightInd w:val="0"/>
        <w:snapToGrid w:val="0"/>
        <w:spacing w:before="156"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2、投标人以联合体形式投标的，除应提交联合协议书(本节附4-4)外，参加联合体的各方均应提交上款资格证明材料。</w:t>
      </w:r>
    </w:p>
    <w:p w14:paraId="6E5504E9">
      <w:pPr>
        <w:pStyle w:val="102"/>
        <w:rPr>
          <w:rFonts w:hint="eastAsia" w:ascii="宋体" w:hAnsi="宋体" w:eastAsia="宋体" w:cs="宋体"/>
          <w:color w:val="auto"/>
        </w:rPr>
      </w:pPr>
    </w:p>
    <w:p w14:paraId="032B4F57">
      <w:pPr>
        <w:tabs>
          <w:tab w:val="left" w:pos="4725"/>
        </w:tabs>
        <w:adjustRightInd w:val="0"/>
        <w:snapToGrid w:val="0"/>
        <w:spacing w:line="360" w:lineRule="auto"/>
        <w:rPr>
          <w:rFonts w:hint="eastAsia" w:ascii="宋体" w:hAnsi="宋体" w:eastAsia="宋体" w:cs="宋体"/>
          <w:color w:val="auto"/>
          <w:szCs w:val="21"/>
        </w:rPr>
      </w:pPr>
    </w:p>
    <w:p w14:paraId="71A81D63">
      <w:pPr>
        <w:pStyle w:val="5"/>
        <w:rPr>
          <w:rFonts w:hint="eastAsia" w:ascii="宋体" w:hAnsi="宋体" w:eastAsia="宋体" w:cs="宋体"/>
          <w:color w:val="auto"/>
          <w:sz w:val="10"/>
          <w:szCs w:val="10"/>
        </w:rPr>
      </w:pPr>
      <w:r>
        <w:rPr>
          <w:rFonts w:hint="eastAsia" w:ascii="宋体" w:hAnsi="宋体" w:eastAsia="宋体" w:cs="宋体"/>
          <w:color w:val="auto"/>
          <w:szCs w:val="21"/>
        </w:rPr>
        <w:br w:type="page"/>
      </w:r>
      <w:bookmarkStart w:id="1464" w:name="_Toc227246849"/>
      <w:bookmarkStart w:id="1465" w:name="_Toc1901"/>
      <w:bookmarkStart w:id="1466" w:name="_Toc20723"/>
      <w:r>
        <w:rPr>
          <w:rFonts w:hint="eastAsia" w:ascii="宋体" w:hAnsi="宋体" w:eastAsia="宋体" w:cs="宋体"/>
          <w:color w:val="auto"/>
          <w:sz w:val="21"/>
          <w:szCs w:val="24"/>
        </w:rPr>
        <w:t>附件4-1 法人或者其他组织的营业执照等主体资格证明文件，自然人的身份证明</w:t>
      </w:r>
      <w:bookmarkEnd w:id="1464"/>
      <w:bookmarkEnd w:id="1465"/>
      <w:bookmarkEnd w:id="1466"/>
    </w:p>
    <w:p w14:paraId="72B0EE8B">
      <w:pPr>
        <w:widowControl/>
        <w:adjustRightInd w:val="0"/>
        <w:snapToGrid w:val="0"/>
        <w:spacing w:line="360" w:lineRule="auto"/>
        <w:jc w:val="center"/>
        <w:rPr>
          <w:rFonts w:hint="eastAsia" w:ascii="宋体" w:hAnsi="宋体" w:eastAsia="宋体" w:cs="宋体"/>
          <w:b/>
          <w:color w:val="auto"/>
          <w:sz w:val="28"/>
          <w:szCs w:val="28"/>
        </w:rPr>
      </w:pPr>
    </w:p>
    <w:p w14:paraId="4775465C">
      <w:pPr>
        <w:widowControl/>
        <w:adjustRightInd w:val="0"/>
        <w:snapToGrid w:val="0"/>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法人或者其他组织的营业执照等主体资格证明文件，自然人的身份证明</w:t>
      </w:r>
    </w:p>
    <w:p w14:paraId="0E5DADEE">
      <w:pPr>
        <w:widowControl/>
        <w:adjustRightInd w:val="0"/>
        <w:snapToGrid w:val="0"/>
        <w:spacing w:before="156" w:beforeLines="50" w:line="360" w:lineRule="auto"/>
        <w:ind w:firstLine="420" w:firstLineChars="200"/>
        <w:jc w:val="left"/>
        <w:rPr>
          <w:rFonts w:hint="eastAsia" w:ascii="宋体" w:hAnsi="宋体" w:eastAsia="宋体" w:cs="宋体"/>
          <w:color w:val="auto"/>
          <w:szCs w:val="21"/>
        </w:rPr>
      </w:pPr>
    </w:p>
    <w:p w14:paraId="5066570B">
      <w:pPr>
        <w:adjustRightInd w:val="0"/>
        <w:snapToGrid w:val="0"/>
        <w:spacing w:before="156"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注：按第二章第14.1（1）项要求提供。</w:t>
      </w:r>
    </w:p>
    <w:p w14:paraId="143FDC13">
      <w:pPr>
        <w:adjustRightInd w:val="0"/>
        <w:snapToGrid w:val="0"/>
        <w:spacing w:before="156" w:beforeLines="50" w:line="360" w:lineRule="auto"/>
        <w:ind w:firstLine="420" w:firstLineChars="200"/>
        <w:rPr>
          <w:rFonts w:hint="eastAsia" w:ascii="宋体" w:hAnsi="宋体" w:eastAsia="宋体" w:cs="宋体"/>
          <w:color w:val="auto"/>
        </w:rPr>
      </w:pPr>
      <w:r>
        <w:rPr>
          <w:rFonts w:hint="eastAsia" w:ascii="宋体" w:hAnsi="宋体" w:eastAsia="宋体" w:cs="宋体"/>
          <w:color w:val="auto"/>
          <w:szCs w:val="21"/>
        </w:rPr>
        <w:t>（1）</w:t>
      </w:r>
      <w:r>
        <w:rPr>
          <w:rFonts w:hint="eastAsia" w:ascii="宋体" w:hAnsi="宋体" w:eastAsia="宋体" w:cs="宋体"/>
          <w:color w:val="auto"/>
        </w:rPr>
        <w:t>投标人为法人的，应提交营业执照或法人登记证书的</w:t>
      </w:r>
      <w:r>
        <w:rPr>
          <w:rFonts w:hint="eastAsia" w:ascii="宋体" w:hAnsi="宋体" w:eastAsia="宋体" w:cs="宋体"/>
          <w:color w:val="auto"/>
          <w:lang w:eastAsia="zh-CN"/>
        </w:rPr>
        <w:t>扫描件</w:t>
      </w:r>
      <w:r>
        <w:rPr>
          <w:rFonts w:hint="eastAsia" w:ascii="宋体" w:hAnsi="宋体" w:eastAsia="宋体" w:cs="宋体"/>
          <w:color w:val="auto"/>
        </w:rPr>
        <w:t>；</w:t>
      </w:r>
    </w:p>
    <w:p w14:paraId="623E7523">
      <w:pPr>
        <w:adjustRightInd w:val="0"/>
        <w:snapToGrid w:val="0"/>
        <w:spacing w:before="156" w:beforeLines="50" w:line="360" w:lineRule="auto"/>
        <w:ind w:firstLine="420" w:firstLineChars="200"/>
        <w:rPr>
          <w:rFonts w:hint="eastAsia" w:ascii="宋体" w:hAnsi="宋体" w:eastAsia="宋体" w:cs="宋体"/>
          <w:color w:val="auto"/>
        </w:rPr>
      </w:pPr>
      <w:r>
        <w:rPr>
          <w:rFonts w:hint="eastAsia" w:ascii="宋体" w:hAnsi="宋体" w:eastAsia="宋体" w:cs="宋体"/>
          <w:color w:val="auto"/>
          <w:szCs w:val="21"/>
        </w:rPr>
        <w:t>（2）</w:t>
      </w:r>
      <w:r>
        <w:rPr>
          <w:rFonts w:hint="eastAsia" w:ascii="宋体" w:hAnsi="宋体" w:eastAsia="宋体" w:cs="宋体"/>
          <w:color w:val="auto"/>
        </w:rPr>
        <w:t>投标人为非法人组织的，应提交依法登记证书</w:t>
      </w:r>
      <w:r>
        <w:rPr>
          <w:rFonts w:hint="eastAsia" w:ascii="宋体" w:hAnsi="宋体" w:eastAsia="宋体" w:cs="宋体"/>
          <w:color w:val="auto"/>
          <w:lang w:eastAsia="zh-CN"/>
        </w:rPr>
        <w:t>扫描件</w:t>
      </w:r>
      <w:r>
        <w:rPr>
          <w:rFonts w:hint="eastAsia" w:ascii="宋体" w:hAnsi="宋体" w:eastAsia="宋体" w:cs="宋体"/>
          <w:color w:val="auto"/>
        </w:rPr>
        <w:t>；</w:t>
      </w:r>
    </w:p>
    <w:p w14:paraId="1F1BA8D2">
      <w:pPr>
        <w:adjustRightInd w:val="0"/>
        <w:snapToGrid w:val="0"/>
        <w:spacing w:before="156" w:beforeLines="50" w:line="360" w:lineRule="auto"/>
        <w:ind w:firstLine="420" w:firstLineChars="200"/>
        <w:rPr>
          <w:rFonts w:hint="eastAsia" w:ascii="宋体" w:hAnsi="宋体" w:eastAsia="宋体" w:cs="宋体"/>
          <w:color w:val="auto"/>
        </w:rPr>
      </w:pPr>
      <w:r>
        <w:rPr>
          <w:rFonts w:hint="eastAsia" w:ascii="宋体" w:hAnsi="宋体" w:eastAsia="宋体" w:cs="宋体"/>
          <w:color w:val="auto"/>
          <w:szCs w:val="21"/>
        </w:rPr>
        <w:t>（3）</w:t>
      </w:r>
      <w:r>
        <w:rPr>
          <w:rFonts w:hint="eastAsia" w:ascii="宋体" w:hAnsi="宋体" w:eastAsia="宋体" w:cs="宋体"/>
          <w:color w:val="auto"/>
        </w:rPr>
        <w:t>投标人为个体工商户的，应提交个体工商户营业执照</w:t>
      </w:r>
      <w:r>
        <w:rPr>
          <w:rFonts w:hint="eastAsia" w:ascii="宋体" w:hAnsi="宋体" w:eastAsia="宋体" w:cs="宋体"/>
          <w:color w:val="auto"/>
          <w:lang w:eastAsia="zh-CN"/>
        </w:rPr>
        <w:t>扫描件</w:t>
      </w:r>
      <w:r>
        <w:rPr>
          <w:rFonts w:hint="eastAsia" w:ascii="宋体" w:hAnsi="宋体" w:eastAsia="宋体" w:cs="宋体"/>
          <w:color w:val="auto"/>
        </w:rPr>
        <w:t>；</w:t>
      </w:r>
    </w:p>
    <w:p w14:paraId="1C8BD5E8">
      <w:pPr>
        <w:adjustRightInd w:val="0"/>
        <w:snapToGrid w:val="0"/>
        <w:spacing w:before="156" w:beforeLines="50" w:line="360" w:lineRule="auto"/>
        <w:ind w:firstLine="420" w:firstLineChars="200"/>
        <w:rPr>
          <w:rFonts w:hint="eastAsia" w:ascii="宋体" w:hAnsi="宋体" w:eastAsia="宋体" w:cs="宋体"/>
          <w:color w:val="auto"/>
        </w:rPr>
      </w:pPr>
      <w:r>
        <w:rPr>
          <w:rFonts w:hint="eastAsia" w:ascii="宋体" w:hAnsi="宋体" w:eastAsia="宋体" w:cs="宋体"/>
          <w:color w:val="auto"/>
          <w:szCs w:val="21"/>
        </w:rPr>
        <w:t>（4）</w:t>
      </w:r>
      <w:r>
        <w:rPr>
          <w:rFonts w:hint="eastAsia" w:ascii="宋体" w:hAnsi="宋体" w:eastAsia="宋体" w:cs="宋体"/>
          <w:color w:val="auto"/>
        </w:rPr>
        <w:t>投标人为自然人的，应提交自然人的身份证明</w:t>
      </w:r>
      <w:r>
        <w:rPr>
          <w:rFonts w:hint="eastAsia" w:ascii="宋体" w:hAnsi="宋体" w:eastAsia="宋体" w:cs="宋体"/>
          <w:color w:val="auto"/>
          <w:lang w:eastAsia="zh-CN"/>
        </w:rPr>
        <w:t>扫描件</w:t>
      </w:r>
      <w:r>
        <w:rPr>
          <w:rFonts w:hint="eastAsia" w:ascii="宋体" w:hAnsi="宋体" w:eastAsia="宋体" w:cs="宋体"/>
          <w:color w:val="auto"/>
        </w:rPr>
        <w:t>。</w:t>
      </w:r>
    </w:p>
    <w:p w14:paraId="1E6C9A38">
      <w:pPr>
        <w:adjustRightInd w:val="0"/>
        <w:snapToGrid w:val="0"/>
        <w:spacing w:before="156" w:beforeLines="50" w:line="360" w:lineRule="auto"/>
        <w:ind w:firstLine="420" w:firstLineChars="200"/>
        <w:rPr>
          <w:rFonts w:hint="eastAsia" w:ascii="宋体" w:hAnsi="宋体" w:eastAsia="宋体" w:cs="宋体"/>
          <w:color w:val="auto"/>
        </w:rPr>
      </w:pPr>
    </w:p>
    <w:p w14:paraId="49F36D38">
      <w:pPr>
        <w:pStyle w:val="5"/>
        <w:rPr>
          <w:rFonts w:hint="eastAsia" w:ascii="宋体" w:hAnsi="宋体" w:eastAsia="宋体" w:cs="宋体"/>
          <w:bCs w:val="0"/>
          <w:color w:val="auto"/>
          <w:sz w:val="10"/>
          <w:szCs w:val="10"/>
        </w:rPr>
      </w:pPr>
      <w:r>
        <w:rPr>
          <w:rFonts w:hint="eastAsia" w:ascii="宋体" w:hAnsi="宋体" w:eastAsia="宋体" w:cs="宋体"/>
          <w:b w:val="0"/>
          <w:color w:val="auto"/>
          <w:szCs w:val="21"/>
        </w:rPr>
        <w:br w:type="page"/>
      </w:r>
      <w:bookmarkStart w:id="1467" w:name="_Toc1638"/>
      <w:bookmarkStart w:id="1468" w:name="_Toc10094"/>
      <w:bookmarkStart w:id="1469" w:name="_Toc227246850"/>
      <w:r>
        <w:rPr>
          <w:rFonts w:hint="eastAsia" w:ascii="宋体" w:hAnsi="宋体" w:eastAsia="宋体" w:cs="宋体"/>
          <w:color w:val="auto"/>
          <w:sz w:val="21"/>
          <w:szCs w:val="24"/>
        </w:rPr>
        <w:t>附件4-2 湖南省政府采购供应商资格承诺函(格式)</w:t>
      </w:r>
      <w:bookmarkEnd w:id="1467"/>
      <w:bookmarkEnd w:id="1468"/>
      <w:bookmarkEnd w:id="1469"/>
    </w:p>
    <w:p w14:paraId="1AADC4D8">
      <w:pPr>
        <w:widowControl/>
        <w:adjustRightInd w:val="0"/>
        <w:snapToGrid w:val="0"/>
        <w:spacing w:before="468" w:beforeLines="150" w:line="360" w:lineRule="auto"/>
        <w:jc w:val="center"/>
        <w:rPr>
          <w:rFonts w:hint="eastAsia" w:ascii="宋体" w:hAnsi="宋体" w:eastAsia="宋体" w:cs="宋体"/>
          <w:color w:val="auto"/>
          <w:szCs w:val="21"/>
        </w:rPr>
      </w:pPr>
      <w:r>
        <w:rPr>
          <w:rFonts w:hint="eastAsia" w:ascii="宋体" w:hAnsi="宋体" w:eastAsia="宋体" w:cs="宋体"/>
          <w:b/>
          <w:color w:val="auto"/>
          <w:sz w:val="28"/>
          <w:szCs w:val="28"/>
        </w:rPr>
        <w:t>湖南省政府采购供应商资格承诺函(格式)</w:t>
      </w:r>
    </w:p>
    <w:p w14:paraId="6E2D5E64">
      <w:pPr>
        <w:widowControl/>
        <w:spacing w:before="156" w:beforeLines="50"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1434836A">
      <w:pPr>
        <w:widowControl/>
        <w:spacing w:before="156" w:beforeLines="50" w:line="360" w:lineRule="auto"/>
        <w:ind w:firstLine="630" w:firstLineChars="300"/>
        <w:jc w:val="left"/>
        <w:rPr>
          <w:rFonts w:hint="eastAsia" w:ascii="宋体" w:hAnsi="宋体" w:eastAsia="宋体" w:cs="宋体"/>
          <w:color w:val="auto"/>
          <w:szCs w:val="21"/>
        </w:rPr>
      </w:pPr>
      <w:r>
        <w:rPr>
          <w:rFonts w:hint="eastAsia" w:ascii="宋体" w:hAnsi="宋体" w:eastAsia="宋体" w:cs="宋体"/>
          <w:color w:val="auto"/>
          <w:szCs w:val="21"/>
        </w:rPr>
        <w:t>按照《政府采购促进中小企业发展管理办法》(财库〔2020〕46号),本公司企业规模为:</w:t>
      </w:r>
    </w:p>
    <w:p w14:paraId="7F7D23B4">
      <w:pPr>
        <w:widowControl/>
        <w:spacing w:before="156" w:beforeLines="50"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口大型、 口中型 、  □小型  、 □微型。（用在“□”内打</w:t>
      </w:r>
      <w:r>
        <w:rPr>
          <w:rFonts w:hint="eastAsia" w:ascii="宋体" w:hAnsi="宋体" w:eastAsia="宋体" w:cs="宋体"/>
          <w:b/>
          <w:color w:val="auto"/>
          <w:szCs w:val="21"/>
          <w:bdr w:val="single" w:color="auto" w:sz="4" w:space="0"/>
        </w:rPr>
        <w:t>√</w:t>
      </w:r>
      <w:r>
        <w:rPr>
          <w:rFonts w:hint="eastAsia" w:ascii="宋体" w:hAnsi="宋体" w:eastAsia="宋体" w:cs="宋体"/>
          <w:color w:val="auto"/>
          <w:szCs w:val="21"/>
        </w:rPr>
        <w:t>标识为选择启用）</w:t>
      </w:r>
    </w:p>
    <w:p w14:paraId="4880744D">
      <w:pPr>
        <w:widowControl/>
        <w:spacing w:before="156" w:beforeLines="50" w:line="360" w:lineRule="auto"/>
        <w:ind w:firstLine="420" w:firstLineChars="200"/>
        <w:jc w:val="left"/>
        <w:rPr>
          <w:rFonts w:hint="eastAsia" w:ascii="宋体" w:hAnsi="宋体" w:eastAsia="宋体" w:cs="宋体"/>
          <w:color w:val="auto"/>
          <w:szCs w:val="21"/>
          <w:u w:val="single"/>
        </w:rPr>
      </w:pPr>
      <w:r>
        <w:rPr>
          <w:rFonts w:hint="eastAsia" w:ascii="宋体" w:hAnsi="宋体" w:eastAsia="宋体" w:cs="宋体"/>
          <w:color w:val="auto"/>
          <w:szCs w:val="21"/>
        </w:rPr>
        <w:t>机构代码、</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注册登记机构、</w:t>
      </w:r>
      <w:r>
        <w:rPr>
          <w:rFonts w:hint="eastAsia" w:ascii="宋体" w:hAnsi="宋体" w:eastAsia="宋体" w:cs="宋体"/>
          <w:color w:val="auto"/>
          <w:szCs w:val="21"/>
          <w:u w:val="single"/>
        </w:rPr>
        <w:t xml:space="preserve">                 </w:t>
      </w:r>
    </w:p>
    <w:p w14:paraId="7C6892B0">
      <w:pPr>
        <w:widowControl/>
        <w:spacing w:before="156" w:beforeLines="50" w:line="360" w:lineRule="auto"/>
        <w:ind w:firstLine="420" w:firstLineChars="200"/>
        <w:jc w:val="left"/>
        <w:rPr>
          <w:rFonts w:hint="eastAsia" w:ascii="宋体" w:hAnsi="宋体" w:eastAsia="宋体" w:cs="宋体"/>
          <w:color w:val="auto"/>
          <w:szCs w:val="21"/>
          <w:u w:val="single"/>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、有效期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、注册资本</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14:paraId="328FA446">
      <w:pPr>
        <w:widowControl/>
        <w:spacing w:before="156" w:beforeLines="50"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地 址</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、经济行业</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、经济性质</w:t>
      </w:r>
      <w:r>
        <w:rPr>
          <w:rFonts w:hint="eastAsia" w:ascii="宋体" w:hAnsi="宋体" w:eastAsia="宋体" w:cs="宋体"/>
          <w:color w:val="auto"/>
          <w:szCs w:val="21"/>
          <w:u w:val="single"/>
        </w:rPr>
        <w:t xml:space="preserve">                 </w:t>
      </w:r>
    </w:p>
    <w:p w14:paraId="45EC5513">
      <w:pPr>
        <w:widowControl/>
        <w:spacing w:before="156" w:beforeLines="50" w:line="360" w:lineRule="auto"/>
        <w:ind w:firstLine="3990" w:firstLineChars="1900"/>
        <w:jc w:val="left"/>
        <w:rPr>
          <w:rFonts w:hint="eastAsia" w:ascii="宋体" w:hAnsi="宋体" w:eastAsia="宋体" w:cs="宋体"/>
          <w:color w:val="auto"/>
          <w:szCs w:val="21"/>
        </w:rPr>
      </w:pPr>
    </w:p>
    <w:p w14:paraId="28CB2E3E">
      <w:pPr>
        <w:widowControl/>
        <w:spacing w:before="156" w:beforeLines="50" w:line="360" w:lineRule="auto"/>
        <w:ind w:firstLine="3990" w:firstLineChars="1900"/>
        <w:jc w:val="left"/>
        <w:rPr>
          <w:rFonts w:hint="eastAsia" w:ascii="宋体" w:hAnsi="宋体" w:eastAsia="宋体" w:cs="宋体"/>
          <w:color w:val="auto"/>
          <w:szCs w:val="21"/>
        </w:rPr>
      </w:pPr>
      <w:r>
        <w:rPr>
          <w:rFonts w:hint="eastAsia" w:ascii="宋体" w:hAnsi="宋体" w:eastAsia="宋体" w:cs="宋体"/>
          <w:color w:val="auto"/>
          <w:szCs w:val="21"/>
        </w:rPr>
        <w:t>公司(单位)名称(盖章)：</w:t>
      </w:r>
      <w:r>
        <w:rPr>
          <w:rFonts w:hint="eastAsia" w:ascii="宋体" w:hAnsi="宋体" w:eastAsia="宋体" w:cs="宋体"/>
          <w:color w:val="auto"/>
          <w:szCs w:val="21"/>
          <w:u w:val="single"/>
        </w:rPr>
        <w:t xml:space="preserve">                 </w:t>
      </w:r>
    </w:p>
    <w:p w14:paraId="2374D534">
      <w:pPr>
        <w:widowControl/>
        <w:spacing w:before="156" w:beforeLines="50" w:line="360" w:lineRule="auto"/>
        <w:ind w:firstLine="420" w:firstLineChars="200"/>
        <w:jc w:val="left"/>
        <w:rPr>
          <w:rFonts w:hint="eastAsia" w:ascii="宋体" w:hAnsi="宋体" w:eastAsia="宋体" w:cs="宋体"/>
          <w:color w:val="auto"/>
          <w:szCs w:val="21"/>
        </w:rPr>
      </w:pPr>
    </w:p>
    <w:p w14:paraId="6D5609C8">
      <w:pPr>
        <w:widowControl/>
        <w:spacing w:before="156" w:beforeLines="50"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法定代表人(负责人)姓名(签字)</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14:paraId="4F34AA50">
      <w:pPr>
        <w:widowControl/>
        <w:spacing w:before="156" w:beforeLines="50"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身份证号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、手机号:</w:t>
      </w:r>
      <w:r>
        <w:rPr>
          <w:rFonts w:hint="eastAsia" w:ascii="宋体" w:hAnsi="宋体" w:eastAsia="宋体" w:cs="宋体"/>
          <w:color w:val="auto"/>
          <w:szCs w:val="21"/>
          <w:u w:val="single"/>
        </w:rPr>
        <w:t xml:space="preserve">                 </w:t>
      </w:r>
    </w:p>
    <w:p w14:paraId="71F3C9D2">
      <w:pPr>
        <w:widowControl/>
        <w:spacing w:before="156" w:beforeLines="50"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授权代表人姓名(签字)</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14:paraId="72ED4DE4">
      <w:pPr>
        <w:widowControl/>
        <w:spacing w:before="156" w:beforeLines="50"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身份证号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、手机号:</w:t>
      </w:r>
      <w:r>
        <w:rPr>
          <w:rFonts w:hint="eastAsia" w:ascii="宋体" w:hAnsi="宋体" w:eastAsia="宋体" w:cs="宋体"/>
          <w:color w:val="auto"/>
          <w:szCs w:val="21"/>
          <w:u w:val="single"/>
        </w:rPr>
        <w:t xml:space="preserve">                 </w:t>
      </w:r>
    </w:p>
    <w:p w14:paraId="784F32A5">
      <w:pPr>
        <w:widowControl/>
        <w:spacing w:before="156" w:beforeLines="50" w:line="360" w:lineRule="auto"/>
        <w:ind w:firstLine="420" w:firstLineChars="200"/>
        <w:jc w:val="left"/>
        <w:rPr>
          <w:rFonts w:hint="eastAsia" w:ascii="宋体" w:hAnsi="宋体" w:eastAsia="宋体" w:cs="宋体"/>
          <w:color w:val="auto"/>
          <w:szCs w:val="21"/>
        </w:rPr>
      </w:pPr>
    </w:p>
    <w:p w14:paraId="68AC62AD">
      <w:pPr>
        <w:pStyle w:val="5"/>
        <w:rPr>
          <w:rFonts w:hint="eastAsia" w:ascii="宋体" w:hAnsi="宋体" w:eastAsia="宋体" w:cs="宋体"/>
          <w:bCs w:val="0"/>
          <w:color w:val="auto"/>
          <w:sz w:val="10"/>
          <w:szCs w:val="10"/>
        </w:rPr>
      </w:pPr>
      <w:r>
        <w:rPr>
          <w:rFonts w:hint="eastAsia" w:ascii="宋体" w:hAnsi="宋体" w:eastAsia="宋体" w:cs="宋体"/>
          <w:b w:val="0"/>
          <w:color w:val="auto"/>
          <w:szCs w:val="21"/>
        </w:rPr>
        <w:br w:type="page"/>
      </w:r>
      <w:bookmarkStart w:id="1470" w:name="_Toc30442"/>
      <w:bookmarkStart w:id="1471" w:name="_Toc227246851"/>
      <w:bookmarkStart w:id="1472" w:name="_Toc21969"/>
      <w:r>
        <w:rPr>
          <w:rFonts w:hint="eastAsia" w:ascii="宋体" w:hAnsi="宋体" w:eastAsia="宋体" w:cs="宋体"/>
          <w:color w:val="auto"/>
          <w:sz w:val="21"/>
          <w:szCs w:val="24"/>
        </w:rPr>
        <w:t>附件4-3 符合特定资格条件证明材料</w:t>
      </w:r>
      <w:r>
        <w:rPr>
          <w:rFonts w:hint="eastAsia" w:ascii="宋体" w:hAnsi="宋体" w:eastAsia="宋体" w:cs="宋体"/>
          <w:color w:val="auto"/>
          <w:sz w:val="21"/>
          <w:szCs w:val="24"/>
          <w:lang w:eastAsia="zh-CN"/>
        </w:rPr>
        <w:t>扫描件</w:t>
      </w:r>
      <w:r>
        <w:rPr>
          <w:rFonts w:hint="eastAsia" w:ascii="宋体" w:hAnsi="宋体" w:eastAsia="宋体" w:cs="宋体"/>
          <w:color w:val="auto"/>
          <w:sz w:val="21"/>
          <w:szCs w:val="24"/>
        </w:rPr>
        <w:t>或者情况说明</w:t>
      </w:r>
      <w:bookmarkEnd w:id="1470"/>
      <w:bookmarkEnd w:id="1471"/>
      <w:bookmarkEnd w:id="1472"/>
    </w:p>
    <w:p w14:paraId="5381E851">
      <w:pPr>
        <w:widowControl/>
        <w:adjustRightInd w:val="0"/>
        <w:snapToGrid w:val="0"/>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符合特定资格条件证明材料</w:t>
      </w:r>
      <w:r>
        <w:rPr>
          <w:rFonts w:hint="eastAsia" w:ascii="宋体" w:hAnsi="宋体" w:eastAsia="宋体" w:cs="宋体"/>
          <w:b/>
          <w:color w:val="auto"/>
          <w:sz w:val="28"/>
          <w:szCs w:val="28"/>
          <w:lang w:eastAsia="zh-CN"/>
        </w:rPr>
        <w:t>扫描件</w:t>
      </w:r>
      <w:r>
        <w:rPr>
          <w:rFonts w:hint="eastAsia" w:ascii="宋体" w:hAnsi="宋体" w:eastAsia="宋体" w:cs="宋体"/>
          <w:b/>
          <w:color w:val="auto"/>
          <w:sz w:val="28"/>
          <w:szCs w:val="28"/>
        </w:rPr>
        <w:t>或者情况说明</w:t>
      </w:r>
    </w:p>
    <w:p w14:paraId="0F7D62C7">
      <w:pPr>
        <w:widowControl/>
        <w:adjustRightInd w:val="0"/>
        <w:snapToGrid w:val="0"/>
        <w:spacing w:line="360" w:lineRule="auto"/>
        <w:ind w:firstLine="560" w:firstLineChars="200"/>
        <w:jc w:val="left"/>
        <w:rPr>
          <w:rFonts w:hint="eastAsia" w:ascii="宋体" w:hAnsi="宋体" w:eastAsia="宋体" w:cs="宋体"/>
          <w:color w:val="auto"/>
          <w:sz w:val="28"/>
          <w:szCs w:val="28"/>
        </w:rPr>
      </w:pPr>
    </w:p>
    <w:p w14:paraId="35BDB9A6">
      <w:pPr>
        <w:widowControl/>
        <w:adjustRightInd w:val="0"/>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注：按第二章第14.1（3）项要求提供。</w:t>
      </w:r>
    </w:p>
    <w:p w14:paraId="28D4DF96">
      <w:pPr>
        <w:pStyle w:val="5"/>
        <w:rPr>
          <w:rFonts w:hint="eastAsia" w:ascii="宋体" w:hAnsi="宋体" w:eastAsia="宋体" w:cs="宋体"/>
          <w:color w:val="auto"/>
          <w:sz w:val="10"/>
          <w:szCs w:val="10"/>
        </w:rPr>
      </w:pPr>
      <w:r>
        <w:rPr>
          <w:rFonts w:hint="eastAsia" w:ascii="宋体" w:hAnsi="宋体" w:eastAsia="宋体" w:cs="宋体"/>
          <w:color w:val="auto"/>
          <w:szCs w:val="21"/>
        </w:rPr>
        <w:br w:type="page"/>
      </w:r>
      <w:bookmarkStart w:id="1473" w:name="_Toc19619"/>
      <w:bookmarkStart w:id="1474" w:name="_Toc227246852"/>
      <w:bookmarkStart w:id="1475" w:name="_Toc27841"/>
      <w:r>
        <w:rPr>
          <w:rFonts w:hint="eastAsia" w:ascii="宋体" w:hAnsi="宋体" w:eastAsia="宋体" w:cs="宋体"/>
          <w:color w:val="auto"/>
          <w:sz w:val="21"/>
          <w:szCs w:val="24"/>
        </w:rPr>
        <w:t>附件4-4 联合体协议书（格式）</w:t>
      </w:r>
      <w:bookmarkEnd w:id="1473"/>
      <w:bookmarkEnd w:id="1474"/>
      <w:bookmarkEnd w:id="1475"/>
    </w:p>
    <w:p w14:paraId="6DD78896">
      <w:pPr>
        <w:adjustRightInd w:val="0"/>
        <w:snapToGrid w:val="0"/>
        <w:spacing w:line="360" w:lineRule="auto"/>
        <w:jc w:val="center"/>
        <w:rPr>
          <w:rFonts w:hint="eastAsia" w:ascii="宋体" w:hAnsi="宋体" w:eastAsia="宋体" w:cs="宋体"/>
          <w:b/>
          <w:color w:val="auto"/>
          <w:szCs w:val="21"/>
        </w:rPr>
      </w:pPr>
      <w:r>
        <w:rPr>
          <w:rFonts w:hint="eastAsia" w:ascii="宋体" w:hAnsi="宋体" w:eastAsia="宋体" w:cs="宋体"/>
          <w:b/>
          <w:color w:val="auto"/>
          <w:sz w:val="28"/>
          <w:szCs w:val="28"/>
        </w:rPr>
        <w:t>联合体协议书（格式）（本项目不适用）</w:t>
      </w:r>
    </w:p>
    <w:p w14:paraId="3CBCDED7">
      <w:pPr>
        <w:adjustRightInd w:val="0"/>
        <w:snapToGrid w:val="0"/>
        <w:spacing w:line="360" w:lineRule="auto"/>
        <w:rPr>
          <w:rFonts w:hint="eastAsia" w:ascii="宋体" w:hAnsi="宋体" w:eastAsia="宋体" w:cs="宋体"/>
          <w:color w:val="auto"/>
          <w:szCs w:val="21"/>
        </w:rPr>
      </w:pPr>
    </w:p>
    <w:p w14:paraId="03CBAE91">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（采购人、采购代理机构）：</w:t>
      </w:r>
    </w:p>
    <w:p w14:paraId="7A3D5A09">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经研究，我们决定自愿组成联合体共同参加</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（项目名称）（政府采购计划编号：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）项目的投标。现就联合体投标事宜订立如下协议：</w:t>
      </w:r>
    </w:p>
    <w:p w14:paraId="4E5C43DB">
      <w:pPr>
        <w:adjustRightInd w:val="0"/>
        <w:snapToGrid w:val="0"/>
        <w:spacing w:line="360" w:lineRule="auto"/>
        <w:ind w:firstLine="420" w:firstLineChars="200"/>
        <w:rPr>
          <w:rFonts w:hint="eastAsia" w:ascii="宋体" w:hAnsi="宋体" w:eastAsia="宋体" w:cs="宋体"/>
          <w:color w:val="auto"/>
          <w:szCs w:val="21"/>
          <w:u w:val="single"/>
        </w:rPr>
      </w:pPr>
      <w:r>
        <w:rPr>
          <w:rFonts w:hint="eastAsia" w:ascii="宋体" w:hAnsi="宋体" w:eastAsia="宋体" w:cs="宋体"/>
          <w:color w:val="auto"/>
          <w:szCs w:val="21"/>
        </w:rPr>
        <w:t>一、联合体基本信息：</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（各方公司名称、地址、注册资金、营业执照、</w:t>
      </w:r>
      <w:r>
        <w:rPr>
          <w:rFonts w:hint="eastAsia" w:ascii="宋体" w:hAnsi="宋体" w:eastAsia="宋体" w:cs="宋体"/>
          <w:color w:val="auto"/>
          <w:spacing w:val="-2"/>
          <w:kern w:val="0"/>
          <w:szCs w:val="21"/>
        </w:rPr>
        <w:t>法</w:t>
      </w:r>
      <w:r>
        <w:rPr>
          <w:rFonts w:hint="eastAsia" w:ascii="宋体" w:hAnsi="宋体" w:eastAsia="宋体" w:cs="宋体"/>
          <w:color w:val="auto"/>
          <w:kern w:val="0"/>
          <w:szCs w:val="21"/>
        </w:rPr>
        <w:t>定</w:t>
      </w:r>
      <w:r>
        <w:rPr>
          <w:rFonts w:hint="eastAsia" w:ascii="宋体" w:hAnsi="宋体" w:eastAsia="宋体" w:cs="宋体"/>
          <w:color w:val="auto"/>
          <w:spacing w:val="-2"/>
          <w:kern w:val="0"/>
          <w:szCs w:val="21"/>
        </w:rPr>
        <w:t>代</w:t>
      </w:r>
      <w:r>
        <w:rPr>
          <w:rFonts w:hint="eastAsia" w:ascii="宋体" w:hAnsi="宋体" w:eastAsia="宋体" w:cs="宋体"/>
          <w:color w:val="auto"/>
          <w:kern w:val="0"/>
          <w:szCs w:val="21"/>
        </w:rPr>
        <w:t>表</w:t>
      </w:r>
      <w:r>
        <w:rPr>
          <w:rFonts w:hint="eastAsia" w:ascii="宋体" w:hAnsi="宋体" w:eastAsia="宋体" w:cs="宋体"/>
          <w:color w:val="auto"/>
          <w:spacing w:val="-2"/>
          <w:kern w:val="0"/>
          <w:szCs w:val="21"/>
        </w:rPr>
        <w:t>人</w:t>
      </w:r>
      <w:r>
        <w:rPr>
          <w:rFonts w:hint="eastAsia" w:ascii="宋体" w:hAnsi="宋体" w:eastAsia="宋体" w:cs="宋体"/>
          <w:color w:val="auto"/>
          <w:kern w:val="0"/>
          <w:szCs w:val="21"/>
        </w:rPr>
        <w:t>（</w:t>
      </w:r>
      <w:r>
        <w:rPr>
          <w:rFonts w:hint="eastAsia" w:ascii="宋体" w:hAnsi="宋体" w:eastAsia="宋体" w:cs="宋体"/>
          <w:color w:val="auto"/>
          <w:spacing w:val="-2"/>
          <w:kern w:val="0"/>
          <w:szCs w:val="21"/>
        </w:rPr>
        <w:t>单</w:t>
      </w:r>
      <w:r>
        <w:rPr>
          <w:rFonts w:hint="eastAsia" w:ascii="宋体" w:hAnsi="宋体" w:eastAsia="宋体" w:cs="宋体"/>
          <w:color w:val="auto"/>
          <w:kern w:val="0"/>
          <w:szCs w:val="21"/>
        </w:rPr>
        <w:t>位</w:t>
      </w:r>
      <w:r>
        <w:rPr>
          <w:rFonts w:hint="eastAsia" w:ascii="宋体" w:hAnsi="宋体" w:eastAsia="宋体" w:cs="宋体"/>
          <w:color w:val="auto"/>
          <w:spacing w:val="-2"/>
          <w:kern w:val="0"/>
          <w:szCs w:val="21"/>
        </w:rPr>
        <w:t>负</w:t>
      </w:r>
      <w:r>
        <w:rPr>
          <w:rFonts w:hint="eastAsia" w:ascii="宋体" w:hAnsi="宋体" w:eastAsia="宋体" w:cs="宋体"/>
          <w:color w:val="auto"/>
          <w:kern w:val="0"/>
          <w:szCs w:val="21"/>
        </w:rPr>
        <w:t>责人</w:t>
      </w:r>
      <w:r>
        <w:rPr>
          <w:rFonts w:hint="eastAsia" w:ascii="宋体" w:hAnsi="宋体" w:eastAsia="宋体" w:cs="宋体"/>
          <w:color w:val="auto"/>
          <w:spacing w:val="-2"/>
          <w:kern w:val="0"/>
          <w:szCs w:val="21"/>
        </w:rPr>
        <w:t>）</w:t>
      </w:r>
      <w:r>
        <w:rPr>
          <w:rFonts w:hint="eastAsia" w:ascii="宋体" w:hAnsi="宋体" w:eastAsia="宋体" w:cs="宋体"/>
          <w:color w:val="auto"/>
          <w:szCs w:val="21"/>
        </w:rPr>
        <w:t>姓名）</w:t>
      </w:r>
    </w:p>
    <w:p w14:paraId="0954B0F4">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二、</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（某成员单位名称）为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（联合体名称）牵头人。</w:t>
      </w:r>
    </w:p>
    <w:p w14:paraId="72CF0C95">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207056E4">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四．联合体将严格按照招标文件的各项要求，递交投标文件，参加投标，履行中标义务和中标后的合同，并向采购人承担连带责任。</w:t>
      </w:r>
    </w:p>
    <w:p w14:paraId="270929FD">
      <w:pPr>
        <w:adjustRightInd w:val="0"/>
        <w:snapToGrid w:val="0"/>
        <w:spacing w:line="360" w:lineRule="auto"/>
        <w:ind w:firstLine="420" w:firstLineChars="200"/>
        <w:rPr>
          <w:rFonts w:hint="eastAsia" w:ascii="宋体" w:hAnsi="宋体" w:eastAsia="宋体" w:cs="宋体"/>
          <w:color w:val="auto"/>
          <w:szCs w:val="21"/>
          <w:u w:val="single"/>
        </w:rPr>
      </w:pPr>
      <w:r>
        <w:rPr>
          <w:rFonts w:hint="eastAsia" w:ascii="宋体" w:hAnsi="宋体" w:eastAsia="宋体" w:cs="宋体"/>
          <w:color w:val="auto"/>
          <w:szCs w:val="21"/>
        </w:rPr>
        <w:t>五、联合体各成员单位内部的职责分工如下：</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。按照本条上述分工，联合体各成员的协议合同金额占联合体协议合同总金额比例如下：</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14:paraId="237B1473">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六、本协议书自签署之日起生效，合同履行完毕后自动失效。</w:t>
      </w:r>
    </w:p>
    <w:p w14:paraId="0696B53B">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七、本协议书一式</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份，联合体成员和采购人各执一份。</w:t>
      </w:r>
    </w:p>
    <w:p w14:paraId="4684B415">
      <w:pPr>
        <w:adjustRightInd w:val="0"/>
        <w:snapToGrid w:val="0"/>
        <w:spacing w:line="360" w:lineRule="auto"/>
        <w:rPr>
          <w:rFonts w:hint="eastAsia" w:ascii="宋体" w:hAnsi="宋体" w:eastAsia="宋体" w:cs="宋体"/>
          <w:color w:val="auto"/>
          <w:szCs w:val="21"/>
        </w:rPr>
      </w:pPr>
    </w:p>
    <w:p w14:paraId="369CEA61">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牵头人名称（盖单位章）：</w:t>
      </w:r>
    </w:p>
    <w:p w14:paraId="0D785B9D">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pacing w:val="-2"/>
          <w:kern w:val="0"/>
          <w:szCs w:val="21"/>
        </w:rPr>
        <w:t>法</w:t>
      </w:r>
      <w:r>
        <w:rPr>
          <w:rFonts w:hint="eastAsia" w:ascii="宋体" w:hAnsi="宋体" w:eastAsia="宋体" w:cs="宋体"/>
          <w:color w:val="auto"/>
          <w:kern w:val="0"/>
          <w:szCs w:val="21"/>
        </w:rPr>
        <w:t>定</w:t>
      </w:r>
      <w:r>
        <w:rPr>
          <w:rFonts w:hint="eastAsia" w:ascii="宋体" w:hAnsi="宋体" w:eastAsia="宋体" w:cs="宋体"/>
          <w:color w:val="auto"/>
          <w:spacing w:val="-2"/>
          <w:kern w:val="0"/>
          <w:szCs w:val="21"/>
        </w:rPr>
        <w:t>代</w:t>
      </w:r>
      <w:r>
        <w:rPr>
          <w:rFonts w:hint="eastAsia" w:ascii="宋体" w:hAnsi="宋体" w:eastAsia="宋体" w:cs="宋体"/>
          <w:color w:val="auto"/>
          <w:kern w:val="0"/>
          <w:szCs w:val="21"/>
        </w:rPr>
        <w:t>表</w:t>
      </w:r>
      <w:r>
        <w:rPr>
          <w:rFonts w:hint="eastAsia" w:ascii="宋体" w:hAnsi="宋体" w:eastAsia="宋体" w:cs="宋体"/>
          <w:color w:val="auto"/>
          <w:spacing w:val="-2"/>
          <w:kern w:val="0"/>
          <w:szCs w:val="21"/>
        </w:rPr>
        <w:t>人</w:t>
      </w:r>
      <w:r>
        <w:rPr>
          <w:rFonts w:hint="eastAsia" w:ascii="宋体" w:hAnsi="宋体" w:eastAsia="宋体" w:cs="宋体"/>
          <w:color w:val="auto"/>
          <w:kern w:val="0"/>
          <w:szCs w:val="21"/>
        </w:rPr>
        <w:t>（</w:t>
      </w:r>
      <w:r>
        <w:rPr>
          <w:rFonts w:hint="eastAsia" w:ascii="宋体" w:hAnsi="宋体" w:eastAsia="宋体" w:cs="宋体"/>
          <w:color w:val="auto"/>
          <w:spacing w:val="-2"/>
          <w:kern w:val="0"/>
          <w:szCs w:val="21"/>
        </w:rPr>
        <w:t>单</w:t>
      </w:r>
      <w:r>
        <w:rPr>
          <w:rFonts w:hint="eastAsia" w:ascii="宋体" w:hAnsi="宋体" w:eastAsia="宋体" w:cs="宋体"/>
          <w:color w:val="auto"/>
          <w:kern w:val="0"/>
          <w:szCs w:val="21"/>
        </w:rPr>
        <w:t>位</w:t>
      </w:r>
      <w:r>
        <w:rPr>
          <w:rFonts w:hint="eastAsia" w:ascii="宋体" w:hAnsi="宋体" w:eastAsia="宋体" w:cs="宋体"/>
          <w:color w:val="auto"/>
          <w:spacing w:val="-2"/>
          <w:kern w:val="0"/>
          <w:szCs w:val="21"/>
        </w:rPr>
        <w:t>负</w:t>
      </w:r>
      <w:r>
        <w:rPr>
          <w:rFonts w:hint="eastAsia" w:ascii="宋体" w:hAnsi="宋体" w:eastAsia="宋体" w:cs="宋体"/>
          <w:color w:val="auto"/>
          <w:kern w:val="0"/>
          <w:szCs w:val="21"/>
        </w:rPr>
        <w:t>责人</w:t>
      </w:r>
      <w:r>
        <w:rPr>
          <w:rFonts w:hint="eastAsia" w:ascii="宋体" w:hAnsi="宋体" w:eastAsia="宋体" w:cs="宋体"/>
          <w:color w:val="auto"/>
          <w:spacing w:val="-2"/>
          <w:kern w:val="0"/>
          <w:szCs w:val="21"/>
        </w:rPr>
        <w:t>）</w:t>
      </w:r>
      <w:r>
        <w:rPr>
          <w:rFonts w:hint="eastAsia" w:ascii="宋体" w:hAnsi="宋体" w:eastAsia="宋体" w:cs="宋体"/>
          <w:color w:val="auto"/>
          <w:szCs w:val="21"/>
        </w:rPr>
        <w:t>或其委托代理人（签字或印章）：</w:t>
      </w:r>
      <w:r>
        <w:rPr>
          <w:rFonts w:hint="eastAsia" w:ascii="宋体" w:hAnsi="宋体" w:eastAsia="宋体" w:cs="宋体"/>
          <w:color w:val="auto"/>
          <w:szCs w:val="21"/>
          <w:u w:val="single"/>
        </w:rPr>
        <w:t xml:space="preserve">                          </w:t>
      </w:r>
    </w:p>
    <w:p w14:paraId="779F01BB">
      <w:pPr>
        <w:adjustRightInd w:val="0"/>
        <w:snapToGrid w:val="0"/>
        <w:spacing w:line="360" w:lineRule="auto"/>
        <w:rPr>
          <w:rFonts w:hint="eastAsia" w:ascii="宋体" w:hAnsi="宋体" w:eastAsia="宋体" w:cs="宋体"/>
          <w:color w:val="auto"/>
          <w:szCs w:val="21"/>
        </w:rPr>
      </w:pPr>
    </w:p>
    <w:p w14:paraId="5EEA667C">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成员1名称（盖单位章）：</w:t>
      </w:r>
    </w:p>
    <w:p w14:paraId="0DF98479">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pacing w:val="-2"/>
          <w:kern w:val="0"/>
          <w:szCs w:val="21"/>
        </w:rPr>
        <w:t>法</w:t>
      </w:r>
      <w:r>
        <w:rPr>
          <w:rFonts w:hint="eastAsia" w:ascii="宋体" w:hAnsi="宋体" w:eastAsia="宋体" w:cs="宋体"/>
          <w:color w:val="auto"/>
          <w:kern w:val="0"/>
          <w:szCs w:val="21"/>
        </w:rPr>
        <w:t>定</w:t>
      </w:r>
      <w:r>
        <w:rPr>
          <w:rFonts w:hint="eastAsia" w:ascii="宋体" w:hAnsi="宋体" w:eastAsia="宋体" w:cs="宋体"/>
          <w:color w:val="auto"/>
          <w:spacing w:val="-2"/>
          <w:kern w:val="0"/>
          <w:szCs w:val="21"/>
        </w:rPr>
        <w:t>代</w:t>
      </w:r>
      <w:r>
        <w:rPr>
          <w:rFonts w:hint="eastAsia" w:ascii="宋体" w:hAnsi="宋体" w:eastAsia="宋体" w:cs="宋体"/>
          <w:color w:val="auto"/>
          <w:kern w:val="0"/>
          <w:szCs w:val="21"/>
        </w:rPr>
        <w:t>表</w:t>
      </w:r>
      <w:r>
        <w:rPr>
          <w:rFonts w:hint="eastAsia" w:ascii="宋体" w:hAnsi="宋体" w:eastAsia="宋体" w:cs="宋体"/>
          <w:color w:val="auto"/>
          <w:spacing w:val="-2"/>
          <w:kern w:val="0"/>
          <w:szCs w:val="21"/>
        </w:rPr>
        <w:t>人</w:t>
      </w:r>
      <w:r>
        <w:rPr>
          <w:rFonts w:hint="eastAsia" w:ascii="宋体" w:hAnsi="宋体" w:eastAsia="宋体" w:cs="宋体"/>
          <w:color w:val="auto"/>
          <w:kern w:val="0"/>
          <w:szCs w:val="21"/>
        </w:rPr>
        <w:t>（</w:t>
      </w:r>
      <w:r>
        <w:rPr>
          <w:rFonts w:hint="eastAsia" w:ascii="宋体" w:hAnsi="宋体" w:eastAsia="宋体" w:cs="宋体"/>
          <w:color w:val="auto"/>
          <w:spacing w:val="-2"/>
          <w:kern w:val="0"/>
          <w:szCs w:val="21"/>
        </w:rPr>
        <w:t>单</w:t>
      </w:r>
      <w:r>
        <w:rPr>
          <w:rFonts w:hint="eastAsia" w:ascii="宋体" w:hAnsi="宋体" w:eastAsia="宋体" w:cs="宋体"/>
          <w:color w:val="auto"/>
          <w:kern w:val="0"/>
          <w:szCs w:val="21"/>
        </w:rPr>
        <w:t>位</w:t>
      </w:r>
      <w:r>
        <w:rPr>
          <w:rFonts w:hint="eastAsia" w:ascii="宋体" w:hAnsi="宋体" w:eastAsia="宋体" w:cs="宋体"/>
          <w:color w:val="auto"/>
          <w:spacing w:val="-2"/>
          <w:kern w:val="0"/>
          <w:szCs w:val="21"/>
        </w:rPr>
        <w:t>负</w:t>
      </w:r>
      <w:r>
        <w:rPr>
          <w:rFonts w:hint="eastAsia" w:ascii="宋体" w:hAnsi="宋体" w:eastAsia="宋体" w:cs="宋体"/>
          <w:color w:val="auto"/>
          <w:kern w:val="0"/>
          <w:szCs w:val="21"/>
        </w:rPr>
        <w:t>责人</w:t>
      </w:r>
      <w:r>
        <w:rPr>
          <w:rFonts w:hint="eastAsia" w:ascii="宋体" w:hAnsi="宋体" w:eastAsia="宋体" w:cs="宋体"/>
          <w:color w:val="auto"/>
          <w:spacing w:val="-2"/>
          <w:kern w:val="0"/>
          <w:szCs w:val="21"/>
        </w:rPr>
        <w:t>）</w:t>
      </w:r>
      <w:r>
        <w:rPr>
          <w:rFonts w:hint="eastAsia" w:ascii="宋体" w:hAnsi="宋体" w:eastAsia="宋体" w:cs="宋体"/>
          <w:color w:val="auto"/>
          <w:szCs w:val="21"/>
        </w:rPr>
        <w:t>或其委托代理人（签字或印章）：</w:t>
      </w:r>
      <w:r>
        <w:rPr>
          <w:rFonts w:hint="eastAsia" w:ascii="宋体" w:hAnsi="宋体" w:eastAsia="宋体" w:cs="宋体"/>
          <w:color w:val="auto"/>
          <w:szCs w:val="21"/>
          <w:u w:val="single"/>
        </w:rPr>
        <w:t xml:space="preserve">                          </w:t>
      </w:r>
    </w:p>
    <w:p w14:paraId="0CFF2A0D">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成员2名称（盖单位章）：</w:t>
      </w:r>
    </w:p>
    <w:p w14:paraId="6E991B6D">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pacing w:val="-2"/>
          <w:kern w:val="0"/>
          <w:szCs w:val="21"/>
        </w:rPr>
        <w:t>法</w:t>
      </w:r>
      <w:r>
        <w:rPr>
          <w:rFonts w:hint="eastAsia" w:ascii="宋体" w:hAnsi="宋体" w:eastAsia="宋体" w:cs="宋体"/>
          <w:color w:val="auto"/>
          <w:kern w:val="0"/>
          <w:szCs w:val="21"/>
        </w:rPr>
        <w:t>定</w:t>
      </w:r>
      <w:r>
        <w:rPr>
          <w:rFonts w:hint="eastAsia" w:ascii="宋体" w:hAnsi="宋体" w:eastAsia="宋体" w:cs="宋体"/>
          <w:color w:val="auto"/>
          <w:spacing w:val="-2"/>
          <w:kern w:val="0"/>
          <w:szCs w:val="21"/>
        </w:rPr>
        <w:t>代</w:t>
      </w:r>
      <w:r>
        <w:rPr>
          <w:rFonts w:hint="eastAsia" w:ascii="宋体" w:hAnsi="宋体" w:eastAsia="宋体" w:cs="宋体"/>
          <w:color w:val="auto"/>
          <w:kern w:val="0"/>
          <w:szCs w:val="21"/>
        </w:rPr>
        <w:t>表</w:t>
      </w:r>
      <w:r>
        <w:rPr>
          <w:rFonts w:hint="eastAsia" w:ascii="宋体" w:hAnsi="宋体" w:eastAsia="宋体" w:cs="宋体"/>
          <w:color w:val="auto"/>
          <w:spacing w:val="-2"/>
          <w:kern w:val="0"/>
          <w:szCs w:val="21"/>
        </w:rPr>
        <w:t>人</w:t>
      </w:r>
      <w:r>
        <w:rPr>
          <w:rFonts w:hint="eastAsia" w:ascii="宋体" w:hAnsi="宋体" w:eastAsia="宋体" w:cs="宋体"/>
          <w:color w:val="auto"/>
          <w:kern w:val="0"/>
          <w:szCs w:val="21"/>
        </w:rPr>
        <w:t>（</w:t>
      </w:r>
      <w:r>
        <w:rPr>
          <w:rFonts w:hint="eastAsia" w:ascii="宋体" w:hAnsi="宋体" w:eastAsia="宋体" w:cs="宋体"/>
          <w:color w:val="auto"/>
          <w:spacing w:val="-2"/>
          <w:kern w:val="0"/>
          <w:szCs w:val="21"/>
        </w:rPr>
        <w:t>单</w:t>
      </w:r>
      <w:r>
        <w:rPr>
          <w:rFonts w:hint="eastAsia" w:ascii="宋体" w:hAnsi="宋体" w:eastAsia="宋体" w:cs="宋体"/>
          <w:color w:val="auto"/>
          <w:kern w:val="0"/>
          <w:szCs w:val="21"/>
        </w:rPr>
        <w:t>位</w:t>
      </w:r>
      <w:r>
        <w:rPr>
          <w:rFonts w:hint="eastAsia" w:ascii="宋体" w:hAnsi="宋体" w:eastAsia="宋体" w:cs="宋体"/>
          <w:color w:val="auto"/>
          <w:spacing w:val="-2"/>
          <w:kern w:val="0"/>
          <w:szCs w:val="21"/>
        </w:rPr>
        <w:t>负</w:t>
      </w:r>
      <w:r>
        <w:rPr>
          <w:rFonts w:hint="eastAsia" w:ascii="宋体" w:hAnsi="宋体" w:eastAsia="宋体" w:cs="宋体"/>
          <w:color w:val="auto"/>
          <w:kern w:val="0"/>
          <w:szCs w:val="21"/>
        </w:rPr>
        <w:t>责人</w:t>
      </w:r>
      <w:r>
        <w:rPr>
          <w:rFonts w:hint="eastAsia" w:ascii="宋体" w:hAnsi="宋体" w:eastAsia="宋体" w:cs="宋体"/>
          <w:color w:val="auto"/>
          <w:spacing w:val="-2"/>
          <w:kern w:val="0"/>
          <w:szCs w:val="21"/>
        </w:rPr>
        <w:t>）</w:t>
      </w:r>
      <w:r>
        <w:rPr>
          <w:rFonts w:hint="eastAsia" w:ascii="宋体" w:hAnsi="宋体" w:eastAsia="宋体" w:cs="宋体"/>
          <w:color w:val="auto"/>
          <w:szCs w:val="21"/>
        </w:rPr>
        <w:t>或其委托代理人（签字或印章）：</w:t>
      </w:r>
      <w:r>
        <w:rPr>
          <w:rFonts w:hint="eastAsia" w:ascii="宋体" w:hAnsi="宋体" w:eastAsia="宋体" w:cs="宋体"/>
          <w:color w:val="auto"/>
          <w:szCs w:val="21"/>
          <w:u w:val="single"/>
        </w:rPr>
        <w:t xml:space="preserve">                          </w:t>
      </w:r>
    </w:p>
    <w:p w14:paraId="34442DA2">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w:t>
      </w:r>
    </w:p>
    <w:p w14:paraId="45B89C27">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日  </w:t>
      </w:r>
    </w:p>
    <w:p w14:paraId="2F977D3B">
      <w:pPr>
        <w:widowControl/>
        <w:adjustRightInd w:val="0"/>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bCs/>
          <w:color w:val="auto"/>
          <w:szCs w:val="21"/>
        </w:rPr>
        <w:t>注：1.</w:t>
      </w:r>
      <w:r>
        <w:rPr>
          <w:rFonts w:hint="eastAsia" w:ascii="宋体" w:hAnsi="宋体" w:eastAsia="宋体" w:cs="宋体"/>
          <w:color w:val="auto"/>
          <w:szCs w:val="21"/>
        </w:rPr>
        <w:t>本协议书由委托代理人签字的，应附授权委托书。</w:t>
      </w:r>
    </w:p>
    <w:p w14:paraId="369ADA22">
      <w:pPr>
        <w:widowControl/>
        <w:adjustRightInd w:val="0"/>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2.投标人在提交投标文件的截止时间前修改“开标一览表”中的投标报价，影响本协议书第五条的，应同时修改本协议书第五条。否则，评审时价格评审优惠不予以考虑。</w:t>
      </w:r>
    </w:p>
    <w:p w14:paraId="565D32DD">
      <w:pPr>
        <w:pStyle w:val="102"/>
        <w:ind w:firstLine="0" w:firstLineChars="0"/>
        <w:rPr>
          <w:rFonts w:hint="eastAsia" w:ascii="宋体" w:hAnsi="宋体" w:eastAsia="宋体" w:cs="宋体"/>
          <w:color w:val="auto"/>
        </w:rPr>
      </w:pPr>
    </w:p>
    <w:p w14:paraId="17F73392">
      <w:pPr>
        <w:pStyle w:val="5"/>
        <w:rPr>
          <w:rFonts w:hint="eastAsia" w:ascii="宋体" w:hAnsi="宋体" w:eastAsia="宋体" w:cs="宋体"/>
          <w:color w:val="auto"/>
          <w:sz w:val="21"/>
          <w:szCs w:val="24"/>
        </w:rPr>
      </w:pPr>
      <w:bookmarkStart w:id="1476" w:name="_Toc16733"/>
      <w:bookmarkStart w:id="1477" w:name="_Toc227246853"/>
      <w:bookmarkStart w:id="1478" w:name="_Toc6603"/>
      <w:r>
        <w:rPr>
          <w:rFonts w:hint="eastAsia" w:ascii="宋体" w:hAnsi="宋体" w:eastAsia="宋体" w:cs="宋体"/>
          <w:color w:val="auto"/>
          <w:sz w:val="21"/>
          <w:szCs w:val="24"/>
        </w:rPr>
        <w:t>附件4-5   投标人资格声明(格式)</w:t>
      </w:r>
      <w:bookmarkEnd w:id="1476"/>
      <w:bookmarkEnd w:id="1477"/>
      <w:bookmarkEnd w:id="1478"/>
    </w:p>
    <w:p w14:paraId="709025DD">
      <w:pPr>
        <w:widowControl/>
        <w:snapToGrid w:val="0"/>
        <w:spacing w:before="156" w:line="360" w:lineRule="auto"/>
        <w:jc w:val="center"/>
        <w:textAlignment w:val="baseline"/>
        <w:rPr>
          <w:rFonts w:hint="eastAsia" w:ascii="宋体" w:hAnsi="宋体" w:eastAsia="宋体" w:cs="宋体"/>
          <w:color w:val="auto"/>
          <w:sz w:val="20"/>
          <w:szCs w:val="21"/>
        </w:rPr>
      </w:pPr>
      <w:r>
        <w:rPr>
          <w:rFonts w:hint="eastAsia" w:ascii="宋体" w:hAnsi="宋体" w:eastAsia="宋体" w:cs="宋体"/>
          <w:b/>
          <w:color w:val="auto"/>
          <w:sz w:val="28"/>
          <w:szCs w:val="28"/>
        </w:rPr>
        <w:t>投标人资格声明(格式)</w:t>
      </w:r>
    </w:p>
    <w:p w14:paraId="772F9C5B">
      <w:pPr>
        <w:widowControl/>
        <w:snapToGrid w:val="0"/>
        <w:spacing w:before="156" w:line="360" w:lineRule="auto"/>
        <w:jc w:val="left"/>
        <w:textAlignment w:val="baseline"/>
        <w:rPr>
          <w:rFonts w:hint="eastAsia" w:ascii="宋体" w:hAnsi="宋体" w:eastAsia="宋体" w:cs="宋体"/>
          <w:color w:val="auto"/>
          <w:kern w:val="0"/>
          <w:sz w:val="20"/>
          <w:szCs w:val="21"/>
        </w:rPr>
      </w:pPr>
      <w:r>
        <w:rPr>
          <w:rFonts w:hint="eastAsia" w:ascii="宋体" w:hAnsi="宋体" w:eastAsia="宋体" w:cs="宋体"/>
          <w:color w:val="auto"/>
          <w:szCs w:val="21"/>
        </w:rPr>
        <w:t>致</w:t>
      </w:r>
      <w:r>
        <w:rPr>
          <w:rFonts w:hint="eastAsia" w:ascii="宋体" w:hAnsi="宋体" w:eastAsia="宋体" w:cs="宋体"/>
          <w:color w:val="auto"/>
          <w:szCs w:val="21"/>
          <w:u w:val="single" w:color="000000"/>
        </w:rPr>
        <w:t xml:space="preserve">            </w:t>
      </w:r>
      <w:r>
        <w:rPr>
          <w:rFonts w:hint="eastAsia" w:ascii="宋体" w:hAnsi="宋体" w:eastAsia="宋体" w:cs="宋体"/>
          <w:color w:val="auto"/>
          <w:szCs w:val="21"/>
        </w:rPr>
        <w:t>(采购人、采购代理机构)：</w:t>
      </w:r>
    </w:p>
    <w:p w14:paraId="1D09D3A7">
      <w:pPr>
        <w:widowControl/>
        <w:snapToGrid w:val="0"/>
        <w:spacing w:before="156" w:line="360" w:lineRule="auto"/>
        <w:ind w:firstLine="420" w:firstLineChars="200"/>
        <w:jc w:val="left"/>
        <w:textAlignment w:val="baseline"/>
        <w:rPr>
          <w:rFonts w:hint="eastAsia" w:ascii="宋体" w:hAnsi="宋体" w:eastAsia="宋体" w:cs="宋体"/>
          <w:color w:val="auto"/>
          <w:kern w:val="0"/>
          <w:sz w:val="20"/>
          <w:szCs w:val="21"/>
        </w:rPr>
      </w:pPr>
      <w:r>
        <w:rPr>
          <w:rFonts w:hint="eastAsia" w:ascii="宋体" w:hAnsi="宋体" w:eastAsia="宋体" w:cs="宋体"/>
          <w:color w:val="auto"/>
          <w:szCs w:val="21"/>
        </w:rPr>
        <w:t>按照《中华人民共和国政府采购法》第二十二条和招标文件的规定，我单位郑重声明如下：</w:t>
      </w:r>
    </w:p>
    <w:p w14:paraId="71910D8F">
      <w:pPr>
        <w:widowControl/>
        <w:snapToGrid w:val="0"/>
        <w:spacing w:before="156" w:line="360" w:lineRule="auto"/>
        <w:ind w:firstLine="420" w:firstLineChars="200"/>
        <w:jc w:val="left"/>
        <w:textAlignment w:val="baseline"/>
        <w:rPr>
          <w:rFonts w:hint="eastAsia" w:ascii="宋体" w:hAnsi="宋体" w:eastAsia="宋体" w:cs="宋体"/>
          <w:color w:val="auto"/>
          <w:kern w:val="0"/>
          <w:sz w:val="20"/>
          <w:szCs w:val="21"/>
        </w:rPr>
      </w:pPr>
      <w:r>
        <w:rPr>
          <w:rFonts w:hint="eastAsia" w:ascii="宋体" w:hAnsi="宋体" w:eastAsia="宋体" w:cs="宋体"/>
          <w:color w:val="auto"/>
          <w:szCs w:val="21"/>
        </w:rPr>
        <w:t>一、我单位是按照中华人民共和国法律规定登记注册的，注册地点为</w:t>
      </w:r>
      <w:r>
        <w:rPr>
          <w:rFonts w:hint="eastAsia" w:ascii="宋体" w:hAnsi="宋体" w:eastAsia="宋体" w:cs="宋体"/>
          <w:color w:val="auto"/>
          <w:szCs w:val="21"/>
          <w:u w:val="single" w:color="000000"/>
        </w:rPr>
        <w:t xml:space="preserve">         </w:t>
      </w:r>
      <w:r>
        <w:rPr>
          <w:rFonts w:hint="eastAsia" w:ascii="宋体" w:hAnsi="宋体" w:eastAsia="宋体" w:cs="宋体"/>
          <w:color w:val="auto"/>
          <w:szCs w:val="21"/>
        </w:rPr>
        <w:t>，全称为</w:t>
      </w:r>
      <w:r>
        <w:rPr>
          <w:rFonts w:hint="eastAsia" w:ascii="宋体" w:hAnsi="宋体" w:eastAsia="宋体" w:cs="宋体"/>
          <w:color w:val="auto"/>
          <w:szCs w:val="21"/>
          <w:u w:val="single" w:color="000000"/>
        </w:rPr>
        <w:t xml:space="preserve">        </w:t>
      </w:r>
      <w:r>
        <w:rPr>
          <w:rFonts w:hint="eastAsia" w:ascii="宋体" w:hAnsi="宋体" w:eastAsia="宋体" w:cs="宋体"/>
          <w:color w:val="auto"/>
          <w:szCs w:val="21"/>
        </w:rPr>
        <w:t>，统一社会信用代码为</w:t>
      </w:r>
      <w:r>
        <w:rPr>
          <w:rFonts w:hint="eastAsia" w:ascii="宋体" w:hAnsi="宋体" w:eastAsia="宋体" w:cs="宋体"/>
          <w:color w:val="auto"/>
          <w:szCs w:val="21"/>
          <w:u w:val="single" w:color="000000"/>
        </w:rPr>
        <w:t xml:space="preserve">            </w:t>
      </w:r>
      <w:r>
        <w:rPr>
          <w:rFonts w:hint="eastAsia" w:ascii="宋体" w:hAnsi="宋体" w:eastAsia="宋体" w:cs="宋体"/>
          <w:color w:val="auto"/>
          <w:szCs w:val="21"/>
        </w:rPr>
        <w:t>，法定代表人</w:t>
      </w:r>
      <w:r>
        <w:rPr>
          <w:rFonts w:hint="eastAsia" w:ascii="宋体" w:hAnsi="宋体" w:eastAsia="宋体" w:cs="宋体"/>
          <w:color w:val="auto"/>
          <w:kern w:val="0"/>
          <w:szCs w:val="21"/>
        </w:rPr>
        <w:t>（</w:t>
      </w:r>
      <w:r>
        <w:rPr>
          <w:rFonts w:hint="eastAsia" w:ascii="宋体" w:hAnsi="宋体" w:eastAsia="宋体" w:cs="宋体"/>
          <w:color w:val="auto"/>
          <w:spacing w:val="-2"/>
          <w:kern w:val="0"/>
          <w:szCs w:val="21"/>
        </w:rPr>
        <w:t>单</w:t>
      </w:r>
      <w:r>
        <w:rPr>
          <w:rFonts w:hint="eastAsia" w:ascii="宋体" w:hAnsi="宋体" w:eastAsia="宋体" w:cs="宋体"/>
          <w:color w:val="auto"/>
          <w:kern w:val="0"/>
          <w:szCs w:val="21"/>
        </w:rPr>
        <w:t>位</w:t>
      </w:r>
      <w:r>
        <w:rPr>
          <w:rFonts w:hint="eastAsia" w:ascii="宋体" w:hAnsi="宋体" w:eastAsia="宋体" w:cs="宋体"/>
          <w:color w:val="auto"/>
          <w:spacing w:val="-2"/>
          <w:kern w:val="0"/>
          <w:szCs w:val="21"/>
        </w:rPr>
        <w:t>负</w:t>
      </w:r>
      <w:r>
        <w:rPr>
          <w:rFonts w:hint="eastAsia" w:ascii="宋体" w:hAnsi="宋体" w:eastAsia="宋体" w:cs="宋体"/>
          <w:color w:val="auto"/>
          <w:kern w:val="0"/>
          <w:szCs w:val="21"/>
        </w:rPr>
        <w:t>责人</w:t>
      </w:r>
      <w:r>
        <w:rPr>
          <w:rFonts w:hint="eastAsia" w:ascii="宋体" w:hAnsi="宋体" w:eastAsia="宋体" w:cs="宋体"/>
          <w:color w:val="auto"/>
          <w:spacing w:val="-2"/>
          <w:kern w:val="0"/>
          <w:szCs w:val="21"/>
        </w:rPr>
        <w:t>）</w:t>
      </w:r>
      <w:r>
        <w:rPr>
          <w:rFonts w:hint="eastAsia" w:ascii="宋体" w:hAnsi="宋体" w:eastAsia="宋体" w:cs="宋体"/>
          <w:color w:val="auto"/>
          <w:szCs w:val="21"/>
        </w:rPr>
        <w:t>为</w:t>
      </w:r>
      <w:r>
        <w:rPr>
          <w:rFonts w:hint="eastAsia" w:ascii="宋体" w:hAnsi="宋体" w:eastAsia="宋体" w:cs="宋体"/>
          <w:color w:val="auto"/>
          <w:szCs w:val="21"/>
          <w:u w:val="single" w:color="000000"/>
        </w:rPr>
        <w:t xml:space="preserve">         </w:t>
      </w:r>
      <w:r>
        <w:rPr>
          <w:rFonts w:hint="eastAsia" w:ascii="宋体" w:hAnsi="宋体" w:eastAsia="宋体" w:cs="宋体"/>
          <w:color w:val="auto"/>
          <w:szCs w:val="21"/>
        </w:rPr>
        <w:t>，具有独立承担民事责任的能力。</w:t>
      </w:r>
    </w:p>
    <w:p w14:paraId="7495BC90">
      <w:pPr>
        <w:widowControl/>
        <w:snapToGrid w:val="0"/>
        <w:spacing w:before="156" w:line="360" w:lineRule="auto"/>
        <w:ind w:firstLine="420" w:firstLineChars="200"/>
        <w:jc w:val="left"/>
        <w:textAlignment w:val="baseline"/>
        <w:rPr>
          <w:rFonts w:hint="eastAsia" w:ascii="宋体" w:hAnsi="宋体" w:eastAsia="宋体" w:cs="宋体"/>
          <w:color w:val="auto"/>
          <w:sz w:val="20"/>
          <w:szCs w:val="21"/>
        </w:rPr>
      </w:pPr>
      <w:r>
        <w:rPr>
          <w:rFonts w:hint="eastAsia" w:ascii="宋体" w:hAnsi="宋体" w:eastAsia="宋体" w:cs="宋体"/>
          <w:color w:val="auto"/>
          <w:szCs w:val="21"/>
        </w:rPr>
        <w:t>二、我单位未被“国家企业信用信息系统”列入经营异常名录或者严重违法企业名单。</w:t>
      </w:r>
    </w:p>
    <w:p w14:paraId="027D655A">
      <w:pPr>
        <w:widowControl/>
        <w:snapToGrid w:val="0"/>
        <w:spacing w:before="156" w:line="360" w:lineRule="auto"/>
        <w:ind w:firstLine="420" w:firstLineChars="200"/>
        <w:jc w:val="left"/>
        <w:textAlignment w:val="baseline"/>
        <w:rPr>
          <w:rFonts w:hint="eastAsia" w:ascii="宋体" w:hAnsi="宋体" w:eastAsia="宋体" w:cs="宋体"/>
          <w:color w:val="auto"/>
          <w:sz w:val="20"/>
          <w:szCs w:val="21"/>
        </w:rPr>
      </w:pPr>
      <w:r>
        <w:rPr>
          <w:rFonts w:hint="eastAsia" w:ascii="宋体" w:hAnsi="宋体" w:eastAsia="宋体" w:cs="宋体"/>
          <w:color w:val="auto"/>
          <w:kern w:val="0"/>
          <w:szCs w:val="21"/>
        </w:rPr>
        <w:t>三、</w:t>
      </w:r>
      <w:r>
        <w:rPr>
          <w:rFonts w:hint="eastAsia" w:ascii="宋体" w:hAnsi="宋体" w:eastAsia="宋体" w:cs="宋体"/>
          <w:color w:val="auto"/>
          <w:szCs w:val="21"/>
        </w:rPr>
        <w:t>我单位具有良好的商业信誉和健全的财务会计制度。</w:t>
      </w:r>
    </w:p>
    <w:p w14:paraId="16247511">
      <w:pPr>
        <w:widowControl/>
        <w:snapToGrid w:val="0"/>
        <w:spacing w:before="156" w:line="360" w:lineRule="auto"/>
        <w:ind w:firstLine="420" w:firstLineChars="200"/>
        <w:jc w:val="left"/>
        <w:textAlignment w:val="baseline"/>
        <w:rPr>
          <w:rFonts w:hint="eastAsia" w:ascii="宋体" w:hAnsi="宋体" w:eastAsia="宋体" w:cs="宋体"/>
          <w:color w:val="auto"/>
          <w:kern w:val="0"/>
          <w:sz w:val="20"/>
          <w:szCs w:val="21"/>
        </w:rPr>
      </w:pPr>
      <w:r>
        <w:rPr>
          <w:rFonts w:hint="eastAsia" w:ascii="宋体" w:hAnsi="宋体" w:eastAsia="宋体" w:cs="宋体"/>
          <w:color w:val="auto"/>
          <w:kern w:val="0"/>
          <w:szCs w:val="21"/>
        </w:rPr>
        <w:t>四、我</w:t>
      </w:r>
      <w:r>
        <w:rPr>
          <w:rFonts w:hint="eastAsia" w:ascii="宋体" w:hAnsi="宋体" w:eastAsia="宋体" w:cs="宋体"/>
          <w:color w:val="auto"/>
          <w:szCs w:val="21"/>
        </w:rPr>
        <w:t>单位</w:t>
      </w:r>
      <w:r>
        <w:rPr>
          <w:rFonts w:hint="eastAsia" w:ascii="宋体" w:hAnsi="宋体" w:eastAsia="宋体" w:cs="宋体"/>
          <w:color w:val="auto"/>
          <w:kern w:val="0"/>
          <w:szCs w:val="21"/>
        </w:rPr>
        <w:t>依法进行纳税和社会保险申报并实际履行了义务。</w:t>
      </w:r>
    </w:p>
    <w:p w14:paraId="172811E8">
      <w:pPr>
        <w:widowControl/>
        <w:snapToGrid w:val="0"/>
        <w:spacing w:before="156" w:line="360" w:lineRule="auto"/>
        <w:ind w:firstLine="420" w:firstLineChars="200"/>
        <w:jc w:val="left"/>
        <w:textAlignment w:val="baseline"/>
        <w:rPr>
          <w:rFonts w:hint="eastAsia" w:ascii="宋体" w:hAnsi="宋体" w:eastAsia="宋体" w:cs="宋体"/>
          <w:color w:val="auto"/>
          <w:kern w:val="0"/>
          <w:sz w:val="20"/>
          <w:szCs w:val="21"/>
        </w:rPr>
      </w:pPr>
      <w:r>
        <w:rPr>
          <w:rFonts w:hint="eastAsia" w:ascii="宋体" w:hAnsi="宋体" w:eastAsia="宋体" w:cs="宋体"/>
          <w:color w:val="auto"/>
          <w:szCs w:val="21"/>
        </w:rPr>
        <w:t>五、我单位具有履行本项目采购合同所必需的设备和专业技术能力，并具有履行合同的良好记录。</w:t>
      </w:r>
    </w:p>
    <w:p w14:paraId="5BB6D93E">
      <w:pPr>
        <w:widowControl/>
        <w:snapToGrid w:val="0"/>
        <w:spacing w:before="156" w:line="360" w:lineRule="auto"/>
        <w:ind w:firstLine="420" w:firstLineChars="200"/>
        <w:jc w:val="left"/>
        <w:textAlignment w:val="baseline"/>
        <w:rPr>
          <w:rFonts w:hint="eastAsia" w:ascii="宋体" w:hAnsi="宋体" w:eastAsia="宋体" w:cs="宋体"/>
          <w:color w:val="auto"/>
          <w:sz w:val="20"/>
          <w:szCs w:val="21"/>
        </w:rPr>
      </w:pPr>
      <w:r>
        <w:rPr>
          <w:rFonts w:hint="eastAsia" w:ascii="宋体" w:hAnsi="宋体" w:eastAsia="宋体" w:cs="宋体"/>
          <w:color w:val="auto"/>
          <w:szCs w:val="21"/>
        </w:rPr>
        <w:t>六、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w:t>
      </w:r>
    </w:p>
    <w:p w14:paraId="34A4F1C3">
      <w:pPr>
        <w:widowControl/>
        <w:snapToGrid w:val="0"/>
        <w:spacing w:before="156" w:line="360" w:lineRule="auto"/>
        <w:ind w:firstLine="420" w:firstLineChars="200"/>
        <w:jc w:val="left"/>
        <w:textAlignment w:val="baseline"/>
        <w:rPr>
          <w:rFonts w:hint="eastAsia" w:ascii="宋体" w:hAnsi="宋体" w:eastAsia="宋体" w:cs="宋体"/>
          <w:color w:val="auto"/>
          <w:sz w:val="20"/>
          <w:szCs w:val="21"/>
        </w:rPr>
      </w:pPr>
      <w:r>
        <w:rPr>
          <w:rFonts w:hint="eastAsia" w:ascii="宋体" w:hAnsi="宋体" w:eastAsia="宋体" w:cs="宋体"/>
          <w:color w:val="auto"/>
          <w:szCs w:val="21"/>
        </w:rPr>
        <w:t>供应商在参加政府采购活动前3年内因违法经营被禁止在一定期限内参加政府采购活动，期限届满的，可以参加政府采购活动。</w:t>
      </w:r>
    </w:p>
    <w:p w14:paraId="2258F149">
      <w:pPr>
        <w:widowControl/>
        <w:snapToGrid w:val="0"/>
        <w:spacing w:before="156" w:line="360" w:lineRule="auto"/>
        <w:ind w:firstLine="420" w:firstLineChars="200"/>
        <w:jc w:val="left"/>
        <w:textAlignment w:val="baseline"/>
        <w:rPr>
          <w:rFonts w:hint="eastAsia" w:ascii="宋体" w:hAnsi="宋体" w:eastAsia="宋体" w:cs="宋体"/>
          <w:color w:val="auto"/>
          <w:sz w:val="20"/>
          <w:szCs w:val="21"/>
        </w:rPr>
      </w:pPr>
      <w:r>
        <w:rPr>
          <w:rFonts w:hint="eastAsia" w:ascii="宋体" w:hAnsi="宋体" w:eastAsia="宋体" w:cs="宋体"/>
          <w:color w:val="auto"/>
          <w:szCs w:val="21"/>
        </w:rPr>
        <w:t>七、我单位具备法律、行政法规规定的其他条件。</w:t>
      </w:r>
    </w:p>
    <w:p w14:paraId="4A060B83">
      <w:pPr>
        <w:widowControl/>
        <w:snapToGrid w:val="0"/>
        <w:spacing w:before="156" w:line="360" w:lineRule="auto"/>
        <w:ind w:firstLine="420" w:firstLineChars="200"/>
        <w:jc w:val="left"/>
        <w:textAlignment w:val="baseline"/>
        <w:rPr>
          <w:rFonts w:hint="eastAsia" w:ascii="宋体" w:hAnsi="宋体" w:eastAsia="宋体" w:cs="宋体"/>
          <w:color w:val="auto"/>
          <w:sz w:val="20"/>
          <w:szCs w:val="21"/>
        </w:rPr>
      </w:pPr>
      <w:r>
        <w:rPr>
          <w:rFonts w:hint="eastAsia" w:ascii="宋体" w:hAnsi="宋体" w:eastAsia="宋体" w:cs="宋体"/>
          <w:color w:val="auto"/>
          <w:kern w:val="0"/>
          <w:szCs w:val="21"/>
        </w:rPr>
        <w:t>八、</w:t>
      </w:r>
      <w:r>
        <w:rPr>
          <w:rFonts w:hint="eastAsia" w:ascii="宋体" w:hAnsi="宋体" w:eastAsia="宋体" w:cs="宋体"/>
          <w:color w:val="auto"/>
          <w:szCs w:val="21"/>
        </w:rPr>
        <w:t>与我单位存在“单位负责人为同一人或者存在直接控股、管理关系”的其他单位信息如下（如无，填写“无”）：</w:t>
      </w:r>
    </w:p>
    <w:p w14:paraId="55D496C0">
      <w:pPr>
        <w:snapToGrid w:val="0"/>
        <w:spacing w:before="156" w:line="360" w:lineRule="auto"/>
        <w:ind w:firstLine="420" w:firstLineChars="200"/>
        <w:textAlignment w:val="baseline"/>
        <w:rPr>
          <w:rFonts w:hint="eastAsia" w:ascii="宋体" w:hAnsi="宋体" w:eastAsia="宋体" w:cs="宋体"/>
          <w:color w:val="auto"/>
          <w:sz w:val="20"/>
          <w:szCs w:val="21"/>
        </w:rPr>
      </w:pPr>
      <w:r>
        <w:rPr>
          <w:rFonts w:hint="eastAsia" w:ascii="宋体" w:hAnsi="宋体" w:eastAsia="宋体" w:cs="宋体"/>
          <w:color w:val="auto"/>
          <w:szCs w:val="21"/>
        </w:rPr>
        <w:t>1、与我单位的法定代表人（单位负责人）为同一人的其他单位如下：</w:t>
      </w:r>
      <w:r>
        <w:rPr>
          <w:rFonts w:hint="eastAsia" w:ascii="宋体" w:hAnsi="宋体" w:eastAsia="宋体" w:cs="宋体"/>
          <w:color w:val="auto"/>
          <w:szCs w:val="21"/>
          <w:u w:val="single" w:color="000000"/>
        </w:rPr>
        <w:t xml:space="preserve">               </w:t>
      </w:r>
    </w:p>
    <w:p w14:paraId="6BDCCE58">
      <w:pPr>
        <w:snapToGrid w:val="0"/>
        <w:spacing w:before="156" w:line="360" w:lineRule="auto"/>
        <w:ind w:firstLine="420" w:firstLineChars="200"/>
        <w:textAlignment w:val="baseline"/>
        <w:rPr>
          <w:rFonts w:hint="eastAsia" w:ascii="宋体" w:hAnsi="宋体" w:eastAsia="宋体" w:cs="宋体"/>
          <w:color w:val="auto"/>
          <w:sz w:val="20"/>
          <w:szCs w:val="21"/>
        </w:rPr>
      </w:pPr>
      <w:r>
        <w:rPr>
          <w:rFonts w:hint="eastAsia" w:ascii="宋体" w:hAnsi="宋体" w:eastAsia="宋体" w:cs="宋体"/>
          <w:color w:val="auto"/>
          <w:szCs w:val="21"/>
        </w:rPr>
        <w:t>2、我单位直接控股的其他单位如下：</w:t>
      </w:r>
      <w:r>
        <w:rPr>
          <w:rFonts w:hint="eastAsia" w:ascii="宋体" w:hAnsi="宋体" w:eastAsia="宋体" w:cs="宋体"/>
          <w:color w:val="auto"/>
          <w:szCs w:val="21"/>
          <w:u w:val="single" w:color="000000"/>
        </w:rPr>
        <w:t xml:space="preserve">               </w:t>
      </w:r>
    </w:p>
    <w:p w14:paraId="109174F2">
      <w:pPr>
        <w:snapToGrid w:val="0"/>
        <w:spacing w:before="156" w:line="360" w:lineRule="auto"/>
        <w:ind w:firstLine="420" w:firstLineChars="200"/>
        <w:textAlignment w:val="baseline"/>
        <w:rPr>
          <w:rFonts w:hint="eastAsia" w:ascii="宋体" w:hAnsi="宋体" w:eastAsia="宋体" w:cs="宋体"/>
          <w:color w:val="auto"/>
          <w:sz w:val="20"/>
          <w:szCs w:val="21"/>
        </w:rPr>
      </w:pPr>
      <w:r>
        <w:rPr>
          <w:rFonts w:hint="eastAsia" w:ascii="宋体" w:hAnsi="宋体" w:eastAsia="宋体" w:cs="宋体"/>
          <w:color w:val="auto"/>
          <w:szCs w:val="21"/>
        </w:rPr>
        <w:t>3、与我单位存在管理关系的其他单位如下：</w:t>
      </w:r>
      <w:r>
        <w:rPr>
          <w:rFonts w:hint="eastAsia" w:ascii="宋体" w:hAnsi="宋体" w:eastAsia="宋体" w:cs="宋体"/>
          <w:color w:val="auto"/>
          <w:szCs w:val="21"/>
          <w:u w:val="single" w:color="000000"/>
        </w:rPr>
        <w:t xml:space="preserve">               </w:t>
      </w:r>
    </w:p>
    <w:p w14:paraId="429EAACB">
      <w:pPr>
        <w:widowControl/>
        <w:snapToGrid w:val="0"/>
        <w:spacing w:before="156" w:line="360" w:lineRule="auto"/>
        <w:ind w:firstLine="420" w:firstLineChars="200"/>
        <w:jc w:val="left"/>
        <w:textAlignment w:val="baseline"/>
        <w:rPr>
          <w:rFonts w:hint="eastAsia" w:ascii="宋体" w:hAnsi="宋体" w:eastAsia="宋体" w:cs="宋体"/>
          <w:color w:val="auto"/>
          <w:sz w:val="20"/>
          <w:szCs w:val="21"/>
        </w:rPr>
      </w:pPr>
      <w:r>
        <w:rPr>
          <w:rFonts w:hint="eastAsia" w:ascii="宋体" w:hAnsi="宋体" w:eastAsia="宋体" w:cs="宋体"/>
          <w:color w:val="auto"/>
          <w:szCs w:val="21"/>
        </w:rPr>
        <w:t>九、我单位不属于为本项目提供整体设计、规范编制或者项目管理、监理、检测等服务的投标人。</w:t>
      </w:r>
    </w:p>
    <w:p w14:paraId="467A6EF3">
      <w:pPr>
        <w:widowControl/>
        <w:snapToGrid w:val="0"/>
        <w:spacing w:before="156" w:line="360" w:lineRule="auto"/>
        <w:ind w:firstLine="420" w:firstLineChars="200"/>
        <w:jc w:val="left"/>
        <w:textAlignment w:val="baseline"/>
        <w:rPr>
          <w:rFonts w:hint="eastAsia" w:ascii="宋体" w:hAnsi="宋体" w:eastAsia="宋体" w:cs="宋体"/>
          <w:color w:val="auto"/>
          <w:sz w:val="20"/>
          <w:szCs w:val="21"/>
        </w:rPr>
      </w:pPr>
      <w:r>
        <w:rPr>
          <w:rFonts w:hint="eastAsia" w:ascii="宋体" w:hAnsi="宋体" w:eastAsia="宋体" w:cs="宋体"/>
          <w:color w:val="auto"/>
          <w:szCs w:val="21"/>
        </w:rPr>
        <w:t>十、我单位无以下不良信用记录情形：</w:t>
      </w:r>
    </w:p>
    <w:p w14:paraId="3B622505">
      <w:pPr>
        <w:widowControl/>
        <w:snapToGrid w:val="0"/>
        <w:spacing w:before="156" w:line="360" w:lineRule="auto"/>
        <w:ind w:firstLine="420" w:firstLineChars="200"/>
        <w:jc w:val="left"/>
        <w:textAlignment w:val="baseline"/>
        <w:rPr>
          <w:rFonts w:hint="eastAsia" w:ascii="宋体" w:hAnsi="宋体" w:eastAsia="宋体" w:cs="宋体"/>
          <w:color w:val="auto"/>
          <w:sz w:val="20"/>
          <w:szCs w:val="21"/>
        </w:rPr>
      </w:pPr>
      <w:r>
        <w:rPr>
          <w:rFonts w:hint="eastAsia" w:ascii="宋体" w:hAnsi="宋体" w:eastAsia="宋体" w:cs="宋体"/>
          <w:color w:val="auto"/>
          <w:szCs w:val="21"/>
        </w:rPr>
        <w:t>1、在“信用中国”网站被列入失信被执行人和重大税收违法案件当事人名单；</w:t>
      </w:r>
    </w:p>
    <w:p w14:paraId="3D4FB96B">
      <w:pPr>
        <w:widowControl/>
        <w:snapToGrid w:val="0"/>
        <w:spacing w:before="156" w:line="360" w:lineRule="auto"/>
        <w:ind w:firstLine="420" w:firstLineChars="200"/>
        <w:jc w:val="left"/>
        <w:textAlignment w:val="baseline"/>
        <w:rPr>
          <w:rFonts w:hint="eastAsia" w:ascii="宋体" w:hAnsi="宋体" w:eastAsia="宋体" w:cs="宋体"/>
          <w:color w:val="auto"/>
          <w:sz w:val="20"/>
          <w:szCs w:val="21"/>
        </w:rPr>
      </w:pPr>
      <w:r>
        <w:rPr>
          <w:rFonts w:hint="eastAsia" w:ascii="宋体" w:hAnsi="宋体" w:eastAsia="宋体" w:cs="宋体"/>
          <w:color w:val="auto"/>
          <w:szCs w:val="21"/>
        </w:rPr>
        <w:t>2、在“中国政府采购网”网站被列入政府采购严重违法失信行为记录名单；</w:t>
      </w:r>
    </w:p>
    <w:p w14:paraId="66245E18">
      <w:pPr>
        <w:widowControl/>
        <w:snapToGrid w:val="0"/>
        <w:spacing w:before="156" w:line="360" w:lineRule="auto"/>
        <w:ind w:firstLine="420" w:firstLineChars="200"/>
        <w:jc w:val="left"/>
        <w:textAlignment w:val="baseline"/>
        <w:rPr>
          <w:rFonts w:hint="eastAsia" w:ascii="宋体" w:hAnsi="宋体" w:eastAsia="宋体" w:cs="宋体"/>
          <w:color w:val="auto"/>
          <w:sz w:val="20"/>
          <w:szCs w:val="21"/>
        </w:rPr>
      </w:pPr>
      <w:r>
        <w:rPr>
          <w:rFonts w:hint="eastAsia" w:ascii="宋体" w:hAnsi="宋体" w:eastAsia="宋体" w:cs="宋体"/>
          <w:color w:val="auto"/>
          <w:szCs w:val="21"/>
        </w:rPr>
        <w:t>3、不符合《政府采购法》第二十二条规定的条件。</w:t>
      </w:r>
    </w:p>
    <w:p w14:paraId="064A28BE">
      <w:pPr>
        <w:widowControl/>
        <w:snapToGrid w:val="0"/>
        <w:spacing w:before="156" w:line="360" w:lineRule="auto"/>
        <w:ind w:firstLine="420" w:firstLineChars="200"/>
        <w:jc w:val="left"/>
        <w:textAlignment w:val="baseline"/>
        <w:rPr>
          <w:rFonts w:hint="eastAsia" w:ascii="宋体" w:hAnsi="宋体" w:eastAsia="宋体" w:cs="宋体"/>
          <w:color w:val="auto"/>
          <w:kern w:val="0"/>
          <w:sz w:val="20"/>
          <w:szCs w:val="21"/>
        </w:rPr>
      </w:pPr>
      <w:r>
        <w:rPr>
          <w:rFonts w:hint="eastAsia" w:ascii="宋体" w:hAnsi="宋体" w:eastAsia="宋体" w:cs="宋体"/>
          <w:color w:val="auto"/>
          <w:szCs w:val="21"/>
        </w:rPr>
        <w:t>我单位保证上述声明的事项都是真实的，如有虚假，我单位愿意承担相应的法律责任，并承担因此所造成的一切损失。</w:t>
      </w:r>
    </w:p>
    <w:p w14:paraId="2F592568">
      <w:pPr>
        <w:widowControl/>
        <w:snapToGrid w:val="0"/>
        <w:spacing w:before="156" w:line="360" w:lineRule="auto"/>
        <w:jc w:val="left"/>
        <w:textAlignment w:val="baseline"/>
        <w:rPr>
          <w:rFonts w:hint="eastAsia" w:ascii="宋体" w:hAnsi="宋体" w:eastAsia="宋体" w:cs="宋体"/>
          <w:color w:val="auto"/>
          <w:sz w:val="20"/>
          <w:szCs w:val="21"/>
        </w:rPr>
      </w:pPr>
    </w:p>
    <w:p w14:paraId="22CFD285">
      <w:pPr>
        <w:widowControl/>
        <w:snapToGrid w:val="0"/>
        <w:spacing w:before="156" w:line="360" w:lineRule="auto"/>
        <w:jc w:val="left"/>
        <w:textAlignment w:val="baseline"/>
        <w:rPr>
          <w:rFonts w:hint="eastAsia" w:ascii="宋体" w:hAnsi="宋体" w:eastAsia="宋体" w:cs="宋体"/>
          <w:color w:val="auto"/>
          <w:sz w:val="20"/>
          <w:szCs w:val="21"/>
        </w:rPr>
      </w:pPr>
      <w:r>
        <w:rPr>
          <w:rFonts w:hint="eastAsia" w:ascii="宋体" w:hAnsi="宋体" w:eastAsia="宋体" w:cs="宋体"/>
          <w:color w:val="auto"/>
          <w:szCs w:val="21"/>
        </w:rPr>
        <w:t>注：第三条“良好的商业信誉”是指投标人经营状况良好，无本资格声明第十条情形。</w:t>
      </w:r>
    </w:p>
    <w:p w14:paraId="0B7ADC68">
      <w:pPr>
        <w:widowControl/>
        <w:snapToGrid w:val="0"/>
        <w:spacing w:before="156" w:line="360" w:lineRule="auto"/>
        <w:jc w:val="left"/>
        <w:textAlignment w:val="baseline"/>
        <w:rPr>
          <w:rFonts w:hint="eastAsia" w:ascii="宋体" w:hAnsi="宋体" w:eastAsia="宋体" w:cs="宋体"/>
          <w:color w:val="auto"/>
          <w:sz w:val="20"/>
          <w:szCs w:val="21"/>
        </w:rPr>
      </w:pPr>
    </w:p>
    <w:p w14:paraId="54FC0304">
      <w:pPr>
        <w:widowControl/>
        <w:snapToGrid w:val="0"/>
        <w:spacing w:line="480" w:lineRule="auto"/>
        <w:jc w:val="left"/>
        <w:textAlignment w:val="baseline"/>
        <w:rPr>
          <w:rFonts w:hint="eastAsia" w:ascii="宋体" w:hAnsi="宋体" w:eastAsia="宋体" w:cs="宋体"/>
          <w:color w:val="auto"/>
          <w:kern w:val="0"/>
          <w:sz w:val="20"/>
          <w:szCs w:val="21"/>
        </w:rPr>
      </w:pPr>
      <w:r>
        <w:rPr>
          <w:rFonts w:hint="eastAsia" w:ascii="宋体" w:hAnsi="宋体" w:eastAsia="宋体" w:cs="宋体"/>
          <w:color w:val="auto"/>
          <w:szCs w:val="21"/>
        </w:rPr>
        <w:t>投标人名称（盖单位公章）：</w:t>
      </w:r>
      <w:r>
        <w:rPr>
          <w:rFonts w:hint="eastAsia" w:ascii="宋体" w:hAnsi="宋体" w:eastAsia="宋体" w:cs="宋体"/>
          <w:color w:val="auto"/>
          <w:u w:val="single" w:color="000000"/>
        </w:rPr>
        <w:t xml:space="preserve">              </w:t>
      </w:r>
    </w:p>
    <w:p w14:paraId="4E64510E">
      <w:pPr>
        <w:widowControl/>
        <w:snapToGrid w:val="0"/>
        <w:spacing w:line="480" w:lineRule="auto"/>
        <w:jc w:val="left"/>
        <w:textAlignment w:val="baseline"/>
        <w:rPr>
          <w:rFonts w:hint="eastAsia" w:ascii="宋体" w:hAnsi="宋体" w:eastAsia="宋体" w:cs="宋体"/>
          <w:b/>
          <w:bCs/>
          <w:color w:val="auto"/>
          <w:kern w:val="0"/>
          <w:sz w:val="44"/>
          <w:szCs w:val="44"/>
        </w:rPr>
      </w:pPr>
      <w:r>
        <w:rPr>
          <w:rFonts w:hint="eastAsia" w:ascii="宋体" w:hAnsi="宋体" w:eastAsia="宋体" w:cs="宋体"/>
          <w:color w:val="auto"/>
          <w:spacing w:val="-2"/>
          <w:kern w:val="0"/>
          <w:szCs w:val="21"/>
        </w:rPr>
        <w:t>法</w:t>
      </w:r>
      <w:r>
        <w:rPr>
          <w:rFonts w:hint="eastAsia" w:ascii="宋体" w:hAnsi="宋体" w:eastAsia="宋体" w:cs="宋体"/>
          <w:color w:val="auto"/>
          <w:kern w:val="0"/>
          <w:szCs w:val="21"/>
        </w:rPr>
        <w:t>定</w:t>
      </w:r>
      <w:r>
        <w:rPr>
          <w:rFonts w:hint="eastAsia" w:ascii="宋体" w:hAnsi="宋体" w:eastAsia="宋体" w:cs="宋体"/>
          <w:color w:val="auto"/>
          <w:spacing w:val="-2"/>
          <w:kern w:val="0"/>
          <w:szCs w:val="21"/>
        </w:rPr>
        <w:t>代</w:t>
      </w:r>
      <w:r>
        <w:rPr>
          <w:rFonts w:hint="eastAsia" w:ascii="宋体" w:hAnsi="宋体" w:eastAsia="宋体" w:cs="宋体"/>
          <w:color w:val="auto"/>
          <w:kern w:val="0"/>
          <w:szCs w:val="21"/>
        </w:rPr>
        <w:t>表</w:t>
      </w:r>
      <w:r>
        <w:rPr>
          <w:rFonts w:hint="eastAsia" w:ascii="宋体" w:hAnsi="宋体" w:eastAsia="宋体" w:cs="宋体"/>
          <w:color w:val="auto"/>
          <w:spacing w:val="-2"/>
          <w:kern w:val="0"/>
          <w:szCs w:val="21"/>
        </w:rPr>
        <w:t>人</w:t>
      </w:r>
      <w:r>
        <w:rPr>
          <w:rFonts w:hint="eastAsia" w:ascii="宋体" w:hAnsi="宋体" w:eastAsia="宋体" w:cs="宋体"/>
          <w:color w:val="auto"/>
          <w:kern w:val="0"/>
          <w:szCs w:val="21"/>
        </w:rPr>
        <w:t>（</w:t>
      </w:r>
      <w:r>
        <w:rPr>
          <w:rFonts w:hint="eastAsia" w:ascii="宋体" w:hAnsi="宋体" w:eastAsia="宋体" w:cs="宋体"/>
          <w:color w:val="auto"/>
          <w:spacing w:val="-2"/>
          <w:kern w:val="0"/>
          <w:szCs w:val="21"/>
        </w:rPr>
        <w:t>单</w:t>
      </w:r>
      <w:r>
        <w:rPr>
          <w:rFonts w:hint="eastAsia" w:ascii="宋体" w:hAnsi="宋体" w:eastAsia="宋体" w:cs="宋体"/>
          <w:color w:val="auto"/>
          <w:kern w:val="0"/>
          <w:szCs w:val="21"/>
        </w:rPr>
        <w:t>位</w:t>
      </w:r>
      <w:r>
        <w:rPr>
          <w:rFonts w:hint="eastAsia" w:ascii="宋体" w:hAnsi="宋体" w:eastAsia="宋体" w:cs="宋体"/>
          <w:color w:val="auto"/>
          <w:spacing w:val="-2"/>
          <w:kern w:val="0"/>
          <w:szCs w:val="21"/>
        </w:rPr>
        <w:t>负</w:t>
      </w:r>
      <w:r>
        <w:rPr>
          <w:rFonts w:hint="eastAsia" w:ascii="宋体" w:hAnsi="宋体" w:eastAsia="宋体" w:cs="宋体"/>
          <w:color w:val="auto"/>
          <w:kern w:val="0"/>
          <w:szCs w:val="21"/>
        </w:rPr>
        <w:t>责人</w:t>
      </w:r>
      <w:r>
        <w:rPr>
          <w:rFonts w:hint="eastAsia" w:ascii="宋体" w:hAnsi="宋体" w:eastAsia="宋体" w:cs="宋体"/>
          <w:color w:val="auto"/>
          <w:spacing w:val="-2"/>
          <w:kern w:val="0"/>
          <w:szCs w:val="21"/>
        </w:rPr>
        <w:t>）</w:t>
      </w:r>
      <w:r>
        <w:rPr>
          <w:rFonts w:hint="eastAsia" w:ascii="宋体" w:hAnsi="宋体" w:eastAsia="宋体" w:cs="宋体"/>
          <w:color w:val="auto"/>
        </w:rPr>
        <w:t>或委托代理人：</w:t>
      </w:r>
      <w:r>
        <w:rPr>
          <w:rFonts w:hint="eastAsia" w:ascii="宋体" w:hAnsi="宋体" w:eastAsia="宋体" w:cs="宋体"/>
          <w:color w:val="auto"/>
          <w:u w:val="single" w:color="000000"/>
        </w:rPr>
        <w:t xml:space="preserve">       </w:t>
      </w:r>
      <w:r>
        <w:rPr>
          <w:rFonts w:hint="eastAsia" w:ascii="宋体" w:hAnsi="宋体" w:eastAsia="宋体" w:cs="宋体"/>
          <w:color w:val="auto"/>
        </w:rPr>
        <w:t>（签字或印章）</w:t>
      </w:r>
    </w:p>
    <w:p w14:paraId="5F142611">
      <w:pPr>
        <w:widowControl/>
        <w:snapToGrid w:val="0"/>
        <w:spacing w:line="480" w:lineRule="auto"/>
        <w:jc w:val="left"/>
        <w:textAlignment w:val="baseline"/>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color="000000"/>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color="000000"/>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color="000000"/>
        </w:rPr>
        <w:t xml:space="preserve">  </w:t>
      </w:r>
      <w:r>
        <w:rPr>
          <w:rFonts w:hint="eastAsia" w:ascii="宋体" w:hAnsi="宋体" w:eastAsia="宋体" w:cs="宋体"/>
          <w:color w:val="auto"/>
          <w:szCs w:val="21"/>
        </w:rPr>
        <w:t>日</w:t>
      </w:r>
    </w:p>
    <w:p w14:paraId="5D228113">
      <w:pPr>
        <w:pStyle w:val="102"/>
        <w:ind w:left="0" w:leftChars="0" w:firstLine="0" w:firstLineChars="0"/>
        <w:rPr>
          <w:rFonts w:hint="eastAsia" w:ascii="宋体" w:hAnsi="宋体" w:eastAsia="宋体" w:cs="宋体"/>
          <w:color w:val="auto"/>
        </w:rPr>
      </w:pPr>
    </w:p>
    <w:p w14:paraId="58D2C5E7">
      <w:pPr>
        <w:rPr>
          <w:rFonts w:hint="eastAsia" w:ascii="宋体" w:hAnsi="宋体" w:eastAsia="宋体" w:cs="宋体"/>
          <w:color w:val="auto"/>
        </w:rPr>
      </w:pPr>
    </w:p>
    <w:p w14:paraId="4E6A640E">
      <w:pPr>
        <w:pStyle w:val="102"/>
        <w:rPr>
          <w:rFonts w:hint="eastAsia" w:ascii="宋体" w:hAnsi="宋体" w:eastAsia="宋体" w:cs="宋体"/>
          <w:color w:val="auto"/>
        </w:rPr>
      </w:pPr>
    </w:p>
    <w:p w14:paraId="7F4748F0">
      <w:pPr>
        <w:pStyle w:val="102"/>
        <w:rPr>
          <w:rFonts w:hint="eastAsia" w:ascii="宋体" w:hAnsi="宋体" w:eastAsia="宋体" w:cs="宋体"/>
          <w:color w:val="auto"/>
        </w:rPr>
      </w:pPr>
    </w:p>
    <w:p w14:paraId="4C82B167">
      <w:pPr>
        <w:pStyle w:val="5"/>
        <w:rPr>
          <w:rFonts w:hint="eastAsia" w:ascii="宋体" w:hAnsi="宋体" w:eastAsia="宋体" w:cs="宋体"/>
          <w:color w:val="auto"/>
          <w:sz w:val="21"/>
          <w:szCs w:val="24"/>
        </w:rPr>
      </w:pPr>
      <w:bookmarkStart w:id="1479" w:name="_Toc124271215"/>
      <w:bookmarkStart w:id="1480" w:name="_Toc227246854"/>
    </w:p>
    <w:p w14:paraId="5B8D6CB7">
      <w:pPr>
        <w:rPr>
          <w:rFonts w:hint="eastAsia" w:ascii="宋体" w:hAnsi="宋体" w:eastAsia="宋体" w:cs="宋体"/>
          <w:color w:val="auto"/>
          <w:sz w:val="21"/>
          <w:szCs w:val="24"/>
        </w:rPr>
      </w:pPr>
    </w:p>
    <w:p w14:paraId="3746CA6C">
      <w:pPr>
        <w:rPr>
          <w:rFonts w:hint="eastAsia" w:ascii="宋体" w:hAnsi="宋体" w:eastAsia="宋体" w:cs="宋体"/>
          <w:color w:val="auto"/>
          <w:sz w:val="21"/>
          <w:szCs w:val="24"/>
        </w:rPr>
      </w:pPr>
    </w:p>
    <w:p w14:paraId="3207D09B">
      <w:pPr>
        <w:rPr>
          <w:rFonts w:hint="eastAsia" w:ascii="宋体" w:hAnsi="宋体" w:eastAsia="宋体" w:cs="宋体"/>
          <w:color w:val="auto"/>
          <w:sz w:val="21"/>
          <w:szCs w:val="24"/>
        </w:rPr>
      </w:pPr>
    </w:p>
    <w:p w14:paraId="0F8921FE">
      <w:pPr>
        <w:pStyle w:val="5"/>
        <w:rPr>
          <w:rFonts w:hint="eastAsia" w:ascii="宋体" w:hAnsi="宋体" w:eastAsia="宋体" w:cs="宋体"/>
          <w:color w:val="auto"/>
          <w:sz w:val="21"/>
          <w:szCs w:val="24"/>
        </w:rPr>
      </w:pPr>
    </w:p>
    <w:p w14:paraId="39CAC5E5">
      <w:pPr>
        <w:rPr>
          <w:rFonts w:hint="eastAsia" w:ascii="宋体" w:hAnsi="宋体" w:eastAsia="宋体" w:cs="宋体"/>
          <w:color w:val="auto"/>
        </w:rPr>
      </w:pPr>
    </w:p>
    <w:p w14:paraId="67D4AAEA">
      <w:pPr>
        <w:pStyle w:val="5"/>
        <w:rPr>
          <w:rFonts w:hint="eastAsia" w:ascii="宋体" w:hAnsi="宋体" w:eastAsia="宋体" w:cs="宋体"/>
          <w:color w:val="auto"/>
          <w:sz w:val="21"/>
          <w:szCs w:val="24"/>
        </w:rPr>
      </w:pPr>
      <w:bookmarkStart w:id="1481" w:name="_Toc30924"/>
    </w:p>
    <w:p w14:paraId="40C18987">
      <w:pPr>
        <w:pStyle w:val="5"/>
        <w:rPr>
          <w:rFonts w:hint="eastAsia" w:ascii="宋体" w:hAnsi="宋体" w:eastAsia="宋体" w:cs="宋体"/>
          <w:color w:val="auto"/>
          <w:sz w:val="21"/>
          <w:szCs w:val="24"/>
        </w:rPr>
      </w:pPr>
    </w:p>
    <w:p w14:paraId="207DDAFA">
      <w:pPr>
        <w:pStyle w:val="5"/>
        <w:rPr>
          <w:rFonts w:hint="eastAsia" w:ascii="宋体" w:hAnsi="宋体" w:eastAsia="宋体" w:cs="宋体"/>
          <w:color w:val="auto"/>
          <w:sz w:val="21"/>
          <w:szCs w:val="24"/>
        </w:rPr>
      </w:pPr>
      <w:bookmarkStart w:id="1482" w:name="_Toc31276"/>
      <w:r>
        <w:rPr>
          <w:rFonts w:hint="eastAsia" w:ascii="宋体" w:hAnsi="宋体" w:eastAsia="宋体" w:cs="宋体"/>
          <w:color w:val="auto"/>
          <w:sz w:val="21"/>
          <w:szCs w:val="24"/>
        </w:rPr>
        <w:t>附件4-6 信用查询记录</w:t>
      </w:r>
      <w:bookmarkEnd w:id="1479"/>
      <w:bookmarkEnd w:id="1480"/>
      <w:bookmarkEnd w:id="1481"/>
      <w:bookmarkEnd w:id="1482"/>
    </w:p>
    <w:p w14:paraId="4DD4FFC1">
      <w:pPr>
        <w:pStyle w:val="102"/>
        <w:ind w:left="0" w:leftChars="0" w:firstLine="0" w:firstLineChars="0"/>
        <w:rPr>
          <w:rFonts w:hint="eastAsia" w:ascii="宋体" w:hAnsi="宋体" w:eastAsia="宋体" w:cs="宋体"/>
          <w:color w:val="auto"/>
        </w:rPr>
      </w:pPr>
      <w:r>
        <w:rPr>
          <w:rFonts w:hint="eastAsia" w:ascii="宋体" w:hAnsi="宋体" w:eastAsia="宋体" w:cs="宋体"/>
          <w:color w:val="auto"/>
        </w:rPr>
        <w:t>查询方式：</w:t>
      </w:r>
    </w:p>
    <w:p w14:paraId="0216295D">
      <w:pPr>
        <w:pStyle w:val="102"/>
        <w:rPr>
          <w:rFonts w:hint="eastAsia" w:ascii="宋体" w:hAnsi="宋体" w:eastAsia="宋体" w:cs="宋体"/>
          <w:color w:val="auto"/>
        </w:rPr>
      </w:pPr>
      <w:r>
        <w:rPr>
          <w:rFonts w:hint="eastAsia" w:ascii="宋体" w:hAnsi="宋体" w:eastAsia="宋体" w:cs="宋体"/>
          <w:color w:val="auto"/>
        </w:rPr>
        <w:t>1、登陆“信用中国” （ https://www.creditchina.gov.cn/ ）后点击首页上的“信用服务”进去分别就 “严重失信主体名单查询”“失信被执行人”和“重大税收违法失信主体名单”进行查询（投标人），并将查询结果截图。</w:t>
      </w:r>
    </w:p>
    <w:p w14:paraId="78DAA1A9">
      <w:pPr>
        <w:widowControl/>
        <w:jc w:val="left"/>
        <w:rPr>
          <w:rFonts w:hint="eastAsia" w:ascii="宋体" w:hAnsi="宋体" w:eastAsia="宋体" w:cs="宋体"/>
          <w:color w:val="auto"/>
          <w:kern w:val="0"/>
          <w:sz w:val="24"/>
        </w:rPr>
      </w:pPr>
      <w:r>
        <w:rPr>
          <w:rFonts w:hint="eastAsia" w:ascii="宋体" w:hAnsi="宋体" w:eastAsia="宋体" w:cs="宋体"/>
          <w:color w:val="auto"/>
          <w:kern w:val="0"/>
          <w:sz w:val="24"/>
        </w:rPr>
        <w:fldChar w:fldCharType="begin"/>
      </w:r>
      <w:r>
        <w:rPr>
          <w:rFonts w:hint="eastAsia" w:ascii="宋体" w:hAnsi="宋体" w:eastAsia="宋体" w:cs="宋体"/>
          <w:color w:val="auto"/>
          <w:kern w:val="0"/>
          <w:sz w:val="24"/>
        </w:rPr>
        <w:instrText xml:space="preserve"> INCLUDEPICTURE "C:\\Users\\Administrator\\AppData\\Roaming\\Tencent\\Users\\19738120\\QQ\\WinTemp\\RichOle\\{6_]WCI`6(YG)76_T4BH)[1.png" \* MERGEFORMATINET </w:instrText>
      </w:r>
      <w:r>
        <w:rPr>
          <w:rFonts w:hint="eastAsia" w:ascii="宋体" w:hAnsi="宋体" w:eastAsia="宋体" w:cs="宋体"/>
          <w:color w:val="auto"/>
          <w:kern w:val="0"/>
          <w:sz w:val="24"/>
        </w:rPr>
        <w:fldChar w:fldCharType="separate"/>
      </w:r>
      <w:r>
        <w:rPr>
          <w:rFonts w:hint="eastAsia" w:ascii="宋体" w:hAnsi="宋体" w:eastAsia="宋体" w:cs="宋体"/>
          <w:color w:val="auto"/>
          <w:kern w:val="0"/>
          <w:sz w:val="24"/>
        </w:rPr>
        <w:drawing>
          <wp:inline distT="0" distB="0" distL="114300" distR="114300">
            <wp:extent cx="5714365" cy="3714115"/>
            <wp:effectExtent l="0" t="0" r="635" b="635"/>
            <wp:docPr id="4" name="图片 1" descr="{6_]WCI`6(YG)76_T4B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6_]WCI`6(YG)76_T4BH)[1"/>
                    <pic:cNvPicPr>
                      <a:picLocks noChangeAspect="1"/>
                    </pic:cNvPicPr>
                  </pic:nvPicPr>
                  <pic:blipFill>
                    <a:blip r:embed="rId14"/>
                    <a:stretch>
                      <a:fillRect/>
                    </a:stretch>
                  </pic:blipFill>
                  <pic:spPr>
                    <a:xfrm>
                      <a:off x="0" y="0"/>
                      <a:ext cx="5714365" cy="3714115"/>
                    </a:xfrm>
                    <a:prstGeom prst="rect">
                      <a:avLst/>
                    </a:prstGeom>
                    <a:noFill/>
                    <a:ln>
                      <a:noFill/>
                    </a:ln>
                  </pic:spPr>
                </pic:pic>
              </a:graphicData>
            </a:graphic>
          </wp:inline>
        </w:drawing>
      </w:r>
      <w:r>
        <w:rPr>
          <w:rFonts w:hint="eastAsia" w:ascii="宋体" w:hAnsi="宋体" w:eastAsia="宋体" w:cs="宋体"/>
          <w:color w:val="auto"/>
          <w:kern w:val="0"/>
          <w:sz w:val="24"/>
        </w:rPr>
        <w:fldChar w:fldCharType="end"/>
      </w:r>
    </w:p>
    <w:p w14:paraId="1C515A9D">
      <w:pPr>
        <w:rPr>
          <w:rFonts w:hint="eastAsia" w:ascii="宋体" w:hAnsi="宋体" w:eastAsia="宋体" w:cs="宋体"/>
          <w:color w:val="auto"/>
          <w:szCs w:val="21"/>
        </w:rPr>
      </w:pPr>
      <w:r>
        <w:rPr>
          <w:rFonts w:hint="eastAsia" w:ascii="宋体" w:hAnsi="宋体" w:eastAsia="宋体" w:cs="宋体"/>
          <w:color w:val="auto"/>
        </w:rPr>
        <w:t xml:space="preserve">2、登陆 </w:t>
      </w:r>
      <w:r>
        <w:rPr>
          <w:rFonts w:hint="eastAsia" w:ascii="宋体" w:hAnsi="宋体" w:eastAsia="宋体" w:cs="宋体"/>
          <w:color w:val="auto"/>
          <w:szCs w:val="21"/>
        </w:rPr>
        <w:t>中国政府采购网（www.ccgp.gov.cn）；首页左边点击“</w:t>
      </w:r>
      <w:r>
        <w:rPr>
          <w:rFonts w:hint="eastAsia" w:ascii="宋体" w:hAnsi="宋体" w:eastAsia="宋体" w:cs="宋体"/>
          <w:color w:val="auto"/>
        </w:rPr>
        <w:t>政府采购严重违法失信行为记录名单</w:t>
      </w:r>
      <w:r>
        <w:rPr>
          <w:rFonts w:hint="eastAsia" w:ascii="宋体" w:hAnsi="宋体" w:eastAsia="宋体" w:cs="宋体"/>
          <w:color w:val="auto"/>
          <w:szCs w:val="21"/>
        </w:rPr>
        <w:t>”进去后按下面图例进行查询（投标人），</w:t>
      </w:r>
      <w:r>
        <w:rPr>
          <w:rFonts w:hint="eastAsia" w:ascii="宋体" w:hAnsi="宋体" w:eastAsia="宋体" w:cs="宋体"/>
          <w:color w:val="auto"/>
        </w:rPr>
        <w:t>并将查询结果截图。</w:t>
      </w:r>
    </w:p>
    <w:p w14:paraId="204DFE54">
      <w:pPr>
        <w:widowControl/>
        <w:jc w:val="left"/>
        <w:rPr>
          <w:rFonts w:hint="eastAsia" w:ascii="宋体" w:hAnsi="宋体" w:eastAsia="宋体" w:cs="宋体"/>
          <w:color w:val="auto"/>
          <w:kern w:val="0"/>
          <w:sz w:val="24"/>
        </w:rPr>
      </w:pPr>
      <w:r>
        <w:rPr>
          <w:rFonts w:hint="eastAsia" w:ascii="宋体" w:hAnsi="宋体" w:eastAsia="宋体" w:cs="宋体"/>
          <w:color w:val="auto"/>
          <w:kern w:val="0"/>
          <w:sz w:val="24"/>
        </w:rPr>
        <w:fldChar w:fldCharType="begin"/>
      </w:r>
      <w:r>
        <w:rPr>
          <w:rFonts w:hint="eastAsia" w:ascii="宋体" w:hAnsi="宋体" w:eastAsia="宋体" w:cs="宋体"/>
          <w:color w:val="auto"/>
          <w:kern w:val="0"/>
          <w:sz w:val="24"/>
        </w:rPr>
        <w:instrText xml:space="preserve"> INCLUDEPICTURE "C:\\Users\\Administrator\\AppData\\Roaming\\Tencent\\Users\\19738120\\QQ\\WinTemp\\RichOle\\924[EHTW(I7}[2]PUQW3ZNA.png" \* MERGEFORMATINET </w:instrText>
      </w:r>
      <w:r>
        <w:rPr>
          <w:rFonts w:hint="eastAsia" w:ascii="宋体" w:hAnsi="宋体" w:eastAsia="宋体" w:cs="宋体"/>
          <w:color w:val="auto"/>
          <w:kern w:val="0"/>
          <w:sz w:val="24"/>
        </w:rPr>
        <w:fldChar w:fldCharType="separate"/>
      </w:r>
      <w:r>
        <w:rPr>
          <w:rFonts w:hint="eastAsia" w:ascii="宋体" w:hAnsi="宋体" w:eastAsia="宋体" w:cs="宋体"/>
          <w:color w:val="auto"/>
          <w:kern w:val="0"/>
          <w:sz w:val="24"/>
        </w:rPr>
        <w:drawing>
          <wp:inline distT="0" distB="0" distL="114300" distR="114300">
            <wp:extent cx="5571490" cy="2934335"/>
            <wp:effectExtent l="0" t="0" r="10160" b="18415"/>
            <wp:docPr id="9" name="图片 2" descr="924[EHTW(I7}[2]PUQW3Z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924[EHTW(I7}[2]PUQW3ZNA"/>
                    <pic:cNvPicPr>
                      <a:picLocks noChangeAspect="1"/>
                    </pic:cNvPicPr>
                  </pic:nvPicPr>
                  <pic:blipFill>
                    <a:blip r:embed="rId15"/>
                    <a:stretch>
                      <a:fillRect/>
                    </a:stretch>
                  </pic:blipFill>
                  <pic:spPr>
                    <a:xfrm>
                      <a:off x="0" y="0"/>
                      <a:ext cx="5571490" cy="2934335"/>
                    </a:xfrm>
                    <a:prstGeom prst="rect">
                      <a:avLst/>
                    </a:prstGeom>
                    <a:noFill/>
                    <a:ln>
                      <a:noFill/>
                    </a:ln>
                  </pic:spPr>
                </pic:pic>
              </a:graphicData>
            </a:graphic>
          </wp:inline>
        </w:drawing>
      </w:r>
      <w:r>
        <w:rPr>
          <w:rFonts w:hint="eastAsia" w:ascii="宋体" w:hAnsi="宋体" w:eastAsia="宋体" w:cs="宋体"/>
          <w:color w:val="auto"/>
          <w:kern w:val="0"/>
          <w:sz w:val="24"/>
        </w:rPr>
        <w:fldChar w:fldCharType="end"/>
      </w:r>
    </w:p>
    <w:p w14:paraId="59CAB2C6">
      <w:pPr>
        <w:spacing w:line="360" w:lineRule="auto"/>
        <w:ind w:firstLine="420" w:firstLineChars="200"/>
        <w:rPr>
          <w:rFonts w:hint="eastAsia" w:ascii="宋体" w:hAnsi="宋体" w:eastAsia="宋体" w:cs="宋体"/>
          <w:color w:val="auto"/>
        </w:rPr>
      </w:pPr>
    </w:p>
    <w:p w14:paraId="41BBB4BF">
      <w:pPr>
        <w:rPr>
          <w:rFonts w:hint="eastAsia" w:ascii="宋体" w:hAnsi="宋体" w:eastAsia="宋体" w:cs="宋体"/>
          <w:color w:val="auto"/>
        </w:rPr>
      </w:pPr>
    </w:p>
    <w:p w14:paraId="4B3711A8">
      <w:pPr>
        <w:pStyle w:val="102"/>
        <w:rPr>
          <w:rFonts w:hint="eastAsia" w:ascii="宋体" w:hAnsi="宋体" w:eastAsia="宋体" w:cs="宋体"/>
          <w:color w:val="auto"/>
        </w:rPr>
      </w:pPr>
    </w:p>
    <w:p w14:paraId="0359562D">
      <w:pPr>
        <w:pStyle w:val="102"/>
        <w:rPr>
          <w:rFonts w:hint="eastAsia" w:ascii="宋体" w:hAnsi="宋体" w:eastAsia="宋体" w:cs="宋体"/>
          <w:color w:val="auto"/>
        </w:rPr>
      </w:pPr>
    </w:p>
    <w:p w14:paraId="108DE9AF">
      <w:pPr>
        <w:pStyle w:val="102"/>
        <w:rPr>
          <w:rFonts w:hint="eastAsia" w:ascii="宋体" w:hAnsi="宋体" w:eastAsia="宋体" w:cs="宋体"/>
          <w:color w:val="auto"/>
        </w:rPr>
      </w:pPr>
    </w:p>
    <w:p w14:paraId="710CDBEF">
      <w:pPr>
        <w:pStyle w:val="102"/>
        <w:rPr>
          <w:rFonts w:hint="eastAsia" w:ascii="宋体" w:hAnsi="宋体" w:eastAsia="宋体" w:cs="宋体"/>
          <w:color w:val="auto"/>
        </w:rPr>
      </w:pPr>
    </w:p>
    <w:p w14:paraId="3EE067EC">
      <w:pPr>
        <w:pStyle w:val="102"/>
        <w:rPr>
          <w:rFonts w:hint="eastAsia" w:ascii="宋体" w:hAnsi="宋体" w:eastAsia="宋体" w:cs="宋体"/>
          <w:color w:val="auto"/>
        </w:rPr>
      </w:pPr>
    </w:p>
    <w:p w14:paraId="6D20B2F6">
      <w:pPr>
        <w:pStyle w:val="102"/>
        <w:rPr>
          <w:rFonts w:hint="eastAsia" w:ascii="宋体" w:hAnsi="宋体" w:eastAsia="宋体" w:cs="宋体"/>
          <w:color w:val="auto"/>
        </w:rPr>
      </w:pPr>
    </w:p>
    <w:p w14:paraId="1CE349D3">
      <w:pPr>
        <w:pStyle w:val="102"/>
        <w:rPr>
          <w:rFonts w:hint="eastAsia" w:ascii="宋体" w:hAnsi="宋体" w:eastAsia="宋体" w:cs="宋体"/>
          <w:color w:val="auto"/>
        </w:rPr>
      </w:pPr>
    </w:p>
    <w:p w14:paraId="5572B80D">
      <w:pPr>
        <w:pStyle w:val="102"/>
        <w:rPr>
          <w:rFonts w:hint="eastAsia" w:ascii="宋体" w:hAnsi="宋体" w:eastAsia="宋体" w:cs="宋体"/>
          <w:color w:val="auto"/>
        </w:rPr>
      </w:pPr>
    </w:p>
    <w:p w14:paraId="731D7F48">
      <w:pPr>
        <w:pStyle w:val="102"/>
        <w:rPr>
          <w:rFonts w:hint="eastAsia" w:ascii="宋体" w:hAnsi="宋体" w:eastAsia="宋体" w:cs="宋体"/>
          <w:color w:val="auto"/>
        </w:rPr>
      </w:pPr>
    </w:p>
    <w:p w14:paraId="2CDC03BF">
      <w:pPr>
        <w:pStyle w:val="102"/>
        <w:rPr>
          <w:rFonts w:hint="eastAsia" w:ascii="宋体" w:hAnsi="宋体" w:eastAsia="宋体" w:cs="宋体"/>
          <w:color w:val="auto"/>
        </w:rPr>
      </w:pPr>
    </w:p>
    <w:p w14:paraId="6D219A54">
      <w:pPr>
        <w:pStyle w:val="102"/>
        <w:rPr>
          <w:rFonts w:hint="eastAsia" w:ascii="宋体" w:hAnsi="宋体" w:eastAsia="宋体" w:cs="宋体"/>
          <w:color w:val="auto"/>
        </w:rPr>
      </w:pPr>
    </w:p>
    <w:p w14:paraId="36CD0728">
      <w:pPr>
        <w:pStyle w:val="102"/>
        <w:rPr>
          <w:rFonts w:hint="eastAsia" w:ascii="宋体" w:hAnsi="宋体" w:eastAsia="宋体" w:cs="宋体"/>
          <w:color w:val="auto"/>
        </w:rPr>
      </w:pPr>
    </w:p>
    <w:p w14:paraId="5CDAEFE1">
      <w:pPr>
        <w:pStyle w:val="102"/>
        <w:rPr>
          <w:rFonts w:hint="eastAsia" w:ascii="宋体" w:hAnsi="宋体" w:eastAsia="宋体" w:cs="宋体"/>
          <w:color w:val="auto"/>
        </w:rPr>
      </w:pPr>
    </w:p>
    <w:p w14:paraId="1E3B1F82">
      <w:pPr>
        <w:pStyle w:val="102"/>
        <w:rPr>
          <w:rFonts w:hint="eastAsia" w:ascii="宋体" w:hAnsi="宋体" w:eastAsia="宋体" w:cs="宋体"/>
          <w:color w:val="auto"/>
        </w:rPr>
      </w:pPr>
    </w:p>
    <w:p w14:paraId="09821097">
      <w:pPr>
        <w:pStyle w:val="102"/>
        <w:rPr>
          <w:rFonts w:hint="eastAsia" w:ascii="宋体" w:hAnsi="宋体" w:eastAsia="宋体" w:cs="宋体"/>
          <w:color w:val="auto"/>
        </w:rPr>
      </w:pPr>
    </w:p>
    <w:p w14:paraId="06B1121C">
      <w:pPr>
        <w:pStyle w:val="6"/>
        <w:spacing w:before="0"/>
        <w:rPr>
          <w:rFonts w:hint="eastAsia" w:ascii="宋体" w:hAnsi="宋体" w:eastAsia="宋体" w:cs="宋体"/>
          <w:b/>
          <w:bCs w:val="0"/>
          <w:color w:val="auto"/>
          <w:kern w:val="0"/>
          <w:sz w:val="21"/>
          <w:szCs w:val="21"/>
        </w:rPr>
      </w:pPr>
      <w:bookmarkStart w:id="1483" w:name="_Toc21540"/>
      <w:r>
        <w:rPr>
          <w:rFonts w:hint="eastAsia" w:ascii="宋体" w:hAnsi="宋体" w:eastAsia="宋体" w:cs="宋体"/>
          <w:b/>
          <w:bCs w:val="0"/>
          <w:color w:val="auto"/>
          <w:sz w:val="21"/>
          <w:szCs w:val="21"/>
        </w:rPr>
        <w:t>附件4-</w:t>
      </w:r>
      <w:r>
        <w:rPr>
          <w:rFonts w:hint="eastAsia" w:ascii="宋体" w:hAnsi="宋体" w:eastAsia="宋体" w:cs="宋体"/>
          <w:b/>
          <w:bCs w:val="0"/>
          <w:color w:val="auto"/>
          <w:sz w:val="21"/>
          <w:szCs w:val="21"/>
          <w:lang w:val="en-US" w:eastAsia="zh-CN"/>
        </w:rPr>
        <w:t>7</w:t>
      </w:r>
      <w:r>
        <w:rPr>
          <w:rFonts w:hint="eastAsia" w:ascii="宋体" w:hAnsi="宋体" w:eastAsia="宋体" w:cs="宋体"/>
          <w:b/>
          <w:bCs w:val="0"/>
          <w:color w:val="auto"/>
          <w:sz w:val="21"/>
          <w:szCs w:val="21"/>
        </w:rPr>
        <w:t xml:space="preserve"> 资格条件更新材料（已进行资格预审的）</w:t>
      </w:r>
      <w:bookmarkEnd w:id="1483"/>
    </w:p>
    <w:p w14:paraId="43C35992">
      <w:pPr>
        <w:adjustRightInd w:val="0"/>
        <w:snapToGrid w:val="0"/>
        <w:spacing w:before="157" w:beforeLines="50"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供应商的资格条件更新材料</w:t>
      </w:r>
    </w:p>
    <w:p w14:paraId="17E27F46">
      <w:pPr>
        <w:widowControl/>
        <w:adjustRightInd w:val="0"/>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bCs/>
          <w:color w:val="auto"/>
          <w:szCs w:val="21"/>
        </w:rPr>
        <w:t>注</w:t>
      </w:r>
      <w:r>
        <w:rPr>
          <w:rFonts w:hint="eastAsia" w:ascii="宋体" w:hAnsi="宋体" w:eastAsia="宋体" w:cs="宋体"/>
          <w:color w:val="auto"/>
        </w:rPr>
        <w:t>：</w:t>
      </w:r>
      <w:r>
        <w:rPr>
          <w:rFonts w:hint="eastAsia" w:ascii="宋体" w:hAnsi="宋体" w:eastAsia="宋体" w:cs="宋体"/>
          <w:color w:val="auto"/>
          <w:kern w:val="0"/>
          <w:szCs w:val="21"/>
          <w:lang w:val="zh-CN"/>
        </w:rPr>
        <w:t>根据招标文件第二章第14.1款规定，</w:t>
      </w:r>
      <w:r>
        <w:rPr>
          <w:rFonts w:hint="eastAsia" w:ascii="宋体" w:hAnsi="宋体" w:eastAsia="宋体" w:cs="宋体"/>
          <w:color w:val="auto"/>
          <w:szCs w:val="21"/>
        </w:rPr>
        <w:t>投标人在提交资格证明材料</w:t>
      </w:r>
      <w:r>
        <w:rPr>
          <w:rFonts w:hint="eastAsia" w:ascii="宋体" w:hAnsi="宋体" w:eastAsia="宋体" w:cs="宋体"/>
          <w:bCs/>
          <w:color w:val="auto"/>
          <w:szCs w:val="21"/>
        </w:rPr>
        <w:t>起</w:t>
      </w:r>
      <w:r>
        <w:rPr>
          <w:rFonts w:hint="eastAsia" w:ascii="宋体" w:hAnsi="宋体" w:eastAsia="宋体" w:cs="宋体"/>
          <w:color w:val="auto"/>
          <w:szCs w:val="21"/>
        </w:rPr>
        <w:t>至</w:t>
      </w:r>
      <w:r>
        <w:rPr>
          <w:rFonts w:hint="eastAsia" w:ascii="宋体" w:hAnsi="宋体" w:eastAsia="宋体" w:cs="宋体"/>
          <w:color w:val="auto"/>
          <w:kern w:val="0"/>
          <w:szCs w:val="21"/>
        </w:rPr>
        <w:t>提交投标文件</w:t>
      </w:r>
      <w:r>
        <w:rPr>
          <w:rFonts w:hint="eastAsia" w:ascii="宋体" w:hAnsi="宋体" w:eastAsia="宋体" w:cs="宋体"/>
          <w:color w:val="auto"/>
          <w:szCs w:val="21"/>
        </w:rPr>
        <w:t>止，其资格条件发生变化，影响或者可能影响资格条件的，应随本投标文件提供更新或者补充的资格证明材料。</w:t>
      </w:r>
    </w:p>
    <w:p w14:paraId="0581384C">
      <w:pPr>
        <w:widowControl/>
        <w:adjustRightInd w:val="0"/>
        <w:snapToGrid w:val="0"/>
        <w:spacing w:line="360" w:lineRule="auto"/>
        <w:ind w:firstLine="420" w:firstLineChars="200"/>
        <w:jc w:val="left"/>
        <w:rPr>
          <w:rFonts w:hint="eastAsia" w:ascii="宋体" w:hAnsi="宋体" w:eastAsia="宋体" w:cs="宋体"/>
          <w:color w:val="auto"/>
          <w:sz w:val="32"/>
          <w:szCs w:val="32"/>
        </w:rPr>
      </w:pPr>
      <w:r>
        <w:rPr>
          <w:rFonts w:hint="eastAsia" w:ascii="宋体" w:hAnsi="宋体" w:eastAsia="宋体" w:cs="宋体"/>
          <w:color w:val="auto"/>
          <w:szCs w:val="21"/>
        </w:rPr>
        <w:br w:type="page"/>
      </w:r>
    </w:p>
    <w:p w14:paraId="357EC3B3">
      <w:pPr>
        <w:pStyle w:val="24"/>
        <w:adjustRightInd w:val="0"/>
        <w:snapToGrid w:val="0"/>
        <w:spacing w:line="360" w:lineRule="auto"/>
        <w:jc w:val="center"/>
        <w:rPr>
          <w:rFonts w:hint="eastAsia" w:ascii="宋体" w:hAnsi="宋体" w:eastAsia="宋体" w:cs="宋体"/>
          <w:bCs/>
          <w:color w:val="auto"/>
          <w:sz w:val="72"/>
          <w:szCs w:val="72"/>
        </w:rPr>
      </w:pPr>
      <w:r>
        <w:rPr>
          <w:rFonts w:hint="eastAsia" w:ascii="宋体" w:hAnsi="宋体" w:eastAsia="宋体" w:cs="宋体"/>
          <w:bCs/>
          <w:color w:val="auto"/>
          <w:sz w:val="72"/>
          <w:szCs w:val="72"/>
        </w:rPr>
        <w:t>政府采购</w:t>
      </w:r>
    </w:p>
    <w:p w14:paraId="44658A73">
      <w:pPr>
        <w:adjustRightInd w:val="0"/>
        <w:snapToGrid w:val="0"/>
        <w:spacing w:line="360" w:lineRule="auto"/>
        <w:jc w:val="center"/>
        <w:rPr>
          <w:rFonts w:hint="eastAsia" w:ascii="宋体" w:hAnsi="宋体" w:eastAsia="宋体" w:cs="宋体"/>
          <w:b/>
          <w:bCs/>
          <w:color w:val="auto"/>
          <w:sz w:val="84"/>
          <w:szCs w:val="84"/>
        </w:rPr>
      </w:pPr>
      <w:r>
        <w:rPr>
          <w:rFonts w:hint="eastAsia" w:ascii="宋体" w:hAnsi="宋体" w:eastAsia="宋体" w:cs="宋体"/>
          <w:b/>
          <w:bCs/>
          <w:color w:val="auto"/>
          <w:sz w:val="84"/>
          <w:szCs w:val="84"/>
        </w:rPr>
        <w:t>投 标 文 件</w:t>
      </w:r>
    </w:p>
    <w:p w14:paraId="471BEB81">
      <w:pPr>
        <w:pStyle w:val="4"/>
        <w:adjustRightInd w:val="0"/>
        <w:snapToGrid w:val="0"/>
        <w:jc w:val="center"/>
        <w:rPr>
          <w:rFonts w:hint="eastAsia" w:ascii="宋体" w:hAnsi="宋体" w:eastAsia="宋体" w:cs="宋体"/>
          <w:color w:val="auto"/>
          <w:sz w:val="44"/>
          <w:szCs w:val="44"/>
        </w:rPr>
      </w:pPr>
      <w:bookmarkStart w:id="1484" w:name="_Toc13916"/>
      <w:bookmarkStart w:id="1485" w:name="_Toc15330"/>
      <w:bookmarkStart w:id="1486" w:name="_Toc24760"/>
      <w:r>
        <w:rPr>
          <w:rFonts w:hint="eastAsia" w:ascii="宋体" w:hAnsi="宋体" w:eastAsia="宋体" w:cs="宋体"/>
          <w:color w:val="auto"/>
          <w:sz w:val="44"/>
          <w:szCs w:val="44"/>
        </w:rPr>
        <w:t>第二部分 商务技术文件</w:t>
      </w:r>
      <w:bookmarkEnd w:id="1484"/>
      <w:bookmarkEnd w:id="1485"/>
      <w:bookmarkEnd w:id="1486"/>
    </w:p>
    <w:p w14:paraId="2D210920">
      <w:pPr>
        <w:adjustRightInd w:val="0"/>
        <w:snapToGrid w:val="0"/>
        <w:spacing w:line="360" w:lineRule="auto"/>
        <w:rPr>
          <w:rFonts w:hint="eastAsia" w:ascii="宋体" w:hAnsi="宋体" w:eastAsia="宋体" w:cs="宋体"/>
          <w:color w:val="auto"/>
          <w:sz w:val="32"/>
          <w:szCs w:val="32"/>
        </w:rPr>
      </w:pPr>
    </w:p>
    <w:p w14:paraId="4B8D1C5E">
      <w:pPr>
        <w:pStyle w:val="24"/>
        <w:adjustRightInd w:val="0"/>
        <w:snapToGrid w:val="0"/>
        <w:spacing w:line="360" w:lineRule="auto"/>
        <w:ind w:firstLine="1988" w:firstLineChars="660"/>
        <w:rPr>
          <w:rFonts w:hint="eastAsia" w:ascii="宋体" w:hAnsi="宋体" w:eastAsia="宋体" w:cs="宋体"/>
          <w:b/>
          <w:bCs/>
          <w:color w:val="auto"/>
          <w:sz w:val="30"/>
          <w:szCs w:val="30"/>
        </w:rPr>
      </w:pPr>
    </w:p>
    <w:p w14:paraId="66F0ADE0">
      <w:pPr>
        <w:pStyle w:val="24"/>
        <w:adjustRightInd w:val="0"/>
        <w:snapToGrid w:val="0"/>
        <w:spacing w:line="360" w:lineRule="auto"/>
        <w:ind w:firstLine="1988" w:firstLineChars="660"/>
        <w:rPr>
          <w:rFonts w:hint="eastAsia" w:ascii="宋体" w:hAnsi="宋体" w:eastAsia="宋体" w:cs="宋体"/>
          <w:b/>
          <w:bCs/>
          <w:color w:val="auto"/>
          <w:sz w:val="30"/>
          <w:szCs w:val="30"/>
          <w:u w:val="single"/>
        </w:rPr>
      </w:pPr>
      <w:r>
        <w:rPr>
          <w:rFonts w:hint="eastAsia" w:ascii="宋体" w:hAnsi="宋体" w:eastAsia="宋体" w:cs="宋体"/>
          <w:b/>
          <w:bCs/>
          <w:color w:val="auto"/>
          <w:sz w:val="30"/>
          <w:szCs w:val="30"/>
        </w:rPr>
        <w:t>采购项目名称:</w:t>
      </w:r>
      <w:r>
        <w:rPr>
          <w:rFonts w:hint="eastAsia" w:ascii="宋体" w:hAnsi="宋体" w:eastAsia="宋体" w:cs="宋体"/>
          <w:b/>
          <w:bCs/>
          <w:color w:val="auto"/>
          <w:sz w:val="30"/>
          <w:szCs w:val="30"/>
          <w:u w:val="single"/>
        </w:rPr>
        <w:t xml:space="preserve">                        </w:t>
      </w:r>
    </w:p>
    <w:p w14:paraId="4BCD6DED">
      <w:pPr>
        <w:pStyle w:val="24"/>
        <w:adjustRightInd w:val="0"/>
        <w:snapToGrid w:val="0"/>
        <w:spacing w:line="360" w:lineRule="auto"/>
        <w:ind w:firstLine="1988" w:firstLineChars="660"/>
        <w:rPr>
          <w:rFonts w:hint="eastAsia" w:ascii="宋体" w:hAnsi="宋体" w:eastAsia="宋体" w:cs="宋体"/>
          <w:b/>
          <w:bCs/>
          <w:color w:val="auto"/>
          <w:sz w:val="30"/>
          <w:szCs w:val="30"/>
        </w:rPr>
      </w:pPr>
      <w:r>
        <w:rPr>
          <w:rFonts w:hint="eastAsia" w:ascii="宋体" w:hAnsi="宋体" w:eastAsia="宋体" w:cs="宋体"/>
          <w:b/>
          <w:bCs/>
          <w:color w:val="auto"/>
          <w:sz w:val="30"/>
          <w:szCs w:val="30"/>
        </w:rPr>
        <w:t>采   购   人：</w:t>
      </w:r>
      <w:r>
        <w:rPr>
          <w:rFonts w:hint="eastAsia" w:ascii="宋体" w:hAnsi="宋体" w:eastAsia="宋体" w:cs="宋体"/>
          <w:b/>
          <w:bCs/>
          <w:color w:val="auto"/>
          <w:sz w:val="30"/>
          <w:szCs w:val="30"/>
          <w:u w:val="single"/>
        </w:rPr>
        <w:t xml:space="preserve">                       </w:t>
      </w:r>
    </w:p>
    <w:p w14:paraId="2B93F08A">
      <w:pPr>
        <w:pStyle w:val="24"/>
        <w:adjustRightInd w:val="0"/>
        <w:snapToGrid w:val="0"/>
        <w:spacing w:line="360" w:lineRule="auto"/>
        <w:ind w:firstLine="1988" w:firstLineChars="660"/>
        <w:rPr>
          <w:rFonts w:hint="eastAsia" w:ascii="宋体" w:hAnsi="宋体" w:eastAsia="宋体" w:cs="宋体"/>
          <w:b/>
          <w:bCs/>
          <w:color w:val="auto"/>
          <w:sz w:val="30"/>
          <w:szCs w:val="30"/>
          <w:u w:val="single"/>
        </w:rPr>
      </w:pPr>
      <w:r>
        <w:rPr>
          <w:rFonts w:hint="eastAsia" w:ascii="宋体" w:hAnsi="宋体" w:eastAsia="宋体" w:cs="宋体"/>
          <w:b/>
          <w:bCs/>
          <w:color w:val="auto"/>
          <w:sz w:val="30"/>
          <w:szCs w:val="30"/>
        </w:rPr>
        <w:t>政府采购计划编号:</w:t>
      </w:r>
      <w:r>
        <w:rPr>
          <w:rFonts w:hint="eastAsia" w:ascii="宋体" w:hAnsi="宋体" w:eastAsia="宋体" w:cs="宋体"/>
          <w:b/>
          <w:bCs/>
          <w:color w:val="auto"/>
          <w:sz w:val="30"/>
          <w:szCs w:val="30"/>
          <w:u w:val="single"/>
        </w:rPr>
        <w:t xml:space="preserve">                    </w:t>
      </w:r>
    </w:p>
    <w:p w14:paraId="5D920CF2">
      <w:pPr>
        <w:pStyle w:val="24"/>
        <w:adjustRightInd w:val="0"/>
        <w:snapToGrid w:val="0"/>
        <w:spacing w:line="360" w:lineRule="auto"/>
        <w:ind w:firstLine="1988" w:firstLineChars="660"/>
        <w:rPr>
          <w:rFonts w:hint="eastAsia" w:ascii="宋体" w:hAnsi="宋体" w:eastAsia="宋体" w:cs="宋体"/>
          <w:b/>
          <w:bCs/>
          <w:color w:val="auto"/>
          <w:sz w:val="30"/>
          <w:szCs w:val="30"/>
          <w:u w:val="single"/>
        </w:rPr>
      </w:pPr>
      <w:r>
        <w:rPr>
          <w:rFonts w:hint="eastAsia" w:ascii="宋体" w:hAnsi="宋体" w:eastAsia="宋体" w:cs="宋体"/>
          <w:b/>
          <w:bCs/>
          <w:color w:val="auto"/>
          <w:sz w:val="30"/>
          <w:szCs w:val="30"/>
        </w:rPr>
        <w:t>委托代理编号:</w:t>
      </w:r>
      <w:r>
        <w:rPr>
          <w:rFonts w:hint="eastAsia" w:ascii="宋体" w:hAnsi="宋体" w:eastAsia="宋体" w:cs="宋体"/>
          <w:b/>
          <w:bCs/>
          <w:color w:val="auto"/>
          <w:sz w:val="30"/>
          <w:szCs w:val="30"/>
          <w:u w:val="single"/>
        </w:rPr>
        <w:t xml:space="preserve">                        </w:t>
      </w:r>
    </w:p>
    <w:p w14:paraId="408E615A">
      <w:pPr>
        <w:pStyle w:val="24"/>
        <w:adjustRightInd w:val="0"/>
        <w:snapToGrid w:val="0"/>
        <w:spacing w:line="360" w:lineRule="auto"/>
        <w:ind w:firstLine="1988" w:firstLineChars="660"/>
        <w:rPr>
          <w:rFonts w:hint="eastAsia" w:ascii="宋体" w:hAnsi="宋体" w:eastAsia="宋体" w:cs="宋体"/>
          <w:b/>
          <w:bCs/>
          <w:color w:val="auto"/>
          <w:sz w:val="30"/>
          <w:szCs w:val="30"/>
          <w:u w:val="single"/>
        </w:rPr>
      </w:pPr>
      <w:r>
        <w:rPr>
          <w:rFonts w:hint="eastAsia" w:ascii="宋体" w:hAnsi="宋体" w:eastAsia="宋体" w:cs="宋体"/>
          <w:b/>
          <w:bCs/>
          <w:color w:val="auto"/>
          <w:sz w:val="30"/>
          <w:szCs w:val="30"/>
        </w:rPr>
        <w:t>采购代理机构：</w:t>
      </w:r>
      <w:r>
        <w:rPr>
          <w:rFonts w:hint="eastAsia" w:ascii="宋体" w:hAnsi="宋体" w:eastAsia="宋体" w:cs="宋体"/>
          <w:b/>
          <w:bCs/>
          <w:color w:val="auto"/>
          <w:sz w:val="30"/>
          <w:szCs w:val="30"/>
          <w:u w:val="single"/>
        </w:rPr>
        <w:t xml:space="preserve">                       </w:t>
      </w:r>
    </w:p>
    <w:p w14:paraId="3CB7FDE0">
      <w:pPr>
        <w:adjustRightInd w:val="0"/>
        <w:snapToGrid w:val="0"/>
        <w:spacing w:line="360" w:lineRule="auto"/>
        <w:rPr>
          <w:rFonts w:hint="eastAsia" w:ascii="宋体" w:hAnsi="宋体" w:eastAsia="宋体" w:cs="宋体"/>
          <w:color w:val="auto"/>
          <w:sz w:val="30"/>
          <w:szCs w:val="30"/>
        </w:rPr>
      </w:pPr>
    </w:p>
    <w:p w14:paraId="30C62138">
      <w:pPr>
        <w:adjustRightInd w:val="0"/>
        <w:snapToGrid w:val="0"/>
        <w:spacing w:line="360" w:lineRule="auto"/>
        <w:rPr>
          <w:rFonts w:hint="eastAsia" w:ascii="宋体" w:hAnsi="宋体" w:eastAsia="宋体" w:cs="宋体"/>
          <w:color w:val="auto"/>
          <w:sz w:val="30"/>
          <w:szCs w:val="30"/>
        </w:rPr>
      </w:pPr>
    </w:p>
    <w:p w14:paraId="112140CA">
      <w:pPr>
        <w:adjustRightInd w:val="0"/>
        <w:snapToGrid w:val="0"/>
        <w:spacing w:line="360" w:lineRule="auto"/>
        <w:rPr>
          <w:rFonts w:hint="eastAsia" w:ascii="宋体" w:hAnsi="宋体" w:eastAsia="宋体" w:cs="宋体"/>
          <w:color w:val="auto"/>
          <w:sz w:val="30"/>
          <w:szCs w:val="30"/>
        </w:rPr>
      </w:pPr>
    </w:p>
    <w:p w14:paraId="5A48444F">
      <w:pPr>
        <w:adjustRightInd w:val="0"/>
        <w:snapToGrid w:val="0"/>
        <w:spacing w:line="360" w:lineRule="auto"/>
        <w:ind w:left="1273" w:leftChars="606" w:firstLine="640" w:firstLineChars="200"/>
        <w:rPr>
          <w:rFonts w:hint="eastAsia" w:ascii="宋体" w:hAnsi="宋体" w:eastAsia="宋体" w:cs="宋体"/>
          <w:color w:val="auto"/>
          <w:sz w:val="32"/>
          <w:szCs w:val="32"/>
          <w:u w:val="single"/>
        </w:rPr>
      </w:pPr>
      <w:r>
        <w:rPr>
          <w:rFonts w:hint="eastAsia" w:ascii="宋体" w:hAnsi="宋体" w:eastAsia="宋体" w:cs="宋体"/>
          <w:color w:val="auto"/>
          <w:sz w:val="32"/>
          <w:szCs w:val="32"/>
        </w:rPr>
        <w:t>投标人</w:t>
      </w:r>
      <w:r>
        <w:rPr>
          <w:rFonts w:hint="eastAsia" w:ascii="宋体" w:hAnsi="宋体" w:eastAsia="宋体" w:cs="宋体"/>
          <w:color w:val="auto"/>
          <w:sz w:val="32"/>
          <w:szCs w:val="32"/>
          <w:u w:val="single"/>
        </w:rPr>
        <w:t xml:space="preserve">                         </w:t>
      </w:r>
    </w:p>
    <w:p w14:paraId="2B2C1C97">
      <w:pPr>
        <w:adjustRightInd w:val="0"/>
        <w:snapToGrid w:val="0"/>
        <w:spacing w:line="360" w:lineRule="auto"/>
        <w:jc w:val="center"/>
        <w:rPr>
          <w:rFonts w:hint="eastAsia" w:ascii="宋体" w:hAnsi="宋体" w:eastAsia="宋体" w:cs="宋体"/>
          <w:b/>
          <w:bCs/>
          <w:color w:val="auto"/>
          <w:sz w:val="28"/>
          <w:szCs w:val="28"/>
        </w:rPr>
      </w:pPr>
      <w:r>
        <w:rPr>
          <w:rFonts w:hint="eastAsia" w:ascii="宋体" w:hAnsi="宋体" w:eastAsia="宋体" w:cs="宋体"/>
          <w:color w:val="auto"/>
          <w:sz w:val="32"/>
          <w:szCs w:val="32"/>
        </w:rPr>
        <w:t>年  月  日</w:t>
      </w:r>
      <w:r>
        <w:rPr>
          <w:rFonts w:hint="eastAsia" w:ascii="宋体" w:hAnsi="宋体" w:eastAsia="宋体" w:cs="宋体"/>
          <w:color w:val="auto"/>
          <w:u w:val="single"/>
        </w:rPr>
        <w:br w:type="page"/>
      </w:r>
    </w:p>
    <w:p w14:paraId="0ED39B37">
      <w:pPr>
        <w:pStyle w:val="5"/>
        <w:adjustRightInd w:val="0"/>
        <w:snapToGrid w:val="0"/>
        <w:spacing w:before="0" w:after="0" w:line="360" w:lineRule="auto"/>
        <w:jc w:val="center"/>
        <w:rPr>
          <w:rFonts w:hint="eastAsia" w:ascii="宋体" w:hAnsi="宋体" w:eastAsia="宋体" w:cs="宋体"/>
          <w:color w:val="auto"/>
          <w:sz w:val="28"/>
          <w:szCs w:val="28"/>
        </w:rPr>
      </w:pPr>
      <w:bookmarkStart w:id="1487" w:name="_Toc14424"/>
      <w:bookmarkStart w:id="1488" w:name="_Toc32570"/>
      <w:bookmarkStart w:id="1489" w:name="_Toc1824"/>
      <w:r>
        <w:rPr>
          <w:rFonts w:hint="eastAsia" w:ascii="宋体" w:hAnsi="宋体" w:eastAsia="宋体" w:cs="宋体"/>
          <w:color w:val="auto"/>
          <w:sz w:val="28"/>
          <w:szCs w:val="28"/>
        </w:rPr>
        <w:t>五、投标函</w:t>
      </w:r>
      <w:bookmarkEnd w:id="1487"/>
      <w:bookmarkEnd w:id="1488"/>
      <w:bookmarkEnd w:id="1489"/>
    </w:p>
    <w:p w14:paraId="6387656F">
      <w:pPr>
        <w:adjustRightInd w:val="0"/>
        <w:snapToGrid w:val="0"/>
        <w:spacing w:before="157" w:beforeLines="50" w:line="360" w:lineRule="auto"/>
        <w:rPr>
          <w:rFonts w:hint="eastAsia" w:ascii="宋体" w:hAnsi="宋体" w:eastAsia="宋体" w:cs="宋体"/>
          <w:color w:val="auto"/>
          <w:szCs w:val="21"/>
        </w:rPr>
      </w:pPr>
      <w:r>
        <w:rPr>
          <w:rFonts w:hint="eastAsia" w:ascii="宋体" w:hAnsi="宋体" w:eastAsia="宋体" w:cs="宋体"/>
          <w:color w:val="auto"/>
          <w:szCs w:val="21"/>
        </w:rPr>
        <w:t>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（采购人、采购代理机构）：</w:t>
      </w:r>
    </w:p>
    <w:p w14:paraId="1E5DBA1F">
      <w:pPr>
        <w:adjustRightInd w:val="0"/>
        <w:snapToGrid w:val="0"/>
        <w:spacing w:before="157" w:beforeLines="50" w:line="360" w:lineRule="auto"/>
        <w:ind w:firstLine="435"/>
        <w:rPr>
          <w:rFonts w:hint="eastAsia" w:ascii="宋体" w:hAnsi="宋体" w:eastAsia="宋体" w:cs="宋体"/>
          <w:color w:val="auto"/>
          <w:szCs w:val="21"/>
        </w:rPr>
      </w:pPr>
      <w:r>
        <w:rPr>
          <w:rFonts w:hint="eastAsia" w:ascii="宋体" w:hAnsi="宋体" w:eastAsia="宋体" w:cs="宋体"/>
          <w:color w:val="auto"/>
          <w:szCs w:val="21"/>
        </w:rPr>
        <w:t>根据贵方为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（项目名称）的投标邀请（</w:t>
      </w:r>
      <w:r>
        <w:rPr>
          <w:rFonts w:hint="eastAsia" w:ascii="宋体" w:hAnsi="宋体" w:eastAsia="宋体" w:cs="宋体"/>
          <w:color w:val="auto"/>
        </w:rPr>
        <w:t>政府采购计划编号</w:t>
      </w:r>
      <w:r>
        <w:rPr>
          <w:rFonts w:hint="eastAsia" w:ascii="宋体" w:hAnsi="宋体" w:eastAsia="宋体" w:cs="宋体"/>
          <w:iCs/>
          <w:color w:val="auto"/>
        </w:rPr>
        <w:t>：</w:t>
      </w:r>
      <w:r>
        <w:rPr>
          <w:rFonts w:hint="eastAsia" w:ascii="宋体" w:hAnsi="宋体" w:eastAsia="宋体" w:cs="宋体"/>
          <w:iCs/>
          <w:color w:val="auto"/>
          <w:u w:val="single"/>
        </w:rPr>
        <w:t xml:space="preserve">      </w:t>
      </w:r>
      <w:r>
        <w:rPr>
          <w:rFonts w:hint="eastAsia" w:ascii="宋体" w:hAnsi="宋体" w:eastAsia="宋体" w:cs="宋体"/>
          <w:iCs/>
          <w:color w:val="auto"/>
        </w:rPr>
        <w:t xml:space="preserve"> ，</w:t>
      </w:r>
      <w:r>
        <w:rPr>
          <w:rFonts w:hint="eastAsia" w:ascii="宋体" w:hAnsi="宋体" w:eastAsia="宋体" w:cs="宋体"/>
          <w:color w:val="auto"/>
          <w:szCs w:val="21"/>
        </w:rPr>
        <w:t>委托代理编号：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），签字代表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（姓名、职务）经正式授权并代表投标人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（投标人名称）提交下述投标文件：投标文件电子文档一份，参加采购项目第</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包投标，并在此声明，所递交的投标文件内容完整、真实。</w:t>
      </w:r>
    </w:p>
    <w:p w14:paraId="7A590845">
      <w:pPr>
        <w:adjustRightInd w:val="0"/>
        <w:snapToGrid w:val="0"/>
        <w:spacing w:before="157" w:beforeLines="50"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第一部分 资格证明文件</w:t>
      </w:r>
    </w:p>
    <w:p w14:paraId="56613B69">
      <w:pPr>
        <w:adjustRightInd w:val="0"/>
        <w:snapToGrid w:val="0"/>
        <w:spacing w:before="157" w:beforeLines="50"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一、开标一览表</w:t>
      </w:r>
    </w:p>
    <w:p w14:paraId="354F6F75">
      <w:pPr>
        <w:adjustRightInd w:val="0"/>
        <w:snapToGrid w:val="0"/>
        <w:spacing w:before="157" w:beforeLines="50"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二、投标保证金</w:t>
      </w:r>
    </w:p>
    <w:p w14:paraId="4498A51E">
      <w:pPr>
        <w:adjustRightInd w:val="0"/>
        <w:snapToGrid w:val="0"/>
        <w:spacing w:before="157" w:beforeLines="50"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三、授权委托书</w:t>
      </w:r>
    </w:p>
    <w:p w14:paraId="40E65EEB">
      <w:pPr>
        <w:adjustRightInd w:val="0"/>
        <w:snapToGrid w:val="0"/>
        <w:spacing w:before="157" w:beforeLines="50"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四、投标人提供的资格证明文件</w:t>
      </w:r>
    </w:p>
    <w:p w14:paraId="6866D811">
      <w:pPr>
        <w:adjustRightInd w:val="0"/>
        <w:snapToGrid w:val="0"/>
        <w:spacing w:before="157" w:beforeLines="50" w:line="360" w:lineRule="auto"/>
        <w:ind w:firstLine="422" w:firstLineChars="200"/>
        <w:rPr>
          <w:rFonts w:hint="eastAsia" w:ascii="宋体" w:hAnsi="宋体" w:eastAsia="宋体" w:cs="宋体"/>
          <w:b/>
          <w:color w:val="auto"/>
          <w:szCs w:val="21"/>
        </w:rPr>
      </w:pPr>
      <w:r>
        <w:rPr>
          <w:rFonts w:hint="eastAsia" w:ascii="宋体" w:hAnsi="宋体" w:eastAsia="宋体" w:cs="宋体"/>
          <w:b/>
          <w:color w:val="auto"/>
          <w:szCs w:val="21"/>
        </w:rPr>
        <w:t>第二部分 商务技术文件</w:t>
      </w:r>
    </w:p>
    <w:p w14:paraId="4326BC8D">
      <w:pPr>
        <w:adjustRightInd w:val="0"/>
        <w:snapToGrid w:val="0"/>
        <w:spacing w:before="157" w:beforeLines="50"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五、投标函</w:t>
      </w:r>
    </w:p>
    <w:p w14:paraId="0DDE5ABC">
      <w:pPr>
        <w:adjustRightInd w:val="0"/>
        <w:snapToGrid w:val="0"/>
        <w:spacing w:before="157" w:beforeLines="50"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六、分项报价</w:t>
      </w:r>
    </w:p>
    <w:p w14:paraId="6443A63E">
      <w:pPr>
        <w:adjustRightInd w:val="0"/>
        <w:snapToGrid w:val="0"/>
        <w:spacing w:before="157" w:beforeLines="50"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七、采购需求响应</w:t>
      </w:r>
    </w:p>
    <w:p w14:paraId="2045A300">
      <w:pPr>
        <w:adjustRightInd w:val="0"/>
        <w:snapToGrid w:val="0"/>
        <w:spacing w:before="157" w:beforeLines="50"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八、合同条款偏离表</w:t>
      </w:r>
    </w:p>
    <w:p w14:paraId="40DDDE62">
      <w:pPr>
        <w:adjustRightInd w:val="0"/>
        <w:snapToGrid w:val="0"/>
        <w:spacing w:before="157" w:beforeLines="50"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九、采购需求偏离表</w:t>
      </w:r>
    </w:p>
    <w:p w14:paraId="104F894B">
      <w:pPr>
        <w:adjustRightInd w:val="0"/>
        <w:snapToGrid w:val="0"/>
        <w:spacing w:before="157" w:beforeLines="50"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十、享受政府采购政策优惠的证明资料</w:t>
      </w:r>
    </w:p>
    <w:p w14:paraId="44DF3B98">
      <w:pPr>
        <w:adjustRightInd w:val="0"/>
        <w:snapToGrid w:val="0"/>
        <w:spacing w:before="157" w:beforeLines="50"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十一、投标货物符合招标文件规定的证明文件</w:t>
      </w:r>
    </w:p>
    <w:p w14:paraId="73919E37">
      <w:pPr>
        <w:adjustRightInd w:val="0"/>
        <w:snapToGrid w:val="0"/>
        <w:spacing w:before="157" w:beforeLines="50" w:line="360" w:lineRule="auto"/>
        <w:ind w:firstLine="630" w:firstLineChars="300"/>
        <w:rPr>
          <w:rFonts w:hint="eastAsia" w:ascii="宋体" w:hAnsi="宋体" w:eastAsia="宋体" w:cs="宋体"/>
          <w:color w:val="auto"/>
          <w:szCs w:val="21"/>
        </w:rPr>
      </w:pPr>
      <w:r>
        <w:rPr>
          <w:rFonts w:hint="eastAsia" w:ascii="宋体" w:hAnsi="宋体" w:eastAsia="宋体" w:cs="宋体"/>
          <w:color w:val="auto"/>
          <w:szCs w:val="21"/>
        </w:rPr>
        <w:t>十二、投标人认为需提供的其他资料</w:t>
      </w:r>
    </w:p>
    <w:p w14:paraId="64296A0A">
      <w:pPr>
        <w:adjustRightInd w:val="0"/>
        <w:snapToGrid w:val="0"/>
        <w:spacing w:before="157"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在此，签字代表宣布同意如下：</w:t>
      </w:r>
    </w:p>
    <w:p w14:paraId="07FBC1A9">
      <w:pPr>
        <w:adjustRightInd w:val="0"/>
        <w:snapToGrid w:val="0"/>
        <w:spacing w:before="157"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1、投标人严格按照招标文件的规定报价，见《开标一览表》。</w:t>
      </w:r>
    </w:p>
    <w:p w14:paraId="215B3267">
      <w:pPr>
        <w:adjustRightInd w:val="0"/>
        <w:snapToGrid w:val="0"/>
        <w:spacing w:before="157"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2、投标人将按招标文件的规定履行合同责任和义务。</w:t>
      </w:r>
    </w:p>
    <w:p w14:paraId="4CB3BE61">
      <w:pPr>
        <w:adjustRightInd w:val="0"/>
        <w:snapToGrid w:val="0"/>
        <w:spacing w:before="157"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3、投标人已详细审查招标文件。我们完全理解并同意放弃对这方面有不明及误解的权力。</w:t>
      </w:r>
    </w:p>
    <w:p w14:paraId="5C73F0F1">
      <w:pPr>
        <w:adjustRightInd w:val="0"/>
        <w:snapToGrid w:val="0"/>
        <w:spacing w:before="157" w:beforeLines="50" w:line="360" w:lineRule="auto"/>
        <w:ind w:firstLine="420" w:firstLineChars="200"/>
        <w:rPr>
          <w:rFonts w:hint="eastAsia" w:ascii="宋体" w:hAnsi="宋体" w:eastAsia="宋体" w:cs="宋体"/>
          <w:color w:val="auto"/>
        </w:rPr>
      </w:pPr>
      <w:r>
        <w:rPr>
          <w:rFonts w:hint="eastAsia" w:ascii="宋体" w:hAnsi="宋体" w:eastAsia="宋体" w:cs="宋体"/>
          <w:color w:val="auto"/>
          <w:szCs w:val="21"/>
        </w:rPr>
        <w:t>4、本投标有效期为自招标文件规定的提交投标文件截止之日起</w:t>
      </w:r>
      <w:r>
        <w:rPr>
          <w:rFonts w:hint="eastAsia" w:ascii="宋体" w:hAnsi="宋体" w:eastAsia="宋体" w:cs="宋体"/>
          <w:color w:val="auto"/>
          <w:szCs w:val="21"/>
          <w:u w:val="single"/>
        </w:rPr>
        <w:t xml:space="preserve"> </w:t>
      </w:r>
      <w:r>
        <w:rPr>
          <w:rFonts w:hint="eastAsia" w:ascii="宋体" w:hAnsi="宋体" w:eastAsia="宋体" w:cs="宋体"/>
          <w:color w:val="auto"/>
          <w:szCs w:val="21"/>
          <w:u w:val="single"/>
          <w:lang w:val="en-US" w:eastAsia="zh-CN"/>
        </w:rPr>
        <w:t>90</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个日历日。在投标有效期内，</w:t>
      </w:r>
      <w:r>
        <w:rPr>
          <w:rFonts w:hint="eastAsia" w:ascii="宋体" w:hAnsi="宋体" w:eastAsia="宋体" w:cs="宋体"/>
          <w:color w:val="auto"/>
        </w:rPr>
        <w:t>投标人同意遵守本</w:t>
      </w:r>
      <w:r>
        <w:rPr>
          <w:rFonts w:hint="eastAsia" w:ascii="宋体" w:hAnsi="宋体" w:eastAsia="宋体" w:cs="宋体"/>
          <w:color w:val="auto"/>
          <w:szCs w:val="21"/>
        </w:rPr>
        <w:t>投标</w:t>
      </w:r>
      <w:r>
        <w:rPr>
          <w:rFonts w:hint="eastAsia" w:ascii="宋体" w:hAnsi="宋体" w:eastAsia="宋体" w:cs="宋体"/>
          <w:color w:val="auto"/>
        </w:rPr>
        <w:t>文件中的承诺且在此期限期满之前</w:t>
      </w:r>
      <w:r>
        <w:rPr>
          <w:rFonts w:hint="eastAsia" w:ascii="宋体" w:hAnsi="宋体" w:eastAsia="宋体" w:cs="宋体"/>
          <w:color w:val="auto"/>
          <w:szCs w:val="21"/>
        </w:rPr>
        <w:t>投标</w:t>
      </w:r>
      <w:r>
        <w:rPr>
          <w:rFonts w:hint="eastAsia" w:ascii="宋体" w:hAnsi="宋体" w:eastAsia="宋体" w:cs="宋体"/>
          <w:color w:val="auto"/>
        </w:rPr>
        <w:t>文件</w:t>
      </w:r>
      <w:r>
        <w:rPr>
          <w:rFonts w:hint="eastAsia" w:ascii="宋体" w:hAnsi="宋体" w:eastAsia="宋体" w:cs="宋体"/>
          <w:color w:val="auto"/>
          <w:szCs w:val="21"/>
        </w:rPr>
        <w:t>对我方具有法律约束力</w:t>
      </w:r>
      <w:r>
        <w:rPr>
          <w:rFonts w:hint="eastAsia" w:ascii="宋体" w:hAnsi="宋体" w:eastAsia="宋体" w:cs="宋体"/>
          <w:color w:val="auto"/>
        </w:rPr>
        <w:t>。</w:t>
      </w:r>
    </w:p>
    <w:p w14:paraId="08AED32C">
      <w:pPr>
        <w:adjustRightInd w:val="0"/>
        <w:snapToGrid w:val="0"/>
        <w:spacing w:before="157" w:beforeLines="50" w:line="360" w:lineRule="auto"/>
        <w:ind w:firstLine="420" w:firstLineChars="200"/>
        <w:rPr>
          <w:rFonts w:hint="eastAsia"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szCs w:val="21"/>
        </w:rPr>
        <w:t>同意提供贵方可能要求的与其投标有关的一切数据或资料。</w:t>
      </w:r>
    </w:p>
    <w:p w14:paraId="536BEDCC">
      <w:pPr>
        <w:adjustRightInd w:val="0"/>
        <w:snapToGrid w:val="0"/>
        <w:spacing w:before="157"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6、与本投标有关的一切正式往来信函请寄：</w:t>
      </w:r>
    </w:p>
    <w:p w14:paraId="0503AD83">
      <w:pPr>
        <w:adjustRightInd w:val="0"/>
        <w:snapToGrid w:val="0"/>
        <w:spacing w:before="157" w:beforeLines="50"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地址：</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；邮编：</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；电话：</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；电子邮箱：</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21440CA9">
      <w:pPr>
        <w:adjustRightInd w:val="0"/>
        <w:snapToGrid w:val="0"/>
        <w:spacing w:before="157" w:beforeLines="50" w:line="360" w:lineRule="auto"/>
        <w:ind w:firstLine="420" w:firstLineChars="200"/>
        <w:rPr>
          <w:rFonts w:hint="eastAsia" w:ascii="宋体" w:hAnsi="宋体" w:eastAsia="宋体" w:cs="宋体"/>
          <w:color w:val="auto"/>
          <w:szCs w:val="21"/>
        </w:rPr>
      </w:pPr>
    </w:p>
    <w:p w14:paraId="04565ABB">
      <w:pPr>
        <w:pStyle w:val="24"/>
        <w:adjustRightInd w:val="0"/>
        <w:snapToGrid w:val="0"/>
        <w:spacing w:before="157" w:beforeLines="50" w:line="360" w:lineRule="auto"/>
        <w:rPr>
          <w:rFonts w:hint="eastAsia" w:ascii="宋体" w:hAnsi="宋体" w:eastAsia="宋体" w:cs="宋体"/>
          <w:color w:val="auto"/>
        </w:rPr>
      </w:pPr>
    </w:p>
    <w:p w14:paraId="35E7D8D6">
      <w:pPr>
        <w:pStyle w:val="24"/>
        <w:adjustRightInd w:val="0"/>
        <w:snapToGrid w:val="0"/>
        <w:spacing w:before="157" w:beforeLines="50" w:line="360" w:lineRule="auto"/>
        <w:rPr>
          <w:rFonts w:hint="eastAsia" w:ascii="宋体" w:hAnsi="宋体" w:eastAsia="宋体" w:cs="宋体"/>
          <w:color w:val="auto"/>
        </w:rPr>
      </w:pPr>
      <w:r>
        <w:rPr>
          <w:rFonts w:hint="eastAsia" w:ascii="宋体" w:hAnsi="宋体" w:eastAsia="宋体" w:cs="宋体"/>
          <w:color w:val="auto"/>
        </w:rPr>
        <w:t xml:space="preserve">投标人名称（盖单位章）：                       </w:t>
      </w:r>
    </w:p>
    <w:p w14:paraId="7BD389D6">
      <w:pPr>
        <w:adjustRightInd w:val="0"/>
        <w:snapToGrid w:val="0"/>
        <w:spacing w:before="157" w:beforeLines="50" w:line="360" w:lineRule="auto"/>
        <w:rPr>
          <w:rFonts w:hint="eastAsia" w:ascii="宋体" w:hAnsi="宋体" w:eastAsia="宋体" w:cs="宋体"/>
          <w:color w:val="auto"/>
          <w:szCs w:val="21"/>
          <w:u w:val="single"/>
        </w:rPr>
      </w:pPr>
      <w:r>
        <w:rPr>
          <w:rFonts w:hint="eastAsia" w:ascii="宋体" w:hAnsi="宋体" w:eastAsia="宋体" w:cs="宋体"/>
          <w:color w:val="auto"/>
          <w:spacing w:val="-2"/>
          <w:kern w:val="0"/>
          <w:szCs w:val="21"/>
        </w:rPr>
        <w:t>法</w:t>
      </w:r>
      <w:r>
        <w:rPr>
          <w:rFonts w:hint="eastAsia" w:ascii="宋体" w:hAnsi="宋体" w:eastAsia="宋体" w:cs="宋体"/>
          <w:color w:val="auto"/>
          <w:kern w:val="0"/>
          <w:szCs w:val="21"/>
        </w:rPr>
        <w:t>定</w:t>
      </w:r>
      <w:r>
        <w:rPr>
          <w:rFonts w:hint="eastAsia" w:ascii="宋体" w:hAnsi="宋体" w:eastAsia="宋体" w:cs="宋体"/>
          <w:color w:val="auto"/>
          <w:spacing w:val="-2"/>
          <w:kern w:val="0"/>
          <w:szCs w:val="21"/>
        </w:rPr>
        <w:t>代</w:t>
      </w:r>
      <w:r>
        <w:rPr>
          <w:rFonts w:hint="eastAsia" w:ascii="宋体" w:hAnsi="宋体" w:eastAsia="宋体" w:cs="宋体"/>
          <w:color w:val="auto"/>
          <w:kern w:val="0"/>
          <w:szCs w:val="21"/>
        </w:rPr>
        <w:t>表</w:t>
      </w:r>
      <w:r>
        <w:rPr>
          <w:rFonts w:hint="eastAsia" w:ascii="宋体" w:hAnsi="宋体" w:eastAsia="宋体" w:cs="宋体"/>
          <w:color w:val="auto"/>
          <w:spacing w:val="-2"/>
          <w:kern w:val="0"/>
          <w:szCs w:val="21"/>
        </w:rPr>
        <w:t>人</w:t>
      </w:r>
      <w:r>
        <w:rPr>
          <w:rFonts w:hint="eastAsia" w:ascii="宋体" w:hAnsi="宋体" w:eastAsia="宋体" w:cs="宋体"/>
          <w:color w:val="auto"/>
          <w:kern w:val="0"/>
          <w:szCs w:val="21"/>
        </w:rPr>
        <w:t>（</w:t>
      </w:r>
      <w:r>
        <w:rPr>
          <w:rFonts w:hint="eastAsia" w:ascii="宋体" w:hAnsi="宋体" w:eastAsia="宋体" w:cs="宋体"/>
          <w:color w:val="auto"/>
          <w:spacing w:val="-2"/>
          <w:kern w:val="0"/>
          <w:szCs w:val="21"/>
        </w:rPr>
        <w:t>单</w:t>
      </w:r>
      <w:r>
        <w:rPr>
          <w:rFonts w:hint="eastAsia" w:ascii="宋体" w:hAnsi="宋体" w:eastAsia="宋体" w:cs="宋体"/>
          <w:color w:val="auto"/>
          <w:kern w:val="0"/>
          <w:szCs w:val="21"/>
        </w:rPr>
        <w:t>位</w:t>
      </w:r>
      <w:r>
        <w:rPr>
          <w:rFonts w:hint="eastAsia" w:ascii="宋体" w:hAnsi="宋体" w:eastAsia="宋体" w:cs="宋体"/>
          <w:color w:val="auto"/>
          <w:spacing w:val="-2"/>
          <w:kern w:val="0"/>
          <w:szCs w:val="21"/>
        </w:rPr>
        <w:t>负</w:t>
      </w:r>
      <w:r>
        <w:rPr>
          <w:rFonts w:hint="eastAsia" w:ascii="宋体" w:hAnsi="宋体" w:eastAsia="宋体" w:cs="宋体"/>
          <w:color w:val="auto"/>
          <w:kern w:val="0"/>
          <w:szCs w:val="21"/>
        </w:rPr>
        <w:t>责人</w:t>
      </w:r>
      <w:r>
        <w:rPr>
          <w:rFonts w:hint="eastAsia" w:ascii="宋体" w:hAnsi="宋体" w:eastAsia="宋体" w:cs="宋体"/>
          <w:color w:val="auto"/>
          <w:spacing w:val="-2"/>
          <w:kern w:val="0"/>
          <w:szCs w:val="21"/>
        </w:rPr>
        <w:t>）</w:t>
      </w:r>
      <w:r>
        <w:rPr>
          <w:rFonts w:hint="eastAsia" w:ascii="宋体" w:hAnsi="宋体" w:eastAsia="宋体" w:cs="宋体"/>
          <w:color w:val="auto"/>
          <w:szCs w:val="21"/>
        </w:rPr>
        <w:t>或其授权的代理人（签字或印章）：</w:t>
      </w:r>
      <w:r>
        <w:rPr>
          <w:rFonts w:hint="eastAsia" w:ascii="宋体" w:hAnsi="宋体" w:eastAsia="宋体" w:cs="宋体"/>
          <w:color w:val="auto"/>
          <w:szCs w:val="21"/>
          <w:u w:val="single"/>
        </w:rPr>
        <w:t xml:space="preserve">               </w:t>
      </w:r>
    </w:p>
    <w:p w14:paraId="6BE391EA">
      <w:pPr>
        <w:adjustRightInd w:val="0"/>
        <w:snapToGrid w:val="0"/>
        <w:spacing w:before="157" w:beforeLines="50" w:line="120" w:lineRule="auto"/>
        <w:rPr>
          <w:rFonts w:hint="eastAsia" w:ascii="宋体" w:hAnsi="宋体" w:eastAsia="宋体" w:cs="宋体"/>
          <w:b/>
          <w:bCs/>
          <w:color w:val="auto"/>
          <w:sz w:val="28"/>
          <w:szCs w:val="28"/>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r>
        <w:rPr>
          <w:rFonts w:hint="eastAsia" w:ascii="宋体" w:hAnsi="宋体" w:eastAsia="宋体" w:cs="宋体"/>
          <w:b/>
          <w:bCs/>
          <w:color w:val="auto"/>
          <w:sz w:val="28"/>
          <w:szCs w:val="28"/>
        </w:rPr>
        <w:br w:type="page"/>
      </w:r>
    </w:p>
    <w:p w14:paraId="4AB903E2">
      <w:pPr>
        <w:pStyle w:val="5"/>
        <w:adjustRightInd w:val="0"/>
        <w:snapToGrid w:val="0"/>
        <w:spacing w:before="0" w:after="0" w:line="360" w:lineRule="auto"/>
        <w:jc w:val="center"/>
        <w:rPr>
          <w:rFonts w:hint="eastAsia" w:ascii="宋体" w:hAnsi="宋体" w:eastAsia="宋体" w:cs="宋体"/>
          <w:color w:val="auto"/>
          <w:sz w:val="28"/>
          <w:szCs w:val="28"/>
        </w:rPr>
      </w:pPr>
      <w:bookmarkStart w:id="1490" w:name="_Toc15526"/>
      <w:bookmarkStart w:id="1491" w:name="_Toc5407"/>
      <w:bookmarkStart w:id="1492" w:name="_Toc27886"/>
      <w:r>
        <w:rPr>
          <w:rFonts w:hint="eastAsia" w:ascii="宋体" w:hAnsi="宋体" w:eastAsia="宋体" w:cs="宋体"/>
          <w:color w:val="auto"/>
          <w:sz w:val="28"/>
          <w:szCs w:val="28"/>
        </w:rPr>
        <w:t>六、分项报价</w:t>
      </w:r>
      <w:bookmarkEnd w:id="1490"/>
      <w:bookmarkEnd w:id="1491"/>
      <w:bookmarkEnd w:id="1492"/>
    </w:p>
    <w:p w14:paraId="5E985141">
      <w:pPr>
        <w:pStyle w:val="6"/>
        <w:jc w:val="left"/>
        <w:rPr>
          <w:rFonts w:hint="eastAsia" w:ascii="宋体" w:hAnsi="宋体" w:eastAsia="宋体" w:cs="宋体"/>
          <w:b w:val="0"/>
          <w:color w:val="auto"/>
          <w:kern w:val="0"/>
          <w:sz w:val="21"/>
          <w:szCs w:val="21"/>
        </w:rPr>
      </w:pPr>
      <w:bookmarkStart w:id="1493" w:name="_Toc18552"/>
      <w:r>
        <w:rPr>
          <w:rFonts w:hint="eastAsia" w:ascii="宋体" w:hAnsi="宋体" w:eastAsia="宋体" w:cs="宋体"/>
          <w:b w:val="0"/>
          <w:bCs w:val="0"/>
          <w:color w:val="auto"/>
          <w:spacing w:val="6"/>
          <w:kern w:val="0"/>
          <w:sz w:val="21"/>
          <w:szCs w:val="21"/>
        </w:rPr>
        <w:t xml:space="preserve">附件6-1 </w:t>
      </w:r>
      <w:r>
        <w:rPr>
          <w:rFonts w:hint="eastAsia" w:ascii="宋体" w:hAnsi="宋体" w:eastAsia="宋体" w:cs="宋体"/>
          <w:b w:val="0"/>
          <w:color w:val="auto"/>
          <w:spacing w:val="-2"/>
          <w:kern w:val="0"/>
          <w:sz w:val="21"/>
          <w:szCs w:val="21"/>
        </w:rPr>
        <w:t>分</w:t>
      </w:r>
      <w:r>
        <w:rPr>
          <w:rFonts w:hint="eastAsia" w:ascii="宋体" w:hAnsi="宋体" w:eastAsia="宋体" w:cs="宋体"/>
          <w:b w:val="0"/>
          <w:color w:val="auto"/>
          <w:kern w:val="0"/>
          <w:sz w:val="21"/>
          <w:szCs w:val="21"/>
        </w:rPr>
        <w:t>项</w:t>
      </w:r>
      <w:r>
        <w:rPr>
          <w:rFonts w:hint="eastAsia" w:ascii="宋体" w:hAnsi="宋体" w:eastAsia="宋体" w:cs="宋体"/>
          <w:b w:val="0"/>
          <w:color w:val="auto"/>
          <w:spacing w:val="-2"/>
          <w:kern w:val="0"/>
          <w:sz w:val="21"/>
          <w:szCs w:val="21"/>
        </w:rPr>
        <w:t>报</w:t>
      </w:r>
      <w:r>
        <w:rPr>
          <w:rFonts w:hint="eastAsia" w:ascii="宋体" w:hAnsi="宋体" w:eastAsia="宋体" w:cs="宋体"/>
          <w:b w:val="0"/>
          <w:color w:val="auto"/>
          <w:kern w:val="0"/>
          <w:sz w:val="21"/>
          <w:szCs w:val="21"/>
        </w:rPr>
        <w:t>价说明</w:t>
      </w:r>
      <w:bookmarkEnd w:id="1493"/>
      <w:r>
        <w:rPr>
          <w:rFonts w:hint="eastAsia" w:ascii="宋体" w:hAnsi="宋体" w:eastAsia="宋体" w:cs="宋体"/>
          <w:b w:val="0"/>
          <w:color w:val="auto"/>
          <w:kern w:val="0"/>
          <w:sz w:val="21"/>
          <w:szCs w:val="21"/>
        </w:rPr>
        <w:t xml:space="preserve">  </w:t>
      </w:r>
    </w:p>
    <w:p w14:paraId="6F6663D1">
      <w:pPr>
        <w:autoSpaceDE w:val="0"/>
        <w:autoSpaceDN w:val="0"/>
        <w:adjustRightInd w:val="0"/>
        <w:snapToGrid w:val="0"/>
        <w:spacing w:line="360" w:lineRule="auto"/>
        <w:jc w:val="center"/>
        <w:rPr>
          <w:rFonts w:hint="eastAsia" w:ascii="宋体" w:hAnsi="宋体" w:eastAsia="宋体" w:cs="宋体"/>
          <w:b/>
          <w:color w:val="auto"/>
          <w:kern w:val="0"/>
          <w:sz w:val="28"/>
          <w:szCs w:val="28"/>
        </w:rPr>
      </w:pPr>
      <w:r>
        <w:rPr>
          <w:rFonts w:hint="eastAsia" w:ascii="宋体" w:hAnsi="宋体" w:eastAsia="宋体" w:cs="宋体"/>
          <w:b/>
          <w:color w:val="auto"/>
          <w:spacing w:val="-2"/>
          <w:kern w:val="0"/>
          <w:sz w:val="28"/>
          <w:szCs w:val="28"/>
        </w:rPr>
        <w:t>分</w:t>
      </w:r>
      <w:r>
        <w:rPr>
          <w:rFonts w:hint="eastAsia" w:ascii="宋体" w:hAnsi="宋体" w:eastAsia="宋体" w:cs="宋体"/>
          <w:b/>
          <w:color w:val="auto"/>
          <w:kern w:val="0"/>
          <w:sz w:val="28"/>
          <w:szCs w:val="28"/>
        </w:rPr>
        <w:t>项</w:t>
      </w:r>
      <w:r>
        <w:rPr>
          <w:rFonts w:hint="eastAsia" w:ascii="宋体" w:hAnsi="宋体" w:eastAsia="宋体" w:cs="宋体"/>
          <w:b/>
          <w:color w:val="auto"/>
          <w:spacing w:val="-2"/>
          <w:kern w:val="0"/>
          <w:sz w:val="28"/>
          <w:szCs w:val="28"/>
        </w:rPr>
        <w:t>报</w:t>
      </w:r>
      <w:r>
        <w:rPr>
          <w:rFonts w:hint="eastAsia" w:ascii="宋体" w:hAnsi="宋体" w:eastAsia="宋体" w:cs="宋体"/>
          <w:b/>
          <w:color w:val="auto"/>
          <w:kern w:val="0"/>
          <w:sz w:val="28"/>
          <w:szCs w:val="28"/>
        </w:rPr>
        <w:t>价说明</w:t>
      </w:r>
    </w:p>
    <w:p w14:paraId="5C6FA4EA">
      <w:pPr>
        <w:autoSpaceDE w:val="0"/>
        <w:autoSpaceDN w:val="0"/>
        <w:adjustRightInd w:val="0"/>
        <w:snapToGrid w:val="0"/>
        <w:spacing w:line="360" w:lineRule="auto"/>
        <w:jc w:val="left"/>
        <w:rPr>
          <w:rFonts w:hint="eastAsia" w:ascii="宋体" w:hAnsi="宋体" w:eastAsia="宋体" w:cs="宋体"/>
          <w:color w:val="auto"/>
          <w:kern w:val="0"/>
          <w:szCs w:val="21"/>
        </w:rPr>
      </w:pPr>
      <w:r>
        <w:rPr>
          <w:rFonts w:hint="eastAsia" w:ascii="宋体" w:hAnsi="宋体" w:eastAsia="宋体" w:cs="宋体"/>
          <w:color w:val="auto"/>
          <w:kern w:val="0"/>
          <w:szCs w:val="21"/>
        </w:rPr>
        <w:t>备注：投标人应按招标文件第二章相关要求，对本节</w:t>
      </w:r>
      <w:r>
        <w:rPr>
          <w:rFonts w:hint="eastAsia" w:ascii="宋体" w:hAnsi="宋体" w:eastAsia="宋体" w:cs="宋体"/>
          <w:bCs/>
          <w:color w:val="auto"/>
          <w:szCs w:val="21"/>
        </w:rPr>
        <w:t>“</w:t>
      </w:r>
      <w:r>
        <w:rPr>
          <w:rFonts w:hint="eastAsia" w:ascii="宋体" w:hAnsi="宋体" w:eastAsia="宋体" w:cs="宋体"/>
          <w:color w:val="auto"/>
          <w:kern w:val="0"/>
          <w:szCs w:val="21"/>
        </w:rPr>
        <w:t>分项报价明细表</w:t>
      </w:r>
      <w:r>
        <w:rPr>
          <w:rFonts w:hint="eastAsia" w:ascii="宋体" w:hAnsi="宋体" w:eastAsia="宋体" w:cs="宋体"/>
          <w:bCs/>
          <w:color w:val="auto"/>
          <w:szCs w:val="21"/>
        </w:rPr>
        <w:t>”进行</w:t>
      </w:r>
      <w:r>
        <w:rPr>
          <w:rFonts w:hint="eastAsia" w:ascii="宋体" w:hAnsi="宋体" w:eastAsia="宋体" w:cs="宋体"/>
          <w:color w:val="auto"/>
          <w:kern w:val="0"/>
          <w:szCs w:val="21"/>
        </w:rPr>
        <w:t>编制，并说明。</w:t>
      </w:r>
    </w:p>
    <w:p w14:paraId="0C45CE3A">
      <w:pPr>
        <w:pStyle w:val="6"/>
        <w:jc w:val="left"/>
        <w:rPr>
          <w:rFonts w:hint="eastAsia" w:ascii="宋体" w:hAnsi="宋体" w:eastAsia="宋体" w:cs="宋体"/>
          <w:b w:val="0"/>
          <w:color w:val="auto"/>
          <w:kern w:val="0"/>
          <w:sz w:val="21"/>
          <w:szCs w:val="21"/>
        </w:rPr>
      </w:pPr>
      <w:bookmarkStart w:id="1494" w:name="_Toc2419"/>
      <w:r>
        <w:rPr>
          <w:rFonts w:hint="eastAsia" w:ascii="宋体" w:hAnsi="宋体" w:eastAsia="宋体" w:cs="宋体"/>
          <w:b w:val="0"/>
          <w:bCs w:val="0"/>
          <w:color w:val="auto"/>
          <w:spacing w:val="6"/>
          <w:kern w:val="0"/>
          <w:sz w:val="21"/>
          <w:szCs w:val="21"/>
        </w:rPr>
        <w:t xml:space="preserve">附件6-2 </w:t>
      </w:r>
      <w:r>
        <w:rPr>
          <w:rFonts w:hint="eastAsia" w:ascii="宋体" w:hAnsi="宋体" w:eastAsia="宋体" w:cs="宋体"/>
          <w:b w:val="0"/>
          <w:color w:val="auto"/>
          <w:spacing w:val="-2"/>
          <w:kern w:val="0"/>
          <w:position w:val="-3"/>
          <w:sz w:val="21"/>
          <w:szCs w:val="21"/>
        </w:rPr>
        <w:t>分</w:t>
      </w:r>
      <w:r>
        <w:rPr>
          <w:rFonts w:hint="eastAsia" w:ascii="宋体" w:hAnsi="宋体" w:eastAsia="宋体" w:cs="宋体"/>
          <w:b w:val="0"/>
          <w:color w:val="auto"/>
          <w:kern w:val="0"/>
          <w:position w:val="-3"/>
          <w:sz w:val="21"/>
          <w:szCs w:val="21"/>
        </w:rPr>
        <w:t>项</w:t>
      </w:r>
      <w:r>
        <w:rPr>
          <w:rFonts w:hint="eastAsia" w:ascii="宋体" w:hAnsi="宋体" w:eastAsia="宋体" w:cs="宋体"/>
          <w:b w:val="0"/>
          <w:color w:val="auto"/>
          <w:spacing w:val="-2"/>
          <w:kern w:val="0"/>
          <w:position w:val="-3"/>
          <w:sz w:val="21"/>
          <w:szCs w:val="21"/>
        </w:rPr>
        <w:t>报</w:t>
      </w:r>
      <w:r>
        <w:rPr>
          <w:rFonts w:hint="eastAsia" w:ascii="宋体" w:hAnsi="宋体" w:eastAsia="宋体" w:cs="宋体"/>
          <w:b w:val="0"/>
          <w:color w:val="auto"/>
          <w:kern w:val="0"/>
          <w:position w:val="-3"/>
          <w:sz w:val="21"/>
          <w:szCs w:val="21"/>
        </w:rPr>
        <w:t>价明细表</w:t>
      </w:r>
      <w:bookmarkEnd w:id="1494"/>
    </w:p>
    <w:p w14:paraId="402598DA">
      <w:pPr>
        <w:adjustRightInd w:val="0"/>
        <w:snapToGrid w:val="0"/>
        <w:spacing w:line="360" w:lineRule="auto"/>
        <w:jc w:val="center"/>
        <w:rPr>
          <w:rFonts w:hint="eastAsia" w:ascii="宋体" w:hAnsi="宋体" w:eastAsia="宋体" w:cs="宋体"/>
          <w:b/>
          <w:color w:val="auto"/>
          <w:kern w:val="0"/>
          <w:position w:val="-3"/>
          <w:sz w:val="28"/>
          <w:szCs w:val="28"/>
        </w:rPr>
      </w:pPr>
      <w:r>
        <w:rPr>
          <w:rFonts w:hint="eastAsia" w:ascii="宋体" w:hAnsi="宋体" w:eastAsia="宋体" w:cs="宋体"/>
          <w:b/>
          <w:color w:val="auto"/>
          <w:spacing w:val="-2"/>
          <w:kern w:val="0"/>
          <w:position w:val="-3"/>
          <w:sz w:val="28"/>
          <w:szCs w:val="28"/>
        </w:rPr>
        <w:t>分</w:t>
      </w:r>
      <w:r>
        <w:rPr>
          <w:rFonts w:hint="eastAsia" w:ascii="宋体" w:hAnsi="宋体" w:eastAsia="宋体" w:cs="宋体"/>
          <w:b/>
          <w:color w:val="auto"/>
          <w:kern w:val="0"/>
          <w:position w:val="-3"/>
          <w:sz w:val="28"/>
          <w:szCs w:val="28"/>
        </w:rPr>
        <w:t>项</w:t>
      </w:r>
      <w:r>
        <w:rPr>
          <w:rFonts w:hint="eastAsia" w:ascii="宋体" w:hAnsi="宋体" w:eastAsia="宋体" w:cs="宋体"/>
          <w:b/>
          <w:color w:val="auto"/>
          <w:spacing w:val="-2"/>
          <w:kern w:val="0"/>
          <w:position w:val="-3"/>
          <w:sz w:val="28"/>
          <w:szCs w:val="28"/>
        </w:rPr>
        <w:t>报</w:t>
      </w:r>
      <w:r>
        <w:rPr>
          <w:rFonts w:hint="eastAsia" w:ascii="宋体" w:hAnsi="宋体" w:eastAsia="宋体" w:cs="宋体"/>
          <w:b/>
          <w:color w:val="auto"/>
          <w:kern w:val="0"/>
          <w:position w:val="-3"/>
          <w:sz w:val="28"/>
          <w:szCs w:val="28"/>
        </w:rPr>
        <w:t>价明细表</w:t>
      </w:r>
    </w:p>
    <w:p w14:paraId="4CB880B7">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政府采购计划编号：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5B26888D">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包号：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tbl>
      <w:tblPr>
        <w:tblStyle w:val="47"/>
        <w:tblW w:w="8874" w:type="dxa"/>
        <w:tblInd w:w="0" w:type="dxa"/>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3CA11C3F">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vAlign w:val="center"/>
          </w:tcPr>
          <w:p w14:paraId="32A084C3">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rPr>
            </w:pPr>
            <w:r>
              <w:rPr>
                <w:rFonts w:hint="eastAsia" w:ascii="宋体" w:hAnsi="宋体" w:eastAsia="宋体" w:cs="宋体"/>
                <w:color w:val="auto"/>
                <w:kern w:val="0"/>
                <w:position w:val="-1"/>
                <w:szCs w:val="21"/>
              </w:rPr>
              <w:t>标的名称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6BC5F354">
            <w:pPr>
              <w:autoSpaceDE w:val="0"/>
              <w:autoSpaceDN w:val="0"/>
              <w:adjustRightInd w:val="0"/>
              <w:snapToGrid w:val="0"/>
              <w:spacing w:line="360" w:lineRule="auto"/>
              <w:ind w:right="-20"/>
              <w:jc w:val="center"/>
              <w:rPr>
                <w:rFonts w:hint="eastAsia" w:ascii="宋体" w:hAnsi="宋体" w:eastAsia="宋体" w:cs="宋体"/>
                <w:color w:val="auto"/>
                <w:szCs w:val="21"/>
              </w:rPr>
            </w:pPr>
            <w:r>
              <w:rPr>
                <w:rFonts w:hint="eastAsia" w:ascii="宋体" w:hAnsi="宋体" w:eastAsia="宋体" w:cs="宋体"/>
                <w:color w:val="auto"/>
                <w:szCs w:val="21"/>
              </w:rPr>
              <w:t>规格型号</w:t>
            </w:r>
          </w:p>
          <w:p w14:paraId="7FD5166B">
            <w:pPr>
              <w:autoSpaceDE w:val="0"/>
              <w:autoSpaceDN w:val="0"/>
              <w:adjustRightInd w:val="0"/>
              <w:snapToGrid w:val="0"/>
              <w:spacing w:line="360" w:lineRule="auto"/>
              <w:ind w:right="-20"/>
              <w:jc w:val="center"/>
              <w:rPr>
                <w:rFonts w:hint="eastAsia" w:ascii="宋体" w:hAnsi="宋体" w:eastAsia="宋体" w:cs="宋体"/>
                <w:color w:val="auto"/>
                <w:szCs w:val="21"/>
              </w:rPr>
            </w:pPr>
            <w:r>
              <w:rPr>
                <w:rFonts w:hint="eastAsia" w:ascii="宋体" w:hAnsi="宋体" w:eastAsia="宋体" w:cs="宋体"/>
                <w:color w:val="auto"/>
                <w:szCs w:val="21"/>
              </w:rPr>
              <w:t>（或项目特征描述）</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503BFF06">
            <w:pPr>
              <w:autoSpaceDE w:val="0"/>
              <w:autoSpaceDN w:val="0"/>
              <w:adjustRightInd w:val="0"/>
              <w:snapToGrid w:val="0"/>
              <w:spacing w:line="360" w:lineRule="auto"/>
              <w:ind w:right="-20"/>
              <w:jc w:val="center"/>
              <w:rPr>
                <w:rFonts w:hint="eastAsia" w:ascii="宋体" w:hAnsi="宋体" w:eastAsia="宋体" w:cs="宋体"/>
                <w:color w:val="auto"/>
                <w:szCs w:val="21"/>
              </w:rPr>
            </w:pPr>
            <w:r>
              <w:rPr>
                <w:rFonts w:hint="eastAsia" w:ascii="宋体" w:hAnsi="宋体" w:eastAsia="宋体" w:cs="宋体"/>
                <w:color w:val="auto"/>
                <w:szCs w:val="21"/>
              </w:rPr>
              <w:t>品牌/产地</w:t>
            </w:r>
          </w:p>
        </w:tc>
        <w:tc>
          <w:tcPr>
            <w:tcW w:w="1092" w:type="dxa"/>
            <w:vMerge w:val="restart"/>
            <w:tcBorders>
              <w:top w:val="double" w:color="auto" w:sz="4" w:space="0"/>
              <w:left w:val="single" w:color="auto" w:sz="6" w:space="0"/>
              <w:right w:val="single" w:color="auto" w:sz="4" w:space="0"/>
            </w:tcBorders>
            <w:vAlign w:val="center"/>
          </w:tcPr>
          <w:p w14:paraId="28EDFC47">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rPr>
            </w:pPr>
            <w:r>
              <w:rPr>
                <w:rFonts w:hint="eastAsia" w:ascii="宋体" w:hAnsi="宋体" w:eastAsia="宋体" w:cs="宋体"/>
                <w:color w:val="auto"/>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12E7D4A3">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rPr>
            </w:pPr>
            <w:r>
              <w:rPr>
                <w:rFonts w:hint="eastAsia" w:ascii="宋体" w:hAnsi="宋体" w:eastAsia="宋体" w:cs="宋体"/>
                <w:color w:val="auto"/>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vAlign w:val="center"/>
          </w:tcPr>
          <w:p w14:paraId="75931AE3">
            <w:pPr>
              <w:autoSpaceDE w:val="0"/>
              <w:autoSpaceDN w:val="0"/>
              <w:adjustRightInd w:val="0"/>
              <w:snapToGrid w:val="0"/>
              <w:spacing w:line="360" w:lineRule="auto"/>
              <w:ind w:right="-20"/>
              <w:jc w:val="center"/>
              <w:rPr>
                <w:rFonts w:hint="eastAsia" w:ascii="宋体" w:hAnsi="宋体" w:eastAsia="宋体" w:cs="宋体"/>
                <w:color w:val="auto"/>
                <w:kern w:val="0"/>
                <w:position w:val="-1"/>
                <w:szCs w:val="21"/>
              </w:rPr>
            </w:pPr>
            <w:r>
              <w:rPr>
                <w:rFonts w:hint="eastAsia" w:ascii="宋体" w:hAnsi="宋体" w:eastAsia="宋体" w:cs="宋体"/>
                <w:color w:val="auto"/>
                <w:kern w:val="0"/>
                <w:position w:val="-1"/>
                <w:szCs w:val="21"/>
              </w:rPr>
              <w:t>备注</w:t>
            </w:r>
          </w:p>
        </w:tc>
      </w:tr>
      <w:tr w14:paraId="4206A421">
        <w:tblPrEx>
          <w:tblCellMar>
            <w:top w:w="0" w:type="dxa"/>
            <w:left w:w="0" w:type="dxa"/>
            <w:bottom w:w="0" w:type="dxa"/>
            <w:right w:w="0" w:type="dxa"/>
          </w:tblCellMar>
        </w:tblPrEx>
        <w:trPr>
          <w:trHeight w:val="415" w:hRule="exact"/>
        </w:trPr>
        <w:tc>
          <w:tcPr>
            <w:tcW w:w="1716" w:type="dxa"/>
            <w:gridSpan w:val="2"/>
            <w:vMerge w:val="continue"/>
            <w:tcBorders>
              <w:left w:val="double" w:color="auto" w:sz="4" w:space="0"/>
              <w:bottom w:val="single" w:color="auto" w:sz="6" w:space="0"/>
              <w:right w:val="single" w:color="auto" w:sz="6" w:space="0"/>
            </w:tcBorders>
          </w:tcPr>
          <w:p w14:paraId="4E754BB3">
            <w:pPr>
              <w:autoSpaceDE w:val="0"/>
              <w:autoSpaceDN w:val="0"/>
              <w:adjustRightInd w:val="0"/>
              <w:snapToGrid w:val="0"/>
              <w:spacing w:line="360" w:lineRule="auto"/>
              <w:ind w:left="352" w:right="-20"/>
              <w:jc w:val="left"/>
              <w:rPr>
                <w:rFonts w:hint="eastAsia" w:ascii="宋体" w:hAnsi="宋体" w:eastAsia="宋体" w:cs="宋体"/>
                <w:color w:val="auto"/>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3D0346CC">
            <w:pPr>
              <w:autoSpaceDE w:val="0"/>
              <w:autoSpaceDN w:val="0"/>
              <w:adjustRightInd w:val="0"/>
              <w:snapToGrid w:val="0"/>
              <w:spacing w:line="360" w:lineRule="auto"/>
              <w:ind w:right="-20"/>
              <w:jc w:val="center"/>
              <w:rPr>
                <w:rFonts w:hint="eastAsia" w:ascii="宋体" w:hAnsi="宋体" w:eastAsia="宋体" w:cs="宋体"/>
                <w:color w:val="auto"/>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2BE586F7">
            <w:pPr>
              <w:autoSpaceDE w:val="0"/>
              <w:autoSpaceDN w:val="0"/>
              <w:adjustRightInd w:val="0"/>
              <w:snapToGrid w:val="0"/>
              <w:spacing w:line="360" w:lineRule="auto"/>
              <w:ind w:right="-20"/>
              <w:jc w:val="center"/>
              <w:rPr>
                <w:rFonts w:hint="eastAsia" w:ascii="宋体" w:hAnsi="宋体" w:eastAsia="宋体" w:cs="宋体"/>
                <w:color w:val="auto"/>
                <w:kern w:val="0"/>
                <w:szCs w:val="21"/>
              </w:rPr>
            </w:pPr>
          </w:p>
        </w:tc>
        <w:tc>
          <w:tcPr>
            <w:tcW w:w="1092" w:type="dxa"/>
            <w:vMerge w:val="continue"/>
            <w:tcBorders>
              <w:left w:val="single" w:color="auto" w:sz="6" w:space="0"/>
              <w:bottom w:val="single" w:color="auto" w:sz="6" w:space="0"/>
              <w:right w:val="single" w:color="auto" w:sz="4" w:space="0"/>
            </w:tcBorders>
            <w:vAlign w:val="center"/>
          </w:tcPr>
          <w:p w14:paraId="60AA3DA6">
            <w:pPr>
              <w:autoSpaceDE w:val="0"/>
              <w:autoSpaceDN w:val="0"/>
              <w:adjustRightInd w:val="0"/>
              <w:snapToGrid w:val="0"/>
              <w:spacing w:line="360" w:lineRule="auto"/>
              <w:ind w:right="-20"/>
              <w:jc w:val="center"/>
              <w:rPr>
                <w:rFonts w:hint="eastAsia" w:ascii="宋体" w:hAnsi="宋体" w:eastAsia="宋体" w:cs="宋体"/>
                <w:color w:val="auto"/>
                <w:kern w:val="0"/>
                <w:szCs w:val="21"/>
              </w:rPr>
            </w:pPr>
          </w:p>
        </w:tc>
        <w:tc>
          <w:tcPr>
            <w:tcW w:w="910" w:type="dxa"/>
            <w:tcBorders>
              <w:top w:val="single" w:color="auto" w:sz="6" w:space="0"/>
              <w:left w:val="single" w:color="auto" w:sz="4" w:space="0"/>
              <w:bottom w:val="single" w:color="auto" w:sz="6" w:space="0"/>
              <w:right w:val="single" w:color="auto" w:sz="4" w:space="0"/>
            </w:tcBorders>
            <w:vAlign w:val="center"/>
          </w:tcPr>
          <w:p w14:paraId="373327AC">
            <w:pPr>
              <w:autoSpaceDE w:val="0"/>
              <w:autoSpaceDN w:val="0"/>
              <w:adjustRightInd w:val="0"/>
              <w:snapToGrid w:val="0"/>
              <w:spacing w:line="360" w:lineRule="auto"/>
              <w:ind w:right="-20"/>
              <w:jc w:val="center"/>
              <w:rPr>
                <w:rFonts w:hint="eastAsia" w:ascii="宋体" w:hAnsi="宋体" w:eastAsia="宋体" w:cs="宋体"/>
                <w:color w:val="auto"/>
                <w:kern w:val="0"/>
                <w:szCs w:val="21"/>
              </w:rPr>
            </w:pPr>
            <w:r>
              <w:rPr>
                <w:rFonts w:hint="eastAsia" w:ascii="宋体" w:hAnsi="宋体" w:eastAsia="宋体" w:cs="宋体"/>
                <w:color w:val="auto"/>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504A711D">
            <w:pPr>
              <w:autoSpaceDE w:val="0"/>
              <w:autoSpaceDN w:val="0"/>
              <w:adjustRightInd w:val="0"/>
              <w:snapToGrid w:val="0"/>
              <w:spacing w:line="360" w:lineRule="auto"/>
              <w:ind w:left="70" w:right="-20"/>
              <w:jc w:val="center"/>
              <w:rPr>
                <w:rFonts w:hint="eastAsia" w:ascii="宋体" w:hAnsi="宋体" w:eastAsia="宋体" w:cs="宋体"/>
                <w:color w:val="auto"/>
                <w:kern w:val="0"/>
                <w:szCs w:val="21"/>
              </w:rPr>
            </w:pPr>
            <w:r>
              <w:rPr>
                <w:rFonts w:hint="eastAsia" w:ascii="宋体" w:hAnsi="宋体" w:eastAsia="宋体" w:cs="宋体"/>
                <w:color w:val="auto"/>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tcPr>
          <w:p w14:paraId="615E61DC">
            <w:pPr>
              <w:autoSpaceDE w:val="0"/>
              <w:autoSpaceDN w:val="0"/>
              <w:adjustRightInd w:val="0"/>
              <w:snapToGrid w:val="0"/>
              <w:spacing w:line="360" w:lineRule="auto"/>
              <w:ind w:left="422" w:right="-20"/>
              <w:jc w:val="left"/>
              <w:rPr>
                <w:rFonts w:hint="eastAsia" w:ascii="宋体" w:hAnsi="宋体" w:eastAsia="宋体" w:cs="宋体"/>
                <w:color w:val="auto"/>
                <w:kern w:val="0"/>
                <w:szCs w:val="21"/>
              </w:rPr>
            </w:pPr>
          </w:p>
        </w:tc>
      </w:tr>
      <w:tr w14:paraId="7DFB8E4E">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vAlign w:val="center"/>
          </w:tcPr>
          <w:p w14:paraId="3EBB47C0">
            <w:pPr>
              <w:jc w:val="center"/>
              <w:rPr>
                <w:rFonts w:hint="eastAsia" w:ascii="宋体" w:hAnsi="宋体" w:eastAsia="宋体" w:cs="宋体"/>
                <w:color w:val="auto"/>
              </w:rPr>
            </w:pPr>
            <w:r>
              <w:rPr>
                <w:rFonts w:hint="eastAsia" w:ascii="宋体" w:hAnsi="宋体" w:eastAsia="宋体" w:cs="宋体"/>
                <w:color w:val="auto"/>
              </w:rPr>
              <w:t>1</w:t>
            </w:r>
          </w:p>
        </w:tc>
        <w:tc>
          <w:tcPr>
            <w:tcW w:w="1383" w:type="dxa"/>
            <w:tcBorders>
              <w:top w:val="single" w:color="auto" w:sz="6" w:space="0"/>
              <w:left w:val="single" w:color="auto" w:sz="6" w:space="0"/>
              <w:bottom w:val="single" w:color="auto" w:sz="6" w:space="0"/>
              <w:right w:val="single" w:color="auto" w:sz="6" w:space="0"/>
            </w:tcBorders>
            <w:vAlign w:val="center"/>
          </w:tcPr>
          <w:p w14:paraId="5E91161B">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2681F64D">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74D5ECC4">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29544A93">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tcPr>
          <w:p w14:paraId="22964452">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69F38CFB">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tcPr>
          <w:p w14:paraId="0327B026">
            <w:pPr>
              <w:autoSpaceDE w:val="0"/>
              <w:autoSpaceDN w:val="0"/>
              <w:adjustRightInd w:val="0"/>
              <w:snapToGrid w:val="0"/>
              <w:spacing w:line="360" w:lineRule="auto"/>
              <w:jc w:val="left"/>
              <w:rPr>
                <w:rFonts w:hint="eastAsia" w:ascii="宋体" w:hAnsi="宋体" w:eastAsia="宋体" w:cs="宋体"/>
                <w:color w:val="auto"/>
                <w:kern w:val="0"/>
                <w:szCs w:val="21"/>
              </w:rPr>
            </w:pPr>
          </w:p>
        </w:tc>
      </w:tr>
      <w:tr w14:paraId="7E505B6A">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10BC33E4">
            <w:pPr>
              <w:jc w:val="center"/>
              <w:rPr>
                <w:rFonts w:hint="eastAsia" w:ascii="宋体" w:hAnsi="宋体" w:eastAsia="宋体" w:cs="宋体"/>
                <w:color w:val="auto"/>
              </w:rPr>
            </w:pPr>
            <w:r>
              <w:rPr>
                <w:rFonts w:hint="eastAsia" w:ascii="宋体" w:hAnsi="宋体" w:eastAsia="宋体" w:cs="宋体"/>
                <w:color w:val="auto"/>
              </w:rPr>
              <w:t>2</w:t>
            </w:r>
          </w:p>
        </w:tc>
        <w:tc>
          <w:tcPr>
            <w:tcW w:w="1383" w:type="dxa"/>
            <w:tcBorders>
              <w:top w:val="single" w:color="auto" w:sz="6" w:space="0"/>
              <w:left w:val="single" w:color="auto" w:sz="6" w:space="0"/>
              <w:bottom w:val="single" w:color="auto" w:sz="6" w:space="0"/>
              <w:right w:val="single" w:color="auto" w:sz="6" w:space="0"/>
            </w:tcBorders>
            <w:vAlign w:val="center"/>
          </w:tcPr>
          <w:p w14:paraId="6A60F04F">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644E5FEF">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1A824EAF">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1CB2FBF6">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tcPr>
          <w:p w14:paraId="716B3F72">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58AEFD49">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tcPr>
          <w:p w14:paraId="4DD54E8E">
            <w:pPr>
              <w:autoSpaceDE w:val="0"/>
              <w:autoSpaceDN w:val="0"/>
              <w:adjustRightInd w:val="0"/>
              <w:snapToGrid w:val="0"/>
              <w:spacing w:line="360" w:lineRule="auto"/>
              <w:jc w:val="left"/>
              <w:rPr>
                <w:rFonts w:hint="eastAsia" w:ascii="宋体" w:hAnsi="宋体" w:eastAsia="宋体" w:cs="宋体"/>
                <w:color w:val="auto"/>
                <w:kern w:val="0"/>
                <w:szCs w:val="21"/>
              </w:rPr>
            </w:pPr>
          </w:p>
        </w:tc>
      </w:tr>
      <w:tr w14:paraId="3E6FB505">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0EDA0446">
            <w:pPr>
              <w:jc w:val="center"/>
              <w:rPr>
                <w:rFonts w:hint="eastAsia" w:ascii="宋体" w:hAnsi="宋体" w:eastAsia="宋体" w:cs="宋体"/>
                <w:color w:val="auto"/>
              </w:rPr>
            </w:pPr>
            <w:r>
              <w:rPr>
                <w:rFonts w:hint="eastAsia" w:ascii="宋体" w:hAnsi="宋体" w:eastAsia="宋体" w:cs="宋体"/>
                <w:color w:val="auto"/>
              </w:rPr>
              <w:t>3</w:t>
            </w:r>
          </w:p>
        </w:tc>
        <w:tc>
          <w:tcPr>
            <w:tcW w:w="1383" w:type="dxa"/>
            <w:tcBorders>
              <w:top w:val="single" w:color="auto" w:sz="6" w:space="0"/>
              <w:left w:val="single" w:color="auto" w:sz="6" w:space="0"/>
              <w:bottom w:val="single" w:color="auto" w:sz="6" w:space="0"/>
              <w:right w:val="single" w:color="auto" w:sz="6" w:space="0"/>
            </w:tcBorders>
            <w:vAlign w:val="center"/>
          </w:tcPr>
          <w:p w14:paraId="733C442B">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18EB15A3">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2FAD0B8A">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71DE18D2">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0" w:type="dxa"/>
            <w:tcBorders>
              <w:top w:val="single" w:color="auto" w:sz="6" w:space="0"/>
              <w:left w:val="single" w:color="auto" w:sz="6" w:space="0"/>
              <w:bottom w:val="single" w:color="auto" w:sz="6" w:space="0"/>
              <w:right w:val="single" w:color="auto" w:sz="6" w:space="0"/>
            </w:tcBorders>
          </w:tcPr>
          <w:p w14:paraId="39538B9C">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6CFC116F">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tcPr>
          <w:p w14:paraId="0A742BE4">
            <w:pPr>
              <w:autoSpaceDE w:val="0"/>
              <w:autoSpaceDN w:val="0"/>
              <w:adjustRightInd w:val="0"/>
              <w:snapToGrid w:val="0"/>
              <w:spacing w:line="360" w:lineRule="auto"/>
              <w:jc w:val="left"/>
              <w:rPr>
                <w:rFonts w:hint="eastAsia" w:ascii="宋体" w:hAnsi="宋体" w:eastAsia="宋体" w:cs="宋体"/>
                <w:color w:val="auto"/>
                <w:kern w:val="0"/>
                <w:szCs w:val="21"/>
              </w:rPr>
            </w:pPr>
          </w:p>
        </w:tc>
      </w:tr>
      <w:tr w14:paraId="633FE099">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DE9DFF0">
            <w:pPr>
              <w:jc w:val="center"/>
              <w:rPr>
                <w:rFonts w:hint="eastAsia" w:ascii="宋体" w:hAnsi="宋体" w:eastAsia="宋体" w:cs="宋体"/>
                <w:color w:val="auto"/>
              </w:rPr>
            </w:pPr>
            <w:r>
              <w:rPr>
                <w:rFonts w:hint="eastAsia" w:ascii="宋体" w:hAnsi="宋体" w:eastAsia="宋体" w:cs="宋体"/>
                <w:color w:val="auto"/>
              </w:rPr>
              <w:t>4</w:t>
            </w:r>
          </w:p>
        </w:tc>
        <w:tc>
          <w:tcPr>
            <w:tcW w:w="1383" w:type="dxa"/>
            <w:tcBorders>
              <w:top w:val="single" w:color="auto" w:sz="6" w:space="0"/>
              <w:left w:val="single" w:color="auto" w:sz="6" w:space="0"/>
              <w:bottom w:val="single" w:color="auto" w:sz="6" w:space="0"/>
              <w:right w:val="single" w:color="auto" w:sz="6" w:space="0"/>
            </w:tcBorders>
            <w:vAlign w:val="center"/>
          </w:tcPr>
          <w:p w14:paraId="3D1324CF">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6865D6B9">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0E183D0C">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2D55B5BD">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tcPr>
          <w:p w14:paraId="14EF245D">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0E5FD7EA">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tcPr>
          <w:p w14:paraId="01A0E033">
            <w:pPr>
              <w:autoSpaceDE w:val="0"/>
              <w:autoSpaceDN w:val="0"/>
              <w:adjustRightInd w:val="0"/>
              <w:snapToGrid w:val="0"/>
              <w:spacing w:line="360" w:lineRule="auto"/>
              <w:jc w:val="left"/>
              <w:rPr>
                <w:rFonts w:hint="eastAsia" w:ascii="宋体" w:hAnsi="宋体" w:eastAsia="宋体" w:cs="宋体"/>
                <w:color w:val="auto"/>
                <w:kern w:val="0"/>
                <w:szCs w:val="21"/>
              </w:rPr>
            </w:pPr>
          </w:p>
        </w:tc>
      </w:tr>
      <w:tr w14:paraId="7B150CAF">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32DCAA6">
            <w:pPr>
              <w:jc w:val="center"/>
              <w:rPr>
                <w:rFonts w:hint="eastAsia" w:ascii="宋体" w:hAnsi="宋体" w:eastAsia="宋体" w:cs="宋体"/>
                <w:color w:val="auto"/>
              </w:rPr>
            </w:pPr>
            <w:r>
              <w:rPr>
                <w:rFonts w:hint="eastAsia" w:ascii="宋体" w:hAnsi="宋体" w:eastAsia="宋体" w:cs="宋体"/>
                <w:color w:val="auto"/>
              </w:rPr>
              <w:t>5</w:t>
            </w:r>
          </w:p>
        </w:tc>
        <w:tc>
          <w:tcPr>
            <w:tcW w:w="1383" w:type="dxa"/>
            <w:tcBorders>
              <w:top w:val="single" w:color="auto" w:sz="6" w:space="0"/>
              <w:left w:val="single" w:color="auto" w:sz="6" w:space="0"/>
              <w:bottom w:val="single" w:color="auto" w:sz="6" w:space="0"/>
              <w:right w:val="single" w:color="auto" w:sz="6" w:space="0"/>
            </w:tcBorders>
            <w:vAlign w:val="center"/>
          </w:tcPr>
          <w:p w14:paraId="64F7CB59">
            <w:pPr>
              <w:autoSpaceDE w:val="0"/>
              <w:autoSpaceDN w:val="0"/>
              <w:adjustRightInd w:val="0"/>
              <w:snapToGrid w:val="0"/>
              <w:spacing w:line="360" w:lineRule="auto"/>
              <w:jc w:val="center"/>
              <w:rPr>
                <w:rFonts w:hint="eastAsia" w:ascii="宋体" w:hAnsi="宋体" w:eastAsia="宋体" w:cs="宋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62E11587">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2760085C">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4DE9BBEA">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tcPr>
          <w:p w14:paraId="1EF83825">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1D6FC41F">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tcPr>
          <w:p w14:paraId="1B51A46C">
            <w:pPr>
              <w:autoSpaceDE w:val="0"/>
              <w:autoSpaceDN w:val="0"/>
              <w:adjustRightInd w:val="0"/>
              <w:snapToGrid w:val="0"/>
              <w:spacing w:line="360" w:lineRule="auto"/>
              <w:jc w:val="left"/>
              <w:rPr>
                <w:rFonts w:hint="eastAsia" w:ascii="宋体" w:hAnsi="宋体" w:eastAsia="宋体" w:cs="宋体"/>
                <w:color w:val="auto"/>
                <w:kern w:val="0"/>
                <w:szCs w:val="21"/>
              </w:rPr>
            </w:pPr>
          </w:p>
        </w:tc>
      </w:tr>
      <w:tr w14:paraId="0F2AB41E">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243324C">
            <w:pPr>
              <w:jc w:val="center"/>
              <w:rPr>
                <w:rFonts w:hint="eastAsia" w:ascii="宋体" w:hAnsi="宋体" w:eastAsia="宋体" w:cs="宋体"/>
                <w:color w:val="auto"/>
              </w:rPr>
            </w:pPr>
            <w:r>
              <w:rPr>
                <w:rFonts w:hint="eastAsia" w:ascii="宋体" w:hAnsi="宋体" w:eastAsia="宋体" w:cs="宋体"/>
                <w:color w:val="auto"/>
              </w:rPr>
              <w:t>…</w:t>
            </w:r>
          </w:p>
        </w:tc>
        <w:tc>
          <w:tcPr>
            <w:tcW w:w="1383" w:type="dxa"/>
            <w:tcBorders>
              <w:top w:val="single" w:color="auto" w:sz="6" w:space="0"/>
              <w:left w:val="single" w:color="auto" w:sz="6" w:space="0"/>
              <w:bottom w:val="single" w:color="auto" w:sz="6" w:space="0"/>
              <w:right w:val="single" w:color="auto" w:sz="6" w:space="0"/>
            </w:tcBorders>
          </w:tcPr>
          <w:p w14:paraId="113CF1F6">
            <w:pPr>
              <w:autoSpaceDE w:val="0"/>
              <w:autoSpaceDN w:val="0"/>
              <w:adjustRightInd w:val="0"/>
              <w:snapToGrid w:val="0"/>
              <w:spacing w:line="360" w:lineRule="auto"/>
              <w:ind w:left="527" w:right="507"/>
              <w:jc w:val="center"/>
              <w:rPr>
                <w:rFonts w:hint="eastAsia" w:ascii="宋体" w:hAnsi="宋体" w:eastAsia="宋体" w:cs="宋体"/>
                <w:color w:val="auto"/>
                <w:kern w:val="0"/>
                <w:szCs w:val="21"/>
              </w:rPr>
            </w:pPr>
          </w:p>
        </w:tc>
        <w:tc>
          <w:tcPr>
            <w:tcW w:w="2126" w:type="dxa"/>
            <w:tcBorders>
              <w:top w:val="single" w:color="auto" w:sz="6" w:space="0"/>
              <w:left w:val="single" w:color="auto" w:sz="6" w:space="0"/>
              <w:bottom w:val="single" w:color="auto" w:sz="6" w:space="0"/>
              <w:right w:val="single" w:color="auto" w:sz="4" w:space="0"/>
            </w:tcBorders>
          </w:tcPr>
          <w:p w14:paraId="2CCF53FE">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1200" w:type="dxa"/>
            <w:tcBorders>
              <w:top w:val="single" w:color="auto" w:sz="6" w:space="0"/>
              <w:left w:val="single" w:color="auto" w:sz="4" w:space="0"/>
              <w:bottom w:val="single" w:color="auto" w:sz="6" w:space="0"/>
              <w:right w:val="single" w:color="auto" w:sz="6" w:space="0"/>
            </w:tcBorders>
          </w:tcPr>
          <w:p w14:paraId="163CCFF2">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1092" w:type="dxa"/>
            <w:tcBorders>
              <w:top w:val="single" w:color="auto" w:sz="6" w:space="0"/>
              <w:left w:val="single" w:color="auto" w:sz="6" w:space="0"/>
              <w:bottom w:val="single" w:color="auto" w:sz="6" w:space="0"/>
              <w:right w:val="single" w:color="auto" w:sz="4" w:space="0"/>
            </w:tcBorders>
          </w:tcPr>
          <w:p w14:paraId="07108E64">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0" w:type="dxa"/>
            <w:tcBorders>
              <w:top w:val="single" w:color="auto" w:sz="6" w:space="0"/>
              <w:left w:val="single" w:color="auto" w:sz="4" w:space="0"/>
              <w:bottom w:val="single" w:color="auto" w:sz="6" w:space="0"/>
              <w:right w:val="single" w:color="auto" w:sz="6" w:space="0"/>
            </w:tcBorders>
          </w:tcPr>
          <w:p w14:paraId="62D18655">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6" w:type="dxa"/>
            <w:tcBorders>
              <w:top w:val="single" w:color="auto" w:sz="6" w:space="0"/>
              <w:left w:val="single" w:color="auto" w:sz="6" w:space="0"/>
              <w:bottom w:val="single" w:color="auto" w:sz="6" w:space="0"/>
              <w:right w:val="single" w:color="auto" w:sz="6" w:space="0"/>
            </w:tcBorders>
          </w:tcPr>
          <w:p w14:paraId="33E1B154">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4" w:type="dxa"/>
            <w:tcBorders>
              <w:top w:val="single" w:color="auto" w:sz="6" w:space="0"/>
              <w:left w:val="single" w:color="auto" w:sz="6" w:space="0"/>
              <w:bottom w:val="single" w:color="auto" w:sz="6" w:space="0"/>
              <w:right w:val="double" w:color="auto" w:sz="4" w:space="0"/>
            </w:tcBorders>
          </w:tcPr>
          <w:p w14:paraId="0C6F9FD4">
            <w:pPr>
              <w:autoSpaceDE w:val="0"/>
              <w:autoSpaceDN w:val="0"/>
              <w:adjustRightInd w:val="0"/>
              <w:snapToGrid w:val="0"/>
              <w:spacing w:line="360" w:lineRule="auto"/>
              <w:jc w:val="left"/>
              <w:rPr>
                <w:rFonts w:hint="eastAsia" w:ascii="宋体" w:hAnsi="宋体" w:eastAsia="宋体" w:cs="宋体"/>
                <w:color w:val="auto"/>
                <w:kern w:val="0"/>
                <w:szCs w:val="21"/>
              </w:rPr>
            </w:pPr>
          </w:p>
        </w:tc>
      </w:tr>
      <w:tr w14:paraId="433DFAB7">
        <w:tblPrEx>
          <w:tblCellMar>
            <w:top w:w="0" w:type="dxa"/>
            <w:left w:w="0" w:type="dxa"/>
            <w:bottom w:w="0" w:type="dxa"/>
            <w:right w:w="0" w:type="dxa"/>
          </w:tblCellMar>
        </w:tblPrEx>
        <w:trPr>
          <w:trHeight w:val="415" w:hRule="exact"/>
        </w:trPr>
        <w:tc>
          <w:tcPr>
            <w:tcW w:w="7044" w:type="dxa"/>
            <w:gridSpan w:val="6"/>
            <w:tcBorders>
              <w:top w:val="single" w:color="auto" w:sz="6" w:space="0"/>
              <w:left w:val="double" w:color="auto" w:sz="4" w:space="0"/>
              <w:bottom w:val="double" w:color="auto" w:sz="4" w:space="0"/>
              <w:right w:val="single" w:color="auto" w:sz="6" w:space="0"/>
            </w:tcBorders>
            <w:vAlign w:val="center"/>
          </w:tcPr>
          <w:p w14:paraId="5C9C491A">
            <w:pPr>
              <w:autoSpaceDE w:val="0"/>
              <w:autoSpaceDN w:val="0"/>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position w:val="-1"/>
                <w:szCs w:val="21"/>
              </w:rPr>
              <w:t>投标报价（元）：</w:t>
            </w:r>
          </w:p>
        </w:tc>
        <w:tc>
          <w:tcPr>
            <w:tcW w:w="916" w:type="dxa"/>
            <w:tcBorders>
              <w:top w:val="single" w:color="auto" w:sz="6" w:space="0"/>
              <w:left w:val="single" w:color="auto" w:sz="6" w:space="0"/>
              <w:bottom w:val="double" w:color="auto" w:sz="4" w:space="0"/>
              <w:right w:val="single" w:color="auto" w:sz="6" w:space="0"/>
            </w:tcBorders>
          </w:tcPr>
          <w:p w14:paraId="75ACD85D">
            <w:pPr>
              <w:autoSpaceDE w:val="0"/>
              <w:autoSpaceDN w:val="0"/>
              <w:adjustRightInd w:val="0"/>
              <w:snapToGrid w:val="0"/>
              <w:spacing w:line="360" w:lineRule="auto"/>
              <w:jc w:val="left"/>
              <w:rPr>
                <w:rFonts w:hint="eastAsia" w:ascii="宋体" w:hAnsi="宋体" w:eastAsia="宋体" w:cs="宋体"/>
                <w:color w:val="auto"/>
                <w:kern w:val="0"/>
                <w:szCs w:val="21"/>
              </w:rPr>
            </w:pPr>
          </w:p>
        </w:tc>
        <w:tc>
          <w:tcPr>
            <w:tcW w:w="914" w:type="dxa"/>
            <w:tcBorders>
              <w:top w:val="single" w:color="auto" w:sz="6" w:space="0"/>
              <w:left w:val="single" w:color="auto" w:sz="6" w:space="0"/>
              <w:bottom w:val="double" w:color="auto" w:sz="4" w:space="0"/>
              <w:right w:val="double" w:color="auto" w:sz="4" w:space="0"/>
            </w:tcBorders>
          </w:tcPr>
          <w:p w14:paraId="06EBB6DD">
            <w:pPr>
              <w:autoSpaceDE w:val="0"/>
              <w:autoSpaceDN w:val="0"/>
              <w:adjustRightInd w:val="0"/>
              <w:snapToGrid w:val="0"/>
              <w:spacing w:line="360" w:lineRule="auto"/>
              <w:jc w:val="left"/>
              <w:rPr>
                <w:rFonts w:hint="eastAsia" w:ascii="宋体" w:hAnsi="宋体" w:eastAsia="宋体" w:cs="宋体"/>
                <w:color w:val="auto"/>
                <w:kern w:val="0"/>
                <w:szCs w:val="21"/>
              </w:rPr>
            </w:pPr>
          </w:p>
        </w:tc>
      </w:tr>
    </w:tbl>
    <w:p w14:paraId="41291057">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注：1.</w:t>
      </w:r>
      <w:r>
        <w:rPr>
          <w:rFonts w:hint="eastAsia" w:ascii="宋体" w:hAnsi="宋体" w:eastAsia="宋体" w:cs="宋体"/>
          <w:b/>
          <w:color w:val="auto"/>
          <w:szCs w:val="21"/>
        </w:rPr>
        <w:t>本表应对应</w:t>
      </w:r>
      <w:r>
        <w:rPr>
          <w:rFonts w:hint="eastAsia" w:ascii="宋体" w:hAnsi="宋体" w:eastAsia="宋体" w:cs="宋体"/>
          <w:color w:val="auto"/>
          <w:szCs w:val="21"/>
        </w:rPr>
        <w:t>“</w:t>
      </w:r>
      <w:r>
        <w:rPr>
          <w:rFonts w:hint="eastAsia" w:ascii="宋体" w:hAnsi="宋体" w:eastAsia="宋体" w:cs="宋体"/>
          <w:b/>
          <w:color w:val="auto"/>
          <w:szCs w:val="21"/>
        </w:rPr>
        <w:t>开标一览表</w:t>
      </w:r>
      <w:r>
        <w:rPr>
          <w:rFonts w:hint="eastAsia" w:ascii="宋体" w:hAnsi="宋体" w:eastAsia="宋体" w:cs="宋体"/>
          <w:color w:val="auto"/>
          <w:szCs w:val="21"/>
        </w:rPr>
        <w:t>”</w:t>
      </w:r>
      <w:r>
        <w:rPr>
          <w:rFonts w:hint="eastAsia" w:ascii="宋体" w:hAnsi="宋体" w:eastAsia="宋体" w:cs="宋体"/>
          <w:b/>
          <w:color w:val="auto"/>
          <w:szCs w:val="21"/>
        </w:rPr>
        <w:t>，按包填写</w:t>
      </w:r>
      <w:r>
        <w:rPr>
          <w:rFonts w:hint="eastAsia" w:ascii="宋体" w:hAnsi="宋体" w:eastAsia="宋体" w:cs="宋体"/>
          <w:color w:val="auto"/>
          <w:szCs w:val="21"/>
        </w:rPr>
        <w:t>。投标人如果不提供分项报价明细表，其</w:t>
      </w:r>
      <w:r>
        <w:rPr>
          <w:rFonts w:hint="eastAsia" w:ascii="宋体" w:hAnsi="宋体" w:eastAsia="宋体" w:cs="宋体"/>
          <w:b/>
          <w:color w:val="auto"/>
          <w:szCs w:val="21"/>
        </w:rPr>
        <w:t>投标无效</w:t>
      </w:r>
      <w:r>
        <w:rPr>
          <w:rFonts w:hint="eastAsia" w:ascii="宋体" w:hAnsi="宋体" w:eastAsia="宋体" w:cs="宋体"/>
          <w:color w:val="auto"/>
          <w:szCs w:val="21"/>
        </w:rPr>
        <w:t>。</w:t>
      </w:r>
    </w:p>
    <w:p w14:paraId="62A4FB73">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2.不得填写“免费”或“赠与”否则</w:t>
      </w:r>
      <w:r>
        <w:rPr>
          <w:rFonts w:hint="eastAsia" w:ascii="宋体" w:hAnsi="宋体" w:eastAsia="宋体" w:cs="宋体"/>
          <w:b/>
          <w:color w:val="auto"/>
          <w:szCs w:val="21"/>
        </w:rPr>
        <w:t>投标无效</w:t>
      </w:r>
      <w:r>
        <w:rPr>
          <w:rFonts w:hint="eastAsia" w:ascii="宋体" w:hAnsi="宋体" w:eastAsia="宋体" w:cs="宋体"/>
          <w:color w:val="auto"/>
          <w:szCs w:val="21"/>
        </w:rPr>
        <w:t>。</w:t>
      </w:r>
    </w:p>
    <w:p w14:paraId="2EEFB2CB">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3.如果开标一览表内容与本表内容不一致的，以开标一览表内容为准。</w:t>
      </w:r>
    </w:p>
    <w:p w14:paraId="6BD5DD2B">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color w:val="auto"/>
          <w:szCs w:val="21"/>
        </w:rPr>
        <w:t>4.</w:t>
      </w:r>
      <w:r>
        <w:rPr>
          <w:rFonts w:hint="eastAsia" w:ascii="宋体" w:hAnsi="宋体" w:eastAsia="宋体" w:cs="宋体"/>
          <w:bCs/>
          <w:color w:val="auto"/>
          <w:szCs w:val="21"/>
        </w:rPr>
        <w:t>投标人在投标截止时间前修改“开标一览表”中的投标报价的，应按第二章第13.7款规定修改本表相应内容。否则，</w:t>
      </w:r>
      <w:r>
        <w:rPr>
          <w:rFonts w:hint="eastAsia" w:ascii="宋体" w:hAnsi="宋体" w:eastAsia="宋体" w:cs="宋体"/>
          <w:color w:val="auto"/>
          <w:szCs w:val="21"/>
        </w:rPr>
        <w:t>本表相应内容按投标报价修改的相同比例进行调整。</w:t>
      </w:r>
    </w:p>
    <w:p w14:paraId="219628F0">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投标人名称（盖单位章）：</w:t>
      </w:r>
    </w:p>
    <w:p w14:paraId="5317D315">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pacing w:val="-2"/>
          <w:kern w:val="0"/>
          <w:szCs w:val="21"/>
        </w:rPr>
        <w:t>法</w:t>
      </w:r>
      <w:r>
        <w:rPr>
          <w:rFonts w:hint="eastAsia" w:ascii="宋体" w:hAnsi="宋体" w:eastAsia="宋体" w:cs="宋体"/>
          <w:color w:val="auto"/>
          <w:kern w:val="0"/>
          <w:szCs w:val="21"/>
        </w:rPr>
        <w:t>定</w:t>
      </w:r>
      <w:r>
        <w:rPr>
          <w:rFonts w:hint="eastAsia" w:ascii="宋体" w:hAnsi="宋体" w:eastAsia="宋体" w:cs="宋体"/>
          <w:color w:val="auto"/>
          <w:spacing w:val="-2"/>
          <w:kern w:val="0"/>
          <w:szCs w:val="21"/>
        </w:rPr>
        <w:t>代</w:t>
      </w:r>
      <w:r>
        <w:rPr>
          <w:rFonts w:hint="eastAsia" w:ascii="宋体" w:hAnsi="宋体" w:eastAsia="宋体" w:cs="宋体"/>
          <w:color w:val="auto"/>
          <w:kern w:val="0"/>
          <w:szCs w:val="21"/>
        </w:rPr>
        <w:t>表</w:t>
      </w:r>
      <w:r>
        <w:rPr>
          <w:rFonts w:hint="eastAsia" w:ascii="宋体" w:hAnsi="宋体" w:eastAsia="宋体" w:cs="宋体"/>
          <w:color w:val="auto"/>
          <w:spacing w:val="-2"/>
          <w:kern w:val="0"/>
          <w:szCs w:val="21"/>
        </w:rPr>
        <w:t>人</w:t>
      </w:r>
      <w:r>
        <w:rPr>
          <w:rFonts w:hint="eastAsia" w:ascii="宋体" w:hAnsi="宋体" w:eastAsia="宋体" w:cs="宋体"/>
          <w:color w:val="auto"/>
          <w:kern w:val="0"/>
          <w:szCs w:val="21"/>
        </w:rPr>
        <w:t>（</w:t>
      </w:r>
      <w:r>
        <w:rPr>
          <w:rFonts w:hint="eastAsia" w:ascii="宋体" w:hAnsi="宋体" w:eastAsia="宋体" w:cs="宋体"/>
          <w:color w:val="auto"/>
          <w:spacing w:val="-2"/>
          <w:kern w:val="0"/>
          <w:szCs w:val="21"/>
        </w:rPr>
        <w:t>单</w:t>
      </w:r>
      <w:r>
        <w:rPr>
          <w:rFonts w:hint="eastAsia" w:ascii="宋体" w:hAnsi="宋体" w:eastAsia="宋体" w:cs="宋体"/>
          <w:color w:val="auto"/>
          <w:kern w:val="0"/>
          <w:szCs w:val="21"/>
        </w:rPr>
        <w:t>位</w:t>
      </w:r>
      <w:r>
        <w:rPr>
          <w:rFonts w:hint="eastAsia" w:ascii="宋体" w:hAnsi="宋体" w:eastAsia="宋体" w:cs="宋体"/>
          <w:color w:val="auto"/>
          <w:spacing w:val="-2"/>
          <w:kern w:val="0"/>
          <w:szCs w:val="21"/>
        </w:rPr>
        <w:t>负</w:t>
      </w:r>
      <w:r>
        <w:rPr>
          <w:rFonts w:hint="eastAsia" w:ascii="宋体" w:hAnsi="宋体" w:eastAsia="宋体" w:cs="宋体"/>
          <w:color w:val="auto"/>
          <w:kern w:val="0"/>
          <w:szCs w:val="21"/>
        </w:rPr>
        <w:t>责人</w:t>
      </w:r>
      <w:r>
        <w:rPr>
          <w:rFonts w:hint="eastAsia" w:ascii="宋体" w:hAnsi="宋体" w:eastAsia="宋体" w:cs="宋体"/>
          <w:color w:val="auto"/>
          <w:spacing w:val="-2"/>
          <w:kern w:val="0"/>
          <w:szCs w:val="21"/>
        </w:rPr>
        <w:t>）</w:t>
      </w:r>
      <w:r>
        <w:rPr>
          <w:rFonts w:hint="eastAsia" w:ascii="宋体" w:hAnsi="宋体" w:eastAsia="宋体" w:cs="宋体"/>
          <w:color w:val="auto"/>
          <w:szCs w:val="21"/>
        </w:rPr>
        <w:t>或其授权的代理人（签字或印章）：</w:t>
      </w:r>
      <w:r>
        <w:rPr>
          <w:rFonts w:hint="eastAsia" w:ascii="宋体" w:hAnsi="宋体" w:eastAsia="宋体" w:cs="宋体"/>
          <w:color w:val="auto"/>
          <w:szCs w:val="21"/>
          <w:u w:val="single"/>
        </w:rPr>
        <w:t xml:space="preserve">       </w:t>
      </w:r>
    </w:p>
    <w:p w14:paraId="4D48486B">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64A6A51B">
      <w:pPr>
        <w:adjustRightInd w:val="0"/>
        <w:snapToGrid w:val="0"/>
        <w:spacing w:line="360" w:lineRule="auto"/>
        <w:rPr>
          <w:rFonts w:hint="eastAsia" w:ascii="宋体" w:hAnsi="宋体" w:eastAsia="宋体" w:cs="宋体"/>
          <w:color w:val="auto"/>
          <w:szCs w:val="21"/>
        </w:rPr>
        <w:sectPr>
          <w:headerReference r:id="rId5" w:type="default"/>
          <w:footerReference r:id="rId6" w:type="default"/>
          <w:pgSz w:w="11906" w:h="16838"/>
          <w:pgMar w:top="1474" w:right="1474" w:bottom="1474" w:left="1587" w:header="851" w:footer="992" w:gutter="0"/>
          <w:pgBorders>
            <w:top w:val="none" w:sz="0" w:space="0"/>
            <w:left w:val="none" w:sz="0" w:space="0"/>
            <w:bottom w:val="none" w:sz="0" w:space="0"/>
            <w:right w:val="none" w:sz="0" w:space="0"/>
          </w:pgBorders>
          <w:cols w:space="0" w:num="1"/>
          <w:docGrid w:type="lines" w:linePitch="315" w:charSpace="0"/>
        </w:sectPr>
      </w:pPr>
    </w:p>
    <w:p w14:paraId="32ECC4D7">
      <w:pPr>
        <w:pStyle w:val="5"/>
        <w:adjustRightInd w:val="0"/>
        <w:snapToGrid w:val="0"/>
        <w:spacing w:before="0" w:after="0" w:line="360" w:lineRule="auto"/>
        <w:jc w:val="center"/>
        <w:rPr>
          <w:rFonts w:hint="eastAsia" w:ascii="宋体" w:hAnsi="宋体" w:eastAsia="宋体" w:cs="宋体"/>
          <w:color w:val="auto"/>
          <w:sz w:val="28"/>
          <w:szCs w:val="28"/>
        </w:rPr>
      </w:pPr>
      <w:bookmarkStart w:id="1495" w:name="_Toc899"/>
      <w:bookmarkStart w:id="1496" w:name="_Toc18202"/>
      <w:bookmarkStart w:id="1497" w:name="_Toc5608"/>
      <w:r>
        <w:rPr>
          <w:rFonts w:hint="eastAsia" w:ascii="宋体" w:hAnsi="宋体" w:eastAsia="宋体" w:cs="宋体"/>
          <w:color w:val="auto"/>
          <w:sz w:val="28"/>
          <w:szCs w:val="28"/>
        </w:rPr>
        <w:t>七、采购需求响应</w:t>
      </w:r>
      <w:bookmarkEnd w:id="1495"/>
      <w:bookmarkEnd w:id="1496"/>
      <w:bookmarkEnd w:id="1497"/>
    </w:p>
    <w:p w14:paraId="2A3CFE45">
      <w:pPr>
        <w:adjustRightInd w:val="0"/>
        <w:snapToGrid w:val="0"/>
        <w:spacing w:line="360" w:lineRule="auto"/>
        <w:rPr>
          <w:rFonts w:hint="eastAsia" w:ascii="宋体" w:hAnsi="宋体" w:eastAsia="宋体" w:cs="宋体"/>
          <w:b/>
          <w:color w:val="auto"/>
          <w:szCs w:val="21"/>
        </w:rPr>
      </w:pPr>
    </w:p>
    <w:p w14:paraId="73DD03F1">
      <w:pPr>
        <w:adjustRightInd w:val="0"/>
        <w:snapToGrid w:val="0"/>
        <w:spacing w:line="360" w:lineRule="auto"/>
        <w:rPr>
          <w:rFonts w:hint="eastAsia" w:ascii="宋体" w:hAnsi="宋体" w:eastAsia="宋体" w:cs="宋体"/>
          <w:b/>
          <w:color w:val="auto"/>
        </w:rPr>
      </w:pPr>
      <w:r>
        <w:rPr>
          <w:rFonts w:hint="eastAsia" w:ascii="宋体" w:hAnsi="宋体" w:eastAsia="宋体" w:cs="宋体"/>
          <w:b/>
          <w:color w:val="auto"/>
          <w:szCs w:val="21"/>
        </w:rPr>
        <w:t>编制说明</w:t>
      </w:r>
      <w:r>
        <w:rPr>
          <w:rFonts w:hint="eastAsia" w:ascii="宋体" w:hAnsi="宋体" w:eastAsia="宋体" w:cs="宋体"/>
          <w:bCs/>
          <w:color w:val="auto"/>
          <w:szCs w:val="21"/>
        </w:rPr>
        <w:t>：</w:t>
      </w:r>
      <w:r>
        <w:rPr>
          <w:rFonts w:hint="eastAsia" w:ascii="宋体" w:hAnsi="宋体" w:eastAsia="宋体" w:cs="宋体"/>
          <w:b/>
          <w:color w:val="auto"/>
        </w:rPr>
        <w:t>投标人应按招标文件第五章采购需求自行编写采购需求响应文件（格式自拟）。</w:t>
      </w:r>
    </w:p>
    <w:p w14:paraId="76ABA727">
      <w:pPr>
        <w:pStyle w:val="26"/>
        <w:adjustRightInd w:val="0"/>
        <w:snapToGrid w:val="0"/>
        <w:spacing w:line="360" w:lineRule="auto"/>
        <w:ind w:left="-88" w:leftChars="-42"/>
        <w:rPr>
          <w:rFonts w:hint="eastAsia" w:ascii="宋体" w:hAnsi="宋体" w:eastAsia="宋体" w:cs="宋体"/>
          <w:bCs/>
          <w:color w:val="auto"/>
          <w:sz w:val="21"/>
          <w:szCs w:val="21"/>
        </w:rPr>
      </w:pPr>
    </w:p>
    <w:p w14:paraId="79544FC4">
      <w:pPr>
        <w:rPr>
          <w:rFonts w:hint="eastAsia" w:ascii="宋体" w:hAnsi="宋体" w:eastAsia="宋体" w:cs="宋体"/>
          <w:color w:val="auto"/>
        </w:rPr>
      </w:pPr>
    </w:p>
    <w:p w14:paraId="32A5C343">
      <w:pPr>
        <w:rPr>
          <w:rFonts w:hint="eastAsia" w:ascii="宋体" w:hAnsi="宋体" w:eastAsia="宋体" w:cs="宋体"/>
          <w:color w:val="auto"/>
        </w:rPr>
      </w:pPr>
    </w:p>
    <w:p w14:paraId="2720A4D0">
      <w:pPr>
        <w:pStyle w:val="26"/>
        <w:tabs>
          <w:tab w:val="left" w:pos="6208"/>
        </w:tabs>
        <w:adjustRightInd w:val="0"/>
        <w:snapToGrid w:val="0"/>
        <w:spacing w:line="360" w:lineRule="auto"/>
        <w:ind w:left="-88" w:leftChars="-42"/>
        <w:rPr>
          <w:rFonts w:hint="eastAsia" w:ascii="宋体" w:hAnsi="宋体" w:eastAsia="宋体" w:cs="宋体"/>
          <w:bCs/>
          <w:color w:val="auto"/>
          <w:sz w:val="21"/>
          <w:szCs w:val="21"/>
        </w:rPr>
      </w:pPr>
    </w:p>
    <w:p w14:paraId="5C637A6B">
      <w:pPr>
        <w:adjustRightInd w:val="0"/>
        <w:snapToGrid w:val="0"/>
        <w:spacing w:line="360" w:lineRule="auto"/>
        <w:rPr>
          <w:rFonts w:hint="eastAsia" w:ascii="宋体" w:hAnsi="宋体" w:eastAsia="宋体" w:cs="宋体"/>
          <w:color w:val="auto"/>
          <w:szCs w:val="21"/>
        </w:rPr>
      </w:pPr>
    </w:p>
    <w:p w14:paraId="5E6F7346">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投标人名称（盖单位章）：</w:t>
      </w:r>
    </w:p>
    <w:p w14:paraId="0E487519">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pacing w:val="-2"/>
          <w:kern w:val="0"/>
          <w:szCs w:val="21"/>
        </w:rPr>
        <w:t>法</w:t>
      </w:r>
      <w:r>
        <w:rPr>
          <w:rFonts w:hint="eastAsia" w:ascii="宋体" w:hAnsi="宋体" w:eastAsia="宋体" w:cs="宋体"/>
          <w:color w:val="auto"/>
          <w:kern w:val="0"/>
          <w:szCs w:val="21"/>
        </w:rPr>
        <w:t>定</w:t>
      </w:r>
      <w:r>
        <w:rPr>
          <w:rFonts w:hint="eastAsia" w:ascii="宋体" w:hAnsi="宋体" w:eastAsia="宋体" w:cs="宋体"/>
          <w:color w:val="auto"/>
          <w:spacing w:val="-2"/>
          <w:kern w:val="0"/>
          <w:szCs w:val="21"/>
        </w:rPr>
        <w:t>代</w:t>
      </w:r>
      <w:r>
        <w:rPr>
          <w:rFonts w:hint="eastAsia" w:ascii="宋体" w:hAnsi="宋体" w:eastAsia="宋体" w:cs="宋体"/>
          <w:color w:val="auto"/>
          <w:kern w:val="0"/>
          <w:szCs w:val="21"/>
        </w:rPr>
        <w:t>表</w:t>
      </w:r>
      <w:r>
        <w:rPr>
          <w:rFonts w:hint="eastAsia" w:ascii="宋体" w:hAnsi="宋体" w:eastAsia="宋体" w:cs="宋体"/>
          <w:color w:val="auto"/>
          <w:spacing w:val="-2"/>
          <w:kern w:val="0"/>
          <w:szCs w:val="21"/>
        </w:rPr>
        <w:t>人</w:t>
      </w:r>
      <w:r>
        <w:rPr>
          <w:rFonts w:hint="eastAsia" w:ascii="宋体" w:hAnsi="宋体" w:eastAsia="宋体" w:cs="宋体"/>
          <w:color w:val="auto"/>
          <w:kern w:val="0"/>
          <w:szCs w:val="21"/>
        </w:rPr>
        <w:t>（</w:t>
      </w:r>
      <w:r>
        <w:rPr>
          <w:rFonts w:hint="eastAsia" w:ascii="宋体" w:hAnsi="宋体" w:eastAsia="宋体" w:cs="宋体"/>
          <w:color w:val="auto"/>
          <w:spacing w:val="-2"/>
          <w:kern w:val="0"/>
          <w:szCs w:val="21"/>
        </w:rPr>
        <w:t>单</w:t>
      </w:r>
      <w:r>
        <w:rPr>
          <w:rFonts w:hint="eastAsia" w:ascii="宋体" w:hAnsi="宋体" w:eastAsia="宋体" w:cs="宋体"/>
          <w:color w:val="auto"/>
          <w:kern w:val="0"/>
          <w:szCs w:val="21"/>
        </w:rPr>
        <w:t>位</w:t>
      </w:r>
      <w:r>
        <w:rPr>
          <w:rFonts w:hint="eastAsia" w:ascii="宋体" w:hAnsi="宋体" w:eastAsia="宋体" w:cs="宋体"/>
          <w:color w:val="auto"/>
          <w:spacing w:val="-2"/>
          <w:kern w:val="0"/>
          <w:szCs w:val="21"/>
        </w:rPr>
        <w:t>负</w:t>
      </w:r>
      <w:r>
        <w:rPr>
          <w:rFonts w:hint="eastAsia" w:ascii="宋体" w:hAnsi="宋体" w:eastAsia="宋体" w:cs="宋体"/>
          <w:color w:val="auto"/>
          <w:kern w:val="0"/>
          <w:szCs w:val="21"/>
        </w:rPr>
        <w:t>责人</w:t>
      </w:r>
      <w:r>
        <w:rPr>
          <w:rFonts w:hint="eastAsia" w:ascii="宋体" w:hAnsi="宋体" w:eastAsia="宋体" w:cs="宋体"/>
          <w:color w:val="auto"/>
          <w:spacing w:val="-2"/>
          <w:kern w:val="0"/>
          <w:szCs w:val="21"/>
        </w:rPr>
        <w:t>）</w:t>
      </w:r>
      <w:r>
        <w:rPr>
          <w:rFonts w:hint="eastAsia" w:ascii="宋体" w:hAnsi="宋体" w:eastAsia="宋体" w:cs="宋体"/>
          <w:color w:val="auto"/>
          <w:szCs w:val="21"/>
        </w:rPr>
        <w:t>或其授权的代理人（签字或印章）：</w:t>
      </w:r>
      <w:r>
        <w:rPr>
          <w:rFonts w:hint="eastAsia" w:ascii="宋体" w:hAnsi="宋体" w:eastAsia="宋体" w:cs="宋体"/>
          <w:color w:val="auto"/>
          <w:szCs w:val="21"/>
          <w:u w:val="single"/>
        </w:rPr>
        <w:t xml:space="preserve">             </w:t>
      </w:r>
    </w:p>
    <w:p w14:paraId="14A03F6A">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1E5F8D66">
      <w:pPr>
        <w:rPr>
          <w:rFonts w:hint="eastAsia" w:ascii="宋体" w:hAnsi="宋体" w:eastAsia="宋体" w:cs="宋体"/>
          <w:color w:val="auto"/>
        </w:rPr>
      </w:pPr>
    </w:p>
    <w:p w14:paraId="78E484A3">
      <w:pPr>
        <w:rPr>
          <w:rFonts w:hint="eastAsia" w:ascii="宋体" w:hAnsi="宋体" w:eastAsia="宋体" w:cs="宋体"/>
          <w:color w:val="auto"/>
        </w:rPr>
      </w:pPr>
    </w:p>
    <w:p w14:paraId="12F5019E">
      <w:pPr>
        <w:pStyle w:val="6"/>
        <w:adjustRightInd w:val="0"/>
        <w:snapToGrid w:val="0"/>
        <w:spacing w:before="157" w:beforeLines="50" w:after="0" w:line="360" w:lineRule="auto"/>
        <w:rPr>
          <w:rFonts w:hint="eastAsia" w:ascii="宋体" w:hAnsi="宋体" w:eastAsia="宋体" w:cs="宋体"/>
          <w:b w:val="0"/>
          <w:color w:val="auto"/>
          <w:sz w:val="21"/>
          <w:szCs w:val="21"/>
        </w:rPr>
      </w:pPr>
      <w:bookmarkStart w:id="1498" w:name="_Toc17037"/>
      <w:r>
        <w:rPr>
          <w:rFonts w:hint="eastAsia" w:ascii="宋体" w:hAnsi="宋体" w:eastAsia="宋体" w:cs="宋体"/>
          <w:b w:val="0"/>
          <w:color w:val="auto"/>
          <w:spacing w:val="6"/>
          <w:kern w:val="0"/>
          <w:sz w:val="21"/>
          <w:szCs w:val="21"/>
        </w:rPr>
        <w:t>附件7-1 响应</w:t>
      </w:r>
      <w:r>
        <w:rPr>
          <w:rFonts w:hint="eastAsia" w:ascii="宋体" w:hAnsi="宋体" w:eastAsia="宋体" w:cs="宋体"/>
          <w:b w:val="0"/>
          <w:color w:val="auto"/>
          <w:sz w:val="21"/>
          <w:szCs w:val="21"/>
        </w:rPr>
        <w:t>一览表</w:t>
      </w:r>
      <w:bookmarkEnd w:id="1498"/>
    </w:p>
    <w:p w14:paraId="1421E76A">
      <w:pPr>
        <w:adjustRightInd w:val="0"/>
        <w:snapToGrid w:val="0"/>
        <w:spacing w:before="157" w:beforeLines="50" w:line="360" w:lineRule="auto"/>
        <w:jc w:val="center"/>
        <w:rPr>
          <w:rFonts w:hint="eastAsia" w:ascii="宋体" w:hAnsi="宋体" w:eastAsia="宋体" w:cs="宋体"/>
          <w:b/>
          <w:bCs/>
          <w:color w:val="auto"/>
          <w:sz w:val="28"/>
          <w:szCs w:val="28"/>
        </w:rPr>
      </w:pPr>
      <w:r>
        <w:rPr>
          <w:rFonts w:hint="eastAsia" w:ascii="宋体" w:hAnsi="宋体" w:eastAsia="宋体" w:cs="宋体"/>
          <w:b/>
          <w:bCs/>
          <w:color w:val="auto"/>
          <w:sz w:val="28"/>
          <w:szCs w:val="28"/>
        </w:rPr>
        <w:t>响应一览表</w:t>
      </w:r>
    </w:p>
    <w:p w14:paraId="2C982F89">
      <w:pPr>
        <w:jc w:val="center"/>
        <w:rPr>
          <w:rFonts w:hint="eastAsia" w:ascii="宋体" w:hAnsi="宋体" w:eastAsia="宋体" w:cs="宋体"/>
          <w:color w:val="auto"/>
          <w:szCs w:val="21"/>
        </w:rPr>
      </w:pPr>
    </w:p>
    <w:tbl>
      <w:tblPr>
        <w:tblStyle w:val="47"/>
        <w:tblW w:w="896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9"/>
        <w:gridCol w:w="957"/>
        <w:gridCol w:w="2124"/>
        <w:gridCol w:w="2127"/>
        <w:gridCol w:w="992"/>
        <w:gridCol w:w="1136"/>
        <w:gridCol w:w="1200"/>
      </w:tblGrid>
      <w:tr w14:paraId="633A95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80" w:hRule="atLeast"/>
        </w:trPr>
        <w:tc>
          <w:tcPr>
            <w:tcW w:w="429" w:type="dxa"/>
            <w:vAlign w:val="center"/>
          </w:tcPr>
          <w:p w14:paraId="01E1A39E">
            <w:pPr>
              <w:jc w:val="center"/>
              <w:rPr>
                <w:rFonts w:hint="eastAsia" w:ascii="宋体" w:hAnsi="宋体" w:eastAsia="宋体" w:cs="宋体"/>
                <w:color w:val="auto"/>
                <w:szCs w:val="21"/>
              </w:rPr>
            </w:pPr>
            <w:r>
              <w:rPr>
                <w:rFonts w:hint="eastAsia" w:ascii="宋体" w:hAnsi="宋体" w:eastAsia="宋体" w:cs="宋体"/>
                <w:color w:val="auto"/>
                <w:szCs w:val="21"/>
              </w:rPr>
              <w:t xml:space="preserve">包号 </w:t>
            </w:r>
          </w:p>
        </w:tc>
        <w:tc>
          <w:tcPr>
            <w:tcW w:w="957" w:type="dxa"/>
            <w:tcBorders>
              <w:right w:val="single" w:color="auto" w:sz="4" w:space="0"/>
            </w:tcBorders>
            <w:vAlign w:val="center"/>
          </w:tcPr>
          <w:p w14:paraId="1C7447AF">
            <w:pPr>
              <w:jc w:val="center"/>
              <w:rPr>
                <w:rFonts w:hint="eastAsia" w:ascii="宋体" w:hAnsi="宋体" w:eastAsia="宋体" w:cs="宋体"/>
                <w:color w:val="auto"/>
                <w:szCs w:val="21"/>
              </w:rPr>
            </w:pPr>
            <w:r>
              <w:rPr>
                <w:rFonts w:hint="eastAsia" w:ascii="宋体" w:hAnsi="宋体" w:eastAsia="宋体" w:cs="宋体"/>
                <w:color w:val="auto"/>
                <w:szCs w:val="21"/>
              </w:rPr>
              <w:t>包名称</w:t>
            </w:r>
          </w:p>
        </w:tc>
        <w:tc>
          <w:tcPr>
            <w:tcW w:w="2124" w:type="dxa"/>
            <w:tcBorders>
              <w:left w:val="single" w:color="auto" w:sz="4" w:space="0"/>
            </w:tcBorders>
            <w:vAlign w:val="center"/>
          </w:tcPr>
          <w:p w14:paraId="407D0EC5">
            <w:pPr>
              <w:jc w:val="center"/>
              <w:rPr>
                <w:rFonts w:hint="eastAsia" w:ascii="宋体" w:hAnsi="宋体" w:eastAsia="宋体" w:cs="宋体"/>
                <w:color w:val="auto"/>
                <w:szCs w:val="21"/>
              </w:rPr>
            </w:pPr>
            <w:r>
              <w:rPr>
                <w:rFonts w:hint="eastAsia" w:ascii="宋体" w:hAnsi="宋体" w:eastAsia="宋体" w:cs="宋体"/>
                <w:color w:val="auto"/>
                <w:szCs w:val="21"/>
              </w:rPr>
              <w:t>标的名称</w:t>
            </w:r>
          </w:p>
        </w:tc>
        <w:tc>
          <w:tcPr>
            <w:tcW w:w="2127" w:type="dxa"/>
            <w:vAlign w:val="center"/>
          </w:tcPr>
          <w:p w14:paraId="0BDCC02D">
            <w:pPr>
              <w:jc w:val="center"/>
              <w:rPr>
                <w:rFonts w:hint="eastAsia" w:ascii="宋体" w:hAnsi="宋体" w:eastAsia="宋体" w:cs="宋体"/>
                <w:color w:val="auto"/>
                <w:szCs w:val="21"/>
              </w:rPr>
            </w:pPr>
            <w:r>
              <w:rPr>
                <w:rFonts w:hint="eastAsia" w:ascii="宋体" w:hAnsi="宋体" w:eastAsia="宋体" w:cs="宋体"/>
                <w:color w:val="auto"/>
                <w:szCs w:val="21"/>
              </w:rPr>
              <w:t>主要技术参数或规格</w:t>
            </w:r>
          </w:p>
        </w:tc>
        <w:tc>
          <w:tcPr>
            <w:tcW w:w="992" w:type="dxa"/>
            <w:vAlign w:val="center"/>
          </w:tcPr>
          <w:p w14:paraId="52CB3D88">
            <w:pPr>
              <w:jc w:val="center"/>
              <w:rPr>
                <w:rFonts w:hint="eastAsia" w:ascii="宋体" w:hAnsi="宋体" w:eastAsia="宋体" w:cs="宋体"/>
                <w:color w:val="auto"/>
                <w:szCs w:val="21"/>
              </w:rPr>
            </w:pPr>
            <w:r>
              <w:rPr>
                <w:rFonts w:hint="eastAsia" w:ascii="宋体" w:hAnsi="宋体" w:eastAsia="宋体" w:cs="宋体"/>
                <w:color w:val="auto"/>
                <w:szCs w:val="21"/>
              </w:rPr>
              <w:t>数量</w:t>
            </w:r>
          </w:p>
        </w:tc>
        <w:tc>
          <w:tcPr>
            <w:tcW w:w="1136" w:type="dxa"/>
            <w:vAlign w:val="center"/>
          </w:tcPr>
          <w:p w14:paraId="16DACE45">
            <w:pPr>
              <w:adjustRightInd w:val="0"/>
              <w:snapToGrid w:val="0"/>
              <w:jc w:val="center"/>
              <w:rPr>
                <w:rFonts w:hint="eastAsia" w:ascii="宋体" w:hAnsi="宋体" w:eastAsia="宋体" w:cs="宋体"/>
                <w:color w:val="auto"/>
                <w:szCs w:val="21"/>
              </w:rPr>
            </w:pPr>
            <w:r>
              <w:rPr>
                <w:rFonts w:hint="eastAsia" w:ascii="宋体" w:hAnsi="宋体" w:eastAsia="宋体" w:cs="宋体"/>
                <w:color w:val="auto"/>
                <w:szCs w:val="21"/>
              </w:rPr>
              <w:t>节能产品</w:t>
            </w:r>
          </w:p>
        </w:tc>
        <w:tc>
          <w:tcPr>
            <w:tcW w:w="1200" w:type="dxa"/>
            <w:vAlign w:val="center"/>
          </w:tcPr>
          <w:p w14:paraId="61764DC4">
            <w:pPr>
              <w:adjustRightInd w:val="0"/>
              <w:snapToGrid w:val="0"/>
              <w:jc w:val="center"/>
              <w:rPr>
                <w:rFonts w:hint="eastAsia" w:ascii="宋体" w:hAnsi="宋体" w:eastAsia="宋体" w:cs="宋体"/>
                <w:color w:val="auto"/>
                <w:szCs w:val="21"/>
              </w:rPr>
            </w:pPr>
            <w:r>
              <w:rPr>
                <w:rFonts w:hint="eastAsia" w:ascii="宋体" w:hAnsi="宋体" w:eastAsia="宋体" w:cs="宋体"/>
                <w:color w:val="auto"/>
                <w:szCs w:val="21"/>
              </w:rPr>
              <w:t>进口产品</w:t>
            </w:r>
          </w:p>
        </w:tc>
      </w:tr>
      <w:tr w14:paraId="557961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restart"/>
          </w:tcPr>
          <w:p w14:paraId="68921560">
            <w:pPr>
              <w:rPr>
                <w:rFonts w:hint="eastAsia" w:ascii="宋体" w:hAnsi="宋体" w:eastAsia="宋体" w:cs="宋体"/>
                <w:color w:val="auto"/>
                <w:szCs w:val="21"/>
              </w:rPr>
            </w:pPr>
          </w:p>
        </w:tc>
        <w:tc>
          <w:tcPr>
            <w:tcW w:w="957" w:type="dxa"/>
            <w:vMerge w:val="restart"/>
            <w:tcBorders>
              <w:right w:val="single" w:color="auto" w:sz="4" w:space="0"/>
            </w:tcBorders>
          </w:tcPr>
          <w:p w14:paraId="1C60642D">
            <w:pPr>
              <w:rPr>
                <w:rFonts w:hint="eastAsia" w:ascii="宋体" w:hAnsi="宋体" w:eastAsia="宋体" w:cs="宋体"/>
                <w:color w:val="auto"/>
                <w:szCs w:val="21"/>
              </w:rPr>
            </w:pPr>
          </w:p>
        </w:tc>
        <w:tc>
          <w:tcPr>
            <w:tcW w:w="2124" w:type="dxa"/>
            <w:tcBorders>
              <w:left w:val="single" w:color="auto" w:sz="4" w:space="0"/>
            </w:tcBorders>
          </w:tcPr>
          <w:p w14:paraId="603207F3">
            <w:pPr>
              <w:rPr>
                <w:rFonts w:hint="eastAsia" w:ascii="宋体" w:hAnsi="宋体" w:eastAsia="宋体" w:cs="宋体"/>
                <w:color w:val="auto"/>
                <w:szCs w:val="21"/>
              </w:rPr>
            </w:pPr>
          </w:p>
        </w:tc>
        <w:tc>
          <w:tcPr>
            <w:tcW w:w="2127" w:type="dxa"/>
          </w:tcPr>
          <w:p w14:paraId="576BF93E">
            <w:pPr>
              <w:rPr>
                <w:rFonts w:hint="eastAsia" w:ascii="宋体" w:hAnsi="宋体" w:eastAsia="宋体" w:cs="宋体"/>
                <w:color w:val="auto"/>
                <w:szCs w:val="21"/>
              </w:rPr>
            </w:pPr>
          </w:p>
        </w:tc>
        <w:tc>
          <w:tcPr>
            <w:tcW w:w="992" w:type="dxa"/>
          </w:tcPr>
          <w:p w14:paraId="31D48257">
            <w:pPr>
              <w:rPr>
                <w:rFonts w:hint="eastAsia" w:ascii="宋体" w:hAnsi="宋体" w:eastAsia="宋体" w:cs="宋体"/>
                <w:color w:val="auto"/>
                <w:szCs w:val="21"/>
              </w:rPr>
            </w:pPr>
          </w:p>
        </w:tc>
        <w:tc>
          <w:tcPr>
            <w:tcW w:w="1136" w:type="dxa"/>
          </w:tcPr>
          <w:p w14:paraId="10D24E09">
            <w:pPr>
              <w:adjustRightInd w:val="0"/>
              <w:snapToGrid w:val="0"/>
              <w:spacing w:before="157" w:beforeLines="50" w:line="360" w:lineRule="auto"/>
              <w:rPr>
                <w:rFonts w:hint="eastAsia" w:ascii="宋体" w:hAnsi="宋体" w:eastAsia="宋体" w:cs="宋体"/>
                <w:color w:val="auto"/>
                <w:szCs w:val="21"/>
              </w:rPr>
            </w:pPr>
            <w:r>
              <w:rPr>
                <w:rFonts w:hint="eastAsia" w:ascii="宋体" w:hAnsi="宋体" w:eastAsia="宋体" w:cs="宋体"/>
                <w:iCs/>
                <w:color w:val="auto"/>
                <w:szCs w:val="21"/>
              </w:rPr>
              <w:sym w:font="Wingdings" w:char="00A8"/>
            </w:r>
          </w:p>
        </w:tc>
        <w:tc>
          <w:tcPr>
            <w:tcW w:w="1200" w:type="dxa"/>
          </w:tcPr>
          <w:p w14:paraId="0E7E92D1">
            <w:pPr>
              <w:adjustRightInd w:val="0"/>
              <w:snapToGrid w:val="0"/>
              <w:spacing w:before="157" w:beforeLines="50" w:line="360" w:lineRule="auto"/>
              <w:rPr>
                <w:rFonts w:hint="eastAsia" w:ascii="宋体" w:hAnsi="宋体" w:eastAsia="宋体" w:cs="宋体"/>
                <w:color w:val="auto"/>
                <w:szCs w:val="21"/>
              </w:rPr>
            </w:pPr>
          </w:p>
        </w:tc>
      </w:tr>
      <w:tr w14:paraId="09246B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continue"/>
          </w:tcPr>
          <w:p w14:paraId="2AA2E879">
            <w:pPr>
              <w:rPr>
                <w:rFonts w:hint="eastAsia" w:ascii="宋体" w:hAnsi="宋体" w:eastAsia="宋体" w:cs="宋体"/>
                <w:color w:val="auto"/>
                <w:szCs w:val="21"/>
              </w:rPr>
            </w:pPr>
          </w:p>
        </w:tc>
        <w:tc>
          <w:tcPr>
            <w:tcW w:w="957" w:type="dxa"/>
            <w:vMerge w:val="continue"/>
            <w:tcBorders>
              <w:right w:val="single" w:color="auto" w:sz="4" w:space="0"/>
            </w:tcBorders>
          </w:tcPr>
          <w:p w14:paraId="19757BAA">
            <w:pPr>
              <w:rPr>
                <w:rFonts w:hint="eastAsia" w:ascii="宋体" w:hAnsi="宋体" w:eastAsia="宋体" w:cs="宋体"/>
                <w:color w:val="auto"/>
                <w:szCs w:val="21"/>
              </w:rPr>
            </w:pPr>
          </w:p>
        </w:tc>
        <w:tc>
          <w:tcPr>
            <w:tcW w:w="2124" w:type="dxa"/>
            <w:tcBorders>
              <w:left w:val="single" w:color="auto" w:sz="4" w:space="0"/>
            </w:tcBorders>
          </w:tcPr>
          <w:p w14:paraId="75FD9DE0">
            <w:pPr>
              <w:rPr>
                <w:rFonts w:hint="eastAsia" w:ascii="宋体" w:hAnsi="宋体" w:eastAsia="宋体" w:cs="宋体"/>
                <w:color w:val="auto"/>
                <w:szCs w:val="21"/>
              </w:rPr>
            </w:pPr>
          </w:p>
        </w:tc>
        <w:tc>
          <w:tcPr>
            <w:tcW w:w="2127" w:type="dxa"/>
          </w:tcPr>
          <w:p w14:paraId="08C85A66">
            <w:pPr>
              <w:rPr>
                <w:rFonts w:hint="eastAsia" w:ascii="宋体" w:hAnsi="宋体" w:eastAsia="宋体" w:cs="宋体"/>
                <w:color w:val="auto"/>
                <w:szCs w:val="21"/>
              </w:rPr>
            </w:pPr>
          </w:p>
        </w:tc>
        <w:tc>
          <w:tcPr>
            <w:tcW w:w="992" w:type="dxa"/>
          </w:tcPr>
          <w:p w14:paraId="22E9D4EB">
            <w:pPr>
              <w:rPr>
                <w:rFonts w:hint="eastAsia" w:ascii="宋体" w:hAnsi="宋体" w:eastAsia="宋体" w:cs="宋体"/>
                <w:color w:val="auto"/>
                <w:szCs w:val="21"/>
              </w:rPr>
            </w:pPr>
          </w:p>
        </w:tc>
        <w:tc>
          <w:tcPr>
            <w:tcW w:w="1136" w:type="dxa"/>
          </w:tcPr>
          <w:p w14:paraId="4A8D2675">
            <w:pPr>
              <w:adjustRightInd w:val="0"/>
              <w:snapToGrid w:val="0"/>
              <w:spacing w:before="157" w:beforeLines="50" w:line="360" w:lineRule="auto"/>
              <w:rPr>
                <w:rFonts w:hint="eastAsia" w:ascii="宋体" w:hAnsi="宋体" w:eastAsia="宋体" w:cs="宋体"/>
                <w:color w:val="auto"/>
                <w:szCs w:val="21"/>
              </w:rPr>
            </w:pPr>
          </w:p>
        </w:tc>
        <w:tc>
          <w:tcPr>
            <w:tcW w:w="1200" w:type="dxa"/>
          </w:tcPr>
          <w:p w14:paraId="5C4707A6">
            <w:pPr>
              <w:adjustRightInd w:val="0"/>
              <w:snapToGrid w:val="0"/>
              <w:spacing w:before="157" w:beforeLines="50" w:line="360" w:lineRule="auto"/>
              <w:rPr>
                <w:rFonts w:hint="eastAsia" w:ascii="宋体" w:hAnsi="宋体" w:eastAsia="宋体" w:cs="宋体"/>
                <w:color w:val="auto"/>
                <w:szCs w:val="21"/>
              </w:rPr>
            </w:pPr>
            <w:r>
              <w:rPr>
                <w:rFonts w:hint="eastAsia" w:ascii="宋体" w:hAnsi="宋体" w:eastAsia="宋体" w:cs="宋体"/>
                <w:iCs/>
                <w:color w:val="auto"/>
                <w:szCs w:val="21"/>
              </w:rPr>
              <w:sym w:font="Wingdings" w:char="00A8"/>
            </w:r>
          </w:p>
        </w:tc>
      </w:tr>
      <w:tr w14:paraId="564C38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restart"/>
          </w:tcPr>
          <w:p w14:paraId="6F72260D">
            <w:pPr>
              <w:rPr>
                <w:rFonts w:hint="eastAsia" w:ascii="宋体" w:hAnsi="宋体" w:eastAsia="宋体" w:cs="宋体"/>
                <w:color w:val="auto"/>
                <w:szCs w:val="21"/>
              </w:rPr>
            </w:pPr>
          </w:p>
        </w:tc>
        <w:tc>
          <w:tcPr>
            <w:tcW w:w="957" w:type="dxa"/>
            <w:vMerge w:val="restart"/>
            <w:tcBorders>
              <w:right w:val="single" w:color="auto" w:sz="4" w:space="0"/>
            </w:tcBorders>
          </w:tcPr>
          <w:p w14:paraId="34A31B89">
            <w:pPr>
              <w:rPr>
                <w:rFonts w:hint="eastAsia" w:ascii="宋体" w:hAnsi="宋体" w:eastAsia="宋体" w:cs="宋体"/>
                <w:color w:val="auto"/>
                <w:szCs w:val="21"/>
              </w:rPr>
            </w:pPr>
          </w:p>
        </w:tc>
        <w:tc>
          <w:tcPr>
            <w:tcW w:w="2124" w:type="dxa"/>
            <w:tcBorders>
              <w:left w:val="single" w:color="auto" w:sz="4" w:space="0"/>
            </w:tcBorders>
          </w:tcPr>
          <w:p w14:paraId="16C262A8">
            <w:pPr>
              <w:rPr>
                <w:rFonts w:hint="eastAsia" w:ascii="宋体" w:hAnsi="宋体" w:eastAsia="宋体" w:cs="宋体"/>
                <w:color w:val="auto"/>
                <w:szCs w:val="21"/>
              </w:rPr>
            </w:pPr>
          </w:p>
        </w:tc>
        <w:tc>
          <w:tcPr>
            <w:tcW w:w="2127" w:type="dxa"/>
          </w:tcPr>
          <w:p w14:paraId="44BE481F">
            <w:pPr>
              <w:rPr>
                <w:rFonts w:hint="eastAsia" w:ascii="宋体" w:hAnsi="宋体" w:eastAsia="宋体" w:cs="宋体"/>
                <w:color w:val="auto"/>
                <w:szCs w:val="21"/>
              </w:rPr>
            </w:pPr>
          </w:p>
        </w:tc>
        <w:tc>
          <w:tcPr>
            <w:tcW w:w="992" w:type="dxa"/>
          </w:tcPr>
          <w:p w14:paraId="03E29178">
            <w:pPr>
              <w:rPr>
                <w:rFonts w:hint="eastAsia" w:ascii="宋体" w:hAnsi="宋体" w:eastAsia="宋体" w:cs="宋体"/>
                <w:color w:val="auto"/>
                <w:szCs w:val="21"/>
              </w:rPr>
            </w:pPr>
          </w:p>
        </w:tc>
        <w:tc>
          <w:tcPr>
            <w:tcW w:w="1136" w:type="dxa"/>
          </w:tcPr>
          <w:p w14:paraId="0A0D8320">
            <w:pPr>
              <w:rPr>
                <w:rFonts w:hint="eastAsia" w:ascii="宋体" w:hAnsi="宋体" w:eastAsia="宋体" w:cs="宋体"/>
                <w:color w:val="auto"/>
                <w:szCs w:val="21"/>
              </w:rPr>
            </w:pPr>
          </w:p>
        </w:tc>
        <w:tc>
          <w:tcPr>
            <w:tcW w:w="1200" w:type="dxa"/>
          </w:tcPr>
          <w:p w14:paraId="15EA667A">
            <w:pPr>
              <w:rPr>
                <w:rFonts w:hint="eastAsia" w:ascii="宋体" w:hAnsi="宋体" w:eastAsia="宋体" w:cs="宋体"/>
                <w:color w:val="auto"/>
                <w:szCs w:val="21"/>
              </w:rPr>
            </w:pPr>
          </w:p>
        </w:tc>
      </w:tr>
      <w:tr w14:paraId="5DFB42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continue"/>
          </w:tcPr>
          <w:p w14:paraId="0B3AA70C">
            <w:pPr>
              <w:rPr>
                <w:rFonts w:hint="eastAsia" w:ascii="宋体" w:hAnsi="宋体" w:eastAsia="宋体" w:cs="宋体"/>
                <w:color w:val="auto"/>
                <w:szCs w:val="21"/>
              </w:rPr>
            </w:pPr>
          </w:p>
        </w:tc>
        <w:tc>
          <w:tcPr>
            <w:tcW w:w="957" w:type="dxa"/>
            <w:vMerge w:val="continue"/>
            <w:tcBorders>
              <w:right w:val="single" w:color="auto" w:sz="4" w:space="0"/>
            </w:tcBorders>
          </w:tcPr>
          <w:p w14:paraId="2BC338E0">
            <w:pPr>
              <w:rPr>
                <w:rFonts w:hint="eastAsia" w:ascii="宋体" w:hAnsi="宋体" w:eastAsia="宋体" w:cs="宋体"/>
                <w:color w:val="auto"/>
                <w:szCs w:val="21"/>
              </w:rPr>
            </w:pPr>
          </w:p>
        </w:tc>
        <w:tc>
          <w:tcPr>
            <w:tcW w:w="2124" w:type="dxa"/>
            <w:tcBorders>
              <w:left w:val="single" w:color="auto" w:sz="4" w:space="0"/>
            </w:tcBorders>
          </w:tcPr>
          <w:p w14:paraId="187BBFD5">
            <w:pPr>
              <w:rPr>
                <w:rFonts w:hint="eastAsia" w:ascii="宋体" w:hAnsi="宋体" w:eastAsia="宋体" w:cs="宋体"/>
                <w:color w:val="auto"/>
                <w:szCs w:val="21"/>
              </w:rPr>
            </w:pPr>
          </w:p>
        </w:tc>
        <w:tc>
          <w:tcPr>
            <w:tcW w:w="2127" w:type="dxa"/>
          </w:tcPr>
          <w:p w14:paraId="22D631AD">
            <w:pPr>
              <w:rPr>
                <w:rFonts w:hint="eastAsia" w:ascii="宋体" w:hAnsi="宋体" w:eastAsia="宋体" w:cs="宋体"/>
                <w:color w:val="auto"/>
                <w:szCs w:val="21"/>
              </w:rPr>
            </w:pPr>
          </w:p>
        </w:tc>
        <w:tc>
          <w:tcPr>
            <w:tcW w:w="992" w:type="dxa"/>
          </w:tcPr>
          <w:p w14:paraId="0CF0113F">
            <w:pPr>
              <w:rPr>
                <w:rFonts w:hint="eastAsia" w:ascii="宋体" w:hAnsi="宋体" w:eastAsia="宋体" w:cs="宋体"/>
                <w:color w:val="auto"/>
                <w:szCs w:val="21"/>
              </w:rPr>
            </w:pPr>
          </w:p>
        </w:tc>
        <w:tc>
          <w:tcPr>
            <w:tcW w:w="1136" w:type="dxa"/>
          </w:tcPr>
          <w:p w14:paraId="48166E60">
            <w:pPr>
              <w:rPr>
                <w:rFonts w:hint="eastAsia" w:ascii="宋体" w:hAnsi="宋体" w:eastAsia="宋体" w:cs="宋体"/>
                <w:color w:val="auto"/>
                <w:szCs w:val="21"/>
              </w:rPr>
            </w:pPr>
          </w:p>
        </w:tc>
        <w:tc>
          <w:tcPr>
            <w:tcW w:w="1200" w:type="dxa"/>
          </w:tcPr>
          <w:p w14:paraId="2334E535">
            <w:pPr>
              <w:rPr>
                <w:rFonts w:hint="eastAsia" w:ascii="宋体" w:hAnsi="宋体" w:eastAsia="宋体" w:cs="宋体"/>
                <w:color w:val="auto"/>
                <w:szCs w:val="21"/>
              </w:rPr>
            </w:pPr>
          </w:p>
        </w:tc>
      </w:tr>
      <w:tr w14:paraId="408253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429" w:type="dxa"/>
            <w:vMerge w:val="continue"/>
          </w:tcPr>
          <w:p w14:paraId="60C7CE41">
            <w:pPr>
              <w:rPr>
                <w:rFonts w:hint="eastAsia" w:ascii="宋体" w:hAnsi="宋体" w:eastAsia="宋体" w:cs="宋体"/>
                <w:color w:val="auto"/>
                <w:szCs w:val="21"/>
              </w:rPr>
            </w:pPr>
          </w:p>
        </w:tc>
        <w:tc>
          <w:tcPr>
            <w:tcW w:w="957" w:type="dxa"/>
            <w:vMerge w:val="continue"/>
            <w:tcBorders>
              <w:right w:val="single" w:color="auto" w:sz="4" w:space="0"/>
            </w:tcBorders>
          </w:tcPr>
          <w:p w14:paraId="245F104A">
            <w:pPr>
              <w:rPr>
                <w:rFonts w:hint="eastAsia" w:ascii="宋体" w:hAnsi="宋体" w:eastAsia="宋体" w:cs="宋体"/>
                <w:color w:val="auto"/>
                <w:szCs w:val="21"/>
              </w:rPr>
            </w:pPr>
          </w:p>
        </w:tc>
        <w:tc>
          <w:tcPr>
            <w:tcW w:w="2124" w:type="dxa"/>
            <w:tcBorders>
              <w:left w:val="single" w:color="auto" w:sz="4" w:space="0"/>
            </w:tcBorders>
          </w:tcPr>
          <w:p w14:paraId="1FB33AC8">
            <w:pPr>
              <w:rPr>
                <w:rFonts w:hint="eastAsia" w:ascii="宋体" w:hAnsi="宋体" w:eastAsia="宋体" w:cs="宋体"/>
                <w:color w:val="auto"/>
                <w:szCs w:val="21"/>
              </w:rPr>
            </w:pPr>
          </w:p>
        </w:tc>
        <w:tc>
          <w:tcPr>
            <w:tcW w:w="2127" w:type="dxa"/>
          </w:tcPr>
          <w:p w14:paraId="00D09195">
            <w:pPr>
              <w:rPr>
                <w:rFonts w:hint="eastAsia" w:ascii="宋体" w:hAnsi="宋体" w:eastAsia="宋体" w:cs="宋体"/>
                <w:color w:val="auto"/>
                <w:szCs w:val="21"/>
              </w:rPr>
            </w:pPr>
          </w:p>
        </w:tc>
        <w:tc>
          <w:tcPr>
            <w:tcW w:w="992" w:type="dxa"/>
          </w:tcPr>
          <w:p w14:paraId="7361BA8C">
            <w:pPr>
              <w:rPr>
                <w:rFonts w:hint="eastAsia" w:ascii="宋体" w:hAnsi="宋体" w:eastAsia="宋体" w:cs="宋体"/>
                <w:color w:val="auto"/>
                <w:szCs w:val="21"/>
              </w:rPr>
            </w:pPr>
          </w:p>
        </w:tc>
        <w:tc>
          <w:tcPr>
            <w:tcW w:w="1136" w:type="dxa"/>
          </w:tcPr>
          <w:p w14:paraId="061C6608">
            <w:pPr>
              <w:rPr>
                <w:rFonts w:hint="eastAsia" w:ascii="宋体" w:hAnsi="宋体" w:eastAsia="宋体" w:cs="宋体"/>
                <w:color w:val="auto"/>
                <w:szCs w:val="21"/>
              </w:rPr>
            </w:pPr>
          </w:p>
        </w:tc>
        <w:tc>
          <w:tcPr>
            <w:tcW w:w="1200" w:type="dxa"/>
          </w:tcPr>
          <w:p w14:paraId="0B0DA9D3">
            <w:pPr>
              <w:rPr>
                <w:rFonts w:hint="eastAsia" w:ascii="宋体" w:hAnsi="宋体" w:eastAsia="宋体" w:cs="宋体"/>
                <w:color w:val="auto"/>
                <w:szCs w:val="21"/>
              </w:rPr>
            </w:pPr>
          </w:p>
        </w:tc>
      </w:tr>
    </w:tbl>
    <w:p w14:paraId="60961702">
      <w:pPr>
        <w:adjustRightInd w:val="0"/>
        <w:snapToGrid w:val="0"/>
        <w:spacing w:line="360" w:lineRule="auto"/>
        <w:rPr>
          <w:rFonts w:hint="eastAsia" w:ascii="宋体" w:hAnsi="宋体" w:eastAsia="宋体" w:cs="宋体"/>
          <w:color w:val="auto"/>
        </w:rPr>
      </w:pPr>
    </w:p>
    <w:p w14:paraId="5C7F945A">
      <w:pPr>
        <w:adjustRightInd w:val="0"/>
        <w:snapToGrid w:val="0"/>
        <w:spacing w:line="360" w:lineRule="auto"/>
        <w:rPr>
          <w:rFonts w:hint="eastAsia" w:ascii="宋体" w:hAnsi="宋体" w:eastAsia="宋体" w:cs="宋体"/>
          <w:color w:val="auto"/>
          <w:sz w:val="28"/>
          <w:szCs w:val="28"/>
        </w:rPr>
        <w:sectPr>
          <w:headerReference r:id="rId9" w:type="first"/>
          <w:headerReference r:id="rId7" w:type="default"/>
          <w:footerReference r:id="rId10" w:type="default"/>
          <w:headerReference r:id="rId8" w:type="even"/>
          <w:pgSz w:w="11906" w:h="16838"/>
          <w:pgMar w:top="1474" w:right="1474" w:bottom="1474" w:left="1587" w:header="851" w:footer="992" w:gutter="0"/>
          <w:pgBorders>
            <w:top w:val="none" w:sz="0" w:space="0"/>
            <w:left w:val="none" w:sz="0" w:space="0"/>
            <w:bottom w:val="none" w:sz="0" w:space="0"/>
            <w:right w:val="none" w:sz="0" w:space="0"/>
          </w:pgBorders>
          <w:cols w:space="0" w:num="1"/>
          <w:docGrid w:type="lines" w:linePitch="315" w:charSpace="0"/>
        </w:sectPr>
      </w:pPr>
    </w:p>
    <w:p w14:paraId="565F46C0">
      <w:pPr>
        <w:pStyle w:val="5"/>
        <w:adjustRightInd w:val="0"/>
        <w:snapToGrid w:val="0"/>
        <w:spacing w:before="157" w:beforeLines="50" w:after="0" w:line="360" w:lineRule="auto"/>
        <w:ind w:firstLine="2530" w:firstLineChars="900"/>
        <w:jc w:val="both"/>
        <w:rPr>
          <w:rFonts w:hint="eastAsia" w:ascii="宋体" w:hAnsi="宋体" w:eastAsia="宋体" w:cs="宋体"/>
          <w:color w:val="auto"/>
          <w:sz w:val="28"/>
          <w:szCs w:val="28"/>
        </w:rPr>
      </w:pPr>
      <w:bookmarkStart w:id="1499" w:name="_Toc23328"/>
      <w:bookmarkStart w:id="1500" w:name="_Toc9147"/>
      <w:bookmarkStart w:id="1501" w:name="_Toc20588"/>
      <w:r>
        <w:rPr>
          <w:rFonts w:hint="eastAsia" w:ascii="宋体" w:hAnsi="宋体" w:eastAsia="宋体" w:cs="宋体"/>
          <w:color w:val="auto"/>
          <w:sz w:val="28"/>
          <w:szCs w:val="28"/>
        </w:rPr>
        <w:t>八、合同条款偏离表</w:t>
      </w:r>
      <w:bookmarkEnd w:id="1499"/>
      <w:bookmarkEnd w:id="1500"/>
      <w:bookmarkEnd w:id="1501"/>
    </w:p>
    <w:p w14:paraId="3D1B19C9">
      <w:pPr>
        <w:adjustRightInd w:val="0"/>
        <w:snapToGrid w:val="0"/>
        <w:spacing w:before="157" w:beforeLines="50" w:line="360" w:lineRule="auto"/>
        <w:rPr>
          <w:rFonts w:hint="eastAsia" w:ascii="宋体" w:hAnsi="宋体" w:eastAsia="宋体" w:cs="宋体"/>
          <w:color w:val="auto"/>
          <w:szCs w:val="21"/>
          <w:u w:val="single"/>
        </w:rPr>
      </w:pPr>
      <w:r>
        <w:rPr>
          <w:rFonts w:hint="eastAsia" w:ascii="宋体" w:hAnsi="宋体" w:eastAsia="宋体" w:cs="宋体"/>
          <w:color w:val="auto"/>
          <w:spacing w:val="28"/>
          <w:szCs w:val="21"/>
        </w:rPr>
        <w:t>政府采购计划编号</w:t>
      </w: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p>
    <w:p w14:paraId="2A8AD962">
      <w:pPr>
        <w:adjustRightInd w:val="0"/>
        <w:snapToGrid w:val="0"/>
        <w:spacing w:before="50" w:line="360" w:lineRule="auto"/>
        <w:rPr>
          <w:rFonts w:hint="eastAsia" w:ascii="宋体" w:hAnsi="宋体" w:eastAsia="宋体" w:cs="宋体"/>
          <w:color w:val="auto"/>
          <w:szCs w:val="21"/>
          <w:u w:val="single"/>
        </w:rPr>
      </w:pPr>
      <w:r>
        <w:rPr>
          <w:rFonts w:hint="eastAsia" w:ascii="宋体" w:hAnsi="宋体" w:eastAsia="宋体" w:cs="宋体"/>
          <w:color w:val="auto"/>
          <w:szCs w:val="21"/>
        </w:rPr>
        <w:t>包           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p>
    <w:tbl>
      <w:tblPr>
        <w:tblStyle w:val="47"/>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1115E6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011E7C5E">
            <w:pPr>
              <w:adjustRightInd w:val="0"/>
              <w:snapToGrid w:val="0"/>
              <w:spacing w:before="50" w:line="360" w:lineRule="auto"/>
              <w:ind w:left="-88" w:leftChars="-42"/>
              <w:jc w:val="center"/>
              <w:rPr>
                <w:rFonts w:hint="eastAsia" w:ascii="宋体" w:hAnsi="宋体" w:eastAsia="宋体" w:cs="宋体"/>
                <w:color w:val="auto"/>
                <w:szCs w:val="21"/>
              </w:rPr>
            </w:pPr>
            <w:r>
              <w:rPr>
                <w:rFonts w:hint="eastAsia" w:ascii="宋体" w:hAnsi="宋体" w:eastAsia="宋体" w:cs="宋体"/>
                <w:bCs/>
                <w:color w:val="auto"/>
                <w:szCs w:val="21"/>
              </w:rPr>
              <w:t>序</w:t>
            </w:r>
            <w:r>
              <w:rPr>
                <w:rFonts w:hint="eastAsia" w:ascii="宋体" w:hAnsi="宋体" w:eastAsia="宋体" w:cs="宋体"/>
                <w:color w:val="auto"/>
                <w:szCs w:val="21"/>
              </w:rPr>
              <w:t>号</w:t>
            </w:r>
          </w:p>
        </w:tc>
        <w:tc>
          <w:tcPr>
            <w:tcW w:w="2410" w:type="dxa"/>
            <w:vAlign w:val="center"/>
          </w:tcPr>
          <w:p w14:paraId="4D812E43">
            <w:pPr>
              <w:adjustRightInd w:val="0"/>
              <w:snapToGrid w:val="0"/>
              <w:spacing w:before="50" w:line="360" w:lineRule="auto"/>
              <w:ind w:left="-88" w:leftChars="-42"/>
              <w:jc w:val="center"/>
              <w:rPr>
                <w:rFonts w:hint="eastAsia" w:ascii="宋体" w:hAnsi="宋体" w:eastAsia="宋体" w:cs="宋体"/>
                <w:color w:val="auto"/>
                <w:szCs w:val="21"/>
              </w:rPr>
            </w:pPr>
            <w:r>
              <w:rPr>
                <w:rFonts w:hint="eastAsia" w:ascii="宋体" w:hAnsi="宋体" w:eastAsia="宋体" w:cs="宋体"/>
                <w:color w:val="auto"/>
                <w:szCs w:val="21"/>
              </w:rPr>
              <w:t>招标文件章节</w:t>
            </w:r>
            <w:r>
              <w:rPr>
                <w:rFonts w:hint="eastAsia" w:ascii="宋体" w:hAnsi="宋体" w:eastAsia="宋体" w:cs="宋体"/>
                <w:bCs/>
                <w:color w:val="auto"/>
                <w:szCs w:val="21"/>
              </w:rPr>
              <w:t>条</w:t>
            </w:r>
            <w:r>
              <w:rPr>
                <w:rFonts w:hint="eastAsia" w:ascii="宋体" w:hAnsi="宋体" w:eastAsia="宋体" w:cs="宋体"/>
                <w:color w:val="auto"/>
                <w:szCs w:val="21"/>
              </w:rPr>
              <w:t>款号</w:t>
            </w:r>
          </w:p>
        </w:tc>
        <w:tc>
          <w:tcPr>
            <w:tcW w:w="1985" w:type="dxa"/>
            <w:vAlign w:val="center"/>
          </w:tcPr>
          <w:p w14:paraId="70716458">
            <w:pPr>
              <w:adjustRightInd w:val="0"/>
              <w:snapToGrid w:val="0"/>
              <w:spacing w:before="50" w:line="360" w:lineRule="auto"/>
              <w:ind w:left="-88" w:leftChars="-42"/>
              <w:jc w:val="center"/>
              <w:rPr>
                <w:rFonts w:hint="eastAsia" w:ascii="宋体" w:hAnsi="宋体" w:eastAsia="宋体" w:cs="宋体"/>
                <w:color w:val="auto"/>
                <w:szCs w:val="21"/>
              </w:rPr>
            </w:pPr>
            <w:r>
              <w:rPr>
                <w:rFonts w:hint="eastAsia" w:ascii="宋体" w:hAnsi="宋体" w:eastAsia="宋体" w:cs="宋体"/>
                <w:color w:val="auto"/>
              </w:rPr>
              <w:t>招标文件要求</w:t>
            </w:r>
          </w:p>
        </w:tc>
        <w:tc>
          <w:tcPr>
            <w:tcW w:w="2082" w:type="dxa"/>
            <w:tcBorders>
              <w:right w:val="single" w:color="auto" w:sz="4" w:space="0"/>
            </w:tcBorders>
            <w:vAlign w:val="center"/>
          </w:tcPr>
          <w:p w14:paraId="1E40604B">
            <w:pPr>
              <w:adjustRightInd w:val="0"/>
              <w:snapToGrid w:val="0"/>
              <w:spacing w:before="50" w:line="360" w:lineRule="auto"/>
              <w:jc w:val="center"/>
              <w:rPr>
                <w:rFonts w:hint="eastAsia" w:ascii="宋体" w:hAnsi="宋体" w:eastAsia="宋体" w:cs="宋体"/>
                <w:color w:val="auto"/>
                <w:szCs w:val="21"/>
              </w:rPr>
            </w:pPr>
            <w:r>
              <w:rPr>
                <w:rFonts w:hint="eastAsia" w:ascii="宋体" w:hAnsi="宋体" w:eastAsia="宋体" w:cs="宋体"/>
                <w:color w:val="auto"/>
              </w:rPr>
              <w:t>投标文件的应答</w:t>
            </w:r>
          </w:p>
        </w:tc>
        <w:tc>
          <w:tcPr>
            <w:tcW w:w="1942" w:type="dxa"/>
            <w:tcBorders>
              <w:left w:val="single" w:color="auto" w:sz="4" w:space="0"/>
            </w:tcBorders>
            <w:vAlign w:val="center"/>
          </w:tcPr>
          <w:p w14:paraId="358C6609">
            <w:pPr>
              <w:adjustRightInd w:val="0"/>
              <w:snapToGrid w:val="0"/>
              <w:spacing w:before="50" w:line="360" w:lineRule="auto"/>
              <w:ind w:left="-88" w:leftChars="-42"/>
              <w:jc w:val="center"/>
              <w:rPr>
                <w:rFonts w:hint="eastAsia" w:ascii="宋体" w:hAnsi="宋体" w:eastAsia="宋体" w:cs="宋体"/>
                <w:color w:val="auto"/>
                <w:szCs w:val="21"/>
              </w:rPr>
            </w:pPr>
            <w:r>
              <w:rPr>
                <w:rFonts w:hint="eastAsia" w:ascii="宋体" w:hAnsi="宋体" w:eastAsia="宋体" w:cs="宋体"/>
                <w:color w:val="auto"/>
                <w:szCs w:val="21"/>
              </w:rPr>
              <w:t>偏离说明</w:t>
            </w:r>
          </w:p>
        </w:tc>
      </w:tr>
      <w:tr w14:paraId="625845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75DEDD3">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vAlign w:val="center"/>
          </w:tcPr>
          <w:p w14:paraId="55EE1585">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tcPr>
          <w:p w14:paraId="58E19F18">
            <w:pPr>
              <w:adjustRightInd w:val="0"/>
              <w:snapToGrid w:val="0"/>
              <w:spacing w:before="50" w:line="360" w:lineRule="auto"/>
              <w:rPr>
                <w:rFonts w:hint="eastAsia" w:ascii="宋体" w:hAnsi="宋体" w:eastAsia="宋体" w:cs="宋体"/>
                <w:color w:val="auto"/>
              </w:rPr>
            </w:pPr>
          </w:p>
        </w:tc>
        <w:tc>
          <w:tcPr>
            <w:tcW w:w="2082" w:type="dxa"/>
            <w:tcBorders>
              <w:right w:val="single" w:color="auto" w:sz="4" w:space="0"/>
            </w:tcBorders>
          </w:tcPr>
          <w:p w14:paraId="582A56FB">
            <w:pPr>
              <w:adjustRightInd w:val="0"/>
              <w:snapToGrid w:val="0"/>
              <w:spacing w:before="50" w:line="360" w:lineRule="auto"/>
              <w:rPr>
                <w:rFonts w:hint="eastAsia" w:ascii="宋体" w:hAnsi="宋体" w:eastAsia="宋体" w:cs="宋体"/>
                <w:color w:val="auto"/>
              </w:rPr>
            </w:pPr>
          </w:p>
        </w:tc>
        <w:tc>
          <w:tcPr>
            <w:tcW w:w="1942" w:type="dxa"/>
            <w:tcBorders>
              <w:left w:val="single" w:color="auto" w:sz="4" w:space="0"/>
            </w:tcBorders>
          </w:tcPr>
          <w:p w14:paraId="0F302678">
            <w:pPr>
              <w:adjustRightInd w:val="0"/>
              <w:snapToGrid w:val="0"/>
              <w:spacing w:before="50" w:line="360" w:lineRule="auto"/>
              <w:ind w:left="-88" w:leftChars="-42"/>
              <w:jc w:val="center"/>
              <w:rPr>
                <w:rFonts w:hint="eastAsia" w:ascii="宋体" w:hAnsi="宋体" w:eastAsia="宋体" w:cs="宋体"/>
                <w:color w:val="auto"/>
                <w:szCs w:val="21"/>
              </w:rPr>
            </w:pPr>
          </w:p>
        </w:tc>
      </w:tr>
      <w:tr w14:paraId="0EE346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C1EC198">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vAlign w:val="center"/>
          </w:tcPr>
          <w:p w14:paraId="30DB57D1">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vAlign w:val="center"/>
          </w:tcPr>
          <w:p w14:paraId="029B7833">
            <w:pPr>
              <w:adjustRightInd w:val="0"/>
              <w:snapToGrid w:val="0"/>
              <w:spacing w:before="50" w:line="360" w:lineRule="auto"/>
              <w:ind w:left="-88" w:leftChars="-42"/>
              <w:jc w:val="center"/>
              <w:rPr>
                <w:rFonts w:hint="eastAsia" w:ascii="宋体" w:hAnsi="宋体" w:eastAsia="宋体" w:cs="宋体"/>
                <w:color w:val="auto"/>
                <w:szCs w:val="21"/>
              </w:rPr>
            </w:pPr>
          </w:p>
        </w:tc>
        <w:tc>
          <w:tcPr>
            <w:tcW w:w="2082" w:type="dxa"/>
            <w:tcBorders>
              <w:right w:val="single" w:color="auto" w:sz="4" w:space="0"/>
            </w:tcBorders>
            <w:vAlign w:val="center"/>
          </w:tcPr>
          <w:p w14:paraId="173BBD8B">
            <w:pPr>
              <w:adjustRightInd w:val="0"/>
              <w:snapToGrid w:val="0"/>
              <w:spacing w:before="50" w:line="360" w:lineRule="auto"/>
              <w:ind w:left="-88" w:leftChars="-42"/>
              <w:jc w:val="center"/>
              <w:rPr>
                <w:rFonts w:hint="eastAsia" w:ascii="宋体" w:hAnsi="宋体" w:eastAsia="宋体" w:cs="宋体"/>
                <w:color w:val="auto"/>
                <w:szCs w:val="21"/>
              </w:rPr>
            </w:pPr>
          </w:p>
        </w:tc>
        <w:tc>
          <w:tcPr>
            <w:tcW w:w="1942" w:type="dxa"/>
            <w:tcBorders>
              <w:left w:val="single" w:color="auto" w:sz="4" w:space="0"/>
            </w:tcBorders>
            <w:vAlign w:val="center"/>
          </w:tcPr>
          <w:p w14:paraId="6F850B79">
            <w:pPr>
              <w:adjustRightInd w:val="0"/>
              <w:snapToGrid w:val="0"/>
              <w:spacing w:before="50" w:line="360" w:lineRule="auto"/>
              <w:ind w:left="-88" w:leftChars="-42"/>
              <w:jc w:val="center"/>
              <w:rPr>
                <w:rFonts w:hint="eastAsia" w:ascii="宋体" w:hAnsi="宋体" w:eastAsia="宋体" w:cs="宋体"/>
                <w:color w:val="auto"/>
                <w:szCs w:val="21"/>
              </w:rPr>
            </w:pPr>
          </w:p>
        </w:tc>
      </w:tr>
      <w:tr w14:paraId="09409E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6DC24CE3">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vAlign w:val="center"/>
          </w:tcPr>
          <w:p w14:paraId="6865D6AE">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vAlign w:val="center"/>
          </w:tcPr>
          <w:p w14:paraId="3D93256C">
            <w:pPr>
              <w:adjustRightInd w:val="0"/>
              <w:snapToGrid w:val="0"/>
              <w:spacing w:before="50" w:line="360" w:lineRule="auto"/>
              <w:ind w:left="-88" w:leftChars="-42"/>
              <w:jc w:val="center"/>
              <w:rPr>
                <w:rFonts w:hint="eastAsia" w:ascii="宋体" w:hAnsi="宋体" w:eastAsia="宋体" w:cs="宋体"/>
                <w:color w:val="auto"/>
                <w:szCs w:val="21"/>
              </w:rPr>
            </w:pPr>
          </w:p>
        </w:tc>
        <w:tc>
          <w:tcPr>
            <w:tcW w:w="2082" w:type="dxa"/>
            <w:tcBorders>
              <w:right w:val="single" w:color="auto" w:sz="4" w:space="0"/>
            </w:tcBorders>
            <w:vAlign w:val="center"/>
          </w:tcPr>
          <w:p w14:paraId="53792F7C">
            <w:pPr>
              <w:adjustRightInd w:val="0"/>
              <w:snapToGrid w:val="0"/>
              <w:spacing w:before="50" w:line="360" w:lineRule="auto"/>
              <w:ind w:left="-88" w:leftChars="-42"/>
              <w:jc w:val="center"/>
              <w:rPr>
                <w:rFonts w:hint="eastAsia" w:ascii="宋体" w:hAnsi="宋体" w:eastAsia="宋体" w:cs="宋体"/>
                <w:color w:val="auto"/>
                <w:szCs w:val="21"/>
              </w:rPr>
            </w:pPr>
          </w:p>
        </w:tc>
        <w:tc>
          <w:tcPr>
            <w:tcW w:w="1942" w:type="dxa"/>
            <w:tcBorders>
              <w:left w:val="single" w:color="auto" w:sz="4" w:space="0"/>
            </w:tcBorders>
            <w:vAlign w:val="center"/>
          </w:tcPr>
          <w:p w14:paraId="63375E3D">
            <w:pPr>
              <w:adjustRightInd w:val="0"/>
              <w:snapToGrid w:val="0"/>
              <w:spacing w:before="50" w:line="360" w:lineRule="auto"/>
              <w:ind w:left="-88" w:leftChars="-42"/>
              <w:jc w:val="center"/>
              <w:rPr>
                <w:rFonts w:hint="eastAsia" w:ascii="宋体" w:hAnsi="宋体" w:eastAsia="宋体" w:cs="宋体"/>
                <w:color w:val="auto"/>
                <w:szCs w:val="21"/>
              </w:rPr>
            </w:pPr>
          </w:p>
        </w:tc>
      </w:tr>
      <w:tr w14:paraId="2DFB8F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4B61220E">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vAlign w:val="center"/>
          </w:tcPr>
          <w:p w14:paraId="5F37698A">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vAlign w:val="center"/>
          </w:tcPr>
          <w:p w14:paraId="288BB727">
            <w:pPr>
              <w:adjustRightInd w:val="0"/>
              <w:snapToGrid w:val="0"/>
              <w:spacing w:before="50" w:line="360" w:lineRule="auto"/>
              <w:ind w:left="-88" w:leftChars="-42"/>
              <w:jc w:val="center"/>
              <w:rPr>
                <w:rFonts w:hint="eastAsia" w:ascii="宋体" w:hAnsi="宋体" w:eastAsia="宋体" w:cs="宋体"/>
                <w:color w:val="auto"/>
                <w:szCs w:val="21"/>
              </w:rPr>
            </w:pPr>
          </w:p>
        </w:tc>
        <w:tc>
          <w:tcPr>
            <w:tcW w:w="2082" w:type="dxa"/>
            <w:tcBorders>
              <w:right w:val="single" w:color="auto" w:sz="4" w:space="0"/>
            </w:tcBorders>
            <w:vAlign w:val="center"/>
          </w:tcPr>
          <w:p w14:paraId="296B8EBB">
            <w:pPr>
              <w:adjustRightInd w:val="0"/>
              <w:snapToGrid w:val="0"/>
              <w:spacing w:before="50" w:line="360" w:lineRule="auto"/>
              <w:ind w:left="-88" w:leftChars="-42"/>
              <w:jc w:val="center"/>
              <w:rPr>
                <w:rFonts w:hint="eastAsia" w:ascii="宋体" w:hAnsi="宋体" w:eastAsia="宋体" w:cs="宋体"/>
                <w:color w:val="auto"/>
                <w:szCs w:val="21"/>
              </w:rPr>
            </w:pPr>
          </w:p>
        </w:tc>
        <w:tc>
          <w:tcPr>
            <w:tcW w:w="1942" w:type="dxa"/>
            <w:tcBorders>
              <w:left w:val="single" w:color="auto" w:sz="4" w:space="0"/>
            </w:tcBorders>
            <w:vAlign w:val="center"/>
          </w:tcPr>
          <w:p w14:paraId="57C6054A">
            <w:pPr>
              <w:adjustRightInd w:val="0"/>
              <w:snapToGrid w:val="0"/>
              <w:spacing w:before="50" w:line="360" w:lineRule="auto"/>
              <w:ind w:left="-88" w:leftChars="-42"/>
              <w:jc w:val="center"/>
              <w:rPr>
                <w:rFonts w:hint="eastAsia" w:ascii="宋体" w:hAnsi="宋体" w:eastAsia="宋体" w:cs="宋体"/>
                <w:color w:val="auto"/>
                <w:szCs w:val="21"/>
              </w:rPr>
            </w:pPr>
          </w:p>
        </w:tc>
      </w:tr>
      <w:tr w14:paraId="43F09F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815FB31">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vAlign w:val="center"/>
          </w:tcPr>
          <w:p w14:paraId="31CB9E9E">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vAlign w:val="center"/>
          </w:tcPr>
          <w:p w14:paraId="24D1F8F2">
            <w:pPr>
              <w:adjustRightInd w:val="0"/>
              <w:snapToGrid w:val="0"/>
              <w:spacing w:before="50" w:line="360" w:lineRule="auto"/>
              <w:ind w:left="-88" w:leftChars="-42"/>
              <w:jc w:val="center"/>
              <w:rPr>
                <w:rFonts w:hint="eastAsia" w:ascii="宋体" w:hAnsi="宋体" w:eastAsia="宋体" w:cs="宋体"/>
                <w:color w:val="auto"/>
                <w:szCs w:val="21"/>
              </w:rPr>
            </w:pPr>
          </w:p>
        </w:tc>
        <w:tc>
          <w:tcPr>
            <w:tcW w:w="2082" w:type="dxa"/>
            <w:tcBorders>
              <w:right w:val="single" w:color="auto" w:sz="4" w:space="0"/>
            </w:tcBorders>
            <w:vAlign w:val="center"/>
          </w:tcPr>
          <w:p w14:paraId="577D7DCA">
            <w:pPr>
              <w:adjustRightInd w:val="0"/>
              <w:snapToGrid w:val="0"/>
              <w:spacing w:before="50" w:line="360" w:lineRule="auto"/>
              <w:ind w:left="-88" w:leftChars="-42"/>
              <w:jc w:val="center"/>
              <w:rPr>
                <w:rFonts w:hint="eastAsia" w:ascii="宋体" w:hAnsi="宋体" w:eastAsia="宋体" w:cs="宋体"/>
                <w:color w:val="auto"/>
                <w:szCs w:val="21"/>
              </w:rPr>
            </w:pPr>
          </w:p>
        </w:tc>
        <w:tc>
          <w:tcPr>
            <w:tcW w:w="1942" w:type="dxa"/>
            <w:tcBorders>
              <w:left w:val="single" w:color="auto" w:sz="4" w:space="0"/>
            </w:tcBorders>
            <w:vAlign w:val="center"/>
          </w:tcPr>
          <w:p w14:paraId="60347345">
            <w:pPr>
              <w:adjustRightInd w:val="0"/>
              <w:snapToGrid w:val="0"/>
              <w:spacing w:before="50" w:line="360" w:lineRule="auto"/>
              <w:ind w:left="-88" w:leftChars="-42"/>
              <w:jc w:val="center"/>
              <w:rPr>
                <w:rFonts w:hint="eastAsia" w:ascii="宋体" w:hAnsi="宋体" w:eastAsia="宋体" w:cs="宋体"/>
                <w:color w:val="auto"/>
                <w:szCs w:val="21"/>
              </w:rPr>
            </w:pPr>
          </w:p>
        </w:tc>
      </w:tr>
      <w:tr w14:paraId="63BE29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E03BF5A">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vAlign w:val="center"/>
          </w:tcPr>
          <w:p w14:paraId="3028A430">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vAlign w:val="center"/>
          </w:tcPr>
          <w:p w14:paraId="60D3C6F7">
            <w:pPr>
              <w:adjustRightInd w:val="0"/>
              <w:snapToGrid w:val="0"/>
              <w:spacing w:before="50" w:line="360" w:lineRule="auto"/>
              <w:ind w:left="-88" w:leftChars="-42"/>
              <w:jc w:val="center"/>
              <w:rPr>
                <w:rFonts w:hint="eastAsia" w:ascii="宋体" w:hAnsi="宋体" w:eastAsia="宋体" w:cs="宋体"/>
                <w:color w:val="auto"/>
                <w:szCs w:val="21"/>
              </w:rPr>
            </w:pPr>
          </w:p>
        </w:tc>
        <w:tc>
          <w:tcPr>
            <w:tcW w:w="2082" w:type="dxa"/>
            <w:tcBorders>
              <w:right w:val="single" w:color="auto" w:sz="4" w:space="0"/>
            </w:tcBorders>
            <w:vAlign w:val="center"/>
          </w:tcPr>
          <w:p w14:paraId="2FC4E506">
            <w:pPr>
              <w:adjustRightInd w:val="0"/>
              <w:snapToGrid w:val="0"/>
              <w:spacing w:before="50" w:line="360" w:lineRule="auto"/>
              <w:ind w:left="-88" w:leftChars="-42"/>
              <w:jc w:val="center"/>
              <w:rPr>
                <w:rFonts w:hint="eastAsia" w:ascii="宋体" w:hAnsi="宋体" w:eastAsia="宋体" w:cs="宋体"/>
                <w:color w:val="auto"/>
                <w:szCs w:val="21"/>
              </w:rPr>
            </w:pPr>
          </w:p>
        </w:tc>
        <w:tc>
          <w:tcPr>
            <w:tcW w:w="1942" w:type="dxa"/>
            <w:tcBorders>
              <w:left w:val="single" w:color="auto" w:sz="4" w:space="0"/>
            </w:tcBorders>
            <w:vAlign w:val="center"/>
          </w:tcPr>
          <w:p w14:paraId="2FDD0558">
            <w:pPr>
              <w:adjustRightInd w:val="0"/>
              <w:snapToGrid w:val="0"/>
              <w:spacing w:before="50" w:line="360" w:lineRule="auto"/>
              <w:ind w:left="-88" w:leftChars="-42"/>
              <w:jc w:val="center"/>
              <w:rPr>
                <w:rFonts w:hint="eastAsia" w:ascii="宋体" w:hAnsi="宋体" w:eastAsia="宋体" w:cs="宋体"/>
                <w:color w:val="auto"/>
                <w:szCs w:val="21"/>
              </w:rPr>
            </w:pPr>
          </w:p>
        </w:tc>
      </w:tr>
      <w:tr w14:paraId="404D73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474B4F3">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vAlign w:val="center"/>
          </w:tcPr>
          <w:p w14:paraId="19D8F113">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vAlign w:val="center"/>
          </w:tcPr>
          <w:p w14:paraId="4879A5A7">
            <w:pPr>
              <w:adjustRightInd w:val="0"/>
              <w:snapToGrid w:val="0"/>
              <w:spacing w:before="50" w:line="360" w:lineRule="auto"/>
              <w:ind w:left="-88" w:leftChars="-42"/>
              <w:jc w:val="center"/>
              <w:rPr>
                <w:rFonts w:hint="eastAsia" w:ascii="宋体" w:hAnsi="宋体" w:eastAsia="宋体" w:cs="宋体"/>
                <w:color w:val="auto"/>
                <w:szCs w:val="21"/>
              </w:rPr>
            </w:pPr>
          </w:p>
        </w:tc>
        <w:tc>
          <w:tcPr>
            <w:tcW w:w="4024" w:type="dxa"/>
            <w:gridSpan w:val="2"/>
            <w:vAlign w:val="center"/>
          </w:tcPr>
          <w:p w14:paraId="512DB0B8">
            <w:pPr>
              <w:adjustRightInd w:val="0"/>
              <w:snapToGrid w:val="0"/>
              <w:spacing w:before="50" w:line="360" w:lineRule="auto"/>
              <w:ind w:firstLine="422" w:firstLineChars="200"/>
              <w:jc w:val="left"/>
              <w:rPr>
                <w:rFonts w:hint="eastAsia" w:ascii="宋体" w:hAnsi="宋体" w:eastAsia="宋体" w:cs="宋体"/>
                <w:b/>
                <w:color w:val="auto"/>
                <w:szCs w:val="21"/>
              </w:rPr>
            </w:pPr>
            <w:r>
              <w:rPr>
                <w:rFonts w:hint="eastAsia" w:ascii="宋体" w:hAnsi="宋体" w:eastAsia="宋体" w:cs="宋体"/>
                <w:b/>
                <w:color w:val="auto"/>
                <w:szCs w:val="21"/>
              </w:rPr>
              <w:t>投标人保证：除本合同条款偏离表列出的偏离外，我单位对招标文件的其他商务、合同条款完全响应，无偏离。</w:t>
            </w:r>
          </w:p>
        </w:tc>
      </w:tr>
    </w:tbl>
    <w:p w14:paraId="486E0C9D">
      <w:pPr>
        <w:adjustRightInd w:val="0"/>
        <w:snapToGrid w:val="0"/>
        <w:spacing w:before="50" w:line="360" w:lineRule="auto"/>
        <w:ind w:left="-88" w:leftChars="-42"/>
        <w:rPr>
          <w:rFonts w:hint="eastAsia" w:ascii="宋体" w:hAnsi="宋体" w:eastAsia="宋体" w:cs="宋体"/>
          <w:color w:val="auto"/>
          <w:szCs w:val="21"/>
        </w:rPr>
      </w:pPr>
      <w:r>
        <w:rPr>
          <w:rFonts w:hint="eastAsia" w:ascii="宋体" w:hAnsi="宋体" w:eastAsia="宋体" w:cs="宋体"/>
          <w:bCs/>
          <w:color w:val="auto"/>
          <w:szCs w:val="21"/>
        </w:rPr>
        <w:t>注：</w:t>
      </w:r>
      <w:r>
        <w:rPr>
          <w:rFonts w:hint="eastAsia" w:ascii="宋体" w:hAnsi="宋体" w:eastAsia="宋体" w:cs="宋体"/>
          <w:color w:val="auto"/>
          <w:szCs w:val="21"/>
        </w:rPr>
        <w:t>1.投标人应根据招标文件第六章“政府采购合同”填写本表；</w:t>
      </w:r>
    </w:p>
    <w:p w14:paraId="42BDA849">
      <w:pPr>
        <w:adjustRightInd w:val="0"/>
        <w:snapToGrid w:val="0"/>
        <w:spacing w:before="50" w:line="360" w:lineRule="auto"/>
        <w:ind w:left="-88" w:leftChars="-42" w:firstLine="420" w:firstLineChars="200"/>
        <w:rPr>
          <w:rFonts w:hint="eastAsia" w:ascii="宋体" w:hAnsi="宋体" w:eastAsia="宋体" w:cs="宋体"/>
          <w:b/>
          <w:color w:val="auto"/>
          <w:szCs w:val="21"/>
        </w:rPr>
      </w:pPr>
      <w:r>
        <w:rPr>
          <w:rFonts w:hint="eastAsia" w:ascii="宋体" w:hAnsi="宋体" w:eastAsia="宋体" w:cs="宋体"/>
          <w:color w:val="auto"/>
          <w:szCs w:val="21"/>
        </w:rPr>
        <w:t>2.</w:t>
      </w:r>
      <w:r>
        <w:rPr>
          <w:rFonts w:hint="eastAsia" w:ascii="宋体" w:hAnsi="宋体" w:eastAsia="宋体" w:cs="宋体"/>
          <w:b/>
          <w:color w:val="auto"/>
          <w:szCs w:val="21"/>
        </w:rPr>
        <w:t>投标人如果对招标文件第六章“政府采购合同”的响应有偏离，应将偏离条款逐条如实应答，并作出说明；</w:t>
      </w:r>
    </w:p>
    <w:p w14:paraId="6D0AC2DC">
      <w:pPr>
        <w:adjustRightInd w:val="0"/>
        <w:snapToGrid w:val="0"/>
        <w:spacing w:before="50" w:line="360" w:lineRule="auto"/>
        <w:ind w:left="-88" w:leftChars="-42" w:firstLine="420" w:firstLineChars="200"/>
        <w:rPr>
          <w:rFonts w:hint="eastAsia" w:ascii="宋体" w:hAnsi="宋体" w:eastAsia="宋体" w:cs="宋体"/>
          <w:color w:val="auto"/>
          <w:szCs w:val="21"/>
        </w:rPr>
      </w:pPr>
      <w:r>
        <w:rPr>
          <w:rFonts w:hint="eastAsia" w:ascii="宋体" w:hAnsi="宋体" w:eastAsia="宋体" w:cs="宋体"/>
          <w:color w:val="auto"/>
          <w:szCs w:val="21"/>
        </w:rPr>
        <w:t>3.如不提供此表，则视为投标人不满足招标文件第六章的所有条款要求，其</w:t>
      </w:r>
      <w:r>
        <w:rPr>
          <w:rFonts w:hint="eastAsia" w:ascii="宋体" w:hAnsi="宋体" w:eastAsia="宋体" w:cs="宋体"/>
          <w:b/>
          <w:color w:val="auto"/>
          <w:szCs w:val="21"/>
        </w:rPr>
        <w:t>投标无效</w:t>
      </w:r>
      <w:r>
        <w:rPr>
          <w:rFonts w:hint="eastAsia" w:ascii="宋体" w:hAnsi="宋体" w:eastAsia="宋体" w:cs="宋体"/>
          <w:color w:val="auto"/>
          <w:szCs w:val="21"/>
        </w:rPr>
        <w:t>。</w:t>
      </w:r>
    </w:p>
    <w:p w14:paraId="47836518">
      <w:pPr>
        <w:adjustRightInd w:val="0"/>
        <w:snapToGrid w:val="0"/>
        <w:spacing w:before="50" w:line="360" w:lineRule="auto"/>
        <w:ind w:left="-88" w:leftChars="-42" w:firstLine="420" w:firstLineChars="200"/>
        <w:rPr>
          <w:rFonts w:hint="eastAsia" w:ascii="宋体" w:hAnsi="宋体" w:eastAsia="宋体" w:cs="宋体"/>
          <w:color w:val="auto"/>
          <w:szCs w:val="21"/>
        </w:rPr>
      </w:pPr>
      <w:r>
        <w:rPr>
          <w:rFonts w:hint="eastAsia" w:ascii="宋体" w:hAnsi="宋体" w:eastAsia="宋体" w:cs="宋体"/>
          <w:color w:val="auto"/>
          <w:szCs w:val="21"/>
        </w:rPr>
        <w:t>4.在采购人与中标人签订合同时，如中标人未在投标文件“合同条款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19EA32C1">
      <w:pPr>
        <w:adjustRightInd w:val="0"/>
        <w:snapToGrid w:val="0"/>
        <w:spacing w:before="50" w:line="360" w:lineRule="auto"/>
        <w:rPr>
          <w:rFonts w:hint="eastAsia" w:ascii="宋体" w:hAnsi="宋体" w:eastAsia="宋体" w:cs="宋体"/>
          <w:color w:val="auto"/>
          <w:szCs w:val="21"/>
        </w:rPr>
      </w:pPr>
    </w:p>
    <w:p w14:paraId="56020C8A">
      <w:pPr>
        <w:adjustRightInd w:val="0"/>
        <w:snapToGrid w:val="0"/>
        <w:spacing w:before="50" w:line="360" w:lineRule="auto"/>
        <w:rPr>
          <w:rFonts w:hint="eastAsia" w:ascii="宋体" w:hAnsi="宋体" w:eastAsia="宋体" w:cs="宋体"/>
          <w:color w:val="auto"/>
          <w:szCs w:val="21"/>
        </w:rPr>
      </w:pPr>
    </w:p>
    <w:p w14:paraId="3D50E77E">
      <w:pPr>
        <w:adjustRightInd w:val="0"/>
        <w:snapToGrid w:val="0"/>
        <w:spacing w:before="50" w:line="360" w:lineRule="auto"/>
        <w:rPr>
          <w:rFonts w:hint="eastAsia" w:ascii="宋体" w:hAnsi="宋体" w:eastAsia="宋体" w:cs="宋体"/>
          <w:color w:val="auto"/>
          <w:szCs w:val="21"/>
        </w:rPr>
      </w:pPr>
      <w:r>
        <w:rPr>
          <w:rFonts w:hint="eastAsia" w:ascii="宋体" w:hAnsi="宋体" w:eastAsia="宋体" w:cs="宋体"/>
          <w:color w:val="auto"/>
          <w:szCs w:val="21"/>
        </w:rPr>
        <w:t>投标人名称（盖单位章）：</w:t>
      </w:r>
    </w:p>
    <w:p w14:paraId="6470D555">
      <w:pPr>
        <w:adjustRightInd w:val="0"/>
        <w:snapToGrid w:val="0"/>
        <w:spacing w:before="50" w:line="360" w:lineRule="auto"/>
        <w:rPr>
          <w:rFonts w:hint="eastAsia" w:ascii="宋体" w:hAnsi="宋体" w:eastAsia="宋体" w:cs="宋体"/>
          <w:color w:val="auto"/>
          <w:szCs w:val="21"/>
        </w:rPr>
      </w:pPr>
      <w:r>
        <w:rPr>
          <w:rFonts w:hint="eastAsia" w:ascii="宋体" w:hAnsi="宋体" w:eastAsia="宋体" w:cs="宋体"/>
          <w:color w:val="auto"/>
          <w:spacing w:val="-2"/>
          <w:kern w:val="0"/>
          <w:szCs w:val="21"/>
        </w:rPr>
        <w:t>法</w:t>
      </w:r>
      <w:r>
        <w:rPr>
          <w:rFonts w:hint="eastAsia" w:ascii="宋体" w:hAnsi="宋体" w:eastAsia="宋体" w:cs="宋体"/>
          <w:color w:val="auto"/>
          <w:kern w:val="0"/>
          <w:szCs w:val="21"/>
        </w:rPr>
        <w:t>定</w:t>
      </w:r>
      <w:r>
        <w:rPr>
          <w:rFonts w:hint="eastAsia" w:ascii="宋体" w:hAnsi="宋体" w:eastAsia="宋体" w:cs="宋体"/>
          <w:color w:val="auto"/>
          <w:spacing w:val="-2"/>
          <w:kern w:val="0"/>
          <w:szCs w:val="21"/>
        </w:rPr>
        <w:t>代</w:t>
      </w:r>
      <w:r>
        <w:rPr>
          <w:rFonts w:hint="eastAsia" w:ascii="宋体" w:hAnsi="宋体" w:eastAsia="宋体" w:cs="宋体"/>
          <w:color w:val="auto"/>
          <w:kern w:val="0"/>
          <w:szCs w:val="21"/>
        </w:rPr>
        <w:t>表</w:t>
      </w:r>
      <w:r>
        <w:rPr>
          <w:rFonts w:hint="eastAsia" w:ascii="宋体" w:hAnsi="宋体" w:eastAsia="宋体" w:cs="宋体"/>
          <w:color w:val="auto"/>
          <w:spacing w:val="-2"/>
          <w:kern w:val="0"/>
          <w:szCs w:val="21"/>
        </w:rPr>
        <w:t>人</w:t>
      </w:r>
      <w:r>
        <w:rPr>
          <w:rFonts w:hint="eastAsia" w:ascii="宋体" w:hAnsi="宋体" w:eastAsia="宋体" w:cs="宋体"/>
          <w:color w:val="auto"/>
          <w:kern w:val="0"/>
          <w:szCs w:val="21"/>
        </w:rPr>
        <w:t>（</w:t>
      </w:r>
      <w:r>
        <w:rPr>
          <w:rFonts w:hint="eastAsia" w:ascii="宋体" w:hAnsi="宋体" w:eastAsia="宋体" w:cs="宋体"/>
          <w:color w:val="auto"/>
          <w:spacing w:val="-2"/>
          <w:kern w:val="0"/>
          <w:szCs w:val="21"/>
        </w:rPr>
        <w:t>单</w:t>
      </w:r>
      <w:r>
        <w:rPr>
          <w:rFonts w:hint="eastAsia" w:ascii="宋体" w:hAnsi="宋体" w:eastAsia="宋体" w:cs="宋体"/>
          <w:color w:val="auto"/>
          <w:kern w:val="0"/>
          <w:szCs w:val="21"/>
        </w:rPr>
        <w:t>位</w:t>
      </w:r>
      <w:r>
        <w:rPr>
          <w:rFonts w:hint="eastAsia" w:ascii="宋体" w:hAnsi="宋体" w:eastAsia="宋体" w:cs="宋体"/>
          <w:color w:val="auto"/>
          <w:spacing w:val="-2"/>
          <w:kern w:val="0"/>
          <w:szCs w:val="21"/>
        </w:rPr>
        <w:t>负</w:t>
      </w:r>
      <w:r>
        <w:rPr>
          <w:rFonts w:hint="eastAsia" w:ascii="宋体" w:hAnsi="宋体" w:eastAsia="宋体" w:cs="宋体"/>
          <w:color w:val="auto"/>
          <w:kern w:val="0"/>
          <w:szCs w:val="21"/>
        </w:rPr>
        <w:t>责人</w:t>
      </w:r>
      <w:r>
        <w:rPr>
          <w:rFonts w:hint="eastAsia" w:ascii="宋体" w:hAnsi="宋体" w:eastAsia="宋体" w:cs="宋体"/>
          <w:color w:val="auto"/>
          <w:spacing w:val="-2"/>
          <w:kern w:val="0"/>
          <w:szCs w:val="21"/>
        </w:rPr>
        <w:t>）</w:t>
      </w:r>
      <w:r>
        <w:rPr>
          <w:rFonts w:hint="eastAsia" w:ascii="宋体" w:hAnsi="宋体" w:eastAsia="宋体" w:cs="宋体"/>
          <w:color w:val="auto"/>
          <w:szCs w:val="21"/>
        </w:rPr>
        <w:t>或其授权的代理人（签字或印章）：</w:t>
      </w:r>
      <w:r>
        <w:rPr>
          <w:rFonts w:hint="eastAsia" w:ascii="宋体" w:hAnsi="宋体" w:eastAsia="宋体" w:cs="宋体"/>
          <w:color w:val="auto"/>
          <w:szCs w:val="21"/>
          <w:u w:val="single"/>
        </w:rPr>
        <w:t xml:space="preserve">                     </w:t>
      </w:r>
    </w:p>
    <w:p w14:paraId="71956F6C">
      <w:pPr>
        <w:adjustRightInd w:val="0"/>
        <w:snapToGrid w:val="0"/>
        <w:spacing w:before="50" w:line="168" w:lineRule="auto"/>
        <w:rPr>
          <w:rFonts w:hint="eastAsia" w:ascii="宋体" w:hAnsi="宋体" w:eastAsia="宋体" w:cs="宋体"/>
          <w:b/>
          <w:bCs/>
          <w:color w:val="auto"/>
          <w:sz w:val="28"/>
          <w:szCs w:val="28"/>
        </w:rPr>
      </w:pPr>
      <w:r>
        <w:rPr>
          <w:rFonts w:hint="eastAsia" w:ascii="宋体" w:hAnsi="宋体" w:eastAsia="宋体" w:cs="宋体"/>
          <w:color w:val="auto"/>
          <w:szCs w:val="21"/>
        </w:rPr>
        <w:t>日       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_日</w:t>
      </w:r>
      <w:r>
        <w:rPr>
          <w:rFonts w:hint="eastAsia" w:ascii="宋体" w:hAnsi="宋体" w:eastAsia="宋体" w:cs="宋体"/>
          <w:color w:val="auto"/>
          <w:sz w:val="28"/>
          <w:szCs w:val="28"/>
        </w:rPr>
        <w:br w:type="page"/>
      </w:r>
    </w:p>
    <w:p w14:paraId="72DF2430">
      <w:pPr>
        <w:pStyle w:val="5"/>
        <w:adjustRightInd w:val="0"/>
        <w:snapToGrid w:val="0"/>
        <w:spacing w:before="157" w:beforeLines="50" w:after="0" w:line="360" w:lineRule="auto"/>
        <w:jc w:val="center"/>
        <w:rPr>
          <w:rFonts w:hint="eastAsia" w:ascii="宋体" w:hAnsi="宋体" w:eastAsia="宋体" w:cs="宋体"/>
          <w:color w:val="auto"/>
          <w:sz w:val="28"/>
          <w:szCs w:val="28"/>
        </w:rPr>
      </w:pPr>
      <w:bookmarkStart w:id="1502" w:name="_Toc22577"/>
      <w:bookmarkStart w:id="1503" w:name="_Toc6428"/>
      <w:bookmarkStart w:id="1504" w:name="_Toc3548"/>
      <w:r>
        <w:rPr>
          <w:rFonts w:hint="eastAsia" w:ascii="宋体" w:hAnsi="宋体" w:eastAsia="宋体" w:cs="宋体"/>
          <w:color w:val="auto"/>
          <w:sz w:val="28"/>
          <w:szCs w:val="28"/>
        </w:rPr>
        <w:t>九、采购需求偏离表</w:t>
      </w:r>
      <w:bookmarkEnd w:id="1502"/>
      <w:bookmarkEnd w:id="1503"/>
      <w:bookmarkEnd w:id="1504"/>
    </w:p>
    <w:p w14:paraId="33676B2B">
      <w:pPr>
        <w:adjustRightInd w:val="0"/>
        <w:snapToGrid w:val="0"/>
        <w:spacing w:before="157" w:beforeLines="50" w:line="360" w:lineRule="auto"/>
        <w:rPr>
          <w:rFonts w:hint="eastAsia" w:ascii="宋体" w:hAnsi="宋体" w:eastAsia="宋体" w:cs="宋体"/>
          <w:color w:val="auto"/>
          <w:szCs w:val="21"/>
          <w:u w:val="single"/>
        </w:rPr>
      </w:pPr>
      <w:r>
        <w:rPr>
          <w:rFonts w:hint="eastAsia" w:ascii="宋体" w:hAnsi="宋体" w:eastAsia="宋体" w:cs="宋体"/>
          <w:color w:val="auto"/>
          <w:spacing w:val="28"/>
          <w:szCs w:val="21"/>
        </w:rPr>
        <w:t>政府采购计划编号</w:t>
      </w:r>
      <w:r>
        <w:rPr>
          <w:rFonts w:hint="eastAsia" w:ascii="宋体" w:hAnsi="宋体" w:eastAsia="宋体" w:cs="宋体"/>
          <w:color w:val="auto"/>
          <w:szCs w:val="21"/>
        </w:rPr>
        <w:t>:</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p>
    <w:p w14:paraId="715D210D">
      <w:pPr>
        <w:adjustRightInd w:val="0"/>
        <w:snapToGrid w:val="0"/>
        <w:spacing w:before="157" w:beforeLines="50" w:line="360" w:lineRule="auto"/>
        <w:rPr>
          <w:rFonts w:hint="eastAsia" w:ascii="宋体" w:hAnsi="宋体" w:eastAsia="宋体" w:cs="宋体"/>
          <w:color w:val="auto"/>
          <w:szCs w:val="21"/>
          <w:u w:val="single"/>
        </w:rPr>
      </w:pPr>
      <w:r>
        <w:rPr>
          <w:rFonts w:hint="eastAsia" w:ascii="宋体" w:hAnsi="宋体" w:eastAsia="宋体" w:cs="宋体"/>
          <w:color w:val="auto"/>
          <w:szCs w:val="21"/>
        </w:rPr>
        <w:t>包           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p>
    <w:tbl>
      <w:tblPr>
        <w:tblStyle w:val="47"/>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490F37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284C55F8">
            <w:pPr>
              <w:adjustRightInd w:val="0"/>
              <w:snapToGrid w:val="0"/>
              <w:spacing w:before="50" w:line="360" w:lineRule="auto"/>
              <w:ind w:left="-88" w:leftChars="-42"/>
              <w:jc w:val="center"/>
              <w:rPr>
                <w:rFonts w:hint="eastAsia" w:ascii="宋体" w:hAnsi="宋体" w:eastAsia="宋体" w:cs="宋体"/>
                <w:color w:val="auto"/>
                <w:szCs w:val="21"/>
              </w:rPr>
            </w:pPr>
            <w:r>
              <w:rPr>
                <w:rFonts w:hint="eastAsia" w:ascii="宋体" w:hAnsi="宋体" w:eastAsia="宋体" w:cs="宋体"/>
                <w:bCs/>
                <w:color w:val="auto"/>
                <w:szCs w:val="21"/>
              </w:rPr>
              <w:t>序</w:t>
            </w:r>
            <w:r>
              <w:rPr>
                <w:rFonts w:hint="eastAsia" w:ascii="宋体" w:hAnsi="宋体" w:eastAsia="宋体" w:cs="宋体"/>
                <w:color w:val="auto"/>
                <w:szCs w:val="21"/>
              </w:rPr>
              <w:t>号</w:t>
            </w:r>
          </w:p>
        </w:tc>
        <w:tc>
          <w:tcPr>
            <w:tcW w:w="2410" w:type="dxa"/>
            <w:vAlign w:val="center"/>
          </w:tcPr>
          <w:p w14:paraId="5D18F715">
            <w:pPr>
              <w:adjustRightInd w:val="0"/>
              <w:snapToGrid w:val="0"/>
              <w:spacing w:before="50" w:line="360" w:lineRule="auto"/>
              <w:ind w:left="-88" w:leftChars="-42"/>
              <w:jc w:val="center"/>
              <w:rPr>
                <w:rFonts w:hint="eastAsia" w:ascii="宋体" w:hAnsi="宋体" w:eastAsia="宋体" w:cs="宋体"/>
                <w:color w:val="auto"/>
                <w:szCs w:val="21"/>
              </w:rPr>
            </w:pPr>
            <w:r>
              <w:rPr>
                <w:rFonts w:hint="eastAsia" w:ascii="宋体" w:hAnsi="宋体" w:eastAsia="宋体" w:cs="宋体"/>
                <w:color w:val="auto"/>
                <w:szCs w:val="21"/>
              </w:rPr>
              <w:t>招标文件章节</w:t>
            </w:r>
            <w:r>
              <w:rPr>
                <w:rFonts w:hint="eastAsia" w:ascii="宋体" w:hAnsi="宋体" w:eastAsia="宋体" w:cs="宋体"/>
                <w:bCs/>
                <w:color w:val="auto"/>
                <w:szCs w:val="21"/>
              </w:rPr>
              <w:t>条</w:t>
            </w:r>
            <w:r>
              <w:rPr>
                <w:rFonts w:hint="eastAsia" w:ascii="宋体" w:hAnsi="宋体" w:eastAsia="宋体" w:cs="宋体"/>
                <w:color w:val="auto"/>
                <w:szCs w:val="21"/>
              </w:rPr>
              <w:t>款号</w:t>
            </w:r>
          </w:p>
        </w:tc>
        <w:tc>
          <w:tcPr>
            <w:tcW w:w="1985" w:type="dxa"/>
            <w:tcBorders>
              <w:right w:val="single" w:color="auto" w:sz="4" w:space="0"/>
            </w:tcBorders>
          </w:tcPr>
          <w:p w14:paraId="52B9661D">
            <w:pPr>
              <w:adjustRightInd w:val="0"/>
              <w:snapToGrid w:val="0"/>
              <w:spacing w:before="50" w:line="360" w:lineRule="auto"/>
              <w:jc w:val="center"/>
              <w:rPr>
                <w:rFonts w:hint="eastAsia" w:ascii="宋体" w:hAnsi="宋体" w:eastAsia="宋体" w:cs="宋体"/>
                <w:color w:val="auto"/>
              </w:rPr>
            </w:pPr>
            <w:r>
              <w:rPr>
                <w:rFonts w:hint="eastAsia" w:ascii="宋体" w:hAnsi="宋体" w:eastAsia="宋体" w:cs="宋体"/>
                <w:color w:val="auto"/>
              </w:rPr>
              <w:t>招标文件要求</w:t>
            </w:r>
          </w:p>
        </w:tc>
        <w:tc>
          <w:tcPr>
            <w:tcW w:w="2126" w:type="dxa"/>
            <w:tcBorders>
              <w:left w:val="single" w:color="auto" w:sz="4" w:space="0"/>
            </w:tcBorders>
          </w:tcPr>
          <w:p w14:paraId="58A00C96">
            <w:pPr>
              <w:adjustRightInd w:val="0"/>
              <w:snapToGrid w:val="0"/>
              <w:spacing w:before="50" w:line="360" w:lineRule="auto"/>
              <w:jc w:val="center"/>
              <w:rPr>
                <w:rFonts w:hint="eastAsia" w:ascii="宋体" w:hAnsi="宋体" w:eastAsia="宋体" w:cs="宋体"/>
                <w:color w:val="auto"/>
              </w:rPr>
            </w:pPr>
            <w:r>
              <w:rPr>
                <w:rFonts w:hint="eastAsia" w:ascii="宋体" w:hAnsi="宋体" w:eastAsia="宋体" w:cs="宋体"/>
                <w:color w:val="auto"/>
              </w:rPr>
              <w:t>投标文件应答</w:t>
            </w:r>
          </w:p>
        </w:tc>
        <w:tc>
          <w:tcPr>
            <w:tcW w:w="1756" w:type="dxa"/>
            <w:vAlign w:val="center"/>
          </w:tcPr>
          <w:p w14:paraId="19A49ECD">
            <w:pPr>
              <w:adjustRightInd w:val="0"/>
              <w:snapToGrid w:val="0"/>
              <w:spacing w:before="50" w:line="360" w:lineRule="auto"/>
              <w:ind w:left="-88" w:leftChars="-42"/>
              <w:jc w:val="center"/>
              <w:rPr>
                <w:rFonts w:hint="eastAsia" w:ascii="宋体" w:hAnsi="宋体" w:eastAsia="宋体" w:cs="宋体"/>
                <w:color w:val="auto"/>
                <w:szCs w:val="21"/>
              </w:rPr>
            </w:pPr>
            <w:r>
              <w:rPr>
                <w:rFonts w:hint="eastAsia" w:ascii="宋体" w:hAnsi="宋体" w:eastAsia="宋体" w:cs="宋体"/>
                <w:color w:val="auto"/>
                <w:szCs w:val="21"/>
              </w:rPr>
              <w:t>偏离说明</w:t>
            </w:r>
          </w:p>
        </w:tc>
      </w:tr>
      <w:tr w14:paraId="651D66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3D10687">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vAlign w:val="center"/>
          </w:tcPr>
          <w:p w14:paraId="2CC4E8CF">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tcBorders>
              <w:right w:val="single" w:color="auto" w:sz="4" w:space="0"/>
            </w:tcBorders>
            <w:vAlign w:val="center"/>
          </w:tcPr>
          <w:p w14:paraId="5999D926">
            <w:pPr>
              <w:adjustRightInd w:val="0"/>
              <w:snapToGrid w:val="0"/>
              <w:spacing w:before="50" w:line="360" w:lineRule="auto"/>
              <w:ind w:left="-88" w:leftChars="-42"/>
              <w:jc w:val="center"/>
              <w:rPr>
                <w:rFonts w:hint="eastAsia" w:ascii="宋体" w:hAnsi="宋体" w:eastAsia="宋体" w:cs="宋体"/>
                <w:color w:val="auto"/>
                <w:szCs w:val="21"/>
              </w:rPr>
            </w:pPr>
          </w:p>
        </w:tc>
        <w:tc>
          <w:tcPr>
            <w:tcW w:w="2126" w:type="dxa"/>
            <w:tcBorders>
              <w:left w:val="single" w:color="auto" w:sz="4" w:space="0"/>
            </w:tcBorders>
            <w:vAlign w:val="center"/>
          </w:tcPr>
          <w:p w14:paraId="115E63D0">
            <w:pPr>
              <w:adjustRightInd w:val="0"/>
              <w:snapToGrid w:val="0"/>
              <w:spacing w:before="50" w:line="360" w:lineRule="auto"/>
              <w:ind w:left="-88" w:leftChars="-42"/>
              <w:jc w:val="center"/>
              <w:rPr>
                <w:rFonts w:hint="eastAsia" w:ascii="宋体" w:hAnsi="宋体" w:eastAsia="宋体" w:cs="宋体"/>
                <w:color w:val="auto"/>
                <w:szCs w:val="21"/>
              </w:rPr>
            </w:pPr>
          </w:p>
        </w:tc>
        <w:tc>
          <w:tcPr>
            <w:tcW w:w="1756" w:type="dxa"/>
            <w:vAlign w:val="center"/>
          </w:tcPr>
          <w:p w14:paraId="4228001E">
            <w:pPr>
              <w:adjustRightInd w:val="0"/>
              <w:snapToGrid w:val="0"/>
              <w:spacing w:before="50" w:line="360" w:lineRule="auto"/>
              <w:ind w:left="-88" w:leftChars="-42"/>
              <w:jc w:val="center"/>
              <w:rPr>
                <w:rFonts w:hint="eastAsia" w:ascii="宋体" w:hAnsi="宋体" w:eastAsia="宋体" w:cs="宋体"/>
                <w:color w:val="auto"/>
                <w:szCs w:val="21"/>
              </w:rPr>
            </w:pPr>
          </w:p>
        </w:tc>
      </w:tr>
      <w:tr w14:paraId="1590F7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4F17DEA">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vAlign w:val="center"/>
          </w:tcPr>
          <w:p w14:paraId="605C8DA3">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tcBorders>
              <w:right w:val="single" w:color="auto" w:sz="4" w:space="0"/>
            </w:tcBorders>
            <w:vAlign w:val="center"/>
          </w:tcPr>
          <w:p w14:paraId="24EEDC7D">
            <w:pPr>
              <w:adjustRightInd w:val="0"/>
              <w:snapToGrid w:val="0"/>
              <w:spacing w:before="50" w:line="360" w:lineRule="auto"/>
              <w:ind w:left="-88" w:leftChars="-42"/>
              <w:jc w:val="center"/>
              <w:rPr>
                <w:rFonts w:hint="eastAsia" w:ascii="宋体" w:hAnsi="宋体" w:eastAsia="宋体" w:cs="宋体"/>
                <w:color w:val="auto"/>
                <w:szCs w:val="21"/>
              </w:rPr>
            </w:pPr>
          </w:p>
        </w:tc>
        <w:tc>
          <w:tcPr>
            <w:tcW w:w="2126" w:type="dxa"/>
            <w:tcBorders>
              <w:left w:val="single" w:color="auto" w:sz="4" w:space="0"/>
            </w:tcBorders>
            <w:vAlign w:val="center"/>
          </w:tcPr>
          <w:p w14:paraId="5D2E0451">
            <w:pPr>
              <w:adjustRightInd w:val="0"/>
              <w:snapToGrid w:val="0"/>
              <w:spacing w:before="50" w:line="360" w:lineRule="auto"/>
              <w:ind w:left="-88" w:leftChars="-42"/>
              <w:jc w:val="center"/>
              <w:rPr>
                <w:rFonts w:hint="eastAsia" w:ascii="宋体" w:hAnsi="宋体" w:eastAsia="宋体" w:cs="宋体"/>
                <w:color w:val="auto"/>
                <w:szCs w:val="21"/>
              </w:rPr>
            </w:pPr>
          </w:p>
        </w:tc>
        <w:tc>
          <w:tcPr>
            <w:tcW w:w="1756" w:type="dxa"/>
            <w:vAlign w:val="center"/>
          </w:tcPr>
          <w:p w14:paraId="36E99148">
            <w:pPr>
              <w:adjustRightInd w:val="0"/>
              <w:snapToGrid w:val="0"/>
              <w:spacing w:before="50" w:line="360" w:lineRule="auto"/>
              <w:ind w:left="-88" w:leftChars="-42"/>
              <w:jc w:val="center"/>
              <w:rPr>
                <w:rFonts w:hint="eastAsia" w:ascii="宋体" w:hAnsi="宋体" w:eastAsia="宋体" w:cs="宋体"/>
                <w:color w:val="auto"/>
                <w:szCs w:val="21"/>
              </w:rPr>
            </w:pPr>
          </w:p>
        </w:tc>
      </w:tr>
      <w:tr w14:paraId="1A4A83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78EE179">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vAlign w:val="center"/>
          </w:tcPr>
          <w:p w14:paraId="2283137A">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tcBorders>
              <w:right w:val="single" w:color="auto" w:sz="4" w:space="0"/>
            </w:tcBorders>
            <w:vAlign w:val="center"/>
          </w:tcPr>
          <w:p w14:paraId="63CD7C32">
            <w:pPr>
              <w:adjustRightInd w:val="0"/>
              <w:snapToGrid w:val="0"/>
              <w:spacing w:before="50" w:line="360" w:lineRule="auto"/>
              <w:ind w:left="-88" w:leftChars="-42"/>
              <w:jc w:val="center"/>
              <w:rPr>
                <w:rFonts w:hint="eastAsia" w:ascii="宋体" w:hAnsi="宋体" w:eastAsia="宋体" w:cs="宋体"/>
                <w:color w:val="auto"/>
                <w:szCs w:val="21"/>
              </w:rPr>
            </w:pPr>
          </w:p>
        </w:tc>
        <w:tc>
          <w:tcPr>
            <w:tcW w:w="2126" w:type="dxa"/>
            <w:tcBorders>
              <w:left w:val="single" w:color="auto" w:sz="4" w:space="0"/>
            </w:tcBorders>
            <w:vAlign w:val="center"/>
          </w:tcPr>
          <w:p w14:paraId="6879E656">
            <w:pPr>
              <w:adjustRightInd w:val="0"/>
              <w:snapToGrid w:val="0"/>
              <w:spacing w:before="50" w:line="360" w:lineRule="auto"/>
              <w:ind w:left="-88" w:leftChars="-42"/>
              <w:jc w:val="center"/>
              <w:rPr>
                <w:rFonts w:hint="eastAsia" w:ascii="宋体" w:hAnsi="宋体" w:eastAsia="宋体" w:cs="宋体"/>
                <w:color w:val="auto"/>
                <w:szCs w:val="21"/>
              </w:rPr>
            </w:pPr>
          </w:p>
        </w:tc>
        <w:tc>
          <w:tcPr>
            <w:tcW w:w="1756" w:type="dxa"/>
            <w:vAlign w:val="center"/>
          </w:tcPr>
          <w:p w14:paraId="0D63D365">
            <w:pPr>
              <w:adjustRightInd w:val="0"/>
              <w:snapToGrid w:val="0"/>
              <w:spacing w:before="50" w:line="360" w:lineRule="auto"/>
              <w:ind w:left="-88" w:leftChars="-42"/>
              <w:jc w:val="center"/>
              <w:rPr>
                <w:rFonts w:hint="eastAsia" w:ascii="宋体" w:hAnsi="宋体" w:eastAsia="宋体" w:cs="宋体"/>
                <w:color w:val="auto"/>
                <w:szCs w:val="21"/>
              </w:rPr>
            </w:pPr>
          </w:p>
        </w:tc>
      </w:tr>
      <w:tr w14:paraId="0CAF24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E481FA2">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vAlign w:val="center"/>
          </w:tcPr>
          <w:p w14:paraId="3D51CCA5">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tcBorders>
              <w:right w:val="single" w:color="auto" w:sz="4" w:space="0"/>
            </w:tcBorders>
            <w:vAlign w:val="center"/>
          </w:tcPr>
          <w:p w14:paraId="0E4F4CA5">
            <w:pPr>
              <w:adjustRightInd w:val="0"/>
              <w:snapToGrid w:val="0"/>
              <w:spacing w:before="50" w:line="360" w:lineRule="auto"/>
              <w:ind w:left="-88" w:leftChars="-42"/>
              <w:jc w:val="center"/>
              <w:rPr>
                <w:rFonts w:hint="eastAsia" w:ascii="宋体" w:hAnsi="宋体" w:eastAsia="宋体" w:cs="宋体"/>
                <w:color w:val="auto"/>
                <w:szCs w:val="21"/>
              </w:rPr>
            </w:pPr>
          </w:p>
        </w:tc>
        <w:tc>
          <w:tcPr>
            <w:tcW w:w="2126" w:type="dxa"/>
            <w:tcBorders>
              <w:left w:val="single" w:color="auto" w:sz="4" w:space="0"/>
            </w:tcBorders>
            <w:vAlign w:val="center"/>
          </w:tcPr>
          <w:p w14:paraId="3373EFBD">
            <w:pPr>
              <w:adjustRightInd w:val="0"/>
              <w:snapToGrid w:val="0"/>
              <w:spacing w:before="50" w:line="360" w:lineRule="auto"/>
              <w:ind w:left="-88" w:leftChars="-42"/>
              <w:jc w:val="center"/>
              <w:rPr>
                <w:rFonts w:hint="eastAsia" w:ascii="宋体" w:hAnsi="宋体" w:eastAsia="宋体" w:cs="宋体"/>
                <w:color w:val="auto"/>
                <w:szCs w:val="21"/>
              </w:rPr>
            </w:pPr>
          </w:p>
        </w:tc>
        <w:tc>
          <w:tcPr>
            <w:tcW w:w="1756" w:type="dxa"/>
            <w:vAlign w:val="center"/>
          </w:tcPr>
          <w:p w14:paraId="2FC4D8BC">
            <w:pPr>
              <w:adjustRightInd w:val="0"/>
              <w:snapToGrid w:val="0"/>
              <w:spacing w:before="50" w:line="360" w:lineRule="auto"/>
              <w:ind w:left="-88" w:leftChars="-42"/>
              <w:jc w:val="center"/>
              <w:rPr>
                <w:rFonts w:hint="eastAsia" w:ascii="宋体" w:hAnsi="宋体" w:eastAsia="宋体" w:cs="宋体"/>
                <w:color w:val="auto"/>
                <w:szCs w:val="21"/>
              </w:rPr>
            </w:pPr>
          </w:p>
        </w:tc>
      </w:tr>
      <w:tr w14:paraId="08808C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037DAA00">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vAlign w:val="center"/>
          </w:tcPr>
          <w:p w14:paraId="4C2846D2">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tcBorders>
              <w:right w:val="single" w:color="auto" w:sz="4" w:space="0"/>
            </w:tcBorders>
            <w:vAlign w:val="center"/>
          </w:tcPr>
          <w:p w14:paraId="70EE3556">
            <w:pPr>
              <w:adjustRightInd w:val="0"/>
              <w:snapToGrid w:val="0"/>
              <w:spacing w:before="50" w:line="360" w:lineRule="auto"/>
              <w:ind w:left="-88" w:leftChars="-42"/>
              <w:jc w:val="center"/>
              <w:rPr>
                <w:rFonts w:hint="eastAsia" w:ascii="宋体" w:hAnsi="宋体" w:eastAsia="宋体" w:cs="宋体"/>
                <w:color w:val="auto"/>
                <w:szCs w:val="21"/>
              </w:rPr>
            </w:pPr>
          </w:p>
        </w:tc>
        <w:tc>
          <w:tcPr>
            <w:tcW w:w="2126" w:type="dxa"/>
            <w:tcBorders>
              <w:left w:val="single" w:color="auto" w:sz="4" w:space="0"/>
            </w:tcBorders>
            <w:vAlign w:val="center"/>
          </w:tcPr>
          <w:p w14:paraId="374EC3C3">
            <w:pPr>
              <w:adjustRightInd w:val="0"/>
              <w:snapToGrid w:val="0"/>
              <w:spacing w:before="50" w:line="360" w:lineRule="auto"/>
              <w:ind w:left="-88" w:leftChars="-42"/>
              <w:jc w:val="center"/>
              <w:rPr>
                <w:rFonts w:hint="eastAsia" w:ascii="宋体" w:hAnsi="宋体" w:eastAsia="宋体" w:cs="宋体"/>
                <w:color w:val="auto"/>
                <w:szCs w:val="21"/>
              </w:rPr>
            </w:pPr>
          </w:p>
        </w:tc>
        <w:tc>
          <w:tcPr>
            <w:tcW w:w="1756" w:type="dxa"/>
            <w:vAlign w:val="center"/>
          </w:tcPr>
          <w:p w14:paraId="4EED8C82">
            <w:pPr>
              <w:adjustRightInd w:val="0"/>
              <w:snapToGrid w:val="0"/>
              <w:spacing w:before="50" w:line="360" w:lineRule="auto"/>
              <w:ind w:left="-88" w:leftChars="-42"/>
              <w:jc w:val="center"/>
              <w:rPr>
                <w:rFonts w:hint="eastAsia" w:ascii="宋体" w:hAnsi="宋体" w:eastAsia="宋体" w:cs="宋体"/>
                <w:color w:val="auto"/>
                <w:szCs w:val="21"/>
              </w:rPr>
            </w:pPr>
          </w:p>
        </w:tc>
      </w:tr>
      <w:tr w14:paraId="12CA94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793E3F8C">
            <w:pPr>
              <w:adjustRightInd w:val="0"/>
              <w:snapToGrid w:val="0"/>
              <w:spacing w:before="50" w:line="360" w:lineRule="auto"/>
              <w:ind w:left="-88" w:leftChars="-42"/>
              <w:jc w:val="center"/>
              <w:rPr>
                <w:rFonts w:hint="eastAsia" w:ascii="宋体" w:hAnsi="宋体" w:eastAsia="宋体" w:cs="宋体"/>
                <w:color w:val="auto"/>
                <w:szCs w:val="21"/>
              </w:rPr>
            </w:pPr>
          </w:p>
        </w:tc>
        <w:tc>
          <w:tcPr>
            <w:tcW w:w="2410" w:type="dxa"/>
            <w:vAlign w:val="center"/>
          </w:tcPr>
          <w:p w14:paraId="48E8239E">
            <w:pPr>
              <w:adjustRightInd w:val="0"/>
              <w:snapToGrid w:val="0"/>
              <w:spacing w:before="50" w:line="360" w:lineRule="auto"/>
              <w:ind w:left="-88" w:leftChars="-42"/>
              <w:jc w:val="center"/>
              <w:rPr>
                <w:rFonts w:hint="eastAsia" w:ascii="宋体" w:hAnsi="宋体" w:eastAsia="宋体" w:cs="宋体"/>
                <w:color w:val="auto"/>
                <w:szCs w:val="21"/>
              </w:rPr>
            </w:pPr>
          </w:p>
        </w:tc>
        <w:tc>
          <w:tcPr>
            <w:tcW w:w="1985" w:type="dxa"/>
            <w:tcBorders>
              <w:right w:val="single" w:color="auto" w:sz="4" w:space="0"/>
            </w:tcBorders>
            <w:vAlign w:val="center"/>
          </w:tcPr>
          <w:p w14:paraId="749D45E5">
            <w:pPr>
              <w:adjustRightInd w:val="0"/>
              <w:snapToGrid w:val="0"/>
              <w:spacing w:before="50" w:line="360" w:lineRule="auto"/>
              <w:ind w:left="-88" w:leftChars="-42"/>
              <w:jc w:val="center"/>
              <w:rPr>
                <w:rFonts w:hint="eastAsia" w:ascii="宋体" w:hAnsi="宋体" w:eastAsia="宋体" w:cs="宋体"/>
                <w:color w:val="auto"/>
                <w:szCs w:val="21"/>
              </w:rPr>
            </w:pPr>
          </w:p>
        </w:tc>
        <w:tc>
          <w:tcPr>
            <w:tcW w:w="3882" w:type="dxa"/>
            <w:gridSpan w:val="2"/>
            <w:tcBorders>
              <w:left w:val="single" w:color="auto" w:sz="4" w:space="0"/>
            </w:tcBorders>
            <w:vAlign w:val="center"/>
          </w:tcPr>
          <w:p w14:paraId="67B02F0A">
            <w:pPr>
              <w:adjustRightInd w:val="0"/>
              <w:snapToGrid w:val="0"/>
              <w:spacing w:before="50" w:line="360" w:lineRule="auto"/>
              <w:ind w:firstLine="422" w:firstLineChars="200"/>
              <w:rPr>
                <w:rFonts w:hint="eastAsia" w:ascii="宋体" w:hAnsi="宋体" w:eastAsia="宋体" w:cs="宋体"/>
                <w:color w:val="auto"/>
                <w:szCs w:val="21"/>
              </w:rPr>
            </w:pPr>
            <w:r>
              <w:rPr>
                <w:rFonts w:hint="eastAsia" w:ascii="宋体" w:hAnsi="宋体" w:eastAsia="宋体" w:cs="宋体"/>
                <w:b/>
                <w:color w:val="auto"/>
                <w:szCs w:val="21"/>
              </w:rPr>
              <w:t>投标人保证：除本采购需求偏离表列出的偏离外，我单位对招标文件的其他采购需求条款完全响应，无偏离。</w:t>
            </w:r>
          </w:p>
        </w:tc>
      </w:tr>
    </w:tbl>
    <w:p w14:paraId="348BFB37">
      <w:pPr>
        <w:adjustRightInd w:val="0"/>
        <w:snapToGrid w:val="0"/>
        <w:spacing w:before="50" w:line="360" w:lineRule="auto"/>
        <w:ind w:left="-88" w:leftChars="-42"/>
        <w:rPr>
          <w:rFonts w:hint="eastAsia" w:ascii="宋体" w:hAnsi="宋体" w:eastAsia="宋体" w:cs="宋体"/>
          <w:color w:val="auto"/>
          <w:szCs w:val="21"/>
        </w:rPr>
      </w:pPr>
      <w:r>
        <w:rPr>
          <w:rFonts w:hint="eastAsia" w:ascii="宋体" w:hAnsi="宋体" w:eastAsia="宋体" w:cs="宋体"/>
          <w:bCs/>
          <w:color w:val="auto"/>
          <w:szCs w:val="21"/>
        </w:rPr>
        <w:t>注：</w:t>
      </w:r>
      <w:r>
        <w:rPr>
          <w:rFonts w:hint="eastAsia" w:ascii="宋体" w:hAnsi="宋体" w:eastAsia="宋体" w:cs="宋体"/>
          <w:color w:val="auto"/>
          <w:szCs w:val="21"/>
        </w:rPr>
        <w:t>1.投标人应根据招标文件第五章“采购需求”填写本表；</w:t>
      </w:r>
    </w:p>
    <w:p w14:paraId="25477940">
      <w:pPr>
        <w:adjustRightInd w:val="0"/>
        <w:snapToGrid w:val="0"/>
        <w:spacing w:before="50" w:line="360" w:lineRule="auto"/>
        <w:ind w:left="-88" w:leftChars="-42" w:firstLine="420" w:firstLineChars="200"/>
        <w:rPr>
          <w:rFonts w:hint="eastAsia" w:ascii="宋体" w:hAnsi="宋体" w:eastAsia="宋体" w:cs="宋体"/>
          <w:b/>
          <w:color w:val="auto"/>
          <w:szCs w:val="21"/>
        </w:rPr>
      </w:pPr>
      <w:r>
        <w:rPr>
          <w:rFonts w:hint="eastAsia" w:ascii="宋体" w:hAnsi="宋体" w:eastAsia="宋体" w:cs="宋体"/>
          <w:color w:val="auto"/>
          <w:szCs w:val="21"/>
        </w:rPr>
        <w:t>2.</w:t>
      </w:r>
      <w:r>
        <w:rPr>
          <w:rFonts w:hint="eastAsia" w:ascii="宋体" w:hAnsi="宋体" w:eastAsia="宋体" w:cs="宋体"/>
          <w:b/>
          <w:color w:val="auto"/>
          <w:szCs w:val="21"/>
        </w:rPr>
        <w:t>投标人如果对招标文件第五章“采购需求”的响应有偏离，应将偏离条款逐条如实应答，并作出说明；</w:t>
      </w:r>
    </w:p>
    <w:p w14:paraId="2B9B892F">
      <w:pPr>
        <w:adjustRightInd w:val="0"/>
        <w:snapToGrid w:val="0"/>
        <w:spacing w:before="50" w:line="360" w:lineRule="auto"/>
        <w:ind w:left="-88" w:leftChars="-42" w:firstLine="420" w:firstLineChars="200"/>
        <w:rPr>
          <w:rFonts w:hint="eastAsia" w:ascii="宋体" w:hAnsi="宋体" w:eastAsia="宋体" w:cs="宋体"/>
          <w:color w:val="auto"/>
          <w:szCs w:val="21"/>
        </w:rPr>
      </w:pPr>
      <w:r>
        <w:rPr>
          <w:rFonts w:hint="eastAsia" w:ascii="宋体" w:hAnsi="宋体" w:eastAsia="宋体" w:cs="宋体"/>
          <w:color w:val="auto"/>
          <w:szCs w:val="21"/>
        </w:rPr>
        <w:t>3.如不提供此表，则视为投标人不满足招标文件第五章的所有条款要求，其</w:t>
      </w:r>
      <w:r>
        <w:rPr>
          <w:rFonts w:hint="eastAsia" w:ascii="宋体" w:hAnsi="宋体" w:eastAsia="宋体" w:cs="宋体"/>
          <w:b/>
          <w:color w:val="auto"/>
          <w:szCs w:val="21"/>
        </w:rPr>
        <w:t>投标无效</w:t>
      </w:r>
      <w:r>
        <w:rPr>
          <w:rFonts w:hint="eastAsia" w:ascii="宋体" w:hAnsi="宋体" w:eastAsia="宋体" w:cs="宋体"/>
          <w:color w:val="auto"/>
          <w:szCs w:val="21"/>
        </w:rPr>
        <w:t>。</w:t>
      </w:r>
    </w:p>
    <w:p w14:paraId="70927C25">
      <w:pPr>
        <w:adjustRightInd w:val="0"/>
        <w:snapToGrid w:val="0"/>
        <w:spacing w:before="50" w:line="360" w:lineRule="auto"/>
        <w:ind w:left="-88" w:leftChars="-42" w:firstLine="420" w:firstLineChars="200"/>
        <w:rPr>
          <w:rFonts w:hint="eastAsia" w:ascii="宋体" w:hAnsi="宋体" w:eastAsia="宋体" w:cs="宋体"/>
          <w:color w:val="auto"/>
          <w:szCs w:val="21"/>
        </w:rPr>
      </w:pPr>
      <w:r>
        <w:rPr>
          <w:rFonts w:hint="eastAsia" w:ascii="宋体" w:hAnsi="宋体" w:eastAsia="宋体" w:cs="宋体"/>
          <w:color w:val="auto"/>
          <w:szCs w:val="21"/>
        </w:rPr>
        <w:t>4.在采购人与中标人签订合同时，如中标人未在投标文件“采购需求偏离表”中列出偏离说明，无论已发生或即将发生任何情形，均视为完全符合招标文件要求，并写入合同。若中标人在合同签订前，以上述事项为借口而不履行合同签订手续及执行合同，则视作拒绝与采购人签订合同。</w:t>
      </w:r>
    </w:p>
    <w:p w14:paraId="2547BEAA">
      <w:pPr>
        <w:adjustRightInd w:val="0"/>
        <w:snapToGrid w:val="0"/>
        <w:spacing w:before="50" w:line="360" w:lineRule="auto"/>
        <w:ind w:left="-88" w:leftChars="-42" w:firstLine="420" w:firstLineChars="200"/>
        <w:rPr>
          <w:rFonts w:hint="eastAsia" w:ascii="宋体" w:hAnsi="宋体" w:eastAsia="宋体" w:cs="宋体"/>
          <w:color w:val="auto"/>
          <w:szCs w:val="21"/>
        </w:rPr>
      </w:pPr>
      <w:r>
        <w:rPr>
          <w:rFonts w:hint="eastAsia" w:ascii="宋体" w:hAnsi="宋体" w:eastAsia="宋体" w:cs="宋体"/>
          <w:color w:val="auto"/>
          <w:szCs w:val="21"/>
        </w:rPr>
        <w:t>5.本表偏离表与本章第七节“采购需求响应”不一致时，以“采购需求响应”为准。</w:t>
      </w:r>
    </w:p>
    <w:p w14:paraId="4079677C">
      <w:pPr>
        <w:adjustRightInd w:val="0"/>
        <w:snapToGrid w:val="0"/>
        <w:spacing w:before="50" w:line="360" w:lineRule="auto"/>
        <w:rPr>
          <w:rFonts w:hint="eastAsia" w:ascii="宋体" w:hAnsi="宋体" w:eastAsia="宋体" w:cs="宋体"/>
          <w:color w:val="auto"/>
          <w:szCs w:val="21"/>
        </w:rPr>
      </w:pPr>
    </w:p>
    <w:p w14:paraId="2486FB65">
      <w:pPr>
        <w:adjustRightInd w:val="0"/>
        <w:snapToGrid w:val="0"/>
        <w:spacing w:before="50" w:line="360" w:lineRule="auto"/>
        <w:rPr>
          <w:rFonts w:hint="eastAsia" w:ascii="宋体" w:hAnsi="宋体" w:eastAsia="宋体" w:cs="宋体"/>
          <w:color w:val="auto"/>
          <w:szCs w:val="21"/>
        </w:rPr>
      </w:pPr>
    </w:p>
    <w:p w14:paraId="3250D831">
      <w:pPr>
        <w:adjustRightInd w:val="0"/>
        <w:snapToGrid w:val="0"/>
        <w:spacing w:before="50" w:line="360" w:lineRule="auto"/>
        <w:rPr>
          <w:rFonts w:hint="eastAsia" w:ascii="宋体" w:hAnsi="宋体" w:eastAsia="宋体" w:cs="宋体"/>
          <w:color w:val="auto"/>
          <w:szCs w:val="21"/>
        </w:rPr>
      </w:pPr>
      <w:r>
        <w:rPr>
          <w:rFonts w:hint="eastAsia" w:ascii="宋体" w:hAnsi="宋体" w:eastAsia="宋体" w:cs="宋体"/>
          <w:color w:val="auto"/>
          <w:szCs w:val="21"/>
        </w:rPr>
        <w:t>投标人名称（盖单位章）：</w:t>
      </w:r>
    </w:p>
    <w:p w14:paraId="0E709A01">
      <w:pPr>
        <w:adjustRightInd w:val="0"/>
        <w:snapToGrid w:val="0"/>
        <w:spacing w:before="50" w:line="360" w:lineRule="auto"/>
        <w:rPr>
          <w:rFonts w:hint="eastAsia" w:ascii="宋体" w:hAnsi="宋体" w:eastAsia="宋体" w:cs="宋体"/>
          <w:color w:val="auto"/>
          <w:szCs w:val="21"/>
        </w:rPr>
      </w:pPr>
      <w:r>
        <w:rPr>
          <w:rFonts w:hint="eastAsia" w:ascii="宋体" w:hAnsi="宋体" w:eastAsia="宋体" w:cs="宋体"/>
          <w:color w:val="auto"/>
          <w:spacing w:val="-2"/>
          <w:kern w:val="0"/>
          <w:szCs w:val="21"/>
        </w:rPr>
        <w:t>法</w:t>
      </w:r>
      <w:r>
        <w:rPr>
          <w:rFonts w:hint="eastAsia" w:ascii="宋体" w:hAnsi="宋体" w:eastAsia="宋体" w:cs="宋体"/>
          <w:color w:val="auto"/>
          <w:kern w:val="0"/>
          <w:szCs w:val="21"/>
        </w:rPr>
        <w:t>定</w:t>
      </w:r>
      <w:r>
        <w:rPr>
          <w:rFonts w:hint="eastAsia" w:ascii="宋体" w:hAnsi="宋体" w:eastAsia="宋体" w:cs="宋体"/>
          <w:color w:val="auto"/>
          <w:spacing w:val="-2"/>
          <w:kern w:val="0"/>
          <w:szCs w:val="21"/>
        </w:rPr>
        <w:t>代</w:t>
      </w:r>
      <w:r>
        <w:rPr>
          <w:rFonts w:hint="eastAsia" w:ascii="宋体" w:hAnsi="宋体" w:eastAsia="宋体" w:cs="宋体"/>
          <w:color w:val="auto"/>
          <w:kern w:val="0"/>
          <w:szCs w:val="21"/>
        </w:rPr>
        <w:t>表</w:t>
      </w:r>
      <w:r>
        <w:rPr>
          <w:rFonts w:hint="eastAsia" w:ascii="宋体" w:hAnsi="宋体" w:eastAsia="宋体" w:cs="宋体"/>
          <w:color w:val="auto"/>
          <w:spacing w:val="-2"/>
          <w:kern w:val="0"/>
          <w:szCs w:val="21"/>
        </w:rPr>
        <w:t>人</w:t>
      </w:r>
      <w:r>
        <w:rPr>
          <w:rFonts w:hint="eastAsia" w:ascii="宋体" w:hAnsi="宋体" w:eastAsia="宋体" w:cs="宋体"/>
          <w:color w:val="auto"/>
          <w:kern w:val="0"/>
          <w:szCs w:val="21"/>
        </w:rPr>
        <w:t>（</w:t>
      </w:r>
      <w:r>
        <w:rPr>
          <w:rFonts w:hint="eastAsia" w:ascii="宋体" w:hAnsi="宋体" w:eastAsia="宋体" w:cs="宋体"/>
          <w:color w:val="auto"/>
          <w:spacing w:val="-2"/>
          <w:kern w:val="0"/>
          <w:szCs w:val="21"/>
        </w:rPr>
        <w:t>单</w:t>
      </w:r>
      <w:r>
        <w:rPr>
          <w:rFonts w:hint="eastAsia" w:ascii="宋体" w:hAnsi="宋体" w:eastAsia="宋体" w:cs="宋体"/>
          <w:color w:val="auto"/>
          <w:kern w:val="0"/>
          <w:szCs w:val="21"/>
        </w:rPr>
        <w:t>位</w:t>
      </w:r>
      <w:r>
        <w:rPr>
          <w:rFonts w:hint="eastAsia" w:ascii="宋体" w:hAnsi="宋体" w:eastAsia="宋体" w:cs="宋体"/>
          <w:color w:val="auto"/>
          <w:spacing w:val="-2"/>
          <w:kern w:val="0"/>
          <w:szCs w:val="21"/>
        </w:rPr>
        <w:t>负</w:t>
      </w:r>
      <w:r>
        <w:rPr>
          <w:rFonts w:hint="eastAsia" w:ascii="宋体" w:hAnsi="宋体" w:eastAsia="宋体" w:cs="宋体"/>
          <w:color w:val="auto"/>
          <w:kern w:val="0"/>
          <w:szCs w:val="21"/>
        </w:rPr>
        <w:t>责人</w:t>
      </w:r>
      <w:r>
        <w:rPr>
          <w:rFonts w:hint="eastAsia" w:ascii="宋体" w:hAnsi="宋体" w:eastAsia="宋体" w:cs="宋体"/>
          <w:color w:val="auto"/>
          <w:spacing w:val="-2"/>
          <w:kern w:val="0"/>
          <w:szCs w:val="21"/>
        </w:rPr>
        <w:t>）</w:t>
      </w:r>
      <w:r>
        <w:rPr>
          <w:rFonts w:hint="eastAsia" w:ascii="宋体" w:hAnsi="宋体" w:eastAsia="宋体" w:cs="宋体"/>
          <w:color w:val="auto"/>
          <w:szCs w:val="21"/>
        </w:rPr>
        <w:t>或其授权的代理人（签字或印章）：</w:t>
      </w:r>
      <w:r>
        <w:rPr>
          <w:rFonts w:hint="eastAsia" w:ascii="宋体" w:hAnsi="宋体" w:eastAsia="宋体" w:cs="宋体"/>
          <w:color w:val="auto"/>
          <w:szCs w:val="21"/>
          <w:u w:val="single"/>
        </w:rPr>
        <w:t xml:space="preserve">                     </w:t>
      </w:r>
    </w:p>
    <w:p w14:paraId="4CC812C1">
      <w:pPr>
        <w:adjustRightInd w:val="0"/>
        <w:snapToGrid w:val="0"/>
        <w:spacing w:before="50" w:line="360" w:lineRule="auto"/>
        <w:rPr>
          <w:rFonts w:hint="eastAsia" w:ascii="宋体" w:hAnsi="宋体" w:eastAsia="宋体" w:cs="宋体"/>
          <w:color w:val="auto"/>
          <w:szCs w:val="21"/>
        </w:rPr>
      </w:pPr>
      <w:r>
        <w:rPr>
          <w:rFonts w:hint="eastAsia" w:ascii="宋体" w:hAnsi="宋体" w:eastAsia="宋体" w:cs="宋体"/>
          <w:color w:val="auto"/>
          <w:szCs w:val="21"/>
        </w:rPr>
        <w:t>日      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日</w:t>
      </w:r>
    </w:p>
    <w:p w14:paraId="357C2010">
      <w:pPr>
        <w:pStyle w:val="5"/>
        <w:adjustRightInd w:val="0"/>
        <w:snapToGrid w:val="0"/>
        <w:spacing w:before="0" w:after="0" w:line="360" w:lineRule="auto"/>
        <w:rPr>
          <w:rFonts w:hint="eastAsia" w:ascii="宋体" w:hAnsi="宋体" w:eastAsia="宋体" w:cs="宋体"/>
          <w:color w:val="auto"/>
          <w:szCs w:val="21"/>
        </w:rPr>
        <w:sectPr>
          <w:pgSz w:w="11906" w:h="16838"/>
          <w:pgMar w:top="1474" w:right="1474" w:bottom="1474" w:left="1587" w:header="851" w:footer="992" w:gutter="0"/>
          <w:pgBorders>
            <w:top w:val="none" w:sz="0" w:space="0"/>
            <w:left w:val="none" w:sz="0" w:space="0"/>
            <w:bottom w:val="none" w:sz="0" w:space="0"/>
            <w:right w:val="none" w:sz="0" w:space="0"/>
          </w:pgBorders>
          <w:cols w:space="0" w:num="1"/>
          <w:docGrid w:type="lines" w:linePitch="315" w:charSpace="0"/>
        </w:sectPr>
      </w:pPr>
    </w:p>
    <w:p w14:paraId="279DC9DF">
      <w:pPr>
        <w:pStyle w:val="5"/>
        <w:adjustRightInd w:val="0"/>
        <w:snapToGrid w:val="0"/>
        <w:spacing w:before="0" w:after="0" w:line="360" w:lineRule="auto"/>
        <w:jc w:val="center"/>
        <w:rPr>
          <w:rFonts w:hint="eastAsia" w:ascii="宋体" w:hAnsi="宋体" w:eastAsia="宋体" w:cs="宋体"/>
          <w:color w:val="auto"/>
          <w:sz w:val="28"/>
          <w:szCs w:val="28"/>
        </w:rPr>
      </w:pPr>
      <w:bookmarkStart w:id="1505" w:name="_Toc30834"/>
      <w:bookmarkStart w:id="1506" w:name="_Toc10579"/>
      <w:bookmarkStart w:id="1507" w:name="_Toc18717"/>
      <w:r>
        <w:rPr>
          <w:rFonts w:hint="eastAsia" w:ascii="宋体" w:hAnsi="宋体" w:eastAsia="宋体" w:cs="宋体"/>
          <w:color w:val="auto"/>
          <w:szCs w:val="21"/>
        </w:rPr>
        <w:t>十</w:t>
      </w:r>
      <w:r>
        <w:rPr>
          <w:rFonts w:hint="eastAsia" w:ascii="宋体" w:hAnsi="宋体" w:eastAsia="宋体" w:cs="宋体"/>
          <w:color w:val="auto"/>
          <w:sz w:val="28"/>
          <w:szCs w:val="28"/>
        </w:rPr>
        <w:t>、享受政府采购政策优惠的证明资料</w:t>
      </w:r>
      <w:bookmarkEnd w:id="1505"/>
      <w:bookmarkEnd w:id="1506"/>
      <w:bookmarkEnd w:id="1507"/>
    </w:p>
    <w:p w14:paraId="06EEE044">
      <w:pPr>
        <w:adjustRightInd w:val="0"/>
        <w:snapToGrid w:val="0"/>
        <w:spacing w:line="360" w:lineRule="auto"/>
        <w:rPr>
          <w:rFonts w:hint="eastAsia" w:ascii="宋体" w:hAnsi="宋体" w:eastAsia="宋体" w:cs="宋体"/>
          <w:bCs/>
          <w:color w:val="auto"/>
          <w:spacing w:val="6"/>
          <w:kern w:val="0"/>
          <w:szCs w:val="21"/>
        </w:rPr>
      </w:pPr>
    </w:p>
    <w:p w14:paraId="0E581B58">
      <w:pPr>
        <w:adjustRightInd w:val="0"/>
        <w:snapToGrid w:val="0"/>
        <w:spacing w:line="360" w:lineRule="auto"/>
        <w:ind w:firstLine="444" w:firstLineChars="200"/>
        <w:rPr>
          <w:rFonts w:hint="eastAsia" w:ascii="宋体" w:hAnsi="宋体" w:eastAsia="宋体" w:cs="宋体"/>
          <w:bCs/>
          <w:color w:val="auto"/>
          <w:spacing w:val="6"/>
          <w:kern w:val="0"/>
          <w:szCs w:val="21"/>
        </w:rPr>
      </w:pPr>
      <w:r>
        <w:rPr>
          <w:rFonts w:hint="eastAsia" w:ascii="宋体" w:hAnsi="宋体" w:eastAsia="宋体" w:cs="宋体"/>
          <w:bCs/>
          <w:color w:val="auto"/>
          <w:spacing w:val="6"/>
          <w:kern w:val="0"/>
          <w:szCs w:val="21"/>
        </w:rPr>
        <w:t>投标人符合第二章第33.6款要求的，应提供下列证明资料，并填写相关数据。否则，评审时不予以考虑。</w:t>
      </w:r>
    </w:p>
    <w:p w14:paraId="5755F7FE">
      <w:pPr>
        <w:pStyle w:val="6"/>
        <w:rPr>
          <w:rFonts w:hint="eastAsia" w:ascii="宋体" w:hAnsi="宋体" w:eastAsia="宋体" w:cs="宋体"/>
          <w:b w:val="0"/>
          <w:bCs w:val="0"/>
          <w:color w:val="auto"/>
          <w:sz w:val="21"/>
          <w:szCs w:val="21"/>
        </w:rPr>
      </w:pPr>
      <w:bookmarkStart w:id="1508" w:name="_Toc200"/>
      <w:r>
        <w:rPr>
          <w:rFonts w:hint="eastAsia" w:ascii="宋体" w:hAnsi="宋体" w:eastAsia="宋体" w:cs="宋体"/>
          <w:b w:val="0"/>
          <w:bCs w:val="0"/>
          <w:color w:val="auto"/>
          <w:spacing w:val="6"/>
          <w:kern w:val="0"/>
          <w:sz w:val="21"/>
          <w:szCs w:val="21"/>
        </w:rPr>
        <w:t xml:space="preserve">附件10-1 </w:t>
      </w:r>
      <w:r>
        <w:rPr>
          <w:rFonts w:hint="eastAsia" w:ascii="宋体" w:hAnsi="宋体" w:eastAsia="宋体" w:cs="宋体"/>
          <w:b w:val="0"/>
          <w:bCs w:val="0"/>
          <w:color w:val="auto"/>
          <w:sz w:val="21"/>
          <w:szCs w:val="21"/>
        </w:rPr>
        <w:t>中小企业声明函</w:t>
      </w:r>
      <w:bookmarkEnd w:id="1508"/>
    </w:p>
    <w:p w14:paraId="7B1316AB">
      <w:pPr>
        <w:widowControl/>
        <w:adjustRightInd w:val="0"/>
        <w:snapToGrid w:val="0"/>
        <w:spacing w:line="360" w:lineRule="auto"/>
        <w:jc w:val="center"/>
        <w:rPr>
          <w:rFonts w:hint="eastAsia" w:ascii="宋体" w:hAnsi="宋体" w:eastAsia="宋体" w:cs="宋体"/>
          <w:b/>
          <w:bCs/>
          <w:color w:val="auto"/>
          <w:spacing w:val="6"/>
          <w:kern w:val="0"/>
          <w:sz w:val="28"/>
          <w:szCs w:val="28"/>
        </w:rPr>
      </w:pPr>
      <w:r>
        <w:rPr>
          <w:rFonts w:hint="eastAsia" w:ascii="宋体" w:hAnsi="宋体" w:eastAsia="宋体" w:cs="宋体"/>
          <w:b/>
          <w:bCs/>
          <w:color w:val="auto"/>
          <w:spacing w:val="6"/>
          <w:kern w:val="0"/>
          <w:sz w:val="28"/>
          <w:szCs w:val="28"/>
        </w:rPr>
        <w:t>中小企业声明函（货物类）</w:t>
      </w:r>
    </w:p>
    <w:p w14:paraId="3C0CF538">
      <w:pPr>
        <w:widowControl/>
        <w:adjustRightInd w:val="0"/>
        <w:snapToGrid w:val="0"/>
        <w:spacing w:line="360" w:lineRule="auto"/>
        <w:jc w:val="center"/>
        <w:rPr>
          <w:rFonts w:hint="eastAsia" w:ascii="宋体" w:hAnsi="宋体" w:eastAsia="宋体" w:cs="宋体"/>
          <w:color w:val="auto"/>
          <w:kern w:val="0"/>
          <w:szCs w:val="21"/>
          <w:lang w:bidi="ar"/>
        </w:rPr>
      </w:pPr>
      <w:r>
        <w:rPr>
          <w:rFonts w:hint="eastAsia" w:ascii="宋体" w:hAnsi="宋体" w:eastAsia="宋体" w:cs="宋体"/>
          <w:b/>
          <w:color w:val="auto"/>
          <w:spacing w:val="6"/>
          <w:kern w:val="0"/>
          <w:szCs w:val="21"/>
        </w:rPr>
        <w:t>(不满足以下条件的无需填写)</w:t>
      </w:r>
    </w:p>
    <w:p w14:paraId="3049154C">
      <w:pPr>
        <w:widowControl/>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kern w:val="0"/>
          <w:szCs w:val="21"/>
          <w:lang w:bidi="ar"/>
        </w:rPr>
        <w:t>本公司（联合体）郑重声明，根据《政府采购促进中小企业发展管理办法》（财库﹝2020﹞46 号）的规定，本公司（联合体）参加</w:t>
      </w:r>
      <w:r>
        <w:rPr>
          <w:rFonts w:hint="eastAsia" w:ascii="宋体" w:hAnsi="宋体" w:eastAsia="宋体" w:cs="宋体"/>
          <w:color w:val="auto"/>
          <w:kern w:val="0"/>
          <w:szCs w:val="21"/>
          <w:u w:val="single"/>
          <w:lang w:bidi="ar"/>
        </w:rPr>
        <w:t>（单位名称）</w:t>
      </w:r>
      <w:r>
        <w:rPr>
          <w:rFonts w:hint="eastAsia" w:ascii="宋体" w:hAnsi="宋体" w:eastAsia="宋体" w:cs="宋体"/>
          <w:color w:val="auto"/>
          <w:kern w:val="0"/>
          <w:szCs w:val="21"/>
          <w:lang w:bidi="ar"/>
        </w:rPr>
        <w:t>的</w:t>
      </w:r>
      <w:r>
        <w:rPr>
          <w:rFonts w:hint="eastAsia" w:ascii="宋体" w:hAnsi="宋体" w:eastAsia="宋体" w:cs="宋体"/>
          <w:color w:val="auto"/>
          <w:kern w:val="0"/>
          <w:szCs w:val="21"/>
          <w:u w:val="single"/>
          <w:lang w:bidi="ar"/>
        </w:rPr>
        <w:t>（项目名称）</w:t>
      </w:r>
      <w:r>
        <w:rPr>
          <w:rFonts w:hint="eastAsia" w:ascii="宋体" w:hAnsi="宋体" w:eastAsia="宋体" w:cs="宋体"/>
          <w:color w:val="auto"/>
          <w:kern w:val="0"/>
          <w:szCs w:val="21"/>
          <w:lang w:bidi="ar"/>
        </w:rPr>
        <w:t xml:space="preserve">采购活动，提供的货物全部由符合政策要求的中小企业制造。相关企业（含联合体中的中小企业、签订分包意向协议的中小企业）的具体情况如下： </w:t>
      </w:r>
    </w:p>
    <w:p w14:paraId="4541AEBA">
      <w:pPr>
        <w:widowControl/>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kern w:val="0"/>
          <w:szCs w:val="21"/>
          <w:lang w:bidi="ar"/>
        </w:rPr>
        <w:t xml:space="preserve">1. </w:t>
      </w:r>
      <w:r>
        <w:rPr>
          <w:rFonts w:hint="eastAsia" w:ascii="宋体" w:hAnsi="宋体" w:eastAsia="宋体" w:cs="宋体"/>
          <w:color w:val="auto"/>
          <w:kern w:val="0"/>
          <w:szCs w:val="21"/>
          <w:u w:val="single"/>
          <w:lang w:bidi="ar"/>
        </w:rPr>
        <w:t xml:space="preserve">（标的名称） </w:t>
      </w:r>
      <w:r>
        <w:rPr>
          <w:rFonts w:hint="eastAsia" w:ascii="宋体" w:hAnsi="宋体" w:eastAsia="宋体" w:cs="宋体"/>
          <w:color w:val="auto"/>
          <w:kern w:val="0"/>
          <w:szCs w:val="21"/>
          <w:lang w:bidi="ar"/>
        </w:rPr>
        <w:t>，属于</w:t>
      </w:r>
      <w:r>
        <w:rPr>
          <w:rFonts w:hint="eastAsia" w:ascii="宋体" w:hAnsi="宋体" w:eastAsia="宋体" w:cs="宋体"/>
          <w:color w:val="auto"/>
          <w:kern w:val="0"/>
          <w:szCs w:val="21"/>
          <w:u w:val="single"/>
          <w:lang w:bidi="ar"/>
        </w:rPr>
        <w:t>（采购文件中明确的所属行业）</w:t>
      </w:r>
      <w:r>
        <w:rPr>
          <w:rFonts w:hint="eastAsia" w:ascii="宋体" w:hAnsi="宋体" w:eastAsia="宋体" w:cs="宋体"/>
          <w:color w:val="auto"/>
          <w:kern w:val="0"/>
          <w:szCs w:val="21"/>
          <w:lang w:bidi="ar"/>
        </w:rPr>
        <w:t>行业；制造商为</w:t>
      </w:r>
      <w:r>
        <w:rPr>
          <w:rFonts w:hint="eastAsia" w:ascii="宋体" w:hAnsi="宋体" w:eastAsia="宋体" w:cs="宋体"/>
          <w:color w:val="auto"/>
          <w:kern w:val="0"/>
          <w:szCs w:val="21"/>
          <w:u w:val="single"/>
          <w:lang w:bidi="ar"/>
        </w:rPr>
        <w:t>（企业名称）</w:t>
      </w:r>
      <w:r>
        <w:rPr>
          <w:rFonts w:hint="eastAsia" w:ascii="宋体" w:hAnsi="宋体" w:eastAsia="宋体" w:cs="宋体"/>
          <w:color w:val="auto"/>
          <w:kern w:val="0"/>
          <w:szCs w:val="21"/>
          <w:lang w:bidi="ar"/>
        </w:rPr>
        <w:t>，从业人员</w:t>
      </w:r>
      <w:r>
        <w:rPr>
          <w:rFonts w:hint="eastAsia" w:ascii="宋体" w:hAnsi="宋体" w:eastAsia="宋体" w:cs="宋体"/>
          <w:color w:val="auto"/>
          <w:kern w:val="0"/>
          <w:szCs w:val="21"/>
          <w:u w:val="single"/>
          <w:lang w:bidi="ar"/>
        </w:rPr>
        <w:t xml:space="preserve">      </w:t>
      </w:r>
      <w:r>
        <w:rPr>
          <w:rFonts w:hint="eastAsia" w:ascii="宋体" w:hAnsi="宋体" w:eastAsia="宋体" w:cs="宋体"/>
          <w:color w:val="auto"/>
          <w:kern w:val="0"/>
          <w:szCs w:val="21"/>
          <w:lang w:bidi="ar"/>
        </w:rPr>
        <w:t>人，营业收入为</w:t>
      </w:r>
      <w:r>
        <w:rPr>
          <w:rFonts w:hint="eastAsia" w:ascii="宋体" w:hAnsi="宋体" w:eastAsia="宋体" w:cs="宋体"/>
          <w:color w:val="auto"/>
          <w:kern w:val="0"/>
          <w:szCs w:val="21"/>
          <w:u w:val="single"/>
          <w:lang w:bidi="ar"/>
        </w:rPr>
        <w:t xml:space="preserve">       </w:t>
      </w:r>
      <w:r>
        <w:rPr>
          <w:rFonts w:hint="eastAsia" w:ascii="宋体" w:hAnsi="宋体" w:eastAsia="宋体" w:cs="宋体"/>
          <w:color w:val="auto"/>
          <w:kern w:val="0"/>
          <w:szCs w:val="21"/>
          <w:lang w:bidi="ar"/>
        </w:rPr>
        <w:t>万元，资产总额为</w:t>
      </w:r>
      <w:r>
        <w:rPr>
          <w:rFonts w:hint="eastAsia" w:ascii="宋体" w:hAnsi="宋体" w:eastAsia="宋体" w:cs="宋体"/>
          <w:color w:val="auto"/>
          <w:kern w:val="0"/>
          <w:szCs w:val="21"/>
          <w:u w:val="single"/>
          <w:lang w:bidi="ar"/>
        </w:rPr>
        <w:t xml:space="preserve">       </w:t>
      </w:r>
      <w:r>
        <w:rPr>
          <w:rFonts w:hint="eastAsia" w:ascii="宋体" w:hAnsi="宋体" w:eastAsia="宋体" w:cs="宋体"/>
          <w:color w:val="auto"/>
          <w:kern w:val="0"/>
          <w:szCs w:val="21"/>
          <w:lang w:bidi="ar"/>
        </w:rPr>
        <w:t>万元，属于</w:t>
      </w:r>
      <w:r>
        <w:rPr>
          <w:rFonts w:hint="eastAsia" w:ascii="宋体" w:hAnsi="宋体" w:eastAsia="宋体" w:cs="宋体"/>
          <w:color w:val="auto"/>
          <w:kern w:val="0"/>
          <w:szCs w:val="21"/>
          <w:u w:val="single"/>
          <w:lang w:bidi="ar"/>
        </w:rPr>
        <w:t>（中型企业、小型企业、微型企业）</w:t>
      </w:r>
      <w:r>
        <w:rPr>
          <w:rFonts w:hint="eastAsia" w:ascii="宋体" w:hAnsi="宋体" w:eastAsia="宋体" w:cs="宋体"/>
          <w:color w:val="auto"/>
          <w:kern w:val="0"/>
          <w:szCs w:val="21"/>
          <w:lang w:bidi="ar"/>
        </w:rPr>
        <w:t xml:space="preserve">； </w:t>
      </w:r>
    </w:p>
    <w:p w14:paraId="634A608F">
      <w:pPr>
        <w:widowControl/>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kern w:val="0"/>
          <w:szCs w:val="21"/>
          <w:lang w:bidi="ar"/>
        </w:rPr>
        <w:t xml:space="preserve">2. </w:t>
      </w:r>
      <w:r>
        <w:rPr>
          <w:rFonts w:hint="eastAsia" w:ascii="宋体" w:hAnsi="宋体" w:eastAsia="宋体" w:cs="宋体"/>
          <w:color w:val="auto"/>
          <w:kern w:val="0"/>
          <w:szCs w:val="21"/>
          <w:u w:val="single"/>
          <w:lang w:bidi="ar"/>
        </w:rPr>
        <w:t xml:space="preserve">（标的名称） </w:t>
      </w:r>
      <w:r>
        <w:rPr>
          <w:rFonts w:hint="eastAsia" w:ascii="宋体" w:hAnsi="宋体" w:eastAsia="宋体" w:cs="宋体"/>
          <w:color w:val="auto"/>
          <w:kern w:val="0"/>
          <w:szCs w:val="21"/>
          <w:lang w:bidi="ar"/>
        </w:rPr>
        <w:t>，属于</w:t>
      </w:r>
      <w:r>
        <w:rPr>
          <w:rFonts w:hint="eastAsia" w:ascii="宋体" w:hAnsi="宋体" w:eastAsia="宋体" w:cs="宋体"/>
          <w:color w:val="auto"/>
          <w:kern w:val="0"/>
          <w:szCs w:val="21"/>
          <w:u w:val="single"/>
          <w:lang w:bidi="ar"/>
        </w:rPr>
        <w:t>（采购文件中明确的所属行业）</w:t>
      </w:r>
      <w:r>
        <w:rPr>
          <w:rFonts w:hint="eastAsia" w:ascii="宋体" w:hAnsi="宋体" w:eastAsia="宋体" w:cs="宋体"/>
          <w:color w:val="auto"/>
          <w:kern w:val="0"/>
          <w:szCs w:val="21"/>
          <w:lang w:bidi="ar"/>
        </w:rPr>
        <w:t>行业；制造商为</w:t>
      </w:r>
      <w:r>
        <w:rPr>
          <w:rFonts w:hint="eastAsia" w:ascii="宋体" w:hAnsi="宋体" w:eastAsia="宋体" w:cs="宋体"/>
          <w:color w:val="auto"/>
          <w:kern w:val="0"/>
          <w:szCs w:val="21"/>
          <w:u w:val="single"/>
          <w:lang w:bidi="ar"/>
        </w:rPr>
        <w:t>（企业名称）</w:t>
      </w:r>
      <w:r>
        <w:rPr>
          <w:rFonts w:hint="eastAsia" w:ascii="宋体" w:hAnsi="宋体" w:eastAsia="宋体" w:cs="宋体"/>
          <w:color w:val="auto"/>
          <w:kern w:val="0"/>
          <w:szCs w:val="21"/>
          <w:lang w:bidi="ar"/>
        </w:rPr>
        <w:t>，从业人员</w:t>
      </w:r>
      <w:r>
        <w:rPr>
          <w:rFonts w:hint="eastAsia" w:ascii="宋体" w:hAnsi="宋体" w:eastAsia="宋体" w:cs="宋体"/>
          <w:color w:val="auto"/>
          <w:kern w:val="0"/>
          <w:szCs w:val="21"/>
          <w:u w:val="single"/>
          <w:lang w:bidi="ar"/>
        </w:rPr>
        <w:t xml:space="preserve">      </w:t>
      </w:r>
      <w:r>
        <w:rPr>
          <w:rFonts w:hint="eastAsia" w:ascii="宋体" w:hAnsi="宋体" w:eastAsia="宋体" w:cs="宋体"/>
          <w:color w:val="auto"/>
          <w:kern w:val="0"/>
          <w:szCs w:val="21"/>
          <w:lang w:bidi="ar"/>
        </w:rPr>
        <w:t>人，营业收入为</w:t>
      </w:r>
      <w:r>
        <w:rPr>
          <w:rFonts w:hint="eastAsia" w:ascii="宋体" w:hAnsi="宋体" w:eastAsia="宋体" w:cs="宋体"/>
          <w:color w:val="auto"/>
          <w:kern w:val="0"/>
          <w:szCs w:val="21"/>
          <w:u w:val="single"/>
          <w:lang w:bidi="ar"/>
        </w:rPr>
        <w:t xml:space="preserve">       </w:t>
      </w:r>
      <w:r>
        <w:rPr>
          <w:rFonts w:hint="eastAsia" w:ascii="宋体" w:hAnsi="宋体" w:eastAsia="宋体" w:cs="宋体"/>
          <w:color w:val="auto"/>
          <w:kern w:val="0"/>
          <w:szCs w:val="21"/>
          <w:lang w:bidi="ar"/>
        </w:rPr>
        <w:t>万元，资产总额为</w:t>
      </w:r>
      <w:r>
        <w:rPr>
          <w:rFonts w:hint="eastAsia" w:ascii="宋体" w:hAnsi="宋体" w:eastAsia="宋体" w:cs="宋体"/>
          <w:color w:val="auto"/>
          <w:kern w:val="0"/>
          <w:szCs w:val="21"/>
          <w:u w:val="single"/>
          <w:lang w:bidi="ar"/>
        </w:rPr>
        <w:t xml:space="preserve">       </w:t>
      </w:r>
      <w:r>
        <w:rPr>
          <w:rFonts w:hint="eastAsia" w:ascii="宋体" w:hAnsi="宋体" w:eastAsia="宋体" w:cs="宋体"/>
          <w:color w:val="auto"/>
          <w:kern w:val="0"/>
          <w:szCs w:val="21"/>
          <w:lang w:bidi="ar"/>
        </w:rPr>
        <w:t>万元，属于</w:t>
      </w:r>
      <w:r>
        <w:rPr>
          <w:rFonts w:hint="eastAsia" w:ascii="宋体" w:hAnsi="宋体" w:eastAsia="宋体" w:cs="宋体"/>
          <w:color w:val="auto"/>
          <w:kern w:val="0"/>
          <w:szCs w:val="21"/>
          <w:u w:val="single"/>
          <w:lang w:bidi="ar"/>
        </w:rPr>
        <w:t>（中型企业、小型企业、微型企业）</w:t>
      </w:r>
      <w:r>
        <w:rPr>
          <w:rFonts w:hint="eastAsia" w:ascii="宋体" w:hAnsi="宋体" w:eastAsia="宋体" w:cs="宋体"/>
          <w:color w:val="auto"/>
          <w:kern w:val="0"/>
          <w:szCs w:val="21"/>
          <w:lang w:bidi="ar"/>
        </w:rPr>
        <w:t xml:space="preserve">；  </w:t>
      </w:r>
    </w:p>
    <w:p w14:paraId="4409FC06">
      <w:pPr>
        <w:widowControl/>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kern w:val="0"/>
          <w:szCs w:val="21"/>
          <w:lang w:bidi="ar"/>
        </w:rPr>
        <w:t>……</w:t>
      </w:r>
    </w:p>
    <w:p w14:paraId="4ACC1DB6">
      <w:pPr>
        <w:widowControl/>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kern w:val="0"/>
          <w:szCs w:val="21"/>
          <w:lang w:bidi="ar"/>
        </w:rPr>
        <w:t xml:space="preserve">以上企业，不属于大企业的分支机构，不存在控股股东为大企业的情形，也不存在与大企业的负责人为同一人的情形。本企业对上述声明内容的真实性负责。如有虚假，将依法承担相应责任。 </w:t>
      </w:r>
    </w:p>
    <w:p w14:paraId="4FFDD666">
      <w:pPr>
        <w:widowControl/>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kern w:val="0"/>
          <w:szCs w:val="21"/>
          <w:lang w:bidi="ar"/>
        </w:rPr>
        <w:t xml:space="preserve">企业名称（盖章）： </w:t>
      </w:r>
    </w:p>
    <w:p w14:paraId="1DB09AD2">
      <w:pPr>
        <w:widowControl/>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kern w:val="0"/>
          <w:szCs w:val="21"/>
          <w:lang w:bidi="ar"/>
        </w:rPr>
        <w:t xml:space="preserve">日 期： </w:t>
      </w:r>
    </w:p>
    <w:p w14:paraId="001BDD66">
      <w:pPr>
        <w:widowControl/>
        <w:ind w:firstLine="360" w:firstLineChars="200"/>
        <w:jc w:val="left"/>
        <w:rPr>
          <w:rFonts w:hint="eastAsia" w:ascii="宋体" w:hAnsi="宋体" w:eastAsia="宋体" w:cs="宋体"/>
          <w:color w:val="auto"/>
          <w:kern w:val="0"/>
          <w:sz w:val="18"/>
          <w:szCs w:val="18"/>
          <w:lang w:bidi="ar"/>
        </w:rPr>
      </w:pPr>
    </w:p>
    <w:p w14:paraId="670F35D7">
      <w:pPr>
        <w:widowControl/>
        <w:ind w:firstLine="420" w:firstLineChars="200"/>
        <w:jc w:val="left"/>
        <w:rPr>
          <w:rFonts w:hint="eastAsia" w:ascii="宋体" w:hAnsi="宋体" w:eastAsia="宋体" w:cs="宋体"/>
          <w:color w:val="auto"/>
          <w:kern w:val="0"/>
          <w:szCs w:val="21"/>
          <w:lang w:bidi="ar"/>
        </w:rPr>
      </w:pPr>
      <w:r>
        <w:rPr>
          <w:rFonts w:hint="eastAsia" w:ascii="宋体" w:hAnsi="宋体" w:eastAsia="宋体" w:cs="宋体"/>
          <w:color w:val="auto"/>
          <w:kern w:val="0"/>
          <w:szCs w:val="21"/>
          <w:lang w:bidi="ar"/>
        </w:rPr>
        <w:t>注：1.属于专门面向中小企业采购的政府采购货物类项目，投标人应按本声明函内容和格式如实声明采购标的制造商的企业规模，未提供本声明函或不符合《政府采购促进中小企业发展管理办法》（财库﹝2020﹞46 号）规定的，其</w:t>
      </w:r>
      <w:r>
        <w:rPr>
          <w:rFonts w:hint="eastAsia" w:ascii="宋体" w:hAnsi="宋体" w:eastAsia="宋体" w:cs="宋体"/>
          <w:b/>
          <w:bCs/>
          <w:color w:val="auto"/>
          <w:kern w:val="0"/>
          <w:szCs w:val="21"/>
          <w:lang w:bidi="ar"/>
        </w:rPr>
        <w:t>投标无效。</w:t>
      </w:r>
    </w:p>
    <w:p w14:paraId="61B5C960">
      <w:pPr>
        <w:widowControl/>
        <w:ind w:firstLine="420" w:firstLineChars="200"/>
        <w:jc w:val="left"/>
        <w:rPr>
          <w:rFonts w:hint="eastAsia" w:ascii="宋体" w:hAnsi="宋体" w:eastAsia="宋体" w:cs="宋体"/>
          <w:bCs/>
          <w:color w:val="auto"/>
          <w:spacing w:val="6"/>
          <w:kern w:val="0"/>
          <w:szCs w:val="21"/>
        </w:rPr>
      </w:pPr>
      <w:r>
        <w:rPr>
          <w:rFonts w:hint="eastAsia" w:ascii="宋体" w:hAnsi="宋体" w:eastAsia="宋体" w:cs="宋体"/>
          <w:color w:val="auto"/>
          <w:kern w:val="0"/>
          <w:szCs w:val="21"/>
          <w:lang w:bidi="ar"/>
        </w:rPr>
        <w:t>2.从业人员、营业收入、资产总额填报上一年度数据，无上一年度数据的新成立企业可不填报。</w:t>
      </w:r>
    </w:p>
    <w:p w14:paraId="4005DEB7">
      <w:pPr>
        <w:pStyle w:val="6"/>
        <w:rPr>
          <w:rFonts w:hint="eastAsia" w:ascii="宋体" w:hAnsi="宋体" w:eastAsia="宋体" w:cs="宋体"/>
          <w:b w:val="0"/>
          <w:bCs w:val="0"/>
          <w:color w:val="auto"/>
          <w:sz w:val="21"/>
          <w:szCs w:val="21"/>
        </w:rPr>
      </w:pPr>
      <w:bookmarkStart w:id="1509" w:name="_Toc19787"/>
      <w:bookmarkStart w:id="1510" w:name="_Toc22201164"/>
      <w:bookmarkStart w:id="1511" w:name="_Toc62206227"/>
      <w:bookmarkStart w:id="1512" w:name="_Toc82155492"/>
      <w:r>
        <w:rPr>
          <w:rFonts w:hint="eastAsia" w:ascii="宋体" w:hAnsi="宋体" w:eastAsia="宋体" w:cs="宋体"/>
          <w:b w:val="0"/>
          <w:bCs w:val="0"/>
          <w:color w:val="auto"/>
          <w:kern w:val="0"/>
          <w:sz w:val="21"/>
          <w:szCs w:val="21"/>
        </w:rPr>
        <w:t xml:space="preserve">附件10-2 </w:t>
      </w:r>
      <w:r>
        <w:rPr>
          <w:rFonts w:hint="eastAsia" w:ascii="宋体" w:hAnsi="宋体" w:eastAsia="宋体" w:cs="宋体"/>
          <w:b w:val="0"/>
          <w:bCs w:val="0"/>
          <w:color w:val="auto"/>
          <w:sz w:val="21"/>
          <w:szCs w:val="21"/>
        </w:rPr>
        <w:t>残疾人福利性单位声明函</w:t>
      </w:r>
      <w:bookmarkEnd w:id="1509"/>
      <w:bookmarkEnd w:id="1510"/>
      <w:bookmarkEnd w:id="1511"/>
      <w:bookmarkEnd w:id="1512"/>
    </w:p>
    <w:p w14:paraId="5F309498">
      <w:pPr>
        <w:adjustRightInd w:val="0"/>
        <w:snapToGrid w:val="0"/>
        <w:spacing w:line="360" w:lineRule="auto"/>
        <w:jc w:val="center"/>
        <w:rPr>
          <w:rFonts w:hint="eastAsia" w:ascii="宋体" w:hAnsi="宋体" w:eastAsia="宋体" w:cs="宋体"/>
          <w:b/>
          <w:color w:val="auto"/>
          <w:spacing w:val="6"/>
          <w:sz w:val="28"/>
          <w:szCs w:val="28"/>
        </w:rPr>
      </w:pPr>
      <w:r>
        <w:rPr>
          <w:rFonts w:hint="eastAsia" w:ascii="宋体" w:hAnsi="宋体" w:eastAsia="宋体" w:cs="宋体"/>
          <w:b/>
          <w:color w:val="auto"/>
          <w:spacing w:val="6"/>
          <w:sz w:val="28"/>
          <w:szCs w:val="28"/>
        </w:rPr>
        <w:t>残疾人福利性单位声明函</w:t>
      </w:r>
    </w:p>
    <w:p w14:paraId="42F1E283">
      <w:pPr>
        <w:widowControl/>
        <w:adjustRightInd w:val="0"/>
        <w:snapToGrid w:val="0"/>
        <w:spacing w:line="360" w:lineRule="auto"/>
        <w:jc w:val="center"/>
        <w:rPr>
          <w:rFonts w:hint="eastAsia" w:ascii="宋体" w:hAnsi="宋体" w:eastAsia="宋体" w:cs="宋体"/>
          <w:color w:val="auto"/>
          <w:kern w:val="0"/>
          <w:szCs w:val="21"/>
          <w:lang w:bidi="ar"/>
        </w:rPr>
      </w:pPr>
      <w:r>
        <w:rPr>
          <w:rFonts w:hint="eastAsia" w:ascii="宋体" w:hAnsi="宋体" w:eastAsia="宋体" w:cs="宋体"/>
          <w:b/>
          <w:color w:val="auto"/>
          <w:spacing w:val="6"/>
          <w:kern w:val="0"/>
          <w:szCs w:val="21"/>
        </w:rPr>
        <w:t>(不满足以下条件的无需填写)</w:t>
      </w:r>
    </w:p>
    <w:p w14:paraId="783E753B">
      <w:pPr>
        <w:pStyle w:val="46"/>
        <w:rPr>
          <w:rFonts w:hint="eastAsia" w:ascii="宋体" w:hAnsi="宋体" w:eastAsia="宋体" w:cs="宋体"/>
          <w:color w:val="auto"/>
        </w:rPr>
      </w:pPr>
    </w:p>
    <w:p w14:paraId="1FDC3572">
      <w:pPr>
        <w:adjustRightInd w:val="0"/>
        <w:snapToGrid w:val="0"/>
        <w:spacing w:line="360" w:lineRule="auto"/>
        <w:ind w:firstLine="446" w:firstLineChars="200"/>
        <w:rPr>
          <w:rFonts w:hint="eastAsia" w:ascii="宋体" w:hAnsi="宋体" w:eastAsia="宋体" w:cs="宋体"/>
          <w:b/>
          <w:color w:val="auto"/>
          <w:spacing w:val="6"/>
          <w:szCs w:val="21"/>
        </w:rPr>
      </w:pPr>
    </w:p>
    <w:p w14:paraId="6E3342D6">
      <w:pPr>
        <w:adjustRightInd w:val="0"/>
        <w:snapToGrid w:val="0"/>
        <w:spacing w:line="360" w:lineRule="auto"/>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本单位郑重声明，根据《财政部民政部中国残疾人联合会关于促进残疾人就业政府采购政策的通知》（财库</w:t>
      </w:r>
      <w:r>
        <w:rPr>
          <w:rFonts w:hint="eastAsia" w:ascii="宋体" w:hAnsi="宋体" w:eastAsia="宋体" w:cs="宋体"/>
          <w:color w:val="auto"/>
          <w:szCs w:val="21"/>
        </w:rPr>
        <w:t>〔2017〕141</w:t>
      </w:r>
      <w:r>
        <w:rPr>
          <w:rFonts w:hint="eastAsia" w:ascii="宋体" w:hAnsi="宋体" w:eastAsia="宋体" w:cs="宋体"/>
          <w:color w:val="auto"/>
          <w:spacing w:val="6"/>
          <w:szCs w:val="21"/>
        </w:rPr>
        <w:t>号）的规定，本单位为符合条件的残疾人福利性单位，且本单位参加</w:t>
      </w:r>
      <w:r>
        <w:rPr>
          <w:rFonts w:hint="eastAsia" w:ascii="宋体" w:hAnsi="宋体" w:eastAsia="宋体" w:cs="宋体"/>
          <w:color w:val="auto"/>
          <w:spacing w:val="6"/>
          <w:szCs w:val="21"/>
          <w:u w:val="single"/>
        </w:rPr>
        <w:t xml:space="preserve">           </w:t>
      </w:r>
      <w:r>
        <w:rPr>
          <w:rFonts w:hint="eastAsia" w:ascii="宋体" w:hAnsi="宋体" w:eastAsia="宋体" w:cs="宋体"/>
          <w:color w:val="auto"/>
          <w:spacing w:val="6"/>
          <w:szCs w:val="21"/>
        </w:rPr>
        <w:t>单位的</w:t>
      </w:r>
      <w:r>
        <w:rPr>
          <w:rFonts w:hint="eastAsia" w:ascii="宋体" w:hAnsi="宋体" w:eastAsia="宋体" w:cs="宋体"/>
          <w:color w:val="auto"/>
          <w:spacing w:val="6"/>
          <w:szCs w:val="21"/>
          <w:u w:val="single"/>
        </w:rPr>
        <w:t xml:space="preserve">           </w:t>
      </w:r>
      <w:r>
        <w:rPr>
          <w:rFonts w:hint="eastAsia" w:ascii="宋体" w:hAnsi="宋体" w:eastAsia="宋体" w:cs="宋体"/>
          <w:color w:val="auto"/>
          <w:spacing w:val="6"/>
          <w:szCs w:val="21"/>
        </w:rPr>
        <w:t>项目采购活动提供本单位制造的货物（由本单位承担工程/提供服务），或者提供其他残疾人福利性单位制造的货物（不包括使用非残疾人福利性单位注册商标的货物）。</w:t>
      </w:r>
    </w:p>
    <w:p w14:paraId="1E874EBC">
      <w:pPr>
        <w:adjustRightInd w:val="0"/>
        <w:snapToGrid w:val="0"/>
        <w:spacing w:line="360" w:lineRule="auto"/>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本单位对上述声明的真实性负责。如有虚假，将依法承担相应责任。</w:t>
      </w:r>
    </w:p>
    <w:p w14:paraId="10B321BB">
      <w:pPr>
        <w:adjustRightInd w:val="0"/>
        <w:snapToGrid w:val="0"/>
        <w:spacing w:line="360" w:lineRule="auto"/>
        <w:ind w:firstLine="444" w:firstLineChars="200"/>
        <w:rPr>
          <w:rFonts w:hint="eastAsia" w:ascii="宋体" w:hAnsi="宋体" w:eastAsia="宋体" w:cs="宋体"/>
          <w:color w:val="auto"/>
          <w:spacing w:val="6"/>
          <w:szCs w:val="21"/>
        </w:rPr>
      </w:pPr>
    </w:p>
    <w:p w14:paraId="0B9693D2">
      <w:pPr>
        <w:adjustRightInd w:val="0"/>
        <w:snapToGrid w:val="0"/>
        <w:spacing w:line="360" w:lineRule="auto"/>
        <w:ind w:firstLine="444" w:firstLineChars="200"/>
        <w:rPr>
          <w:rFonts w:hint="eastAsia" w:ascii="宋体" w:hAnsi="宋体" w:eastAsia="宋体" w:cs="宋体"/>
          <w:color w:val="auto"/>
          <w:spacing w:val="6"/>
          <w:szCs w:val="21"/>
        </w:rPr>
      </w:pPr>
    </w:p>
    <w:p w14:paraId="704B0CAC">
      <w:pPr>
        <w:tabs>
          <w:tab w:val="left" w:pos="4860"/>
        </w:tabs>
        <w:adjustRightInd w:val="0"/>
        <w:snapToGrid w:val="0"/>
        <w:spacing w:line="360" w:lineRule="auto"/>
        <w:ind w:right="1560" w:firstLine="444" w:firstLineChars="200"/>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单位名称（盖章）：</w:t>
      </w:r>
    </w:p>
    <w:p w14:paraId="0C2B5062">
      <w:pPr>
        <w:tabs>
          <w:tab w:val="left" w:pos="4860"/>
        </w:tabs>
        <w:adjustRightInd w:val="0"/>
        <w:snapToGrid w:val="0"/>
        <w:spacing w:line="360" w:lineRule="auto"/>
        <w:ind w:right="1560" w:firstLine="444" w:firstLineChars="200"/>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日  期：</w:t>
      </w:r>
    </w:p>
    <w:p w14:paraId="37818583">
      <w:pPr>
        <w:widowControl/>
        <w:adjustRightInd w:val="0"/>
        <w:snapToGrid w:val="0"/>
        <w:spacing w:line="360" w:lineRule="auto"/>
        <w:jc w:val="left"/>
        <w:rPr>
          <w:rFonts w:hint="eastAsia" w:ascii="宋体" w:hAnsi="宋体" w:eastAsia="宋体" w:cs="宋体"/>
          <w:color w:val="auto"/>
          <w:kern w:val="0"/>
          <w:szCs w:val="21"/>
        </w:rPr>
      </w:pPr>
    </w:p>
    <w:p w14:paraId="0BEDF8CA">
      <w:pPr>
        <w:pStyle w:val="6"/>
        <w:rPr>
          <w:rFonts w:hint="eastAsia" w:ascii="宋体" w:hAnsi="宋体" w:eastAsia="宋体" w:cs="宋体"/>
          <w:color w:val="auto"/>
          <w:sz w:val="21"/>
          <w:szCs w:val="21"/>
        </w:rPr>
      </w:pPr>
      <w:r>
        <w:rPr>
          <w:rFonts w:hint="eastAsia" w:ascii="宋体" w:hAnsi="宋体" w:eastAsia="宋体" w:cs="宋体"/>
          <w:color w:val="auto"/>
          <w:spacing w:val="6"/>
          <w:kern w:val="0"/>
        </w:rPr>
        <w:br w:type="page"/>
      </w:r>
      <w:bookmarkStart w:id="1513" w:name="_Toc15815"/>
      <w:bookmarkStart w:id="1514" w:name="_Toc22201165"/>
      <w:bookmarkStart w:id="1515" w:name="_Toc82155493"/>
      <w:bookmarkStart w:id="1516" w:name="_Toc62206228"/>
      <w:r>
        <w:rPr>
          <w:rFonts w:hint="eastAsia" w:ascii="宋体" w:hAnsi="宋体" w:eastAsia="宋体" w:cs="宋体"/>
          <w:b w:val="0"/>
          <w:bCs w:val="0"/>
          <w:color w:val="auto"/>
          <w:kern w:val="0"/>
          <w:sz w:val="21"/>
          <w:szCs w:val="21"/>
        </w:rPr>
        <w:t xml:space="preserve">附件10-3 </w:t>
      </w:r>
      <w:r>
        <w:rPr>
          <w:rFonts w:hint="eastAsia" w:ascii="宋体" w:hAnsi="宋体" w:eastAsia="宋体" w:cs="宋体"/>
          <w:b w:val="0"/>
          <w:bCs w:val="0"/>
          <w:color w:val="auto"/>
          <w:sz w:val="21"/>
          <w:szCs w:val="21"/>
        </w:rPr>
        <w:t>监狱企业证明资料</w:t>
      </w:r>
      <w:bookmarkEnd w:id="1513"/>
      <w:bookmarkEnd w:id="1514"/>
      <w:bookmarkEnd w:id="1515"/>
      <w:bookmarkEnd w:id="1516"/>
    </w:p>
    <w:p w14:paraId="7CDEBABA">
      <w:pPr>
        <w:adjustRightInd w:val="0"/>
        <w:snapToGrid w:val="0"/>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监狱企业证明资料</w:t>
      </w:r>
    </w:p>
    <w:p w14:paraId="135BC38F">
      <w:pPr>
        <w:widowControl/>
        <w:adjustRightInd w:val="0"/>
        <w:snapToGrid w:val="0"/>
        <w:spacing w:line="360" w:lineRule="auto"/>
        <w:jc w:val="center"/>
        <w:rPr>
          <w:rFonts w:hint="eastAsia" w:ascii="宋体" w:hAnsi="宋体" w:eastAsia="宋体" w:cs="宋体"/>
          <w:color w:val="auto"/>
          <w:kern w:val="0"/>
          <w:szCs w:val="21"/>
          <w:lang w:bidi="ar"/>
        </w:rPr>
      </w:pPr>
      <w:r>
        <w:rPr>
          <w:rFonts w:hint="eastAsia" w:ascii="宋体" w:hAnsi="宋体" w:eastAsia="宋体" w:cs="宋体"/>
          <w:b/>
          <w:color w:val="auto"/>
          <w:spacing w:val="6"/>
          <w:kern w:val="0"/>
          <w:szCs w:val="21"/>
        </w:rPr>
        <w:t>(不属于监狱企业的无需填写)</w:t>
      </w:r>
    </w:p>
    <w:p w14:paraId="6DD15943">
      <w:pPr>
        <w:pStyle w:val="46"/>
        <w:rPr>
          <w:rFonts w:hint="eastAsia" w:ascii="宋体" w:hAnsi="宋体" w:eastAsia="宋体" w:cs="宋体"/>
          <w:color w:val="auto"/>
        </w:rPr>
      </w:pPr>
    </w:p>
    <w:p w14:paraId="6ED44902">
      <w:pPr>
        <w:adjustRightInd w:val="0"/>
        <w:snapToGrid w:val="0"/>
        <w:spacing w:line="360" w:lineRule="auto"/>
        <w:rPr>
          <w:rFonts w:hint="eastAsia" w:ascii="宋体" w:hAnsi="宋体" w:eastAsia="宋体" w:cs="宋体"/>
          <w:b/>
          <w:color w:val="auto"/>
          <w:spacing w:val="6"/>
          <w:szCs w:val="21"/>
        </w:rPr>
      </w:pPr>
    </w:p>
    <w:p w14:paraId="76C22BE3">
      <w:pPr>
        <w:adjustRightInd w:val="0"/>
        <w:snapToGrid w:val="0"/>
        <w:spacing w:line="360" w:lineRule="auto"/>
        <w:ind w:firstLine="420" w:firstLineChars="200"/>
        <w:rPr>
          <w:rFonts w:hint="eastAsia" w:ascii="宋体" w:hAnsi="宋体" w:eastAsia="宋体" w:cs="宋体"/>
          <w:color w:val="auto"/>
          <w:szCs w:val="21"/>
        </w:rPr>
      </w:pPr>
      <w:r>
        <w:rPr>
          <w:rFonts w:hint="eastAsia" w:ascii="宋体" w:hAnsi="宋体" w:eastAsia="宋体" w:cs="宋体"/>
          <w:bCs/>
          <w:color w:val="auto"/>
          <w:szCs w:val="21"/>
        </w:rPr>
        <w:t>注</w:t>
      </w:r>
      <w:r>
        <w:rPr>
          <w:rFonts w:hint="eastAsia" w:ascii="宋体" w:hAnsi="宋体" w:eastAsia="宋体" w:cs="宋体"/>
          <w:bCs/>
          <w:color w:val="auto"/>
          <w:spacing w:val="6"/>
          <w:kern w:val="0"/>
          <w:szCs w:val="21"/>
        </w:rPr>
        <w:t>：</w:t>
      </w:r>
      <w:r>
        <w:rPr>
          <w:rFonts w:hint="eastAsia" w:ascii="宋体" w:hAnsi="宋体" w:eastAsia="宋体" w:cs="宋体"/>
          <w:color w:val="auto"/>
          <w:szCs w:val="21"/>
        </w:rPr>
        <w:t>按</w:t>
      </w:r>
      <w:r>
        <w:rPr>
          <w:rFonts w:hint="eastAsia" w:ascii="宋体" w:hAnsi="宋体" w:eastAsia="宋体" w:cs="宋体"/>
          <w:color w:val="auto"/>
          <w:spacing w:val="6"/>
          <w:szCs w:val="21"/>
        </w:rPr>
        <w:t>《</w:t>
      </w:r>
      <w:r>
        <w:rPr>
          <w:rFonts w:hint="eastAsia" w:ascii="宋体" w:hAnsi="宋体" w:eastAsia="宋体" w:cs="宋体"/>
          <w:color w:val="auto"/>
          <w:szCs w:val="21"/>
        </w:rPr>
        <w:t>财政部司法部关于政府采购支持监狱企业发展有关问题的通知</w:t>
      </w:r>
      <w:r>
        <w:rPr>
          <w:rFonts w:hint="eastAsia" w:ascii="宋体" w:hAnsi="宋体" w:eastAsia="宋体" w:cs="宋体"/>
          <w:color w:val="auto"/>
          <w:spacing w:val="6"/>
          <w:szCs w:val="21"/>
        </w:rPr>
        <w:t>》</w:t>
      </w:r>
      <w:r>
        <w:rPr>
          <w:rFonts w:hint="eastAsia" w:ascii="宋体" w:hAnsi="宋体" w:eastAsia="宋体" w:cs="宋体"/>
          <w:color w:val="auto"/>
          <w:szCs w:val="21"/>
        </w:rPr>
        <w:t>(财库〔2014〕68号)文件规定提供证明文件。</w:t>
      </w:r>
    </w:p>
    <w:p w14:paraId="5C327B20">
      <w:pPr>
        <w:adjustRightInd w:val="0"/>
        <w:snapToGrid w:val="0"/>
        <w:spacing w:line="360" w:lineRule="auto"/>
        <w:rPr>
          <w:rFonts w:hint="eastAsia" w:ascii="宋体" w:hAnsi="宋体" w:eastAsia="宋体" w:cs="宋体"/>
          <w:bCs/>
          <w:color w:val="auto"/>
          <w:spacing w:val="6"/>
          <w:kern w:val="0"/>
          <w:szCs w:val="21"/>
        </w:rPr>
      </w:pPr>
    </w:p>
    <w:p w14:paraId="2261E1DD">
      <w:pPr>
        <w:adjustRightInd w:val="0"/>
        <w:snapToGrid w:val="0"/>
        <w:spacing w:line="192" w:lineRule="auto"/>
        <w:rPr>
          <w:rFonts w:hint="eastAsia" w:ascii="宋体" w:hAnsi="宋体" w:eastAsia="宋体" w:cs="宋体"/>
          <w:bCs/>
          <w:color w:val="auto"/>
          <w:spacing w:val="6"/>
          <w:kern w:val="0"/>
          <w:szCs w:val="21"/>
        </w:rPr>
      </w:pPr>
      <w:r>
        <w:rPr>
          <w:rFonts w:hint="eastAsia" w:ascii="宋体" w:hAnsi="宋体" w:eastAsia="宋体" w:cs="宋体"/>
          <w:bCs/>
          <w:color w:val="auto"/>
          <w:spacing w:val="6"/>
          <w:kern w:val="0"/>
          <w:szCs w:val="21"/>
        </w:rPr>
        <w:br w:type="page"/>
      </w:r>
    </w:p>
    <w:p w14:paraId="068A116E">
      <w:pPr>
        <w:pStyle w:val="6"/>
        <w:rPr>
          <w:rFonts w:hint="eastAsia" w:ascii="宋体" w:hAnsi="宋体" w:eastAsia="宋体" w:cs="宋体"/>
          <w:b w:val="0"/>
          <w:bCs w:val="0"/>
          <w:color w:val="auto"/>
          <w:sz w:val="21"/>
          <w:szCs w:val="21"/>
        </w:rPr>
      </w:pPr>
      <w:bookmarkStart w:id="1517" w:name="_Toc15927"/>
      <w:r>
        <w:rPr>
          <w:rFonts w:hint="eastAsia" w:ascii="宋体" w:hAnsi="宋体" w:eastAsia="宋体" w:cs="宋体"/>
          <w:b w:val="0"/>
          <w:bCs w:val="0"/>
          <w:color w:val="auto"/>
          <w:spacing w:val="6"/>
          <w:kern w:val="0"/>
          <w:sz w:val="21"/>
          <w:szCs w:val="21"/>
        </w:rPr>
        <w:t xml:space="preserve">附件10-4 </w:t>
      </w:r>
      <w:r>
        <w:rPr>
          <w:rFonts w:hint="eastAsia" w:ascii="宋体" w:hAnsi="宋体" w:eastAsia="宋体" w:cs="宋体"/>
          <w:b w:val="0"/>
          <w:bCs w:val="0"/>
          <w:color w:val="auto"/>
          <w:sz w:val="21"/>
          <w:szCs w:val="21"/>
        </w:rPr>
        <w:t>强制采购或者优先采购产品的证明材料</w:t>
      </w:r>
      <w:bookmarkEnd w:id="1517"/>
    </w:p>
    <w:p w14:paraId="62C3DDC2">
      <w:pPr>
        <w:adjustRightInd w:val="0"/>
        <w:snapToGrid w:val="0"/>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强制采购或者优先采购产品</w:t>
      </w:r>
      <w:r>
        <w:rPr>
          <w:rFonts w:hint="eastAsia" w:ascii="宋体" w:hAnsi="宋体" w:eastAsia="宋体" w:cs="宋体"/>
          <w:b/>
          <w:bCs/>
          <w:color w:val="auto"/>
          <w:sz w:val="28"/>
          <w:szCs w:val="28"/>
        </w:rPr>
        <w:t>的</w:t>
      </w:r>
      <w:r>
        <w:rPr>
          <w:rFonts w:hint="eastAsia" w:ascii="宋体" w:hAnsi="宋体" w:eastAsia="宋体" w:cs="宋体"/>
          <w:b/>
          <w:color w:val="auto"/>
          <w:sz w:val="28"/>
          <w:szCs w:val="28"/>
        </w:rPr>
        <w:t>证明材料</w:t>
      </w:r>
    </w:p>
    <w:p w14:paraId="6F6860C3">
      <w:pPr>
        <w:adjustRightInd w:val="0"/>
        <w:snapToGrid w:val="0"/>
        <w:spacing w:line="360" w:lineRule="auto"/>
        <w:jc w:val="center"/>
        <w:rPr>
          <w:rFonts w:hint="eastAsia" w:ascii="宋体" w:hAnsi="宋体" w:eastAsia="宋体" w:cs="宋体"/>
          <w:b/>
          <w:color w:val="auto"/>
          <w:spacing w:val="6"/>
          <w:szCs w:val="21"/>
        </w:rPr>
      </w:pPr>
      <w:r>
        <w:rPr>
          <w:rFonts w:hint="eastAsia" w:ascii="宋体" w:hAnsi="宋体" w:eastAsia="宋体" w:cs="宋体"/>
          <w:b/>
          <w:color w:val="auto"/>
          <w:spacing w:val="6"/>
          <w:szCs w:val="21"/>
        </w:rPr>
        <w:t>(不属于强制采购或者优先采购产品的无需提供)</w:t>
      </w:r>
    </w:p>
    <w:p w14:paraId="62118258">
      <w:pPr>
        <w:adjustRightInd w:val="0"/>
        <w:snapToGrid w:val="0"/>
        <w:spacing w:line="360" w:lineRule="auto"/>
        <w:ind w:firstLine="420" w:firstLineChars="200"/>
        <w:jc w:val="left"/>
        <w:rPr>
          <w:rFonts w:hint="eastAsia" w:ascii="宋体" w:hAnsi="宋体" w:eastAsia="宋体" w:cs="宋体"/>
          <w:color w:val="auto"/>
          <w:szCs w:val="21"/>
        </w:rPr>
      </w:pPr>
    </w:p>
    <w:p w14:paraId="703FCA74">
      <w:pPr>
        <w:adjustRightInd w:val="0"/>
        <w:snapToGrid w:val="0"/>
        <w:spacing w:line="360" w:lineRule="auto"/>
        <w:ind w:firstLine="420" w:firstLineChars="200"/>
        <w:jc w:val="left"/>
        <w:rPr>
          <w:rFonts w:hint="eastAsia" w:ascii="宋体" w:hAnsi="宋体" w:eastAsia="宋体" w:cs="宋体"/>
          <w:color w:val="auto"/>
          <w:szCs w:val="21"/>
        </w:rPr>
      </w:pPr>
      <w:r>
        <w:rPr>
          <w:rFonts w:hint="eastAsia" w:ascii="宋体" w:hAnsi="宋体" w:eastAsia="宋体" w:cs="宋体"/>
          <w:color w:val="auto"/>
          <w:szCs w:val="21"/>
        </w:rPr>
        <w:t>注：投标人提供的产品</w:t>
      </w:r>
      <w:r>
        <w:rPr>
          <w:rFonts w:hint="eastAsia" w:ascii="宋体" w:hAnsi="宋体" w:eastAsia="宋体" w:cs="宋体"/>
          <w:bCs/>
          <w:color w:val="auto"/>
          <w:szCs w:val="21"/>
        </w:rPr>
        <w:t>属于强制采购或者优先采购的</w:t>
      </w:r>
      <w:r>
        <w:rPr>
          <w:rFonts w:hint="eastAsia" w:ascii="宋体" w:hAnsi="宋体" w:eastAsia="宋体" w:cs="宋体"/>
          <w:color w:val="auto"/>
          <w:szCs w:val="21"/>
        </w:rPr>
        <w:t>，应按第二章第33.6款规定提供证明材料和本章本节附页2“优先采购产品清单”，并加盖投标人单位章。</w:t>
      </w:r>
    </w:p>
    <w:p w14:paraId="73704FC4">
      <w:pPr>
        <w:adjustRightInd w:val="0"/>
        <w:snapToGrid w:val="0"/>
        <w:spacing w:line="360" w:lineRule="auto"/>
        <w:ind w:firstLine="420" w:firstLineChars="200"/>
        <w:jc w:val="left"/>
        <w:rPr>
          <w:rFonts w:hint="eastAsia" w:ascii="宋体" w:hAnsi="宋体" w:eastAsia="宋体" w:cs="宋体"/>
          <w:color w:val="auto"/>
          <w:szCs w:val="21"/>
        </w:rPr>
      </w:pPr>
    </w:p>
    <w:p w14:paraId="1570FA92">
      <w:pPr>
        <w:adjustRightInd w:val="0"/>
        <w:snapToGrid w:val="0"/>
        <w:spacing w:after="157" w:afterLines="50" w:line="192" w:lineRule="auto"/>
        <w:rPr>
          <w:rFonts w:hint="eastAsia" w:ascii="宋体" w:hAnsi="宋体" w:eastAsia="宋体" w:cs="宋体"/>
          <w:color w:val="auto"/>
          <w:szCs w:val="21"/>
        </w:rPr>
      </w:pPr>
      <w:r>
        <w:rPr>
          <w:rFonts w:hint="eastAsia" w:ascii="宋体" w:hAnsi="宋体" w:eastAsia="宋体" w:cs="宋体"/>
          <w:b/>
          <w:color w:val="auto"/>
          <w:sz w:val="28"/>
          <w:szCs w:val="28"/>
        </w:rPr>
        <w:br w:type="page"/>
      </w:r>
    </w:p>
    <w:p w14:paraId="01746A0E">
      <w:pPr>
        <w:pStyle w:val="6"/>
        <w:spacing w:before="0"/>
        <w:jc w:val="left"/>
        <w:rPr>
          <w:rFonts w:hint="eastAsia" w:ascii="宋体" w:hAnsi="宋体" w:eastAsia="宋体" w:cs="宋体"/>
          <w:b w:val="0"/>
          <w:color w:val="auto"/>
          <w:sz w:val="21"/>
          <w:szCs w:val="21"/>
        </w:rPr>
      </w:pPr>
      <w:bookmarkStart w:id="1518" w:name="_Toc2924"/>
      <w:r>
        <w:rPr>
          <w:rFonts w:hint="eastAsia" w:ascii="宋体" w:hAnsi="宋体" w:eastAsia="宋体" w:cs="宋体"/>
          <w:b w:val="0"/>
          <w:bCs w:val="0"/>
          <w:color w:val="auto"/>
          <w:spacing w:val="6"/>
          <w:kern w:val="0"/>
          <w:sz w:val="21"/>
          <w:szCs w:val="21"/>
        </w:rPr>
        <w:t xml:space="preserve">附页 1 </w:t>
      </w:r>
      <w:r>
        <w:rPr>
          <w:rFonts w:hint="eastAsia" w:ascii="宋体" w:hAnsi="宋体" w:eastAsia="宋体" w:cs="宋体"/>
          <w:b w:val="0"/>
          <w:color w:val="auto"/>
          <w:sz w:val="21"/>
          <w:szCs w:val="21"/>
        </w:rPr>
        <w:t>优先采购产品清单</w:t>
      </w:r>
      <w:bookmarkEnd w:id="1518"/>
    </w:p>
    <w:p w14:paraId="3107B291">
      <w:pPr>
        <w:adjustRightInd w:val="0"/>
        <w:snapToGrid w:val="0"/>
        <w:spacing w:line="360" w:lineRule="auto"/>
        <w:jc w:val="center"/>
        <w:rPr>
          <w:rFonts w:hint="eastAsia" w:ascii="宋体" w:hAnsi="宋体" w:eastAsia="宋体" w:cs="宋体"/>
          <w:b/>
          <w:color w:val="auto"/>
          <w:spacing w:val="6"/>
          <w:szCs w:val="21"/>
        </w:rPr>
      </w:pPr>
      <w:r>
        <w:rPr>
          <w:rFonts w:hint="eastAsia" w:ascii="宋体" w:hAnsi="宋体" w:eastAsia="宋体" w:cs="宋体"/>
          <w:b/>
          <w:color w:val="auto"/>
          <w:sz w:val="28"/>
          <w:szCs w:val="28"/>
        </w:rPr>
        <w:t>优先采购产品清单</w:t>
      </w:r>
    </w:p>
    <w:p w14:paraId="73660F3A">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政府采购计划编号：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p w14:paraId="57DEBF70">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包       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p>
    <w:tbl>
      <w:tblPr>
        <w:tblStyle w:val="47"/>
        <w:tblW w:w="874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7"/>
        <w:gridCol w:w="1729"/>
        <w:gridCol w:w="1127"/>
        <w:gridCol w:w="1410"/>
        <w:gridCol w:w="1972"/>
        <w:gridCol w:w="1835"/>
      </w:tblGrid>
      <w:tr w14:paraId="69813B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8740" w:type="dxa"/>
            <w:gridSpan w:val="6"/>
            <w:vAlign w:val="center"/>
          </w:tcPr>
          <w:p w14:paraId="761700A5">
            <w:pPr>
              <w:widowControl/>
              <w:adjustRightInd w:val="0"/>
              <w:snapToGrid w:val="0"/>
              <w:spacing w:line="360" w:lineRule="auto"/>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以下为投标人提供的政府采购优先采购产品，投标人对本表的真实性负责。如有虚假，将依法承担相应责任。</w:t>
            </w:r>
          </w:p>
        </w:tc>
      </w:tr>
      <w:tr w14:paraId="50C234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7" w:hRule="atLeast"/>
        </w:trPr>
        <w:tc>
          <w:tcPr>
            <w:tcW w:w="667" w:type="dxa"/>
            <w:vAlign w:val="center"/>
          </w:tcPr>
          <w:p w14:paraId="32FD4B9F">
            <w:pPr>
              <w:widowControl/>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1</w:t>
            </w:r>
          </w:p>
        </w:tc>
        <w:tc>
          <w:tcPr>
            <w:tcW w:w="1729" w:type="dxa"/>
            <w:vAlign w:val="center"/>
          </w:tcPr>
          <w:p w14:paraId="616642BD">
            <w:pPr>
              <w:widowControl/>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2</w:t>
            </w:r>
          </w:p>
        </w:tc>
        <w:tc>
          <w:tcPr>
            <w:tcW w:w="1127" w:type="dxa"/>
            <w:tcBorders>
              <w:right w:val="single" w:color="auto" w:sz="4" w:space="0"/>
            </w:tcBorders>
            <w:vAlign w:val="center"/>
          </w:tcPr>
          <w:p w14:paraId="136486AF">
            <w:pPr>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3</w:t>
            </w:r>
          </w:p>
        </w:tc>
        <w:tc>
          <w:tcPr>
            <w:tcW w:w="1410" w:type="dxa"/>
            <w:tcBorders>
              <w:left w:val="single" w:color="auto" w:sz="4" w:space="0"/>
            </w:tcBorders>
            <w:vAlign w:val="center"/>
          </w:tcPr>
          <w:p w14:paraId="1E375011">
            <w:pPr>
              <w:widowControl/>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4</w:t>
            </w:r>
          </w:p>
        </w:tc>
        <w:tc>
          <w:tcPr>
            <w:tcW w:w="1972" w:type="dxa"/>
            <w:vAlign w:val="center"/>
          </w:tcPr>
          <w:p w14:paraId="67022582">
            <w:pPr>
              <w:widowControl/>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5</w:t>
            </w:r>
          </w:p>
        </w:tc>
        <w:tc>
          <w:tcPr>
            <w:tcW w:w="1835" w:type="dxa"/>
            <w:vAlign w:val="center"/>
          </w:tcPr>
          <w:p w14:paraId="60BEBBAD">
            <w:pPr>
              <w:widowControl/>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6</w:t>
            </w:r>
          </w:p>
        </w:tc>
      </w:tr>
      <w:tr w14:paraId="57FD61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667" w:type="dxa"/>
            <w:vAlign w:val="center"/>
          </w:tcPr>
          <w:p w14:paraId="534870E4">
            <w:pPr>
              <w:widowControl/>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序号</w:t>
            </w:r>
          </w:p>
        </w:tc>
        <w:tc>
          <w:tcPr>
            <w:tcW w:w="1729" w:type="dxa"/>
            <w:vAlign w:val="center"/>
          </w:tcPr>
          <w:p w14:paraId="7050B746">
            <w:pPr>
              <w:widowControl/>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货物名称</w:t>
            </w:r>
          </w:p>
        </w:tc>
        <w:tc>
          <w:tcPr>
            <w:tcW w:w="1127" w:type="dxa"/>
            <w:tcBorders>
              <w:right w:val="single" w:color="auto" w:sz="4" w:space="0"/>
            </w:tcBorders>
            <w:vAlign w:val="center"/>
          </w:tcPr>
          <w:p w14:paraId="1EF2F2D7">
            <w:pPr>
              <w:widowControl/>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规格型号</w:t>
            </w:r>
          </w:p>
        </w:tc>
        <w:tc>
          <w:tcPr>
            <w:tcW w:w="1410" w:type="dxa"/>
            <w:tcBorders>
              <w:left w:val="single" w:color="auto" w:sz="4" w:space="0"/>
            </w:tcBorders>
            <w:vAlign w:val="center"/>
          </w:tcPr>
          <w:p w14:paraId="233EF49A">
            <w:pPr>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价格（元）</w:t>
            </w:r>
          </w:p>
        </w:tc>
        <w:tc>
          <w:tcPr>
            <w:tcW w:w="1972" w:type="dxa"/>
            <w:vAlign w:val="center"/>
          </w:tcPr>
          <w:p w14:paraId="55DB7237">
            <w:pPr>
              <w:widowControl/>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货物制造商名称</w:t>
            </w:r>
          </w:p>
        </w:tc>
        <w:tc>
          <w:tcPr>
            <w:tcW w:w="1835" w:type="dxa"/>
            <w:vAlign w:val="center"/>
          </w:tcPr>
          <w:p w14:paraId="42AA37CF">
            <w:pPr>
              <w:widowControl/>
              <w:adjustRightInd w:val="0"/>
              <w:snapToGrid w:val="0"/>
              <w:spacing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政策功能编码</w:t>
            </w:r>
          </w:p>
        </w:tc>
      </w:tr>
      <w:tr w14:paraId="624884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vAlign w:val="center"/>
          </w:tcPr>
          <w:p w14:paraId="3C7096A1">
            <w:pPr>
              <w:adjustRightInd w:val="0"/>
              <w:snapToGrid w:val="0"/>
              <w:spacing w:line="360" w:lineRule="auto"/>
              <w:jc w:val="left"/>
              <w:rPr>
                <w:rFonts w:hint="eastAsia" w:ascii="宋体" w:hAnsi="宋体" w:eastAsia="宋体" w:cs="宋体"/>
                <w:b/>
                <w:color w:val="auto"/>
                <w:szCs w:val="21"/>
              </w:rPr>
            </w:pPr>
            <w:r>
              <w:rPr>
                <w:rFonts w:hint="eastAsia" w:ascii="宋体" w:hAnsi="宋体" w:eastAsia="宋体" w:cs="宋体"/>
                <w:b/>
                <w:color w:val="auto"/>
                <w:szCs w:val="21"/>
              </w:rPr>
              <w:t>节能产品</w:t>
            </w:r>
          </w:p>
        </w:tc>
      </w:tr>
      <w:tr w14:paraId="4094E5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2590DDBE">
            <w:pPr>
              <w:adjustRightInd w:val="0"/>
              <w:snapToGrid w:val="0"/>
              <w:spacing w:line="360" w:lineRule="auto"/>
              <w:jc w:val="center"/>
              <w:rPr>
                <w:rFonts w:hint="eastAsia" w:ascii="宋体" w:hAnsi="宋体" w:eastAsia="宋体" w:cs="宋体"/>
                <w:b/>
                <w:color w:val="auto"/>
                <w:szCs w:val="21"/>
              </w:rPr>
            </w:pPr>
          </w:p>
        </w:tc>
        <w:tc>
          <w:tcPr>
            <w:tcW w:w="1729" w:type="dxa"/>
            <w:vAlign w:val="center"/>
          </w:tcPr>
          <w:p w14:paraId="24F6A93D">
            <w:pPr>
              <w:adjustRightInd w:val="0"/>
              <w:snapToGrid w:val="0"/>
              <w:spacing w:line="360" w:lineRule="auto"/>
              <w:jc w:val="center"/>
              <w:rPr>
                <w:rFonts w:hint="eastAsia" w:ascii="宋体" w:hAnsi="宋体" w:eastAsia="宋体" w:cs="宋体"/>
                <w:b/>
                <w:color w:val="auto"/>
                <w:szCs w:val="21"/>
              </w:rPr>
            </w:pPr>
          </w:p>
        </w:tc>
        <w:tc>
          <w:tcPr>
            <w:tcW w:w="1127" w:type="dxa"/>
            <w:tcBorders>
              <w:right w:val="single" w:color="auto" w:sz="4" w:space="0"/>
            </w:tcBorders>
            <w:vAlign w:val="center"/>
          </w:tcPr>
          <w:p w14:paraId="59F65787">
            <w:pPr>
              <w:adjustRightInd w:val="0"/>
              <w:snapToGrid w:val="0"/>
              <w:spacing w:line="360" w:lineRule="auto"/>
              <w:jc w:val="left"/>
              <w:rPr>
                <w:rFonts w:hint="eastAsia" w:ascii="宋体" w:hAnsi="宋体" w:eastAsia="宋体" w:cs="宋体"/>
                <w:b/>
                <w:color w:val="auto"/>
                <w:szCs w:val="21"/>
              </w:rPr>
            </w:pPr>
          </w:p>
        </w:tc>
        <w:tc>
          <w:tcPr>
            <w:tcW w:w="1410" w:type="dxa"/>
            <w:tcBorders>
              <w:left w:val="single" w:color="auto" w:sz="4" w:space="0"/>
            </w:tcBorders>
            <w:vAlign w:val="center"/>
          </w:tcPr>
          <w:p w14:paraId="084E7C4D">
            <w:pPr>
              <w:adjustRightInd w:val="0"/>
              <w:snapToGrid w:val="0"/>
              <w:spacing w:line="360" w:lineRule="auto"/>
              <w:jc w:val="left"/>
              <w:rPr>
                <w:rFonts w:hint="eastAsia" w:ascii="宋体" w:hAnsi="宋体" w:eastAsia="宋体" w:cs="宋体"/>
                <w:b/>
                <w:color w:val="auto"/>
                <w:szCs w:val="21"/>
              </w:rPr>
            </w:pPr>
          </w:p>
        </w:tc>
        <w:tc>
          <w:tcPr>
            <w:tcW w:w="1972" w:type="dxa"/>
            <w:vAlign w:val="center"/>
          </w:tcPr>
          <w:p w14:paraId="3958333B">
            <w:pPr>
              <w:adjustRightInd w:val="0"/>
              <w:snapToGrid w:val="0"/>
              <w:spacing w:line="360" w:lineRule="auto"/>
              <w:jc w:val="center"/>
              <w:rPr>
                <w:rFonts w:hint="eastAsia" w:ascii="宋体" w:hAnsi="宋体" w:eastAsia="宋体" w:cs="宋体"/>
                <w:b/>
                <w:color w:val="auto"/>
                <w:szCs w:val="21"/>
              </w:rPr>
            </w:pPr>
          </w:p>
        </w:tc>
        <w:tc>
          <w:tcPr>
            <w:tcW w:w="1835" w:type="dxa"/>
          </w:tcPr>
          <w:p w14:paraId="2283C1A2">
            <w:pPr>
              <w:adjustRightInd w:val="0"/>
              <w:snapToGrid w:val="0"/>
              <w:spacing w:line="360" w:lineRule="auto"/>
              <w:jc w:val="center"/>
              <w:rPr>
                <w:rFonts w:hint="eastAsia" w:ascii="宋体" w:hAnsi="宋体" w:eastAsia="宋体" w:cs="宋体"/>
                <w:b/>
                <w:color w:val="auto"/>
                <w:szCs w:val="21"/>
              </w:rPr>
            </w:pPr>
          </w:p>
        </w:tc>
      </w:tr>
      <w:tr w14:paraId="0B3FA5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7C5FC1F6">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小计</w:t>
            </w:r>
          </w:p>
        </w:tc>
        <w:tc>
          <w:tcPr>
            <w:tcW w:w="1729" w:type="dxa"/>
            <w:vAlign w:val="center"/>
          </w:tcPr>
          <w:p w14:paraId="0BA46CC4">
            <w:pPr>
              <w:adjustRightInd w:val="0"/>
              <w:snapToGrid w:val="0"/>
              <w:spacing w:line="360" w:lineRule="auto"/>
              <w:jc w:val="center"/>
              <w:rPr>
                <w:rFonts w:hint="eastAsia" w:ascii="宋体" w:hAnsi="宋体" w:eastAsia="宋体" w:cs="宋体"/>
                <w:b/>
                <w:color w:val="auto"/>
                <w:szCs w:val="21"/>
              </w:rPr>
            </w:pPr>
          </w:p>
        </w:tc>
        <w:tc>
          <w:tcPr>
            <w:tcW w:w="1127" w:type="dxa"/>
            <w:tcBorders>
              <w:right w:val="single" w:color="auto" w:sz="4" w:space="0"/>
            </w:tcBorders>
            <w:vAlign w:val="center"/>
          </w:tcPr>
          <w:p w14:paraId="3055DBB9">
            <w:pPr>
              <w:adjustRightInd w:val="0"/>
              <w:snapToGrid w:val="0"/>
              <w:spacing w:line="360" w:lineRule="auto"/>
              <w:jc w:val="left"/>
              <w:rPr>
                <w:rFonts w:hint="eastAsia" w:ascii="宋体" w:hAnsi="宋体" w:eastAsia="宋体" w:cs="宋体"/>
                <w:b/>
                <w:color w:val="auto"/>
                <w:szCs w:val="21"/>
              </w:rPr>
            </w:pPr>
          </w:p>
        </w:tc>
        <w:tc>
          <w:tcPr>
            <w:tcW w:w="1410" w:type="dxa"/>
            <w:tcBorders>
              <w:left w:val="single" w:color="auto" w:sz="4" w:space="0"/>
            </w:tcBorders>
            <w:vAlign w:val="center"/>
          </w:tcPr>
          <w:p w14:paraId="4F95F3E9">
            <w:pPr>
              <w:adjustRightInd w:val="0"/>
              <w:snapToGrid w:val="0"/>
              <w:spacing w:line="360" w:lineRule="auto"/>
              <w:jc w:val="left"/>
              <w:rPr>
                <w:rFonts w:hint="eastAsia" w:ascii="宋体" w:hAnsi="宋体" w:eastAsia="宋体" w:cs="宋体"/>
                <w:b/>
                <w:color w:val="auto"/>
                <w:szCs w:val="21"/>
              </w:rPr>
            </w:pPr>
          </w:p>
        </w:tc>
        <w:tc>
          <w:tcPr>
            <w:tcW w:w="1972" w:type="dxa"/>
            <w:vAlign w:val="center"/>
          </w:tcPr>
          <w:p w14:paraId="45AA3168">
            <w:pPr>
              <w:adjustRightInd w:val="0"/>
              <w:snapToGrid w:val="0"/>
              <w:spacing w:line="360" w:lineRule="auto"/>
              <w:jc w:val="center"/>
              <w:rPr>
                <w:rFonts w:hint="eastAsia" w:ascii="宋体" w:hAnsi="宋体" w:eastAsia="宋体" w:cs="宋体"/>
                <w:b/>
                <w:color w:val="auto"/>
                <w:szCs w:val="21"/>
              </w:rPr>
            </w:pPr>
          </w:p>
        </w:tc>
        <w:tc>
          <w:tcPr>
            <w:tcW w:w="1835" w:type="dxa"/>
          </w:tcPr>
          <w:p w14:paraId="2A1C98A4">
            <w:pPr>
              <w:adjustRightInd w:val="0"/>
              <w:snapToGrid w:val="0"/>
              <w:spacing w:line="360" w:lineRule="auto"/>
              <w:jc w:val="center"/>
              <w:rPr>
                <w:rFonts w:hint="eastAsia" w:ascii="宋体" w:hAnsi="宋体" w:eastAsia="宋体" w:cs="宋体"/>
                <w:b/>
                <w:color w:val="auto"/>
                <w:szCs w:val="21"/>
              </w:rPr>
            </w:pPr>
          </w:p>
        </w:tc>
      </w:tr>
      <w:tr w14:paraId="0A156C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vAlign w:val="center"/>
          </w:tcPr>
          <w:p w14:paraId="7785F2F6">
            <w:pPr>
              <w:adjustRightInd w:val="0"/>
              <w:snapToGrid w:val="0"/>
              <w:spacing w:line="360" w:lineRule="auto"/>
              <w:jc w:val="left"/>
              <w:rPr>
                <w:rFonts w:hint="eastAsia" w:ascii="宋体" w:hAnsi="宋体" w:eastAsia="宋体" w:cs="宋体"/>
                <w:b/>
                <w:color w:val="auto"/>
                <w:szCs w:val="21"/>
              </w:rPr>
            </w:pPr>
            <w:r>
              <w:rPr>
                <w:rFonts w:hint="eastAsia" w:ascii="宋体" w:hAnsi="宋体" w:eastAsia="宋体" w:cs="宋体"/>
                <w:b/>
                <w:color w:val="auto"/>
                <w:szCs w:val="21"/>
              </w:rPr>
              <w:t>环境标志产品</w:t>
            </w:r>
          </w:p>
        </w:tc>
      </w:tr>
      <w:tr w14:paraId="504B9E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7D2189A6">
            <w:pPr>
              <w:adjustRightInd w:val="0"/>
              <w:snapToGrid w:val="0"/>
              <w:spacing w:line="360" w:lineRule="auto"/>
              <w:jc w:val="center"/>
              <w:rPr>
                <w:rFonts w:hint="eastAsia" w:ascii="宋体" w:hAnsi="宋体" w:eastAsia="宋体" w:cs="宋体"/>
                <w:b/>
                <w:color w:val="auto"/>
                <w:szCs w:val="21"/>
              </w:rPr>
            </w:pPr>
          </w:p>
        </w:tc>
        <w:tc>
          <w:tcPr>
            <w:tcW w:w="1729" w:type="dxa"/>
            <w:vAlign w:val="center"/>
          </w:tcPr>
          <w:p w14:paraId="4B59BCD5">
            <w:pPr>
              <w:adjustRightInd w:val="0"/>
              <w:snapToGrid w:val="0"/>
              <w:spacing w:line="360" w:lineRule="auto"/>
              <w:jc w:val="center"/>
              <w:rPr>
                <w:rFonts w:hint="eastAsia" w:ascii="宋体" w:hAnsi="宋体" w:eastAsia="宋体" w:cs="宋体"/>
                <w:b/>
                <w:color w:val="auto"/>
                <w:szCs w:val="21"/>
              </w:rPr>
            </w:pPr>
          </w:p>
        </w:tc>
        <w:tc>
          <w:tcPr>
            <w:tcW w:w="1127" w:type="dxa"/>
            <w:tcBorders>
              <w:right w:val="single" w:color="auto" w:sz="4" w:space="0"/>
            </w:tcBorders>
            <w:vAlign w:val="center"/>
          </w:tcPr>
          <w:p w14:paraId="3E37298A">
            <w:pPr>
              <w:adjustRightInd w:val="0"/>
              <w:snapToGrid w:val="0"/>
              <w:spacing w:line="360" w:lineRule="auto"/>
              <w:jc w:val="left"/>
              <w:rPr>
                <w:rFonts w:hint="eastAsia" w:ascii="宋体" w:hAnsi="宋体" w:eastAsia="宋体" w:cs="宋体"/>
                <w:b/>
                <w:color w:val="auto"/>
                <w:szCs w:val="21"/>
              </w:rPr>
            </w:pPr>
          </w:p>
        </w:tc>
        <w:tc>
          <w:tcPr>
            <w:tcW w:w="1410" w:type="dxa"/>
            <w:tcBorders>
              <w:left w:val="single" w:color="auto" w:sz="4" w:space="0"/>
            </w:tcBorders>
            <w:vAlign w:val="center"/>
          </w:tcPr>
          <w:p w14:paraId="18EEF021">
            <w:pPr>
              <w:adjustRightInd w:val="0"/>
              <w:snapToGrid w:val="0"/>
              <w:spacing w:line="360" w:lineRule="auto"/>
              <w:jc w:val="left"/>
              <w:rPr>
                <w:rFonts w:hint="eastAsia" w:ascii="宋体" w:hAnsi="宋体" w:eastAsia="宋体" w:cs="宋体"/>
                <w:b/>
                <w:color w:val="auto"/>
                <w:szCs w:val="21"/>
              </w:rPr>
            </w:pPr>
          </w:p>
        </w:tc>
        <w:tc>
          <w:tcPr>
            <w:tcW w:w="1972" w:type="dxa"/>
            <w:vAlign w:val="center"/>
          </w:tcPr>
          <w:p w14:paraId="772DE1F8">
            <w:pPr>
              <w:adjustRightInd w:val="0"/>
              <w:snapToGrid w:val="0"/>
              <w:spacing w:line="360" w:lineRule="auto"/>
              <w:jc w:val="center"/>
              <w:rPr>
                <w:rFonts w:hint="eastAsia" w:ascii="宋体" w:hAnsi="宋体" w:eastAsia="宋体" w:cs="宋体"/>
                <w:b/>
                <w:color w:val="auto"/>
                <w:szCs w:val="21"/>
              </w:rPr>
            </w:pPr>
          </w:p>
        </w:tc>
        <w:tc>
          <w:tcPr>
            <w:tcW w:w="1835" w:type="dxa"/>
          </w:tcPr>
          <w:p w14:paraId="0866BF3F">
            <w:pPr>
              <w:adjustRightInd w:val="0"/>
              <w:snapToGrid w:val="0"/>
              <w:spacing w:line="360" w:lineRule="auto"/>
              <w:jc w:val="center"/>
              <w:rPr>
                <w:rFonts w:hint="eastAsia" w:ascii="宋体" w:hAnsi="宋体" w:eastAsia="宋体" w:cs="宋体"/>
                <w:b/>
                <w:color w:val="auto"/>
                <w:szCs w:val="21"/>
              </w:rPr>
            </w:pPr>
          </w:p>
        </w:tc>
      </w:tr>
      <w:tr w14:paraId="2A94C2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7CFD11B3">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小计</w:t>
            </w:r>
          </w:p>
        </w:tc>
        <w:tc>
          <w:tcPr>
            <w:tcW w:w="1729" w:type="dxa"/>
            <w:vAlign w:val="center"/>
          </w:tcPr>
          <w:p w14:paraId="531A35BA">
            <w:pPr>
              <w:adjustRightInd w:val="0"/>
              <w:snapToGrid w:val="0"/>
              <w:spacing w:line="360" w:lineRule="auto"/>
              <w:jc w:val="center"/>
              <w:rPr>
                <w:rFonts w:hint="eastAsia" w:ascii="宋体" w:hAnsi="宋体" w:eastAsia="宋体" w:cs="宋体"/>
                <w:b/>
                <w:color w:val="auto"/>
                <w:szCs w:val="21"/>
              </w:rPr>
            </w:pPr>
          </w:p>
        </w:tc>
        <w:tc>
          <w:tcPr>
            <w:tcW w:w="1127" w:type="dxa"/>
            <w:tcBorders>
              <w:right w:val="single" w:color="auto" w:sz="4" w:space="0"/>
            </w:tcBorders>
            <w:vAlign w:val="center"/>
          </w:tcPr>
          <w:p w14:paraId="63492742">
            <w:pPr>
              <w:adjustRightInd w:val="0"/>
              <w:snapToGrid w:val="0"/>
              <w:spacing w:line="360" w:lineRule="auto"/>
              <w:jc w:val="left"/>
              <w:rPr>
                <w:rFonts w:hint="eastAsia" w:ascii="宋体" w:hAnsi="宋体" w:eastAsia="宋体" w:cs="宋体"/>
                <w:b/>
                <w:color w:val="auto"/>
                <w:szCs w:val="21"/>
              </w:rPr>
            </w:pPr>
          </w:p>
        </w:tc>
        <w:tc>
          <w:tcPr>
            <w:tcW w:w="1410" w:type="dxa"/>
            <w:tcBorders>
              <w:left w:val="single" w:color="auto" w:sz="4" w:space="0"/>
            </w:tcBorders>
            <w:vAlign w:val="center"/>
          </w:tcPr>
          <w:p w14:paraId="6C5F966E">
            <w:pPr>
              <w:adjustRightInd w:val="0"/>
              <w:snapToGrid w:val="0"/>
              <w:spacing w:line="360" w:lineRule="auto"/>
              <w:jc w:val="left"/>
              <w:rPr>
                <w:rFonts w:hint="eastAsia" w:ascii="宋体" w:hAnsi="宋体" w:eastAsia="宋体" w:cs="宋体"/>
                <w:b/>
                <w:color w:val="auto"/>
                <w:szCs w:val="21"/>
              </w:rPr>
            </w:pPr>
          </w:p>
        </w:tc>
        <w:tc>
          <w:tcPr>
            <w:tcW w:w="1972" w:type="dxa"/>
            <w:vAlign w:val="center"/>
          </w:tcPr>
          <w:p w14:paraId="7221C73B">
            <w:pPr>
              <w:adjustRightInd w:val="0"/>
              <w:snapToGrid w:val="0"/>
              <w:spacing w:line="360" w:lineRule="auto"/>
              <w:jc w:val="center"/>
              <w:rPr>
                <w:rFonts w:hint="eastAsia" w:ascii="宋体" w:hAnsi="宋体" w:eastAsia="宋体" w:cs="宋体"/>
                <w:b/>
                <w:color w:val="auto"/>
                <w:szCs w:val="21"/>
              </w:rPr>
            </w:pPr>
          </w:p>
        </w:tc>
        <w:tc>
          <w:tcPr>
            <w:tcW w:w="1835" w:type="dxa"/>
          </w:tcPr>
          <w:p w14:paraId="4E1296B8">
            <w:pPr>
              <w:adjustRightInd w:val="0"/>
              <w:snapToGrid w:val="0"/>
              <w:spacing w:line="360" w:lineRule="auto"/>
              <w:jc w:val="center"/>
              <w:rPr>
                <w:rFonts w:hint="eastAsia" w:ascii="宋体" w:hAnsi="宋体" w:eastAsia="宋体" w:cs="宋体"/>
                <w:b/>
                <w:color w:val="auto"/>
                <w:szCs w:val="21"/>
              </w:rPr>
            </w:pPr>
          </w:p>
        </w:tc>
      </w:tr>
      <w:tr w14:paraId="1FF3BE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8740" w:type="dxa"/>
            <w:gridSpan w:val="6"/>
            <w:vAlign w:val="center"/>
          </w:tcPr>
          <w:p w14:paraId="75516152">
            <w:pPr>
              <w:adjustRightInd w:val="0"/>
              <w:snapToGrid w:val="0"/>
              <w:spacing w:line="360" w:lineRule="auto"/>
              <w:jc w:val="left"/>
              <w:rPr>
                <w:rFonts w:hint="eastAsia" w:ascii="宋体" w:hAnsi="宋体" w:eastAsia="宋体" w:cs="宋体"/>
                <w:b/>
                <w:color w:val="auto"/>
                <w:szCs w:val="21"/>
              </w:rPr>
            </w:pPr>
            <w:r>
              <w:rPr>
                <w:rFonts w:hint="eastAsia" w:ascii="宋体" w:hAnsi="宋体" w:eastAsia="宋体" w:cs="宋体"/>
                <w:b/>
                <w:color w:val="auto"/>
                <w:szCs w:val="21"/>
              </w:rPr>
              <w:t>两型产品</w:t>
            </w:r>
          </w:p>
        </w:tc>
      </w:tr>
      <w:tr w14:paraId="75BCDE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66" w:hRule="atLeast"/>
        </w:trPr>
        <w:tc>
          <w:tcPr>
            <w:tcW w:w="667" w:type="dxa"/>
            <w:vAlign w:val="center"/>
          </w:tcPr>
          <w:p w14:paraId="2D00C260">
            <w:pPr>
              <w:adjustRightInd w:val="0"/>
              <w:snapToGrid w:val="0"/>
              <w:spacing w:line="360" w:lineRule="auto"/>
              <w:jc w:val="center"/>
              <w:rPr>
                <w:rFonts w:hint="eastAsia" w:ascii="宋体" w:hAnsi="宋体" w:eastAsia="宋体" w:cs="宋体"/>
                <w:color w:val="auto"/>
                <w:szCs w:val="21"/>
              </w:rPr>
            </w:pPr>
          </w:p>
        </w:tc>
        <w:tc>
          <w:tcPr>
            <w:tcW w:w="1729" w:type="dxa"/>
            <w:vAlign w:val="center"/>
          </w:tcPr>
          <w:p w14:paraId="6C469717">
            <w:pPr>
              <w:adjustRightInd w:val="0"/>
              <w:snapToGrid w:val="0"/>
              <w:spacing w:line="360" w:lineRule="auto"/>
              <w:jc w:val="center"/>
              <w:rPr>
                <w:rFonts w:hint="eastAsia" w:ascii="宋体" w:hAnsi="宋体" w:eastAsia="宋体" w:cs="宋体"/>
                <w:color w:val="auto"/>
                <w:szCs w:val="21"/>
              </w:rPr>
            </w:pPr>
          </w:p>
        </w:tc>
        <w:tc>
          <w:tcPr>
            <w:tcW w:w="1127" w:type="dxa"/>
            <w:tcBorders>
              <w:right w:val="single" w:color="auto" w:sz="4" w:space="0"/>
            </w:tcBorders>
            <w:vAlign w:val="center"/>
          </w:tcPr>
          <w:p w14:paraId="6B8469B6">
            <w:pPr>
              <w:adjustRightInd w:val="0"/>
              <w:snapToGrid w:val="0"/>
              <w:spacing w:line="360" w:lineRule="auto"/>
              <w:jc w:val="center"/>
              <w:rPr>
                <w:rFonts w:hint="eastAsia" w:ascii="宋体" w:hAnsi="宋体" w:eastAsia="宋体" w:cs="宋体"/>
                <w:color w:val="auto"/>
                <w:szCs w:val="21"/>
              </w:rPr>
            </w:pPr>
          </w:p>
        </w:tc>
        <w:tc>
          <w:tcPr>
            <w:tcW w:w="1410" w:type="dxa"/>
            <w:tcBorders>
              <w:left w:val="single" w:color="auto" w:sz="4" w:space="0"/>
            </w:tcBorders>
            <w:vAlign w:val="center"/>
          </w:tcPr>
          <w:p w14:paraId="731E57BF">
            <w:pPr>
              <w:adjustRightInd w:val="0"/>
              <w:snapToGrid w:val="0"/>
              <w:spacing w:line="360" w:lineRule="auto"/>
              <w:jc w:val="center"/>
              <w:rPr>
                <w:rFonts w:hint="eastAsia" w:ascii="宋体" w:hAnsi="宋体" w:eastAsia="宋体" w:cs="宋体"/>
                <w:color w:val="auto"/>
                <w:szCs w:val="21"/>
              </w:rPr>
            </w:pPr>
          </w:p>
        </w:tc>
        <w:tc>
          <w:tcPr>
            <w:tcW w:w="1972" w:type="dxa"/>
            <w:vAlign w:val="center"/>
          </w:tcPr>
          <w:p w14:paraId="7DB1FF4B">
            <w:pPr>
              <w:adjustRightInd w:val="0"/>
              <w:snapToGrid w:val="0"/>
              <w:spacing w:line="360" w:lineRule="auto"/>
              <w:jc w:val="center"/>
              <w:rPr>
                <w:rFonts w:hint="eastAsia" w:ascii="宋体" w:hAnsi="宋体" w:eastAsia="宋体" w:cs="宋体"/>
                <w:color w:val="auto"/>
                <w:szCs w:val="21"/>
              </w:rPr>
            </w:pPr>
          </w:p>
        </w:tc>
        <w:tc>
          <w:tcPr>
            <w:tcW w:w="1835" w:type="dxa"/>
          </w:tcPr>
          <w:p w14:paraId="024E67F2">
            <w:pPr>
              <w:adjustRightInd w:val="0"/>
              <w:snapToGrid w:val="0"/>
              <w:spacing w:line="360" w:lineRule="auto"/>
              <w:jc w:val="center"/>
              <w:rPr>
                <w:rFonts w:hint="eastAsia" w:ascii="宋体" w:hAnsi="宋体" w:eastAsia="宋体" w:cs="宋体"/>
                <w:color w:val="auto"/>
                <w:szCs w:val="21"/>
              </w:rPr>
            </w:pPr>
          </w:p>
        </w:tc>
      </w:tr>
      <w:tr w14:paraId="38DA16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90" w:hRule="atLeast"/>
        </w:trPr>
        <w:tc>
          <w:tcPr>
            <w:tcW w:w="667" w:type="dxa"/>
            <w:vAlign w:val="center"/>
          </w:tcPr>
          <w:p w14:paraId="05FC2E18">
            <w:pPr>
              <w:adjustRightInd w:val="0"/>
              <w:snapToGrid w:val="0"/>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小计</w:t>
            </w:r>
          </w:p>
        </w:tc>
        <w:tc>
          <w:tcPr>
            <w:tcW w:w="1729" w:type="dxa"/>
            <w:vAlign w:val="center"/>
          </w:tcPr>
          <w:p w14:paraId="7C6BC0BF">
            <w:pPr>
              <w:adjustRightInd w:val="0"/>
              <w:snapToGrid w:val="0"/>
              <w:spacing w:line="360" w:lineRule="auto"/>
              <w:jc w:val="center"/>
              <w:rPr>
                <w:rFonts w:hint="eastAsia" w:ascii="宋体" w:hAnsi="宋体" w:eastAsia="宋体" w:cs="宋体"/>
                <w:color w:val="auto"/>
                <w:szCs w:val="21"/>
              </w:rPr>
            </w:pPr>
          </w:p>
        </w:tc>
        <w:tc>
          <w:tcPr>
            <w:tcW w:w="1127" w:type="dxa"/>
            <w:tcBorders>
              <w:right w:val="single" w:color="auto" w:sz="4" w:space="0"/>
            </w:tcBorders>
            <w:vAlign w:val="center"/>
          </w:tcPr>
          <w:p w14:paraId="05452C48">
            <w:pPr>
              <w:adjustRightInd w:val="0"/>
              <w:snapToGrid w:val="0"/>
              <w:spacing w:line="360" w:lineRule="auto"/>
              <w:jc w:val="center"/>
              <w:rPr>
                <w:rFonts w:hint="eastAsia" w:ascii="宋体" w:hAnsi="宋体" w:eastAsia="宋体" w:cs="宋体"/>
                <w:color w:val="auto"/>
                <w:szCs w:val="21"/>
              </w:rPr>
            </w:pPr>
          </w:p>
        </w:tc>
        <w:tc>
          <w:tcPr>
            <w:tcW w:w="1410" w:type="dxa"/>
            <w:tcBorders>
              <w:left w:val="single" w:color="auto" w:sz="4" w:space="0"/>
            </w:tcBorders>
            <w:vAlign w:val="center"/>
          </w:tcPr>
          <w:p w14:paraId="76A06765">
            <w:pPr>
              <w:adjustRightInd w:val="0"/>
              <w:snapToGrid w:val="0"/>
              <w:spacing w:line="360" w:lineRule="auto"/>
              <w:jc w:val="center"/>
              <w:rPr>
                <w:rFonts w:hint="eastAsia" w:ascii="宋体" w:hAnsi="宋体" w:eastAsia="宋体" w:cs="宋体"/>
                <w:color w:val="auto"/>
                <w:szCs w:val="21"/>
              </w:rPr>
            </w:pPr>
          </w:p>
        </w:tc>
        <w:tc>
          <w:tcPr>
            <w:tcW w:w="1972" w:type="dxa"/>
            <w:vAlign w:val="center"/>
          </w:tcPr>
          <w:p w14:paraId="26CC46AE">
            <w:pPr>
              <w:adjustRightInd w:val="0"/>
              <w:snapToGrid w:val="0"/>
              <w:spacing w:line="360" w:lineRule="auto"/>
              <w:jc w:val="center"/>
              <w:rPr>
                <w:rFonts w:hint="eastAsia" w:ascii="宋体" w:hAnsi="宋体" w:eastAsia="宋体" w:cs="宋体"/>
                <w:color w:val="auto"/>
                <w:szCs w:val="21"/>
              </w:rPr>
            </w:pPr>
          </w:p>
        </w:tc>
        <w:tc>
          <w:tcPr>
            <w:tcW w:w="1835" w:type="dxa"/>
          </w:tcPr>
          <w:p w14:paraId="1486D391">
            <w:pPr>
              <w:adjustRightInd w:val="0"/>
              <w:snapToGrid w:val="0"/>
              <w:spacing w:line="360" w:lineRule="auto"/>
              <w:jc w:val="center"/>
              <w:rPr>
                <w:rFonts w:hint="eastAsia" w:ascii="宋体" w:hAnsi="宋体" w:eastAsia="宋体" w:cs="宋体"/>
                <w:color w:val="auto"/>
                <w:szCs w:val="21"/>
              </w:rPr>
            </w:pPr>
          </w:p>
        </w:tc>
      </w:tr>
    </w:tbl>
    <w:p w14:paraId="0DB11F72">
      <w:pPr>
        <w:adjustRightInd w:val="0"/>
        <w:snapToGrid w:val="0"/>
        <w:spacing w:line="360" w:lineRule="auto"/>
        <w:jc w:val="left"/>
        <w:rPr>
          <w:rFonts w:hint="eastAsia" w:ascii="宋体" w:hAnsi="宋体" w:eastAsia="宋体" w:cs="宋体"/>
          <w:color w:val="auto"/>
          <w:szCs w:val="21"/>
        </w:rPr>
      </w:pPr>
      <w:r>
        <w:rPr>
          <w:rFonts w:hint="eastAsia" w:ascii="宋体" w:hAnsi="宋体" w:eastAsia="宋体" w:cs="宋体"/>
          <w:color w:val="auto"/>
          <w:szCs w:val="21"/>
        </w:rPr>
        <w:t>说明：</w:t>
      </w:r>
      <w:r>
        <w:rPr>
          <w:rFonts w:hint="eastAsia" w:ascii="宋体" w:hAnsi="宋体" w:eastAsia="宋体" w:cs="宋体"/>
          <w:bCs/>
          <w:color w:val="auto"/>
          <w:szCs w:val="21"/>
        </w:rPr>
        <w:t>1.</w:t>
      </w:r>
      <w:r>
        <w:rPr>
          <w:rFonts w:hint="eastAsia" w:ascii="宋体" w:hAnsi="宋体" w:eastAsia="宋体" w:cs="宋体"/>
          <w:color w:val="auto"/>
          <w:szCs w:val="21"/>
        </w:rPr>
        <w:t>本表用于计算政府采购优先采购产品（节能产品或环境标志产品或两型产品）的政府采购政策加分或者价格扣除。</w:t>
      </w:r>
    </w:p>
    <w:p w14:paraId="33D3E01D">
      <w:pPr>
        <w:adjustRightInd w:val="0"/>
        <w:snapToGrid w:val="0"/>
        <w:spacing w:line="360" w:lineRule="auto"/>
        <w:ind w:firstLine="630" w:firstLineChars="300"/>
        <w:jc w:val="left"/>
        <w:rPr>
          <w:rFonts w:hint="eastAsia" w:ascii="宋体" w:hAnsi="宋体" w:eastAsia="宋体" w:cs="宋体"/>
          <w:color w:val="auto"/>
          <w:szCs w:val="21"/>
        </w:rPr>
      </w:pPr>
      <w:r>
        <w:rPr>
          <w:rFonts w:hint="eastAsia" w:ascii="宋体" w:hAnsi="宋体" w:eastAsia="宋体" w:cs="宋体"/>
          <w:color w:val="auto"/>
          <w:szCs w:val="21"/>
        </w:rPr>
        <w:t>2.栏目4“价格”为综合单价，包含货物所有隐含的内容，如运输费、保险费、管理费和利润等。</w:t>
      </w:r>
    </w:p>
    <w:p w14:paraId="7BCD48B7">
      <w:pPr>
        <w:adjustRightInd w:val="0"/>
        <w:snapToGrid w:val="0"/>
        <w:spacing w:line="360" w:lineRule="auto"/>
        <w:ind w:firstLine="630" w:firstLineChars="300"/>
        <w:jc w:val="left"/>
        <w:rPr>
          <w:rFonts w:hint="eastAsia" w:ascii="宋体" w:hAnsi="宋体" w:eastAsia="宋体" w:cs="宋体"/>
          <w:color w:val="auto"/>
          <w:szCs w:val="21"/>
        </w:rPr>
      </w:pPr>
      <w:r>
        <w:rPr>
          <w:rFonts w:hint="eastAsia" w:ascii="宋体" w:hAnsi="宋体" w:eastAsia="宋体" w:cs="宋体"/>
          <w:color w:val="auto"/>
          <w:szCs w:val="21"/>
        </w:rPr>
        <w:t>3.栏目6“政策功能编码”是指货物的中国环境标志认证证书编号、中国节能标志认证证书号、湖南两型产品编号（货物同时属于节能产品、环境标志产品、两型产品的，只须填写一种）。</w:t>
      </w:r>
    </w:p>
    <w:p w14:paraId="57FB12F9">
      <w:pPr>
        <w:adjustRightInd w:val="0"/>
        <w:snapToGrid w:val="0"/>
        <w:spacing w:line="360" w:lineRule="auto"/>
        <w:ind w:firstLine="630" w:firstLineChars="300"/>
        <w:rPr>
          <w:rFonts w:hint="eastAsia" w:ascii="宋体" w:hAnsi="宋体" w:eastAsia="宋体" w:cs="宋体"/>
          <w:bCs/>
          <w:color w:val="auto"/>
          <w:szCs w:val="21"/>
        </w:rPr>
      </w:pPr>
      <w:r>
        <w:rPr>
          <w:rFonts w:hint="eastAsia" w:ascii="宋体" w:hAnsi="宋体" w:eastAsia="宋体" w:cs="宋体"/>
          <w:bCs/>
          <w:color w:val="auto"/>
          <w:szCs w:val="21"/>
        </w:rPr>
        <w:t>4.投标人在投标截止时间前修改“开标一览表”中的投标报价的，应按第二章第13.7款规定修改本表相应内容。否则，评审时涉及本表所有优惠不予以考虑。</w:t>
      </w:r>
    </w:p>
    <w:p w14:paraId="7A351BC7">
      <w:pPr>
        <w:adjustRightInd w:val="0"/>
        <w:snapToGrid w:val="0"/>
        <w:spacing w:line="360" w:lineRule="auto"/>
        <w:rPr>
          <w:rFonts w:hint="eastAsia" w:ascii="宋体" w:hAnsi="宋体" w:eastAsia="宋体" w:cs="宋体"/>
          <w:color w:val="auto"/>
          <w:szCs w:val="21"/>
        </w:rPr>
      </w:pPr>
    </w:p>
    <w:p w14:paraId="047E863E">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zCs w:val="21"/>
        </w:rPr>
        <w:t>投标人名称（盖单位章）：</w:t>
      </w:r>
    </w:p>
    <w:p w14:paraId="0C8D569D">
      <w:pPr>
        <w:adjustRightInd w:val="0"/>
        <w:snapToGrid w:val="0"/>
        <w:spacing w:line="360" w:lineRule="auto"/>
        <w:rPr>
          <w:rFonts w:hint="eastAsia" w:ascii="宋体" w:hAnsi="宋体" w:eastAsia="宋体" w:cs="宋体"/>
          <w:color w:val="auto"/>
          <w:szCs w:val="21"/>
        </w:rPr>
      </w:pPr>
      <w:r>
        <w:rPr>
          <w:rFonts w:hint="eastAsia" w:ascii="宋体" w:hAnsi="宋体" w:eastAsia="宋体" w:cs="宋体"/>
          <w:color w:val="auto"/>
          <w:spacing w:val="-2"/>
          <w:kern w:val="0"/>
          <w:szCs w:val="21"/>
        </w:rPr>
        <w:t>法</w:t>
      </w:r>
      <w:r>
        <w:rPr>
          <w:rFonts w:hint="eastAsia" w:ascii="宋体" w:hAnsi="宋体" w:eastAsia="宋体" w:cs="宋体"/>
          <w:color w:val="auto"/>
          <w:kern w:val="0"/>
          <w:szCs w:val="21"/>
        </w:rPr>
        <w:t>定</w:t>
      </w:r>
      <w:r>
        <w:rPr>
          <w:rFonts w:hint="eastAsia" w:ascii="宋体" w:hAnsi="宋体" w:eastAsia="宋体" w:cs="宋体"/>
          <w:color w:val="auto"/>
          <w:spacing w:val="-2"/>
          <w:kern w:val="0"/>
          <w:szCs w:val="21"/>
        </w:rPr>
        <w:t>代</w:t>
      </w:r>
      <w:r>
        <w:rPr>
          <w:rFonts w:hint="eastAsia" w:ascii="宋体" w:hAnsi="宋体" w:eastAsia="宋体" w:cs="宋体"/>
          <w:color w:val="auto"/>
          <w:kern w:val="0"/>
          <w:szCs w:val="21"/>
        </w:rPr>
        <w:t>表</w:t>
      </w:r>
      <w:r>
        <w:rPr>
          <w:rFonts w:hint="eastAsia" w:ascii="宋体" w:hAnsi="宋体" w:eastAsia="宋体" w:cs="宋体"/>
          <w:color w:val="auto"/>
          <w:spacing w:val="-2"/>
          <w:kern w:val="0"/>
          <w:szCs w:val="21"/>
        </w:rPr>
        <w:t>人</w:t>
      </w:r>
      <w:r>
        <w:rPr>
          <w:rFonts w:hint="eastAsia" w:ascii="宋体" w:hAnsi="宋体" w:eastAsia="宋体" w:cs="宋体"/>
          <w:color w:val="auto"/>
          <w:kern w:val="0"/>
          <w:szCs w:val="21"/>
        </w:rPr>
        <w:t>（</w:t>
      </w:r>
      <w:r>
        <w:rPr>
          <w:rFonts w:hint="eastAsia" w:ascii="宋体" w:hAnsi="宋体" w:eastAsia="宋体" w:cs="宋体"/>
          <w:color w:val="auto"/>
          <w:spacing w:val="-2"/>
          <w:kern w:val="0"/>
          <w:szCs w:val="21"/>
        </w:rPr>
        <w:t>单</w:t>
      </w:r>
      <w:r>
        <w:rPr>
          <w:rFonts w:hint="eastAsia" w:ascii="宋体" w:hAnsi="宋体" w:eastAsia="宋体" w:cs="宋体"/>
          <w:color w:val="auto"/>
          <w:kern w:val="0"/>
          <w:szCs w:val="21"/>
        </w:rPr>
        <w:t>位</w:t>
      </w:r>
      <w:r>
        <w:rPr>
          <w:rFonts w:hint="eastAsia" w:ascii="宋体" w:hAnsi="宋体" w:eastAsia="宋体" w:cs="宋体"/>
          <w:color w:val="auto"/>
          <w:spacing w:val="-2"/>
          <w:kern w:val="0"/>
          <w:szCs w:val="21"/>
        </w:rPr>
        <w:t>负</w:t>
      </w:r>
      <w:r>
        <w:rPr>
          <w:rFonts w:hint="eastAsia" w:ascii="宋体" w:hAnsi="宋体" w:eastAsia="宋体" w:cs="宋体"/>
          <w:color w:val="auto"/>
          <w:kern w:val="0"/>
          <w:szCs w:val="21"/>
        </w:rPr>
        <w:t>责人</w:t>
      </w:r>
      <w:r>
        <w:rPr>
          <w:rFonts w:hint="eastAsia" w:ascii="宋体" w:hAnsi="宋体" w:eastAsia="宋体" w:cs="宋体"/>
          <w:color w:val="auto"/>
          <w:spacing w:val="-2"/>
          <w:kern w:val="0"/>
          <w:szCs w:val="21"/>
        </w:rPr>
        <w:t>）</w:t>
      </w:r>
      <w:r>
        <w:rPr>
          <w:rFonts w:hint="eastAsia" w:ascii="宋体" w:hAnsi="宋体" w:eastAsia="宋体" w:cs="宋体"/>
          <w:color w:val="auto"/>
          <w:szCs w:val="21"/>
        </w:rPr>
        <w:t>或其委托代理人（签字或印章）：</w:t>
      </w:r>
      <w:r>
        <w:rPr>
          <w:rFonts w:hint="eastAsia" w:ascii="宋体" w:hAnsi="宋体" w:eastAsia="宋体" w:cs="宋体"/>
          <w:color w:val="auto"/>
          <w:szCs w:val="21"/>
          <w:u w:val="single"/>
        </w:rPr>
        <w:t xml:space="preserve">       </w:t>
      </w:r>
    </w:p>
    <w:p w14:paraId="76A8075C">
      <w:pPr>
        <w:rPr>
          <w:rFonts w:hint="eastAsia" w:ascii="宋体" w:hAnsi="宋体" w:eastAsia="宋体" w:cs="宋体"/>
          <w:b/>
          <w:bCs/>
          <w:color w:val="auto"/>
          <w:sz w:val="10"/>
          <w:szCs w:val="10"/>
        </w:rPr>
      </w:pPr>
      <w:r>
        <w:rPr>
          <w:rFonts w:hint="eastAsia" w:ascii="宋体" w:hAnsi="宋体" w:eastAsia="宋体" w:cs="宋体"/>
          <w:color w:val="auto"/>
        </w:rPr>
        <w:t>日期：        年    月   日</w:t>
      </w:r>
      <w:r>
        <w:rPr>
          <w:rFonts w:hint="eastAsia" w:ascii="宋体" w:hAnsi="宋体" w:eastAsia="宋体" w:cs="宋体"/>
          <w:color w:val="auto"/>
          <w:szCs w:val="21"/>
        </w:rPr>
        <w:br w:type="page"/>
      </w:r>
    </w:p>
    <w:p w14:paraId="18AF9248">
      <w:pPr>
        <w:pStyle w:val="5"/>
        <w:adjustRightInd w:val="0"/>
        <w:snapToGrid w:val="0"/>
        <w:spacing w:before="0" w:after="0" w:line="360" w:lineRule="auto"/>
        <w:jc w:val="center"/>
        <w:rPr>
          <w:rFonts w:hint="eastAsia" w:ascii="宋体" w:hAnsi="宋体" w:eastAsia="宋体" w:cs="宋体"/>
          <w:color w:val="auto"/>
          <w:sz w:val="28"/>
          <w:szCs w:val="28"/>
        </w:rPr>
      </w:pPr>
      <w:bookmarkStart w:id="1519" w:name="_Toc11179"/>
      <w:bookmarkStart w:id="1520" w:name="_Toc6262"/>
      <w:bookmarkStart w:id="1521" w:name="_Toc4584"/>
      <w:r>
        <w:rPr>
          <w:rFonts w:hint="eastAsia" w:ascii="宋体" w:hAnsi="宋体" w:eastAsia="宋体" w:cs="宋体"/>
          <w:color w:val="auto"/>
          <w:sz w:val="28"/>
          <w:szCs w:val="28"/>
        </w:rPr>
        <w:t>十一、投标货物符合招标文件规定的证明文件</w:t>
      </w:r>
      <w:bookmarkEnd w:id="1519"/>
      <w:bookmarkEnd w:id="1520"/>
      <w:bookmarkEnd w:id="1521"/>
    </w:p>
    <w:p w14:paraId="2AF04202">
      <w:pPr>
        <w:adjustRightInd w:val="0"/>
        <w:snapToGrid w:val="0"/>
        <w:spacing w:line="360" w:lineRule="auto"/>
        <w:rPr>
          <w:rFonts w:hint="eastAsia" w:ascii="宋体" w:hAnsi="宋体" w:eastAsia="宋体" w:cs="宋体"/>
          <w:color w:val="auto"/>
          <w:szCs w:val="21"/>
        </w:rPr>
      </w:pPr>
    </w:p>
    <w:p w14:paraId="4B6A0636">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szCs w:val="21"/>
        </w:rPr>
        <w:t>注：提供第五章规定的证明材料</w:t>
      </w:r>
      <w:r>
        <w:rPr>
          <w:rFonts w:hint="eastAsia" w:ascii="宋体" w:hAnsi="宋体" w:eastAsia="宋体" w:cs="宋体"/>
          <w:color w:val="auto"/>
          <w:szCs w:val="21"/>
          <w:lang w:eastAsia="zh-CN"/>
        </w:rPr>
        <w:t>扫描件</w:t>
      </w:r>
      <w:r>
        <w:rPr>
          <w:rFonts w:hint="eastAsia" w:ascii="宋体" w:hAnsi="宋体" w:eastAsia="宋体" w:cs="宋体"/>
          <w:color w:val="auto"/>
          <w:szCs w:val="21"/>
        </w:rPr>
        <w:t>。</w:t>
      </w:r>
    </w:p>
    <w:p w14:paraId="444893BE">
      <w:pPr>
        <w:widowControl/>
        <w:jc w:val="left"/>
        <w:rPr>
          <w:rFonts w:hint="eastAsia" w:ascii="宋体" w:hAnsi="宋体" w:eastAsia="宋体" w:cs="宋体"/>
          <w:color w:val="auto"/>
          <w:sz w:val="10"/>
          <w:szCs w:val="10"/>
        </w:rPr>
      </w:pPr>
      <w:r>
        <w:rPr>
          <w:rFonts w:hint="eastAsia" w:ascii="宋体" w:hAnsi="宋体" w:eastAsia="宋体" w:cs="宋体"/>
          <w:b/>
          <w:bCs/>
          <w:color w:val="auto"/>
          <w:sz w:val="28"/>
          <w:szCs w:val="28"/>
        </w:rPr>
        <w:br w:type="page"/>
      </w:r>
    </w:p>
    <w:p w14:paraId="57D07366">
      <w:pPr>
        <w:pStyle w:val="5"/>
        <w:adjustRightInd w:val="0"/>
        <w:snapToGrid w:val="0"/>
        <w:spacing w:before="0" w:after="0" w:line="360" w:lineRule="auto"/>
        <w:jc w:val="center"/>
        <w:rPr>
          <w:rFonts w:hint="eastAsia" w:ascii="宋体" w:hAnsi="宋体" w:eastAsia="宋体" w:cs="宋体"/>
          <w:color w:val="auto"/>
          <w:sz w:val="28"/>
          <w:szCs w:val="28"/>
        </w:rPr>
      </w:pPr>
      <w:bookmarkStart w:id="1522" w:name="_Toc6407"/>
      <w:bookmarkStart w:id="1523" w:name="_Toc18689"/>
      <w:bookmarkStart w:id="1524" w:name="_Toc10508"/>
      <w:r>
        <w:rPr>
          <w:rFonts w:hint="eastAsia" w:ascii="宋体" w:hAnsi="宋体" w:eastAsia="宋体" w:cs="宋体"/>
          <w:color w:val="auto"/>
          <w:sz w:val="28"/>
          <w:szCs w:val="28"/>
        </w:rPr>
        <w:t>十二、投标人认为需提供的其他资料</w:t>
      </w:r>
      <w:bookmarkEnd w:id="1522"/>
      <w:bookmarkEnd w:id="1523"/>
      <w:bookmarkEnd w:id="1524"/>
    </w:p>
    <w:p w14:paraId="0CC32216">
      <w:pPr>
        <w:adjustRightInd w:val="0"/>
        <w:snapToGrid w:val="0"/>
        <w:spacing w:before="157" w:beforeLines="50" w:line="360" w:lineRule="auto"/>
        <w:rPr>
          <w:rFonts w:hint="eastAsia" w:ascii="宋体" w:hAnsi="宋体" w:eastAsia="宋体" w:cs="宋体"/>
          <w:color w:val="auto"/>
        </w:rPr>
      </w:pPr>
    </w:p>
    <w:p w14:paraId="55304394">
      <w:pPr>
        <w:adjustRightInd w:val="0"/>
        <w:snapToGrid w:val="0"/>
        <w:spacing w:before="157" w:beforeLines="50" w:line="360" w:lineRule="auto"/>
        <w:rPr>
          <w:rFonts w:hint="eastAsia" w:ascii="宋体" w:hAnsi="宋体" w:eastAsia="宋体" w:cs="宋体"/>
          <w:color w:val="auto"/>
        </w:rPr>
      </w:pPr>
      <w:r>
        <w:rPr>
          <w:rFonts w:hint="eastAsia" w:ascii="宋体" w:hAnsi="宋体" w:eastAsia="宋体" w:cs="宋体"/>
          <w:color w:val="auto"/>
        </w:rPr>
        <w:t>注：投标人认为需提供的其他资料包括：</w:t>
      </w:r>
    </w:p>
    <w:p w14:paraId="6AE4C385">
      <w:pPr>
        <w:adjustRightInd w:val="0"/>
        <w:snapToGrid w:val="0"/>
        <w:spacing w:before="157" w:beforeLines="50" w:line="360" w:lineRule="auto"/>
        <w:ind w:firstLine="420" w:firstLineChars="200"/>
        <w:rPr>
          <w:rFonts w:hint="eastAsia" w:ascii="宋体" w:hAnsi="宋体" w:eastAsia="宋体" w:cs="宋体"/>
          <w:color w:val="auto"/>
        </w:rPr>
      </w:pPr>
      <w:r>
        <w:rPr>
          <w:rFonts w:hint="eastAsia" w:ascii="宋体" w:hAnsi="宋体" w:eastAsia="宋体" w:cs="宋体"/>
          <w:color w:val="auto"/>
        </w:rPr>
        <w:t>1.招标文件第四章评标方法及标准要求的其他相关资料；</w:t>
      </w:r>
    </w:p>
    <w:p w14:paraId="60A1ECD0">
      <w:pPr>
        <w:adjustRightInd w:val="0"/>
        <w:snapToGrid w:val="0"/>
        <w:spacing w:before="157" w:beforeLines="50" w:line="360" w:lineRule="auto"/>
        <w:ind w:firstLine="420" w:firstLineChars="200"/>
        <w:rPr>
          <w:rFonts w:hint="eastAsia" w:ascii="宋体" w:hAnsi="宋体" w:eastAsia="宋体" w:cs="宋体"/>
          <w:color w:val="auto"/>
        </w:rPr>
      </w:pPr>
      <w:r>
        <w:rPr>
          <w:rFonts w:hint="eastAsia" w:ascii="宋体" w:hAnsi="宋体" w:eastAsia="宋体" w:cs="宋体"/>
          <w:color w:val="auto"/>
        </w:rPr>
        <w:t>2.招标文件第五章采购需求要求的其他资料。</w:t>
      </w:r>
    </w:p>
    <w:p w14:paraId="13C7B6CE">
      <w:pPr>
        <w:widowControl/>
        <w:jc w:val="left"/>
        <w:rPr>
          <w:rFonts w:ascii="宋体" w:hAnsi="宋体"/>
          <w:color w:val="auto"/>
          <w:szCs w:val="21"/>
        </w:rPr>
      </w:pPr>
    </w:p>
    <w:sectPr>
      <w:headerReference r:id="rId11" w:type="default"/>
      <w:footerReference r:id="rId12" w:type="default"/>
      <w:pgSz w:w="11906" w:h="16838"/>
      <w:pgMar w:top="1474" w:right="1474" w:bottom="1474" w:left="1588"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modern"/>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微软雅黑 Light">
    <w:panose1 w:val="020B0502040204020203"/>
    <w:charset w:val="86"/>
    <w:family w:val="swiss"/>
    <w:pitch w:val="default"/>
    <w:sig w:usb0="80000287" w:usb1="2ACF0010" w:usb2="00000016" w:usb3="00000000" w:csb0="0004001F" w:csb1="00000000"/>
  </w:font>
  <w:font w:name="等线">
    <w:panose1 w:val="02010600030101010101"/>
    <w:charset w:val="86"/>
    <w:family w:val="auto"/>
    <w:pitch w:val="default"/>
    <w:sig w:usb0="A00002BF" w:usb1="38CF7CFA" w:usb2="00000016" w:usb3="00000000" w:csb0="0004000F" w:csb1="00000000"/>
  </w:font>
  <w:font w:name="TimesNewRomanPSMT">
    <w:altName w:val="Times New Roman"/>
    <w:panose1 w:val="00000000000000000000"/>
    <w:charset w:val="00"/>
    <w:family w:val="auto"/>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幼圆">
    <w:panose1 w:val="02010509060101010101"/>
    <w:charset w:val="86"/>
    <w:family w:val="modern"/>
    <w:pitch w:val="default"/>
    <w:sig w:usb0="00000001" w:usb1="080E0000" w:usb2="00000000" w:usb3="00000000" w:csb0="00040000" w:csb1="00000000"/>
  </w:font>
  <w:font w:name="Malgun Gothic">
    <w:panose1 w:val="020B0503020000020004"/>
    <w:charset w:val="81"/>
    <w:family w:val="swiss"/>
    <w:pitch w:val="default"/>
    <w:sig w:usb0="9000002F" w:usb1="29D77CFB" w:usb2="00000012" w:usb3="00000000" w:csb0="00080001" w:csb1="00000000"/>
  </w:font>
  <w:font w:name="Arail">
    <w:altName w:val="Times New Roman"/>
    <w:panose1 w:val="00000000000000000000"/>
    <w:charset w:val="00"/>
    <w:family w:val="roman"/>
    <w:pitch w:val="default"/>
    <w:sig w:usb0="00000000" w:usb1="00000000" w:usb2="00000000" w:usb3="00000000" w:csb0="00040001" w:csb1="00000000"/>
  </w:font>
  <w:font w:name="MS Sans Serif">
    <w:altName w:val="Arial"/>
    <w:panose1 w:val="00000000000000000000"/>
    <w:charset w:val="00"/>
    <w:family w:val="roman"/>
    <w:pitch w:val="default"/>
    <w:sig w:usb0="00000000" w:usb1="00000000" w:usb2="00000000" w:usb3="00000000" w:csb0="00000001" w:csb1="00000000"/>
  </w:font>
  <w:font w:name="长城仿宋">
    <w:altName w:val="仿宋"/>
    <w:panose1 w:val="00000000000000000000"/>
    <w:charset w:val="86"/>
    <w:family w:val="roman"/>
    <w:pitch w:val="default"/>
    <w:sig w:usb0="00000000" w:usb1="00000000" w:usb2="00000010" w:usb3="00000000" w:csb0="00040000" w:csb1="00000000"/>
  </w:font>
  <w:font w:name="全真中明體">
    <w:altName w:val="Microsoft JhengHei"/>
    <w:panose1 w:val="00000000000000000000"/>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amp;#23435;&amp;#20307;">
    <w:altName w:val="Times New Roman"/>
    <w:panose1 w:val="00000000000000000000"/>
    <w:charset w:val="00"/>
    <w:family w:val="roman"/>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DC935">
    <w:pPr>
      <w:pStyle w:val="28"/>
      <w:ind w:right="900"/>
      <w:rPr>
        <w:rFonts w:eastAsia="楷体_GB2312"/>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912EEB8">
                          <w:pPr>
                            <w:pStyle w:val="28"/>
                          </w:pPr>
                          <w:r>
                            <w:fldChar w:fldCharType="begin"/>
                          </w:r>
                          <w:r>
                            <w:instrText xml:space="preserve"> PAGE  \* MERGEFORMAT </w:instrText>
                          </w:r>
                          <w:r>
                            <w:fldChar w:fldCharType="separate"/>
                          </w:r>
                          <w:r>
                            <w:t>4</w:t>
                          </w:r>
                          <w:r>
                            <w:fldChar w:fldCharType="end"/>
                          </w:r>
                        </w:p>
                      </w:txbxContent>
                    </wps:txbx>
                    <wps:bodyPr wrap="none" lIns="0" tIns="0" rIns="0" bIns="0" upright="1">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Gv1XhTOAQAAqQMAAA4AAAAAAAAAAQAgAAAAHgEAAGRycy9l&#10;Mm9Eb2MueG1sUEsFBgAAAAAGAAYAWQEAAF4FAAAAAA==&#10;">
              <v:fill on="f" focussize="0,0"/>
              <v:stroke on="f"/>
              <v:imagedata o:title=""/>
              <o:lock v:ext="edit" aspectratio="f"/>
              <v:textbox inset="0mm,0mm,0mm,0mm" style="mso-fit-shape-to-text:t;">
                <w:txbxContent>
                  <w:p w14:paraId="6912EEB8">
                    <w:pPr>
                      <w:pStyle w:val="28"/>
                    </w:pPr>
                    <w:r>
                      <w:fldChar w:fldCharType="begin"/>
                    </w:r>
                    <w:r>
                      <w:instrText xml:space="preserve"> PAGE  \* MERGEFORMAT </w:instrText>
                    </w:r>
                    <w:r>
                      <w:fldChar w:fldCharType="separate"/>
                    </w:r>
                    <w:r>
                      <w:t>4</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1221601F">
                          <w:pPr>
                            <w:pStyle w:val="28"/>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hpgkvTAAAABQEAAA8AAAAAAAAAAQAg&#10;AAAAIgAAAGRycy9kb3ducmV2LnhtbFBLAQIUABQAAAAIAIdO4kCknEyA2gEAALQDAAAOAAAAAAAA&#10;AAEAIAAAACIBAABkcnMvZTJvRG9jLnhtbFBLBQYAAAAABgAGAFkBAABuBQAAAAA=&#10;">
              <v:fill on="f" focussize="0,0"/>
              <v:stroke on="f" weight="1.25pt"/>
              <v:imagedata o:title=""/>
              <o:lock v:ext="edit" aspectratio="f"/>
              <v:textbox inset="0mm,0mm,0mm,0mm" style="mso-fit-shape-to-text:t;">
                <w:txbxContent>
                  <w:p w14:paraId="1221601F">
                    <w:pPr>
                      <w:pStyle w:val="28"/>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2CAF1">
    <w:pPr>
      <w:pStyle w:val="28"/>
      <w:ind w:right="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4F3308D">
                          <w:pPr>
                            <w:pStyle w:val="28"/>
                          </w:pPr>
                          <w:r>
                            <w:fldChar w:fldCharType="begin"/>
                          </w:r>
                          <w:r>
                            <w:instrText xml:space="preserve"> PAGE  \* MERGEFORMAT </w:instrText>
                          </w:r>
                          <w:r>
                            <w:fldChar w:fldCharType="separate"/>
                          </w:r>
                          <w:r>
                            <w:t>52</w:t>
                          </w:r>
                          <w:r>
                            <w:fldChar w:fldCharType="end"/>
                          </w:r>
                        </w:p>
                      </w:txbxContent>
                    </wps:txbx>
                    <wps:bodyPr vert="horz" wrap="none" lIns="0" tIns="0" rIns="0" bIns="0" anchor="t" anchorCtr="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DUkML92AEAALMDAAAOAAAAAAAAAAEAIAAA&#10;AB4BAABkcnMvZTJvRG9jLnhtbFBLBQYAAAAABgAGAFkBAABoBQAAAAA=&#10;">
              <v:fill on="f" focussize="0,0"/>
              <v:stroke on="f"/>
              <v:imagedata o:title=""/>
              <o:lock v:ext="edit" aspectratio="f"/>
              <v:textbox inset="0mm,0mm,0mm,0mm" style="mso-fit-shape-to-text:t;">
                <w:txbxContent>
                  <w:p w14:paraId="04F3308D">
                    <w:pPr>
                      <w:pStyle w:val="28"/>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F01F1">
    <w:pPr>
      <w:pStyle w:val="28"/>
      <w:ind w:left="180" w:right="359" w:rightChars="171" w:hanging="180" w:hangingChars="100"/>
      <w:rPr>
        <w:rFonts w:eastAsia="楷体_GB2312"/>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D14A4D">
                          <w:pPr>
                            <w:pStyle w:val="28"/>
                          </w:pPr>
                          <w:r>
                            <w:fldChar w:fldCharType="begin"/>
                          </w:r>
                          <w:r>
                            <w:instrText xml:space="preserve"> PAGE  \* MERGEFORMAT </w:instrText>
                          </w:r>
                          <w:r>
                            <w:fldChar w:fldCharType="separate"/>
                          </w:r>
                          <w:r>
                            <w:t>78</w:t>
                          </w:r>
                          <w:r>
                            <w:fldChar w:fldCharType="end"/>
                          </w:r>
                        </w:p>
                      </w:txbxContent>
                    </wps:txbx>
                    <wps:bodyPr vert="horz" wrap="none" lIns="0" tIns="0" rIns="0" bIns="0" anchor="t" anchorCtr="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M6pebnPAAAABQEAAA8AAAAAAAAAAQAgAAAAIgAA&#10;AGRycy9kb3ducmV2LnhtbFBLAQIUABQAAAAIAIdO4kA7/G8f2AEAALMDAAAOAAAAAAAAAAEAIAAA&#10;AB4BAABkcnMvZTJvRG9jLnhtbFBLBQYAAAAABgAGAFkBAABoBQAAAAA=&#10;">
              <v:fill on="f" focussize="0,0"/>
              <v:stroke on="f"/>
              <v:imagedata o:title=""/>
              <o:lock v:ext="edit" aspectratio="f"/>
              <v:textbox inset="0mm,0mm,0mm,0mm" style="mso-fit-shape-to-text:t;">
                <w:txbxContent>
                  <w:p w14:paraId="7AD14A4D">
                    <w:pPr>
                      <w:pStyle w:val="28"/>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103D4">
    <w:pPr>
      <w:pStyle w:val="28"/>
      <w:ind w:right="960"/>
      <w:rPr>
        <w:rFonts w:eastAsia="楷体_GB2312"/>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8241017">
                          <w:pPr>
                            <w:pStyle w:val="28"/>
                          </w:pPr>
                          <w:r>
                            <w:fldChar w:fldCharType="begin"/>
                          </w:r>
                          <w:r>
                            <w:instrText xml:space="preserve"> PAGE  \* MERGEFORMAT </w:instrText>
                          </w:r>
                          <w:r>
                            <w:fldChar w:fldCharType="separate"/>
                          </w:r>
                          <w:r>
                            <w:t>56</w:t>
                          </w:r>
                          <w:r>
                            <w:fldChar w:fldCharType="end"/>
                          </w:r>
                        </w:p>
                      </w:txbxContent>
                    </wps:txbx>
                    <wps:bodyPr wrap="none" lIns="0" tIns="0" rIns="0" bIns="0" upright="1">
                      <a:spAutoFit/>
                    </wps:bodyPr>
                  </wps:wsp>
                </a:graphicData>
              </a:graphic>
            </wp:anchor>
          </w:drawing>
        </mc:Choice>
        <mc:Fallback>
          <w:pict>
            <v:shape id="文本框 1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MrD2p/OAQAAqQMAAA4AAAAAAAAAAQAgAAAAHgEAAGRycy9l&#10;Mm9Eb2MueG1sUEsFBgAAAAAGAAYAWQEAAF4FAAAAAA==&#10;">
              <v:fill on="f" focussize="0,0"/>
              <v:stroke on="f"/>
              <v:imagedata o:title=""/>
              <o:lock v:ext="edit" aspectratio="f"/>
              <v:textbox inset="0mm,0mm,0mm,0mm" style="mso-fit-shape-to-text:t;">
                <w:txbxContent>
                  <w:p w14:paraId="68241017">
                    <w:pPr>
                      <w:pStyle w:val="28"/>
                    </w:pPr>
                    <w:r>
                      <w:fldChar w:fldCharType="begin"/>
                    </w:r>
                    <w:r>
                      <w:instrText xml:space="preserve"> PAGE  \* MERGEFORMAT </w:instrText>
                    </w:r>
                    <w:r>
                      <w:fldChar w:fldCharType="separate"/>
                    </w:r>
                    <w:r>
                      <w:t>56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7B18C">
    <w:pPr>
      <w:pStyle w:val="3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1B81B">
    <w:pPr>
      <w:pStyle w:val="3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2D18D">
    <w:pPr>
      <w:pStyle w:val="30"/>
      <w:pBdr>
        <w:top w:val="none" w:color="auto" w:sz="0" w:space="0"/>
        <w:left w:val="none" w:color="auto" w:sz="0" w:space="0"/>
        <w:bottom w:val="none" w:color="auto" w:sz="0" w:space="1"/>
        <w:right w:val="none" w:color="auto" w:sz="0" w:space="0"/>
        <w:between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C2F1F">
    <w:pPr>
      <w:pStyle w:val="3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1461B">
    <w:pPr>
      <w:pStyle w:val="3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8656C">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2D7060"/>
    <w:multiLevelType w:val="singleLevel"/>
    <w:tmpl w:val="B62D7060"/>
    <w:lvl w:ilvl="0" w:tentative="0">
      <w:start w:val="1"/>
      <w:numFmt w:val="decimal"/>
      <w:suff w:val="nothing"/>
      <w:lvlText w:val="%1、"/>
      <w:lvlJc w:val="left"/>
    </w:lvl>
  </w:abstractNum>
  <w:abstractNum w:abstractNumId="1">
    <w:nsid w:val="00000004"/>
    <w:multiLevelType w:val="multilevel"/>
    <w:tmpl w:val="00000004"/>
    <w:lvl w:ilvl="0" w:tentative="0">
      <w:start w:val="1"/>
      <w:numFmt w:val="japaneseCounting"/>
      <w:lvlText w:val="%1、"/>
      <w:lvlJc w:val="left"/>
      <w:pPr>
        <w:ind w:left="450" w:hanging="450"/>
      </w:pPr>
      <w:rPr>
        <w:rFonts w:hint="default"/>
      </w:rPr>
    </w:lvl>
    <w:lvl w:ilvl="1" w:tentative="0">
      <w:start w:val="1"/>
      <w:numFmt w:val="lowerLetter"/>
      <w:lvlRestart w:val="0"/>
      <w:lvlText w:val="%2)"/>
      <w:lvlJc w:val="left"/>
      <w:pPr>
        <w:ind w:left="840" w:hanging="420"/>
      </w:pPr>
    </w:lvl>
    <w:lvl w:ilvl="2" w:tentative="0">
      <w:start w:val="1"/>
      <w:numFmt w:val="lowerRoman"/>
      <w:lvlRestart w:val="0"/>
      <w:lvlText w:val="%3."/>
      <w:lvlJc w:val="right"/>
      <w:pPr>
        <w:ind w:left="1260" w:hanging="420"/>
      </w:pPr>
    </w:lvl>
    <w:lvl w:ilvl="3" w:tentative="0">
      <w:start w:val="1"/>
      <w:numFmt w:val="decimal"/>
      <w:lvlRestart w:val="0"/>
      <w:lvlText w:val="%4."/>
      <w:lvlJc w:val="left"/>
      <w:pPr>
        <w:ind w:left="1680" w:hanging="420"/>
      </w:pPr>
    </w:lvl>
    <w:lvl w:ilvl="4" w:tentative="0">
      <w:start w:val="1"/>
      <w:numFmt w:val="lowerLetter"/>
      <w:lvlRestart w:val="0"/>
      <w:pStyle w:val="472"/>
      <w:lvlText w:val="%5)"/>
      <w:lvlJc w:val="left"/>
      <w:pPr>
        <w:ind w:left="2100" w:hanging="420"/>
      </w:pPr>
    </w:lvl>
    <w:lvl w:ilvl="5" w:tentative="0">
      <w:start w:val="1"/>
      <w:numFmt w:val="lowerRoman"/>
      <w:lvlRestart w:val="0"/>
      <w:lvlText w:val="%6."/>
      <w:lvlJc w:val="right"/>
      <w:pPr>
        <w:ind w:left="2520" w:hanging="420"/>
      </w:pPr>
    </w:lvl>
    <w:lvl w:ilvl="6" w:tentative="0">
      <w:start w:val="1"/>
      <w:numFmt w:val="decimal"/>
      <w:lvlRestart w:val="0"/>
      <w:lvlText w:val="%7."/>
      <w:lvlJc w:val="left"/>
      <w:pPr>
        <w:ind w:left="2940" w:hanging="420"/>
      </w:pPr>
    </w:lvl>
    <w:lvl w:ilvl="7" w:tentative="0">
      <w:start w:val="1"/>
      <w:numFmt w:val="lowerLetter"/>
      <w:lvlRestart w:val="0"/>
      <w:lvlText w:val="%8)"/>
      <w:lvlJc w:val="left"/>
      <w:pPr>
        <w:ind w:left="3360" w:hanging="420"/>
      </w:pPr>
    </w:lvl>
    <w:lvl w:ilvl="8" w:tentative="0">
      <w:start w:val="1"/>
      <w:numFmt w:val="lowerRoman"/>
      <w:lvlRestart w:val="0"/>
      <w:lvlText w:val="%9."/>
      <w:lvlJc w:val="right"/>
      <w:pPr>
        <w:ind w:left="3780" w:hanging="420"/>
      </w:pPr>
    </w:lvl>
  </w:abstractNum>
  <w:abstractNum w:abstractNumId="2">
    <w:nsid w:val="016778AF"/>
    <w:multiLevelType w:val="singleLevel"/>
    <w:tmpl w:val="016778AF"/>
    <w:lvl w:ilvl="0" w:tentative="0">
      <w:start w:val="1"/>
      <w:numFmt w:val="chineseCounting"/>
      <w:suff w:val="space"/>
      <w:lvlText w:val="第%1章"/>
      <w:lvlJc w:val="left"/>
      <w:rPr>
        <w:rFonts w:hint="eastAsia"/>
      </w:rPr>
    </w:lvl>
  </w:abstractNum>
  <w:abstractNum w:abstractNumId="3">
    <w:nsid w:val="0D2C25D3"/>
    <w:multiLevelType w:val="singleLevel"/>
    <w:tmpl w:val="0D2C25D3"/>
    <w:lvl w:ilvl="0" w:tentative="0">
      <w:start w:val="1"/>
      <w:numFmt w:val="decimal"/>
      <w:suff w:val="nothing"/>
      <w:lvlText w:val="（%1）"/>
      <w:lvlJc w:val="left"/>
    </w:lvl>
  </w:abstractNum>
  <w:abstractNum w:abstractNumId="4">
    <w:nsid w:val="439B2614"/>
    <w:multiLevelType w:val="singleLevel"/>
    <w:tmpl w:val="439B2614"/>
    <w:lvl w:ilvl="0" w:tentative="0">
      <w:start w:val="1"/>
      <w:numFmt w:val="decimal"/>
      <w:lvlText w:val="%1."/>
      <w:lvlJc w:val="left"/>
      <w:pPr>
        <w:ind w:left="425" w:hanging="425"/>
      </w:pPr>
      <w:rPr>
        <w:rFont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mMDY2ZDg2YTg3ZjY2NDBlOTg3NDM2MDgxMWIxMWYifQ=="/>
    <w:docVar w:name="KSO_WPS_MARK_KEY" w:val="85912dfa-7903-46f0-a442-d2e34314cc49"/>
  </w:docVars>
  <w:rsids>
    <w:rsidRoot w:val="00B84A4B"/>
    <w:rsid w:val="0000000C"/>
    <w:rsid w:val="00003F39"/>
    <w:rsid w:val="000055A7"/>
    <w:rsid w:val="000061A3"/>
    <w:rsid w:val="00006CD3"/>
    <w:rsid w:val="000101D0"/>
    <w:rsid w:val="00010957"/>
    <w:rsid w:val="0001324C"/>
    <w:rsid w:val="00013BB7"/>
    <w:rsid w:val="000168D1"/>
    <w:rsid w:val="00021227"/>
    <w:rsid w:val="00025234"/>
    <w:rsid w:val="00026705"/>
    <w:rsid w:val="00034116"/>
    <w:rsid w:val="000341C8"/>
    <w:rsid w:val="00035711"/>
    <w:rsid w:val="00037D8C"/>
    <w:rsid w:val="00040811"/>
    <w:rsid w:val="000418A2"/>
    <w:rsid w:val="00041DC7"/>
    <w:rsid w:val="00050EEC"/>
    <w:rsid w:val="00051DDB"/>
    <w:rsid w:val="00052B23"/>
    <w:rsid w:val="00057222"/>
    <w:rsid w:val="00060545"/>
    <w:rsid w:val="00060DD9"/>
    <w:rsid w:val="00061DC6"/>
    <w:rsid w:val="00064C52"/>
    <w:rsid w:val="00066565"/>
    <w:rsid w:val="00070A36"/>
    <w:rsid w:val="0007306B"/>
    <w:rsid w:val="000731BE"/>
    <w:rsid w:val="000745EB"/>
    <w:rsid w:val="00076DFF"/>
    <w:rsid w:val="00076EE6"/>
    <w:rsid w:val="000842B8"/>
    <w:rsid w:val="00085B1B"/>
    <w:rsid w:val="000872D2"/>
    <w:rsid w:val="00087601"/>
    <w:rsid w:val="000903D1"/>
    <w:rsid w:val="000928FD"/>
    <w:rsid w:val="00092F02"/>
    <w:rsid w:val="00094B65"/>
    <w:rsid w:val="00095667"/>
    <w:rsid w:val="00096117"/>
    <w:rsid w:val="00096EAD"/>
    <w:rsid w:val="00097089"/>
    <w:rsid w:val="000A01EA"/>
    <w:rsid w:val="000A071C"/>
    <w:rsid w:val="000A3DFA"/>
    <w:rsid w:val="000B0060"/>
    <w:rsid w:val="000B29BD"/>
    <w:rsid w:val="000B3634"/>
    <w:rsid w:val="000B4414"/>
    <w:rsid w:val="000B484B"/>
    <w:rsid w:val="000C2D53"/>
    <w:rsid w:val="000C5B62"/>
    <w:rsid w:val="000C709E"/>
    <w:rsid w:val="000D0D6B"/>
    <w:rsid w:val="000D38A7"/>
    <w:rsid w:val="000D4459"/>
    <w:rsid w:val="000D49E9"/>
    <w:rsid w:val="000D5742"/>
    <w:rsid w:val="000D6C22"/>
    <w:rsid w:val="000E0FEF"/>
    <w:rsid w:val="000E328F"/>
    <w:rsid w:val="000E41E9"/>
    <w:rsid w:val="000E595B"/>
    <w:rsid w:val="000E5D80"/>
    <w:rsid w:val="000F3140"/>
    <w:rsid w:val="000F469A"/>
    <w:rsid w:val="000F50C9"/>
    <w:rsid w:val="001025FE"/>
    <w:rsid w:val="00107187"/>
    <w:rsid w:val="0010745E"/>
    <w:rsid w:val="00107574"/>
    <w:rsid w:val="00112BB6"/>
    <w:rsid w:val="00112D35"/>
    <w:rsid w:val="00115978"/>
    <w:rsid w:val="00117679"/>
    <w:rsid w:val="00122417"/>
    <w:rsid w:val="001231BA"/>
    <w:rsid w:val="00123EEF"/>
    <w:rsid w:val="00125070"/>
    <w:rsid w:val="00125EF3"/>
    <w:rsid w:val="0014090C"/>
    <w:rsid w:val="00144667"/>
    <w:rsid w:val="001544DE"/>
    <w:rsid w:val="0015519B"/>
    <w:rsid w:val="00155A3D"/>
    <w:rsid w:val="00161561"/>
    <w:rsid w:val="0016283A"/>
    <w:rsid w:val="00163844"/>
    <w:rsid w:val="00164C5A"/>
    <w:rsid w:val="00170ECC"/>
    <w:rsid w:val="00171AE6"/>
    <w:rsid w:val="001753B5"/>
    <w:rsid w:val="001756BC"/>
    <w:rsid w:val="00187838"/>
    <w:rsid w:val="0019624A"/>
    <w:rsid w:val="001A1F40"/>
    <w:rsid w:val="001A46F9"/>
    <w:rsid w:val="001A5707"/>
    <w:rsid w:val="001A65FE"/>
    <w:rsid w:val="001A67D2"/>
    <w:rsid w:val="001A773F"/>
    <w:rsid w:val="001B0D45"/>
    <w:rsid w:val="001B33C5"/>
    <w:rsid w:val="001B7960"/>
    <w:rsid w:val="001C1977"/>
    <w:rsid w:val="001C3ADD"/>
    <w:rsid w:val="001C4B73"/>
    <w:rsid w:val="001C6FF6"/>
    <w:rsid w:val="001C7543"/>
    <w:rsid w:val="001D0B14"/>
    <w:rsid w:val="001D2332"/>
    <w:rsid w:val="001D2904"/>
    <w:rsid w:val="001D3334"/>
    <w:rsid w:val="001D6064"/>
    <w:rsid w:val="001E04BA"/>
    <w:rsid w:val="001E1631"/>
    <w:rsid w:val="001E1CCD"/>
    <w:rsid w:val="001E1D6C"/>
    <w:rsid w:val="001E21A0"/>
    <w:rsid w:val="001E359C"/>
    <w:rsid w:val="001E5904"/>
    <w:rsid w:val="001E6075"/>
    <w:rsid w:val="001E68DA"/>
    <w:rsid w:val="001E72CB"/>
    <w:rsid w:val="001F296B"/>
    <w:rsid w:val="00205189"/>
    <w:rsid w:val="0020613E"/>
    <w:rsid w:val="00206BDA"/>
    <w:rsid w:val="00212E28"/>
    <w:rsid w:val="00214444"/>
    <w:rsid w:val="002205F8"/>
    <w:rsid w:val="0022080D"/>
    <w:rsid w:val="00221992"/>
    <w:rsid w:val="00222271"/>
    <w:rsid w:val="00222E97"/>
    <w:rsid w:val="00224928"/>
    <w:rsid w:val="0023433B"/>
    <w:rsid w:val="00234B80"/>
    <w:rsid w:val="00235609"/>
    <w:rsid w:val="00235AA7"/>
    <w:rsid w:val="00242889"/>
    <w:rsid w:val="00245EF9"/>
    <w:rsid w:val="002502C0"/>
    <w:rsid w:val="002514A5"/>
    <w:rsid w:val="00254103"/>
    <w:rsid w:val="0025600F"/>
    <w:rsid w:val="002560BB"/>
    <w:rsid w:val="0025793C"/>
    <w:rsid w:val="002609C3"/>
    <w:rsid w:val="00261C03"/>
    <w:rsid w:val="002621C3"/>
    <w:rsid w:val="0026270C"/>
    <w:rsid w:val="002640C4"/>
    <w:rsid w:val="00264494"/>
    <w:rsid w:val="00264AF4"/>
    <w:rsid w:val="00267BA8"/>
    <w:rsid w:val="00270F8F"/>
    <w:rsid w:val="00272B0D"/>
    <w:rsid w:val="00280BF8"/>
    <w:rsid w:val="00282D23"/>
    <w:rsid w:val="0028541C"/>
    <w:rsid w:val="00287077"/>
    <w:rsid w:val="0029674C"/>
    <w:rsid w:val="00297589"/>
    <w:rsid w:val="002A66C8"/>
    <w:rsid w:val="002A768F"/>
    <w:rsid w:val="002B2372"/>
    <w:rsid w:val="002B2916"/>
    <w:rsid w:val="002B2981"/>
    <w:rsid w:val="002B3635"/>
    <w:rsid w:val="002B5F26"/>
    <w:rsid w:val="002C04DF"/>
    <w:rsid w:val="002C2E26"/>
    <w:rsid w:val="002C4CB2"/>
    <w:rsid w:val="002C68F3"/>
    <w:rsid w:val="002C7FFE"/>
    <w:rsid w:val="002D02D8"/>
    <w:rsid w:val="002D1560"/>
    <w:rsid w:val="002D4999"/>
    <w:rsid w:val="002D54EF"/>
    <w:rsid w:val="002D57BA"/>
    <w:rsid w:val="002D68B1"/>
    <w:rsid w:val="002E0363"/>
    <w:rsid w:val="002E1829"/>
    <w:rsid w:val="002E33A0"/>
    <w:rsid w:val="002E5927"/>
    <w:rsid w:val="002E6A68"/>
    <w:rsid w:val="002F07F2"/>
    <w:rsid w:val="002F1320"/>
    <w:rsid w:val="002F195A"/>
    <w:rsid w:val="002F2295"/>
    <w:rsid w:val="002F4930"/>
    <w:rsid w:val="002F51C2"/>
    <w:rsid w:val="002F5C99"/>
    <w:rsid w:val="002F6150"/>
    <w:rsid w:val="002F6FC0"/>
    <w:rsid w:val="00303064"/>
    <w:rsid w:val="00304D98"/>
    <w:rsid w:val="003053F3"/>
    <w:rsid w:val="003105FC"/>
    <w:rsid w:val="00310DC8"/>
    <w:rsid w:val="00312EE6"/>
    <w:rsid w:val="00321AA9"/>
    <w:rsid w:val="003226FC"/>
    <w:rsid w:val="00322CBF"/>
    <w:rsid w:val="00326626"/>
    <w:rsid w:val="00331647"/>
    <w:rsid w:val="00331EAB"/>
    <w:rsid w:val="00332610"/>
    <w:rsid w:val="003334ED"/>
    <w:rsid w:val="00335023"/>
    <w:rsid w:val="003355E6"/>
    <w:rsid w:val="00335773"/>
    <w:rsid w:val="00336804"/>
    <w:rsid w:val="00337745"/>
    <w:rsid w:val="0033775A"/>
    <w:rsid w:val="00337BD7"/>
    <w:rsid w:val="00341094"/>
    <w:rsid w:val="0035138A"/>
    <w:rsid w:val="00351820"/>
    <w:rsid w:val="00354E35"/>
    <w:rsid w:val="003551D0"/>
    <w:rsid w:val="0035568C"/>
    <w:rsid w:val="003560DF"/>
    <w:rsid w:val="00356C2A"/>
    <w:rsid w:val="003625BF"/>
    <w:rsid w:val="00362C04"/>
    <w:rsid w:val="00364662"/>
    <w:rsid w:val="00370683"/>
    <w:rsid w:val="00371D3A"/>
    <w:rsid w:val="00375C68"/>
    <w:rsid w:val="003809BB"/>
    <w:rsid w:val="00380F84"/>
    <w:rsid w:val="00382EC7"/>
    <w:rsid w:val="00383722"/>
    <w:rsid w:val="00387DA5"/>
    <w:rsid w:val="003912BA"/>
    <w:rsid w:val="00393C82"/>
    <w:rsid w:val="00396797"/>
    <w:rsid w:val="00396840"/>
    <w:rsid w:val="003A3CE2"/>
    <w:rsid w:val="003B0AED"/>
    <w:rsid w:val="003B2981"/>
    <w:rsid w:val="003B35FF"/>
    <w:rsid w:val="003B7A94"/>
    <w:rsid w:val="003B7BAF"/>
    <w:rsid w:val="003C40C2"/>
    <w:rsid w:val="003C6106"/>
    <w:rsid w:val="003C6E53"/>
    <w:rsid w:val="003C7C40"/>
    <w:rsid w:val="003D1620"/>
    <w:rsid w:val="003D37EC"/>
    <w:rsid w:val="003D6D07"/>
    <w:rsid w:val="003D6E10"/>
    <w:rsid w:val="003E0C3D"/>
    <w:rsid w:val="003E1DF5"/>
    <w:rsid w:val="003E2B97"/>
    <w:rsid w:val="003E3912"/>
    <w:rsid w:val="003E5B7E"/>
    <w:rsid w:val="003E716B"/>
    <w:rsid w:val="003E7B0A"/>
    <w:rsid w:val="003E7DFD"/>
    <w:rsid w:val="003F072D"/>
    <w:rsid w:val="00400331"/>
    <w:rsid w:val="004005A1"/>
    <w:rsid w:val="004037CA"/>
    <w:rsid w:val="004065A8"/>
    <w:rsid w:val="00407332"/>
    <w:rsid w:val="004073EC"/>
    <w:rsid w:val="00414B1D"/>
    <w:rsid w:val="0041607F"/>
    <w:rsid w:val="00420A99"/>
    <w:rsid w:val="00421E73"/>
    <w:rsid w:val="00425C72"/>
    <w:rsid w:val="00426035"/>
    <w:rsid w:val="00427E06"/>
    <w:rsid w:val="004305AD"/>
    <w:rsid w:val="00431DB8"/>
    <w:rsid w:val="00434B34"/>
    <w:rsid w:val="00434E15"/>
    <w:rsid w:val="004352EE"/>
    <w:rsid w:val="00437E96"/>
    <w:rsid w:val="00441FA2"/>
    <w:rsid w:val="00444E1E"/>
    <w:rsid w:val="00447D08"/>
    <w:rsid w:val="00450910"/>
    <w:rsid w:val="00454851"/>
    <w:rsid w:val="00455B07"/>
    <w:rsid w:val="00456D8B"/>
    <w:rsid w:val="0045746B"/>
    <w:rsid w:val="00463287"/>
    <w:rsid w:val="00463690"/>
    <w:rsid w:val="004700BB"/>
    <w:rsid w:val="0047092E"/>
    <w:rsid w:val="00471598"/>
    <w:rsid w:val="0047263B"/>
    <w:rsid w:val="00477D63"/>
    <w:rsid w:val="00480A55"/>
    <w:rsid w:val="00481C86"/>
    <w:rsid w:val="004831A1"/>
    <w:rsid w:val="0048333D"/>
    <w:rsid w:val="00485598"/>
    <w:rsid w:val="00485F05"/>
    <w:rsid w:val="004915A0"/>
    <w:rsid w:val="00491BDE"/>
    <w:rsid w:val="00495963"/>
    <w:rsid w:val="004A3C9F"/>
    <w:rsid w:val="004A5264"/>
    <w:rsid w:val="004A5295"/>
    <w:rsid w:val="004A7824"/>
    <w:rsid w:val="004A7BB6"/>
    <w:rsid w:val="004B1729"/>
    <w:rsid w:val="004B1E6A"/>
    <w:rsid w:val="004B39EB"/>
    <w:rsid w:val="004B50B3"/>
    <w:rsid w:val="004C1014"/>
    <w:rsid w:val="004C61EF"/>
    <w:rsid w:val="004C683F"/>
    <w:rsid w:val="004C6C21"/>
    <w:rsid w:val="004C6DD6"/>
    <w:rsid w:val="004C6FAE"/>
    <w:rsid w:val="004C77DE"/>
    <w:rsid w:val="004D2938"/>
    <w:rsid w:val="004D3E12"/>
    <w:rsid w:val="004D4AEB"/>
    <w:rsid w:val="004D5B53"/>
    <w:rsid w:val="004D6DF8"/>
    <w:rsid w:val="004E3AAC"/>
    <w:rsid w:val="004E583F"/>
    <w:rsid w:val="004E6BBE"/>
    <w:rsid w:val="004F4DD8"/>
    <w:rsid w:val="004F5D90"/>
    <w:rsid w:val="004F6527"/>
    <w:rsid w:val="00501457"/>
    <w:rsid w:val="0050153F"/>
    <w:rsid w:val="005020E2"/>
    <w:rsid w:val="00503064"/>
    <w:rsid w:val="00503114"/>
    <w:rsid w:val="00503A4E"/>
    <w:rsid w:val="00505528"/>
    <w:rsid w:val="0050570F"/>
    <w:rsid w:val="005062A7"/>
    <w:rsid w:val="00506394"/>
    <w:rsid w:val="00506D59"/>
    <w:rsid w:val="0050713E"/>
    <w:rsid w:val="0051520B"/>
    <w:rsid w:val="00515B3C"/>
    <w:rsid w:val="00517EE3"/>
    <w:rsid w:val="005313F6"/>
    <w:rsid w:val="005324F4"/>
    <w:rsid w:val="00533BE4"/>
    <w:rsid w:val="00534570"/>
    <w:rsid w:val="005347CC"/>
    <w:rsid w:val="00537D1A"/>
    <w:rsid w:val="005405F9"/>
    <w:rsid w:val="005460A2"/>
    <w:rsid w:val="005479A7"/>
    <w:rsid w:val="00551DEA"/>
    <w:rsid w:val="00552420"/>
    <w:rsid w:val="00552B00"/>
    <w:rsid w:val="0055381C"/>
    <w:rsid w:val="005557AC"/>
    <w:rsid w:val="00556020"/>
    <w:rsid w:val="005637F9"/>
    <w:rsid w:val="00565714"/>
    <w:rsid w:val="00570418"/>
    <w:rsid w:val="0057173D"/>
    <w:rsid w:val="00572E23"/>
    <w:rsid w:val="00577E0E"/>
    <w:rsid w:val="00580D0A"/>
    <w:rsid w:val="0058237A"/>
    <w:rsid w:val="00584752"/>
    <w:rsid w:val="00584DB0"/>
    <w:rsid w:val="00586881"/>
    <w:rsid w:val="005904C1"/>
    <w:rsid w:val="00590BA0"/>
    <w:rsid w:val="0059475A"/>
    <w:rsid w:val="005A2E80"/>
    <w:rsid w:val="005A38CB"/>
    <w:rsid w:val="005A4373"/>
    <w:rsid w:val="005A5EEA"/>
    <w:rsid w:val="005A638B"/>
    <w:rsid w:val="005A68BE"/>
    <w:rsid w:val="005B48A5"/>
    <w:rsid w:val="005C0DB0"/>
    <w:rsid w:val="005C1B93"/>
    <w:rsid w:val="005C615D"/>
    <w:rsid w:val="005D3597"/>
    <w:rsid w:val="005D6125"/>
    <w:rsid w:val="005D6845"/>
    <w:rsid w:val="005D6D3F"/>
    <w:rsid w:val="005E0900"/>
    <w:rsid w:val="005E0D35"/>
    <w:rsid w:val="005E3E7E"/>
    <w:rsid w:val="005E718D"/>
    <w:rsid w:val="005E7BAC"/>
    <w:rsid w:val="005F30CF"/>
    <w:rsid w:val="005F3E3E"/>
    <w:rsid w:val="005F4DE6"/>
    <w:rsid w:val="005F53E9"/>
    <w:rsid w:val="005F5641"/>
    <w:rsid w:val="005F727A"/>
    <w:rsid w:val="00601CBA"/>
    <w:rsid w:val="00607390"/>
    <w:rsid w:val="00611294"/>
    <w:rsid w:val="006118F9"/>
    <w:rsid w:val="00614E4A"/>
    <w:rsid w:val="006160E6"/>
    <w:rsid w:val="006178FC"/>
    <w:rsid w:val="00622D2B"/>
    <w:rsid w:val="006257ED"/>
    <w:rsid w:val="00633EED"/>
    <w:rsid w:val="00634D82"/>
    <w:rsid w:val="006402A0"/>
    <w:rsid w:val="00642A95"/>
    <w:rsid w:val="0064395F"/>
    <w:rsid w:val="00645271"/>
    <w:rsid w:val="00645C0A"/>
    <w:rsid w:val="00645DEE"/>
    <w:rsid w:val="006518AB"/>
    <w:rsid w:val="00652E37"/>
    <w:rsid w:val="00652E9C"/>
    <w:rsid w:val="00653188"/>
    <w:rsid w:val="00654413"/>
    <w:rsid w:val="006613F3"/>
    <w:rsid w:val="00661A8F"/>
    <w:rsid w:val="0066349B"/>
    <w:rsid w:val="00663760"/>
    <w:rsid w:val="006637C3"/>
    <w:rsid w:val="00664BC9"/>
    <w:rsid w:val="00666E3A"/>
    <w:rsid w:val="00671DF7"/>
    <w:rsid w:val="00671FE9"/>
    <w:rsid w:val="00681169"/>
    <w:rsid w:val="00682392"/>
    <w:rsid w:val="0068361E"/>
    <w:rsid w:val="00683BCE"/>
    <w:rsid w:val="00684C44"/>
    <w:rsid w:val="00684F46"/>
    <w:rsid w:val="00685292"/>
    <w:rsid w:val="006875D3"/>
    <w:rsid w:val="00691EC2"/>
    <w:rsid w:val="006A0A3E"/>
    <w:rsid w:val="006A0E26"/>
    <w:rsid w:val="006A3547"/>
    <w:rsid w:val="006A748C"/>
    <w:rsid w:val="006B1DBD"/>
    <w:rsid w:val="006B2254"/>
    <w:rsid w:val="006B2691"/>
    <w:rsid w:val="006B3E32"/>
    <w:rsid w:val="006B4872"/>
    <w:rsid w:val="006B4C01"/>
    <w:rsid w:val="006C21C2"/>
    <w:rsid w:val="006C2BD9"/>
    <w:rsid w:val="006C3E4A"/>
    <w:rsid w:val="006C4946"/>
    <w:rsid w:val="006D2862"/>
    <w:rsid w:val="006D2F2D"/>
    <w:rsid w:val="006D3A8F"/>
    <w:rsid w:val="006E1617"/>
    <w:rsid w:val="006E2812"/>
    <w:rsid w:val="006E3091"/>
    <w:rsid w:val="006E5349"/>
    <w:rsid w:val="006E76F6"/>
    <w:rsid w:val="006F2707"/>
    <w:rsid w:val="006F2FA3"/>
    <w:rsid w:val="006F31A0"/>
    <w:rsid w:val="006F7E45"/>
    <w:rsid w:val="007004EE"/>
    <w:rsid w:val="00700A41"/>
    <w:rsid w:val="00700B0E"/>
    <w:rsid w:val="0070101C"/>
    <w:rsid w:val="007057FE"/>
    <w:rsid w:val="00713796"/>
    <w:rsid w:val="007148B4"/>
    <w:rsid w:val="007201D9"/>
    <w:rsid w:val="00720AF7"/>
    <w:rsid w:val="00721A59"/>
    <w:rsid w:val="007238F0"/>
    <w:rsid w:val="00731EBE"/>
    <w:rsid w:val="00736ADE"/>
    <w:rsid w:val="0074231A"/>
    <w:rsid w:val="00743683"/>
    <w:rsid w:val="00744281"/>
    <w:rsid w:val="00746075"/>
    <w:rsid w:val="00750624"/>
    <w:rsid w:val="0075641A"/>
    <w:rsid w:val="007606CB"/>
    <w:rsid w:val="00760C9B"/>
    <w:rsid w:val="00761B52"/>
    <w:rsid w:val="00762352"/>
    <w:rsid w:val="00762981"/>
    <w:rsid w:val="00763145"/>
    <w:rsid w:val="0076328B"/>
    <w:rsid w:val="007635C9"/>
    <w:rsid w:val="007640DA"/>
    <w:rsid w:val="00765855"/>
    <w:rsid w:val="00766147"/>
    <w:rsid w:val="00767B42"/>
    <w:rsid w:val="00767CFD"/>
    <w:rsid w:val="00770B94"/>
    <w:rsid w:val="007719B0"/>
    <w:rsid w:val="00774329"/>
    <w:rsid w:val="00775CA1"/>
    <w:rsid w:val="00777800"/>
    <w:rsid w:val="00780E5A"/>
    <w:rsid w:val="00781A22"/>
    <w:rsid w:val="007864B4"/>
    <w:rsid w:val="007879A0"/>
    <w:rsid w:val="00791E27"/>
    <w:rsid w:val="00792C79"/>
    <w:rsid w:val="00794504"/>
    <w:rsid w:val="00795BC7"/>
    <w:rsid w:val="00797426"/>
    <w:rsid w:val="007A12EC"/>
    <w:rsid w:val="007A1EF5"/>
    <w:rsid w:val="007A20BF"/>
    <w:rsid w:val="007A3F7D"/>
    <w:rsid w:val="007A557B"/>
    <w:rsid w:val="007A6A07"/>
    <w:rsid w:val="007B1A4F"/>
    <w:rsid w:val="007B26B4"/>
    <w:rsid w:val="007B66F4"/>
    <w:rsid w:val="007C2E06"/>
    <w:rsid w:val="007C321C"/>
    <w:rsid w:val="007C6A5B"/>
    <w:rsid w:val="007C6E5E"/>
    <w:rsid w:val="007C7051"/>
    <w:rsid w:val="007C76C2"/>
    <w:rsid w:val="007C77A9"/>
    <w:rsid w:val="007C7C64"/>
    <w:rsid w:val="007D092C"/>
    <w:rsid w:val="007D13D3"/>
    <w:rsid w:val="007D41BF"/>
    <w:rsid w:val="007D450D"/>
    <w:rsid w:val="007E1517"/>
    <w:rsid w:val="007E4CE2"/>
    <w:rsid w:val="007E5915"/>
    <w:rsid w:val="007F365A"/>
    <w:rsid w:val="007F3FB9"/>
    <w:rsid w:val="007F5E18"/>
    <w:rsid w:val="008006B8"/>
    <w:rsid w:val="0080168D"/>
    <w:rsid w:val="008016FC"/>
    <w:rsid w:val="008028C2"/>
    <w:rsid w:val="00806525"/>
    <w:rsid w:val="008123E7"/>
    <w:rsid w:val="00813D3A"/>
    <w:rsid w:val="008151D5"/>
    <w:rsid w:val="00815CB9"/>
    <w:rsid w:val="00816AA9"/>
    <w:rsid w:val="008252C7"/>
    <w:rsid w:val="00825520"/>
    <w:rsid w:val="00826B8A"/>
    <w:rsid w:val="00831D84"/>
    <w:rsid w:val="00831F29"/>
    <w:rsid w:val="008321D7"/>
    <w:rsid w:val="008334EF"/>
    <w:rsid w:val="00833DB0"/>
    <w:rsid w:val="008358F2"/>
    <w:rsid w:val="0083685D"/>
    <w:rsid w:val="00836F69"/>
    <w:rsid w:val="00845A9B"/>
    <w:rsid w:val="00847541"/>
    <w:rsid w:val="008529EC"/>
    <w:rsid w:val="008544A2"/>
    <w:rsid w:val="008544AB"/>
    <w:rsid w:val="00860CA6"/>
    <w:rsid w:val="00861526"/>
    <w:rsid w:val="0086204A"/>
    <w:rsid w:val="00863450"/>
    <w:rsid w:val="008636C7"/>
    <w:rsid w:val="00864EDA"/>
    <w:rsid w:val="00870BFA"/>
    <w:rsid w:val="008710BD"/>
    <w:rsid w:val="00874528"/>
    <w:rsid w:val="008755BD"/>
    <w:rsid w:val="00876059"/>
    <w:rsid w:val="00876E1F"/>
    <w:rsid w:val="00877674"/>
    <w:rsid w:val="0088318B"/>
    <w:rsid w:val="008848D7"/>
    <w:rsid w:val="00885874"/>
    <w:rsid w:val="00887192"/>
    <w:rsid w:val="0088794D"/>
    <w:rsid w:val="00887BB9"/>
    <w:rsid w:val="0089170D"/>
    <w:rsid w:val="00891EF5"/>
    <w:rsid w:val="00892267"/>
    <w:rsid w:val="008940C8"/>
    <w:rsid w:val="00896923"/>
    <w:rsid w:val="008A0115"/>
    <w:rsid w:val="008B0361"/>
    <w:rsid w:val="008B0A2B"/>
    <w:rsid w:val="008B3FCB"/>
    <w:rsid w:val="008C1F83"/>
    <w:rsid w:val="008C206D"/>
    <w:rsid w:val="008C557E"/>
    <w:rsid w:val="008D0746"/>
    <w:rsid w:val="008D104E"/>
    <w:rsid w:val="008D2D2E"/>
    <w:rsid w:val="008D302C"/>
    <w:rsid w:val="008E321A"/>
    <w:rsid w:val="008E6280"/>
    <w:rsid w:val="008F02DF"/>
    <w:rsid w:val="008F2538"/>
    <w:rsid w:val="008F65AB"/>
    <w:rsid w:val="00905F37"/>
    <w:rsid w:val="00907208"/>
    <w:rsid w:val="0090745E"/>
    <w:rsid w:val="009122F6"/>
    <w:rsid w:val="00915BC1"/>
    <w:rsid w:val="009169A6"/>
    <w:rsid w:val="00925CF3"/>
    <w:rsid w:val="009275BE"/>
    <w:rsid w:val="00927F55"/>
    <w:rsid w:val="00931449"/>
    <w:rsid w:val="00932A62"/>
    <w:rsid w:val="00936737"/>
    <w:rsid w:val="00937ED9"/>
    <w:rsid w:val="00943FE6"/>
    <w:rsid w:val="00946D8A"/>
    <w:rsid w:val="009536BD"/>
    <w:rsid w:val="00957D13"/>
    <w:rsid w:val="0096236A"/>
    <w:rsid w:val="00962A70"/>
    <w:rsid w:val="009641B1"/>
    <w:rsid w:val="009654D8"/>
    <w:rsid w:val="00967A73"/>
    <w:rsid w:val="00975BDE"/>
    <w:rsid w:val="0097638A"/>
    <w:rsid w:val="00983FFD"/>
    <w:rsid w:val="00985449"/>
    <w:rsid w:val="009869D2"/>
    <w:rsid w:val="00994AC0"/>
    <w:rsid w:val="00996EDA"/>
    <w:rsid w:val="00997CD7"/>
    <w:rsid w:val="009A15D0"/>
    <w:rsid w:val="009A343C"/>
    <w:rsid w:val="009B1144"/>
    <w:rsid w:val="009B261F"/>
    <w:rsid w:val="009B30AD"/>
    <w:rsid w:val="009B3513"/>
    <w:rsid w:val="009B6FBE"/>
    <w:rsid w:val="009C35AE"/>
    <w:rsid w:val="009C458D"/>
    <w:rsid w:val="009C4B8C"/>
    <w:rsid w:val="009C61DD"/>
    <w:rsid w:val="009D0595"/>
    <w:rsid w:val="009D0DD5"/>
    <w:rsid w:val="009D1105"/>
    <w:rsid w:val="009D1E71"/>
    <w:rsid w:val="009E2FCC"/>
    <w:rsid w:val="009E460F"/>
    <w:rsid w:val="009E4E20"/>
    <w:rsid w:val="009F0F99"/>
    <w:rsid w:val="009F39B9"/>
    <w:rsid w:val="009F48B8"/>
    <w:rsid w:val="009F640F"/>
    <w:rsid w:val="009F7CF3"/>
    <w:rsid w:val="00A00061"/>
    <w:rsid w:val="00A01463"/>
    <w:rsid w:val="00A020BC"/>
    <w:rsid w:val="00A03239"/>
    <w:rsid w:val="00A03D69"/>
    <w:rsid w:val="00A06C7D"/>
    <w:rsid w:val="00A1451D"/>
    <w:rsid w:val="00A171A5"/>
    <w:rsid w:val="00A1725D"/>
    <w:rsid w:val="00A20F84"/>
    <w:rsid w:val="00A21390"/>
    <w:rsid w:val="00A23E2E"/>
    <w:rsid w:val="00A26381"/>
    <w:rsid w:val="00A313FA"/>
    <w:rsid w:val="00A32770"/>
    <w:rsid w:val="00A34412"/>
    <w:rsid w:val="00A35787"/>
    <w:rsid w:val="00A41A61"/>
    <w:rsid w:val="00A42294"/>
    <w:rsid w:val="00A439E2"/>
    <w:rsid w:val="00A4562A"/>
    <w:rsid w:val="00A55487"/>
    <w:rsid w:val="00A57BA6"/>
    <w:rsid w:val="00A57D97"/>
    <w:rsid w:val="00A57ED8"/>
    <w:rsid w:val="00A60505"/>
    <w:rsid w:val="00A61A9C"/>
    <w:rsid w:val="00A64A15"/>
    <w:rsid w:val="00A72602"/>
    <w:rsid w:val="00A73664"/>
    <w:rsid w:val="00A73F85"/>
    <w:rsid w:val="00A7624D"/>
    <w:rsid w:val="00A8022F"/>
    <w:rsid w:val="00A8751A"/>
    <w:rsid w:val="00A9021E"/>
    <w:rsid w:val="00A92F04"/>
    <w:rsid w:val="00A96E27"/>
    <w:rsid w:val="00A978B3"/>
    <w:rsid w:val="00AA1A7D"/>
    <w:rsid w:val="00AA5D2A"/>
    <w:rsid w:val="00AA7A21"/>
    <w:rsid w:val="00AB33D0"/>
    <w:rsid w:val="00AB3E1B"/>
    <w:rsid w:val="00AB4604"/>
    <w:rsid w:val="00AB46E8"/>
    <w:rsid w:val="00AB7729"/>
    <w:rsid w:val="00AC27CC"/>
    <w:rsid w:val="00AC4DCF"/>
    <w:rsid w:val="00AC7036"/>
    <w:rsid w:val="00AD1922"/>
    <w:rsid w:val="00AD2A29"/>
    <w:rsid w:val="00AE0F9F"/>
    <w:rsid w:val="00AE29E4"/>
    <w:rsid w:val="00AE4B89"/>
    <w:rsid w:val="00AE766B"/>
    <w:rsid w:val="00AE7B50"/>
    <w:rsid w:val="00AF14B0"/>
    <w:rsid w:val="00AF23C8"/>
    <w:rsid w:val="00AF2870"/>
    <w:rsid w:val="00B0403A"/>
    <w:rsid w:val="00B054B4"/>
    <w:rsid w:val="00B123AA"/>
    <w:rsid w:val="00B1317F"/>
    <w:rsid w:val="00B1330E"/>
    <w:rsid w:val="00B14667"/>
    <w:rsid w:val="00B20685"/>
    <w:rsid w:val="00B21A97"/>
    <w:rsid w:val="00B25B71"/>
    <w:rsid w:val="00B25CA2"/>
    <w:rsid w:val="00B31EC6"/>
    <w:rsid w:val="00B32BE0"/>
    <w:rsid w:val="00B3473A"/>
    <w:rsid w:val="00B35AAB"/>
    <w:rsid w:val="00B415CB"/>
    <w:rsid w:val="00B41820"/>
    <w:rsid w:val="00B449FD"/>
    <w:rsid w:val="00B5159B"/>
    <w:rsid w:val="00B56201"/>
    <w:rsid w:val="00B56F53"/>
    <w:rsid w:val="00B61C30"/>
    <w:rsid w:val="00B627BB"/>
    <w:rsid w:val="00B637B6"/>
    <w:rsid w:val="00B67BF8"/>
    <w:rsid w:val="00B71896"/>
    <w:rsid w:val="00B72399"/>
    <w:rsid w:val="00B72604"/>
    <w:rsid w:val="00B752D3"/>
    <w:rsid w:val="00B759FD"/>
    <w:rsid w:val="00B81B6A"/>
    <w:rsid w:val="00B837C0"/>
    <w:rsid w:val="00B84A4B"/>
    <w:rsid w:val="00B86764"/>
    <w:rsid w:val="00B937F5"/>
    <w:rsid w:val="00B942BE"/>
    <w:rsid w:val="00B94794"/>
    <w:rsid w:val="00B95D3C"/>
    <w:rsid w:val="00B97A2E"/>
    <w:rsid w:val="00BA0565"/>
    <w:rsid w:val="00BB11A3"/>
    <w:rsid w:val="00BB213A"/>
    <w:rsid w:val="00BB35BE"/>
    <w:rsid w:val="00BB41F5"/>
    <w:rsid w:val="00BB4B09"/>
    <w:rsid w:val="00BB6A99"/>
    <w:rsid w:val="00BC09FF"/>
    <w:rsid w:val="00BC1207"/>
    <w:rsid w:val="00BC184D"/>
    <w:rsid w:val="00BC2819"/>
    <w:rsid w:val="00BD3328"/>
    <w:rsid w:val="00BD3409"/>
    <w:rsid w:val="00BD347A"/>
    <w:rsid w:val="00BD4068"/>
    <w:rsid w:val="00BE056D"/>
    <w:rsid w:val="00BE0C09"/>
    <w:rsid w:val="00BE1729"/>
    <w:rsid w:val="00BE31A7"/>
    <w:rsid w:val="00BE770C"/>
    <w:rsid w:val="00BF378C"/>
    <w:rsid w:val="00BF4267"/>
    <w:rsid w:val="00BF4BB7"/>
    <w:rsid w:val="00BF5357"/>
    <w:rsid w:val="00BF78CA"/>
    <w:rsid w:val="00BF7B5C"/>
    <w:rsid w:val="00C01382"/>
    <w:rsid w:val="00C01F60"/>
    <w:rsid w:val="00C026CB"/>
    <w:rsid w:val="00C02AAA"/>
    <w:rsid w:val="00C04D04"/>
    <w:rsid w:val="00C07435"/>
    <w:rsid w:val="00C10019"/>
    <w:rsid w:val="00C1017F"/>
    <w:rsid w:val="00C11EED"/>
    <w:rsid w:val="00C1355C"/>
    <w:rsid w:val="00C13DF7"/>
    <w:rsid w:val="00C21EBD"/>
    <w:rsid w:val="00C25DBA"/>
    <w:rsid w:val="00C31E4D"/>
    <w:rsid w:val="00C3307A"/>
    <w:rsid w:val="00C3353A"/>
    <w:rsid w:val="00C34732"/>
    <w:rsid w:val="00C40E24"/>
    <w:rsid w:val="00C43B5E"/>
    <w:rsid w:val="00C4487A"/>
    <w:rsid w:val="00C451F1"/>
    <w:rsid w:val="00C47176"/>
    <w:rsid w:val="00C50D29"/>
    <w:rsid w:val="00C51EC4"/>
    <w:rsid w:val="00C55672"/>
    <w:rsid w:val="00C5579B"/>
    <w:rsid w:val="00C663D8"/>
    <w:rsid w:val="00C676D6"/>
    <w:rsid w:val="00C72BE9"/>
    <w:rsid w:val="00C75532"/>
    <w:rsid w:val="00C77EB4"/>
    <w:rsid w:val="00C81AE4"/>
    <w:rsid w:val="00C820C7"/>
    <w:rsid w:val="00C84725"/>
    <w:rsid w:val="00C84F54"/>
    <w:rsid w:val="00C87567"/>
    <w:rsid w:val="00C87F57"/>
    <w:rsid w:val="00C905E6"/>
    <w:rsid w:val="00C93E28"/>
    <w:rsid w:val="00C96474"/>
    <w:rsid w:val="00CA0229"/>
    <w:rsid w:val="00CA10BF"/>
    <w:rsid w:val="00CA10C4"/>
    <w:rsid w:val="00CA37EF"/>
    <w:rsid w:val="00CA42D4"/>
    <w:rsid w:val="00CA627F"/>
    <w:rsid w:val="00CB0143"/>
    <w:rsid w:val="00CB2494"/>
    <w:rsid w:val="00CB354D"/>
    <w:rsid w:val="00CB4506"/>
    <w:rsid w:val="00CB46A6"/>
    <w:rsid w:val="00CB4ECA"/>
    <w:rsid w:val="00CC0907"/>
    <w:rsid w:val="00CC134E"/>
    <w:rsid w:val="00CC1FD2"/>
    <w:rsid w:val="00CC4476"/>
    <w:rsid w:val="00CC6600"/>
    <w:rsid w:val="00CD14DE"/>
    <w:rsid w:val="00CD150C"/>
    <w:rsid w:val="00CD2D72"/>
    <w:rsid w:val="00CD44D7"/>
    <w:rsid w:val="00CD62ED"/>
    <w:rsid w:val="00CD6913"/>
    <w:rsid w:val="00CD73F6"/>
    <w:rsid w:val="00CD7707"/>
    <w:rsid w:val="00CE07FB"/>
    <w:rsid w:val="00CE22C4"/>
    <w:rsid w:val="00CE27FE"/>
    <w:rsid w:val="00CE5BD8"/>
    <w:rsid w:val="00CE78E3"/>
    <w:rsid w:val="00CF306F"/>
    <w:rsid w:val="00CF5EC4"/>
    <w:rsid w:val="00CF6BEA"/>
    <w:rsid w:val="00CF7C85"/>
    <w:rsid w:val="00D02174"/>
    <w:rsid w:val="00D0560E"/>
    <w:rsid w:val="00D1088B"/>
    <w:rsid w:val="00D126E8"/>
    <w:rsid w:val="00D129BA"/>
    <w:rsid w:val="00D15DD5"/>
    <w:rsid w:val="00D16B49"/>
    <w:rsid w:val="00D16E97"/>
    <w:rsid w:val="00D201EF"/>
    <w:rsid w:val="00D20FC9"/>
    <w:rsid w:val="00D21D3D"/>
    <w:rsid w:val="00D3578F"/>
    <w:rsid w:val="00D44D67"/>
    <w:rsid w:val="00D45C44"/>
    <w:rsid w:val="00D5023C"/>
    <w:rsid w:val="00D52A6D"/>
    <w:rsid w:val="00D54F0F"/>
    <w:rsid w:val="00D67484"/>
    <w:rsid w:val="00D716B1"/>
    <w:rsid w:val="00D71AD9"/>
    <w:rsid w:val="00D71EFA"/>
    <w:rsid w:val="00D742A6"/>
    <w:rsid w:val="00D75EDE"/>
    <w:rsid w:val="00D84F16"/>
    <w:rsid w:val="00D901D5"/>
    <w:rsid w:val="00D905A3"/>
    <w:rsid w:val="00D9245B"/>
    <w:rsid w:val="00D95A57"/>
    <w:rsid w:val="00DA25E5"/>
    <w:rsid w:val="00DA68BB"/>
    <w:rsid w:val="00DB077C"/>
    <w:rsid w:val="00DB30DF"/>
    <w:rsid w:val="00DB65F5"/>
    <w:rsid w:val="00DB77B8"/>
    <w:rsid w:val="00DC17E5"/>
    <w:rsid w:val="00DC341C"/>
    <w:rsid w:val="00DC430F"/>
    <w:rsid w:val="00DC4DA4"/>
    <w:rsid w:val="00DD0965"/>
    <w:rsid w:val="00DD316D"/>
    <w:rsid w:val="00DD3895"/>
    <w:rsid w:val="00DD5153"/>
    <w:rsid w:val="00DD6CCF"/>
    <w:rsid w:val="00DD7F49"/>
    <w:rsid w:val="00DF0250"/>
    <w:rsid w:val="00DF1D75"/>
    <w:rsid w:val="00DF2549"/>
    <w:rsid w:val="00E00D67"/>
    <w:rsid w:val="00E03D1C"/>
    <w:rsid w:val="00E06657"/>
    <w:rsid w:val="00E0674C"/>
    <w:rsid w:val="00E12223"/>
    <w:rsid w:val="00E12EA6"/>
    <w:rsid w:val="00E14E72"/>
    <w:rsid w:val="00E15E1D"/>
    <w:rsid w:val="00E16FC8"/>
    <w:rsid w:val="00E17994"/>
    <w:rsid w:val="00E17AF4"/>
    <w:rsid w:val="00E209E2"/>
    <w:rsid w:val="00E22CAF"/>
    <w:rsid w:val="00E22E07"/>
    <w:rsid w:val="00E23FF7"/>
    <w:rsid w:val="00E26E7B"/>
    <w:rsid w:val="00E30312"/>
    <w:rsid w:val="00E30FAC"/>
    <w:rsid w:val="00E31CAC"/>
    <w:rsid w:val="00E32041"/>
    <w:rsid w:val="00E322C4"/>
    <w:rsid w:val="00E331FD"/>
    <w:rsid w:val="00E33F44"/>
    <w:rsid w:val="00E34374"/>
    <w:rsid w:val="00E36DA2"/>
    <w:rsid w:val="00E40D56"/>
    <w:rsid w:val="00E44668"/>
    <w:rsid w:val="00E50075"/>
    <w:rsid w:val="00E50335"/>
    <w:rsid w:val="00E521FD"/>
    <w:rsid w:val="00E52392"/>
    <w:rsid w:val="00E5263C"/>
    <w:rsid w:val="00E570D4"/>
    <w:rsid w:val="00E60B43"/>
    <w:rsid w:val="00E672E6"/>
    <w:rsid w:val="00E679C9"/>
    <w:rsid w:val="00E710A5"/>
    <w:rsid w:val="00E74DEE"/>
    <w:rsid w:val="00E8085E"/>
    <w:rsid w:val="00E834E9"/>
    <w:rsid w:val="00E84512"/>
    <w:rsid w:val="00E91DFA"/>
    <w:rsid w:val="00E92694"/>
    <w:rsid w:val="00E927AA"/>
    <w:rsid w:val="00E932FF"/>
    <w:rsid w:val="00E94A1E"/>
    <w:rsid w:val="00EA1C5B"/>
    <w:rsid w:val="00EB5EE4"/>
    <w:rsid w:val="00EB6794"/>
    <w:rsid w:val="00EB67DA"/>
    <w:rsid w:val="00EC038C"/>
    <w:rsid w:val="00EC2641"/>
    <w:rsid w:val="00EC2A74"/>
    <w:rsid w:val="00EC34D2"/>
    <w:rsid w:val="00EC766D"/>
    <w:rsid w:val="00EC7FA4"/>
    <w:rsid w:val="00ED0ABD"/>
    <w:rsid w:val="00ED0DA0"/>
    <w:rsid w:val="00ED4CE5"/>
    <w:rsid w:val="00EE130E"/>
    <w:rsid w:val="00EE214E"/>
    <w:rsid w:val="00EE6273"/>
    <w:rsid w:val="00EE762C"/>
    <w:rsid w:val="00EF2053"/>
    <w:rsid w:val="00EF4D3D"/>
    <w:rsid w:val="00F0037C"/>
    <w:rsid w:val="00F00674"/>
    <w:rsid w:val="00F0077B"/>
    <w:rsid w:val="00F01958"/>
    <w:rsid w:val="00F0251B"/>
    <w:rsid w:val="00F05EA3"/>
    <w:rsid w:val="00F060DC"/>
    <w:rsid w:val="00F067A9"/>
    <w:rsid w:val="00F13B8E"/>
    <w:rsid w:val="00F14E3C"/>
    <w:rsid w:val="00F1538C"/>
    <w:rsid w:val="00F24AC2"/>
    <w:rsid w:val="00F259DE"/>
    <w:rsid w:val="00F25CE3"/>
    <w:rsid w:val="00F27738"/>
    <w:rsid w:val="00F30793"/>
    <w:rsid w:val="00F32F9F"/>
    <w:rsid w:val="00F341FB"/>
    <w:rsid w:val="00F358F8"/>
    <w:rsid w:val="00F410B1"/>
    <w:rsid w:val="00F449C9"/>
    <w:rsid w:val="00F454B7"/>
    <w:rsid w:val="00F47D52"/>
    <w:rsid w:val="00F605D0"/>
    <w:rsid w:val="00F62D7C"/>
    <w:rsid w:val="00F634C1"/>
    <w:rsid w:val="00F645EE"/>
    <w:rsid w:val="00F66F22"/>
    <w:rsid w:val="00F70B17"/>
    <w:rsid w:val="00F71262"/>
    <w:rsid w:val="00F714C5"/>
    <w:rsid w:val="00F72BE4"/>
    <w:rsid w:val="00F737DF"/>
    <w:rsid w:val="00F766C4"/>
    <w:rsid w:val="00F770EB"/>
    <w:rsid w:val="00F775F1"/>
    <w:rsid w:val="00F77614"/>
    <w:rsid w:val="00F8219D"/>
    <w:rsid w:val="00F8272C"/>
    <w:rsid w:val="00F82F15"/>
    <w:rsid w:val="00F845FE"/>
    <w:rsid w:val="00F86B52"/>
    <w:rsid w:val="00F87268"/>
    <w:rsid w:val="00F87E3A"/>
    <w:rsid w:val="00F933D4"/>
    <w:rsid w:val="00F93707"/>
    <w:rsid w:val="00FB1977"/>
    <w:rsid w:val="00FB23A8"/>
    <w:rsid w:val="00FC0C8A"/>
    <w:rsid w:val="00FC38C3"/>
    <w:rsid w:val="00FC4CAB"/>
    <w:rsid w:val="00FC73EB"/>
    <w:rsid w:val="00FD070D"/>
    <w:rsid w:val="00FD1B92"/>
    <w:rsid w:val="00FD3858"/>
    <w:rsid w:val="00FD7305"/>
    <w:rsid w:val="00FE313E"/>
    <w:rsid w:val="00FE3329"/>
    <w:rsid w:val="00FE4610"/>
    <w:rsid w:val="00FE5502"/>
    <w:rsid w:val="00FE5F7F"/>
    <w:rsid w:val="00FF07D8"/>
    <w:rsid w:val="00FF3545"/>
    <w:rsid w:val="00FF460F"/>
    <w:rsid w:val="0138356B"/>
    <w:rsid w:val="01610122"/>
    <w:rsid w:val="01695955"/>
    <w:rsid w:val="01763BCE"/>
    <w:rsid w:val="019F4E64"/>
    <w:rsid w:val="01A33CFB"/>
    <w:rsid w:val="01A34EDB"/>
    <w:rsid w:val="01C04E49"/>
    <w:rsid w:val="021666D0"/>
    <w:rsid w:val="024B15E3"/>
    <w:rsid w:val="02692CFA"/>
    <w:rsid w:val="028C4F96"/>
    <w:rsid w:val="02924A37"/>
    <w:rsid w:val="02F254D6"/>
    <w:rsid w:val="03105F4A"/>
    <w:rsid w:val="03226FBF"/>
    <w:rsid w:val="03345AEF"/>
    <w:rsid w:val="03DC27E0"/>
    <w:rsid w:val="04344E71"/>
    <w:rsid w:val="044D771D"/>
    <w:rsid w:val="04F01EE9"/>
    <w:rsid w:val="055E085F"/>
    <w:rsid w:val="05CB083A"/>
    <w:rsid w:val="05D20B0D"/>
    <w:rsid w:val="07372051"/>
    <w:rsid w:val="0759347C"/>
    <w:rsid w:val="07D93108"/>
    <w:rsid w:val="07F97307"/>
    <w:rsid w:val="08194503"/>
    <w:rsid w:val="0833790B"/>
    <w:rsid w:val="08842C00"/>
    <w:rsid w:val="08AB4DA1"/>
    <w:rsid w:val="08C06877"/>
    <w:rsid w:val="092A0EA6"/>
    <w:rsid w:val="094129DB"/>
    <w:rsid w:val="09644C54"/>
    <w:rsid w:val="09750C0F"/>
    <w:rsid w:val="0989763E"/>
    <w:rsid w:val="09BA441D"/>
    <w:rsid w:val="09E50C48"/>
    <w:rsid w:val="0A234C64"/>
    <w:rsid w:val="0A622F41"/>
    <w:rsid w:val="0A7D0D66"/>
    <w:rsid w:val="0AAB7465"/>
    <w:rsid w:val="0AD11E75"/>
    <w:rsid w:val="0AEC3153"/>
    <w:rsid w:val="0AFF4C34"/>
    <w:rsid w:val="0B07397F"/>
    <w:rsid w:val="0B1D7A4B"/>
    <w:rsid w:val="0B221DFE"/>
    <w:rsid w:val="0B321860"/>
    <w:rsid w:val="0B3F3F93"/>
    <w:rsid w:val="0B505490"/>
    <w:rsid w:val="0B723658"/>
    <w:rsid w:val="0B8165D9"/>
    <w:rsid w:val="0B9E1E32"/>
    <w:rsid w:val="0BAD4690"/>
    <w:rsid w:val="0BB53545"/>
    <w:rsid w:val="0BD22349"/>
    <w:rsid w:val="0C14470F"/>
    <w:rsid w:val="0C250B81"/>
    <w:rsid w:val="0C6255C1"/>
    <w:rsid w:val="0C6E4113"/>
    <w:rsid w:val="0CAC1BD2"/>
    <w:rsid w:val="0CCA337B"/>
    <w:rsid w:val="0CDA001F"/>
    <w:rsid w:val="0D2210AE"/>
    <w:rsid w:val="0D2A3222"/>
    <w:rsid w:val="0D31309F"/>
    <w:rsid w:val="0D622FDE"/>
    <w:rsid w:val="0DC96994"/>
    <w:rsid w:val="0E0B1B42"/>
    <w:rsid w:val="0E122ED0"/>
    <w:rsid w:val="0E6104E3"/>
    <w:rsid w:val="0E85644A"/>
    <w:rsid w:val="0E923B98"/>
    <w:rsid w:val="0EB8244E"/>
    <w:rsid w:val="0EC23466"/>
    <w:rsid w:val="0ECD6DF7"/>
    <w:rsid w:val="0EEC73D0"/>
    <w:rsid w:val="0EF1339F"/>
    <w:rsid w:val="0F1A68C7"/>
    <w:rsid w:val="0F66158F"/>
    <w:rsid w:val="0F704352"/>
    <w:rsid w:val="0F8570EB"/>
    <w:rsid w:val="0F8C0EA5"/>
    <w:rsid w:val="0F8D5DBD"/>
    <w:rsid w:val="0FA936A7"/>
    <w:rsid w:val="0FAD3C29"/>
    <w:rsid w:val="0FBA0FE4"/>
    <w:rsid w:val="0FCF6786"/>
    <w:rsid w:val="0FD03043"/>
    <w:rsid w:val="101C1DE4"/>
    <w:rsid w:val="10526AC2"/>
    <w:rsid w:val="10675755"/>
    <w:rsid w:val="10A51DDA"/>
    <w:rsid w:val="111D4066"/>
    <w:rsid w:val="112C42A9"/>
    <w:rsid w:val="115D2A1F"/>
    <w:rsid w:val="1172733A"/>
    <w:rsid w:val="11A97279"/>
    <w:rsid w:val="11B46F25"/>
    <w:rsid w:val="11B95929"/>
    <w:rsid w:val="11BD15AF"/>
    <w:rsid w:val="11DE1CDD"/>
    <w:rsid w:val="124826EE"/>
    <w:rsid w:val="12FE11BE"/>
    <w:rsid w:val="1317065E"/>
    <w:rsid w:val="13255D62"/>
    <w:rsid w:val="137837D5"/>
    <w:rsid w:val="138C0572"/>
    <w:rsid w:val="13DA7FEC"/>
    <w:rsid w:val="13EF2615"/>
    <w:rsid w:val="15023C9F"/>
    <w:rsid w:val="15175E1D"/>
    <w:rsid w:val="15733D04"/>
    <w:rsid w:val="16353C00"/>
    <w:rsid w:val="163F682C"/>
    <w:rsid w:val="165D1EF2"/>
    <w:rsid w:val="16603E21"/>
    <w:rsid w:val="166149F5"/>
    <w:rsid w:val="1680626C"/>
    <w:rsid w:val="174A5AB7"/>
    <w:rsid w:val="175001A3"/>
    <w:rsid w:val="175341AF"/>
    <w:rsid w:val="1796663B"/>
    <w:rsid w:val="17CD65D1"/>
    <w:rsid w:val="180769B7"/>
    <w:rsid w:val="186935AD"/>
    <w:rsid w:val="188D051C"/>
    <w:rsid w:val="18A1732B"/>
    <w:rsid w:val="18B828C6"/>
    <w:rsid w:val="18D36C20"/>
    <w:rsid w:val="18D45FD9"/>
    <w:rsid w:val="18E0389C"/>
    <w:rsid w:val="18E37943"/>
    <w:rsid w:val="19297189"/>
    <w:rsid w:val="19415643"/>
    <w:rsid w:val="19506595"/>
    <w:rsid w:val="195E346D"/>
    <w:rsid w:val="1997072D"/>
    <w:rsid w:val="19B233B5"/>
    <w:rsid w:val="19BB090C"/>
    <w:rsid w:val="19CF7EC7"/>
    <w:rsid w:val="1A47331B"/>
    <w:rsid w:val="1AA50F4D"/>
    <w:rsid w:val="1AA650CC"/>
    <w:rsid w:val="1AEB2ADF"/>
    <w:rsid w:val="1B1F7FFD"/>
    <w:rsid w:val="1B2129A5"/>
    <w:rsid w:val="1B5508A0"/>
    <w:rsid w:val="1B550F91"/>
    <w:rsid w:val="1B656D35"/>
    <w:rsid w:val="1B947E23"/>
    <w:rsid w:val="1BBF7A07"/>
    <w:rsid w:val="1BD9502D"/>
    <w:rsid w:val="1BF15DCA"/>
    <w:rsid w:val="1C076CBA"/>
    <w:rsid w:val="1C1F18E4"/>
    <w:rsid w:val="1C2714A8"/>
    <w:rsid w:val="1C2A36DF"/>
    <w:rsid w:val="1C474D02"/>
    <w:rsid w:val="1C704EA8"/>
    <w:rsid w:val="1C8E5E18"/>
    <w:rsid w:val="1CB3587E"/>
    <w:rsid w:val="1D335585"/>
    <w:rsid w:val="1D392227"/>
    <w:rsid w:val="1D4735C9"/>
    <w:rsid w:val="1D527CA1"/>
    <w:rsid w:val="1D784489"/>
    <w:rsid w:val="1D851A51"/>
    <w:rsid w:val="1DB55626"/>
    <w:rsid w:val="1DBC69B5"/>
    <w:rsid w:val="1DDA204F"/>
    <w:rsid w:val="1DF95513"/>
    <w:rsid w:val="1E454BFC"/>
    <w:rsid w:val="1E502DA8"/>
    <w:rsid w:val="1E950D72"/>
    <w:rsid w:val="1EA51DEC"/>
    <w:rsid w:val="1EC27FFB"/>
    <w:rsid w:val="1EDF7443"/>
    <w:rsid w:val="1EEA3701"/>
    <w:rsid w:val="1F1F489E"/>
    <w:rsid w:val="1F42151B"/>
    <w:rsid w:val="1F51312D"/>
    <w:rsid w:val="1F8800D3"/>
    <w:rsid w:val="1F9572C5"/>
    <w:rsid w:val="1FB94DC1"/>
    <w:rsid w:val="1FBA3072"/>
    <w:rsid w:val="1FC21ED8"/>
    <w:rsid w:val="203E7B55"/>
    <w:rsid w:val="20547378"/>
    <w:rsid w:val="206E19E8"/>
    <w:rsid w:val="20BD316F"/>
    <w:rsid w:val="20FB50A8"/>
    <w:rsid w:val="214A4765"/>
    <w:rsid w:val="215A276C"/>
    <w:rsid w:val="216B0B49"/>
    <w:rsid w:val="21791BC0"/>
    <w:rsid w:val="2208666C"/>
    <w:rsid w:val="223918D0"/>
    <w:rsid w:val="224F1BA5"/>
    <w:rsid w:val="226759B8"/>
    <w:rsid w:val="229B50A3"/>
    <w:rsid w:val="231921B3"/>
    <w:rsid w:val="233D2346"/>
    <w:rsid w:val="236F5F67"/>
    <w:rsid w:val="237815D0"/>
    <w:rsid w:val="239857CE"/>
    <w:rsid w:val="239C7A46"/>
    <w:rsid w:val="23D12DB3"/>
    <w:rsid w:val="23FA5EFD"/>
    <w:rsid w:val="2412694B"/>
    <w:rsid w:val="24567D0F"/>
    <w:rsid w:val="248779BF"/>
    <w:rsid w:val="24A817F7"/>
    <w:rsid w:val="24B32866"/>
    <w:rsid w:val="24CD36A1"/>
    <w:rsid w:val="24E52C95"/>
    <w:rsid w:val="253D662D"/>
    <w:rsid w:val="254B2DFF"/>
    <w:rsid w:val="255F2A47"/>
    <w:rsid w:val="262F6DAA"/>
    <w:rsid w:val="26335984"/>
    <w:rsid w:val="265D1C69"/>
    <w:rsid w:val="2694079E"/>
    <w:rsid w:val="26DC3C24"/>
    <w:rsid w:val="26FD2BB9"/>
    <w:rsid w:val="27361586"/>
    <w:rsid w:val="2748288A"/>
    <w:rsid w:val="274F0899"/>
    <w:rsid w:val="27A21FBD"/>
    <w:rsid w:val="27B6489B"/>
    <w:rsid w:val="27CB6172"/>
    <w:rsid w:val="27E234BC"/>
    <w:rsid w:val="28292E99"/>
    <w:rsid w:val="282A745F"/>
    <w:rsid w:val="285C4CC5"/>
    <w:rsid w:val="286B31B0"/>
    <w:rsid w:val="288A1B89"/>
    <w:rsid w:val="29104BDF"/>
    <w:rsid w:val="2956295F"/>
    <w:rsid w:val="29622E63"/>
    <w:rsid w:val="299C3779"/>
    <w:rsid w:val="29AA1DB7"/>
    <w:rsid w:val="29E928DF"/>
    <w:rsid w:val="2A270CF5"/>
    <w:rsid w:val="2A3F341C"/>
    <w:rsid w:val="2AE85674"/>
    <w:rsid w:val="2AF7434D"/>
    <w:rsid w:val="2B30392A"/>
    <w:rsid w:val="2B4A3640"/>
    <w:rsid w:val="2B4D3342"/>
    <w:rsid w:val="2BD20249"/>
    <w:rsid w:val="2BD5451A"/>
    <w:rsid w:val="2BE94E19"/>
    <w:rsid w:val="2C0B6365"/>
    <w:rsid w:val="2C3C2E7B"/>
    <w:rsid w:val="2C6B208A"/>
    <w:rsid w:val="2C6C77F8"/>
    <w:rsid w:val="2C732BFC"/>
    <w:rsid w:val="2C843991"/>
    <w:rsid w:val="2C8D1CCD"/>
    <w:rsid w:val="2C9D4EB9"/>
    <w:rsid w:val="2CA41C97"/>
    <w:rsid w:val="2CB855D9"/>
    <w:rsid w:val="2CCB451E"/>
    <w:rsid w:val="2D4D257A"/>
    <w:rsid w:val="2D4F6EFD"/>
    <w:rsid w:val="2D770DA6"/>
    <w:rsid w:val="2DC773DC"/>
    <w:rsid w:val="2E0F48DF"/>
    <w:rsid w:val="2E180D02"/>
    <w:rsid w:val="2E905A1F"/>
    <w:rsid w:val="2EA92A1B"/>
    <w:rsid w:val="2ED27DE6"/>
    <w:rsid w:val="2EED18C2"/>
    <w:rsid w:val="2F01466F"/>
    <w:rsid w:val="2F2A7C22"/>
    <w:rsid w:val="2F4B2594"/>
    <w:rsid w:val="2F5044AF"/>
    <w:rsid w:val="2F9741D0"/>
    <w:rsid w:val="2F9A7BA6"/>
    <w:rsid w:val="2FC242FE"/>
    <w:rsid w:val="2FCF1FF0"/>
    <w:rsid w:val="2FFF3575"/>
    <w:rsid w:val="30153DA9"/>
    <w:rsid w:val="304271ED"/>
    <w:rsid w:val="30795FA6"/>
    <w:rsid w:val="30870369"/>
    <w:rsid w:val="308D0B9D"/>
    <w:rsid w:val="309537C1"/>
    <w:rsid w:val="30AE5029"/>
    <w:rsid w:val="30D965F3"/>
    <w:rsid w:val="310A3B30"/>
    <w:rsid w:val="31350C4C"/>
    <w:rsid w:val="317E51FD"/>
    <w:rsid w:val="31F82F20"/>
    <w:rsid w:val="320A5AE9"/>
    <w:rsid w:val="3210328B"/>
    <w:rsid w:val="321D7EF1"/>
    <w:rsid w:val="325C06B6"/>
    <w:rsid w:val="325E57DA"/>
    <w:rsid w:val="32672F3B"/>
    <w:rsid w:val="326E42CA"/>
    <w:rsid w:val="327577E0"/>
    <w:rsid w:val="32AA10B2"/>
    <w:rsid w:val="32D9699F"/>
    <w:rsid w:val="32DD4AEB"/>
    <w:rsid w:val="333077D1"/>
    <w:rsid w:val="335039CF"/>
    <w:rsid w:val="33517F24"/>
    <w:rsid w:val="33DD12FF"/>
    <w:rsid w:val="34256C0A"/>
    <w:rsid w:val="344E07A6"/>
    <w:rsid w:val="34580D8D"/>
    <w:rsid w:val="34983880"/>
    <w:rsid w:val="34CF116C"/>
    <w:rsid w:val="34D00132"/>
    <w:rsid w:val="34FF1487"/>
    <w:rsid w:val="351C625F"/>
    <w:rsid w:val="352246B9"/>
    <w:rsid w:val="35AA386B"/>
    <w:rsid w:val="35B13DBF"/>
    <w:rsid w:val="35BA7826"/>
    <w:rsid w:val="35C96066"/>
    <w:rsid w:val="35D04C16"/>
    <w:rsid w:val="36203B2D"/>
    <w:rsid w:val="369A0B25"/>
    <w:rsid w:val="36AD1C42"/>
    <w:rsid w:val="36DD0DAD"/>
    <w:rsid w:val="36EB69DC"/>
    <w:rsid w:val="371701C2"/>
    <w:rsid w:val="372D43B1"/>
    <w:rsid w:val="37382E00"/>
    <w:rsid w:val="375F289D"/>
    <w:rsid w:val="378C0630"/>
    <w:rsid w:val="37C7002F"/>
    <w:rsid w:val="37E70A68"/>
    <w:rsid w:val="38073496"/>
    <w:rsid w:val="381256F7"/>
    <w:rsid w:val="38624742"/>
    <w:rsid w:val="386A52F9"/>
    <w:rsid w:val="3881462B"/>
    <w:rsid w:val="38885481"/>
    <w:rsid w:val="389558DB"/>
    <w:rsid w:val="38997BC6"/>
    <w:rsid w:val="38BF6A16"/>
    <w:rsid w:val="38E2156D"/>
    <w:rsid w:val="395A7356"/>
    <w:rsid w:val="398A226F"/>
    <w:rsid w:val="399F120C"/>
    <w:rsid w:val="39B051C8"/>
    <w:rsid w:val="39B85266"/>
    <w:rsid w:val="39C46EC5"/>
    <w:rsid w:val="3A103EB8"/>
    <w:rsid w:val="3A637A19"/>
    <w:rsid w:val="3AAD5BAB"/>
    <w:rsid w:val="3ABB0A73"/>
    <w:rsid w:val="3AF27EBD"/>
    <w:rsid w:val="3B003F2D"/>
    <w:rsid w:val="3B082DE1"/>
    <w:rsid w:val="3B366832"/>
    <w:rsid w:val="3B3C51D5"/>
    <w:rsid w:val="3BA0301A"/>
    <w:rsid w:val="3C30430C"/>
    <w:rsid w:val="3C50507C"/>
    <w:rsid w:val="3C54700A"/>
    <w:rsid w:val="3C7939C7"/>
    <w:rsid w:val="3C7C27AF"/>
    <w:rsid w:val="3CF4186F"/>
    <w:rsid w:val="3D292E50"/>
    <w:rsid w:val="3D600441"/>
    <w:rsid w:val="3D972887"/>
    <w:rsid w:val="3DCC76AE"/>
    <w:rsid w:val="3E04533D"/>
    <w:rsid w:val="3E307D17"/>
    <w:rsid w:val="3E497999"/>
    <w:rsid w:val="3E530817"/>
    <w:rsid w:val="3E854F1E"/>
    <w:rsid w:val="3FB86B84"/>
    <w:rsid w:val="3FC02657"/>
    <w:rsid w:val="3FC574F3"/>
    <w:rsid w:val="3FD6381B"/>
    <w:rsid w:val="3FDA11F0"/>
    <w:rsid w:val="4050004D"/>
    <w:rsid w:val="40896772"/>
    <w:rsid w:val="40985D57"/>
    <w:rsid w:val="40D668C2"/>
    <w:rsid w:val="40DD6B84"/>
    <w:rsid w:val="410858E9"/>
    <w:rsid w:val="4131552A"/>
    <w:rsid w:val="414669E9"/>
    <w:rsid w:val="41742F7F"/>
    <w:rsid w:val="4190632B"/>
    <w:rsid w:val="41994F69"/>
    <w:rsid w:val="41F06AA9"/>
    <w:rsid w:val="420C1409"/>
    <w:rsid w:val="42500C48"/>
    <w:rsid w:val="425F59DD"/>
    <w:rsid w:val="426B7A9B"/>
    <w:rsid w:val="426D634C"/>
    <w:rsid w:val="428E4C38"/>
    <w:rsid w:val="42AE1F45"/>
    <w:rsid w:val="42B24483"/>
    <w:rsid w:val="42F11657"/>
    <w:rsid w:val="43284021"/>
    <w:rsid w:val="433B58B4"/>
    <w:rsid w:val="43650CAE"/>
    <w:rsid w:val="43730A39"/>
    <w:rsid w:val="43811983"/>
    <w:rsid w:val="43A46EA7"/>
    <w:rsid w:val="43A7763B"/>
    <w:rsid w:val="43CD683F"/>
    <w:rsid w:val="43D43910"/>
    <w:rsid w:val="44054362"/>
    <w:rsid w:val="4413593C"/>
    <w:rsid w:val="442742D8"/>
    <w:rsid w:val="44337121"/>
    <w:rsid w:val="44791985"/>
    <w:rsid w:val="4484172B"/>
    <w:rsid w:val="448E0016"/>
    <w:rsid w:val="449C6A74"/>
    <w:rsid w:val="44B16840"/>
    <w:rsid w:val="44E4666D"/>
    <w:rsid w:val="44FF6E2D"/>
    <w:rsid w:val="4505163C"/>
    <w:rsid w:val="451471C4"/>
    <w:rsid w:val="45293313"/>
    <w:rsid w:val="454D01C7"/>
    <w:rsid w:val="45630468"/>
    <w:rsid w:val="45660170"/>
    <w:rsid w:val="457B0D80"/>
    <w:rsid w:val="458D1019"/>
    <w:rsid w:val="45BB5319"/>
    <w:rsid w:val="45CC50E5"/>
    <w:rsid w:val="45EF0E26"/>
    <w:rsid w:val="45F57003"/>
    <w:rsid w:val="45F813BF"/>
    <w:rsid w:val="46146ADE"/>
    <w:rsid w:val="4669058F"/>
    <w:rsid w:val="46B71412"/>
    <w:rsid w:val="47044DA5"/>
    <w:rsid w:val="4711620B"/>
    <w:rsid w:val="472B2331"/>
    <w:rsid w:val="47503703"/>
    <w:rsid w:val="478B1022"/>
    <w:rsid w:val="47916927"/>
    <w:rsid w:val="48111527"/>
    <w:rsid w:val="482C4AD6"/>
    <w:rsid w:val="48B80905"/>
    <w:rsid w:val="48BD345D"/>
    <w:rsid w:val="48C26B67"/>
    <w:rsid w:val="48C91E02"/>
    <w:rsid w:val="49115557"/>
    <w:rsid w:val="493F5642"/>
    <w:rsid w:val="497955D6"/>
    <w:rsid w:val="499D2DFA"/>
    <w:rsid w:val="49EA3854"/>
    <w:rsid w:val="4A095EDA"/>
    <w:rsid w:val="4A360338"/>
    <w:rsid w:val="4A4A2ACF"/>
    <w:rsid w:val="4A7A4163"/>
    <w:rsid w:val="4A802994"/>
    <w:rsid w:val="4AB9210C"/>
    <w:rsid w:val="4AE22169"/>
    <w:rsid w:val="4AF3760A"/>
    <w:rsid w:val="4AFF7D5D"/>
    <w:rsid w:val="4B180E1F"/>
    <w:rsid w:val="4B24370F"/>
    <w:rsid w:val="4B495268"/>
    <w:rsid w:val="4B6C4491"/>
    <w:rsid w:val="4B9B6C0A"/>
    <w:rsid w:val="4BFF6538"/>
    <w:rsid w:val="4C211DA3"/>
    <w:rsid w:val="4C2A117B"/>
    <w:rsid w:val="4C2C28CD"/>
    <w:rsid w:val="4C3F7EC3"/>
    <w:rsid w:val="4C61166C"/>
    <w:rsid w:val="4C6205A3"/>
    <w:rsid w:val="4C995F8F"/>
    <w:rsid w:val="4CE40135"/>
    <w:rsid w:val="4D3A5CC6"/>
    <w:rsid w:val="4D477799"/>
    <w:rsid w:val="4DB72AB2"/>
    <w:rsid w:val="4DEF779D"/>
    <w:rsid w:val="4E0836C1"/>
    <w:rsid w:val="4E274CAC"/>
    <w:rsid w:val="4E3D5AFD"/>
    <w:rsid w:val="4E487C6D"/>
    <w:rsid w:val="4E7A0566"/>
    <w:rsid w:val="4EAA6232"/>
    <w:rsid w:val="4EF851EF"/>
    <w:rsid w:val="4F0A4F22"/>
    <w:rsid w:val="4F5A1A06"/>
    <w:rsid w:val="4F7C5E20"/>
    <w:rsid w:val="4F822D0B"/>
    <w:rsid w:val="4F9B4257"/>
    <w:rsid w:val="4FCA3490"/>
    <w:rsid w:val="4FEA6D2C"/>
    <w:rsid w:val="4FED4628"/>
    <w:rsid w:val="5097222A"/>
    <w:rsid w:val="50A849F3"/>
    <w:rsid w:val="50D41344"/>
    <w:rsid w:val="50E53D49"/>
    <w:rsid w:val="50EF5064"/>
    <w:rsid w:val="51330760"/>
    <w:rsid w:val="513A2EB8"/>
    <w:rsid w:val="518F1BC3"/>
    <w:rsid w:val="51BD15F2"/>
    <w:rsid w:val="521F2A93"/>
    <w:rsid w:val="52343943"/>
    <w:rsid w:val="52794597"/>
    <w:rsid w:val="528F7C18"/>
    <w:rsid w:val="52903990"/>
    <w:rsid w:val="52A80CDA"/>
    <w:rsid w:val="52AD4542"/>
    <w:rsid w:val="52C27FEE"/>
    <w:rsid w:val="52DB12DC"/>
    <w:rsid w:val="52E90DE5"/>
    <w:rsid w:val="53133ECC"/>
    <w:rsid w:val="53733096"/>
    <w:rsid w:val="53E066E3"/>
    <w:rsid w:val="541F4FCC"/>
    <w:rsid w:val="54977258"/>
    <w:rsid w:val="54E31282"/>
    <w:rsid w:val="550C4A8A"/>
    <w:rsid w:val="552B3724"/>
    <w:rsid w:val="552C5397"/>
    <w:rsid w:val="556E11F4"/>
    <w:rsid w:val="55766E6E"/>
    <w:rsid w:val="55D10548"/>
    <w:rsid w:val="55E21A94"/>
    <w:rsid w:val="55E37BFC"/>
    <w:rsid w:val="5637484F"/>
    <w:rsid w:val="563C4653"/>
    <w:rsid w:val="56552F27"/>
    <w:rsid w:val="567E2422"/>
    <w:rsid w:val="568455BA"/>
    <w:rsid w:val="569644F9"/>
    <w:rsid w:val="56E16532"/>
    <w:rsid w:val="573A3ECB"/>
    <w:rsid w:val="5778511F"/>
    <w:rsid w:val="57AC162E"/>
    <w:rsid w:val="57E427B4"/>
    <w:rsid w:val="57FB1233"/>
    <w:rsid w:val="581A20E1"/>
    <w:rsid w:val="58607A17"/>
    <w:rsid w:val="588E406F"/>
    <w:rsid w:val="596661E1"/>
    <w:rsid w:val="59926240"/>
    <w:rsid w:val="59E56370"/>
    <w:rsid w:val="59E75F0D"/>
    <w:rsid w:val="5A760F76"/>
    <w:rsid w:val="5A7B71DC"/>
    <w:rsid w:val="5A844DA5"/>
    <w:rsid w:val="5AA303C0"/>
    <w:rsid w:val="5AEF0F9B"/>
    <w:rsid w:val="5B413A7A"/>
    <w:rsid w:val="5B4377F2"/>
    <w:rsid w:val="5B7E082A"/>
    <w:rsid w:val="5B924203"/>
    <w:rsid w:val="5BCA1CC1"/>
    <w:rsid w:val="5BFE5E0F"/>
    <w:rsid w:val="5C0276AD"/>
    <w:rsid w:val="5C67751E"/>
    <w:rsid w:val="5C86208C"/>
    <w:rsid w:val="5CB07652"/>
    <w:rsid w:val="5CBD1826"/>
    <w:rsid w:val="5D526412"/>
    <w:rsid w:val="5D8448DF"/>
    <w:rsid w:val="5DA930B5"/>
    <w:rsid w:val="5E300B4A"/>
    <w:rsid w:val="5E435D5B"/>
    <w:rsid w:val="5E763F5F"/>
    <w:rsid w:val="5EAA09BD"/>
    <w:rsid w:val="5EEB267A"/>
    <w:rsid w:val="5EF7455B"/>
    <w:rsid w:val="5F27007C"/>
    <w:rsid w:val="5F2A6140"/>
    <w:rsid w:val="5F3758C0"/>
    <w:rsid w:val="5F4D5334"/>
    <w:rsid w:val="5F78749F"/>
    <w:rsid w:val="5F9E0305"/>
    <w:rsid w:val="5FA40241"/>
    <w:rsid w:val="5FC03B07"/>
    <w:rsid w:val="5FC1707F"/>
    <w:rsid w:val="5FD501C7"/>
    <w:rsid w:val="60002155"/>
    <w:rsid w:val="60194FC5"/>
    <w:rsid w:val="601D3E3E"/>
    <w:rsid w:val="60545FFD"/>
    <w:rsid w:val="607F78AF"/>
    <w:rsid w:val="608A0908"/>
    <w:rsid w:val="60A15F5C"/>
    <w:rsid w:val="60B60A66"/>
    <w:rsid w:val="60B66CB8"/>
    <w:rsid w:val="60BD1DF5"/>
    <w:rsid w:val="60E07891"/>
    <w:rsid w:val="611F2AAF"/>
    <w:rsid w:val="612C6607"/>
    <w:rsid w:val="6147071A"/>
    <w:rsid w:val="61864F5A"/>
    <w:rsid w:val="61A84853"/>
    <w:rsid w:val="61B56F70"/>
    <w:rsid w:val="61EF4230"/>
    <w:rsid w:val="62013F63"/>
    <w:rsid w:val="62144416"/>
    <w:rsid w:val="621C0D9D"/>
    <w:rsid w:val="622740D7"/>
    <w:rsid w:val="625B7B17"/>
    <w:rsid w:val="62B41814"/>
    <w:rsid w:val="62BC2C1F"/>
    <w:rsid w:val="62D1034E"/>
    <w:rsid w:val="62E66D8E"/>
    <w:rsid w:val="630C7063"/>
    <w:rsid w:val="63791642"/>
    <w:rsid w:val="63E022EB"/>
    <w:rsid w:val="63E91153"/>
    <w:rsid w:val="644B1A3D"/>
    <w:rsid w:val="64662892"/>
    <w:rsid w:val="64B041A2"/>
    <w:rsid w:val="64BC415B"/>
    <w:rsid w:val="64D2621B"/>
    <w:rsid w:val="64E35BA2"/>
    <w:rsid w:val="650049A6"/>
    <w:rsid w:val="6522226D"/>
    <w:rsid w:val="65876E75"/>
    <w:rsid w:val="658C7FE7"/>
    <w:rsid w:val="65DF6369"/>
    <w:rsid w:val="65F1460F"/>
    <w:rsid w:val="660C09A3"/>
    <w:rsid w:val="666F3B91"/>
    <w:rsid w:val="667116AD"/>
    <w:rsid w:val="66834ABD"/>
    <w:rsid w:val="66AB0F78"/>
    <w:rsid w:val="66E27CB9"/>
    <w:rsid w:val="67077658"/>
    <w:rsid w:val="671036F5"/>
    <w:rsid w:val="67987117"/>
    <w:rsid w:val="67BB77DF"/>
    <w:rsid w:val="67E45EB9"/>
    <w:rsid w:val="67FA0C0D"/>
    <w:rsid w:val="67FF7F8C"/>
    <w:rsid w:val="680B5B3B"/>
    <w:rsid w:val="686C635E"/>
    <w:rsid w:val="68865AC2"/>
    <w:rsid w:val="68C229BD"/>
    <w:rsid w:val="68CA631D"/>
    <w:rsid w:val="68DC4DE2"/>
    <w:rsid w:val="68F23988"/>
    <w:rsid w:val="69315D63"/>
    <w:rsid w:val="69562DE6"/>
    <w:rsid w:val="697B001E"/>
    <w:rsid w:val="6992777B"/>
    <w:rsid w:val="69E74DD5"/>
    <w:rsid w:val="69F10D61"/>
    <w:rsid w:val="69F57C49"/>
    <w:rsid w:val="6A095303"/>
    <w:rsid w:val="6A1062E6"/>
    <w:rsid w:val="6A112F94"/>
    <w:rsid w:val="6A1556F6"/>
    <w:rsid w:val="6A1B552D"/>
    <w:rsid w:val="6A707ED8"/>
    <w:rsid w:val="6A930946"/>
    <w:rsid w:val="6AA81420"/>
    <w:rsid w:val="6AB605B8"/>
    <w:rsid w:val="6AC64C7F"/>
    <w:rsid w:val="6AEB755E"/>
    <w:rsid w:val="6AEF704E"/>
    <w:rsid w:val="6B0420A3"/>
    <w:rsid w:val="6B0D15D1"/>
    <w:rsid w:val="6B2325B6"/>
    <w:rsid w:val="6B96396E"/>
    <w:rsid w:val="6BC52A21"/>
    <w:rsid w:val="6BF97B85"/>
    <w:rsid w:val="6BFA52E3"/>
    <w:rsid w:val="6C4B29AA"/>
    <w:rsid w:val="6C7A3290"/>
    <w:rsid w:val="6CC07F24"/>
    <w:rsid w:val="6CCE7137"/>
    <w:rsid w:val="6CDD7661"/>
    <w:rsid w:val="6CE535C3"/>
    <w:rsid w:val="6D2F5E28"/>
    <w:rsid w:val="6D4C69DA"/>
    <w:rsid w:val="6DA2484C"/>
    <w:rsid w:val="6DCC3677"/>
    <w:rsid w:val="6E2C05BA"/>
    <w:rsid w:val="6E5C00B5"/>
    <w:rsid w:val="6E8A0956"/>
    <w:rsid w:val="6E8A32BB"/>
    <w:rsid w:val="6EC94AA0"/>
    <w:rsid w:val="6EEA575B"/>
    <w:rsid w:val="6F2179F2"/>
    <w:rsid w:val="6F4162E7"/>
    <w:rsid w:val="6F4734F9"/>
    <w:rsid w:val="6F83705A"/>
    <w:rsid w:val="6FF158FA"/>
    <w:rsid w:val="6FFC50AD"/>
    <w:rsid w:val="700417EE"/>
    <w:rsid w:val="701D6144"/>
    <w:rsid w:val="705A6236"/>
    <w:rsid w:val="70756248"/>
    <w:rsid w:val="707C0E23"/>
    <w:rsid w:val="7129406D"/>
    <w:rsid w:val="71A6584B"/>
    <w:rsid w:val="71A66CA6"/>
    <w:rsid w:val="71DD33A6"/>
    <w:rsid w:val="725F1977"/>
    <w:rsid w:val="72936E59"/>
    <w:rsid w:val="729B1591"/>
    <w:rsid w:val="72B00952"/>
    <w:rsid w:val="730B0F8E"/>
    <w:rsid w:val="731630B8"/>
    <w:rsid w:val="73392CF5"/>
    <w:rsid w:val="73435273"/>
    <w:rsid w:val="7358369C"/>
    <w:rsid w:val="73634A7D"/>
    <w:rsid w:val="73724CC1"/>
    <w:rsid w:val="73B02970"/>
    <w:rsid w:val="73B84764"/>
    <w:rsid w:val="73EC4A73"/>
    <w:rsid w:val="742064CB"/>
    <w:rsid w:val="746A3BEA"/>
    <w:rsid w:val="746F081C"/>
    <w:rsid w:val="74850A24"/>
    <w:rsid w:val="74B80DF9"/>
    <w:rsid w:val="75A849CA"/>
    <w:rsid w:val="75B63260"/>
    <w:rsid w:val="75E63744"/>
    <w:rsid w:val="763D7808"/>
    <w:rsid w:val="766266B2"/>
    <w:rsid w:val="766314F3"/>
    <w:rsid w:val="76AE4262"/>
    <w:rsid w:val="76F679B7"/>
    <w:rsid w:val="7721472A"/>
    <w:rsid w:val="774F3D26"/>
    <w:rsid w:val="77510E81"/>
    <w:rsid w:val="775F5050"/>
    <w:rsid w:val="77F40F3E"/>
    <w:rsid w:val="77FC0FFD"/>
    <w:rsid w:val="77FF3421"/>
    <w:rsid w:val="7869554C"/>
    <w:rsid w:val="78A83A33"/>
    <w:rsid w:val="78B673FD"/>
    <w:rsid w:val="78DA3E8D"/>
    <w:rsid w:val="79271C0A"/>
    <w:rsid w:val="79420C91"/>
    <w:rsid w:val="7980087A"/>
    <w:rsid w:val="79A73866"/>
    <w:rsid w:val="79B15C6C"/>
    <w:rsid w:val="79D668E4"/>
    <w:rsid w:val="7A0D74F1"/>
    <w:rsid w:val="7A770B57"/>
    <w:rsid w:val="7A804167"/>
    <w:rsid w:val="7AA11EDF"/>
    <w:rsid w:val="7AB20098"/>
    <w:rsid w:val="7AED2458"/>
    <w:rsid w:val="7B1007E7"/>
    <w:rsid w:val="7B226FCC"/>
    <w:rsid w:val="7B3F2EDE"/>
    <w:rsid w:val="7B6273C9"/>
    <w:rsid w:val="7B683207"/>
    <w:rsid w:val="7B690757"/>
    <w:rsid w:val="7B753025"/>
    <w:rsid w:val="7BAB42CC"/>
    <w:rsid w:val="7BCC0CE6"/>
    <w:rsid w:val="7BCE7BD3"/>
    <w:rsid w:val="7C120F4C"/>
    <w:rsid w:val="7CB9359B"/>
    <w:rsid w:val="7CC80BD8"/>
    <w:rsid w:val="7D6E474B"/>
    <w:rsid w:val="7D7C3B6C"/>
    <w:rsid w:val="7DD60177"/>
    <w:rsid w:val="7DE62533"/>
    <w:rsid w:val="7DF033B2"/>
    <w:rsid w:val="7DF46806"/>
    <w:rsid w:val="7E3A63DB"/>
    <w:rsid w:val="7EB73ECF"/>
    <w:rsid w:val="7EC16AFC"/>
    <w:rsid w:val="7ED75AA9"/>
    <w:rsid w:val="7EDC1B88"/>
    <w:rsid w:val="7EFC7B34"/>
    <w:rsid w:val="7F014147"/>
    <w:rsid w:val="7F111FE3"/>
    <w:rsid w:val="7F213F67"/>
    <w:rsid w:val="7F2C0419"/>
    <w:rsid w:val="7F3B065C"/>
    <w:rsid w:val="7FC4065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nhideWhenUsed="0"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35" w:name="caption"/>
    <w:lsdException w:uiPriority="0" w:name="table of figures"/>
    <w:lsdException w:uiPriority="0" w:name="envelope address"/>
    <w:lsdException w:qFormat="1" w:unhideWhenUsed="0" w:uiPriority="0" w:semiHidden="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iPriority="99" w:semiHidden="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99"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8"/>
    <w:qFormat/>
    <w:uiPriority w:val="9"/>
    <w:pPr>
      <w:keepNext/>
      <w:jc w:val="center"/>
      <w:outlineLvl w:val="0"/>
    </w:pPr>
    <w:rPr>
      <w:b/>
      <w:bCs/>
      <w:kern w:val="0"/>
      <w:sz w:val="24"/>
      <w:szCs w:val="20"/>
    </w:rPr>
  </w:style>
  <w:style w:type="paragraph" w:styleId="4">
    <w:name w:val="heading 2"/>
    <w:basedOn w:val="1"/>
    <w:next w:val="1"/>
    <w:link w:val="57"/>
    <w:qFormat/>
    <w:uiPriority w:val="9"/>
    <w:pPr>
      <w:keepNext/>
      <w:keepLines/>
      <w:spacing w:line="360" w:lineRule="auto"/>
      <w:outlineLvl w:val="1"/>
    </w:pPr>
    <w:rPr>
      <w:rFonts w:ascii="Arial" w:hAnsi="Arial"/>
      <w:b/>
      <w:bCs/>
      <w:kern w:val="0"/>
      <w:sz w:val="24"/>
      <w:szCs w:val="32"/>
    </w:rPr>
  </w:style>
  <w:style w:type="paragraph" w:styleId="5">
    <w:name w:val="heading 3"/>
    <w:basedOn w:val="1"/>
    <w:next w:val="1"/>
    <w:link w:val="64"/>
    <w:qFormat/>
    <w:uiPriority w:val="9"/>
    <w:pPr>
      <w:keepNext/>
      <w:keepLines/>
      <w:spacing w:before="260" w:after="260" w:line="416" w:lineRule="auto"/>
      <w:outlineLvl w:val="2"/>
    </w:pPr>
    <w:rPr>
      <w:b/>
      <w:bCs/>
      <w:kern w:val="0"/>
      <w:sz w:val="32"/>
      <w:szCs w:val="32"/>
    </w:rPr>
  </w:style>
  <w:style w:type="paragraph" w:styleId="6">
    <w:name w:val="heading 4"/>
    <w:basedOn w:val="1"/>
    <w:next w:val="1"/>
    <w:link w:val="59"/>
    <w:qFormat/>
    <w:uiPriority w:val="0"/>
    <w:pPr>
      <w:keepNext/>
      <w:keepLines/>
      <w:spacing w:before="280" w:after="290" w:line="376" w:lineRule="auto"/>
      <w:outlineLvl w:val="3"/>
    </w:pPr>
    <w:rPr>
      <w:rFonts w:ascii="Arial" w:hAnsi="Arial" w:eastAsia="黑体"/>
      <w:b/>
      <w:bCs/>
      <w:kern w:val="0"/>
      <w:sz w:val="28"/>
      <w:szCs w:val="28"/>
    </w:rPr>
  </w:style>
  <w:style w:type="paragraph" w:styleId="7">
    <w:name w:val="heading 5"/>
    <w:basedOn w:val="1"/>
    <w:next w:val="1"/>
    <w:link w:val="65"/>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8">
    <w:name w:val="heading 6"/>
    <w:basedOn w:val="1"/>
    <w:next w:val="1"/>
    <w:link w:val="66"/>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9">
    <w:name w:val="heading 7"/>
    <w:basedOn w:val="1"/>
    <w:next w:val="1"/>
    <w:link w:val="67"/>
    <w:qFormat/>
    <w:uiPriority w:val="0"/>
    <w:pPr>
      <w:keepNext/>
      <w:keepLines/>
      <w:adjustRightInd w:val="0"/>
      <w:spacing w:before="240" w:after="64" w:line="320" w:lineRule="atLeast"/>
      <w:jc w:val="left"/>
      <w:textAlignment w:val="baseline"/>
      <w:outlineLvl w:val="6"/>
    </w:pPr>
    <w:rPr>
      <w:b/>
      <w:bCs/>
      <w:kern w:val="0"/>
      <w:sz w:val="24"/>
    </w:rPr>
  </w:style>
  <w:style w:type="paragraph" w:styleId="10">
    <w:name w:val="heading 8"/>
    <w:basedOn w:val="1"/>
    <w:next w:val="1"/>
    <w:link w:val="68"/>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1">
    <w:name w:val="heading 9"/>
    <w:basedOn w:val="1"/>
    <w:next w:val="1"/>
    <w:link w:val="69"/>
    <w:qFormat/>
    <w:uiPriority w:val="0"/>
    <w:pPr>
      <w:keepNext/>
      <w:keepLines/>
      <w:adjustRightInd w:val="0"/>
      <w:spacing w:before="240" w:after="64" w:line="320" w:lineRule="atLeast"/>
      <w:jc w:val="left"/>
      <w:textAlignment w:val="baseline"/>
      <w:outlineLvl w:val="8"/>
    </w:pPr>
    <w:rPr>
      <w:rFonts w:ascii="Arial" w:hAnsi="Arial" w:eastAsia="黑体"/>
      <w:kern w:val="0"/>
      <w:sz w:val="20"/>
      <w:szCs w:val="21"/>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2">
    <w:name w:val="Body Text 2"/>
    <w:basedOn w:val="1"/>
    <w:link w:val="84"/>
    <w:qFormat/>
    <w:uiPriority w:val="0"/>
    <w:pPr>
      <w:spacing w:after="120" w:line="480" w:lineRule="auto"/>
    </w:pPr>
    <w:rPr>
      <w:kern w:val="0"/>
      <w:sz w:val="20"/>
    </w:rPr>
  </w:style>
  <w:style w:type="paragraph" w:styleId="12">
    <w:name w:val="toc 7"/>
    <w:basedOn w:val="1"/>
    <w:next w:val="1"/>
    <w:unhideWhenUsed/>
    <w:qFormat/>
    <w:uiPriority w:val="39"/>
    <w:pPr>
      <w:ind w:left="2520" w:leftChars="1200"/>
    </w:pPr>
    <w:rPr>
      <w:rFonts w:ascii="Calibri" w:hAnsi="Calibri" w:cs="黑体"/>
      <w:szCs w:val="22"/>
    </w:rPr>
  </w:style>
  <w:style w:type="paragraph" w:styleId="13">
    <w:name w:val="Normal Indent"/>
    <w:basedOn w:val="1"/>
    <w:qFormat/>
    <w:uiPriority w:val="99"/>
    <w:pPr>
      <w:widowControl/>
      <w:ind w:firstLine="420"/>
      <w:jc w:val="left"/>
    </w:pPr>
    <w:rPr>
      <w:kern w:val="0"/>
      <w:sz w:val="20"/>
      <w:szCs w:val="20"/>
    </w:rPr>
  </w:style>
  <w:style w:type="paragraph" w:styleId="14">
    <w:name w:val="Document Map"/>
    <w:basedOn w:val="1"/>
    <w:link w:val="70"/>
    <w:semiHidden/>
    <w:qFormat/>
    <w:uiPriority w:val="99"/>
    <w:pPr>
      <w:shd w:val="clear" w:color="auto" w:fill="000080"/>
    </w:pPr>
    <w:rPr>
      <w:kern w:val="0"/>
      <w:sz w:val="20"/>
    </w:rPr>
  </w:style>
  <w:style w:type="paragraph" w:styleId="15">
    <w:name w:val="annotation text"/>
    <w:basedOn w:val="1"/>
    <w:link w:val="71"/>
    <w:qFormat/>
    <w:uiPriority w:val="0"/>
    <w:pPr>
      <w:jc w:val="left"/>
    </w:pPr>
    <w:rPr>
      <w:kern w:val="0"/>
      <w:sz w:val="20"/>
    </w:rPr>
  </w:style>
  <w:style w:type="paragraph" w:styleId="16">
    <w:name w:val="Salutation"/>
    <w:basedOn w:val="1"/>
    <w:next w:val="1"/>
    <w:link w:val="72"/>
    <w:qFormat/>
    <w:uiPriority w:val="0"/>
    <w:rPr>
      <w:rFonts w:ascii="仿宋_GB2312" w:eastAsia="仿宋_GB2312"/>
      <w:kern w:val="0"/>
      <w:sz w:val="24"/>
    </w:rPr>
  </w:style>
  <w:style w:type="paragraph" w:styleId="17">
    <w:name w:val="Body Text 3"/>
    <w:basedOn w:val="1"/>
    <w:link w:val="73"/>
    <w:qFormat/>
    <w:uiPriority w:val="0"/>
    <w:pPr>
      <w:spacing w:after="120"/>
    </w:pPr>
    <w:rPr>
      <w:sz w:val="16"/>
      <w:szCs w:val="16"/>
    </w:rPr>
  </w:style>
  <w:style w:type="paragraph" w:styleId="18">
    <w:name w:val="Body Text"/>
    <w:basedOn w:val="1"/>
    <w:next w:val="1"/>
    <w:link w:val="75"/>
    <w:qFormat/>
    <w:uiPriority w:val="0"/>
    <w:pPr>
      <w:spacing w:after="120"/>
    </w:pPr>
    <w:rPr>
      <w:kern w:val="0"/>
      <w:sz w:val="20"/>
    </w:rPr>
  </w:style>
  <w:style w:type="paragraph" w:styleId="19">
    <w:name w:val="Body Text Indent"/>
    <w:basedOn w:val="1"/>
    <w:next w:val="20"/>
    <w:link w:val="74"/>
    <w:qFormat/>
    <w:uiPriority w:val="99"/>
    <w:pPr>
      <w:spacing w:after="120"/>
      <w:ind w:left="420" w:leftChars="200"/>
    </w:pPr>
    <w:rPr>
      <w:kern w:val="0"/>
      <w:sz w:val="20"/>
    </w:rPr>
  </w:style>
  <w:style w:type="paragraph" w:styleId="20">
    <w:name w:val="Body Text Indent 2"/>
    <w:basedOn w:val="1"/>
    <w:link w:val="78"/>
    <w:qFormat/>
    <w:uiPriority w:val="0"/>
    <w:pPr>
      <w:spacing w:after="120" w:line="480" w:lineRule="auto"/>
      <w:ind w:left="420" w:leftChars="200"/>
    </w:pPr>
    <w:rPr>
      <w:kern w:val="0"/>
      <w:sz w:val="20"/>
    </w:rPr>
  </w:style>
  <w:style w:type="paragraph" w:styleId="21">
    <w:name w:val="Block Text"/>
    <w:basedOn w:val="1"/>
    <w:qFormat/>
    <w:uiPriority w:val="0"/>
    <w:pPr>
      <w:ind w:left="1171" w:right="91" w:hanging="1080"/>
    </w:pPr>
    <w:rPr>
      <w:rFonts w:eastAsia="楷体_GB2312"/>
      <w:szCs w:val="20"/>
    </w:rPr>
  </w:style>
  <w:style w:type="paragraph" w:styleId="22">
    <w:name w:val="toc 5"/>
    <w:basedOn w:val="1"/>
    <w:next w:val="1"/>
    <w:unhideWhenUsed/>
    <w:qFormat/>
    <w:uiPriority w:val="39"/>
    <w:pPr>
      <w:ind w:left="1680" w:leftChars="800"/>
    </w:pPr>
    <w:rPr>
      <w:rFonts w:ascii="Calibri" w:hAnsi="Calibri" w:cs="黑体"/>
      <w:szCs w:val="22"/>
    </w:rPr>
  </w:style>
  <w:style w:type="paragraph" w:styleId="23">
    <w:name w:val="toc 3"/>
    <w:basedOn w:val="1"/>
    <w:next w:val="1"/>
    <w:unhideWhenUsed/>
    <w:qFormat/>
    <w:uiPriority w:val="39"/>
    <w:pPr>
      <w:adjustRightInd w:val="0"/>
      <w:snapToGrid w:val="0"/>
      <w:spacing w:line="360" w:lineRule="auto"/>
      <w:ind w:left="400" w:leftChars="400"/>
    </w:pPr>
    <w:rPr>
      <w:b/>
    </w:rPr>
  </w:style>
  <w:style w:type="paragraph" w:styleId="24">
    <w:name w:val="Plain Text"/>
    <w:basedOn w:val="1"/>
    <w:link w:val="76"/>
    <w:qFormat/>
    <w:uiPriority w:val="0"/>
    <w:rPr>
      <w:rFonts w:ascii="宋体" w:hAnsi="Courier New"/>
      <w:kern w:val="0"/>
      <w:sz w:val="20"/>
      <w:szCs w:val="21"/>
    </w:rPr>
  </w:style>
  <w:style w:type="paragraph" w:styleId="25">
    <w:name w:val="toc 8"/>
    <w:basedOn w:val="1"/>
    <w:next w:val="1"/>
    <w:unhideWhenUsed/>
    <w:qFormat/>
    <w:uiPriority w:val="39"/>
    <w:pPr>
      <w:ind w:left="2940" w:leftChars="1400"/>
    </w:pPr>
    <w:rPr>
      <w:rFonts w:ascii="Calibri" w:hAnsi="Calibri" w:cs="黑体"/>
      <w:szCs w:val="22"/>
    </w:rPr>
  </w:style>
  <w:style w:type="paragraph" w:styleId="26">
    <w:name w:val="Date"/>
    <w:basedOn w:val="1"/>
    <w:next w:val="1"/>
    <w:link w:val="77"/>
    <w:qFormat/>
    <w:uiPriority w:val="0"/>
    <w:rPr>
      <w:kern w:val="0"/>
      <w:sz w:val="24"/>
      <w:szCs w:val="20"/>
    </w:rPr>
  </w:style>
  <w:style w:type="paragraph" w:styleId="27">
    <w:name w:val="Balloon Text"/>
    <w:basedOn w:val="1"/>
    <w:link w:val="79"/>
    <w:qFormat/>
    <w:uiPriority w:val="0"/>
    <w:rPr>
      <w:kern w:val="0"/>
      <w:sz w:val="18"/>
      <w:szCs w:val="18"/>
    </w:rPr>
  </w:style>
  <w:style w:type="paragraph" w:styleId="28">
    <w:name w:val="footer"/>
    <w:basedOn w:val="1"/>
    <w:link w:val="80"/>
    <w:qFormat/>
    <w:uiPriority w:val="0"/>
    <w:pPr>
      <w:tabs>
        <w:tab w:val="center" w:pos="4153"/>
        <w:tab w:val="right" w:pos="8306"/>
      </w:tabs>
      <w:snapToGrid w:val="0"/>
      <w:jc w:val="left"/>
    </w:pPr>
    <w:rPr>
      <w:kern w:val="0"/>
      <w:sz w:val="18"/>
      <w:szCs w:val="18"/>
    </w:rPr>
  </w:style>
  <w:style w:type="paragraph" w:styleId="29">
    <w:name w:val="envelope return"/>
    <w:basedOn w:val="1"/>
    <w:qFormat/>
    <w:uiPriority w:val="0"/>
    <w:pPr>
      <w:widowControl/>
      <w:snapToGrid w:val="0"/>
      <w:textAlignment w:val="baseline"/>
    </w:pPr>
    <w:rPr>
      <w:rFonts w:ascii="Arial" w:hAnsi="Arial"/>
    </w:rPr>
  </w:style>
  <w:style w:type="paragraph" w:styleId="30">
    <w:name w:val="header"/>
    <w:basedOn w:val="1"/>
    <w:link w:val="81"/>
    <w:qFormat/>
    <w:uiPriority w:val="0"/>
    <w:pPr>
      <w:pBdr>
        <w:bottom w:val="single" w:color="auto" w:sz="6" w:space="1"/>
      </w:pBdr>
      <w:tabs>
        <w:tab w:val="center" w:pos="4153"/>
        <w:tab w:val="right" w:pos="8306"/>
      </w:tabs>
      <w:snapToGrid w:val="0"/>
      <w:jc w:val="center"/>
    </w:pPr>
    <w:rPr>
      <w:kern w:val="0"/>
      <w:sz w:val="18"/>
      <w:szCs w:val="18"/>
    </w:rPr>
  </w:style>
  <w:style w:type="paragraph" w:styleId="31">
    <w:name w:val="toc 1"/>
    <w:basedOn w:val="1"/>
    <w:next w:val="1"/>
    <w:qFormat/>
    <w:uiPriority w:val="39"/>
    <w:pPr>
      <w:tabs>
        <w:tab w:val="left" w:pos="1680"/>
        <w:tab w:val="right" w:leader="dot" w:pos="8834"/>
      </w:tabs>
      <w:spacing w:line="360" w:lineRule="auto"/>
    </w:pPr>
    <w:rPr>
      <w:rFonts w:ascii="宋体" w:hAnsi="宋体"/>
      <w:b/>
      <w:sz w:val="24"/>
      <w:szCs w:val="21"/>
    </w:rPr>
  </w:style>
  <w:style w:type="paragraph" w:styleId="32">
    <w:name w:val="toc 4"/>
    <w:basedOn w:val="1"/>
    <w:next w:val="1"/>
    <w:unhideWhenUsed/>
    <w:qFormat/>
    <w:uiPriority w:val="39"/>
    <w:pPr>
      <w:adjustRightInd w:val="0"/>
      <w:snapToGrid w:val="0"/>
      <w:spacing w:line="360" w:lineRule="auto"/>
      <w:ind w:left="600" w:leftChars="600"/>
    </w:pPr>
    <w:rPr>
      <w:rFonts w:ascii="Calibri" w:hAnsi="Calibri" w:cs="黑体"/>
      <w:b/>
      <w:szCs w:val="22"/>
    </w:rPr>
  </w:style>
  <w:style w:type="paragraph" w:styleId="33">
    <w:name w:val="Subtitle"/>
    <w:basedOn w:val="1"/>
    <w:next w:val="1"/>
    <w:qFormat/>
    <w:uiPriority w:val="11"/>
    <w:pPr>
      <w:spacing w:before="240" w:after="60" w:line="312" w:lineRule="auto"/>
      <w:jc w:val="center"/>
      <w:outlineLvl w:val="1"/>
    </w:pPr>
    <w:rPr>
      <w:rFonts w:ascii="Cambria" w:hAnsi="Cambria"/>
      <w:b/>
      <w:bCs/>
      <w:kern w:val="28"/>
      <w:sz w:val="32"/>
      <w:szCs w:val="32"/>
    </w:rPr>
  </w:style>
  <w:style w:type="paragraph" w:styleId="34">
    <w:name w:val="footnote text"/>
    <w:basedOn w:val="1"/>
    <w:link w:val="82"/>
    <w:semiHidden/>
    <w:qFormat/>
    <w:uiPriority w:val="99"/>
    <w:pPr>
      <w:snapToGrid w:val="0"/>
      <w:jc w:val="left"/>
    </w:pPr>
    <w:rPr>
      <w:sz w:val="18"/>
      <w:szCs w:val="18"/>
    </w:rPr>
  </w:style>
  <w:style w:type="paragraph" w:styleId="35">
    <w:name w:val="toc 6"/>
    <w:basedOn w:val="1"/>
    <w:next w:val="1"/>
    <w:qFormat/>
    <w:uiPriority w:val="39"/>
    <w:pPr>
      <w:ind w:left="2100"/>
    </w:pPr>
    <w:rPr>
      <w:szCs w:val="20"/>
    </w:rPr>
  </w:style>
  <w:style w:type="paragraph" w:styleId="36">
    <w:name w:val="Body Text Indent 3"/>
    <w:basedOn w:val="1"/>
    <w:link w:val="83"/>
    <w:qFormat/>
    <w:uiPriority w:val="0"/>
    <w:pPr>
      <w:spacing w:after="120"/>
      <w:ind w:left="420" w:leftChars="200"/>
    </w:pPr>
    <w:rPr>
      <w:kern w:val="0"/>
      <w:sz w:val="16"/>
      <w:szCs w:val="16"/>
    </w:rPr>
  </w:style>
  <w:style w:type="paragraph" w:styleId="37">
    <w:name w:val="toc 2"/>
    <w:basedOn w:val="1"/>
    <w:next w:val="1"/>
    <w:unhideWhenUsed/>
    <w:qFormat/>
    <w:uiPriority w:val="39"/>
    <w:pPr>
      <w:spacing w:line="360" w:lineRule="auto"/>
      <w:ind w:left="200" w:leftChars="200"/>
    </w:pPr>
    <w:rPr>
      <w:b/>
    </w:rPr>
  </w:style>
  <w:style w:type="paragraph" w:styleId="38">
    <w:name w:val="toc 9"/>
    <w:basedOn w:val="1"/>
    <w:next w:val="1"/>
    <w:unhideWhenUsed/>
    <w:qFormat/>
    <w:uiPriority w:val="39"/>
    <w:pPr>
      <w:ind w:left="3360" w:leftChars="1600"/>
    </w:pPr>
    <w:rPr>
      <w:rFonts w:ascii="Calibri" w:hAnsi="Calibri" w:cs="黑体"/>
      <w:szCs w:val="22"/>
    </w:rPr>
  </w:style>
  <w:style w:type="paragraph" w:styleId="39">
    <w:name w:val="Message Header"/>
    <w:basedOn w:val="1"/>
    <w:link w:val="85"/>
    <w:unhideWhenUsed/>
    <w:qFormat/>
    <w:uiPriority w:val="99"/>
    <w:pPr>
      <w:pBdr>
        <w:top w:val="single" w:color="auto" w:sz="6" w:space="1"/>
        <w:left w:val="single" w:color="auto" w:sz="6" w:space="1"/>
        <w:bottom w:val="single" w:color="auto" w:sz="6" w:space="1"/>
        <w:right w:val="single" w:color="auto" w:sz="6" w:space="1"/>
      </w:pBdr>
      <w:shd w:val="pct20" w:color="auto" w:fill="auto"/>
      <w:ind w:left="500" w:leftChars="500" w:hanging="1080" w:hangingChars="500"/>
    </w:pPr>
    <w:rPr>
      <w:rFonts w:ascii="Arial" w:hAnsi="Arial"/>
      <w:sz w:val="24"/>
    </w:rPr>
  </w:style>
  <w:style w:type="paragraph" w:styleId="40">
    <w:name w:val="HTML Preformatted"/>
    <w:basedOn w:val="1"/>
    <w:link w:val="8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41">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2">
    <w:name w:val="index 1"/>
    <w:basedOn w:val="1"/>
    <w:next w:val="1"/>
    <w:qFormat/>
    <w:uiPriority w:val="0"/>
    <w:pPr>
      <w:spacing w:line="220" w:lineRule="exact"/>
      <w:jc w:val="center"/>
    </w:pPr>
    <w:rPr>
      <w:rFonts w:ascii="仿宋_GB2312" w:eastAsia="仿宋_GB2312"/>
      <w:szCs w:val="20"/>
    </w:rPr>
  </w:style>
  <w:style w:type="paragraph" w:styleId="43">
    <w:name w:val="Title"/>
    <w:basedOn w:val="1"/>
    <w:link w:val="87"/>
    <w:qFormat/>
    <w:uiPriority w:val="0"/>
    <w:pPr>
      <w:jc w:val="center"/>
      <w:outlineLvl w:val="0"/>
    </w:pPr>
    <w:rPr>
      <w:b/>
      <w:kern w:val="0"/>
      <w:sz w:val="32"/>
      <w:szCs w:val="20"/>
    </w:rPr>
  </w:style>
  <w:style w:type="paragraph" w:styleId="44">
    <w:name w:val="annotation subject"/>
    <w:basedOn w:val="15"/>
    <w:next w:val="15"/>
    <w:link w:val="88"/>
    <w:qFormat/>
    <w:uiPriority w:val="0"/>
    <w:rPr>
      <w:b/>
      <w:bCs/>
    </w:rPr>
  </w:style>
  <w:style w:type="paragraph" w:styleId="45">
    <w:name w:val="Body Text First Indent"/>
    <w:unhideWhenUsed/>
    <w:qFormat/>
    <w:uiPriority w:val="99"/>
    <w:pPr>
      <w:kinsoku w:val="0"/>
      <w:autoSpaceDE w:val="0"/>
      <w:autoSpaceDN w:val="0"/>
      <w:adjustRightInd w:val="0"/>
      <w:snapToGrid w:val="0"/>
      <w:spacing w:line="240" w:lineRule="auto"/>
      <w:ind w:firstLine="420" w:firstLineChars="100"/>
      <w:jc w:val="left"/>
      <w:textAlignment w:val="baseline"/>
    </w:pPr>
    <w:rPr>
      <w:rFonts w:ascii="Arial" w:hAnsi="Arial" w:eastAsia="Arial" w:cs="Arial"/>
      <w:snapToGrid w:val="0"/>
      <w:color w:val="000000"/>
      <w:kern w:val="0"/>
      <w:sz w:val="21"/>
      <w:szCs w:val="21"/>
      <w:lang w:val="en-US" w:eastAsia="en-US" w:bidi="ar-SA"/>
    </w:rPr>
  </w:style>
  <w:style w:type="paragraph" w:styleId="46">
    <w:name w:val="Body Text First Indent 2"/>
    <w:basedOn w:val="19"/>
    <w:next w:val="1"/>
    <w:link w:val="89"/>
    <w:qFormat/>
    <w:uiPriority w:val="0"/>
    <w:pPr>
      <w:ind w:firstLine="420" w:firstLineChars="200"/>
    </w:pPr>
  </w:style>
  <w:style w:type="table" w:styleId="48">
    <w:name w:val="Table Grid"/>
    <w:basedOn w:val="4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0"/>
    <w:rPr>
      <w:b/>
      <w:bCs/>
    </w:rPr>
  </w:style>
  <w:style w:type="character" w:styleId="51">
    <w:name w:val="page number"/>
    <w:qFormat/>
    <w:uiPriority w:val="0"/>
  </w:style>
  <w:style w:type="character" w:styleId="52">
    <w:name w:val="FollowedHyperlink"/>
    <w:qFormat/>
    <w:uiPriority w:val="99"/>
    <w:rPr>
      <w:color w:val="800080"/>
      <w:u w:val="single"/>
    </w:rPr>
  </w:style>
  <w:style w:type="character" w:styleId="53">
    <w:name w:val="Emphasis"/>
    <w:qFormat/>
    <w:uiPriority w:val="0"/>
  </w:style>
  <w:style w:type="character" w:styleId="54">
    <w:name w:val="Hyperlink"/>
    <w:basedOn w:val="49"/>
    <w:qFormat/>
    <w:uiPriority w:val="99"/>
    <w:rPr>
      <w:color w:val="136EC2"/>
      <w:u w:val="single"/>
    </w:rPr>
  </w:style>
  <w:style w:type="character" w:styleId="55">
    <w:name w:val="annotation reference"/>
    <w:qFormat/>
    <w:uiPriority w:val="0"/>
    <w:rPr>
      <w:sz w:val="21"/>
      <w:szCs w:val="21"/>
    </w:rPr>
  </w:style>
  <w:style w:type="paragraph" w:customStyle="1" w:styleId="56">
    <w:name w:val="首行缩进"/>
    <w:next w:val="32"/>
    <w:qFormat/>
    <w:uiPriority w:val="0"/>
    <w:pPr>
      <w:widowControl w:val="0"/>
      <w:ind w:firstLine="480" w:firstLineChars="200"/>
      <w:jc w:val="both"/>
    </w:pPr>
    <w:rPr>
      <w:rFonts w:ascii="Times New Roman" w:hAnsi="Times New Roman" w:eastAsia="宋体" w:cs="Times New Roman"/>
      <w:kern w:val="0"/>
      <w:sz w:val="21"/>
      <w:szCs w:val="20"/>
      <w:lang w:val="zh-CN" w:eastAsia="zh-CN" w:bidi="ar-SA"/>
    </w:rPr>
  </w:style>
  <w:style w:type="character" w:customStyle="1" w:styleId="57">
    <w:name w:val="标题 2 字符"/>
    <w:link w:val="4"/>
    <w:qFormat/>
    <w:uiPriority w:val="9"/>
    <w:rPr>
      <w:rFonts w:ascii="Arial" w:hAnsi="Arial" w:eastAsia="宋体" w:cs="Times New Roman"/>
      <w:b/>
      <w:bCs/>
      <w:sz w:val="24"/>
      <w:szCs w:val="32"/>
    </w:rPr>
  </w:style>
  <w:style w:type="character" w:customStyle="1" w:styleId="58">
    <w:name w:val="标题 1 字符"/>
    <w:link w:val="3"/>
    <w:qFormat/>
    <w:uiPriority w:val="9"/>
    <w:rPr>
      <w:rFonts w:ascii="Times New Roman" w:hAnsi="Times New Roman" w:eastAsia="宋体" w:cs="Times New Roman"/>
      <w:b/>
      <w:bCs/>
      <w:sz w:val="24"/>
      <w:szCs w:val="20"/>
    </w:rPr>
  </w:style>
  <w:style w:type="character" w:customStyle="1" w:styleId="59">
    <w:name w:val="标题 4 字符"/>
    <w:link w:val="6"/>
    <w:qFormat/>
    <w:uiPriority w:val="0"/>
    <w:rPr>
      <w:rFonts w:ascii="Arial" w:hAnsi="Arial" w:eastAsia="黑体" w:cs="Times New Roman"/>
      <w:b/>
      <w:bCs/>
      <w:sz w:val="28"/>
      <w:szCs w:val="28"/>
    </w:rPr>
  </w:style>
  <w:style w:type="paragraph" w:customStyle="1" w:styleId="60">
    <w:name w:val="1"/>
    <w:basedOn w:val="61"/>
    <w:next w:val="19"/>
    <w:qFormat/>
    <w:uiPriority w:val="0"/>
    <w:pPr>
      <w:spacing w:afterLines="50" w:line="360" w:lineRule="auto"/>
    </w:pPr>
    <w:rPr>
      <w:rFonts w:ascii="宋体" w:hAnsi="宋体"/>
      <w:b/>
      <w:sz w:val="30"/>
      <w:szCs w:val="21"/>
    </w:rPr>
  </w:style>
  <w:style w:type="paragraph" w:customStyle="1" w:styleId="61">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2">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63">
    <w:name w:val="font5"/>
    <w:basedOn w:val="1"/>
    <w:qFormat/>
    <w:uiPriority w:val="0"/>
    <w:pPr>
      <w:widowControl/>
      <w:spacing w:before="100" w:beforeAutospacing="1" w:after="100" w:afterAutospacing="1"/>
      <w:jc w:val="left"/>
    </w:pPr>
    <w:rPr>
      <w:rFonts w:ascii="宋体" w:hAnsi="宋体" w:cs="宋体"/>
      <w:kern w:val="0"/>
      <w:sz w:val="20"/>
      <w:szCs w:val="20"/>
    </w:rPr>
  </w:style>
  <w:style w:type="character" w:customStyle="1" w:styleId="64">
    <w:name w:val="标题 3 字符"/>
    <w:link w:val="5"/>
    <w:qFormat/>
    <w:uiPriority w:val="9"/>
    <w:rPr>
      <w:rFonts w:ascii="Times New Roman" w:hAnsi="Times New Roman" w:eastAsia="宋体" w:cs="Times New Roman"/>
      <w:b/>
      <w:bCs/>
      <w:sz w:val="32"/>
      <w:szCs w:val="32"/>
    </w:rPr>
  </w:style>
  <w:style w:type="character" w:customStyle="1" w:styleId="65">
    <w:name w:val="标题 5 字符"/>
    <w:link w:val="7"/>
    <w:qFormat/>
    <w:uiPriority w:val="0"/>
    <w:rPr>
      <w:rFonts w:ascii="Times New Roman" w:hAnsi="Times New Roman" w:eastAsia="宋体" w:cs="Times New Roman"/>
      <w:b/>
      <w:bCs/>
      <w:kern w:val="0"/>
      <w:sz w:val="28"/>
      <w:szCs w:val="28"/>
    </w:rPr>
  </w:style>
  <w:style w:type="character" w:customStyle="1" w:styleId="66">
    <w:name w:val="标题 6 字符"/>
    <w:link w:val="8"/>
    <w:qFormat/>
    <w:uiPriority w:val="0"/>
    <w:rPr>
      <w:rFonts w:ascii="Arial" w:hAnsi="Arial" w:eastAsia="黑体" w:cs="Times New Roman"/>
      <w:b/>
      <w:bCs/>
      <w:kern w:val="0"/>
      <w:sz w:val="24"/>
      <w:szCs w:val="24"/>
    </w:rPr>
  </w:style>
  <w:style w:type="character" w:customStyle="1" w:styleId="67">
    <w:name w:val="标题 7 字符"/>
    <w:link w:val="9"/>
    <w:qFormat/>
    <w:uiPriority w:val="0"/>
    <w:rPr>
      <w:rFonts w:ascii="Times New Roman" w:hAnsi="Times New Roman" w:eastAsia="宋体" w:cs="Times New Roman"/>
      <w:b/>
      <w:bCs/>
      <w:kern w:val="0"/>
      <w:sz w:val="24"/>
      <w:szCs w:val="24"/>
    </w:rPr>
  </w:style>
  <w:style w:type="character" w:customStyle="1" w:styleId="68">
    <w:name w:val="标题 8 字符"/>
    <w:link w:val="10"/>
    <w:qFormat/>
    <w:uiPriority w:val="0"/>
    <w:rPr>
      <w:rFonts w:ascii="Arial" w:hAnsi="Arial" w:eastAsia="黑体" w:cs="Times New Roman"/>
      <w:kern w:val="0"/>
      <w:sz w:val="24"/>
      <w:szCs w:val="24"/>
    </w:rPr>
  </w:style>
  <w:style w:type="character" w:customStyle="1" w:styleId="69">
    <w:name w:val="标题 9 字符"/>
    <w:link w:val="11"/>
    <w:qFormat/>
    <w:uiPriority w:val="0"/>
    <w:rPr>
      <w:rFonts w:ascii="Arial" w:hAnsi="Arial" w:eastAsia="黑体" w:cs="Times New Roman"/>
      <w:kern w:val="0"/>
      <w:szCs w:val="21"/>
    </w:rPr>
  </w:style>
  <w:style w:type="character" w:customStyle="1" w:styleId="70">
    <w:name w:val="文档结构图 字符"/>
    <w:link w:val="14"/>
    <w:semiHidden/>
    <w:qFormat/>
    <w:uiPriority w:val="99"/>
    <w:rPr>
      <w:rFonts w:ascii="Times New Roman" w:hAnsi="Times New Roman" w:eastAsia="宋体" w:cs="Times New Roman"/>
      <w:szCs w:val="24"/>
      <w:shd w:val="clear" w:color="auto" w:fill="000080"/>
    </w:rPr>
  </w:style>
  <w:style w:type="character" w:customStyle="1" w:styleId="71">
    <w:name w:val="批注文字 字符"/>
    <w:link w:val="15"/>
    <w:semiHidden/>
    <w:qFormat/>
    <w:uiPriority w:val="0"/>
    <w:rPr>
      <w:rFonts w:ascii="Times New Roman" w:hAnsi="Times New Roman" w:eastAsia="宋体" w:cs="Times New Roman"/>
      <w:szCs w:val="24"/>
    </w:rPr>
  </w:style>
  <w:style w:type="character" w:customStyle="1" w:styleId="72">
    <w:name w:val="称呼 字符"/>
    <w:link w:val="16"/>
    <w:qFormat/>
    <w:uiPriority w:val="0"/>
    <w:rPr>
      <w:rFonts w:ascii="仿宋_GB2312" w:hAnsi="Times New Roman" w:eastAsia="仿宋_GB2312" w:cs="Times New Roman"/>
      <w:sz w:val="24"/>
      <w:szCs w:val="24"/>
    </w:rPr>
  </w:style>
  <w:style w:type="character" w:customStyle="1" w:styleId="73">
    <w:name w:val="正文文本 3 字符"/>
    <w:basedOn w:val="49"/>
    <w:link w:val="17"/>
    <w:qFormat/>
    <w:uiPriority w:val="0"/>
    <w:rPr>
      <w:kern w:val="2"/>
      <w:sz w:val="16"/>
      <w:szCs w:val="16"/>
    </w:rPr>
  </w:style>
  <w:style w:type="character" w:customStyle="1" w:styleId="74">
    <w:name w:val="正文文本缩进 字符"/>
    <w:link w:val="19"/>
    <w:qFormat/>
    <w:uiPriority w:val="99"/>
    <w:rPr>
      <w:rFonts w:ascii="Times New Roman" w:hAnsi="Times New Roman" w:eastAsia="宋体" w:cs="Times New Roman"/>
      <w:szCs w:val="24"/>
    </w:rPr>
  </w:style>
  <w:style w:type="character" w:customStyle="1" w:styleId="75">
    <w:name w:val="正文文本 字符"/>
    <w:link w:val="18"/>
    <w:qFormat/>
    <w:uiPriority w:val="99"/>
    <w:rPr>
      <w:rFonts w:ascii="Times New Roman" w:hAnsi="Times New Roman" w:eastAsia="宋体" w:cs="Times New Roman"/>
      <w:szCs w:val="24"/>
    </w:rPr>
  </w:style>
  <w:style w:type="character" w:customStyle="1" w:styleId="76">
    <w:name w:val="纯文本 字符"/>
    <w:link w:val="24"/>
    <w:qFormat/>
    <w:uiPriority w:val="0"/>
    <w:rPr>
      <w:rFonts w:ascii="宋体" w:hAnsi="Courier New" w:eastAsia="宋体" w:cs="Courier New"/>
      <w:szCs w:val="21"/>
    </w:rPr>
  </w:style>
  <w:style w:type="character" w:customStyle="1" w:styleId="77">
    <w:name w:val="日期 字符"/>
    <w:link w:val="26"/>
    <w:qFormat/>
    <w:uiPriority w:val="0"/>
    <w:rPr>
      <w:rFonts w:ascii="Times New Roman" w:hAnsi="Times New Roman" w:eastAsia="宋体" w:cs="Times New Roman"/>
      <w:sz w:val="24"/>
      <w:szCs w:val="20"/>
    </w:rPr>
  </w:style>
  <w:style w:type="character" w:customStyle="1" w:styleId="78">
    <w:name w:val="正文文本缩进 2 字符"/>
    <w:link w:val="20"/>
    <w:qFormat/>
    <w:uiPriority w:val="0"/>
    <w:rPr>
      <w:rFonts w:ascii="Times New Roman" w:hAnsi="Times New Roman" w:eastAsia="宋体" w:cs="Times New Roman"/>
      <w:szCs w:val="24"/>
    </w:rPr>
  </w:style>
  <w:style w:type="character" w:customStyle="1" w:styleId="79">
    <w:name w:val="批注框文本 字符"/>
    <w:link w:val="27"/>
    <w:qFormat/>
    <w:uiPriority w:val="0"/>
    <w:rPr>
      <w:rFonts w:ascii="Times New Roman" w:hAnsi="Times New Roman" w:eastAsia="宋体" w:cs="Times New Roman"/>
      <w:sz w:val="18"/>
      <w:szCs w:val="18"/>
    </w:rPr>
  </w:style>
  <w:style w:type="character" w:customStyle="1" w:styleId="80">
    <w:name w:val="页脚 字符1"/>
    <w:link w:val="28"/>
    <w:qFormat/>
    <w:uiPriority w:val="0"/>
    <w:rPr>
      <w:rFonts w:ascii="Times New Roman" w:hAnsi="Times New Roman" w:eastAsia="宋体" w:cs="Times New Roman"/>
      <w:sz w:val="18"/>
      <w:szCs w:val="18"/>
    </w:rPr>
  </w:style>
  <w:style w:type="character" w:customStyle="1" w:styleId="81">
    <w:name w:val="页眉 字符"/>
    <w:link w:val="30"/>
    <w:qFormat/>
    <w:uiPriority w:val="0"/>
    <w:rPr>
      <w:rFonts w:ascii="Times New Roman" w:hAnsi="Times New Roman" w:eastAsia="宋体" w:cs="Times New Roman"/>
      <w:sz w:val="18"/>
      <w:szCs w:val="18"/>
    </w:rPr>
  </w:style>
  <w:style w:type="character" w:customStyle="1" w:styleId="82">
    <w:name w:val="脚注文本 字符"/>
    <w:link w:val="34"/>
    <w:semiHidden/>
    <w:qFormat/>
    <w:uiPriority w:val="99"/>
    <w:rPr>
      <w:kern w:val="2"/>
      <w:sz w:val="18"/>
      <w:szCs w:val="18"/>
    </w:rPr>
  </w:style>
  <w:style w:type="character" w:customStyle="1" w:styleId="83">
    <w:name w:val="正文文本缩进 3 字符"/>
    <w:link w:val="36"/>
    <w:qFormat/>
    <w:uiPriority w:val="0"/>
    <w:rPr>
      <w:rFonts w:ascii="Times New Roman" w:hAnsi="Times New Roman" w:eastAsia="宋体" w:cs="Times New Roman"/>
      <w:sz w:val="16"/>
      <w:szCs w:val="16"/>
    </w:rPr>
  </w:style>
  <w:style w:type="character" w:customStyle="1" w:styleId="84">
    <w:name w:val="正文文本 2 字符"/>
    <w:link w:val="2"/>
    <w:qFormat/>
    <w:uiPriority w:val="0"/>
    <w:rPr>
      <w:rFonts w:ascii="Times New Roman" w:hAnsi="Times New Roman" w:eastAsia="宋体" w:cs="Times New Roman"/>
      <w:szCs w:val="24"/>
    </w:rPr>
  </w:style>
  <w:style w:type="character" w:customStyle="1" w:styleId="85">
    <w:name w:val="信息标题 字符"/>
    <w:link w:val="39"/>
    <w:qFormat/>
    <w:uiPriority w:val="99"/>
    <w:rPr>
      <w:rFonts w:ascii="Arial" w:hAnsi="Arial"/>
      <w:kern w:val="2"/>
      <w:sz w:val="24"/>
      <w:szCs w:val="24"/>
      <w:shd w:val="pct20" w:color="auto" w:fill="auto"/>
    </w:rPr>
  </w:style>
  <w:style w:type="character" w:customStyle="1" w:styleId="86">
    <w:name w:val="HTML 预设格式 字符"/>
    <w:link w:val="40"/>
    <w:qFormat/>
    <w:uiPriority w:val="0"/>
    <w:rPr>
      <w:rFonts w:ascii="Arial" w:hAnsi="Arial" w:eastAsia="宋体" w:cs="Arial"/>
      <w:kern w:val="0"/>
      <w:sz w:val="24"/>
      <w:szCs w:val="24"/>
    </w:rPr>
  </w:style>
  <w:style w:type="character" w:customStyle="1" w:styleId="87">
    <w:name w:val="标题 字符"/>
    <w:link w:val="43"/>
    <w:qFormat/>
    <w:uiPriority w:val="0"/>
    <w:rPr>
      <w:b/>
      <w:sz w:val="32"/>
    </w:rPr>
  </w:style>
  <w:style w:type="character" w:customStyle="1" w:styleId="88">
    <w:name w:val="批注主题 字符"/>
    <w:link w:val="44"/>
    <w:qFormat/>
    <w:uiPriority w:val="0"/>
    <w:rPr>
      <w:rFonts w:ascii="Times New Roman" w:hAnsi="Times New Roman" w:eastAsia="宋体" w:cs="Times New Roman"/>
      <w:b/>
      <w:bCs/>
      <w:szCs w:val="24"/>
    </w:rPr>
  </w:style>
  <w:style w:type="character" w:customStyle="1" w:styleId="89">
    <w:name w:val="正文首行缩进 2 字符"/>
    <w:basedOn w:val="74"/>
    <w:link w:val="46"/>
    <w:qFormat/>
    <w:uiPriority w:val="0"/>
    <w:rPr>
      <w:rFonts w:ascii="Times New Roman" w:hAnsi="Times New Roman" w:eastAsia="宋体" w:cs="Times New Roman"/>
      <w:szCs w:val="24"/>
    </w:rPr>
  </w:style>
  <w:style w:type="character" w:customStyle="1" w:styleId="90">
    <w:name w:val="font01"/>
    <w:qFormat/>
    <w:uiPriority w:val="0"/>
    <w:rPr>
      <w:rFonts w:hint="eastAsia" w:ascii="宋体" w:hAnsi="宋体" w:eastAsia="宋体" w:cs="宋体"/>
      <w:color w:val="auto"/>
      <w:sz w:val="24"/>
      <w:szCs w:val="24"/>
      <w:u w:val="none"/>
    </w:rPr>
  </w:style>
  <w:style w:type="character" w:customStyle="1" w:styleId="91">
    <w:name w:val="fontstyle31"/>
    <w:qFormat/>
    <w:uiPriority w:val="0"/>
    <w:rPr>
      <w:rFonts w:hint="default" w:ascii="Arial" w:hAnsi="Arial" w:cs="Arial"/>
      <w:color w:val="993300"/>
      <w:sz w:val="24"/>
      <w:szCs w:val="24"/>
    </w:rPr>
  </w:style>
  <w:style w:type="character" w:customStyle="1" w:styleId="92">
    <w:name w:val="font131"/>
    <w:basedOn w:val="49"/>
    <w:qFormat/>
    <w:uiPriority w:val="0"/>
    <w:rPr>
      <w:rFonts w:hint="eastAsia" w:ascii="宋体" w:hAnsi="宋体" w:eastAsia="宋体" w:cs="宋体"/>
      <w:b/>
      <w:color w:val="000000"/>
      <w:sz w:val="24"/>
      <w:szCs w:val="24"/>
      <w:u w:val="none"/>
    </w:rPr>
  </w:style>
  <w:style w:type="character" w:customStyle="1" w:styleId="93">
    <w:name w:val="font81"/>
    <w:qFormat/>
    <w:uiPriority w:val="0"/>
    <w:rPr>
      <w:rFonts w:hint="eastAsia" w:ascii="微软雅黑" w:hAnsi="微软雅黑" w:eastAsia="微软雅黑" w:cs="微软雅黑"/>
      <w:color w:val="000000"/>
      <w:sz w:val="22"/>
      <w:szCs w:val="22"/>
      <w:u w:val="none"/>
    </w:rPr>
  </w:style>
  <w:style w:type="character" w:customStyle="1" w:styleId="94">
    <w:name w:val="font91"/>
    <w:qFormat/>
    <w:uiPriority w:val="0"/>
    <w:rPr>
      <w:rFonts w:hint="default" w:ascii="微软雅黑 Light" w:hAnsi="微软雅黑 Light" w:eastAsia="微软雅黑 Light" w:cs="微软雅黑 Light"/>
      <w:b/>
      <w:color w:val="000000"/>
      <w:sz w:val="22"/>
      <w:szCs w:val="22"/>
      <w:u w:val="none"/>
    </w:rPr>
  </w:style>
  <w:style w:type="character" w:customStyle="1" w:styleId="95">
    <w:name w:val="样式1 Char Char"/>
    <w:link w:val="96"/>
    <w:qFormat/>
    <w:uiPriority w:val="0"/>
    <w:rPr>
      <w:rFonts w:ascii="宋体" w:hAnsi="宋体" w:eastAsia="宋体" w:cs="Times New Roman"/>
      <w:kern w:val="0"/>
      <w:szCs w:val="21"/>
    </w:rPr>
  </w:style>
  <w:style w:type="paragraph" w:customStyle="1" w:styleId="96">
    <w:name w:val="样式1"/>
    <w:basedOn w:val="1"/>
    <w:link w:val="95"/>
    <w:qFormat/>
    <w:uiPriority w:val="0"/>
    <w:pPr>
      <w:tabs>
        <w:tab w:val="left" w:pos="360"/>
      </w:tabs>
      <w:adjustRightInd w:val="0"/>
      <w:ind w:left="360" w:hanging="360"/>
      <w:textAlignment w:val="baseline"/>
    </w:pPr>
    <w:rPr>
      <w:rFonts w:ascii="宋体" w:hAnsi="宋体"/>
      <w:kern w:val="0"/>
      <w:sz w:val="20"/>
      <w:szCs w:val="21"/>
    </w:rPr>
  </w:style>
  <w:style w:type="character" w:customStyle="1" w:styleId="97">
    <w:name w:val="font51"/>
    <w:basedOn w:val="49"/>
    <w:qFormat/>
    <w:uiPriority w:val="0"/>
    <w:rPr>
      <w:rFonts w:hint="default" w:ascii="微软雅黑 Light" w:hAnsi="微软雅黑 Light" w:eastAsia="微软雅黑 Light" w:cs="微软雅黑 Light"/>
      <w:b/>
      <w:color w:val="000000"/>
      <w:sz w:val="22"/>
      <w:szCs w:val="22"/>
      <w:u w:val="none"/>
    </w:rPr>
  </w:style>
  <w:style w:type="character" w:customStyle="1" w:styleId="98">
    <w:name w:val="font121"/>
    <w:qFormat/>
    <w:uiPriority w:val="0"/>
    <w:rPr>
      <w:rFonts w:hint="eastAsia" w:ascii="等线" w:hAnsi="等线" w:eastAsia="等线" w:cs="等线"/>
      <w:b/>
      <w:color w:val="000000"/>
      <w:sz w:val="24"/>
      <w:szCs w:val="24"/>
      <w:u w:val="none"/>
    </w:rPr>
  </w:style>
  <w:style w:type="character" w:customStyle="1" w:styleId="99">
    <w:name w:val="fontstyle21"/>
    <w:qFormat/>
    <w:uiPriority w:val="0"/>
    <w:rPr>
      <w:rFonts w:hint="eastAsia" w:ascii="宋体" w:hAnsi="宋体" w:eastAsia="宋体"/>
      <w:color w:val="993300"/>
      <w:sz w:val="24"/>
      <w:szCs w:val="24"/>
    </w:rPr>
  </w:style>
  <w:style w:type="character" w:customStyle="1" w:styleId="100">
    <w:name w:val="font21"/>
    <w:basedOn w:val="49"/>
    <w:qFormat/>
    <w:uiPriority w:val="0"/>
    <w:rPr>
      <w:rFonts w:hint="eastAsia" w:ascii="宋体" w:hAnsi="宋体" w:eastAsia="宋体" w:cs="宋体"/>
      <w:color w:val="000000"/>
      <w:sz w:val="22"/>
      <w:szCs w:val="22"/>
      <w:u w:val="none"/>
    </w:rPr>
  </w:style>
  <w:style w:type="character" w:customStyle="1" w:styleId="101">
    <w:name w:val="列出段落 Char"/>
    <w:link w:val="102"/>
    <w:qFormat/>
    <w:uiPriority w:val="0"/>
    <w:rPr>
      <w:rFonts w:ascii="Times New Roman" w:hAnsi="Times New Roman" w:eastAsia="宋体" w:cs="Times New Roman"/>
      <w:szCs w:val="24"/>
    </w:rPr>
  </w:style>
  <w:style w:type="paragraph" w:customStyle="1" w:styleId="102">
    <w:name w:val="列出段落1"/>
    <w:basedOn w:val="103"/>
    <w:link w:val="101"/>
    <w:qFormat/>
    <w:uiPriority w:val="34"/>
    <w:pPr>
      <w:ind w:firstLine="420" w:firstLineChars="200"/>
    </w:pPr>
    <w:rPr>
      <w:kern w:val="0"/>
      <w:sz w:val="20"/>
    </w:rPr>
  </w:style>
  <w:style w:type="paragraph" w:customStyle="1" w:styleId="103">
    <w:name w:val="正文_4"/>
    <w:next w:val="104"/>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4">
    <w:name w:val="正文文本_4"/>
    <w:basedOn w:val="103"/>
    <w:qFormat/>
    <w:uiPriority w:val="0"/>
    <w:pPr>
      <w:spacing w:after="120"/>
    </w:pPr>
  </w:style>
  <w:style w:type="paragraph" w:customStyle="1" w:styleId="105">
    <w:name w:val="正文1"/>
    <w:next w:val="106"/>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06">
    <w:name w:val="脚注文本1"/>
    <w:basedOn w:val="105"/>
    <w:next w:val="107"/>
    <w:qFormat/>
    <w:uiPriority w:val="0"/>
    <w:pPr>
      <w:jc w:val="left"/>
    </w:pPr>
    <w:rPr>
      <w:rFonts w:ascii="宋体" w:eastAsia="Times New Roman"/>
      <w:sz w:val="18"/>
      <w:szCs w:val="18"/>
    </w:rPr>
  </w:style>
  <w:style w:type="paragraph" w:customStyle="1" w:styleId="107">
    <w:name w:val="索引 51"/>
    <w:basedOn w:val="105"/>
    <w:next w:val="105"/>
    <w:qFormat/>
    <w:uiPriority w:val="0"/>
    <w:pPr>
      <w:ind w:left="798"/>
      <w:jc w:val="left"/>
    </w:pPr>
    <w:rPr>
      <w:rFonts w:ascii="Calibri" w:hAnsi="Calibri"/>
    </w:rPr>
  </w:style>
  <w:style w:type="character" w:customStyle="1" w:styleId="108">
    <w:name w:val="font61"/>
    <w:qFormat/>
    <w:uiPriority w:val="0"/>
    <w:rPr>
      <w:rFonts w:hint="default" w:ascii="Times New Roman" w:hAnsi="Times New Roman" w:cs="Times New Roman"/>
      <w:color w:val="auto"/>
      <w:sz w:val="24"/>
      <w:szCs w:val="24"/>
      <w:u w:val="none"/>
    </w:rPr>
  </w:style>
  <w:style w:type="character" w:customStyle="1" w:styleId="109">
    <w:name w:val="DMT-正文样式1 字符"/>
    <w:link w:val="110"/>
    <w:qFormat/>
    <w:uiPriority w:val="0"/>
    <w:rPr>
      <w:sz w:val="28"/>
    </w:rPr>
  </w:style>
  <w:style w:type="paragraph" w:customStyle="1" w:styleId="110">
    <w:name w:val="DMT-正文样式1"/>
    <w:basedOn w:val="1"/>
    <w:link w:val="109"/>
    <w:qFormat/>
    <w:uiPriority w:val="0"/>
    <w:pPr>
      <w:spacing w:beforeLines="50" w:afterLines="50" w:line="360" w:lineRule="auto"/>
      <w:ind w:firstLine="200" w:firstLineChars="200"/>
    </w:pPr>
    <w:rPr>
      <w:kern w:val="0"/>
      <w:sz w:val="28"/>
      <w:szCs w:val="20"/>
    </w:rPr>
  </w:style>
  <w:style w:type="character" w:customStyle="1" w:styleId="111">
    <w:name w:val="font41"/>
    <w:qFormat/>
    <w:uiPriority w:val="0"/>
    <w:rPr>
      <w:rFonts w:hint="eastAsia" w:ascii="宋体" w:hAnsi="宋体" w:eastAsia="宋体" w:cs="宋体"/>
      <w:color w:val="000000"/>
      <w:sz w:val="24"/>
      <w:szCs w:val="24"/>
      <w:u w:val="none"/>
    </w:rPr>
  </w:style>
  <w:style w:type="character" w:customStyle="1" w:styleId="112">
    <w:name w:val="NormalCharacter"/>
    <w:qFormat/>
    <w:uiPriority w:val="0"/>
  </w:style>
  <w:style w:type="character" w:customStyle="1" w:styleId="113">
    <w:name w:val="fontstyle01"/>
    <w:qFormat/>
    <w:uiPriority w:val="0"/>
    <w:rPr>
      <w:rFonts w:hint="eastAsia" w:ascii="宋体" w:hAnsi="宋体" w:eastAsia="宋体"/>
      <w:color w:val="000000"/>
      <w:sz w:val="24"/>
      <w:szCs w:val="24"/>
    </w:rPr>
  </w:style>
  <w:style w:type="character" w:customStyle="1" w:styleId="114">
    <w:name w:val="p0 Char"/>
    <w:link w:val="115"/>
    <w:qFormat/>
    <w:uiPriority w:val="0"/>
    <w:rPr>
      <w:rFonts w:eastAsia="宋体"/>
      <w:szCs w:val="21"/>
    </w:rPr>
  </w:style>
  <w:style w:type="paragraph" w:customStyle="1" w:styleId="115">
    <w:name w:val="p0"/>
    <w:basedOn w:val="1"/>
    <w:link w:val="114"/>
    <w:qFormat/>
    <w:uiPriority w:val="0"/>
    <w:pPr>
      <w:widowControl/>
    </w:pPr>
    <w:rPr>
      <w:kern w:val="0"/>
      <w:sz w:val="20"/>
      <w:szCs w:val="21"/>
    </w:rPr>
  </w:style>
  <w:style w:type="character" w:customStyle="1" w:styleId="116">
    <w:name w:val="font71"/>
    <w:qFormat/>
    <w:uiPriority w:val="0"/>
    <w:rPr>
      <w:rFonts w:hint="eastAsia" w:ascii="宋体" w:hAnsi="宋体" w:eastAsia="宋体" w:cs="宋体"/>
      <w:color w:val="auto"/>
      <w:sz w:val="24"/>
      <w:szCs w:val="24"/>
      <w:u w:val="none"/>
    </w:rPr>
  </w:style>
  <w:style w:type="character" w:customStyle="1" w:styleId="117">
    <w:name w:val="页脚 字符"/>
    <w:qFormat/>
    <w:uiPriority w:val="99"/>
  </w:style>
  <w:style w:type="character" w:customStyle="1" w:styleId="118">
    <w:name w:val="标题 Char1"/>
    <w:qFormat/>
    <w:uiPriority w:val="10"/>
    <w:rPr>
      <w:rFonts w:ascii="Cambria" w:hAnsi="Cambria" w:eastAsia="宋体" w:cs="黑体"/>
      <w:b/>
      <w:bCs/>
      <w:sz w:val="32"/>
      <w:szCs w:val="32"/>
    </w:rPr>
  </w:style>
  <w:style w:type="character" w:customStyle="1" w:styleId="119">
    <w:name w:val="font161"/>
    <w:qFormat/>
    <w:uiPriority w:val="0"/>
    <w:rPr>
      <w:rFonts w:hint="eastAsia" w:ascii="等线" w:hAnsi="等线" w:eastAsia="等线" w:cs="等线"/>
      <w:color w:val="000000"/>
      <w:sz w:val="24"/>
      <w:szCs w:val="24"/>
      <w:u w:val="none"/>
    </w:rPr>
  </w:style>
  <w:style w:type="character" w:customStyle="1" w:styleId="120">
    <w:name w:val="fontstyle11"/>
    <w:qFormat/>
    <w:uiPriority w:val="0"/>
    <w:rPr>
      <w:rFonts w:hint="default" w:ascii="TimesNewRomanPSMT" w:hAnsi="TimesNewRomanPSMT"/>
      <w:color w:val="000000"/>
      <w:sz w:val="24"/>
      <w:szCs w:val="24"/>
    </w:rPr>
  </w:style>
  <w:style w:type="character" w:customStyle="1" w:styleId="121">
    <w:name w:val="font151"/>
    <w:qFormat/>
    <w:uiPriority w:val="0"/>
    <w:rPr>
      <w:rFonts w:hint="default" w:ascii="Times New Roman" w:hAnsi="Times New Roman" w:cs="Times New Roman"/>
      <w:color w:val="000000"/>
      <w:sz w:val="14"/>
      <w:szCs w:val="14"/>
      <w:u w:val="none"/>
    </w:rPr>
  </w:style>
  <w:style w:type="character" w:customStyle="1" w:styleId="122">
    <w:name w:val="批注文字 Char"/>
    <w:qFormat/>
    <w:uiPriority w:val="0"/>
    <w:rPr>
      <w:rFonts w:ascii="Times New Roman" w:hAnsi="Times New Roman" w:eastAsia="宋体" w:cs="Times New Roman"/>
      <w:szCs w:val="24"/>
    </w:rPr>
  </w:style>
  <w:style w:type="paragraph" w:customStyle="1" w:styleId="123">
    <w:name w:val="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124">
    <w:name w:val="xl87"/>
    <w:basedOn w:val="1"/>
    <w:qFormat/>
    <w:uiPriority w:val="0"/>
    <w:pPr>
      <w:widowControl/>
      <w:pBdr>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20"/>
      <w:szCs w:val="20"/>
    </w:rPr>
  </w:style>
  <w:style w:type="paragraph" w:customStyle="1" w:styleId="125">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26">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7">
    <w:name w:val="Normal_1"/>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128">
    <w:name w:val="xl91"/>
    <w:basedOn w:val="1"/>
    <w:qFormat/>
    <w:uiPriority w:val="0"/>
    <w:pPr>
      <w:widowControl/>
      <w:pBdr>
        <w:top w:val="single" w:color="000000" w:sz="4" w:space="0"/>
        <w:bottom w:val="single" w:color="000000" w:sz="4" w:space="0"/>
        <w:right w:val="single" w:color="000000" w:sz="4" w:space="0"/>
      </w:pBdr>
      <w:spacing w:before="100" w:beforeAutospacing="1" w:after="100" w:afterAutospacing="1"/>
    </w:pPr>
    <w:rPr>
      <w:rFonts w:ascii="宋体" w:hAnsi="宋体" w:cs="宋体"/>
      <w:color w:val="000000"/>
      <w:kern w:val="0"/>
      <w:sz w:val="20"/>
      <w:szCs w:val="20"/>
    </w:rPr>
  </w:style>
  <w:style w:type="paragraph" w:customStyle="1" w:styleId="129">
    <w:name w:val="样式 标题 2 + Times New Roman 四号 非加粗 段前: 5 磅 段后: 0 磅 行距: 固定值 20..."/>
    <w:basedOn w:val="4"/>
    <w:qFormat/>
    <w:uiPriority w:val="0"/>
    <w:pPr>
      <w:spacing w:before="100" w:line="400" w:lineRule="exact"/>
    </w:pPr>
    <w:rPr>
      <w:rFonts w:ascii="Times New Roman" w:hAnsi="Times New Roman" w:eastAsia="黑体"/>
      <w:b w:val="0"/>
      <w:bCs w:val="0"/>
      <w:sz w:val="28"/>
      <w:szCs w:val="20"/>
    </w:rPr>
  </w:style>
  <w:style w:type="paragraph" w:customStyle="1" w:styleId="13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0"/>
    </w:rPr>
  </w:style>
  <w:style w:type="paragraph" w:customStyle="1" w:styleId="131">
    <w:name w:val="xl25"/>
    <w:basedOn w:val="1"/>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132">
    <w:name w:val="xl90"/>
    <w:basedOn w:val="1"/>
    <w:qFormat/>
    <w:uiPriority w:val="0"/>
    <w:pPr>
      <w:widowControl/>
      <w:pBdr>
        <w:bottom w:val="single" w:color="000000" w:sz="4" w:space="0"/>
        <w:right w:val="single" w:color="000000" w:sz="4" w:space="0"/>
      </w:pBdr>
      <w:spacing w:before="100" w:beforeAutospacing="1" w:after="100" w:afterAutospacing="1"/>
      <w:jc w:val="center"/>
    </w:pPr>
    <w:rPr>
      <w:rFonts w:ascii="黑体" w:hAnsi="黑体" w:eastAsia="黑体" w:cs="宋体"/>
      <w:color w:val="000000"/>
      <w:kern w:val="0"/>
      <w:sz w:val="20"/>
      <w:szCs w:val="20"/>
    </w:rPr>
  </w:style>
  <w:style w:type="paragraph" w:customStyle="1" w:styleId="133">
    <w:name w:val="样式 样式 样式 样式 标题 2 + 宋体 五号 非加粗 黑色 + 段前: 6 磅 段后: 0 磅 行距: 单倍行距 + 段前:..."/>
    <w:basedOn w:val="1"/>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134">
    <w:name w:val="xl86"/>
    <w:basedOn w:val="1"/>
    <w:qFormat/>
    <w:uiPriority w:val="0"/>
    <w:pPr>
      <w:widowControl/>
      <w:pBdr>
        <w:bottom w:val="single" w:color="000000" w:sz="4" w:space="0"/>
        <w:right w:val="single" w:color="000000" w:sz="4" w:space="0"/>
      </w:pBdr>
      <w:spacing w:before="100" w:beforeAutospacing="1" w:after="100" w:afterAutospacing="1"/>
    </w:pPr>
    <w:rPr>
      <w:rFonts w:ascii="宋体" w:hAnsi="宋体" w:cs="宋体"/>
      <w:color w:val="000000"/>
      <w:kern w:val="0"/>
      <w:sz w:val="20"/>
      <w:szCs w:val="20"/>
    </w:rPr>
  </w:style>
  <w:style w:type="paragraph" w:customStyle="1" w:styleId="135">
    <w:name w:val="Char Char1 Char Char Char Char Char1 Char Char Char Char"/>
    <w:basedOn w:val="14"/>
    <w:qFormat/>
    <w:uiPriority w:val="0"/>
    <w:rPr>
      <w:rFonts w:ascii="Tahoma" w:hAnsi="Tahoma"/>
    </w:rPr>
  </w:style>
  <w:style w:type="paragraph" w:customStyle="1" w:styleId="136">
    <w:name w:val="_Style 113"/>
    <w:basedOn w:val="1"/>
    <w:next w:val="137"/>
    <w:qFormat/>
    <w:uiPriority w:val="34"/>
    <w:pPr>
      <w:spacing w:line="360" w:lineRule="auto"/>
      <w:ind w:firstLine="200" w:firstLineChars="200"/>
    </w:pPr>
  </w:style>
  <w:style w:type="paragraph" w:styleId="137">
    <w:name w:val="List Paragraph"/>
    <w:basedOn w:val="1"/>
    <w:qFormat/>
    <w:uiPriority w:val="99"/>
    <w:pPr>
      <w:ind w:firstLine="420" w:firstLineChars="200"/>
    </w:pPr>
    <w:rPr>
      <w:rFonts w:ascii="Arial" w:hAnsi="Arial" w:eastAsia="微软雅黑"/>
      <w:szCs w:val="22"/>
    </w:rPr>
  </w:style>
  <w:style w:type="paragraph" w:customStyle="1" w:styleId="13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39">
    <w:name w:val="Normal_2"/>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140">
    <w:name w:val="p15"/>
    <w:basedOn w:val="1"/>
    <w:qFormat/>
    <w:uiPriority w:val="0"/>
    <w:pPr>
      <w:widowControl/>
      <w:spacing w:line="220" w:lineRule="atLeast"/>
      <w:jc w:val="center"/>
    </w:pPr>
    <w:rPr>
      <w:rFonts w:ascii="仿宋_GB2312" w:hAnsi="宋体" w:eastAsia="仿宋_GB2312" w:cs="宋体"/>
      <w:kern w:val="0"/>
      <w:szCs w:val="21"/>
    </w:rPr>
  </w:style>
  <w:style w:type="paragraph" w:customStyle="1" w:styleId="141">
    <w:name w:val="xl93"/>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42">
    <w:name w:val="xl85"/>
    <w:basedOn w:val="1"/>
    <w:qFormat/>
    <w:uiPriority w:val="0"/>
    <w:pPr>
      <w:widowControl/>
      <w:pBdr>
        <w:bottom w:val="single" w:color="000000" w:sz="4" w:space="0"/>
        <w:right w:val="single" w:color="000000" w:sz="4" w:space="0"/>
      </w:pBdr>
      <w:spacing w:before="100" w:beforeAutospacing="1" w:after="100" w:afterAutospacing="1"/>
    </w:pPr>
    <w:rPr>
      <w:rFonts w:ascii="宋体" w:hAnsi="宋体" w:cs="宋体"/>
      <w:color w:val="000000"/>
      <w:kern w:val="0"/>
      <w:sz w:val="18"/>
      <w:szCs w:val="18"/>
    </w:rPr>
  </w:style>
  <w:style w:type="paragraph" w:customStyle="1" w:styleId="143">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44">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45">
    <w:name w:val="Char"/>
    <w:basedOn w:val="1"/>
    <w:qFormat/>
    <w:uiPriority w:val="0"/>
    <w:pPr>
      <w:tabs>
        <w:tab w:val="left" w:pos="360"/>
      </w:tabs>
      <w:ind w:left="360" w:hanging="360" w:hangingChars="200"/>
    </w:pPr>
    <w:rPr>
      <w:sz w:val="24"/>
    </w:rPr>
  </w:style>
  <w:style w:type="paragraph" w:customStyle="1" w:styleId="146">
    <w:name w:val="xl67"/>
    <w:basedOn w:val="1"/>
    <w:qFormat/>
    <w:uiPriority w:val="0"/>
    <w:pPr>
      <w:widowControl/>
      <w:pBdr>
        <w:top w:val="single" w:color="000000" w:sz="4" w:space="0"/>
        <w:left w:val="single" w:color="000000" w:sz="4" w:space="0"/>
        <w:right w:val="single" w:color="000000" w:sz="4" w:space="0"/>
      </w:pBdr>
      <w:shd w:val="clear" w:color="000000" w:fill="FFFFFF"/>
      <w:spacing w:before="100" w:beforeAutospacing="1" w:after="100" w:afterAutospacing="1"/>
      <w:jc w:val="center"/>
    </w:pPr>
    <w:rPr>
      <w:rFonts w:ascii="宋体" w:hAnsi="宋体" w:cs="宋体"/>
      <w:kern w:val="0"/>
      <w:sz w:val="20"/>
      <w:szCs w:val="20"/>
    </w:rPr>
  </w:style>
  <w:style w:type="paragraph" w:customStyle="1" w:styleId="147">
    <w:name w:val="Normal_8"/>
    <w:qFormat/>
    <w:uiPriority w:val="0"/>
    <w:rPr>
      <w:rFonts w:ascii="Times New Roman" w:hAnsi="Times New Roman" w:eastAsia="Times New Roman" w:cs="Times New Roman"/>
      <w:sz w:val="24"/>
      <w:szCs w:val="24"/>
      <w:lang w:val="en-US" w:eastAsia="zh-CN" w:bidi="ar-SA"/>
    </w:rPr>
  </w:style>
  <w:style w:type="paragraph" w:customStyle="1" w:styleId="148">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49">
    <w:name w:val="font8"/>
    <w:basedOn w:val="1"/>
    <w:qFormat/>
    <w:uiPriority w:val="0"/>
    <w:pPr>
      <w:widowControl/>
      <w:spacing w:before="100" w:beforeAutospacing="1" w:after="100" w:afterAutospacing="1"/>
      <w:jc w:val="left"/>
    </w:pPr>
    <w:rPr>
      <w:color w:val="000000"/>
      <w:kern w:val="0"/>
      <w:sz w:val="20"/>
      <w:szCs w:val="20"/>
    </w:rPr>
  </w:style>
  <w:style w:type="paragraph" w:customStyle="1" w:styleId="150">
    <w:name w:val="xl7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51">
    <w:name w:val="Char Char Char1 Char"/>
    <w:basedOn w:val="1"/>
    <w:qFormat/>
    <w:uiPriority w:val="0"/>
    <w:pPr>
      <w:tabs>
        <w:tab w:val="left" w:pos="360"/>
      </w:tabs>
      <w:snapToGrid w:val="0"/>
      <w:spacing w:line="360" w:lineRule="auto"/>
    </w:pPr>
    <w:rPr>
      <w:rFonts w:eastAsia="仿宋_GB2312" w:cs="宋体"/>
      <w:sz w:val="24"/>
    </w:rPr>
  </w:style>
  <w:style w:type="paragraph" w:customStyle="1" w:styleId="152">
    <w:name w:val="xl89"/>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color w:val="000000"/>
      <w:kern w:val="0"/>
      <w:sz w:val="20"/>
      <w:szCs w:val="20"/>
    </w:rPr>
  </w:style>
  <w:style w:type="paragraph" w:customStyle="1" w:styleId="153">
    <w:name w:val="font7"/>
    <w:basedOn w:val="1"/>
    <w:qFormat/>
    <w:uiPriority w:val="0"/>
    <w:pPr>
      <w:widowControl/>
      <w:spacing w:before="100" w:beforeAutospacing="1" w:after="100" w:afterAutospacing="1"/>
      <w:jc w:val="left"/>
    </w:pPr>
    <w:rPr>
      <w:kern w:val="0"/>
      <w:sz w:val="20"/>
      <w:szCs w:val="20"/>
    </w:rPr>
  </w:style>
  <w:style w:type="paragraph" w:customStyle="1" w:styleId="154">
    <w:name w:val="xl84"/>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55">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156">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7">
    <w:name w:val="样式 标题 2 + 宋体 五号 行距: 单倍行距"/>
    <w:basedOn w:val="4"/>
    <w:qFormat/>
    <w:uiPriority w:val="0"/>
    <w:pPr>
      <w:tabs>
        <w:tab w:val="left" w:pos="2175"/>
      </w:tabs>
      <w:adjustRightInd w:val="0"/>
      <w:spacing w:before="260" w:after="260" w:line="240" w:lineRule="auto"/>
      <w:ind w:left="2175" w:hanging="1275"/>
      <w:jc w:val="left"/>
      <w:textAlignment w:val="baseline"/>
    </w:pPr>
    <w:rPr>
      <w:rFonts w:ascii="宋体" w:hAnsi="宋体"/>
      <w:sz w:val="21"/>
      <w:szCs w:val="20"/>
    </w:rPr>
  </w:style>
  <w:style w:type="paragraph" w:customStyle="1" w:styleId="158">
    <w:name w:val="样式 标题 1正文一级标题H1L1 Heading 1h11st levelh111st level1headi..."/>
    <w:basedOn w:val="3"/>
    <w:qFormat/>
    <w:uiPriority w:val="0"/>
    <w:pPr>
      <w:keepLines/>
      <w:spacing w:before="340" w:after="330" w:line="360" w:lineRule="auto"/>
      <w:jc w:val="both"/>
    </w:pPr>
    <w:rPr>
      <w:rFonts w:eastAsia="黑体" w:cs="宋体"/>
      <w:kern w:val="44"/>
      <w:sz w:val="44"/>
    </w:rPr>
  </w:style>
  <w:style w:type="paragraph" w:customStyle="1" w:styleId="159">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60">
    <w:name w:val="Normal_0"/>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161">
    <w:name w:val="p16"/>
    <w:basedOn w:val="1"/>
    <w:qFormat/>
    <w:uiPriority w:val="0"/>
    <w:pPr>
      <w:widowControl/>
      <w:jc w:val="left"/>
    </w:pPr>
    <w:rPr>
      <w:kern w:val="0"/>
      <w:szCs w:val="21"/>
    </w:rPr>
  </w:style>
  <w:style w:type="paragraph" w:styleId="162">
    <w:name w:val="No Spacing"/>
    <w:qFormat/>
    <w:uiPriority w:val="1"/>
    <w:pPr>
      <w:widowControl w:val="0"/>
      <w:jc w:val="both"/>
    </w:pPr>
    <w:rPr>
      <w:rFonts w:ascii="Times New Roman" w:hAnsi="Times New Roman" w:eastAsia="宋体" w:cs="Times New Roman"/>
      <w:kern w:val="2"/>
      <w:sz w:val="24"/>
      <w:szCs w:val="24"/>
      <w:lang w:val="en-US" w:eastAsia="zh-CN" w:bidi="ar-SA"/>
    </w:rPr>
  </w:style>
  <w:style w:type="paragraph" w:customStyle="1" w:styleId="163">
    <w:name w:val="font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4">
    <w:name w:val="font11"/>
    <w:basedOn w:val="1"/>
    <w:qFormat/>
    <w:uiPriority w:val="0"/>
    <w:pPr>
      <w:widowControl/>
      <w:spacing w:before="100" w:beforeAutospacing="1" w:after="100" w:afterAutospacing="1"/>
      <w:jc w:val="left"/>
    </w:pPr>
    <w:rPr>
      <w:rFonts w:ascii="Arial" w:hAnsi="Arial" w:cs="Arial"/>
      <w:color w:val="000000"/>
      <w:kern w:val="0"/>
      <w:sz w:val="20"/>
      <w:szCs w:val="20"/>
    </w:rPr>
  </w:style>
  <w:style w:type="paragraph" w:customStyle="1" w:styleId="165">
    <w:name w:val="Char1 Char Char Char 字元 Char Char 字元 Char 字元 Char1 Char Char Char"/>
    <w:basedOn w:val="1"/>
    <w:qFormat/>
    <w:uiPriority w:val="0"/>
    <w:rPr>
      <w:szCs w:val="20"/>
    </w:rPr>
  </w:style>
  <w:style w:type="paragraph" w:customStyle="1" w:styleId="166">
    <w:name w:val="TOC 标题1"/>
    <w:basedOn w:val="3"/>
    <w:next w:val="1"/>
    <w:unhideWhenUsed/>
    <w:qFormat/>
    <w:uiPriority w:val="39"/>
    <w:pPr>
      <w:keepLines/>
      <w:widowControl/>
      <w:spacing w:before="480" w:line="276" w:lineRule="auto"/>
      <w:jc w:val="left"/>
      <w:outlineLvl w:val="9"/>
    </w:pPr>
    <w:rPr>
      <w:rFonts w:ascii="Cambria" w:hAnsi="Cambria" w:cs="黑体"/>
      <w:color w:val="365F90"/>
      <w:sz w:val="28"/>
      <w:szCs w:val="28"/>
    </w:rPr>
  </w:style>
  <w:style w:type="paragraph" w:customStyle="1" w:styleId="167">
    <w:name w:val="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68">
    <w:name w:val="Char Char Char"/>
    <w:basedOn w:val="1"/>
    <w:qFormat/>
    <w:uiPriority w:val="0"/>
    <w:rPr>
      <w:rFonts w:ascii="宋体" w:hAnsi="宋体"/>
      <w:b/>
      <w:sz w:val="28"/>
      <w:szCs w:val="28"/>
    </w:rPr>
  </w:style>
  <w:style w:type="paragraph" w:customStyle="1" w:styleId="16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70">
    <w:name w:val="font6"/>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171">
    <w:name w:val="Plain Text1"/>
    <w:qFormat/>
    <w:uiPriority w:val="99"/>
    <w:rPr>
      <w:rFonts w:ascii="宋体" w:hAnsi="Courier New" w:eastAsia="宋体" w:cs="Times New Roman"/>
      <w:sz w:val="21"/>
      <w:lang w:val="en-US" w:eastAsia="zh-CN" w:bidi="ar-SA"/>
    </w:rPr>
  </w:style>
  <w:style w:type="paragraph" w:customStyle="1" w:styleId="172">
    <w:name w:val="Normal_3"/>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17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4">
    <w:name w:val="表格内容"/>
    <w:basedOn w:val="18"/>
    <w:qFormat/>
    <w:uiPriority w:val="0"/>
    <w:pPr>
      <w:suppressLineNumbers/>
      <w:suppressAutoHyphens/>
      <w:jc w:val="left"/>
    </w:pPr>
    <w:rPr>
      <w:rFonts w:cs="Tahoma"/>
      <w:sz w:val="24"/>
    </w:rPr>
  </w:style>
  <w:style w:type="paragraph" w:customStyle="1" w:styleId="175">
    <w:name w:val="xl8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黑体" w:hAnsi="黑体" w:eastAsia="黑体" w:cs="宋体"/>
      <w:b/>
      <w:bCs/>
      <w:color w:val="000000"/>
      <w:kern w:val="0"/>
      <w:sz w:val="20"/>
      <w:szCs w:val="20"/>
    </w:rPr>
  </w:style>
  <w:style w:type="paragraph" w:customStyle="1" w:styleId="176">
    <w:name w:val="xl68"/>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177">
    <w:name w:val="xl83"/>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78">
    <w:name w:val="xl3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79">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黑体" w:eastAsia="黑体" w:cs="宋体"/>
      <w:kern w:val="0"/>
      <w:sz w:val="20"/>
      <w:szCs w:val="20"/>
    </w:rPr>
  </w:style>
  <w:style w:type="paragraph" w:customStyle="1" w:styleId="18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81">
    <w:name w:val="xl94"/>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28"/>
      <w:szCs w:val="28"/>
    </w:rPr>
  </w:style>
  <w:style w:type="paragraph" w:customStyle="1" w:styleId="182">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83">
    <w:name w:val="xl66"/>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184">
    <w:name w:val="font10"/>
    <w:basedOn w:val="1"/>
    <w:qFormat/>
    <w:uiPriority w:val="0"/>
    <w:pPr>
      <w:widowControl/>
      <w:spacing w:before="100" w:beforeAutospacing="1" w:after="100" w:afterAutospacing="1"/>
      <w:jc w:val="left"/>
    </w:pPr>
    <w:rPr>
      <w:rFonts w:ascii="Arial" w:hAnsi="Arial" w:cs="Arial"/>
      <w:color w:val="000000"/>
      <w:kern w:val="0"/>
      <w:sz w:val="18"/>
      <w:szCs w:val="18"/>
    </w:rPr>
  </w:style>
  <w:style w:type="paragraph" w:customStyle="1" w:styleId="185">
    <w:name w:val="标题 1 +"/>
    <w:basedOn w:val="3"/>
    <w:next w:val="1"/>
    <w:qFormat/>
    <w:uiPriority w:val="0"/>
    <w:pPr>
      <w:keepLines/>
      <w:spacing w:line="600" w:lineRule="auto"/>
    </w:pPr>
    <w:rPr>
      <w:rFonts w:eastAsia="黑体"/>
      <w:sz w:val="32"/>
      <w:szCs w:val="32"/>
    </w:rPr>
  </w:style>
  <w:style w:type="paragraph" w:customStyle="1" w:styleId="186">
    <w:name w:val="xl92"/>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0"/>
      <w:szCs w:val="20"/>
    </w:rPr>
  </w:style>
  <w:style w:type="paragraph" w:customStyle="1" w:styleId="187">
    <w:name w:val="xl69"/>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188">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szCs w:val="20"/>
    </w:rPr>
  </w:style>
  <w:style w:type="paragraph" w:customStyle="1" w:styleId="189">
    <w:name w:val="xl8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190">
    <w:name w:val="无间隔1"/>
    <w:basedOn w:val="1"/>
    <w:qFormat/>
    <w:uiPriority w:val="1"/>
    <w:pPr>
      <w:spacing w:line="400" w:lineRule="exact"/>
    </w:pPr>
    <w:rPr>
      <w:sz w:val="24"/>
    </w:rPr>
  </w:style>
  <w:style w:type="paragraph" w:customStyle="1" w:styleId="191">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2">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3">
    <w:name w:val="Normal_36"/>
    <w:qFormat/>
    <w:uiPriority w:val="0"/>
    <w:rPr>
      <w:rFonts w:ascii="Times New Roman" w:hAnsi="Times New Roman" w:eastAsia="Times New Roman" w:cs="Times New Roman"/>
      <w:sz w:val="24"/>
      <w:szCs w:val="24"/>
      <w:lang w:val="en-US" w:eastAsia="zh-CN" w:bidi="ar-SA"/>
    </w:rPr>
  </w:style>
  <w:style w:type="paragraph" w:customStyle="1" w:styleId="194">
    <w:name w:val="正文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5">
    <w:name w:val="正文_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6">
    <w:name w:val="正文_1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7">
    <w:name w:val="正文_19"/>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8">
    <w:name w:val="正文_2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9">
    <w:name w:val="正文_28"/>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200">
    <w:name w:val="font101"/>
    <w:qFormat/>
    <w:uiPriority w:val="0"/>
    <w:rPr>
      <w:rFonts w:hint="default" w:ascii="Times New Roman" w:hAnsi="Times New Roman" w:cs="Times New Roman"/>
      <w:color w:val="000000"/>
      <w:sz w:val="18"/>
      <w:szCs w:val="18"/>
      <w:u w:val="none"/>
    </w:rPr>
  </w:style>
  <w:style w:type="character" w:customStyle="1" w:styleId="201">
    <w:name w:val="font112"/>
    <w:qFormat/>
    <w:uiPriority w:val="0"/>
    <w:rPr>
      <w:rFonts w:hint="eastAsia" w:ascii="宋体" w:hAnsi="宋体" w:eastAsia="宋体" w:cs="宋体"/>
      <w:color w:val="000000"/>
      <w:sz w:val="20"/>
      <w:szCs w:val="20"/>
      <w:u w:val="none"/>
    </w:rPr>
  </w:style>
  <w:style w:type="character" w:customStyle="1" w:styleId="202">
    <w:name w:val="l-btn-icon-right"/>
    <w:qFormat/>
    <w:uiPriority w:val="0"/>
  </w:style>
  <w:style w:type="character" w:customStyle="1" w:styleId="203">
    <w:name w:val="l-btn-left"/>
    <w:qFormat/>
    <w:uiPriority w:val="0"/>
  </w:style>
  <w:style w:type="character" w:customStyle="1" w:styleId="204">
    <w:name w:val="l-btn-left1"/>
    <w:qFormat/>
    <w:uiPriority w:val="0"/>
  </w:style>
  <w:style w:type="character" w:customStyle="1" w:styleId="205">
    <w:name w:val="l-btn-left2"/>
    <w:qFormat/>
    <w:uiPriority w:val="0"/>
  </w:style>
  <w:style w:type="character" w:customStyle="1" w:styleId="206">
    <w:name w:val="l-btn-left3"/>
    <w:qFormat/>
    <w:uiPriority w:val="0"/>
  </w:style>
  <w:style w:type="character" w:customStyle="1" w:styleId="207">
    <w:name w:val="l-btn-text"/>
    <w:qFormat/>
    <w:uiPriority w:val="0"/>
    <w:rPr>
      <w:sz w:val="18"/>
      <w:szCs w:val="18"/>
      <w:vertAlign w:val="baseline"/>
    </w:rPr>
  </w:style>
  <w:style w:type="character" w:customStyle="1" w:styleId="208">
    <w:name w:val="l-btn-icon-left"/>
    <w:qFormat/>
    <w:uiPriority w:val="0"/>
  </w:style>
  <w:style w:type="character" w:customStyle="1" w:styleId="209">
    <w:name w:val="l-btn-empty"/>
    <w:qFormat/>
    <w:uiPriority w:val="0"/>
  </w:style>
  <w:style w:type="character" w:customStyle="1" w:styleId="210">
    <w:name w:val="l-btn-left4"/>
    <w:qFormat/>
    <w:uiPriority w:val="0"/>
  </w:style>
  <w:style w:type="character" w:customStyle="1" w:styleId="211">
    <w:name w:val="l-btn-left5"/>
    <w:qFormat/>
    <w:uiPriority w:val="0"/>
  </w:style>
  <w:style w:type="character" w:customStyle="1" w:styleId="212">
    <w:name w:val="UserStyle_2"/>
    <w:qFormat/>
    <w:uiPriority w:val="0"/>
    <w:rPr>
      <w:rFonts w:ascii="宋体" w:hAnsi="宋体" w:eastAsia="宋体"/>
      <w:color w:val="000000"/>
      <w:sz w:val="22"/>
      <w:szCs w:val="22"/>
    </w:rPr>
  </w:style>
  <w:style w:type="character" w:customStyle="1" w:styleId="213">
    <w:name w:val="UserStyle_3"/>
    <w:qFormat/>
    <w:uiPriority w:val="0"/>
    <w:rPr>
      <w:rFonts w:ascii="宋体" w:hAnsi="宋体" w:eastAsia="宋体"/>
      <w:color w:val="FF0000"/>
      <w:sz w:val="22"/>
      <w:szCs w:val="22"/>
    </w:rPr>
  </w:style>
  <w:style w:type="paragraph" w:customStyle="1" w:styleId="214">
    <w:name w:val="CZG正文"/>
    <w:basedOn w:val="1"/>
    <w:qFormat/>
    <w:uiPriority w:val="0"/>
    <w:pPr>
      <w:spacing w:line="440" w:lineRule="exact"/>
    </w:pPr>
    <w:rPr>
      <w:rFonts w:ascii="幼圆" w:eastAsia="幼圆"/>
      <w:sz w:val="24"/>
    </w:rPr>
  </w:style>
  <w:style w:type="paragraph" w:customStyle="1" w:styleId="215">
    <w:name w:val="Table Paragraph"/>
    <w:basedOn w:val="1"/>
    <w:qFormat/>
    <w:uiPriority w:val="1"/>
    <w:rPr>
      <w:rFonts w:ascii="宋体" w:hAnsi="宋体" w:cs="宋体"/>
      <w:lang w:val="zh-CN" w:bidi="zh-CN"/>
    </w:rPr>
  </w:style>
  <w:style w:type="character" w:customStyle="1" w:styleId="216">
    <w:name w:val="font31"/>
    <w:qFormat/>
    <w:uiPriority w:val="0"/>
    <w:rPr>
      <w:rFonts w:ascii="Malgun Gothic" w:hAnsi="Malgun Gothic" w:eastAsia="Malgun Gothic" w:cs="Malgun Gothic"/>
      <w:color w:val="000000"/>
      <w:sz w:val="22"/>
      <w:szCs w:val="22"/>
      <w:u w:val="none"/>
    </w:rPr>
  </w:style>
  <w:style w:type="character" w:customStyle="1" w:styleId="217">
    <w:name w:val="layui-this2"/>
    <w:qFormat/>
    <w:uiPriority w:val="0"/>
    <w:rPr>
      <w:bdr w:val="single" w:color="EEEEEE" w:sz="4" w:space="0"/>
      <w:shd w:val="clear" w:color="auto" w:fill="FFFFFF"/>
    </w:rPr>
  </w:style>
  <w:style w:type="character" w:customStyle="1" w:styleId="218">
    <w:name w:val="layui-laypage-curr"/>
    <w:qFormat/>
    <w:uiPriority w:val="0"/>
  </w:style>
  <w:style w:type="character" w:customStyle="1" w:styleId="219">
    <w:name w:val="first-child"/>
    <w:qFormat/>
    <w:uiPriority w:val="0"/>
  </w:style>
  <w:style w:type="paragraph" w:customStyle="1" w:styleId="220">
    <w:name w:val="正文[858D7CFB-ED40-4347-BF05-701D383B685F][858D7CFB-ED40-4347-BF05-701D383B685F]"/>
    <w:basedOn w:val="62"/>
    <w:next w:val="62"/>
    <w:qFormat/>
    <w:uiPriority w:val="0"/>
    <w:pPr>
      <w:adjustRightInd/>
    </w:pPr>
    <w:rPr>
      <w:rFonts w:hint="eastAsia" w:hAnsi="黑体"/>
      <w:color w:val="000000"/>
      <w:sz w:val="24"/>
    </w:rPr>
  </w:style>
  <w:style w:type="paragraph" w:customStyle="1" w:styleId="221">
    <w:name w:val="PlainText"/>
    <w:basedOn w:val="1"/>
    <w:link w:val="222"/>
    <w:qFormat/>
    <w:uiPriority w:val="0"/>
    <w:pPr>
      <w:textAlignment w:val="baseline"/>
    </w:pPr>
    <w:rPr>
      <w:rFonts w:ascii="宋体" w:hAnsi="Courier New"/>
    </w:rPr>
  </w:style>
  <w:style w:type="character" w:customStyle="1" w:styleId="222">
    <w:name w:val="UserStyle_81"/>
    <w:link w:val="221"/>
    <w:qFormat/>
    <w:locked/>
    <w:uiPriority w:val="0"/>
    <w:rPr>
      <w:rFonts w:ascii="宋体" w:hAnsi="Courier New" w:cs="Times New Roman"/>
      <w:kern w:val="2"/>
      <w:sz w:val="21"/>
      <w:szCs w:val="24"/>
    </w:rPr>
  </w:style>
  <w:style w:type="paragraph" w:customStyle="1" w:styleId="223">
    <w:name w:val="Heading1"/>
    <w:basedOn w:val="1"/>
    <w:next w:val="1"/>
    <w:link w:val="224"/>
    <w:qFormat/>
    <w:uiPriority w:val="0"/>
    <w:pPr>
      <w:keepNext/>
      <w:widowControl/>
      <w:jc w:val="center"/>
      <w:textAlignment w:val="baseline"/>
    </w:pPr>
    <w:rPr>
      <w:rFonts w:ascii="Calibri" w:hAnsi="Calibri"/>
      <w:b/>
      <w:bCs/>
      <w:sz w:val="24"/>
      <w:szCs w:val="20"/>
    </w:rPr>
  </w:style>
  <w:style w:type="character" w:customStyle="1" w:styleId="224">
    <w:name w:val="UserStyle_88"/>
    <w:link w:val="223"/>
    <w:qFormat/>
    <w:locked/>
    <w:uiPriority w:val="0"/>
    <w:rPr>
      <w:rFonts w:ascii="Calibri" w:hAnsi="Calibri"/>
      <w:b/>
      <w:bCs/>
      <w:kern w:val="2"/>
      <w:sz w:val="24"/>
    </w:rPr>
  </w:style>
  <w:style w:type="paragraph" w:customStyle="1" w:styleId="225">
    <w:name w:val="Heading2"/>
    <w:basedOn w:val="1"/>
    <w:next w:val="1"/>
    <w:link w:val="226"/>
    <w:qFormat/>
    <w:uiPriority w:val="0"/>
    <w:pPr>
      <w:keepNext/>
      <w:keepLines/>
      <w:widowControl/>
      <w:spacing w:line="360" w:lineRule="auto"/>
      <w:textAlignment w:val="baseline"/>
    </w:pPr>
    <w:rPr>
      <w:rFonts w:ascii="Arial" w:hAnsi="Arial"/>
      <w:b/>
      <w:bCs/>
      <w:sz w:val="24"/>
      <w:szCs w:val="32"/>
    </w:rPr>
  </w:style>
  <w:style w:type="character" w:customStyle="1" w:styleId="226">
    <w:name w:val="UserStyle_41"/>
    <w:link w:val="225"/>
    <w:qFormat/>
    <w:locked/>
    <w:uiPriority w:val="0"/>
    <w:rPr>
      <w:rFonts w:ascii="Arial" w:hAnsi="Arial"/>
      <w:b/>
      <w:bCs/>
      <w:kern w:val="2"/>
      <w:sz w:val="24"/>
      <w:szCs w:val="32"/>
    </w:rPr>
  </w:style>
  <w:style w:type="paragraph" w:customStyle="1" w:styleId="227">
    <w:name w:val="Heading3"/>
    <w:basedOn w:val="1"/>
    <w:next w:val="1"/>
    <w:link w:val="228"/>
    <w:qFormat/>
    <w:uiPriority w:val="0"/>
    <w:pPr>
      <w:keepNext/>
      <w:keepLines/>
      <w:widowControl/>
      <w:spacing w:before="260" w:after="260" w:line="415" w:lineRule="auto"/>
      <w:textAlignment w:val="baseline"/>
    </w:pPr>
    <w:rPr>
      <w:rFonts w:ascii="Calibri" w:hAnsi="Calibri"/>
      <w:b/>
      <w:bCs/>
      <w:sz w:val="32"/>
      <w:szCs w:val="32"/>
    </w:rPr>
  </w:style>
  <w:style w:type="character" w:customStyle="1" w:styleId="228">
    <w:name w:val="UserStyle_38"/>
    <w:link w:val="227"/>
    <w:qFormat/>
    <w:locked/>
    <w:uiPriority w:val="0"/>
    <w:rPr>
      <w:rFonts w:ascii="Calibri" w:hAnsi="Calibri"/>
      <w:b/>
      <w:bCs/>
      <w:kern w:val="2"/>
      <w:sz w:val="32"/>
      <w:szCs w:val="32"/>
    </w:rPr>
  </w:style>
  <w:style w:type="paragraph" w:customStyle="1" w:styleId="229">
    <w:name w:val="Heading4"/>
    <w:basedOn w:val="1"/>
    <w:next w:val="1"/>
    <w:link w:val="230"/>
    <w:qFormat/>
    <w:uiPriority w:val="0"/>
    <w:pPr>
      <w:keepNext/>
      <w:keepLines/>
      <w:widowControl/>
      <w:spacing w:before="280" w:after="290" w:line="374" w:lineRule="auto"/>
      <w:textAlignment w:val="baseline"/>
    </w:pPr>
    <w:rPr>
      <w:rFonts w:ascii="Arial" w:hAnsi="Arial" w:eastAsia="黑体"/>
      <w:b/>
      <w:bCs/>
      <w:sz w:val="28"/>
      <w:szCs w:val="28"/>
    </w:rPr>
  </w:style>
  <w:style w:type="character" w:customStyle="1" w:styleId="230">
    <w:name w:val="UserStyle_28"/>
    <w:link w:val="229"/>
    <w:qFormat/>
    <w:locked/>
    <w:uiPriority w:val="0"/>
    <w:rPr>
      <w:rFonts w:ascii="Arial" w:hAnsi="Arial" w:eastAsia="黑体"/>
      <w:b/>
      <w:bCs/>
      <w:kern w:val="2"/>
      <w:sz w:val="28"/>
      <w:szCs w:val="28"/>
    </w:rPr>
  </w:style>
  <w:style w:type="paragraph" w:customStyle="1" w:styleId="231">
    <w:name w:val="Heading5"/>
    <w:basedOn w:val="1"/>
    <w:next w:val="1"/>
    <w:link w:val="232"/>
    <w:qFormat/>
    <w:uiPriority w:val="0"/>
    <w:pPr>
      <w:keepNext/>
      <w:keepLines/>
      <w:widowControl/>
      <w:spacing w:before="280" w:after="290" w:line="376" w:lineRule="atLeast"/>
      <w:jc w:val="left"/>
      <w:textAlignment w:val="baseline"/>
    </w:pPr>
    <w:rPr>
      <w:rFonts w:ascii="Calibri" w:hAnsi="Calibri"/>
      <w:b/>
      <w:bCs/>
      <w:kern w:val="0"/>
      <w:sz w:val="28"/>
      <w:szCs w:val="28"/>
    </w:rPr>
  </w:style>
  <w:style w:type="character" w:customStyle="1" w:styleId="232">
    <w:name w:val="UserStyle_78"/>
    <w:link w:val="231"/>
    <w:qFormat/>
    <w:locked/>
    <w:uiPriority w:val="0"/>
    <w:rPr>
      <w:rFonts w:ascii="Calibri" w:hAnsi="Calibri"/>
      <w:b/>
      <w:bCs/>
      <w:sz w:val="28"/>
      <w:szCs w:val="28"/>
    </w:rPr>
  </w:style>
  <w:style w:type="paragraph" w:customStyle="1" w:styleId="233">
    <w:name w:val="Heading6"/>
    <w:basedOn w:val="1"/>
    <w:next w:val="1"/>
    <w:link w:val="234"/>
    <w:qFormat/>
    <w:uiPriority w:val="0"/>
    <w:pPr>
      <w:keepNext/>
      <w:keepLines/>
      <w:widowControl/>
      <w:spacing w:before="240" w:after="64" w:line="320" w:lineRule="atLeast"/>
      <w:jc w:val="left"/>
      <w:textAlignment w:val="baseline"/>
    </w:pPr>
    <w:rPr>
      <w:rFonts w:ascii="Arial" w:hAnsi="Arial" w:eastAsia="黑体"/>
      <w:b/>
      <w:bCs/>
      <w:kern w:val="0"/>
      <w:sz w:val="24"/>
    </w:rPr>
  </w:style>
  <w:style w:type="character" w:customStyle="1" w:styleId="234">
    <w:name w:val="UserStyle_76"/>
    <w:link w:val="233"/>
    <w:qFormat/>
    <w:locked/>
    <w:uiPriority w:val="0"/>
    <w:rPr>
      <w:rFonts w:ascii="Arial" w:hAnsi="Arial" w:eastAsia="黑体"/>
      <w:b/>
      <w:bCs/>
      <w:sz w:val="24"/>
      <w:szCs w:val="24"/>
    </w:rPr>
  </w:style>
  <w:style w:type="paragraph" w:customStyle="1" w:styleId="235">
    <w:name w:val="Heading7"/>
    <w:basedOn w:val="1"/>
    <w:next w:val="1"/>
    <w:link w:val="236"/>
    <w:qFormat/>
    <w:uiPriority w:val="0"/>
    <w:pPr>
      <w:keepNext/>
      <w:keepLines/>
      <w:widowControl/>
      <w:spacing w:before="240" w:after="64" w:line="320" w:lineRule="atLeast"/>
      <w:jc w:val="left"/>
      <w:textAlignment w:val="baseline"/>
    </w:pPr>
    <w:rPr>
      <w:rFonts w:ascii="Calibri" w:hAnsi="Calibri"/>
      <w:b/>
      <w:bCs/>
      <w:kern w:val="0"/>
      <w:sz w:val="24"/>
    </w:rPr>
  </w:style>
  <w:style w:type="character" w:customStyle="1" w:styleId="236">
    <w:name w:val="UserStyle_84"/>
    <w:link w:val="235"/>
    <w:qFormat/>
    <w:locked/>
    <w:uiPriority w:val="0"/>
    <w:rPr>
      <w:rFonts w:ascii="Calibri" w:hAnsi="Calibri"/>
      <w:b/>
      <w:bCs/>
      <w:sz w:val="24"/>
      <w:szCs w:val="24"/>
    </w:rPr>
  </w:style>
  <w:style w:type="paragraph" w:customStyle="1" w:styleId="237">
    <w:name w:val="Heading8"/>
    <w:basedOn w:val="1"/>
    <w:next w:val="1"/>
    <w:link w:val="238"/>
    <w:qFormat/>
    <w:uiPriority w:val="0"/>
    <w:pPr>
      <w:keepNext/>
      <w:keepLines/>
      <w:widowControl/>
      <w:spacing w:before="240" w:after="64" w:line="320" w:lineRule="atLeast"/>
      <w:jc w:val="left"/>
      <w:textAlignment w:val="baseline"/>
    </w:pPr>
    <w:rPr>
      <w:rFonts w:ascii="Arial" w:hAnsi="Arial" w:eastAsia="黑体"/>
      <w:kern w:val="0"/>
      <w:sz w:val="24"/>
    </w:rPr>
  </w:style>
  <w:style w:type="character" w:customStyle="1" w:styleId="238">
    <w:name w:val="UserStyle_65"/>
    <w:link w:val="237"/>
    <w:qFormat/>
    <w:locked/>
    <w:uiPriority w:val="0"/>
    <w:rPr>
      <w:rFonts w:ascii="Arial" w:hAnsi="Arial" w:eastAsia="黑体"/>
      <w:sz w:val="24"/>
      <w:szCs w:val="24"/>
    </w:rPr>
  </w:style>
  <w:style w:type="paragraph" w:customStyle="1" w:styleId="239">
    <w:name w:val="Heading9"/>
    <w:basedOn w:val="1"/>
    <w:next w:val="1"/>
    <w:link w:val="240"/>
    <w:qFormat/>
    <w:uiPriority w:val="0"/>
    <w:pPr>
      <w:keepNext/>
      <w:keepLines/>
      <w:widowControl/>
      <w:spacing w:before="240" w:after="64" w:line="320" w:lineRule="atLeast"/>
      <w:jc w:val="left"/>
      <w:textAlignment w:val="baseline"/>
    </w:pPr>
    <w:rPr>
      <w:rFonts w:ascii="Arial" w:hAnsi="Arial" w:eastAsia="黑体"/>
      <w:kern w:val="0"/>
      <w:szCs w:val="21"/>
    </w:rPr>
  </w:style>
  <w:style w:type="character" w:customStyle="1" w:styleId="240">
    <w:name w:val="UserStyle_14"/>
    <w:link w:val="239"/>
    <w:qFormat/>
    <w:locked/>
    <w:uiPriority w:val="0"/>
    <w:rPr>
      <w:rFonts w:ascii="Arial" w:hAnsi="Arial" w:eastAsia="黑体"/>
      <w:sz w:val="21"/>
      <w:szCs w:val="21"/>
    </w:rPr>
  </w:style>
  <w:style w:type="character" w:customStyle="1" w:styleId="241">
    <w:name w:val="HtmlCode"/>
    <w:qFormat/>
    <w:uiPriority w:val="0"/>
    <w:rPr>
      <w:rFonts w:ascii="Courier New" w:hAnsi="Courier New" w:eastAsia="Courier New"/>
      <w:sz w:val="24"/>
      <w:szCs w:val="24"/>
    </w:rPr>
  </w:style>
  <w:style w:type="character" w:customStyle="1" w:styleId="242">
    <w:name w:val="AnnotationReference"/>
    <w:qFormat/>
    <w:uiPriority w:val="0"/>
    <w:rPr>
      <w:sz w:val="21"/>
      <w:szCs w:val="21"/>
    </w:rPr>
  </w:style>
  <w:style w:type="character" w:customStyle="1" w:styleId="243">
    <w:name w:val="HtmlVar"/>
    <w:qFormat/>
    <w:uiPriority w:val="0"/>
    <w:rPr>
      <w:rFonts w:ascii="Times New Roman" w:hAnsi="Times New Roman" w:eastAsia="宋体"/>
    </w:rPr>
  </w:style>
  <w:style w:type="character" w:customStyle="1" w:styleId="244">
    <w:name w:val="HtmlKbd"/>
    <w:qFormat/>
    <w:uiPriority w:val="0"/>
    <w:rPr>
      <w:rFonts w:ascii="Courier New" w:hAnsi="Courier New" w:eastAsia="Courier New"/>
      <w:sz w:val="24"/>
      <w:szCs w:val="24"/>
    </w:rPr>
  </w:style>
  <w:style w:type="character" w:customStyle="1" w:styleId="245">
    <w:name w:val="PageNumber"/>
    <w:basedOn w:val="112"/>
    <w:qFormat/>
    <w:uiPriority w:val="0"/>
  </w:style>
  <w:style w:type="character" w:customStyle="1" w:styleId="246">
    <w:name w:val="HtmlCite"/>
    <w:qFormat/>
    <w:uiPriority w:val="0"/>
    <w:rPr>
      <w:rFonts w:ascii="Times New Roman" w:hAnsi="Times New Roman" w:eastAsia="宋体"/>
    </w:rPr>
  </w:style>
  <w:style w:type="character" w:customStyle="1" w:styleId="247">
    <w:name w:val="htmlSamp"/>
    <w:qFormat/>
    <w:uiPriority w:val="0"/>
    <w:rPr>
      <w:rFonts w:ascii="Courier New" w:hAnsi="Courier New" w:eastAsia="Courier New"/>
    </w:rPr>
  </w:style>
  <w:style w:type="character" w:customStyle="1" w:styleId="248">
    <w:name w:val="HtmlDfn"/>
    <w:qFormat/>
    <w:uiPriority w:val="0"/>
    <w:rPr>
      <w:rFonts w:ascii="Times New Roman" w:hAnsi="Times New Roman" w:eastAsia="宋体"/>
    </w:rPr>
  </w:style>
  <w:style w:type="character" w:customStyle="1" w:styleId="249">
    <w:name w:val="UserStyle_0"/>
    <w:link w:val="250"/>
    <w:qFormat/>
    <w:uiPriority w:val="0"/>
    <w:rPr>
      <w:kern w:val="2"/>
      <w:sz w:val="21"/>
      <w:szCs w:val="24"/>
    </w:rPr>
  </w:style>
  <w:style w:type="paragraph" w:customStyle="1" w:styleId="250">
    <w:name w:val="BodyText"/>
    <w:basedOn w:val="1"/>
    <w:link w:val="249"/>
    <w:autoRedefine/>
    <w:qFormat/>
    <w:uiPriority w:val="0"/>
    <w:pPr>
      <w:widowControl/>
      <w:spacing w:after="120"/>
      <w:textAlignment w:val="baseline"/>
    </w:pPr>
  </w:style>
  <w:style w:type="character" w:customStyle="1" w:styleId="251">
    <w:name w:val="UserStyle_1"/>
    <w:qFormat/>
    <w:uiPriority w:val="0"/>
    <w:rPr>
      <w:rFonts w:ascii="宋体" w:hAnsi="宋体" w:eastAsia="宋体"/>
      <w:b/>
      <w:spacing w:val="-30"/>
      <w:sz w:val="28"/>
    </w:rPr>
  </w:style>
  <w:style w:type="character" w:customStyle="1" w:styleId="252">
    <w:name w:val="UserStyle_4"/>
    <w:basedOn w:val="112"/>
    <w:qFormat/>
    <w:uiPriority w:val="0"/>
  </w:style>
  <w:style w:type="character" w:customStyle="1" w:styleId="253">
    <w:name w:val="UserStyle_5"/>
    <w:qFormat/>
    <w:uiPriority w:val="0"/>
    <w:rPr>
      <w:rFonts w:ascii="Arial" w:hAnsi="Arial" w:eastAsia="黑体"/>
      <w:sz w:val="24"/>
      <w:szCs w:val="24"/>
      <w:lang w:val="en-US" w:eastAsia="zh-CN" w:bidi="ar-SA"/>
    </w:rPr>
  </w:style>
  <w:style w:type="character" w:customStyle="1" w:styleId="254">
    <w:name w:val="UserStyle_6"/>
    <w:qFormat/>
    <w:uiPriority w:val="0"/>
    <w:rPr>
      <w:rFonts w:ascii="Times New Roman" w:hAnsi="Times New Roman" w:eastAsia="宋体"/>
    </w:rPr>
  </w:style>
  <w:style w:type="character" w:customStyle="1" w:styleId="255">
    <w:name w:val="UserStyle_7"/>
    <w:qFormat/>
    <w:uiPriority w:val="0"/>
    <w:rPr>
      <w:rFonts w:ascii="Times New Roman" w:hAnsi="Times New Roman" w:eastAsia="宋体"/>
    </w:rPr>
  </w:style>
  <w:style w:type="character" w:customStyle="1" w:styleId="256">
    <w:name w:val="UserStyle_8"/>
    <w:qFormat/>
    <w:uiPriority w:val="0"/>
    <w:rPr>
      <w:rFonts w:ascii="宋体" w:hAnsi="宋体" w:eastAsia="宋体"/>
      <w:sz w:val="24"/>
    </w:rPr>
  </w:style>
  <w:style w:type="character" w:customStyle="1" w:styleId="257">
    <w:name w:val="UserStyle_9"/>
    <w:qFormat/>
    <w:uiPriority w:val="0"/>
    <w:rPr>
      <w:kern w:val="2"/>
      <w:sz w:val="21"/>
      <w:szCs w:val="24"/>
      <w:lang w:bidi="ar-SA"/>
    </w:rPr>
  </w:style>
  <w:style w:type="character" w:customStyle="1" w:styleId="258">
    <w:name w:val="UserStyle_10"/>
    <w:qFormat/>
    <w:uiPriority w:val="0"/>
    <w:rPr>
      <w:rFonts w:ascii="宋体" w:hAnsi="Courier New" w:eastAsia="宋体"/>
      <w:kern w:val="2"/>
      <w:sz w:val="21"/>
      <w:szCs w:val="21"/>
      <w:lang w:val="en-US" w:eastAsia="zh-CN" w:bidi="ar-SA"/>
    </w:rPr>
  </w:style>
  <w:style w:type="character" w:customStyle="1" w:styleId="259">
    <w:name w:val="UserStyle_11"/>
    <w:qFormat/>
    <w:uiPriority w:val="0"/>
    <w:rPr>
      <w:rFonts w:ascii="Arial" w:hAnsi="Arial" w:eastAsia="宋体" w:cs="Times New Roman"/>
      <w:b/>
      <w:bCs/>
      <w:szCs w:val="28"/>
    </w:rPr>
  </w:style>
  <w:style w:type="character" w:customStyle="1" w:styleId="260">
    <w:name w:val="UserStyle_12"/>
    <w:qFormat/>
    <w:uiPriority w:val="0"/>
    <w:rPr>
      <w:rFonts w:ascii="宋体" w:hAnsi="宋体" w:eastAsia="宋体"/>
      <w:spacing w:val="30"/>
      <w:sz w:val="24"/>
    </w:rPr>
  </w:style>
  <w:style w:type="character" w:customStyle="1" w:styleId="261">
    <w:name w:val="UserStyle_13"/>
    <w:qFormat/>
    <w:uiPriority w:val="0"/>
    <w:rPr>
      <w:rFonts w:ascii="Times New Roman" w:hAnsi="Times New Roman" w:eastAsia="Times New Roman"/>
      <w:sz w:val="16"/>
    </w:rPr>
  </w:style>
  <w:style w:type="character" w:customStyle="1" w:styleId="262">
    <w:name w:val="UserStyle_15"/>
    <w:qFormat/>
    <w:uiPriority w:val="0"/>
    <w:rPr>
      <w:rFonts w:ascii="宋体" w:hAnsi="宋体" w:eastAsia="宋体"/>
      <w:spacing w:val="-20"/>
      <w:sz w:val="24"/>
    </w:rPr>
  </w:style>
  <w:style w:type="character" w:customStyle="1" w:styleId="263">
    <w:name w:val="UserStyle_17"/>
    <w:qFormat/>
    <w:uiPriority w:val="0"/>
    <w:rPr>
      <w:rFonts w:ascii="Times New Roman" w:hAnsi="Times New Roman" w:eastAsia="宋体"/>
    </w:rPr>
  </w:style>
  <w:style w:type="character" w:customStyle="1" w:styleId="264">
    <w:name w:val="UserStyle_18"/>
    <w:link w:val="265"/>
    <w:qFormat/>
    <w:locked/>
    <w:uiPriority w:val="0"/>
    <w:rPr>
      <w:rFonts w:ascii="宋体" w:hAnsi="宋体"/>
      <w:b/>
      <w:bCs/>
      <w:kern w:val="2"/>
      <w:sz w:val="21"/>
      <w:szCs w:val="24"/>
    </w:rPr>
  </w:style>
  <w:style w:type="paragraph" w:customStyle="1" w:styleId="265">
    <w:name w:val="AnnotationSubject"/>
    <w:basedOn w:val="266"/>
    <w:next w:val="266"/>
    <w:link w:val="264"/>
    <w:qFormat/>
    <w:uiPriority w:val="0"/>
    <w:rPr>
      <w:b/>
      <w:bCs/>
    </w:rPr>
  </w:style>
  <w:style w:type="paragraph" w:customStyle="1" w:styleId="266">
    <w:name w:val="AnnotationText"/>
    <w:basedOn w:val="1"/>
    <w:link w:val="267"/>
    <w:semiHidden/>
    <w:qFormat/>
    <w:uiPriority w:val="0"/>
    <w:pPr>
      <w:widowControl/>
      <w:jc w:val="left"/>
      <w:textAlignment w:val="baseline"/>
    </w:pPr>
    <w:rPr>
      <w:rFonts w:ascii="宋体" w:hAnsi="宋体"/>
    </w:rPr>
  </w:style>
  <w:style w:type="character" w:customStyle="1" w:styleId="267">
    <w:name w:val="UserStyle_53"/>
    <w:link w:val="266"/>
    <w:semiHidden/>
    <w:qFormat/>
    <w:locked/>
    <w:uiPriority w:val="0"/>
    <w:rPr>
      <w:rFonts w:ascii="宋体" w:hAnsi="宋体"/>
      <w:kern w:val="2"/>
      <w:sz w:val="21"/>
      <w:szCs w:val="24"/>
    </w:rPr>
  </w:style>
  <w:style w:type="character" w:customStyle="1" w:styleId="268">
    <w:name w:val="UserStyle_19"/>
    <w:link w:val="269"/>
    <w:qFormat/>
    <w:locked/>
    <w:uiPriority w:val="0"/>
    <w:rPr>
      <w:rFonts w:ascii="Calibri" w:hAnsi="Calibri"/>
      <w:kern w:val="2"/>
      <w:sz w:val="18"/>
      <w:szCs w:val="18"/>
    </w:rPr>
  </w:style>
  <w:style w:type="paragraph" w:customStyle="1" w:styleId="269">
    <w:name w:val="Acetate"/>
    <w:basedOn w:val="1"/>
    <w:link w:val="268"/>
    <w:qFormat/>
    <w:uiPriority w:val="0"/>
    <w:pPr>
      <w:widowControl/>
      <w:textAlignment w:val="baseline"/>
    </w:pPr>
    <w:rPr>
      <w:rFonts w:ascii="Calibri" w:hAnsi="Calibri"/>
      <w:sz w:val="18"/>
      <w:szCs w:val="18"/>
    </w:rPr>
  </w:style>
  <w:style w:type="character" w:customStyle="1" w:styleId="270">
    <w:name w:val="UserStyle_20"/>
    <w:qFormat/>
    <w:uiPriority w:val="0"/>
    <w:rPr>
      <w:rFonts w:ascii="Times New Roman" w:hAnsi="Times New Roman" w:eastAsia="宋体"/>
      <w:color w:val="FFFFFF"/>
    </w:rPr>
  </w:style>
  <w:style w:type="character" w:customStyle="1" w:styleId="271">
    <w:name w:val="UserStyle_21"/>
    <w:qFormat/>
    <w:uiPriority w:val="0"/>
    <w:rPr>
      <w:kern w:val="2"/>
      <w:sz w:val="21"/>
      <w:szCs w:val="24"/>
    </w:rPr>
  </w:style>
  <w:style w:type="character" w:customStyle="1" w:styleId="272">
    <w:name w:val="UserStyle_22"/>
    <w:qFormat/>
    <w:uiPriority w:val="0"/>
    <w:rPr>
      <w:rFonts w:eastAsia="宋体"/>
      <w:kern w:val="2"/>
      <w:sz w:val="21"/>
      <w:szCs w:val="24"/>
      <w:lang w:val="en-US" w:eastAsia="zh-CN" w:bidi="ar-SA"/>
    </w:rPr>
  </w:style>
  <w:style w:type="character" w:customStyle="1" w:styleId="273">
    <w:name w:val="UserStyle_23"/>
    <w:qFormat/>
    <w:uiPriority w:val="0"/>
    <w:rPr>
      <w:rFonts w:cs="Times New Roman"/>
      <w:b/>
      <w:bCs/>
      <w:kern w:val="2"/>
      <w:sz w:val="28"/>
      <w:szCs w:val="28"/>
    </w:rPr>
  </w:style>
  <w:style w:type="character" w:customStyle="1" w:styleId="274">
    <w:name w:val="UserStyle_24"/>
    <w:qFormat/>
    <w:uiPriority w:val="0"/>
    <w:rPr>
      <w:rFonts w:ascii="Cambria" w:hAnsi="Cambria" w:eastAsia="宋体" w:cs="Times New Roman"/>
      <w:b/>
      <w:bCs/>
      <w:sz w:val="32"/>
      <w:szCs w:val="32"/>
    </w:rPr>
  </w:style>
  <w:style w:type="character" w:customStyle="1" w:styleId="275">
    <w:name w:val="UserStyle_25"/>
    <w:qFormat/>
    <w:uiPriority w:val="0"/>
    <w:rPr>
      <w:rFonts w:cs="Times New Roman"/>
      <w:b/>
      <w:bCs/>
      <w:sz w:val="24"/>
      <w:szCs w:val="24"/>
    </w:rPr>
  </w:style>
  <w:style w:type="character" w:customStyle="1" w:styleId="276">
    <w:name w:val="UserStyle_26"/>
    <w:qFormat/>
    <w:uiPriority w:val="0"/>
    <w:rPr>
      <w:rFonts w:ascii="宋体" w:hAnsi="宋体" w:eastAsia="宋体"/>
      <w:kern w:val="2"/>
      <w:sz w:val="21"/>
      <w:szCs w:val="21"/>
      <w:lang w:val="en-US" w:eastAsia="zh-CN" w:bidi="ar-SA"/>
    </w:rPr>
  </w:style>
  <w:style w:type="character" w:customStyle="1" w:styleId="277">
    <w:name w:val="UserStyle_27"/>
    <w:qFormat/>
    <w:uiPriority w:val="0"/>
    <w:rPr>
      <w:rFonts w:ascii="Arial" w:hAnsi="Arial" w:eastAsia="黑体"/>
      <w:sz w:val="24"/>
      <w:szCs w:val="24"/>
    </w:rPr>
  </w:style>
  <w:style w:type="character" w:customStyle="1" w:styleId="278">
    <w:name w:val="UserStyle_29"/>
    <w:qFormat/>
    <w:uiPriority w:val="0"/>
    <w:rPr>
      <w:rFonts w:ascii="宋体" w:hAnsi="宋体" w:eastAsia="宋体"/>
      <w:spacing w:val="-10"/>
      <w:sz w:val="30"/>
    </w:rPr>
  </w:style>
  <w:style w:type="character" w:customStyle="1" w:styleId="279">
    <w:name w:val="UserStyle_30"/>
    <w:qFormat/>
    <w:uiPriority w:val="0"/>
    <w:rPr>
      <w:rFonts w:ascii="宋体" w:hAnsi="宋体" w:eastAsia="宋体"/>
      <w:b/>
      <w:spacing w:val="-20"/>
      <w:sz w:val="40"/>
    </w:rPr>
  </w:style>
  <w:style w:type="character" w:customStyle="1" w:styleId="280">
    <w:name w:val="UserStyle_31"/>
    <w:qFormat/>
    <w:uiPriority w:val="0"/>
    <w:rPr>
      <w:kern w:val="2"/>
      <w:sz w:val="18"/>
      <w:szCs w:val="18"/>
    </w:rPr>
  </w:style>
  <w:style w:type="character" w:customStyle="1" w:styleId="281">
    <w:name w:val="UserStyle_32"/>
    <w:qFormat/>
    <w:uiPriority w:val="0"/>
    <w:rPr>
      <w:rFonts w:ascii="Times New Roman" w:hAnsi="Times New Roman" w:eastAsia="宋体"/>
    </w:rPr>
  </w:style>
  <w:style w:type="character" w:customStyle="1" w:styleId="282">
    <w:name w:val="UserStyle_33"/>
    <w:qFormat/>
    <w:uiPriority w:val="0"/>
    <w:rPr>
      <w:rFonts w:ascii="Times New Roman" w:hAnsi="Times New Roman" w:eastAsia="宋体"/>
    </w:rPr>
  </w:style>
  <w:style w:type="character" w:customStyle="1" w:styleId="283">
    <w:name w:val="UserStyle_34"/>
    <w:qFormat/>
    <w:uiPriority w:val="0"/>
    <w:rPr>
      <w:kern w:val="2"/>
      <w:sz w:val="21"/>
      <w:szCs w:val="24"/>
    </w:rPr>
  </w:style>
  <w:style w:type="character" w:customStyle="1" w:styleId="284">
    <w:name w:val="UserStyle_35"/>
    <w:link w:val="285"/>
    <w:qFormat/>
    <w:locked/>
    <w:uiPriority w:val="0"/>
    <w:rPr>
      <w:rFonts w:ascii="宋体" w:hAnsi="宋体"/>
      <w:kern w:val="2"/>
      <w:sz w:val="18"/>
      <w:szCs w:val="18"/>
    </w:rPr>
  </w:style>
  <w:style w:type="paragraph" w:customStyle="1" w:styleId="285">
    <w:name w:val="页眉1"/>
    <w:basedOn w:val="1"/>
    <w:link w:val="284"/>
    <w:qFormat/>
    <w:uiPriority w:val="0"/>
    <w:pPr>
      <w:widowControl/>
      <w:pBdr>
        <w:bottom w:val="single" w:color="000000" w:sz="6" w:space="1"/>
      </w:pBdr>
      <w:tabs>
        <w:tab w:val="center" w:pos="4153"/>
        <w:tab w:val="right" w:pos="8306"/>
      </w:tabs>
      <w:snapToGrid w:val="0"/>
      <w:jc w:val="center"/>
      <w:textAlignment w:val="baseline"/>
    </w:pPr>
    <w:rPr>
      <w:rFonts w:ascii="宋体" w:hAnsi="宋体"/>
      <w:sz w:val="18"/>
      <w:szCs w:val="18"/>
    </w:rPr>
  </w:style>
  <w:style w:type="character" w:customStyle="1" w:styleId="286">
    <w:name w:val="UserStyle_36"/>
    <w:qFormat/>
    <w:uiPriority w:val="0"/>
    <w:rPr>
      <w:rFonts w:ascii="宋体" w:hAnsi="宋体" w:eastAsia="宋体"/>
      <w:spacing w:val="20"/>
      <w:sz w:val="24"/>
    </w:rPr>
  </w:style>
  <w:style w:type="character" w:customStyle="1" w:styleId="287">
    <w:name w:val="UserStyle_37"/>
    <w:qFormat/>
    <w:uiPriority w:val="0"/>
    <w:rPr>
      <w:rFonts w:ascii="Times New Roman" w:hAnsi="Times New Roman" w:eastAsia="宋体"/>
    </w:rPr>
  </w:style>
  <w:style w:type="character" w:customStyle="1" w:styleId="288">
    <w:name w:val="UserStyle_39"/>
    <w:qFormat/>
    <w:uiPriority w:val="0"/>
    <w:rPr>
      <w:rFonts w:ascii="Cambria" w:hAnsi="Cambria" w:eastAsia="宋体" w:cs="Times New Roman"/>
      <w:b/>
      <w:bCs/>
      <w:kern w:val="2"/>
      <w:sz w:val="32"/>
      <w:szCs w:val="32"/>
    </w:rPr>
  </w:style>
  <w:style w:type="character" w:customStyle="1" w:styleId="289">
    <w:name w:val="UserStyle_40"/>
    <w:qFormat/>
    <w:uiPriority w:val="0"/>
    <w:rPr>
      <w:rFonts w:cs="Times New Roman"/>
      <w:b/>
      <w:bCs/>
      <w:sz w:val="24"/>
      <w:szCs w:val="24"/>
    </w:rPr>
  </w:style>
  <w:style w:type="character" w:customStyle="1" w:styleId="290">
    <w:name w:val="UserStyle_42"/>
    <w:qFormat/>
    <w:uiPriority w:val="0"/>
    <w:rPr>
      <w:rFonts w:ascii="Times New Roman" w:hAnsi="Times New Roman" w:eastAsia="Times New Roman"/>
      <w:sz w:val="18"/>
    </w:rPr>
  </w:style>
  <w:style w:type="character" w:customStyle="1" w:styleId="291">
    <w:name w:val="UserStyle_43"/>
    <w:qFormat/>
    <w:uiPriority w:val="0"/>
    <w:rPr>
      <w:rFonts w:ascii="Arial" w:hAnsi="Arial" w:eastAsia="宋体"/>
      <w:b/>
      <w:color w:val="999999"/>
      <w:sz w:val="21"/>
      <w:szCs w:val="21"/>
    </w:rPr>
  </w:style>
  <w:style w:type="character" w:customStyle="1" w:styleId="292">
    <w:name w:val="UserStyle_44"/>
    <w:qFormat/>
    <w:uiPriority w:val="0"/>
    <w:rPr>
      <w:rFonts w:ascii="Arial" w:hAnsi="Arial" w:eastAsia="黑体" w:cs="Arial"/>
      <w:b/>
      <w:bCs/>
      <w:sz w:val="28"/>
      <w:szCs w:val="28"/>
      <w:lang w:val="en-US" w:eastAsia="zh-CN" w:bidi="ar-SA"/>
    </w:rPr>
  </w:style>
  <w:style w:type="character" w:customStyle="1" w:styleId="293">
    <w:name w:val="UserStyle_45"/>
    <w:qFormat/>
    <w:uiPriority w:val="0"/>
    <w:rPr>
      <w:rFonts w:ascii="Times New Roman" w:hAnsi="Times New Roman" w:eastAsia="宋体"/>
      <w:color w:val="FF6666"/>
      <w:sz w:val="18"/>
      <w:szCs w:val="18"/>
    </w:rPr>
  </w:style>
  <w:style w:type="character" w:customStyle="1" w:styleId="294">
    <w:name w:val="UserStyle_46"/>
    <w:qFormat/>
    <w:uiPriority w:val="0"/>
    <w:rPr>
      <w:rFonts w:ascii="Arial" w:hAnsi="Arial" w:eastAsia="宋体" w:cs="Arial"/>
      <w:b/>
      <w:bCs/>
      <w:kern w:val="2"/>
      <w:sz w:val="21"/>
      <w:szCs w:val="28"/>
      <w:lang w:val="en-US" w:eastAsia="zh-CN" w:bidi="ar-SA"/>
    </w:rPr>
  </w:style>
  <w:style w:type="character" w:customStyle="1" w:styleId="295">
    <w:name w:val="UserStyle_47"/>
    <w:qFormat/>
    <w:uiPriority w:val="0"/>
    <w:rPr>
      <w:rFonts w:ascii="Cambria" w:hAnsi="Cambria" w:cs="Times New Roman"/>
      <w:b/>
      <w:bCs/>
      <w:kern w:val="32"/>
      <w:sz w:val="32"/>
      <w:szCs w:val="32"/>
    </w:rPr>
  </w:style>
  <w:style w:type="character" w:customStyle="1" w:styleId="296">
    <w:name w:val="UserStyle_48"/>
    <w:qFormat/>
    <w:uiPriority w:val="0"/>
    <w:rPr>
      <w:rFonts w:ascii="Times New Roman" w:hAnsi="Times New Roman" w:eastAsia="Times New Roman"/>
      <w:sz w:val="28"/>
    </w:rPr>
  </w:style>
  <w:style w:type="character" w:customStyle="1" w:styleId="297">
    <w:name w:val="UserStyle_49"/>
    <w:qFormat/>
    <w:uiPriority w:val="0"/>
    <w:rPr>
      <w:rFonts w:ascii="宋体" w:hAnsi="宋体" w:eastAsia="宋体"/>
      <w:b/>
      <w:sz w:val="26"/>
    </w:rPr>
  </w:style>
  <w:style w:type="character" w:customStyle="1" w:styleId="298">
    <w:name w:val="UserStyle_50"/>
    <w:qFormat/>
    <w:uiPriority w:val="0"/>
    <w:rPr>
      <w:rFonts w:ascii="宋体" w:hAnsi="宋体" w:eastAsia="宋体"/>
      <w:spacing w:val="20"/>
      <w:sz w:val="24"/>
    </w:rPr>
  </w:style>
  <w:style w:type="character" w:customStyle="1" w:styleId="299">
    <w:name w:val="UserStyle_51"/>
    <w:link w:val="300"/>
    <w:qFormat/>
    <w:locked/>
    <w:uiPriority w:val="0"/>
    <w:rPr>
      <w:rFonts w:ascii="宋体" w:hAnsi="宋体"/>
      <w:kern w:val="2"/>
      <w:sz w:val="21"/>
      <w:szCs w:val="24"/>
    </w:rPr>
  </w:style>
  <w:style w:type="paragraph" w:customStyle="1" w:styleId="300">
    <w:name w:val="BodyTextIndent"/>
    <w:basedOn w:val="1"/>
    <w:next w:val="1"/>
    <w:link w:val="299"/>
    <w:qFormat/>
    <w:uiPriority w:val="0"/>
    <w:pPr>
      <w:widowControl/>
      <w:spacing w:after="120"/>
      <w:ind w:left="420" w:leftChars="200"/>
      <w:textAlignment w:val="baseline"/>
    </w:pPr>
    <w:rPr>
      <w:rFonts w:ascii="宋体" w:hAnsi="宋体"/>
    </w:rPr>
  </w:style>
  <w:style w:type="character" w:customStyle="1" w:styleId="301">
    <w:name w:val="UserStyle_52"/>
    <w:qFormat/>
    <w:uiPriority w:val="0"/>
    <w:rPr>
      <w:kern w:val="2"/>
      <w:sz w:val="18"/>
      <w:szCs w:val="18"/>
    </w:rPr>
  </w:style>
  <w:style w:type="character" w:customStyle="1" w:styleId="302">
    <w:name w:val="UserStyle_54"/>
    <w:qFormat/>
    <w:uiPriority w:val="0"/>
    <w:rPr>
      <w:rFonts w:ascii="宋体" w:hAnsi="宋体" w:eastAsia="宋体"/>
      <w:kern w:val="2"/>
      <w:sz w:val="24"/>
      <w:lang w:val="en-US" w:eastAsia="zh-CN" w:bidi="ar-SA"/>
    </w:rPr>
  </w:style>
  <w:style w:type="character" w:customStyle="1" w:styleId="303">
    <w:name w:val="UserStyle_55"/>
    <w:link w:val="304"/>
    <w:qFormat/>
    <w:locked/>
    <w:uiPriority w:val="0"/>
    <w:rPr>
      <w:rFonts w:ascii="宋体" w:hAnsi="宋体"/>
      <w:kern w:val="2"/>
      <w:sz w:val="16"/>
      <w:szCs w:val="16"/>
    </w:rPr>
  </w:style>
  <w:style w:type="paragraph" w:customStyle="1" w:styleId="304">
    <w:name w:val="BodyTextIndent3"/>
    <w:basedOn w:val="1"/>
    <w:link w:val="303"/>
    <w:qFormat/>
    <w:uiPriority w:val="0"/>
    <w:pPr>
      <w:widowControl/>
      <w:spacing w:after="120"/>
      <w:ind w:left="420" w:leftChars="200"/>
      <w:textAlignment w:val="baseline"/>
    </w:pPr>
    <w:rPr>
      <w:rFonts w:ascii="宋体" w:hAnsi="宋体"/>
      <w:sz w:val="16"/>
      <w:szCs w:val="16"/>
    </w:rPr>
  </w:style>
  <w:style w:type="character" w:customStyle="1" w:styleId="305">
    <w:name w:val="UserStyle_56"/>
    <w:link w:val="306"/>
    <w:qFormat/>
    <w:locked/>
    <w:uiPriority w:val="0"/>
    <w:rPr>
      <w:rFonts w:ascii="宋体" w:hAnsi="宋体"/>
      <w:sz w:val="21"/>
      <w:szCs w:val="21"/>
    </w:rPr>
  </w:style>
  <w:style w:type="paragraph" w:customStyle="1" w:styleId="306">
    <w:name w:val="UserStyle_57"/>
    <w:basedOn w:val="1"/>
    <w:link w:val="305"/>
    <w:qFormat/>
    <w:uiPriority w:val="0"/>
    <w:pPr>
      <w:widowControl/>
      <w:textAlignment w:val="baseline"/>
    </w:pPr>
    <w:rPr>
      <w:rFonts w:ascii="宋体" w:hAnsi="宋体"/>
      <w:kern w:val="0"/>
      <w:szCs w:val="21"/>
    </w:rPr>
  </w:style>
  <w:style w:type="character" w:customStyle="1" w:styleId="307">
    <w:name w:val="UserStyle_58"/>
    <w:qFormat/>
    <w:uiPriority w:val="0"/>
    <w:rPr>
      <w:rFonts w:ascii="Times New Roman" w:hAnsi="Times New Roman" w:eastAsia="Times New Roman"/>
      <w:sz w:val="20"/>
    </w:rPr>
  </w:style>
  <w:style w:type="character" w:customStyle="1" w:styleId="308">
    <w:name w:val="UserStyle_60"/>
    <w:qFormat/>
    <w:uiPriority w:val="0"/>
    <w:rPr>
      <w:rFonts w:ascii="宋体" w:hAnsi="宋体" w:eastAsia="宋体"/>
      <w:spacing w:val="30"/>
      <w:sz w:val="24"/>
    </w:rPr>
  </w:style>
  <w:style w:type="character" w:customStyle="1" w:styleId="309">
    <w:name w:val="UserStyle_61"/>
    <w:qFormat/>
    <w:uiPriority w:val="0"/>
    <w:rPr>
      <w:rFonts w:ascii="Arial" w:hAnsi="Arial" w:eastAsia="黑体" w:cs="Arial"/>
      <w:b/>
      <w:bCs/>
      <w:sz w:val="24"/>
      <w:szCs w:val="24"/>
    </w:rPr>
  </w:style>
  <w:style w:type="character" w:customStyle="1" w:styleId="310">
    <w:name w:val="UserStyle_62"/>
    <w:qFormat/>
    <w:uiPriority w:val="0"/>
    <w:rPr>
      <w:rFonts w:ascii="Times New Roman" w:hAnsi="Times New Roman" w:eastAsia="Times New Roman"/>
      <w:sz w:val="16"/>
    </w:rPr>
  </w:style>
  <w:style w:type="character" w:customStyle="1" w:styleId="311">
    <w:name w:val="UserStyle_63"/>
    <w:qFormat/>
    <w:uiPriority w:val="0"/>
    <w:rPr>
      <w:rFonts w:ascii="宋体" w:hAnsi="宋体" w:eastAsia="宋体"/>
    </w:rPr>
  </w:style>
  <w:style w:type="character" w:customStyle="1" w:styleId="312">
    <w:name w:val="UserStyle_64"/>
    <w:qFormat/>
    <w:uiPriority w:val="0"/>
    <w:rPr>
      <w:rFonts w:ascii="Arial" w:hAnsi="Arial" w:eastAsia="黑体"/>
      <w:sz w:val="21"/>
      <w:szCs w:val="21"/>
    </w:rPr>
  </w:style>
  <w:style w:type="character" w:customStyle="1" w:styleId="313">
    <w:name w:val="UserStyle_66"/>
    <w:qFormat/>
    <w:uiPriority w:val="0"/>
    <w:rPr>
      <w:rFonts w:ascii="Times New Roman" w:hAnsi="Times New Roman" w:eastAsia="宋体"/>
    </w:rPr>
  </w:style>
  <w:style w:type="character" w:customStyle="1" w:styleId="314">
    <w:name w:val="UserStyle_67"/>
    <w:qFormat/>
    <w:uiPriority w:val="0"/>
    <w:rPr>
      <w:rFonts w:ascii="Times New Roman" w:hAnsi="Times New Roman" w:eastAsia="宋体"/>
      <w:b/>
      <w:vanish/>
      <w:color w:val="1F8DEF"/>
      <w:sz w:val="24"/>
      <w:szCs w:val="24"/>
    </w:rPr>
  </w:style>
  <w:style w:type="character" w:customStyle="1" w:styleId="315">
    <w:name w:val="UserStyle_68"/>
    <w:qFormat/>
    <w:uiPriority w:val="0"/>
    <w:rPr>
      <w:rFonts w:ascii="Times New Roman" w:hAnsi="Times New Roman" w:eastAsia="宋体"/>
    </w:rPr>
  </w:style>
  <w:style w:type="character" w:customStyle="1" w:styleId="316">
    <w:name w:val="UserStyle_69"/>
    <w:link w:val="317"/>
    <w:qFormat/>
    <w:locked/>
    <w:uiPriority w:val="0"/>
    <w:rPr>
      <w:rFonts w:ascii="宋体" w:hAnsi="宋体"/>
      <w:kern w:val="2"/>
      <w:sz w:val="18"/>
      <w:szCs w:val="18"/>
    </w:rPr>
  </w:style>
  <w:style w:type="paragraph" w:customStyle="1" w:styleId="317">
    <w:name w:val="页脚1"/>
    <w:basedOn w:val="1"/>
    <w:link w:val="316"/>
    <w:qFormat/>
    <w:uiPriority w:val="0"/>
    <w:pPr>
      <w:widowControl/>
      <w:tabs>
        <w:tab w:val="center" w:pos="4153"/>
        <w:tab w:val="right" w:pos="8306"/>
      </w:tabs>
      <w:snapToGrid w:val="0"/>
      <w:jc w:val="left"/>
      <w:textAlignment w:val="baseline"/>
    </w:pPr>
    <w:rPr>
      <w:rFonts w:ascii="宋体" w:hAnsi="宋体"/>
      <w:sz w:val="18"/>
      <w:szCs w:val="18"/>
    </w:rPr>
  </w:style>
  <w:style w:type="character" w:customStyle="1" w:styleId="318">
    <w:name w:val="UserStyle_70"/>
    <w:qFormat/>
    <w:uiPriority w:val="0"/>
    <w:rPr>
      <w:rFonts w:ascii="Times New Roman" w:hAnsi="Times New Roman" w:eastAsia="Times New Roman"/>
      <w:w w:val="60"/>
      <w:sz w:val="26"/>
    </w:rPr>
  </w:style>
  <w:style w:type="character" w:customStyle="1" w:styleId="319">
    <w:name w:val="UserStyle_71"/>
    <w:qFormat/>
    <w:uiPriority w:val="0"/>
    <w:rPr>
      <w:rFonts w:ascii="宋体" w:hAnsi="宋体" w:eastAsia="宋体"/>
      <w:spacing w:val="20"/>
      <w:sz w:val="22"/>
    </w:rPr>
  </w:style>
  <w:style w:type="character" w:customStyle="1" w:styleId="320">
    <w:name w:val="UserStyle_72"/>
    <w:qFormat/>
    <w:uiPriority w:val="0"/>
    <w:rPr>
      <w:rFonts w:ascii="宋体" w:hAnsi="宋体" w:eastAsia="宋体"/>
      <w:b/>
      <w:sz w:val="32"/>
    </w:rPr>
  </w:style>
  <w:style w:type="character" w:customStyle="1" w:styleId="321">
    <w:name w:val="UserStyle_73"/>
    <w:qFormat/>
    <w:uiPriority w:val="0"/>
    <w:rPr>
      <w:rFonts w:cs="Times New Roman"/>
      <w:b/>
      <w:bCs/>
      <w:kern w:val="2"/>
      <w:sz w:val="21"/>
      <w:szCs w:val="24"/>
    </w:rPr>
  </w:style>
  <w:style w:type="character" w:customStyle="1" w:styleId="322">
    <w:name w:val="UserStyle_74"/>
    <w:qFormat/>
    <w:uiPriority w:val="0"/>
    <w:rPr>
      <w:rFonts w:ascii="Times New Roman" w:hAnsi="Times New Roman" w:eastAsia="宋体"/>
      <w:color w:val="000000"/>
      <w:sz w:val="18"/>
      <w:szCs w:val="18"/>
    </w:rPr>
  </w:style>
  <w:style w:type="character" w:customStyle="1" w:styleId="323">
    <w:name w:val="UserStyle_75"/>
    <w:qFormat/>
    <w:uiPriority w:val="0"/>
    <w:rPr>
      <w:rFonts w:ascii="黑体" w:hAnsi="黑体" w:eastAsia="黑体"/>
      <w:spacing w:val="10"/>
      <w:sz w:val="30"/>
    </w:rPr>
  </w:style>
  <w:style w:type="character" w:customStyle="1" w:styleId="324">
    <w:name w:val="UserStyle_77"/>
    <w:qFormat/>
    <w:uiPriority w:val="0"/>
    <w:rPr>
      <w:rFonts w:ascii="Times New Roman" w:hAnsi="Times New Roman" w:eastAsia="宋体"/>
    </w:rPr>
  </w:style>
  <w:style w:type="character" w:customStyle="1" w:styleId="325">
    <w:name w:val="UserStyle_79"/>
    <w:qFormat/>
    <w:uiPriority w:val="0"/>
    <w:rPr>
      <w:rFonts w:ascii="Times New Roman" w:hAnsi="Times New Roman" w:eastAsia="宋体"/>
    </w:rPr>
  </w:style>
  <w:style w:type="character" w:customStyle="1" w:styleId="326">
    <w:name w:val="UserStyle_80"/>
    <w:qFormat/>
    <w:uiPriority w:val="0"/>
    <w:rPr>
      <w:rFonts w:ascii="宋体" w:hAnsi="Times New Roman" w:eastAsia="宋体"/>
      <w:b/>
      <w:sz w:val="24"/>
      <w:lang w:val="en-US" w:eastAsia="zh-CN" w:bidi="ar-SA"/>
    </w:rPr>
  </w:style>
  <w:style w:type="character" w:customStyle="1" w:styleId="327">
    <w:name w:val="UserStyle_82"/>
    <w:qFormat/>
    <w:uiPriority w:val="0"/>
    <w:rPr>
      <w:rFonts w:ascii="Arail" w:hAnsi="Arail" w:eastAsia="Arail"/>
      <w:color w:val="999999"/>
      <w:sz w:val="21"/>
      <w:szCs w:val="21"/>
    </w:rPr>
  </w:style>
  <w:style w:type="character" w:customStyle="1" w:styleId="328">
    <w:name w:val="UserStyle_83"/>
    <w:qFormat/>
    <w:uiPriority w:val="0"/>
    <w:rPr>
      <w:kern w:val="2"/>
      <w:sz w:val="18"/>
      <w:szCs w:val="18"/>
    </w:rPr>
  </w:style>
  <w:style w:type="character" w:customStyle="1" w:styleId="329">
    <w:name w:val="UserStyle_86"/>
    <w:qFormat/>
    <w:uiPriority w:val="0"/>
    <w:rPr>
      <w:rFonts w:ascii="宋体" w:hAnsi="MS Sans Serif" w:eastAsia="宋体"/>
      <w:color w:val="000000"/>
      <w:sz w:val="24"/>
    </w:rPr>
  </w:style>
  <w:style w:type="character" w:customStyle="1" w:styleId="330">
    <w:name w:val="UserStyle_87"/>
    <w:qFormat/>
    <w:uiPriority w:val="0"/>
    <w:rPr>
      <w:rFonts w:ascii="Times New Roman" w:hAnsi="Times New Roman" w:eastAsia="宋体"/>
    </w:rPr>
  </w:style>
  <w:style w:type="character" w:customStyle="1" w:styleId="331">
    <w:name w:val="UserStyle_89"/>
    <w:qFormat/>
    <w:uiPriority w:val="0"/>
    <w:rPr>
      <w:rFonts w:ascii="宋体" w:hAnsi="Times New Roman" w:eastAsia="宋体"/>
      <w:b/>
      <w:sz w:val="28"/>
      <w:lang w:val="en-US" w:eastAsia="zh-CN" w:bidi="ar-SA"/>
    </w:rPr>
  </w:style>
  <w:style w:type="character" w:customStyle="1" w:styleId="332">
    <w:name w:val="UserStyle_90"/>
    <w:qFormat/>
    <w:uiPriority w:val="0"/>
    <w:rPr>
      <w:rFonts w:ascii="宋体" w:hAnsi="宋体" w:eastAsia="宋体"/>
      <w:kern w:val="2"/>
      <w:sz w:val="18"/>
      <w:szCs w:val="18"/>
      <w:lang w:val="en-US" w:eastAsia="zh-CN" w:bidi="ar-SA"/>
    </w:rPr>
  </w:style>
  <w:style w:type="character" w:customStyle="1" w:styleId="333">
    <w:name w:val="UserStyle_91"/>
    <w:qFormat/>
    <w:uiPriority w:val="0"/>
    <w:rPr>
      <w:rFonts w:ascii="Cambria" w:hAnsi="Cambria"/>
      <w:b/>
      <w:kern w:val="2"/>
      <w:sz w:val="32"/>
      <w:szCs w:val="24"/>
    </w:rPr>
  </w:style>
  <w:style w:type="character" w:customStyle="1" w:styleId="334">
    <w:name w:val="UserStyle_92"/>
    <w:qFormat/>
    <w:uiPriority w:val="0"/>
    <w:rPr>
      <w:rFonts w:ascii="Times New Roman" w:hAnsi="Times New Roman" w:eastAsia="宋体"/>
      <w:color w:val="AAAAAA"/>
      <w:sz w:val="18"/>
      <w:szCs w:val="18"/>
    </w:rPr>
  </w:style>
  <w:style w:type="character" w:customStyle="1" w:styleId="335">
    <w:name w:val="UserStyle_93"/>
    <w:qFormat/>
    <w:uiPriority w:val="0"/>
    <w:rPr>
      <w:rFonts w:ascii="宋体" w:hAnsi="宋体" w:eastAsia="宋体"/>
      <w:spacing w:val="30"/>
      <w:sz w:val="18"/>
    </w:rPr>
  </w:style>
  <w:style w:type="paragraph" w:customStyle="1" w:styleId="336">
    <w:name w:val="UserStyle_94"/>
    <w:basedOn w:val="1"/>
    <w:qFormat/>
    <w:uiPriority w:val="0"/>
    <w:pPr>
      <w:widowControl/>
      <w:textAlignment w:val="baseline"/>
    </w:pPr>
    <w:rPr>
      <w:rFonts w:ascii="Calibri" w:hAnsi="Calibri"/>
      <w:kern w:val="0"/>
      <w:sz w:val="20"/>
      <w:szCs w:val="20"/>
    </w:rPr>
  </w:style>
  <w:style w:type="paragraph" w:customStyle="1" w:styleId="337">
    <w:name w:val="UserStyle_95"/>
    <w:basedOn w:val="225"/>
    <w:qFormat/>
    <w:uiPriority w:val="0"/>
    <w:pPr>
      <w:spacing w:before="100" w:line="400" w:lineRule="exact"/>
    </w:pPr>
    <w:rPr>
      <w:rFonts w:ascii="Times New Roman" w:hAnsi="Times New Roman" w:eastAsia="黑体"/>
      <w:b w:val="0"/>
      <w:bCs w:val="0"/>
      <w:sz w:val="28"/>
      <w:szCs w:val="20"/>
    </w:rPr>
  </w:style>
  <w:style w:type="paragraph" w:customStyle="1" w:styleId="338">
    <w:name w:val="BodyText1I"/>
    <w:basedOn w:val="250"/>
    <w:qFormat/>
    <w:uiPriority w:val="0"/>
    <w:pPr>
      <w:ind w:firstLine="420"/>
    </w:pPr>
    <w:rPr>
      <w:szCs w:val="20"/>
    </w:rPr>
  </w:style>
  <w:style w:type="paragraph" w:customStyle="1" w:styleId="339">
    <w:name w:val="HtmlNormal"/>
    <w:basedOn w:val="1"/>
    <w:qFormat/>
    <w:uiPriority w:val="0"/>
    <w:pPr>
      <w:widowControl/>
      <w:spacing w:before="100" w:beforeAutospacing="1" w:after="100" w:afterAutospacing="1"/>
      <w:jc w:val="left"/>
      <w:textAlignment w:val="baseline"/>
    </w:pPr>
    <w:rPr>
      <w:rFonts w:ascii="宋体" w:hAnsi="宋体"/>
      <w:kern w:val="0"/>
      <w:sz w:val="24"/>
    </w:rPr>
  </w:style>
  <w:style w:type="paragraph" w:customStyle="1" w:styleId="340">
    <w:name w:val="Index1"/>
    <w:basedOn w:val="1"/>
    <w:next w:val="1"/>
    <w:qFormat/>
    <w:uiPriority w:val="0"/>
    <w:pPr>
      <w:widowControl/>
      <w:spacing w:line="220" w:lineRule="exact"/>
      <w:jc w:val="center"/>
      <w:textAlignment w:val="baseline"/>
    </w:pPr>
    <w:rPr>
      <w:rFonts w:ascii="仿宋_GB2312" w:hAnsi="Calibri" w:eastAsia="仿宋_GB2312"/>
      <w:szCs w:val="20"/>
    </w:rPr>
  </w:style>
  <w:style w:type="paragraph" w:customStyle="1" w:styleId="341">
    <w:name w:val="TOC4"/>
    <w:basedOn w:val="1"/>
    <w:next w:val="1"/>
    <w:qFormat/>
    <w:uiPriority w:val="0"/>
    <w:pPr>
      <w:widowControl/>
      <w:ind w:left="1260" w:leftChars="600"/>
      <w:textAlignment w:val="baseline"/>
    </w:pPr>
    <w:rPr>
      <w:rFonts w:ascii="Calibri" w:hAnsi="Calibri"/>
    </w:rPr>
  </w:style>
  <w:style w:type="paragraph" w:customStyle="1" w:styleId="342">
    <w:name w:val="BodyText1I2"/>
    <w:basedOn w:val="300"/>
    <w:qFormat/>
    <w:uiPriority w:val="0"/>
    <w:pPr>
      <w:ind w:firstLine="482" w:firstLineChars="200"/>
    </w:pPr>
    <w:rPr>
      <w:rFonts w:ascii="Calibri" w:hAnsi="Calibri"/>
      <w:b/>
      <w:sz w:val="24"/>
    </w:rPr>
  </w:style>
  <w:style w:type="paragraph" w:customStyle="1" w:styleId="343">
    <w:name w:val="TOC6"/>
    <w:basedOn w:val="1"/>
    <w:next w:val="1"/>
    <w:qFormat/>
    <w:uiPriority w:val="0"/>
    <w:pPr>
      <w:widowControl/>
      <w:ind w:left="2100" w:leftChars="1000"/>
      <w:textAlignment w:val="baseline"/>
    </w:pPr>
    <w:rPr>
      <w:rFonts w:ascii="Calibri" w:hAnsi="Calibri"/>
      <w:szCs w:val="22"/>
    </w:rPr>
  </w:style>
  <w:style w:type="paragraph" w:customStyle="1" w:styleId="344">
    <w:name w:val="TOC7"/>
    <w:basedOn w:val="1"/>
    <w:next w:val="1"/>
    <w:qFormat/>
    <w:uiPriority w:val="0"/>
    <w:pPr>
      <w:widowControl/>
      <w:ind w:left="2520" w:leftChars="1200"/>
      <w:textAlignment w:val="baseline"/>
    </w:pPr>
    <w:rPr>
      <w:rFonts w:ascii="Calibri" w:hAnsi="Calibri"/>
      <w:szCs w:val="22"/>
    </w:rPr>
  </w:style>
  <w:style w:type="paragraph" w:customStyle="1" w:styleId="345">
    <w:name w:val="TOC5"/>
    <w:basedOn w:val="1"/>
    <w:next w:val="1"/>
    <w:qFormat/>
    <w:uiPriority w:val="0"/>
    <w:pPr>
      <w:widowControl/>
      <w:ind w:left="1680" w:leftChars="800"/>
      <w:textAlignment w:val="baseline"/>
    </w:pPr>
    <w:rPr>
      <w:rFonts w:ascii="Calibri" w:hAnsi="Calibri"/>
      <w:szCs w:val="22"/>
    </w:rPr>
  </w:style>
  <w:style w:type="paragraph" w:customStyle="1" w:styleId="346">
    <w:name w:val="UserStyle_96"/>
    <w:basedOn w:val="1"/>
    <w:qFormat/>
    <w:uiPriority w:val="0"/>
    <w:pPr>
      <w:widowControl/>
      <w:spacing w:line="564" w:lineRule="exact"/>
      <w:ind w:hanging="115"/>
      <w:textAlignment w:val="baseline"/>
    </w:pPr>
    <w:rPr>
      <w:rFonts w:ascii="Calibri" w:hAnsi="Calibri"/>
    </w:rPr>
  </w:style>
  <w:style w:type="paragraph" w:customStyle="1" w:styleId="347">
    <w:name w:val="UserStyle_97"/>
    <w:basedOn w:val="1"/>
    <w:qFormat/>
    <w:uiPriority w:val="0"/>
    <w:pPr>
      <w:widowControl/>
      <w:spacing w:after="160" w:line="240" w:lineRule="exact"/>
      <w:jc w:val="left"/>
      <w:textAlignment w:val="baseline"/>
    </w:pPr>
    <w:rPr>
      <w:rFonts w:ascii="Verdana" w:hAnsi="Verdana"/>
      <w:kern w:val="0"/>
      <w:sz w:val="20"/>
      <w:szCs w:val="20"/>
      <w:lang w:eastAsia="en-US"/>
    </w:rPr>
  </w:style>
  <w:style w:type="paragraph" w:customStyle="1" w:styleId="348">
    <w:name w:val="UserStyle_98"/>
    <w:basedOn w:val="1"/>
    <w:qFormat/>
    <w:uiPriority w:val="0"/>
    <w:pPr>
      <w:widowControl/>
      <w:textAlignment w:val="baseline"/>
    </w:pPr>
    <w:rPr>
      <w:rFonts w:ascii="Calibri" w:hAnsi="Calibri"/>
    </w:rPr>
  </w:style>
  <w:style w:type="paragraph" w:customStyle="1" w:styleId="349">
    <w:name w:val="BodyText2"/>
    <w:basedOn w:val="1"/>
    <w:qFormat/>
    <w:uiPriority w:val="0"/>
    <w:pPr>
      <w:widowControl/>
      <w:spacing w:after="120" w:line="480" w:lineRule="auto"/>
      <w:textAlignment w:val="baseline"/>
    </w:pPr>
    <w:rPr>
      <w:rFonts w:ascii="Calibri" w:hAnsi="Calibri"/>
    </w:rPr>
  </w:style>
  <w:style w:type="paragraph" w:customStyle="1" w:styleId="350">
    <w:name w:val="BodyText3"/>
    <w:basedOn w:val="1"/>
    <w:qFormat/>
    <w:uiPriority w:val="0"/>
    <w:pPr>
      <w:widowControl/>
      <w:spacing w:line="410" w:lineRule="atLeast"/>
      <w:jc w:val="left"/>
      <w:textAlignment w:val="baseline"/>
    </w:pPr>
    <w:rPr>
      <w:rFonts w:ascii="宋体" w:hAnsi="Calibri"/>
      <w:color w:val="000000"/>
      <w:kern w:val="0"/>
      <w:sz w:val="24"/>
      <w:szCs w:val="20"/>
    </w:rPr>
  </w:style>
  <w:style w:type="paragraph" w:customStyle="1" w:styleId="351">
    <w:name w:val="TOC9"/>
    <w:basedOn w:val="1"/>
    <w:next w:val="1"/>
    <w:qFormat/>
    <w:uiPriority w:val="0"/>
    <w:pPr>
      <w:widowControl/>
      <w:ind w:left="3360" w:leftChars="1600"/>
      <w:textAlignment w:val="baseline"/>
    </w:pPr>
    <w:rPr>
      <w:rFonts w:ascii="Calibri" w:hAnsi="Calibri"/>
      <w:szCs w:val="22"/>
    </w:rPr>
  </w:style>
  <w:style w:type="paragraph" w:customStyle="1" w:styleId="352">
    <w:name w:val="UserStyle_99"/>
    <w:basedOn w:val="1"/>
    <w:qFormat/>
    <w:uiPriority w:val="0"/>
    <w:pPr>
      <w:widowControl/>
      <w:textAlignment w:val="baseline"/>
    </w:pPr>
    <w:rPr>
      <w:rFonts w:ascii="Calibri" w:hAnsi="Calibri"/>
    </w:rPr>
  </w:style>
  <w:style w:type="paragraph" w:customStyle="1" w:styleId="353">
    <w:name w:val="NavPane"/>
    <w:basedOn w:val="1"/>
    <w:semiHidden/>
    <w:qFormat/>
    <w:uiPriority w:val="0"/>
    <w:pPr>
      <w:widowControl/>
      <w:shd w:val="clear" w:color="auto" w:fill="000080"/>
      <w:textAlignment w:val="baseline"/>
    </w:pPr>
    <w:rPr>
      <w:rFonts w:ascii="Calibri" w:hAnsi="Calibri"/>
    </w:rPr>
  </w:style>
  <w:style w:type="paragraph" w:customStyle="1" w:styleId="354">
    <w:name w:val="TOC1"/>
    <w:basedOn w:val="1"/>
    <w:next w:val="1"/>
    <w:qFormat/>
    <w:uiPriority w:val="0"/>
    <w:pPr>
      <w:widowControl/>
      <w:tabs>
        <w:tab w:val="right" w:leader="dot" w:pos="8948"/>
      </w:tabs>
      <w:textAlignment w:val="baseline"/>
    </w:pPr>
    <w:rPr>
      <w:rFonts w:ascii="宋体" w:hAnsi="宋体"/>
    </w:rPr>
  </w:style>
  <w:style w:type="paragraph" w:customStyle="1" w:styleId="355">
    <w:name w:val="BodyTextIndent2"/>
    <w:basedOn w:val="1"/>
    <w:qFormat/>
    <w:uiPriority w:val="0"/>
    <w:pPr>
      <w:widowControl/>
      <w:spacing w:after="120" w:line="480" w:lineRule="auto"/>
      <w:ind w:left="420" w:leftChars="200"/>
      <w:textAlignment w:val="baseline"/>
    </w:pPr>
    <w:rPr>
      <w:rFonts w:ascii="Calibri" w:hAnsi="Calibri"/>
    </w:rPr>
  </w:style>
  <w:style w:type="paragraph" w:customStyle="1" w:styleId="356">
    <w:name w:val="UserStyle_100"/>
    <w:basedOn w:val="1"/>
    <w:qFormat/>
    <w:uiPriority w:val="0"/>
    <w:pPr>
      <w:widowControl/>
      <w:spacing w:line="566" w:lineRule="exact"/>
      <w:ind w:firstLine="552"/>
      <w:textAlignment w:val="baseline"/>
    </w:pPr>
    <w:rPr>
      <w:rFonts w:ascii="Calibri" w:hAnsi="Calibri"/>
    </w:rPr>
  </w:style>
  <w:style w:type="paragraph" w:customStyle="1" w:styleId="357">
    <w:name w:val="UserStyle_101"/>
    <w:basedOn w:val="1"/>
    <w:qFormat/>
    <w:uiPriority w:val="0"/>
    <w:pPr>
      <w:widowControl/>
      <w:ind w:firstLine="420"/>
      <w:textAlignment w:val="baseline"/>
    </w:pPr>
  </w:style>
  <w:style w:type="paragraph" w:customStyle="1" w:styleId="358">
    <w:name w:val="TOC8"/>
    <w:basedOn w:val="1"/>
    <w:next w:val="1"/>
    <w:qFormat/>
    <w:uiPriority w:val="0"/>
    <w:pPr>
      <w:widowControl/>
      <w:ind w:left="2940" w:leftChars="1400"/>
      <w:textAlignment w:val="baseline"/>
    </w:pPr>
    <w:rPr>
      <w:rFonts w:ascii="Calibri" w:hAnsi="Calibri"/>
      <w:szCs w:val="22"/>
    </w:rPr>
  </w:style>
  <w:style w:type="paragraph" w:customStyle="1" w:styleId="359">
    <w:name w:val="UserStyle_102"/>
    <w:basedOn w:val="1"/>
    <w:qFormat/>
    <w:uiPriority w:val="0"/>
    <w:pPr>
      <w:widowControl/>
      <w:textAlignment w:val="baseline"/>
    </w:pPr>
    <w:rPr>
      <w:rFonts w:ascii="Calibri" w:hAnsi="Calibri"/>
    </w:rPr>
  </w:style>
  <w:style w:type="paragraph" w:customStyle="1" w:styleId="360">
    <w:name w:val="HtmlPre"/>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textAlignment w:val="baseline"/>
    </w:pPr>
    <w:rPr>
      <w:rFonts w:ascii="Arial" w:hAnsi="Arial"/>
      <w:kern w:val="0"/>
      <w:sz w:val="24"/>
    </w:rPr>
  </w:style>
  <w:style w:type="paragraph" w:customStyle="1" w:styleId="361">
    <w:name w:val="TOC3"/>
    <w:basedOn w:val="1"/>
    <w:next w:val="1"/>
    <w:qFormat/>
    <w:uiPriority w:val="0"/>
    <w:pPr>
      <w:widowControl/>
      <w:ind w:left="840" w:leftChars="400"/>
      <w:textAlignment w:val="baseline"/>
    </w:pPr>
    <w:rPr>
      <w:rFonts w:ascii="Calibri" w:hAnsi="Calibri"/>
    </w:rPr>
  </w:style>
  <w:style w:type="paragraph" w:customStyle="1" w:styleId="362">
    <w:name w:val="BlockQuote"/>
    <w:basedOn w:val="1"/>
    <w:qFormat/>
    <w:uiPriority w:val="0"/>
    <w:pPr>
      <w:widowControl/>
      <w:ind w:left="1171" w:right="91" w:hanging="1080"/>
      <w:textAlignment w:val="baseline"/>
    </w:pPr>
    <w:rPr>
      <w:rFonts w:ascii="Calibri" w:hAnsi="Calibri" w:eastAsia="楷体_GB2312"/>
      <w:szCs w:val="20"/>
    </w:rPr>
  </w:style>
  <w:style w:type="paragraph" w:customStyle="1" w:styleId="363">
    <w:name w:val="NormalIndent"/>
    <w:basedOn w:val="1"/>
    <w:qFormat/>
    <w:uiPriority w:val="0"/>
    <w:pPr>
      <w:widowControl/>
      <w:ind w:firstLine="420"/>
      <w:jc w:val="left"/>
      <w:textAlignment w:val="baseline"/>
    </w:pPr>
    <w:rPr>
      <w:rFonts w:ascii="Calibri" w:hAnsi="Calibri"/>
      <w:kern w:val="0"/>
      <w:sz w:val="20"/>
      <w:szCs w:val="20"/>
    </w:rPr>
  </w:style>
  <w:style w:type="paragraph" w:customStyle="1" w:styleId="364">
    <w:name w:val="UserStyle_103"/>
    <w:basedOn w:val="1"/>
    <w:qFormat/>
    <w:uiPriority w:val="0"/>
    <w:pPr>
      <w:widowControl/>
      <w:spacing w:line="566" w:lineRule="exact"/>
      <w:ind w:firstLine="682"/>
      <w:textAlignment w:val="baseline"/>
    </w:pPr>
    <w:rPr>
      <w:rFonts w:ascii="Calibri" w:hAnsi="Calibri"/>
    </w:rPr>
  </w:style>
  <w:style w:type="paragraph" w:customStyle="1" w:styleId="365">
    <w:name w:val="TOC2"/>
    <w:basedOn w:val="1"/>
    <w:next w:val="1"/>
    <w:qFormat/>
    <w:uiPriority w:val="0"/>
    <w:pPr>
      <w:widowControl/>
      <w:ind w:left="420" w:leftChars="200"/>
      <w:textAlignment w:val="baseline"/>
    </w:pPr>
    <w:rPr>
      <w:rFonts w:ascii="Calibri" w:hAnsi="Calibri"/>
    </w:rPr>
  </w:style>
  <w:style w:type="paragraph" w:customStyle="1" w:styleId="366">
    <w:name w:val="UserStyle_104"/>
    <w:basedOn w:val="1"/>
    <w:qFormat/>
    <w:uiPriority w:val="0"/>
    <w:pPr>
      <w:widowControl/>
      <w:textAlignment w:val="baseline"/>
    </w:pPr>
    <w:rPr>
      <w:rFonts w:ascii="Calibri" w:hAnsi="Calibri"/>
    </w:rPr>
  </w:style>
  <w:style w:type="paragraph" w:customStyle="1" w:styleId="367">
    <w:name w:val="UserStyle_105"/>
    <w:basedOn w:val="1"/>
    <w:qFormat/>
    <w:uiPriority w:val="0"/>
    <w:pPr>
      <w:widowControl/>
      <w:spacing w:line="375" w:lineRule="exact"/>
      <w:textAlignment w:val="baseline"/>
    </w:pPr>
    <w:rPr>
      <w:rFonts w:ascii="Calibri" w:hAnsi="Calibri"/>
    </w:rPr>
  </w:style>
  <w:style w:type="paragraph" w:customStyle="1" w:styleId="368">
    <w:name w:val="UserStyle_106"/>
    <w:basedOn w:val="1"/>
    <w:qFormat/>
    <w:uiPriority w:val="0"/>
    <w:pPr>
      <w:widowControl/>
      <w:jc w:val="right"/>
      <w:textAlignment w:val="baseline"/>
    </w:pPr>
    <w:rPr>
      <w:rFonts w:ascii="Calibri" w:hAnsi="Calibri"/>
    </w:rPr>
  </w:style>
  <w:style w:type="paragraph" w:customStyle="1" w:styleId="369">
    <w:name w:val="UserStyle_107"/>
    <w:basedOn w:val="1"/>
    <w:qFormat/>
    <w:uiPriority w:val="0"/>
    <w:pPr>
      <w:widowControl/>
      <w:spacing w:before="100" w:after="100"/>
      <w:ind w:left="360" w:right="360"/>
      <w:jc w:val="left"/>
      <w:textAlignment w:val="baseline"/>
    </w:pPr>
    <w:rPr>
      <w:rFonts w:ascii="Calibri" w:hAnsi="Calibri"/>
      <w:kern w:val="0"/>
      <w:sz w:val="24"/>
      <w:szCs w:val="20"/>
    </w:rPr>
  </w:style>
  <w:style w:type="paragraph" w:customStyle="1" w:styleId="370">
    <w:name w:val="UserStyle_108"/>
    <w:basedOn w:val="1"/>
    <w:qFormat/>
    <w:uiPriority w:val="0"/>
    <w:pPr>
      <w:widowControl/>
      <w:textAlignment w:val="baseline"/>
    </w:pPr>
    <w:rPr>
      <w:rFonts w:ascii="Calibri" w:hAnsi="Calibri"/>
    </w:rPr>
  </w:style>
  <w:style w:type="paragraph" w:customStyle="1" w:styleId="371">
    <w:name w:val="UserStyle_109"/>
    <w:basedOn w:val="1"/>
    <w:qFormat/>
    <w:uiPriority w:val="0"/>
    <w:pPr>
      <w:widowControl/>
      <w:spacing w:line="240" w:lineRule="atLeast"/>
      <w:jc w:val="center"/>
      <w:textAlignment w:val="baseline"/>
    </w:pPr>
    <w:rPr>
      <w:rFonts w:ascii="仿宋_GB2312" w:hAnsi="宋体" w:eastAsia="仿宋_GB2312"/>
      <w:kern w:val="0"/>
      <w:szCs w:val="21"/>
    </w:rPr>
  </w:style>
  <w:style w:type="paragraph" w:customStyle="1" w:styleId="372">
    <w:name w:val="UserStyle_110"/>
    <w:basedOn w:val="1"/>
    <w:qFormat/>
    <w:uiPriority w:val="0"/>
    <w:pPr>
      <w:widowControl/>
      <w:spacing w:line="566" w:lineRule="exact"/>
      <w:jc w:val="center"/>
      <w:textAlignment w:val="baseline"/>
    </w:pPr>
    <w:rPr>
      <w:rFonts w:ascii="Calibri" w:hAnsi="Calibri"/>
    </w:rPr>
  </w:style>
  <w:style w:type="paragraph" w:customStyle="1" w:styleId="373">
    <w:name w:val="UserStyle_111"/>
    <w:basedOn w:val="1"/>
    <w:qFormat/>
    <w:uiPriority w:val="0"/>
    <w:pPr>
      <w:widowControl/>
      <w:textAlignment w:val="baseline"/>
    </w:pPr>
    <w:rPr>
      <w:rFonts w:ascii="Calibri" w:hAnsi="Calibri"/>
    </w:rPr>
  </w:style>
  <w:style w:type="paragraph" w:customStyle="1" w:styleId="374">
    <w:name w:val="UserStyle_112"/>
    <w:basedOn w:val="1"/>
    <w:qFormat/>
    <w:uiPriority w:val="0"/>
    <w:pPr>
      <w:widowControl/>
      <w:tabs>
        <w:tab w:val="left" w:pos="907"/>
      </w:tabs>
      <w:spacing w:line="360" w:lineRule="auto"/>
      <w:textAlignment w:val="baseline"/>
    </w:pPr>
    <w:rPr>
      <w:rFonts w:ascii="宋体" w:hAnsi="宋体"/>
      <w:sz w:val="24"/>
    </w:rPr>
  </w:style>
  <w:style w:type="paragraph" w:customStyle="1" w:styleId="375">
    <w:name w:val="UserStyle_113"/>
    <w:basedOn w:val="1"/>
    <w:qFormat/>
    <w:uiPriority w:val="0"/>
    <w:pPr>
      <w:widowControl/>
      <w:textAlignment w:val="baseline"/>
    </w:pPr>
    <w:rPr>
      <w:rFonts w:ascii="宋体" w:hAnsi="宋体"/>
      <w:b/>
      <w:sz w:val="28"/>
      <w:szCs w:val="28"/>
    </w:rPr>
  </w:style>
  <w:style w:type="paragraph" w:customStyle="1" w:styleId="376">
    <w:name w:val="UserStyle_114"/>
    <w:basedOn w:val="1"/>
    <w:qFormat/>
    <w:uiPriority w:val="0"/>
    <w:pPr>
      <w:widowControl/>
      <w:spacing w:after="160" w:line="240" w:lineRule="exact"/>
      <w:jc w:val="left"/>
      <w:textAlignment w:val="baseline"/>
    </w:pPr>
    <w:rPr>
      <w:rFonts w:ascii="Calibri" w:hAnsi="Calibri"/>
    </w:rPr>
  </w:style>
  <w:style w:type="paragraph" w:customStyle="1" w:styleId="377">
    <w:name w:val="UserStyle_115"/>
    <w:basedOn w:val="378"/>
    <w:qFormat/>
    <w:uiPriority w:val="0"/>
    <w:pPr>
      <w:tabs>
        <w:tab w:val="left" w:pos="360"/>
        <w:tab w:val="left" w:pos="720"/>
        <w:tab w:val="left" w:pos="6405"/>
      </w:tabs>
      <w:spacing w:after="200"/>
    </w:pPr>
    <w:rPr>
      <w:sz w:val="21"/>
    </w:rPr>
  </w:style>
  <w:style w:type="paragraph" w:customStyle="1" w:styleId="378">
    <w:name w:val="UserStyle_116"/>
    <w:next w:val="1"/>
    <w:qFormat/>
    <w:uiPriority w:val="0"/>
    <w:pPr>
      <w:shd w:val="clear" w:color="auto" w:fill="FFFFFF"/>
      <w:tabs>
        <w:tab w:val="left" w:pos="360"/>
        <w:tab w:val="left" w:pos="720"/>
      </w:tabs>
      <w:spacing w:before="640" w:after="560"/>
      <w:ind w:left="720" w:hanging="720"/>
      <w:jc w:val="center"/>
      <w:textAlignment w:val="baseline"/>
    </w:pPr>
    <w:rPr>
      <w:rFonts w:ascii="黑体" w:hAnsi="Calibri" w:eastAsia="黑体" w:cs="Times New Roman"/>
      <w:sz w:val="32"/>
      <w:lang w:val="en-US" w:eastAsia="zh-CN" w:bidi="ar-SA"/>
    </w:rPr>
  </w:style>
  <w:style w:type="paragraph" w:customStyle="1" w:styleId="379">
    <w:name w:val="UserStyle_117"/>
    <w:basedOn w:val="1"/>
    <w:qFormat/>
    <w:uiPriority w:val="0"/>
    <w:pPr>
      <w:widowControl/>
      <w:spacing w:line="557" w:lineRule="exact"/>
      <w:ind w:firstLine="1666"/>
      <w:textAlignment w:val="baseline"/>
    </w:pPr>
    <w:rPr>
      <w:rFonts w:ascii="Calibri" w:hAnsi="Calibri"/>
    </w:rPr>
  </w:style>
  <w:style w:type="paragraph" w:customStyle="1" w:styleId="380">
    <w:name w:val="UserStyle_118"/>
    <w:basedOn w:val="1"/>
    <w:qFormat/>
    <w:uiPriority w:val="0"/>
    <w:pPr>
      <w:widowControl/>
      <w:textAlignment w:val="baseline"/>
    </w:pPr>
    <w:rPr>
      <w:rFonts w:ascii="Calibri" w:hAnsi="Calibri"/>
    </w:rPr>
  </w:style>
  <w:style w:type="paragraph" w:customStyle="1" w:styleId="381">
    <w:name w:val="UserStyle_119"/>
    <w:basedOn w:val="1"/>
    <w:qFormat/>
    <w:uiPriority w:val="0"/>
    <w:pPr>
      <w:widowControl/>
      <w:textAlignment w:val="baseline"/>
    </w:pPr>
    <w:rPr>
      <w:rFonts w:ascii="Calibri" w:hAnsi="Calibri"/>
    </w:rPr>
  </w:style>
  <w:style w:type="paragraph" w:customStyle="1" w:styleId="382">
    <w:name w:val="UserStyle_120"/>
    <w:basedOn w:val="1"/>
    <w:qFormat/>
    <w:uiPriority w:val="0"/>
    <w:pPr>
      <w:widowControl/>
      <w:spacing w:line="413" w:lineRule="exact"/>
      <w:textAlignment w:val="baseline"/>
    </w:pPr>
    <w:rPr>
      <w:rFonts w:ascii="Calibri" w:hAnsi="Calibri"/>
    </w:rPr>
  </w:style>
  <w:style w:type="paragraph" w:customStyle="1" w:styleId="383">
    <w:name w:val="UserStyle_121"/>
    <w:qFormat/>
    <w:uiPriority w:val="0"/>
    <w:pPr>
      <w:jc w:val="both"/>
      <w:textAlignment w:val="baseline"/>
    </w:pPr>
    <w:rPr>
      <w:rFonts w:ascii="Calibri" w:hAnsi="Calibri" w:eastAsia="宋体" w:cs="Times New Roman"/>
      <w:kern w:val="2"/>
      <w:sz w:val="21"/>
      <w:szCs w:val="24"/>
      <w:lang w:val="en-US" w:eastAsia="zh-CN" w:bidi="ar-SA"/>
    </w:rPr>
  </w:style>
  <w:style w:type="paragraph" w:customStyle="1" w:styleId="384">
    <w:name w:val="UserStyle_122"/>
    <w:basedOn w:val="1"/>
    <w:qFormat/>
    <w:uiPriority w:val="0"/>
    <w:pPr>
      <w:widowControl/>
      <w:spacing w:before="100" w:beforeAutospacing="1" w:after="100" w:afterAutospacing="1"/>
      <w:jc w:val="left"/>
      <w:textAlignment w:val="baseline"/>
    </w:pPr>
    <w:rPr>
      <w:rFonts w:ascii="宋体" w:hAnsi="宋体"/>
      <w:kern w:val="0"/>
      <w:sz w:val="24"/>
    </w:rPr>
  </w:style>
  <w:style w:type="paragraph" w:customStyle="1" w:styleId="385">
    <w:name w:val="UserStyle_123"/>
    <w:basedOn w:val="1"/>
    <w:qFormat/>
    <w:uiPriority w:val="0"/>
    <w:pPr>
      <w:widowControl/>
      <w:spacing w:line="542" w:lineRule="exact"/>
      <w:ind w:firstLine="547"/>
      <w:textAlignment w:val="baseline"/>
    </w:pPr>
    <w:rPr>
      <w:rFonts w:ascii="Calibri" w:hAnsi="Calibri"/>
    </w:rPr>
  </w:style>
  <w:style w:type="paragraph" w:customStyle="1" w:styleId="386">
    <w:name w:val="UserStyle_124"/>
    <w:basedOn w:val="1"/>
    <w:qFormat/>
    <w:uiPriority w:val="0"/>
    <w:pPr>
      <w:widowControl/>
      <w:textAlignment w:val="baseline"/>
    </w:pPr>
    <w:rPr>
      <w:rFonts w:ascii="Calibri" w:hAnsi="Calibri"/>
    </w:rPr>
  </w:style>
  <w:style w:type="paragraph" w:customStyle="1" w:styleId="387">
    <w:name w:val="UserStyle_125"/>
    <w:basedOn w:val="383"/>
    <w:qFormat/>
    <w:uiPriority w:val="0"/>
  </w:style>
  <w:style w:type="paragraph" w:customStyle="1" w:styleId="388">
    <w:name w:val="UserStyle_126"/>
    <w:basedOn w:val="250"/>
    <w:qFormat/>
    <w:uiPriority w:val="0"/>
    <w:pPr>
      <w:suppressLineNumbers/>
      <w:suppressAutoHyphens/>
      <w:jc w:val="left"/>
    </w:pPr>
    <w:rPr>
      <w:kern w:val="0"/>
      <w:sz w:val="24"/>
    </w:rPr>
  </w:style>
  <w:style w:type="paragraph" w:customStyle="1" w:styleId="389">
    <w:name w:val="UserStyle_127"/>
    <w:basedOn w:val="1"/>
    <w:qFormat/>
    <w:uiPriority w:val="0"/>
    <w:pPr>
      <w:widowControl/>
      <w:textAlignment w:val="baseline"/>
    </w:pPr>
    <w:rPr>
      <w:rFonts w:ascii="Calibri" w:hAnsi="Calibri"/>
    </w:rPr>
  </w:style>
  <w:style w:type="paragraph" w:customStyle="1" w:styleId="390">
    <w:name w:val="UserStyle_128"/>
    <w:basedOn w:val="1"/>
    <w:qFormat/>
    <w:uiPriority w:val="0"/>
    <w:pPr>
      <w:widowControl/>
      <w:tabs>
        <w:tab w:val="left" w:pos="360"/>
      </w:tabs>
      <w:snapToGrid w:val="0"/>
      <w:spacing w:line="360" w:lineRule="auto"/>
      <w:textAlignment w:val="baseline"/>
    </w:pPr>
    <w:rPr>
      <w:rFonts w:ascii="Calibri" w:hAnsi="Calibri" w:eastAsia="仿宋_GB2312"/>
      <w:sz w:val="24"/>
    </w:rPr>
  </w:style>
  <w:style w:type="paragraph" w:customStyle="1" w:styleId="391">
    <w:name w:val="UserStyle_129"/>
    <w:qFormat/>
    <w:uiPriority w:val="0"/>
    <w:pPr>
      <w:textAlignment w:val="baseline"/>
    </w:pPr>
    <w:rPr>
      <w:rFonts w:ascii="黑体" w:hAnsi="Calibri" w:eastAsia="黑体" w:cs="Times New Roman"/>
      <w:lang w:val="en-US" w:eastAsia="zh-CN" w:bidi="ar-SA"/>
    </w:rPr>
  </w:style>
  <w:style w:type="paragraph" w:customStyle="1" w:styleId="392">
    <w:name w:val="UserStyle_130"/>
    <w:basedOn w:val="1"/>
    <w:qFormat/>
    <w:uiPriority w:val="0"/>
    <w:pPr>
      <w:widowControl/>
      <w:textAlignment w:val="baseline"/>
    </w:pPr>
    <w:rPr>
      <w:rFonts w:ascii="Calibri" w:hAnsi="Calibri"/>
      <w:szCs w:val="20"/>
    </w:rPr>
  </w:style>
  <w:style w:type="paragraph" w:customStyle="1" w:styleId="393">
    <w:name w:val="UserStyle_131"/>
    <w:basedOn w:val="1"/>
    <w:qFormat/>
    <w:uiPriority w:val="0"/>
    <w:pPr>
      <w:widowControl/>
      <w:textAlignment w:val="baseline"/>
    </w:pPr>
    <w:rPr>
      <w:rFonts w:ascii="Calibri" w:hAnsi="Calibri"/>
    </w:rPr>
  </w:style>
  <w:style w:type="paragraph" w:customStyle="1" w:styleId="394">
    <w:name w:val="UserStyle_132"/>
    <w:basedOn w:val="1"/>
    <w:qFormat/>
    <w:uiPriority w:val="0"/>
    <w:pPr>
      <w:widowControl/>
      <w:textAlignment w:val="baseline"/>
    </w:pPr>
    <w:rPr>
      <w:rFonts w:ascii="Calibri" w:hAnsi="Calibri"/>
    </w:rPr>
  </w:style>
  <w:style w:type="paragraph" w:customStyle="1" w:styleId="395">
    <w:name w:val="UserStyle_133"/>
    <w:basedOn w:val="1"/>
    <w:qFormat/>
    <w:uiPriority w:val="0"/>
    <w:pPr>
      <w:widowControl/>
      <w:spacing w:line="672" w:lineRule="exact"/>
      <w:textAlignment w:val="baseline"/>
    </w:pPr>
    <w:rPr>
      <w:rFonts w:ascii="Calibri" w:hAnsi="Calibri"/>
    </w:rPr>
  </w:style>
  <w:style w:type="paragraph" w:customStyle="1" w:styleId="396">
    <w:name w:val="UserStyle_134"/>
    <w:basedOn w:val="1"/>
    <w:qFormat/>
    <w:uiPriority w:val="0"/>
    <w:pPr>
      <w:widowControl/>
      <w:spacing w:line="552" w:lineRule="exact"/>
      <w:ind w:firstLine="547"/>
      <w:textAlignment w:val="baseline"/>
    </w:pPr>
    <w:rPr>
      <w:rFonts w:ascii="Calibri" w:hAnsi="Calibri"/>
    </w:rPr>
  </w:style>
  <w:style w:type="paragraph" w:customStyle="1" w:styleId="397">
    <w:name w:val="UserStyle_135"/>
    <w:basedOn w:val="1"/>
    <w:qFormat/>
    <w:uiPriority w:val="0"/>
    <w:pPr>
      <w:widowControl/>
      <w:spacing w:line="538" w:lineRule="exact"/>
      <w:ind w:firstLine="101"/>
      <w:textAlignment w:val="baseline"/>
    </w:pPr>
    <w:rPr>
      <w:rFonts w:ascii="Calibri" w:hAnsi="Calibri"/>
    </w:rPr>
  </w:style>
  <w:style w:type="paragraph" w:customStyle="1" w:styleId="398">
    <w:name w:val="UserStyle_136"/>
    <w:basedOn w:val="1"/>
    <w:qFormat/>
    <w:uiPriority w:val="0"/>
    <w:pPr>
      <w:widowControl/>
      <w:spacing w:line="547" w:lineRule="exact"/>
      <w:textAlignment w:val="baseline"/>
    </w:pPr>
    <w:rPr>
      <w:rFonts w:ascii="Calibri" w:hAnsi="Calibri"/>
    </w:rPr>
  </w:style>
  <w:style w:type="paragraph" w:customStyle="1" w:styleId="399">
    <w:name w:val="UserStyle_137"/>
    <w:basedOn w:val="223"/>
    <w:next w:val="1"/>
    <w:qFormat/>
    <w:uiPriority w:val="0"/>
    <w:pPr>
      <w:keepLines/>
      <w:spacing w:line="600" w:lineRule="auto"/>
    </w:pPr>
    <w:rPr>
      <w:rFonts w:eastAsia="黑体"/>
      <w:kern w:val="0"/>
      <w:sz w:val="32"/>
      <w:szCs w:val="32"/>
    </w:rPr>
  </w:style>
  <w:style w:type="paragraph" w:customStyle="1" w:styleId="400">
    <w:name w:val="UserStyle_138"/>
    <w:basedOn w:val="1"/>
    <w:qFormat/>
    <w:uiPriority w:val="0"/>
    <w:pPr>
      <w:widowControl/>
      <w:textAlignment w:val="baseline"/>
    </w:pPr>
    <w:rPr>
      <w:rFonts w:ascii="宋体" w:hAnsi="宋体"/>
      <w:lang w:val="zh-CN" w:bidi="zh-CN"/>
    </w:rPr>
  </w:style>
  <w:style w:type="paragraph" w:customStyle="1" w:styleId="401">
    <w:name w:val="UserStyle_139"/>
    <w:basedOn w:val="1"/>
    <w:qFormat/>
    <w:uiPriority w:val="0"/>
    <w:pPr>
      <w:widowControl/>
      <w:textAlignment w:val="baseline"/>
    </w:pPr>
    <w:rPr>
      <w:rFonts w:ascii="Calibri" w:hAnsi="Calibri"/>
    </w:rPr>
  </w:style>
  <w:style w:type="paragraph" w:customStyle="1" w:styleId="402">
    <w:name w:val="UserStyle_140"/>
    <w:basedOn w:val="1"/>
    <w:qFormat/>
    <w:uiPriority w:val="0"/>
    <w:pPr>
      <w:widowControl/>
      <w:jc w:val="left"/>
      <w:textAlignment w:val="baseline"/>
    </w:pPr>
    <w:rPr>
      <w:rFonts w:ascii="Calibri" w:hAnsi="Calibri"/>
      <w:kern w:val="0"/>
      <w:szCs w:val="21"/>
    </w:rPr>
  </w:style>
  <w:style w:type="paragraph" w:customStyle="1" w:styleId="403">
    <w:name w:val="UserStyle_141"/>
    <w:basedOn w:val="1"/>
    <w:qFormat/>
    <w:uiPriority w:val="0"/>
    <w:pPr>
      <w:widowControl/>
      <w:spacing w:after="160" w:line="240" w:lineRule="exact"/>
      <w:jc w:val="left"/>
      <w:textAlignment w:val="baseline"/>
    </w:pPr>
    <w:rPr>
      <w:rFonts w:ascii="Verdana" w:hAnsi="Verdana"/>
      <w:kern w:val="0"/>
      <w:sz w:val="20"/>
      <w:szCs w:val="20"/>
      <w:lang w:eastAsia="en-US"/>
    </w:rPr>
  </w:style>
  <w:style w:type="paragraph" w:customStyle="1" w:styleId="404">
    <w:name w:val="UserStyle_142"/>
    <w:basedOn w:val="1"/>
    <w:qFormat/>
    <w:uiPriority w:val="0"/>
    <w:pPr>
      <w:widowControl/>
      <w:textAlignment w:val="baseline"/>
    </w:pPr>
    <w:rPr>
      <w:rFonts w:ascii="Calibri" w:hAnsi="Calibri"/>
    </w:rPr>
  </w:style>
  <w:style w:type="paragraph" w:customStyle="1" w:styleId="405">
    <w:name w:val="UserStyle_143"/>
    <w:basedOn w:val="353"/>
    <w:qFormat/>
    <w:uiPriority w:val="0"/>
    <w:rPr>
      <w:rFonts w:ascii="Tahoma" w:hAnsi="Tahoma"/>
    </w:rPr>
  </w:style>
  <w:style w:type="paragraph" w:customStyle="1" w:styleId="406">
    <w:name w:val="UserStyle_144"/>
    <w:basedOn w:val="1"/>
    <w:qFormat/>
    <w:uiPriority w:val="0"/>
    <w:pPr>
      <w:widowControl/>
      <w:textAlignment w:val="baseline"/>
    </w:pPr>
    <w:rPr>
      <w:rFonts w:ascii="Calibri" w:hAnsi="Calibri"/>
    </w:rPr>
  </w:style>
  <w:style w:type="paragraph" w:customStyle="1" w:styleId="407">
    <w:name w:val="UserStyle_145"/>
    <w:basedOn w:val="1"/>
    <w:qFormat/>
    <w:uiPriority w:val="0"/>
    <w:pPr>
      <w:widowControl/>
      <w:textAlignment w:val="baseline"/>
    </w:pPr>
    <w:rPr>
      <w:rFonts w:ascii="Calibri" w:hAnsi="Calibri"/>
    </w:rPr>
  </w:style>
  <w:style w:type="paragraph" w:customStyle="1" w:styleId="408">
    <w:name w:val="UserStyle_146"/>
    <w:basedOn w:val="1"/>
    <w:qFormat/>
    <w:uiPriority w:val="0"/>
    <w:pPr>
      <w:widowControl/>
      <w:pBdr>
        <w:left w:val="single" w:color="000000" w:sz="4" w:space="0"/>
        <w:bottom w:val="single" w:color="000000" w:sz="4" w:space="0"/>
        <w:right w:val="double" w:color="000000" w:sz="6" w:space="0"/>
      </w:pBdr>
      <w:spacing w:before="100" w:beforeAutospacing="1" w:after="100" w:afterAutospacing="1"/>
      <w:jc w:val="center"/>
      <w:textAlignment w:val="baseline"/>
    </w:pPr>
    <w:rPr>
      <w:rFonts w:ascii="Arial Unicode MS" w:hAnsi="Arial Unicode MS" w:eastAsia="Arial Unicode MS"/>
      <w:kern w:val="0"/>
      <w:sz w:val="24"/>
    </w:rPr>
  </w:style>
  <w:style w:type="paragraph" w:customStyle="1" w:styleId="409">
    <w:name w:val="UserStyle_147"/>
    <w:basedOn w:val="1"/>
    <w:qFormat/>
    <w:uiPriority w:val="0"/>
    <w:pPr>
      <w:widowControl/>
      <w:textAlignment w:val="baseline"/>
    </w:pPr>
    <w:rPr>
      <w:rFonts w:ascii="Calibri" w:hAnsi="Calibri"/>
    </w:rPr>
  </w:style>
  <w:style w:type="paragraph" w:customStyle="1" w:styleId="410">
    <w:name w:val="UserStyle_148"/>
    <w:basedOn w:val="1"/>
    <w:qFormat/>
    <w:uiPriority w:val="0"/>
    <w:pPr>
      <w:widowControl/>
      <w:textAlignment w:val="baseline"/>
    </w:pPr>
    <w:rPr>
      <w:rFonts w:ascii="Calibri" w:hAnsi="Calibri"/>
    </w:rPr>
  </w:style>
  <w:style w:type="paragraph" w:customStyle="1" w:styleId="411">
    <w:name w:val="UserStyle_149"/>
    <w:basedOn w:val="1"/>
    <w:qFormat/>
    <w:uiPriority w:val="0"/>
    <w:pPr>
      <w:widowControl/>
      <w:spacing w:line="564" w:lineRule="exact"/>
      <w:ind w:firstLine="682"/>
      <w:textAlignment w:val="baseline"/>
    </w:pPr>
    <w:rPr>
      <w:rFonts w:ascii="Calibri" w:hAnsi="Calibri"/>
    </w:rPr>
  </w:style>
  <w:style w:type="paragraph" w:customStyle="1" w:styleId="412">
    <w:name w:val="UserStyle_150"/>
    <w:basedOn w:val="1"/>
    <w:qFormat/>
    <w:uiPriority w:val="0"/>
    <w:pPr>
      <w:widowControl/>
      <w:spacing w:line="549" w:lineRule="exact"/>
      <w:ind w:firstLine="686"/>
      <w:textAlignment w:val="baseline"/>
    </w:pPr>
    <w:rPr>
      <w:rFonts w:ascii="Calibri" w:hAnsi="Calibri"/>
    </w:rPr>
  </w:style>
  <w:style w:type="paragraph" w:customStyle="1" w:styleId="413">
    <w:name w:val="UserStyle_151"/>
    <w:basedOn w:val="1"/>
    <w:qFormat/>
    <w:uiPriority w:val="0"/>
    <w:pPr>
      <w:widowControl/>
      <w:spacing w:after="160" w:line="240" w:lineRule="exact"/>
      <w:jc w:val="left"/>
      <w:textAlignment w:val="baseline"/>
    </w:pPr>
    <w:rPr>
      <w:rFonts w:ascii="Verdana" w:hAnsi="Verdana" w:eastAsia="仿宋_GB2312"/>
      <w:kern w:val="0"/>
      <w:sz w:val="24"/>
      <w:szCs w:val="20"/>
      <w:lang w:eastAsia="en-US"/>
    </w:rPr>
  </w:style>
  <w:style w:type="paragraph" w:customStyle="1" w:styleId="414">
    <w:name w:val="UserStyle_152"/>
    <w:basedOn w:val="1"/>
    <w:qFormat/>
    <w:uiPriority w:val="0"/>
    <w:pPr>
      <w:widowControl/>
      <w:spacing w:line="566" w:lineRule="exact"/>
      <w:textAlignment w:val="baseline"/>
    </w:pPr>
    <w:rPr>
      <w:rFonts w:ascii="Calibri" w:hAnsi="Calibri"/>
    </w:rPr>
  </w:style>
  <w:style w:type="paragraph" w:customStyle="1" w:styleId="415">
    <w:name w:val="UserStyle_153"/>
    <w:basedOn w:val="1"/>
    <w:qFormat/>
    <w:uiPriority w:val="0"/>
    <w:pPr>
      <w:widowControl/>
      <w:spacing w:after="160" w:line="240" w:lineRule="exact"/>
      <w:jc w:val="left"/>
      <w:textAlignment w:val="baseline"/>
    </w:pPr>
    <w:rPr>
      <w:rFonts w:ascii="Verdana" w:hAnsi="Verdana"/>
      <w:kern w:val="0"/>
      <w:sz w:val="20"/>
      <w:szCs w:val="20"/>
      <w:lang w:eastAsia="en-US"/>
    </w:rPr>
  </w:style>
  <w:style w:type="paragraph" w:customStyle="1" w:styleId="416">
    <w:name w:val="UserStyle_154"/>
    <w:basedOn w:val="1"/>
    <w:qFormat/>
    <w:uiPriority w:val="0"/>
    <w:pPr>
      <w:widowControl/>
      <w:suppressAutoHyphens/>
      <w:spacing w:line="312" w:lineRule="atLeast"/>
      <w:ind w:firstLine="567"/>
      <w:jc w:val="left"/>
      <w:textAlignment w:val="baseline"/>
    </w:pPr>
    <w:rPr>
      <w:rFonts w:ascii="长城仿宋" w:hAnsi="长城仿宋" w:eastAsia="长城仿宋"/>
      <w:b/>
      <w:w w:val="80"/>
      <w:sz w:val="28"/>
      <w:szCs w:val="20"/>
    </w:rPr>
  </w:style>
  <w:style w:type="paragraph" w:customStyle="1" w:styleId="417">
    <w:name w:val="UserStyle_155"/>
    <w:basedOn w:val="1"/>
    <w:qFormat/>
    <w:uiPriority w:val="0"/>
    <w:pPr>
      <w:widowControl/>
      <w:ind w:firstLine="420" w:firstLineChars="200"/>
      <w:textAlignment w:val="baseline"/>
    </w:pPr>
    <w:rPr>
      <w:rFonts w:ascii="Calibri" w:hAnsi="Calibri"/>
      <w:szCs w:val="21"/>
    </w:rPr>
  </w:style>
  <w:style w:type="paragraph" w:customStyle="1" w:styleId="418">
    <w:name w:val="UserStyle_156"/>
    <w:basedOn w:val="1"/>
    <w:qFormat/>
    <w:uiPriority w:val="0"/>
    <w:pPr>
      <w:widowControl/>
      <w:spacing w:line="557" w:lineRule="exact"/>
      <w:ind w:firstLine="672"/>
      <w:textAlignment w:val="baseline"/>
    </w:pPr>
    <w:rPr>
      <w:rFonts w:ascii="Calibri" w:hAnsi="Calibri"/>
    </w:rPr>
  </w:style>
  <w:style w:type="paragraph" w:customStyle="1" w:styleId="419">
    <w:name w:val="UserStyle_157"/>
    <w:basedOn w:val="221"/>
    <w:qFormat/>
    <w:uiPriority w:val="0"/>
    <w:pPr>
      <w:widowControl/>
      <w:spacing w:line="240" w:lineRule="atLeast"/>
    </w:pPr>
    <w:rPr>
      <w:sz w:val="28"/>
      <w:szCs w:val="21"/>
    </w:rPr>
  </w:style>
  <w:style w:type="paragraph" w:customStyle="1" w:styleId="420">
    <w:name w:val="266"/>
    <w:basedOn w:val="223"/>
    <w:next w:val="1"/>
    <w:qFormat/>
    <w:uiPriority w:val="0"/>
    <w:pPr>
      <w:keepLines/>
      <w:spacing w:before="480" w:line="276" w:lineRule="auto"/>
      <w:jc w:val="left"/>
    </w:pPr>
    <w:rPr>
      <w:rFonts w:ascii="Cambria" w:hAnsi="Cambria"/>
      <w:color w:val="365F91"/>
      <w:kern w:val="0"/>
      <w:sz w:val="28"/>
      <w:szCs w:val="28"/>
    </w:rPr>
  </w:style>
  <w:style w:type="paragraph" w:customStyle="1" w:styleId="421">
    <w:name w:val="UserStyle_158"/>
    <w:basedOn w:val="1"/>
    <w:qFormat/>
    <w:uiPriority w:val="0"/>
    <w:pPr>
      <w:widowControl/>
      <w:ind w:firstLine="480"/>
      <w:textAlignment w:val="baseline"/>
    </w:pPr>
    <w:rPr>
      <w:rFonts w:ascii="Calibri" w:hAnsi="Calibri"/>
      <w:szCs w:val="20"/>
    </w:rPr>
  </w:style>
  <w:style w:type="paragraph" w:customStyle="1" w:styleId="422">
    <w:name w:val="UserStyle_159"/>
    <w:basedOn w:val="1"/>
    <w:qFormat/>
    <w:uiPriority w:val="0"/>
    <w:pPr>
      <w:widowControl/>
      <w:textAlignment w:val="baseline"/>
    </w:pPr>
    <w:rPr>
      <w:rFonts w:ascii="Calibri" w:hAnsi="Calibri"/>
    </w:rPr>
  </w:style>
  <w:style w:type="paragraph" w:customStyle="1" w:styleId="423">
    <w:name w:val="UserStyle_160"/>
    <w:basedOn w:val="1"/>
    <w:qFormat/>
    <w:uiPriority w:val="0"/>
    <w:pPr>
      <w:widowControl/>
      <w:textAlignment w:val="baseline"/>
    </w:pPr>
    <w:rPr>
      <w:rFonts w:ascii="Calibri" w:hAnsi="Calibri"/>
    </w:rPr>
  </w:style>
  <w:style w:type="paragraph" w:customStyle="1" w:styleId="424">
    <w:name w:val="UserStyle_161"/>
    <w:basedOn w:val="223"/>
    <w:qFormat/>
    <w:uiPriority w:val="0"/>
    <w:pPr>
      <w:spacing w:line="400" w:lineRule="exact"/>
      <w:jc w:val="both"/>
    </w:pPr>
    <w:rPr>
      <w:rFonts w:ascii="宋体" w:hAnsi="宋体"/>
      <w:kern w:val="32"/>
      <w:szCs w:val="32"/>
    </w:rPr>
  </w:style>
  <w:style w:type="paragraph" w:customStyle="1" w:styleId="425">
    <w:name w:val="UserStyle_162"/>
    <w:basedOn w:val="1"/>
    <w:qFormat/>
    <w:uiPriority w:val="0"/>
    <w:pPr>
      <w:widowControl/>
      <w:snapToGrid w:val="0"/>
      <w:spacing w:line="360" w:lineRule="auto"/>
      <w:ind w:firstLine="200" w:firstLineChars="200"/>
      <w:textAlignment w:val="baseline"/>
    </w:pPr>
    <w:rPr>
      <w:rFonts w:ascii="Calibri" w:hAnsi="Calibri" w:eastAsia="仿宋_GB2312"/>
      <w:sz w:val="24"/>
    </w:rPr>
  </w:style>
  <w:style w:type="paragraph" w:customStyle="1" w:styleId="426">
    <w:name w:val="UserStyle_163"/>
    <w:basedOn w:val="1"/>
    <w:qFormat/>
    <w:uiPriority w:val="0"/>
    <w:pPr>
      <w:widowControl/>
      <w:spacing w:line="542" w:lineRule="exact"/>
      <w:ind w:firstLine="125"/>
      <w:textAlignment w:val="baseline"/>
    </w:pPr>
    <w:rPr>
      <w:rFonts w:ascii="Calibri" w:hAnsi="Calibri"/>
    </w:rPr>
  </w:style>
  <w:style w:type="paragraph" w:customStyle="1" w:styleId="427">
    <w:name w:val="UserStyle_164"/>
    <w:basedOn w:val="1"/>
    <w:qFormat/>
    <w:uiPriority w:val="0"/>
    <w:pPr>
      <w:widowControl/>
      <w:spacing w:before="100" w:beforeAutospacing="1" w:after="100" w:afterAutospacing="1"/>
      <w:jc w:val="left"/>
      <w:textAlignment w:val="baseline"/>
    </w:pPr>
    <w:rPr>
      <w:rFonts w:ascii="宋体" w:hAnsi="宋体"/>
      <w:kern w:val="0"/>
      <w:sz w:val="24"/>
    </w:rPr>
  </w:style>
  <w:style w:type="paragraph" w:customStyle="1" w:styleId="428">
    <w:name w:val="UserStyle_165"/>
    <w:basedOn w:val="43"/>
    <w:qFormat/>
    <w:uiPriority w:val="0"/>
    <w:pPr>
      <w:widowControl/>
      <w:spacing w:before="240" w:after="240"/>
      <w:jc w:val="left"/>
      <w:textAlignment w:val="baseline"/>
      <w:outlineLvl w:val="9"/>
    </w:pPr>
    <w:rPr>
      <w:rFonts w:ascii="Cambria" w:hAnsi="Cambria"/>
      <w:kern w:val="2"/>
      <w:sz w:val="30"/>
      <w:szCs w:val="24"/>
    </w:rPr>
  </w:style>
  <w:style w:type="paragraph" w:customStyle="1" w:styleId="429">
    <w:name w:val="UserStyle_166"/>
    <w:basedOn w:val="1"/>
    <w:qFormat/>
    <w:uiPriority w:val="0"/>
    <w:pPr>
      <w:widowControl/>
      <w:spacing w:line="547" w:lineRule="exact"/>
      <w:ind w:firstLine="547"/>
      <w:textAlignment w:val="baseline"/>
    </w:pPr>
    <w:rPr>
      <w:rFonts w:ascii="Calibri" w:hAnsi="Calibri"/>
    </w:rPr>
  </w:style>
  <w:style w:type="paragraph" w:customStyle="1" w:styleId="430">
    <w:name w:val="UserStyle_167"/>
    <w:basedOn w:val="1"/>
    <w:qFormat/>
    <w:uiPriority w:val="0"/>
    <w:pPr>
      <w:widowControl/>
      <w:spacing w:line="538" w:lineRule="exact"/>
      <w:textAlignment w:val="baseline"/>
    </w:pPr>
    <w:rPr>
      <w:rFonts w:ascii="Calibri" w:hAnsi="Calibri"/>
    </w:rPr>
  </w:style>
  <w:style w:type="paragraph" w:customStyle="1" w:styleId="431">
    <w:name w:val="UserStyle_168"/>
    <w:basedOn w:val="225"/>
    <w:qFormat/>
    <w:uiPriority w:val="0"/>
    <w:pPr>
      <w:tabs>
        <w:tab w:val="left" w:pos="2175"/>
      </w:tabs>
      <w:spacing w:before="260" w:after="260" w:line="240" w:lineRule="auto"/>
      <w:ind w:left="2175" w:hanging="1275"/>
      <w:jc w:val="left"/>
    </w:pPr>
    <w:rPr>
      <w:rFonts w:ascii="宋体" w:hAnsi="宋体"/>
      <w:kern w:val="0"/>
      <w:sz w:val="21"/>
      <w:szCs w:val="20"/>
    </w:rPr>
  </w:style>
  <w:style w:type="paragraph" w:customStyle="1" w:styleId="432">
    <w:name w:val="UserStyle_169"/>
    <w:basedOn w:val="1"/>
    <w:qFormat/>
    <w:uiPriority w:val="0"/>
    <w:pPr>
      <w:widowControl/>
      <w:textAlignment w:val="baseline"/>
    </w:pPr>
    <w:rPr>
      <w:rFonts w:ascii="Calibri" w:hAnsi="Calibri"/>
    </w:rPr>
  </w:style>
  <w:style w:type="paragraph" w:customStyle="1" w:styleId="433">
    <w:name w:val="UserStyle_170"/>
    <w:basedOn w:val="1"/>
    <w:qFormat/>
    <w:uiPriority w:val="0"/>
    <w:pPr>
      <w:widowControl/>
      <w:textAlignment w:val="baseline"/>
    </w:pPr>
    <w:rPr>
      <w:rFonts w:ascii="Calibri" w:hAnsi="Calibri"/>
    </w:rPr>
  </w:style>
  <w:style w:type="paragraph" w:customStyle="1" w:styleId="434">
    <w:name w:val="UserStyle_171"/>
    <w:basedOn w:val="1"/>
    <w:qFormat/>
    <w:uiPriority w:val="0"/>
    <w:pPr>
      <w:widowControl/>
      <w:spacing w:after="160" w:line="240" w:lineRule="exact"/>
      <w:jc w:val="left"/>
      <w:textAlignment w:val="baseline"/>
    </w:pPr>
    <w:rPr>
      <w:rFonts w:ascii="Calibri" w:hAnsi="Calibri"/>
      <w:kern w:val="0"/>
      <w:sz w:val="24"/>
      <w:szCs w:val="20"/>
    </w:rPr>
  </w:style>
  <w:style w:type="paragraph" w:customStyle="1" w:styleId="435">
    <w:name w:val="UserStyle_172"/>
    <w:basedOn w:val="1"/>
    <w:qFormat/>
    <w:uiPriority w:val="0"/>
    <w:pPr>
      <w:widowControl/>
      <w:textAlignment w:val="baseline"/>
    </w:pPr>
    <w:rPr>
      <w:rFonts w:ascii="Calibri" w:hAnsi="Calibri"/>
      <w:szCs w:val="20"/>
    </w:rPr>
  </w:style>
  <w:style w:type="paragraph" w:customStyle="1" w:styleId="436">
    <w:name w:val="UserStyle_173"/>
    <w:basedOn w:val="1"/>
    <w:qFormat/>
    <w:uiPriority w:val="0"/>
    <w:pPr>
      <w:widowControl/>
      <w:spacing w:line="559" w:lineRule="exact"/>
      <w:ind w:firstLine="590"/>
      <w:textAlignment w:val="baseline"/>
    </w:pPr>
    <w:rPr>
      <w:rFonts w:ascii="Calibri" w:hAnsi="Calibri"/>
    </w:rPr>
  </w:style>
  <w:style w:type="paragraph" w:customStyle="1" w:styleId="437">
    <w:name w:val="UserStyle_174"/>
    <w:basedOn w:val="1"/>
    <w:qFormat/>
    <w:uiPriority w:val="0"/>
    <w:pPr>
      <w:widowControl/>
      <w:spacing w:line="538" w:lineRule="exact"/>
      <w:ind w:firstLine="533"/>
      <w:textAlignment w:val="baseline"/>
    </w:pPr>
    <w:rPr>
      <w:rFonts w:ascii="Calibri" w:hAnsi="Calibri"/>
    </w:rPr>
  </w:style>
  <w:style w:type="paragraph" w:customStyle="1" w:styleId="438">
    <w:name w:val="UserStyle_175"/>
    <w:basedOn w:val="1"/>
    <w:qFormat/>
    <w:uiPriority w:val="0"/>
    <w:pPr>
      <w:widowControl/>
      <w:pBdr>
        <w:left w:val="single" w:color="000000" w:sz="4" w:space="0"/>
        <w:right w:val="single" w:color="000000" w:sz="4" w:space="0"/>
      </w:pBdr>
      <w:spacing w:before="100" w:beforeAutospacing="1" w:after="100" w:afterAutospacing="1"/>
      <w:jc w:val="center"/>
      <w:textAlignment w:val="baseline"/>
    </w:pPr>
    <w:rPr>
      <w:rFonts w:ascii="宋体" w:hAnsi="宋体"/>
      <w:kern w:val="0"/>
      <w:sz w:val="24"/>
    </w:rPr>
  </w:style>
  <w:style w:type="paragraph" w:customStyle="1" w:styleId="439">
    <w:name w:val="178"/>
    <w:qFormat/>
    <w:uiPriority w:val="0"/>
    <w:pPr>
      <w:textAlignment w:val="baseline"/>
    </w:pPr>
    <w:rPr>
      <w:rFonts w:ascii="Calibri" w:hAnsi="Calibri" w:eastAsia="宋体" w:cs="Times New Roman"/>
      <w:kern w:val="2"/>
      <w:sz w:val="21"/>
      <w:szCs w:val="24"/>
      <w:lang w:val="en-US" w:eastAsia="zh-CN" w:bidi="ar-SA"/>
    </w:rPr>
  </w:style>
  <w:style w:type="paragraph" w:customStyle="1" w:styleId="440">
    <w:name w:val="UserStyle_176"/>
    <w:basedOn w:val="1"/>
    <w:qFormat/>
    <w:uiPriority w:val="0"/>
    <w:pPr>
      <w:widowControl/>
      <w:tabs>
        <w:tab w:val="left" w:pos="360"/>
      </w:tabs>
      <w:ind w:left="360" w:hanging="360"/>
      <w:textAlignment w:val="baseline"/>
    </w:pPr>
    <w:rPr>
      <w:rFonts w:ascii="宋体" w:hAnsi="宋体"/>
      <w:kern w:val="0"/>
      <w:szCs w:val="21"/>
    </w:rPr>
  </w:style>
  <w:style w:type="paragraph" w:customStyle="1" w:styleId="441">
    <w:name w:val="UserStyle_177"/>
    <w:basedOn w:val="1"/>
    <w:qFormat/>
    <w:uiPriority w:val="0"/>
    <w:pPr>
      <w:widowControl/>
      <w:textAlignment w:val="baseline"/>
    </w:pPr>
    <w:rPr>
      <w:rFonts w:ascii="Calibri" w:hAnsi="Calibri"/>
    </w:rPr>
  </w:style>
  <w:style w:type="paragraph" w:customStyle="1" w:styleId="442">
    <w:name w:val="UserStyle_178"/>
    <w:basedOn w:val="1"/>
    <w:qFormat/>
    <w:uiPriority w:val="0"/>
    <w:pPr>
      <w:keepNext/>
      <w:keepLines/>
      <w:widowControl/>
      <w:tabs>
        <w:tab w:val="left" w:pos="840"/>
      </w:tabs>
      <w:spacing w:before="240"/>
      <w:ind w:left="840" w:hanging="420"/>
      <w:jc w:val="left"/>
      <w:textAlignment w:val="baseline"/>
    </w:pPr>
    <w:rPr>
      <w:rFonts w:ascii="宋体" w:hAnsi="宋体"/>
      <w:b/>
      <w:bCs/>
      <w:color w:val="000000"/>
      <w:kern w:val="0"/>
      <w:szCs w:val="20"/>
    </w:rPr>
  </w:style>
  <w:style w:type="paragraph" w:customStyle="1" w:styleId="443">
    <w:name w:val="UserStyle_179"/>
    <w:basedOn w:val="1"/>
    <w:qFormat/>
    <w:uiPriority w:val="0"/>
    <w:pPr>
      <w:widowControl/>
      <w:spacing w:line="437" w:lineRule="exact"/>
      <w:textAlignment w:val="baseline"/>
    </w:pPr>
    <w:rPr>
      <w:rFonts w:ascii="Calibri" w:hAnsi="Calibri"/>
    </w:rPr>
  </w:style>
  <w:style w:type="paragraph" w:customStyle="1" w:styleId="444">
    <w:name w:val="UserStyle_180"/>
    <w:basedOn w:val="1"/>
    <w:qFormat/>
    <w:uiPriority w:val="0"/>
    <w:pPr>
      <w:widowControl/>
      <w:spacing w:line="547" w:lineRule="exact"/>
      <w:textAlignment w:val="baseline"/>
    </w:pPr>
    <w:rPr>
      <w:rFonts w:ascii="Calibri" w:hAnsi="Calibri"/>
    </w:rPr>
  </w:style>
  <w:style w:type="paragraph" w:customStyle="1" w:styleId="445">
    <w:name w:val="UserStyle_181"/>
    <w:basedOn w:val="1"/>
    <w:qFormat/>
    <w:uiPriority w:val="0"/>
    <w:pPr>
      <w:widowControl/>
      <w:spacing w:line="360" w:lineRule="auto"/>
      <w:textAlignment w:val="baseline"/>
    </w:pPr>
    <w:rPr>
      <w:rFonts w:ascii="宋体" w:hAnsi="宋体"/>
      <w:b/>
      <w:sz w:val="30"/>
      <w:szCs w:val="21"/>
    </w:rPr>
  </w:style>
  <w:style w:type="paragraph" w:customStyle="1" w:styleId="446">
    <w:name w:val="UserStyle_182"/>
    <w:basedOn w:val="1"/>
    <w:qFormat/>
    <w:uiPriority w:val="0"/>
    <w:pPr>
      <w:widowControl/>
      <w:textAlignment w:val="baseline"/>
    </w:pPr>
    <w:rPr>
      <w:rFonts w:ascii="Calibri" w:hAnsi="Calibri"/>
    </w:rPr>
  </w:style>
  <w:style w:type="paragraph" w:customStyle="1" w:styleId="447">
    <w:name w:val="179"/>
    <w:basedOn w:val="1"/>
    <w:qFormat/>
    <w:uiPriority w:val="0"/>
    <w:pPr>
      <w:widowControl/>
      <w:ind w:firstLine="420" w:firstLineChars="200"/>
      <w:textAlignment w:val="baseline"/>
    </w:pPr>
    <w:rPr>
      <w:rFonts w:ascii="Calibri" w:hAnsi="Calibri"/>
      <w:szCs w:val="22"/>
    </w:rPr>
  </w:style>
  <w:style w:type="paragraph" w:customStyle="1" w:styleId="448">
    <w:name w:val="UserStyle_183"/>
    <w:basedOn w:val="1"/>
    <w:qFormat/>
    <w:uiPriority w:val="0"/>
    <w:pPr>
      <w:widowControl/>
      <w:spacing w:line="542" w:lineRule="exact"/>
      <w:jc w:val="right"/>
      <w:textAlignment w:val="baseline"/>
    </w:pPr>
    <w:rPr>
      <w:rFonts w:ascii="Calibri" w:hAnsi="Calibri"/>
    </w:rPr>
  </w:style>
  <w:style w:type="paragraph" w:customStyle="1" w:styleId="449">
    <w:name w:val="UserStyle_184"/>
    <w:qFormat/>
    <w:uiPriority w:val="0"/>
    <w:pPr>
      <w:ind w:left="840" w:leftChars="350"/>
      <w:jc w:val="both"/>
      <w:textAlignment w:val="baseline"/>
    </w:pPr>
    <w:rPr>
      <w:rFonts w:ascii="宋体" w:hAnsi="Calibri" w:eastAsia="宋体" w:cs="Times New Roman"/>
      <w:b/>
      <w:sz w:val="24"/>
      <w:lang w:val="en-US" w:eastAsia="zh-CN" w:bidi="ar-SA"/>
    </w:rPr>
  </w:style>
  <w:style w:type="paragraph" w:customStyle="1" w:styleId="450">
    <w:name w:val="UserStyle_185"/>
    <w:basedOn w:val="1"/>
    <w:qFormat/>
    <w:uiPriority w:val="0"/>
    <w:pPr>
      <w:widowControl/>
      <w:textAlignment w:val="baseline"/>
    </w:pPr>
    <w:rPr>
      <w:rFonts w:ascii="Calibri" w:hAnsi="Calibri"/>
    </w:rPr>
  </w:style>
  <w:style w:type="paragraph" w:customStyle="1" w:styleId="451">
    <w:name w:val="UserStyle_186"/>
    <w:basedOn w:val="1"/>
    <w:qFormat/>
    <w:uiPriority w:val="0"/>
    <w:pPr>
      <w:widowControl/>
      <w:spacing w:line="682" w:lineRule="exact"/>
      <w:ind w:firstLine="557"/>
      <w:textAlignment w:val="baseline"/>
    </w:pPr>
    <w:rPr>
      <w:rFonts w:ascii="Calibri" w:hAnsi="Calibri"/>
    </w:rPr>
  </w:style>
  <w:style w:type="paragraph" w:customStyle="1" w:styleId="452">
    <w:name w:val="UserStyle_187"/>
    <w:basedOn w:val="1"/>
    <w:qFormat/>
    <w:uiPriority w:val="0"/>
    <w:pPr>
      <w:widowControl/>
      <w:textAlignment w:val="baseline"/>
    </w:pPr>
    <w:rPr>
      <w:rFonts w:ascii="Calibri" w:hAnsi="Calibri"/>
    </w:rPr>
  </w:style>
  <w:style w:type="paragraph" w:customStyle="1" w:styleId="453">
    <w:name w:val="UserStyle_188"/>
    <w:basedOn w:val="1"/>
    <w:qFormat/>
    <w:uiPriority w:val="0"/>
    <w:pPr>
      <w:widowControl/>
      <w:textAlignment w:val="baseline"/>
    </w:pPr>
    <w:rPr>
      <w:rFonts w:ascii="Calibri" w:hAnsi="Calibri"/>
    </w:rPr>
  </w:style>
  <w:style w:type="paragraph" w:customStyle="1" w:styleId="454">
    <w:name w:val="UserStyle_189"/>
    <w:basedOn w:val="1"/>
    <w:qFormat/>
    <w:uiPriority w:val="0"/>
    <w:pPr>
      <w:widowControl/>
      <w:snapToGrid w:val="0"/>
      <w:spacing w:line="300" w:lineRule="auto"/>
      <w:textAlignment w:val="baseline"/>
    </w:pPr>
    <w:rPr>
      <w:rFonts w:ascii="Calibri" w:hAnsi="Calibri"/>
      <w:sz w:val="24"/>
      <w:szCs w:val="20"/>
    </w:rPr>
  </w:style>
  <w:style w:type="paragraph" w:customStyle="1" w:styleId="455">
    <w:name w:val="UserStyle_190"/>
    <w:basedOn w:val="1"/>
    <w:qFormat/>
    <w:uiPriority w:val="0"/>
    <w:pPr>
      <w:widowControl/>
      <w:spacing w:line="533" w:lineRule="exact"/>
      <w:ind w:firstLine="581"/>
      <w:textAlignment w:val="baseline"/>
    </w:pPr>
    <w:rPr>
      <w:rFonts w:ascii="Calibri" w:hAnsi="Calibri"/>
    </w:rPr>
  </w:style>
  <w:style w:type="paragraph" w:customStyle="1" w:styleId="456">
    <w:name w:val="H1"/>
    <w:qFormat/>
    <w:uiPriority w:val="0"/>
    <w:pPr>
      <w:widowControl w:val="0"/>
      <w:adjustRightInd w:val="0"/>
      <w:spacing w:after="240"/>
      <w:textAlignment w:val="baseline"/>
    </w:pPr>
    <w:rPr>
      <w:rFonts w:ascii="Times New Roman" w:hAnsi="Times New Roman" w:eastAsia="全真中明體" w:cs="Times New Roman"/>
      <w:b/>
      <w:caps/>
      <w:spacing w:val="30"/>
      <w:sz w:val="24"/>
      <w:lang w:val="en-US" w:eastAsia="zh-TW" w:bidi="ar-SA"/>
    </w:rPr>
  </w:style>
  <w:style w:type="character" w:customStyle="1" w:styleId="457">
    <w:name w:val="日期 Char2"/>
    <w:qFormat/>
    <w:locked/>
    <w:uiPriority w:val="0"/>
    <w:rPr>
      <w:rFonts w:ascii="宋体" w:hAnsi="宋体" w:eastAsia="宋体"/>
      <w:kern w:val="2"/>
      <w:sz w:val="24"/>
      <w:lang w:val="en-US" w:eastAsia="zh-CN" w:bidi="ar-SA"/>
    </w:rPr>
  </w:style>
  <w:style w:type="character" w:customStyle="1" w:styleId="458">
    <w:name w:val="15"/>
    <w:basedOn w:val="49"/>
    <w:qFormat/>
    <w:uiPriority w:val="0"/>
    <w:rPr>
      <w:rFonts w:hint="default" w:ascii="Times New Roman" w:hAnsi="Times New Roman" w:cs="Times New Roman"/>
      <w:b/>
    </w:rPr>
  </w:style>
  <w:style w:type="paragraph" w:customStyle="1" w:styleId="459">
    <w:name w:val="正文格式"/>
    <w:basedOn w:val="1"/>
    <w:qFormat/>
    <w:uiPriority w:val="0"/>
    <w:pPr>
      <w:widowControl/>
      <w:adjustRightInd w:val="0"/>
      <w:snapToGrid w:val="0"/>
      <w:spacing w:line="400" w:lineRule="atLeast"/>
      <w:ind w:firstLine="482"/>
      <w:textAlignment w:val="baseline"/>
    </w:pPr>
    <w:rPr>
      <w:rFonts w:ascii="Calibri" w:hAnsi="Calibri"/>
      <w:kern w:val="0"/>
      <w:sz w:val="24"/>
    </w:rPr>
  </w:style>
  <w:style w:type="paragraph" w:customStyle="1" w:styleId="460">
    <w:name w:val="Normal_0_2"/>
    <w:qFormat/>
    <w:uiPriority w:val="0"/>
    <w:rPr>
      <w:rFonts w:ascii="Times New Roman" w:hAnsi="Times New Roman" w:eastAsia="Times New Roman" w:cs="Times New Roman"/>
      <w:sz w:val="24"/>
      <w:szCs w:val="24"/>
      <w:lang w:val="en-US" w:eastAsia="zh-CN" w:bidi="ar-SA"/>
    </w:rPr>
  </w:style>
  <w:style w:type="paragraph" w:customStyle="1" w:styleId="461">
    <w:name w:val="正文文本 21"/>
    <w:basedOn w:val="1"/>
    <w:qFormat/>
    <w:uiPriority w:val="0"/>
    <w:pPr>
      <w:widowControl/>
      <w:spacing w:line="480" w:lineRule="auto"/>
      <w:textAlignment w:val="baseline"/>
    </w:pPr>
    <w:rPr>
      <w:rFonts w:ascii="Calibri" w:hAnsi="Calibri"/>
    </w:rPr>
  </w:style>
  <w:style w:type="paragraph" w:customStyle="1" w:styleId="462">
    <w:name w:val="Other|1"/>
    <w:basedOn w:val="1"/>
    <w:qFormat/>
    <w:uiPriority w:val="0"/>
    <w:pPr>
      <w:spacing w:line="252" w:lineRule="exact"/>
      <w:textAlignment w:val="baseline"/>
    </w:pPr>
    <w:rPr>
      <w:rFonts w:ascii="宋体" w:hAnsi="宋体" w:cs="宋体"/>
      <w:sz w:val="20"/>
      <w:szCs w:val="20"/>
      <w:lang w:val="zh-TW" w:eastAsia="zh-TW" w:bidi="zh-TW"/>
    </w:rPr>
  </w:style>
  <w:style w:type="paragraph" w:customStyle="1" w:styleId="463">
    <w:name w:val="表 靠左"/>
    <w:basedOn w:val="1"/>
    <w:qFormat/>
    <w:uiPriority w:val="0"/>
    <w:pPr>
      <w:jc w:val="left"/>
    </w:pPr>
    <w:rPr>
      <w:sz w:val="24"/>
      <w:szCs w:val="21"/>
    </w:rPr>
  </w:style>
  <w:style w:type="paragraph" w:customStyle="1" w:styleId="464">
    <w:name w:val="AVIC1.1"/>
    <w:basedOn w:val="1"/>
    <w:qFormat/>
    <w:uiPriority w:val="0"/>
    <w:pPr>
      <w:jc w:val="left"/>
      <w:outlineLvl w:val="3"/>
    </w:pPr>
    <w:rPr>
      <w:rFonts w:ascii="宋体" w:hAnsi="宋体"/>
      <w:b/>
      <w:bCs/>
    </w:rPr>
  </w:style>
  <w:style w:type="paragraph" w:customStyle="1" w:styleId="465">
    <w:name w:val="List Paragraph1"/>
    <w:basedOn w:val="1"/>
    <w:qFormat/>
    <w:uiPriority w:val="0"/>
    <w:pPr>
      <w:widowControl/>
      <w:ind w:firstLine="420" w:firstLineChars="200"/>
      <w:jc w:val="left"/>
    </w:pPr>
    <w:rPr>
      <w:rFonts w:ascii="宋体" w:hAnsi="宋体" w:cs="宋体"/>
      <w:kern w:val="0"/>
      <w:sz w:val="24"/>
    </w:rPr>
  </w:style>
  <w:style w:type="paragraph" w:customStyle="1" w:styleId="466">
    <w:name w:val="列出段落2"/>
    <w:basedOn w:val="1"/>
    <w:qFormat/>
    <w:uiPriority w:val="0"/>
    <w:pPr>
      <w:ind w:firstLine="420" w:firstLineChars="200"/>
    </w:pPr>
    <w:rPr>
      <w:rFonts w:ascii="Calibri" w:hAnsi="Calibri"/>
      <w:szCs w:val="22"/>
    </w:rPr>
  </w:style>
  <w:style w:type="paragraph" w:customStyle="1" w:styleId="467">
    <w:name w:val="Table Text"/>
    <w:basedOn w:val="1"/>
    <w:semiHidden/>
    <w:qFormat/>
    <w:uiPriority w:val="0"/>
    <w:rPr>
      <w:rFonts w:ascii="宋体" w:hAnsi="宋体" w:cs="宋体"/>
    </w:rPr>
  </w:style>
  <w:style w:type="paragraph" w:customStyle="1" w:styleId="468">
    <w:name w:val="p12"/>
    <w:basedOn w:val="1"/>
    <w:qFormat/>
    <w:uiPriority w:val="0"/>
    <w:pPr>
      <w:widowControl/>
      <w:spacing w:before="100" w:beforeAutospacing="1" w:after="100" w:afterAutospacing="1"/>
      <w:jc w:val="left"/>
    </w:pPr>
    <w:rPr>
      <w:rFonts w:ascii="&amp;#23435;&amp;#20307;" w:hAnsi="&amp;#23435;&amp;#20307;"/>
      <w:kern w:val="0"/>
      <w:sz w:val="18"/>
      <w:szCs w:val="18"/>
    </w:rPr>
  </w:style>
  <w:style w:type="paragraph" w:customStyle="1" w:styleId="469">
    <w:name w:val="List Paragraph_c199b101-49a7-44df-a093-57b8683f2156"/>
    <w:basedOn w:val="1"/>
    <w:qFormat/>
    <w:uiPriority w:val="34"/>
    <w:pPr>
      <w:ind w:firstLine="420" w:firstLineChars="200"/>
    </w:pPr>
  </w:style>
  <w:style w:type="paragraph" w:customStyle="1" w:styleId="470">
    <w:name w:val="_Style 1"/>
    <w:basedOn w:val="1"/>
    <w:qFormat/>
    <w:uiPriority w:val="34"/>
    <w:pPr>
      <w:ind w:firstLine="420" w:firstLineChars="200"/>
    </w:pPr>
    <w:rPr>
      <w:rFonts w:ascii="Calibri" w:hAnsi="Calibri"/>
      <w:szCs w:val="22"/>
    </w:rPr>
  </w:style>
  <w:style w:type="paragraph" w:customStyle="1" w:styleId="471">
    <w:name w:val="段"/>
    <w:qFormat/>
    <w:uiPriority w:val="0"/>
    <w:pPr>
      <w:autoSpaceDE w:val="0"/>
      <w:autoSpaceDN w:val="0"/>
      <w:ind w:firstLine="200" w:firstLineChars="200"/>
      <w:jc w:val="both"/>
    </w:pPr>
    <w:rPr>
      <w:rFonts w:ascii="宋体" w:hAnsi="Calibri" w:eastAsia="宋体" w:cs="Times New Roman"/>
      <w:sz w:val="21"/>
      <w:lang w:val="en-US" w:eastAsia="zh-CN" w:bidi="ar-SA"/>
    </w:rPr>
  </w:style>
  <w:style w:type="paragraph" w:customStyle="1" w:styleId="472">
    <w:name w:val="三级条标题"/>
    <w:basedOn w:val="1"/>
    <w:next w:val="471"/>
    <w:qFormat/>
    <w:uiPriority w:val="0"/>
    <w:pPr>
      <w:widowControl/>
      <w:numPr>
        <w:ilvl w:val="4"/>
        <w:numId w:val="1"/>
      </w:numPr>
      <w:jc w:val="left"/>
      <w:outlineLvl w:val="4"/>
    </w:pPr>
    <w:rPr>
      <w:rFonts w:eastAsia="黑体"/>
      <w:kern w:val="0"/>
    </w:rPr>
  </w:style>
  <w:style w:type="paragraph" w:customStyle="1" w:styleId="473">
    <w:name w:val="lei.text"/>
    <w:qFormat/>
    <w:uiPriority w:val="0"/>
    <w:pPr>
      <w:spacing w:line="360" w:lineRule="exact"/>
      <w:ind w:firstLine="200" w:firstLineChars="200"/>
    </w:pPr>
    <w:rPr>
      <w:rFonts w:ascii="宋体" w:hAnsi="Tahoma" w:eastAsia="宋体" w:cs="Times New Roman"/>
      <w:sz w:val="24"/>
      <w:lang w:val="en-US" w:eastAsia="zh-CN" w:bidi="ar-SA"/>
    </w:rPr>
  </w:style>
  <w:style w:type="table" w:customStyle="1" w:styleId="474">
    <w:name w:val="Table Normal"/>
    <w:semiHidden/>
    <w:unhideWhenUsed/>
    <w:qFormat/>
    <w:uiPriority w:val="0"/>
    <w:rPr>
      <w:rFonts w:ascii="Arial" w:hAnsi="Arial" w:cs="Arial" w:eastAsiaTheme="minorEastAsia"/>
    </w:rPr>
    <w:tblPr>
      <w:tblCellMar>
        <w:top w:w="0" w:type="dxa"/>
        <w:left w:w="0" w:type="dxa"/>
        <w:bottom w:w="0" w:type="dxa"/>
        <w:right w:w="0" w:type="dxa"/>
      </w:tblCellMar>
    </w:tblPr>
  </w:style>
  <w:style w:type="paragraph" w:customStyle="1" w:styleId="475">
    <w:name w:val="Normal_0_1"/>
    <w:qFormat/>
    <w:uiPriority w:val="0"/>
    <w:rPr>
      <w:rFonts w:ascii="Times New Roman" w:hAnsi="Times New Roman" w:eastAsia="宋体" w:cs="Times New Roman"/>
      <w:sz w:val="24"/>
      <w:szCs w:val="24"/>
      <w:lang w:val="en-US" w:eastAsia="zh-CN" w:bidi="ar-SA"/>
    </w:rPr>
  </w:style>
  <w:style w:type="table" w:customStyle="1" w:styleId="476">
    <w:name w:val="网格型3"/>
    <w:basedOn w:val="4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97</Pages>
  <Words>4297</Words>
  <Characters>4823</Characters>
  <Lines>451</Lines>
  <Paragraphs>127</Paragraphs>
  <TotalTime>175</TotalTime>
  <ScaleCrop>false</ScaleCrop>
  <LinksUpToDate>false</LinksUpToDate>
  <CharactersWithSpaces>5076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2025-07-01T03:24:00Z</dcterms:created>
  <dc:creator>admin</dc:creator>
  <cp:lastModifiedBy>爽</cp:lastModifiedBy>
  <cp:lastPrinted>2026-09-22T00:40:00Z</cp:lastPrinted>
  <dcterms:modified xsi:type="dcterms:W3CDTF">2026-09-22T07:17:33Z</dcterms:modified>
  <dc:title>政府采购</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14B3CF2A1FE840EE911097E49B3DE69E_13</vt:lpwstr>
  </property>
  <property fmtid="{D5CDD505-2E9C-101B-9397-08002B2CF9AE}" pid="4" name="KSOTemplateDocerSaveRecord">
    <vt:lpwstr>eyJoZGlkIjoiMGZmZWE1YWIyMTJjY2E4NDczYzVkNzBiMGRkYWVmOTEiLCJ1c2VySWQiOiI1MTY2MjkyNTgifQ==</vt:lpwstr>
  </property>
</Properties>
</file>