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E464F">
      <w:pPr>
        <w:pStyle w:val="2"/>
        <w:keepNext w:val="0"/>
        <w:numPr>
          <w:numId w:val="0"/>
        </w:numPr>
        <w:spacing w:line="360" w:lineRule="auto"/>
        <w:jc w:val="center"/>
        <w:rPr>
          <w:rFonts w:hint="eastAsia" w:ascii="宋体" w:hAnsi="宋体" w:cs="宋体"/>
          <w:color w:val="auto"/>
          <w:sz w:val="32"/>
          <w:szCs w:val="32"/>
        </w:rPr>
      </w:pPr>
      <w:r>
        <w:rPr>
          <w:rFonts w:hint="eastAsia" w:ascii="黑体" w:hAnsi="华文中宋" w:eastAsia="黑体"/>
          <w:bCs w:val="0"/>
          <w:color w:val="auto"/>
          <w:sz w:val="32"/>
          <w:szCs w:val="32"/>
        </w:rPr>
        <w:t>采购需求</w:t>
      </w:r>
      <w:bookmarkStart w:id="0" w:name="_GoBack"/>
      <w:bookmarkEnd w:id="0"/>
    </w:p>
    <w:p w14:paraId="6DD87AC1">
      <w:pPr>
        <w:spacing w:line="480" w:lineRule="auto"/>
        <w:rPr>
          <w:rFonts w:hint="eastAsia" w:ascii="宋体" w:hAnsi="宋体" w:cs="宋体"/>
          <w:b/>
          <w:color w:val="auto"/>
          <w:szCs w:val="21"/>
        </w:rPr>
      </w:pPr>
      <w:r>
        <w:rPr>
          <w:rFonts w:hint="eastAsia" w:ascii="宋体" w:hAnsi="宋体" w:cs="宋体"/>
          <w:b/>
          <w:color w:val="auto"/>
          <w:szCs w:val="21"/>
        </w:rPr>
        <w:t>一、采购内容</w:t>
      </w:r>
    </w:p>
    <w:p w14:paraId="0455E460">
      <w:pPr>
        <w:tabs>
          <w:tab w:val="left" w:pos="426"/>
        </w:tabs>
        <w:spacing w:line="480" w:lineRule="auto"/>
        <w:ind w:left="709" w:hanging="709"/>
        <w:rPr>
          <w:rFonts w:hint="eastAsia" w:ascii="宋体" w:hAnsi="宋体" w:cs="宋体"/>
          <w:color w:val="auto"/>
          <w:szCs w:val="21"/>
        </w:rPr>
      </w:pPr>
      <w:r>
        <w:rPr>
          <w:rFonts w:hint="eastAsia" w:ascii="宋体" w:hAnsi="宋体" w:cs="宋体"/>
          <w:color w:val="auto"/>
          <w:szCs w:val="21"/>
        </w:rPr>
        <w:t>1.项目名称：岳阳市妇幼保健院（2026年10月-2027年9月）外送检测服务政府采购项目</w:t>
      </w:r>
    </w:p>
    <w:p w14:paraId="305D2221">
      <w:pPr>
        <w:tabs>
          <w:tab w:val="left" w:pos="426"/>
        </w:tabs>
        <w:spacing w:line="480" w:lineRule="auto"/>
        <w:ind w:left="709" w:hanging="709"/>
        <w:rPr>
          <w:rFonts w:hint="eastAsia" w:ascii="宋体" w:hAnsi="宋体" w:cs="宋体"/>
          <w:color w:val="auto"/>
          <w:szCs w:val="21"/>
        </w:rPr>
      </w:pPr>
      <w:r>
        <w:rPr>
          <w:rFonts w:hint="eastAsia" w:ascii="宋体" w:hAnsi="宋体" w:cs="宋体"/>
          <w:color w:val="auto"/>
          <w:szCs w:val="21"/>
        </w:rPr>
        <w:t>2.项目预算：7110000.00元（包1：1910000.00元；包2:1200000.00元；包3:4000000.00元）</w:t>
      </w:r>
    </w:p>
    <w:p w14:paraId="6CFBFAAA">
      <w:pPr>
        <w:tabs>
          <w:tab w:val="left" w:pos="426"/>
        </w:tabs>
        <w:spacing w:line="480" w:lineRule="auto"/>
        <w:ind w:left="709" w:hanging="709"/>
        <w:rPr>
          <w:rFonts w:hint="eastAsia" w:ascii="宋体" w:hAnsi="宋体" w:cs="宋体"/>
          <w:color w:val="auto"/>
          <w:szCs w:val="21"/>
        </w:rPr>
      </w:pPr>
      <w:r>
        <w:rPr>
          <w:rFonts w:hint="eastAsia" w:ascii="宋体" w:hAnsi="宋体" w:cs="宋体"/>
          <w:color w:val="auto"/>
          <w:szCs w:val="21"/>
        </w:rPr>
        <w:t>3.服务期限：2026年10月-2027年9月</w:t>
      </w:r>
    </w:p>
    <w:tbl>
      <w:tblPr>
        <w:tblStyle w:val="5"/>
        <w:tblW w:w="56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608"/>
        <w:gridCol w:w="1739"/>
        <w:gridCol w:w="2201"/>
        <w:gridCol w:w="670"/>
        <w:gridCol w:w="1449"/>
        <w:gridCol w:w="711"/>
        <w:gridCol w:w="626"/>
      </w:tblGrid>
      <w:tr w14:paraId="1698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361" w:type="pct"/>
            <w:noWrap w:val="0"/>
            <w:vAlign w:val="center"/>
          </w:tcPr>
          <w:p w14:paraId="1C1BE5E3">
            <w:pPr>
              <w:spacing w:line="500" w:lineRule="exact"/>
              <w:jc w:val="center"/>
              <w:rPr>
                <w:rFonts w:hint="eastAsia" w:ascii="宋体" w:hAnsi="宋体" w:cs="宋体"/>
                <w:b/>
                <w:bCs/>
                <w:color w:val="auto"/>
                <w:szCs w:val="21"/>
              </w:rPr>
            </w:pPr>
            <w:r>
              <w:rPr>
                <w:rFonts w:hint="eastAsia" w:ascii="宋体" w:hAnsi="宋体" w:cs="宋体"/>
                <w:b/>
                <w:bCs/>
                <w:color w:val="auto"/>
                <w:szCs w:val="21"/>
              </w:rPr>
              <w:t>包名称</w:t>
            </w:r>
          </w:p>
        </w:tc>
        <w:tc>
          <w:tcPr>
            <w:tcW w:w="828" w:type="pct"/>
            <w:noWrap w:val="0"/>
            <w:vAlign w:val="center"/>
          </w:tcPr>
          <w:p w14:paraId="791AC307">
            <w:pPr>
              <w:spacing w:line="500" w:lineRule="exact"/>
              <w:jc w:val="center"/>
              <w:rPr>
                <w:rFonts w:hint="eastAsia" w:ascii="宋体" w:hAnsi="宋体" w:cs="宋体"/>
                <w:b/>
                <w:bCs/>
                <w:color w:val="auto"/>
                <w:szCs w:val="21"/>
              </w:rPr>
            </w:pPr>
            <w:r>
              <w:rPr>
                <w:rFonts w:hint="eastAsia" w:ascii="宋体" w:hAnsi="宋体" w:cs="宋体"/>
                <w:b/>
                <w:bCs/>
                <w:color w:val="auto"/>
                <w:szCs w:val="21"/>
              </w:rPr>
              <w:t>最高限价（元）</w:t>
            </w:r>
          </w:p>
        </w:tc>
        <w:tc>
          <w:tcPr>
            <w:tcW w:w="895" w:type="pct"/>
            <w:noWrap w:val="0"/>
            <w:vAlign w:val="center"/>
          </w:tcPr>
          <w:p w14:paraId="6D2F3765">
            <w:pPr>
              <w:spacing w:line="500" w:lineRule="exact"/>
              <w:jc w:val="center"/>
              <w:rPr>
                <w:rFonts w:hint="eastAsia" w:ascii="宋体" w:hAnsi="宋体" w:cs="宋体"/>
                <w:b/>
                <w:bCs/>
                <w:color w:val="auto"/>
                <w:szCs w:val="21"/>
              </w:rPr>
            </w:pPr>
            <w:r>
              <w:rPr>
                <w:rFonts w:hint="eastAsia" w:ascii="宋体" w:hAnsi="宋体" w:cs="宋体"/>
                <w:b/>
                <w:bCs/>
                <w:color w:val="auto"/>
                <w:szCs w:val="21"/>
              </w:rPr>
              <w:t>标的名称</w:t>
            </w:r>
          </w:p>
        </w:tc>
        <w:tc>
          <w:tcPr>
            <w:tcW w:w="1133" w:type="pct"/>
            <w:noWrap w:val="0"/>
            <w:vAlign w:val="center"/>
          </w:tcPr>
          <w:p w14:paraId="63CCE690">
            <w:pPr>
              <w:spacing w:line="500" w:lineRule="exact"/>
              <w:jc w:val="center"/>
              <w:rPr>
                <w:rFonts w:hint="eastAsia" w:ascii="宋体" w:hAnsi="宋体" w:cs="宋体"/>
                <w:b/>
                <w:bCs/>
                <w:color w:val="auto"/>
                <w:szCs w:val="21"/>
              </w:rPr>
            </w:pPr>
            <w:r>
              <w:rPr>
                <w:rFonts w:hint="eastAsia" w:ascii="宋体" w:hAnsi="宋体" w:cs="宋体"/>
                <w:b/>
                <w:bCs/>
                <w:color w:val="auto"/>
                <w:szCs w:val="21"/>
              </w:rPr>
              <w:t>简要技术要求</w:t>
            </w:r>
          </w:p>
        </w:tc>
        <w:tc>
          <w:tcPr>
            <w:tcW w:w="345" w:type="pct"/>
            <w:noWrap w:val="0"/>
            <w:vAlign w:val="center"/>
          </w:tcPr>
          <w:p w14:paraId="5BB18262">
            <w:pPr>
              <w:spacing w:line="500" w:lineRule="exact"/>
              <w:jc w:val="center"/>
              <w:rPr>
                <w:rFonts w:hint="eastAsia" w:ascii="宋体" w:hAnsi="宋体" w:cs="宋体"/>
                <w:b/>
                <w:bCs/>
                <w:color w:val="auto"/>
                <w:szCs w:val="21"/>
              </w:rPr>
            </w:pPr>
            <w:r>
              <w:rPr>
                <w:rFonts w:hint="eastAsia" w:ascii="宋体" w:hAnsi="宋体" w:cs="宋体"/>
                <w:b/>
                <w:bCs/>
                <w:color w:val="auto"/>
                <w:szCs w:val="21"/>
              </w:rPr>
              <w:t>数量</w:t>
            </w:r>
          </w:p>
        </w:tc>
        <w:tc>
          <w:tcPr>
            <w:tcW w:w="746" w:type="pct"/>
            <w:noWrap w:val="0"/>
            <w:vAlign w:val="center"/>
          </w:tcPr>
          <w:p w14:paraId="2B3300D5">
            <w:pPr>
              <w:spacing w:line="500" w:lineRule="exact"/>
              <w:jc w:val="center"/>
              <w:rPr>
                <w:rFonts w:hint="eastAsia" w:ascii="宋体" w:hAnsi="宋体" w:cs="宋体"/>
                <w:b/>
                <w:bCs/>
                <w:color w:val="auto"/>
                <w:szCs w:val="21"/>
              </w:rPr>
            </w:pPr>
            <w:r>
              <w:rPr>
                <w:rFonts w:hint="eastAsia" w:ascii="宋体" w:hAnsi="宋体" w:cs="宋体"/>
                <w:b/>
                <w:bCs/>
                <w:color w:val="auto"/>
                <w:szCs w:val="21"/>
              </w:rPr>
              <w:t>标的预算（元）</w:t>
            </w:r>
          </w:p>
        </w:tc>
        <w:tc>
          <w:tcPr>
            <w:tcW w:w="366" w:type="pct"/>
            <w:noWrap w:val="0"/>
            <w:vAlign w:val="center"/>
          </w:tcPr>
          <w:p w14:paraId="6B9A6EE8">
            <w:pPr>
              <w:spacing w:line="500" w:lineRule="exact"/>
              <w:jc w:val="center"/>
              <w:rPr>
                <w:rFonts w:hint="eastAsia" w:ascii="宋体" w:hAnsi="宋体" w:cs="宋体"/>
                <w:b/>
                <w:bCs/>
                <w:color w:val="auto"/>
                <w:szCs w:val="21"/>
              </w:rPr>
            </w:pPr>
            <w:r>
              <w:rPr>
                <w:rFonts w:hint="eastAsia" w:ascii="宋体" w:hAnsi="宋体" w:cs="宋体"/>
                <w:b/>
                <w:bCs/>
                <w:color w:val="auto"/>
                <w:szCs w:val="21"/>
              </w:rPr>
              <w:t>节能产品</w:t>
            </w:r>
          </w:p>
        </w:tc>
        <w:tc>
          <w:tcPr>
            <w:tcW w:w="322" w:type="pct"/>
            <w:noWrap w:val="0"/>
            <w:vAlign w:val="center"/>
          </w:tcPr>
          <w:p w14:paraId="09D5DF46">
            <w:pPr>
              <w:spacing w:line="500" w:lineRule="exact"/>
              <w:jc w:val="center"/>
              <w:rPr>
                <w:rFonts w:hint="eastAsia" w:ascii="宋体" w:hAnsi="宋体" w:cs="宋体"/>
                <w:b/>
                <w:bCs/>
                <w:color w:val="auto"/>
                <w:szCs w:val="21"/>
              </w:rPr>
            </w:pPr>
            <w:r>
              <w:rPr>
                <w:rFonts w:hint="eastAsia" w:ascii="宋体" w:hAnsi="宋体" w:cs="宋体"/>
                <w:b/>
                <w:bCs/>
                <w:color w:val="auto"/>
                <w:szCs w:val="21"/>
              </w:rPr>
              <w:t>进口产品</w:t>
            </w:r>
          </w:p>
        </w:tc>
      </w:tr>
      <w:tr w14:paraId="1D71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61" w:type="pct"/>
            <w:noWrap w:val="0"/>
            <w:vAlign w:val="center"/>
          </w:tcPr>
          <w:p w14:paraId="21DD1E9F">
            <w:pPr>
              <w:spacing w:line="500" w:lineRule="exact"/>
              <w:jc w:val="center"/>
              <w:rPr>
                <w:rFonts w:hint="eastAsia" w:ascii="宋体" w:hAnsi="宋体" w:cs="宋体"/>
                <w:color w:val="auto"/>
                <w:szCs w:val="21"/>
              </w:rPr>
            </w:pPr>
            <w:r>
              <w:rPr>
                <w:rFonts w:hint="eastAsia" w:ascii="宋体" w:hAnsi="宋体" w:cs="宋体"/>
                <w:color w:val="auto"/>
                <w:szCs w:val="21"/>
              </w:rPr>
              <w:t>包1</w:t>
            </w:r>
          </w:p>
        </w:tc>
        <w:tc>
          <w:tcPr>
            <w:tcW w:w="828" w:type="pct"/>
            <w:noWrap w:val="0"/>
            <w:vAlign w:val="center"/>
          </w:tcPr>
          <w:p w14:paraId="01BE1727">
            <w:pPr>
              <w:spacing w:line="500" w:lineRule="exact"/>
              <w:jc w:val="center"/>
              <w:rPr>
                <w:rFonts w:hint="eastAsia" w:ascii="宋体" w:hAnsi="宋体" w:cs="宋体"/>
                <w:snapToGrid w:val="0"/>
                <w:color w:val="auto"/>
                <w:szCs w:val="21"/>
              </w:rPr>
            </w:pPr>
            <w:r>
              <w:rPr>
                <w:rFonts w:hint="eastAsia" w:ascii="宋体" w:hAnsi="宋体" w:cs="宋体"/>
                <w:color w:val="auto"/>
                <w:szCs w:val="21"/>
              </w:rPr>
              <w:t>1910000.00元</w:t>
            </w:r>
          </w:p>
        </w:tc>
        <w:tc>
          <w:tcPr>
            <w:tcW w:w="895" w:type="pct"/>
            <w:noWrap w:val="0"/>
            <w:vAlign w:val="center"/>
          </w:tcPr>
          <w:p w14:paraId="3EF45F70">
            <w:pPr>
              <w:spacing w:line="500" w:lineRule="exact"/>
              <w:jc w:val="left"/>
              <w:rPr>
                <w:rFonts w:hint="eastAsia" w:ascii="宋体" w:hAnsi="宋体" w:cs="宋体"/>
                <w:color w:val="auto"/>
                <w:szCs w:val="21"/>
              </w:rPr>
            </w:pPr>
            <w:r>
              <w:rPr>
                <w:rFonts w:hint="eastAsia" w:ascii="宋体" w:hAnsi="宋体" w:cs="宋体"/>
                <w:color w:val="auto"/>
                <w:szCs w:val="21"/>
              </w:rPr>
              <w:t>临床检验相关检测外送项目服务费用</w:t>
            </w:r>
          </w:p>
        </w:tc>
        <w:tc>
          <w:tcPr>
            <w:tcW w:w="1133" w:type="pct"/>
            <w:noWrap w:val="0"/>
            <w:vAlign w:val="center"/>
          </w:tcPr>
          <w:p w14:paraId="2386425F">
            <w:pPr>
              <w:spacing w:line="500" w:lineRule="exact"/>
              <w:jc w:val="left"/>
              <w:rPr>
                <w:rFonts w:hint="eastAsia" w:ascii="宋体" w:hAnsi="宋体" w:cs="宋体"/>
                <w:snapToGrid w:val="0"/>
                <w:color w:val="auto"/>
                <w:szCs w:val="21"/>
              </w:rPr>
            </w:pPr>
            <w:r>
              <w:rPr>
                <w:rFonts w:hint="eastAsia" w:ascii="宋体" w:hAnsi="宋体" w:cs="宋体"/>
                <w:color w:val="auto"/>
                <w:szCs w:val="21"/>
              </w:rPr>
              <w:t>临床检验外送服务，具体详见采购需求。</w:t>
            </w:r>
          </w:p>
        </w:tc>
        <w:tc>
          <w:tcPr>
            <w:tcW w:w="345" w:type="pct"/>
            <w:noWrap w:val="0"/>
            <w:vAlign w:val="center"/>
          </w:tcPr>
          <w:p w14:paraId="5C86CA18">
            <w:pPr>
              <w:spacing w:line="500" w:lineRule="exact"/>
              <w:jc w:val="center"/>
              <w:rPr>
                <w:rFonts w:hint="eastAsia" w:ascii="宋体" w:hAnsi="宋体" w:cs="宋体"/>
                <w:color w:val="auto"/>
                <w:szCs w:val="21"/>
              </w:rPr>
            </w:pPr>
            <w:r>
              <w:rPr>
                <w:rFonts w:hint="eastAsia" w:ascii="宋体" w:hAnsi="宋体" w:cs="宋体"/>
                <w:color w:val="auto"/>
                <w:szCs w:val="21"/>
              </w:rPr>
              <w:t>1</w:t>
            </w:r>
          </w:p>
        </w:tc>
        <w:tc>
          <w:tcPr>
            <w:tcW w:w="746" w:type="pct"/>
            <w:noWrap w:val="0"/>
            <w:vAlign w:val="center"/>
          </w:tcPr>
          <w:p w14:paraId="3AC09146">
            <w:pPr>
              <w:spacing w:line="500" w:lineRule="exact"/>
              <w:jc w:val="center"/>
              <w:rPr>
                <w:rFonts w:hint="eastAsia" w:ascii="宋体" w:hAnsi="宋体" w:cs="宋体"/>
                <w:color w:val="auto"/>
                <w:szCs w:val="21"/>
              </w:rPr>
            </w:pPr>
            <w:r>
              <w:rPr>
                <w:rFonts w:hint="eastAsia" w:ascii="宋体" w:hAnsi="宋体" w:cs="宋体"/>
                <w:color w:val="auto"/>
                <w:szCs w:val="21"/>
              </w:rPr>
              <w:t>1910000.00元</w:t>
            </w:r>
          </w:p>
        </w:tc>
        <w:tc>
          <w:tcPr>
            <w:tcW w:w="366" w:type="pct"/>
            <w:noWrap w:val="0"/>
            <w:vAlign w:val="center"/>
          </w:tcPr>
          <w:p w14:paraId="6A812D48">
            <w:pPr>
              <w:spacing w:line="500" w:lineRule="exact"/>
              <w:jc w:val="center"/>
              <w:rPr>
                <w:rFonts w:hint="eastAsia" w:ascii="宋体" w:hAnsi="宋体" w:cs="宋体"/>
                <w:color w:val="auto"/>
                <w:szCs w:val="21"/>
              </w:rPr>
            </w:pPr>
            <w:r>
              <w:rPr>
                <w:rFonts w:hint="eastAsia" w:ascii="宋体" w:hAnsi="宋体" w:cs="宋体"/>
                <w:color w:val="auto"/>
                <w:szCs w:val="21"/>
              </w:rPr>
              <w:sym w:font="Wingdings" w:char="00A8"/>
            </w:r>
          </w:p>
        </w:tc>
        <w:tc>
          <w:tcPr>
            <w:tcW w:w="322" w:type="pct"/>
            <w:noWrap w:val="0"/>
            <w:vAlign w:val="center"/>
          </w:tcPr>
          <w:p w14:paraId="265C2696">
            <w:pPr>
              <w:spacing w:line="500" w:lineRule="exact"/>
              <w:jc w:val="center"/>
              <w:rPr>
                <w:rFonts w:hint="eastAsia" w:ascii="宋体" w:hAnsi="宋体" w:cs="宋体"/>
                <w:color w:val="auto"/>
                <w:szCs w:val="21"/>
              </w:rPr>
            </w:pPr>
            <w:r>
              <w:rPr>
                <w:rFonts w:hint="eastAsia" w:ascii="宋体" w:hAnsi="宋体" w:cs="宋体"/>
                <w:color w:val="auto"/>
                <w:szCs w:val="21"/>
              </w:rPr>
              <w:sym w:font="Wingdings" w:char="00A8"/>
            </w:r>
          </w:p>
        </w:tc>
      </w:tr>
      <w:tr w14:paraId="166E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61" w:type="pct"/>
            <w:noWrap w:val="0"/>
            <w:vAlign w:val="center"/>
          </w:tcPr>
          <w:p w14:paraId="74C7C3E5">
            <w:pPr>
              <w:spacing w:line="500" w:lineRule="exact"/>
              <w:jc w:val="center"/>
              <w:rPr>
                <w:rFonts w:hint="eastAsia" w:ascii="宋体" w:hAnsi="宋体" w:cs="宋体"/>
                <w:color w:val="auto"/>
                <w:szCs w:val="21"/>
              </w:rPr>
            </w:pPr>
            <w:r>
              <w:rPr>
                <w:rFonts w:hint="eastAsia" w:ascii="宋体" w:hAnsi="宋体" w:cs="宋体"/>
                <w:color w:val="auto"/>
                <w:szCs w:val="21"/>
              </w:rPr>
              <w:t>包2</w:t>
            </w:r>
          </w:p>
        </w:tc>
        <w:tc>
          <w:tcPr>
            <w:tcW w:w="828" w:type="pct"/>
            <w:noWrap w:val="0"/>
            <w:vAlign w:val="center"/>
          </w:tcPr>
          <w:p w14:paraId="503DB75A">
            <w:pPr>
              <w:spacing w:line="500" w:lineRule="exact"/>
              <w:jc w:val="center"/>
              <w:rPr>
                <w:rFonts w:hint="eastAsia" w:ascii="宋体" w:hAnsi="宋体" w:cs="宋体"/>
                <w:snapToGrid w:val="0"/>
                <w:color w:val="auto"/>
                <w:szCs w:val="21"/>
              </w:rPr>
            </w:pPr>
            <w:r>
              <w:rPr>
                <w:rFonts w:hint="eastAsia" w:ascii="宋体" w:hAnsi="宋体" w:cs="宋体"/>
                <w:color w:val="auto"/>
                <w:szCs w:val="21"/>
              </w:rPr>
              <w:t>1200000.00元</w:t>
            </w:r>
          </w:p>
        </w:tc>
        <w:tc>
          <w:tcPr>
            <w:tcW w:w="895" w:type="pct"/>
            <w:noWrap w:val="0"/>
            <w:vAlign w:val="center"/>
          </w:tcPr>
          <w:p w14:paraId="3374CCBB">
            <w:pPr>
              <w:spacing w:line="500" w:lineRule="exact"/>
              <w:jc w:val="left"/>
              <w:rPr>
                <w:rFonts w:hint="eastAsia" w:ascii="宋体" w:hAnsi="宋体" w:cs="宋体"/>
                <w:color w:val="auto"/>
                <w:szCs w:val="21"/>
              </w:rPr>
            </w:pPr>
            <w:r>
              <w:rPr>
                <w:rFonts w:hint="eastAsia" w:ascii="宋体" w:hAnsi="宋体" w:cs="宋体"/>
                <w:color w:val="auto"/>
                <w:szCs w:val="21"/>
              </w:rPr>
              <w:t>新生儿T细胞B细胞免疫缺陷病检测外送项目服务费用</w:t>
            </w:r>
          </w:p>
        </w:tc>
        <w:tc>
          <w:tcPr>
            <w:tcW w:w="1133" w:type="pct"/>
            <w:noWrap w:val="0"/>
            <w:vAlign w:val="center"/>
          </w:tcPr>
          <w:p w14:paraId="3A105F85">
            <w:pPr>
              <w:spacing w:line="500" w:lineRule="exact"/>
              <w:jc w:val="left"/>
              <w:rPr>
                <w:rFonts w:hint="eastAsia" w:ascii="宋体" w:hAnsi="宋体" w:cs="宋体"/>
                <w:snapToGrid w:val="0"/>
                <w:color w:val="auto"/>
                <w:szCs w:val="21"/>
              </w:rPr>
            </w:pPr>
            <w:r>
              <w:rPr>
                <w:rFonts w:hint="eastAsia" w:ascii="宋体" w:hAnsi="宋体" w:cs="宋体"/>
                <w:color w:val="auto"/>
                <w:szCs w:val="21"/>
              </w:rPr>
              <w:t>新生儿T细胞B细胞免疫缺陷病筛查外送服务，具体详见采购需求。</w:t>
            </w:r>
          </w:p>
        </w:tc>
        <w:tc>
          <w:tcPr>
            <w:tcW w:w="345" w:type="pct"/>
            <w:noWrap w:val="0"/>
            <w:vAlign w:val="center"/>
          </w:tcPr>
          <w:p w14:paraId="7522EBB8">
            <w:pPr>
              <w:spacing w:line="500" w:lineRule="exact"/>
              <w:jc w:val="center"/>
              <w:rPr>
                <w:rFonts w:hint="eastAsia" w:ascii="宋体" w:hAnsi="宋体" w:cs="宋体"/>
                <w:color w:val="auto"/>
                <w:szCs w:val="21"/>
              </w:rPr>
            </w:pPr>
            <w:r>
              <w:rPr>
                <w:rFonts w:hint="eastAsia" w:ascii="宋体" w:hAnsi="宋体" w:cs="宋体"/>
                <w:color w:val="auto"/>
                <w:szCs w:val="21"/>
              </w:rPr>
              <w:t>1</w:t>
            </w:r>
          </w:p>
        </w:tc>
        <w:tc>
          <w:tcPr>
            <w:tcW w:w="746" w:type="pct"/>
            <w:noWrap w:val="0"/>
            <w:vAlign w:val="center"/>
          </w:tcPr>
          <w:p w14:paraId="7E8097D7">
            <w:pPr>
              <w:spacing w:line="500" w:lineRule="exact"/>
              <w:jc w:val="center"/>
              <w:rPr>
                <w:rFonts w:hint="eastAsia" w:ascii="宋体" w:hAnsi="宋体" w:cs="宋体"/>
                <w:color w:val="auto"/>
                <w:szCs w:val="21"/>
              </w:rPr>
            </w:pPr>
            <w:r>
              <w:rPr>
                <w:rFonts w:hint="eastAsia" w:ascii="宋体" w:hAnsi="宋体" w:cs="宋体"/>
                <w:color w:val="auto"/>
                <w:szCs w:val="21"/>
              </w:rPr>
              <w:t>1200000.00元</w:t>
            </w:r>
          </w:p>
        </w:tc>
        <w:tc>
          <w:tcPr>
            <w:tcW w:w="366" w:type="pct"/>
            <w:noWrap w:val="0"/>
            <w:vAlign w:val="center"/>
          </w:tcPr>
          <w:p w14:paraId="71E35575">
            <w:pPr>
              <w:spacing w:line="500" w:lineRule="exact"/>
              <w:jc w:val="center"/>
              <w:rPr>
                <w:rFonts w:hint="eastAsia" w:ascii="宋体" w:hAnsi="宋体" w:cs="宋体"/>
                <w:color w:val="auto"/>
                <w:szCs w:val="21"/>
              </w:rPr>
            </w:pPr>
            <w:r>
              <w:rPr>
                <w:rFonts w:hint="eastAsia" w:ascii="宋体" w:hAnsi="宋体" w:cs="宋体"/>
                <w:color w:val="auto"/>
                <w:szCs w:val="21"/>
              </w:rPr>
              <w:sym w:font="Wingdings" w:char="00A8"/>
            </w:r>
          </w:p>
        </w:tc>
        <w:tc>
          <w:tcPr>
            <w:tcW w:w="322" w:type="pct"/>
            <w:noWrap w:val="0"/>
            <w:vAlign w:val="center"/>
          </w:tcPr>
          <w:p w14:paraId="1197C9B2">
            <w:pPr>
              <w:spacing w:line="500" w:lineRule="exact"/>
              <w:jc w:val="center"/>
              <w:rPr>
                <w:rFonts w:hint="eastAsia" w:ascii="宋体" w:hAnsi="宋体" w:cs="宋体"/>
                <w:color w:val="auto"/>
                <w:szCs w:val="21"/>
              </w:rPr>
            </w:pPr>
            <w:r>
              <w:rPr>
                <w:rFonts w:hint="eastAsia" w:ascii="宋体" w:hAnsi="宋体" w:cs="宋体"/>
                <w:color w:val="auto"/>
                <w:szCs w:val="21"/>
              </w:rPr>
              <w:sym w:font="Wingdings" w:char="00A8"/>
            </w:r>
          </w:p>
        </w:tc>
      </w:tr>
      <w:tr w14:paraId="774E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61" w:type="pct"/>
            <w:noWrap w:val="0"/>
            <w:vAlign w:val="center"/>
          </w:tcPr>
          <w:p w14:paraId="36A6F718">
            <w:pPr>
              <w:spacing w:line="500" w:lineRule="exact"/>
              <w:jc w:val="center"/>
              <w:rPr>
                <w:rFonts w:hint="eastAsia" w:ascii="宋体" w:hAnsi="宋体" w:cs="宋体"/>
                <w:color w:val="auto"/>
                <w:szCs w:val="21"/>
              </w:rPr>
            </w:pPr>
            <w:r>
              <w:rPr>
                <w:rFonts w:hint="eastAsia" w:ascii="宋体" w:hAnsi="宋体" w:cs="宋体"/>
                <w:color w:val="auto"/>
                <w:szCs w:val="21"/>
              </w:rPr>
              <w:t>包3</w:t>
            </w:r>
          </w:p>
        </w:tc>
        <w:tc>
          <w:tcPr>
            <w:tcW w:w="828" w:type="pct"/>
            <w:noWrap w:val="0"/>
            <w:vAlign w:val="center"/>
          </w:tcPr>
          <w:p w14:paraId="3818FC80">
            <w:pPr>
              <w:spacing w:line="500" w:lineRule="exact"/>
              <w:jc w:val="center"/>
              <w:rPr>
                <w:rFonts w:hint="eastAsia" w:ascii="宋体" w:hAnsi="宋体" w:cs="宋体"/>
                <w:snapToGrid w:val="0"/>
                <w:color w:val="auto"/>
                <w:szCs w:val="21"/>
              </w:rPr>
            </w:pPr>
            <w:r>
              <w:rPr>
                <w:rFonts w:hint="eastAsia" w:ascii="宋体" w:hAnsi="宋体" w:cs="宋体"/>
                <w:color w:val="auto"/>
                <w:kern w:val="0"/>
                <w:szCs w:val="21"/>
                <w:lang w:bidi="ar"/>
              </w:rPr>
              <w:t>4000000.00</w:t>
            </w:r>
            <w:r>
              <w:rPr>
                <w:rFonts w:hint="eastAsia" w:ascii="宋体" w:hAnsi="宋体" w:cs="宋体"/>
                <w:color w:val="auto"/>
                <w:szCs w:val="21"/>
              </w:rPr>
              <w:t>元</w:t>
            </w:r>
          </w:p>
        </w:tc>
        <w:tc>
          <w:tcPr>
            <w:tcW w:w="895" w:type="pct"/>
            <w:noWrap w:val="0"/>
            <w:vAlign w:val="center"/>
          </w:tcPr>
          <w:p w14:paraId="58EE80F2">
            <w:pPr>
              <w:spacing w:line="500" w:lineRule="exact"/>
              <w:jc w:val="left"/>
              <w:rPr>
                <w:rFonts w:hint="eastAsia" w:ascii="宋体" w:hAnsi="宋体" w:cs="宋体"/>
                <w:color w:val="auto"/>
                <w:szCs w:val="21"/>
              </w:rPr>
            </w:pPr>
            <w:r>
              <w:rPr>
                <w:rFonts w:hint="eastAsia" w:ascii="宋体" w:hAnsi="宋体" w:cs="宋体"/>
                <w:color w:val="auto"/>
                <w:szCs w:val="21"/>
              </w:rPr>
              <w:t>遗传基因相关检测外送项目服务费用</w:t>
            </w:r>
          </w:p>
        </w:tc>
        <w:tc>
          <w:tcPr>
            <w:tcW w:w="1133" w:type="pct"/>
            <w:noWrap w:val="0"/>
            <w:vAlign w:val="center"/>
          </w:tcPr>
          <w:p w14:paraId="1763040B">
            <w:pPr>
              <w:spacing w:line="500" w:lineRule="exact"/>
              <w:jc w:val="left"/>
              <w:rPr>
                <w:rFonts w:hint="eastAsia" w:ascii="宋体" w:hAnsi="宋体" w:cs="宋体"/>
                <w:snapToGrid w:val="0"/>
                <w:color w:val="auto"/>
                <w:szCs w:val="21"/>
              </w:rPr>
            </w:pPr>
            <w:r>
              <w:rPr>
                <w:rFonts w:hint="eastAsia" w:ascii="宋体" w:hAnsi="宋体" w:cs="宋体"/>
                <w:color w:val="auto"/>
                <w:szCs w:val="21"/>
              </w:rPr>
              <w:t>遗传基因相关检测外送服务，具体详见采购需求。</w:t>
            </w:r>
          </w:p>
        </w:tc>
        <w:tc>
          <w:tcPr>
            <w:tcW w:w="345" w:type="pct"/>
            <w:noWrap w:val="0"/>
            <w:vAlign w:val="center"/>
          </w:tcPr>
          <w:p w14:paraId="5AC25E8D">
            <w:pPr>
              <w:spacing w:line="500" w:lineRule="exact"/>
              <w:jc w:val="center"/>
              <w:rPr>
                <w:rFonts w:hint="eastAsia" w:ascii="宋体" w:hAnsi="宋体" w:cs="宋体"/>
                <w:color w:val="auto"/>
                <w:szCs w:val="21"/>
              </w:rPr>
            </w:pPr>
            <w:r>
              <w:rPr>
                <w:rFonts w:hint="eastAsia" w:ascii="宋体" w:hAnsi="宋体" w:cs="宋体"/>
                <w:color w:val="auto"/>
                <w:szCs w:val="21"/>
              </w:rPr>
              <w:t>1</w:t>
            </w:r>
          </w:p>
        </w:tc>
        <w:tc>
          <w:tcPr>
            <w:tcW w:w="746" w:type="pct"/>
            <w:noWrap w:val="0"/>
            <w:vAlign w:val="center"/>
          </w:tcPr>
          <w:p w14:paraId="2809AC33">
            <w:pPr>
              <w:spacing w:line="500" w:lineRule="exact"/>
              <w:jc w:val="center"/>
              <w:rPr>
                <w:rFonts w:hint="eastAsia" w:ascii="宋体" w:hAnsi="宋体" w:cs="宋体"/>
                <w:color w:val="auto"/>
                <w:szCs w:val="21"/>
              </w:rPr>
            </w:pPr>
            <w:r>
              <w:rPr>
                <w:rFonts w:hint="eastAsia" w:ascii="宋体" w:hAnsi="宋体" w:cs="宋体"/>
                <w:color w:val="auto"/>
                <w:kern w:val="0"/>
                <w:szCs w:val="21"/>
                <w:lang w:bidi="ar"/>
              </w:rPr>
              <w:t>4000000.00</w:t>
            </w:r>
            <w:r>
              <w:rPr>
                <w:rFonts w:hint="eastAsia" w:ascii="宋体" w:hAnsi="宋体" w:cs="宋体"/>
                <w:color w:val="auto"/>
                <w:szCs w:val="21"/>
              </w:rPr>
              <w:t>元</w:t>
            </w:r>
          </w:p>
        </w:tc>
        <w:tc>
          <w:tcPr>
            <w:tcW w:w="366" w:type="pct"/>
            <w:noWrap w:val="0"/>
            <w:vAlign w:val="center"/>
          </w:tcPr>
          <w:p w14:paraId="3D9A7EE7">
            <w:pPr>
              <w:spacing w:line="500" w:lineRule="exact"/>
              <w:jc w:val="center"/>
              <w:rPr>
                <w:rFonts w:hint="eastAsia" w:ascii="宋体" w:hAnsi="宋体" w:cs="宋体"/>
                <w:snapToGrid w:val="0"/>
                <w:color w:val="auto"/>
                <w:szCs w:val="21"/>
              </w:rPr>
            </w:pPr>
            <w:r>
              <w:rPr>
                <w:rFonts w:hint="eastAsia" w:ascii="宋体" w:hAnsi="宋体" w:cs="宋体"/>
                <w:color w:val="auto"/>
                <w:szCs w:val="21"/>
              </w:rPr>
              <w:sym w:font="Wingdings" w:char="00A8"/>
            </w:r>
          </w:p>
        </w:tc>
        <w:tc>
          <w:tcPr>
            <w:tcW w:w="322" w:type="pct"/>
            <w:noWrap w:val="0"/>
            <w:vAlign w:val="center"/>
          </w:tcPr>
          <w:p w14:paraId="648ED41E">
            <w:pPr>
              <w:spacing w:line="500" w:lineRule="exact"/>
              <w:jc w:val="center"/>
              <w:rPr>
                <w:rFonts w:hint="eastAsia" w:ascii="宋体" w:hAnsi="宋体" w:cs="宋体"/>
                <w:snapToGrid w:val="0"/>
                <w:color w:val="auto"/>
                <w:szCs w:val="21"/>
              </w:rPr>
            </w:pPr>
            <w:r>
              <w:rPr>
                <w:rFonts w:hint="eastAsia" w:ascii="宋体" w:hAnsi="宋体" w:cs="宋体"/>
                <w:color w:val="auto"/>
                <w:szCs w:val="21"/>
              </w:rPr>
              <w:sym w:font="Wingdings" w:char="00A8"/>
            </w:r>
          </w:p>
        </w:tc>
      </w:tr>
    </w:tbl>
    <w:p w14:paraId="4DAC3AE4">
      <w:pPr>
        <w:pStyle w:val="4"/>
        <w:rPr>
          <w:rFonts w:hint="eastAsia" w:ascii="宋体" w:hAnsi="宋体" w:cs="宋体"/>
          <w:color w:val="auto"/>
          <w:szCs w:val="21"/>
        </w:rPr>
      </w:pPr>
    </w:p>
    <w:p w14:paraId="433967DF">
      <w:pPr>
        <w:spacing w:before="287" w:line="500" w:lineRule="exact"/>
        <w:ind w:firstLine="514" w:firstLineChars="200"/>
        <w:jc w:val="left"/>
        <w:rPr>
          <w:rFonts w:hint="eastAsia" w:ascii="宋体" w:hAnsi="宋体" w:cs="宋体"/>
          <w:b/>
          <w:bCs/>
          <w:color w:val="auto"/>
          <w:spacing w:val="23"/>
          <w:szCs w:val="21"/>
        </w:rPr>
      </w:pPr>
    </w:p>
    <w:p w14:paraId="554F37F5">
      <w:pPr>
        <w:spacing w:before="287" w:line="500" w:lineRule="exact"/>
        <w:ind w:firstLine="514" w:firstLineChars="200"/>
        <w:jc w:val="left"/>
        <w:rPr>
          <w:rFonts w:hint="eastAsia" w:ascii="宋体" w:hAnsi="宋体" w:cs="宋体"/>
          <w:b/>
          <w:bCs/>
          <w:color w:val="auto"/>
          <w:spacing w:val="23"/>
          <w:szCs w:val="21"/>
        </w:rPr>
      </w:pPr>
    </w:p>
    <w:p w14:paraId="6BAC75A5">
      <w:pPr>
        <w:spacing w:before="287" w:line="500" w:lineRule="exact"/>
        <w:ind w:firstLine="514" w:firstLineChars="200"/>
        <w:jc w:val="left"/>
        <w:rPr>
          <w:rFonts w:hint="eastAsia" w:ascii="宋体" w:hAnsi="宋体" w:cs="宋体"/>
          <w:b/>
          <w:bCs/>
          <w:color w:val="auto"/>
          <w:spacing w:val="23"/>
          <w:szCs w:val="21"/>
        </w:rPr>
      </w:pPr>
    </w:p>
    <w:p w14:paraId="760490AF">
      <w:pPr>
        <w:spacing w:before="287" w:line="500" w:lineRule="exact"/>
        <w:ind w:firstLine="514" w:firstLineChars="200"/>
        <w:jc w:val="left"/>
        <w:rPr>
          <w:rFonts w:hint="eastAsia" w:ascii="宋体" w:hAnsi="宋体" w:cs="宋体"/>
          <w:b/>
          <w:bCs/>
          <w:color w:val="auto"/>
          <w:spacing w:val="23"/>
          <w:szCs w:val="21"/>
        </w:rPr>
      </w:pPr>
    </w:p>
    <w:p w14:paraId="33584DD2">
      <w:pPr>
        <w:spacing w:before="287" w:line="500" w:lineRule="exact"/>
        <w:jc w:val="left"/>
        <w:rPr>
          <w:rFonts w:hint="eastAsia" w:ascii="宋体" w:hAnsi="宋体" w:cs="宋体"/>
          <w:b/>
          <w:bCs/>
          <w:color w:val="auto"/>
          <w:spacing w:val="23"/>
          <w:szCs w:val="21"/>
        </w:rPr>
      </w:pPr>
    </w:p>
    <w:p w14:paraId="1A2BD45F">
      <w:pPr>
        <w:spacing w:before="287" w:line="500" w:lineRule="exact"/>
        <w:jc w:val="left"/>
        <w:rPr>
          <w:rFonts w:hint="eastAsia" w:ascii="宋体" w:hAnsi="宋体" w:cs="宋体"/>
          <w:b/>
          <w:bCs/>
          <w:color w:val="auto"/>
          <w:spacing w:val="23"/>
          <w:szCs w:val="21"/>
        </w:rPr>
      </w:pPr>
    </w:p>
    <w:p w14:paraId="6354498C">
      <w:pPr>
        <w:spacing w:before="287" w:line="500" w:lineRule="exact"/>
        <w:jc w:val="left"/>
        <w:rPr>
          <w:rFonts w:hint="eastAsia" w:ascii="宋体" w:hAnsi="宋体" w:cs="宋体"/>
          <w:b/>
          <w:bCs/>
          <w:color w:val="auto"/>
          <w:spacing w:val="23"/>
          <w:szCs w:val="21"/>
        </w:rPr>
      </w:pPr>
    </w:p>
    <w:p w14:paraId="546D326E">
      <w:pPr>
        <w:spacing w:before="287" w:line="500" w:lineRule="exact"/>
        <w:jc w:val="left"/>
        <w:rPr>
          <w:rFonts w:hint="eastAsia" w:ascii="宋体" w:hAnsi="宋体" w:cs="宋体"/>
          <w:b/>
          <w:bCs/>
          <w:color w:val="auto"/>
          <w:spacing w:val="23"/>
          <w:szCs w:val="21"/>
        </w:rPr>
      </w:pPr>
    </w:p>
    <w:p w14:paraId="522AF137">
      <w:pPr>
        <w:spacing w:before="287" w:line="500" w:lineRule="exact"/>
        <w:ind w:firstLine="514" w:firstLineChars="200"/>
        <w:jc w:val="left"/>
        <w:rPr>
          <w:rFonts w:hint="eastAsia" w:ascii="宋体" w:hAnsi="宋体" w:cs="宋体"/>
          <w:b/>
          <w:bCs/>
          <w:color w:val="auto"/>
          <w:spacing w:val="23"/>
          <w:szCs w:val="21"/>
        </w:rPr>
      </w:pPr>
      <w:r>
        <w:rPr>
          <w:rFonts w:hint="eastAsia" w:ascii="宋体" w:hAnsi="宋体" w:cs="宋体"/>
          <w:b/>
          <w:bCs/>
          <w:color w:val="auto"/>
          <w:spacing w:val="23"/>
          <w:szCs w:val="21"/>
        </w:rPr>
        <w:t>（包一）：</w:t>
      </w:r>
    </w:p>
    <w:p w14:paraId="2D8EAD87">
      <w:pPr>
        <w:pStyle w:val="4"/>
        <w:spacing w:line="500" w:lineRule="exact"/>
        <w:ind w:firstLine="422" w:firstLineChars="200"/>
        <w:rPr>
          <w:rFonts w:hint="eastAsia" w:ascii="宋体" w:hAnsi="宋体" w:cs="宋体"/>
          <w:b/>
          <w:bCs/>
          <w:color w:val="auto"/>
          <w:szCs w:val="21"/>
        </w:rPr>
      </w:pPr>
      <w:r>
        <w:rPr>
          <w:rFonts w:hint="eastAsia" w:ascii="宋体" w:hAnsi="宋体" w:cs="宋体"/>
          <w:b/>
          <w:bCs/>
          <w:color w:val="auto"/>
          <w:szCs w:val="21"/>
        </w:rPr>
        <w:t>（一）采购需求清单：</w:t>
      </w:r>
    </w:p>
    <w:tbl>
      <w:tblPr>
        <w:tblStyle w:val="5"/>
        <w:tblW w:w="9718" w:type="dxa"/>
        <w:tblInd w:w="93" w:type="dxa"/>
        <w:tblLayout w:type="autofit"/>
        <w:tblCellMar>
          <w:top w:w="0" w:type="dxa"/>
          <w:left w:w="108" w:type="dxa"/>
          <w:bottom w:w="0" w:type="dxa"/>
          <w:right w:w="108" w:type="dxa"/>
        </w:tblCellMar>
      </w:tblPr>
      <w:tblGrid>
        <w:gridCol w:w="542"/>
        <w:gridCol w:w="3823"/>
        <w:gridCol w:w="1044"/>
        <w:gridCol w:w="2805"/>
        <w:gridCol w:w="1504"/>
      </w:tblGrid>
      <w:tr w14:paraId="66995CCD">
        <w:tblPrEx>
          <w:tblCellMar>
            <w:top w:w="0" w:type="dxa"/>
            <w:left w:w="108" w:type="dxa"/>
            <w:bottom w:w="0" w:type="dxa"/>
            <w:right w:w="108" w:type="dxa"/>
          </w:tblCellMar>
        </w:tblPrEx>
        <w:trPr>
          <w:trHeight w:val="595" w:hRule="atLeast"/>
        </w:trPr>
        <w:tc>
          <w:tcPr>
            <w:tcW w:w="542" w:type="dxa"/>
            <w:tcBorders>
              <w:top w:val="single" w:color="000000" w:sz="4" w:space="0"/>
              <w:left w:val="single" w:color="000000" w:sz="4" w:space="0"/>
              <w:bottom w:val="single" w:color="000000" w:sz="4" w:space="0"/>
              <w:right w:val="single" w:color="000000" w:sz="4" w:space="0"/>
            </w:tcBorders>
            <w:noWrap/>
            <w:vAlign w:val="center"/>
          </w:tcPr>
          <w:p w14:paraId="328FCB8C">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序号</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4F106AA">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项目名称</w:t>
            </w:r>
          </w:p>
        </w:tc>
        <w:tc>
          <w:tcPr>
            <w:tcW w:w="1044" w:type="dxa"/>
            <w:tcBorders>
              <w:top w:val="single" w:color="000000" w:sz="4" w:space="0"/>
              <w:left w:val="single" w:color="000000" w:sz="4" w:space="0"/>
              <w:bottom w:val="single" w:color="000000" w:sz="4" w:space="0"/>
              <w:right w:val="single" w:color="000000" w:sz="4" w:space="0"/>
            </w:tcBorders>
            <w:noWrap/>
            <w:vAlign w:val="center"/>
          </w:tcPr>
          <w:p w14:paraId="6A0C2ECB">
            <w:pPr>
              <w:widowControl/>
              <w:jc w:val="center"/>
              <w:textAlignment w:val="center"/>
              <w:rPr>
                <w:rFonts w:hint="default" w:ascii="宋体" w:hAnsi="宋体" w:eastAsia="宋体" w:cs="宋体"/>
                <w:b/>
                <w:bCs/>
                <w:color w:val="auto"/>
                <w:szCs w:val="21"/>
                <w:lang w:val="en-US" w:eastAsia="zh-CN"/>
              </w:rPr>
            </w:pPr>
            <w:r>
              <w:rPr>
                <w:rFonts w:hint="eastAsia" w:ascii="宋体" w:hAnsi="宋体" w:cs="宋体"/>
                <w:b/>
                <w:bCs/>
                <w:color w:val="auto"/>
                <w:kern w:val="0"/>
                <w:szCs w:val="21"/>
                <w:lang w:bidi="ar"/>
              </w:rPr>
              <w:t>项目价格</w:t>
            </w:r>
            <w:r>
              <w:rPr>
                <w:rFonts w:hint="eastAsia" w:ascii="宋体" w:hAnsi="宋体" w:cs="宋体"/>
                <w:b/>
                <w:bCs/>
                <w:color w:val="auto"/>
                <w:kern w:val="0"/>
                <w:szCs w:val="21"/>
                <w:lang w:eastAsia="zh-CN" w:bidi="ar"/>
              </w:rPr>
              <w:t>（</w:t>
            </w:r>
            <w:r>
              <w:rPr>
                <w:rFonts w:hint="eastAsia" w:ascii="宋体" w:hAnsi="宋体" w:cs="宋体"/>
                <w:b/>
                <w:bCs/>
                <w:color w:val="auto"/>
                <w:kern w:val="0"/>
                <w:szCs w:val="21"/>
                <w:lang w:val="en-US" w:eastAsia="zh-CN" w:bidi="ar"/>
              </w:rPr>
              <w:t>元）</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7BF7B00">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项目方法学</w:t>
            </w:r>
          </w:p>
        </w:tc>
        <w:tc>
          <w:tcPr>
            <w:tcW w:w="1504" w:type="dxa"/>
            <w:tcBorders>
              <w:top w:val="single" w:color="000000" w:sz="4" w:space="0"/>
              <w:left w:val="single" w:color="000000" w:sz="4" w:space="0"/>
              <w:bottom w:val="single" w:color="000000" w:sz="4" w:space="0"/>
              <w:right w:val="single" w:color="000000" w:sz="4" w:space="0"/>
            </w:tcBorders>
            <w:noWrap/>
            <w:vAlign w:val="center"/>
          </w:tcPr>
          <w:p w14:paraId="6FB3B034">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出具报告时间</w:t>
            </w:r>
          </w:p>
        </w:tc>
      </w:tr>
      <w:tr w14:paraId="286A07E9">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1EB4A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CA3D47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总前列腺特异性抗原(TPSA),化学发光法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E598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66B87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2F50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37384A9A">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E4A0A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1D0F55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肿瘤坏死因子α（TNF-α）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3BAD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B8C9F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A916F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54386B14">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11064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9C34F8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真菌培养(丝状型+酵母型),培养法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35514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63FBB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培养法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3837D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5个工作日</w:t>
            </w:r>
          </w:p>
        </w:tc>
      </w:tr>
      <w:tr w14:paraId="2F5E2925">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E03BF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8087B3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真菌1，3-β-D葡聚糖检测(G试验)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B5A16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A294D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显色法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1427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4E4D57B">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7329F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DFEC9A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游离前列腺特异性抗原(FPSA),化学发光法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6748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D0E3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EA40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2D70F866">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37556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E529BB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幽门螺杆菌抗体分型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C1FFF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74298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免疫印迹法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327A5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37DE3EA">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42008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010C2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胰岛素样生长因子结合蛋白3(金域)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E4BC8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3ABA8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664A2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270886B8">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9922D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90B05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胰岛素样生长因子-1(金域)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CC41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2B2D8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17D75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3646CF4F">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2876E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D5EA96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血栓前四项(TAT+PIC+TM+tPAI.C)</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8DEB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59CDE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56BF5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6CCC4554">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645C16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D90D7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血清药物浓度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BDD3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35E13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高效液相色谱法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4B32E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176E2D5E">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B5773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48C4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血清生长激素测定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D3B4A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311A7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0C92F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6A182369">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1F9EE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6DC563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血浆凝血因子全套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0CCD0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532B1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凝固法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AE489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69EA5692">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DD25EC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A6276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血浆蛋白C测定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5EDB4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8C38E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免疫比浊法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E6FAE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3168AB8B">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4F702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4CFCC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雄烯二酮(AD),血清,LC-MS/MS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59B3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F159C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高效液相色谱-串联质谱法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F9090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033EF52">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213A2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DA5AA8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细小病毒B19-IgM(B19-IgM),ELISA法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E7042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2FE7E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5559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7720B519">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3F1051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973088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细小病毒B19-IgG(B19-IgG),ELISA法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2D3E5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AD3F5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CB957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6F7BE36F">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1602A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4279E5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西罗莫司,全血,高效液相色谱-串联质谱法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56716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0D13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高效液相色谱-串联质谱法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01D6A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550BF847">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49C87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746D27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戊型肝炎病毒抗体IgM(HEV-IgM)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1BAC4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1C76C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00BF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2FBA75E2">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2355B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FF3000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 xml:space="preserve">胃功能三项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C0453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73C96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53B2D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50DAFBEF">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C2A2F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074644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幽门螺杆菌测定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21640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1101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免疫印迹法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ED3BA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4F4F6446">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5B22D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290C47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维生素B6,高效液相色谱法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852CD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B3E67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高效液相色谱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58E13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2E30B62D">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4A6BC9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63003E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外周血T淋巴细胞亚群+NK细胞(CD3/CD16+56)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2291B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DCA06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流式细胞术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E5496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6B5733EB">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78DB4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B1C3C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外周血T淋巴细胞亚群(百分比)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76704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08B8E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流式细胞术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FC813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583D17E4">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78588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CE777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外周血NK细胞 (CD3-CD16+或CD56+)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54E2B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7F9CC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流式细胞术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6935C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F228F99">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A8F5E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36FD20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外周血B细胞CD19/CD20检测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9C4C0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F19B6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流式细胞术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2BA68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1A6806AD">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DC0876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641CC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外周血B淋巴细胞(CD3-CD19+)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3702A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2AB24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流式细胞术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10BE5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6FCCFEC">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7F0EB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4FBC01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糖类CA72－4抗原测定--化学发光法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4BCAE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3A45B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E18CD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7D7383DC">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58DF2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747BC0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水痘-带状疱疹病毒抗体IgG(VZV-IgG),ELISA法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CA722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7E45E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CC493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664D6128">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983D7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666D9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水痘-带状疱疹病毒IgM(VZV-IgM),ELISA法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45220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56642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14387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47B8C69E">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312E5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63D585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生殖道多种病原体靶向测序+TCT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2700A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D0F67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高通量测序法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FB193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1个工作日</w:t>
            </w:r>
          </w:p>
        </w:tc>
      </w:tr>
      <w:tr w14:paraId="7F5D28D8">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3A2F3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6F7F98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生殖道多种病原体靶向测序,多重靶向扩增-高通量测序法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A08EB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42979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高通量测序法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DD6F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1个工作日</w:t>
            </w:r>
          </w:p>
        </w:tc>
      </w:tr>
      <w:tr w14:paraId="0B15F996">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BF5BC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5DC759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上呼吸道多种病原体靶向测序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9310D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FD6EC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高通量测序法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8BA45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1个工作日</w:t>
            </w:r>
          </w:p>
        </w:tc>
      </w:tr>
      <w:tr w14:paraId="31D2134E">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3FEED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23CE96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人附睾蛋白4（HE4）,化学发光法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7039B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7D2FD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89AE4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2E358205">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5AB00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3DFCB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曲霉菌抗原检测(GM试验)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BECD2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C5E11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酶免夹心法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F110F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4591C257">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035BA5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1FE207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葡萄糖-6-磷酸脱氢酶缺陷筛查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43904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13292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比色法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2F416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67FA271A">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5A09C9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2312A6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葡萄糖6-磷酸脱氢酶(G-6-PD)缺陷筛查,比色法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83290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94561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比色法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39B3A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1DBA5F37">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E61623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B29B7C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皮质醇(COR),化学发光法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69BEB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8ACD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72F37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72860139">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AF8150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F18A48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毛发毒品快速筛查-三项，荧光免疫层析法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7C2D0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FFB8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荧光免疫层析法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5AA1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7EC28D71">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68802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E7C85E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硫酸脱氢表雄酮,血清,LC-MS/MS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D3B4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78D3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LC-MS/MS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5E829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4个工作日</w:t>
            </w:r>
          </w:p>
        </w:tc>
      </w:tr>
      <w:tr w14:paraId="152A7BE4">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04034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FD6E65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硫酸去氢表雄酮(DHS)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A2F27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87461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LC-MS/MS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027A6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4个工作日</w:t>
            </w:r>
          </w:p>
        </w:tc>
      </w:tr>
      <w:tr w14:paraId="771648B2">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097C0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9315F2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鳞癌细胞抗原SCC(化学发光法)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C95CB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AF6FF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E56EC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1452A463">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17A53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BF5EF9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狼疮抗凝物质检测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F9728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9E26E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凝固法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38E54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1个工作日</w:t>
            </w:r>
          </w:p>
        </w:tc>
      </w:tr>
      <w:tr w14:paraId="2F08647B">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CDC5C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E194A0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抗子宫内膜抗体(EmAb)</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73F8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6F2B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3AFE8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5A7C0988">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AF7BC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663A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抗心磷脂抗体IgM测定(ACA)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179F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1719C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3ABA8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2544403C">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A1534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84A4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抗心磷脂抗体IgG测定(ACA)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ED36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996B5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9005F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6B5001D9">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77B45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29AEE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抗心磷脂抗体IgA测定(ACA)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F41F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C6C3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9AB1E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10FD1D21">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73609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1EF208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抗可提取性核抗原多肽抗体(抗ENA抗体)</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7EDB1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F4A5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免疫印迹法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E9466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36DB3EF6">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3F275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2F2D3F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抗精子抗体定量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6761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143D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E86E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D471635">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1FFF3B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180802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抗环瓜氨酸肽（CCP）抗体定量,化学发光法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88025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0B53F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97EA0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0894B8C1">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10CF3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9F12B2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抗核小体抗体测定，定量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46489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632D5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7DE8F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45414617">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1FF14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A923BF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抗核抗体谱-17项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3770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296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A3347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免疫印迹法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24871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706BF090">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4EABD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2B78B0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抗核抗体(ANA)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4EE21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EA1DC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间接免疫荧光法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9135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B536F42">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949F3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7E960E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抗β2糖蛋白1抗体三项定量(β2 GPI-IgA,IgG,IgM),化学发光法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DBB3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19D4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9BFF2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1E42C930">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019D6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66AE0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抗β2糖蛋白1IgG抗体(β2 GPI-IgG),定量,化学发光法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DE17C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BCB7F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656E1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173EE410">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393D8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669605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抗β2糖蛋白1 IgM抗体(β2 GPI-IgM),定量,化学发光法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C326E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C763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6F3C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63C2A0C5">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40ADA5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57E6C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抗β2糖蛋白1 IgA抗体(β2 GPI-IgA),定量,化学发光法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B37AC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DE6B9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19115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6D9FC78F">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21428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6CD7B9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结核抗体(TB-Ab)</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28E2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4D8F2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E1B20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414FB667">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D645B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7D3706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结核感染T细胞检测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15F02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831C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酶联免疫斑点法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74C7D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7ACAD15E">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3A457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85AFB0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降钙素(CT)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91088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1CC24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CB5E8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680CD2BB">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0929F1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E20E48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甲状旁腺激素(PTH),化学发光法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45A80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84C44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40C57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4646DF11">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0E585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8D72FC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甲型肝炎病毒抗体IgM(HAV-IgM)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E66DD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26A67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865CA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16835DBC">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4C7AF3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6E691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呼吸道多种病原体靶向测序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B3464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1C35C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高通量测序法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42431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1个工作日</w:t>
            </w:r>
          </w:p>
        </w:tc>
      </w:tr>
      <w:tr w14:paraId="476750C8">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8A13E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7042DA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骨源性碱性磷酸酶(BAP)</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19F96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E0101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48027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30AF7A9D">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01E9F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14A37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骨髓涂片细胞学检验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22241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F4188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显微镜检法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97C31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4个工作日</w:t>
            </w:r>
          </w:p>
        </w:tc>
      </w:tr>
      <w:tr w14:paraId="552AC4F2">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4831FB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799101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骨髓涂片检查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DBA9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99116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显微镜检法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8B95E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4个工作日</w:t>
            </w:r>
          </w:p>
        </w:tc>
      </w:tr>
      <w:tr w14:paraId="78F6CBE1">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826D43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54010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骨髓特殊染色及酶组织化学染色检查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B3195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94F40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组织化学染色法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12A50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4个工作日</w:t>
            </w:r>
          </w:p>
        </w:tc>
      </w:tr>
      <w:tr w14:paraId="08452C59">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46CE47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6A765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各类滥用药物筛查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C9E3C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A2DC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荧光免疫层析法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382A5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0F345C5A">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191E9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E9124D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封闭抗体(BA)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2B3E6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F1BCB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酶联免疫吸附法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468C5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675D8619">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C3153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62001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蛋白S测定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CF3BC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E809D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免疫比浊法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8259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7514A659">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C3042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DBDB66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单纯疱疹病毒I型(HSVI-DNA),定量,实时荧光定量PCR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8BC774">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FB53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实时荧光定量 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F23F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4AA27D54">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B4B6C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10A4B6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单纯疱疹病毒Ⅰ型抗体（IgM、IgG）</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4C3AA3">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56066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77742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373FEEFF">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595317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A6B09C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促肾上腺皮质激素(ACTH),化学发光法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63B0A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A9177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95F1C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2E3DC9C9">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68E3C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44A28B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促甲状腺激素受体抗体(TRAb),化学发光法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62BB2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96156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17F4F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48E747CA">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35229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458DFB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丙型肝炎病毒抗体IgM (HCV-IgM),ELISA法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79A60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2536E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03FF4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640F33FF">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1EAD5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1785C6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丙型肝炎病毒抗体IgG(HCV-IgG)</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63B95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EF784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DA532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02B0B073">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E1BB2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45222D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丙型肝炎病毒核心抗原(HCV-Ag)</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4EC86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37E3D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70FC3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423230E6">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4EB4B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75F70B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丙型肝炎病毒(HCV-RNA)核酸检测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7C395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BADB2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实时荧光定量 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CEA4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0E004AFD">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437CE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EC788D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百日咳鲍特菌核酸检测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D36AC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15CC8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实时荧光定量 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38E8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443A91F4">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CA1FF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719ECE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β2糖蛋白1抗体(β2-GP1-Ab),化学发光法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BB5A2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8F6E7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4B28A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258D2BFF">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7E3A7F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5DDC40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septin9肠癌基因检测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5A82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77EA8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E1A8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228918E1">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350C81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56EE64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MetaCAP病原微生物核酸高通量测序,探针捕获高通量测序法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D611B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BA30F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高通量测序法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DBEDE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70DD73F2">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74D53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40423B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EB病毒衣壳抗原IgM抗体（EBV-IgM），荧光探针法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5B8E9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E5E0F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荧光探针法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3A433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6E3F8C7C">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0C2DA1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F28A9A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EB病毒衣壳抗原IgG抗体（VCA-IgG）荧光探针法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BEEE9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0EFA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荧光探针法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0FD0E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5A7DBE6D">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B5906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66B436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EB病毒壳抗原IgM抗体(EB-IgM)，ELISA法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1B78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E2A29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A0E47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096158EB">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58E29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5BE610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EB病毒壳抗原IgG抗体(EB-VCA-IgG),ELISA法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4507A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C67B4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83F73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510061AE">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2DCA2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547458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C-肽(C-Peptide),化学发光法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0DE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26C0B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99388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3256DADF">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556D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A0162D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17α羟基孕酮(17α-OHP),化学发光法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AD364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12BE4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A0C8B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7E700780">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5B1EFB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D2272B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(血清)醛固酮(ALD)</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28B75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7572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8C1DF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198CD7AE">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F50884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955E49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(女)肿瘤标志物检测C12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6F6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DED77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C54CD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6ABAEF91">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8B418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04AE0CD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(男)肿瘤标志物检测C12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243A2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4C11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D36DA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4379E907">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61803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6E4F1F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铜蓝蛋白，免疫法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64F5D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B685B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75FD6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4311767D">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AB306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48EBEC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高血压四项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C373C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0748D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9484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2D4CA486">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F76E9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8EB223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食物不耐受IgG14项（水果）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3CEC3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BE488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8F756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61558214">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3FBB7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94</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3555A0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胃癌甲基化</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7D5B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86EA5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3B445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3-4个工作日</w:t>
            </w:r>
          </w:p>
        </w:tc>
      </w:tr>
      <w:tr w14:paraId="6A610E77">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033D3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95</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F74259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肠癌甲基化</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74A2E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59216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94878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3-4个工作日</w:t>
            </w:r>
          </w:p>
        </w:tc>
      </w:tr>
      <w:tr w14:paraId="58435AED">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058254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96</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6B7C17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特殊变应原(多价变应原)筛查--各种免疫学方法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962FF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5BA6F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免疫学方法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95142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2-3个工作日</w:t>
            </w:r>
          </w:p>
        </w:tc>
      </w:tr>
      <w:tr w14:paraId="334E0751">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82A0C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62ED203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（两癌）高危型HPV DNA检测（2+16）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9040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702A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实时荧光定量 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FD777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2个工作日</w:t>
            </w:r>
          </w:p>
        </w:tc>
      </w:tr>
      <w:tr w14:paraId="30160BA1">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7D7B8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98</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21D633D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（两癌）高危型HPV DNA检测（2+16）+TCT</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198A9A0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50</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7A57878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实时荧光定量 PCR 法 + 液基细胞学检查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16EA2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00C9F0FE">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6F4DD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99</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626EC8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（两癌）人乳头瘤病毒23种基因型脱氧核糖核酸(HPV-DNA)检测</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2F97D16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56D4A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实时荧光定量 PCR 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363B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175A8721">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1A56E9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100</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515201D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（两癌）人乳头瘤病毒23种基因型脱氧核糖核酸(HPV-DNA)检测+TCT</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647A620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160</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5E48176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实时荧光定量 PCR 法 + 液基细胞学检查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E4E20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r w14:paraId="6CAC6022">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41214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AF4A0D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人乳头状瘤病毒致癌因子E6/E7信使DNA检测-HPV病毒E6E7mRNA</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08A5693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21AD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转录介导扩增TMA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750FD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3-4个工作日</w:t>
            </w:r>
          </w:p>
        </w:tc>
      </w:tr>
      <w:tr w14:paraId="635115DC">
        <w:tblPrEx>
          <w:tblCellMar>
            <w:top w:w="0" w:type="dxa"/>
            <w:left w:w="108" w:type="dxa"/>
            <w:bottom w:w="0" w:type="dxa"/>
            <w:right w:w="108" w:type="dxa"/>
          </w:tblCellMar>
        </w:tblPrEx>
        <w:trPr>
          <w:trHeight w:val="5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295EB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102</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2B12B9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人乳头状瘤病毒致癌因子E6/E7信使DNA检测-HPV病毒E6E7mRNA+TCT</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116BB2F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590</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728802F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转录介导扩增TMA+ 液基细胞学检查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88216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3-4个工作日</w:t>
            </w:r>
          </w:p>
        </w:tc>
      </w:tr>
      <w:tr w14:paraId="769A8F42">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7E12D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103</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3FCF96F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免疫组织学染色诊断</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1FC0D82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3333D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免疫组化染色法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1A3E2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4-7个工作日</w:t>
            </w:r>
          </w:p>
        </w:tc>
      </w:tr>
      <w:tr w14:paraId="37054D23">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1852C5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F8CAE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乳腺癌精准诊疗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4892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63970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二代测序 (NGS)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264E7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6-7个工作日</w:t>
            </w:r>
          </w:p>
        </w:tc>
      </w:tr>
      <w:tr w14:paraId="25EB4A4B">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21B2B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F0672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子宫内膜癌精准诊疗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589CD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2CE40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二代测序 (NGS)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CCA40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6-7个工作日</w:t>
            </w:r>
          </w:p>
        </w:tc>
      </w:tr>
      <w:tr w14:paraId="1B2E99E2">
        <w:tblPrEx>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33C8F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ED2CD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卵巢癌精准诊疗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1F43D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F841D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二代测序 (NGS)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35D7B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6-7个工作日</w:t>
            </w:r>
          </w:p>
        </w:tc>
      </w:tr>
      <w:tr w14:paraId="34F06FA3">
        <w:tblPrEx>
          <w:tblCellMar>
            <w:top w:w="0" w:type="dxa"/>
            <w:left w:w="108" w:type="dxa"/>
            <w:bottom w:w="0" w:type="dxa"/>
            <w:right w:w="108" w:type="dxa"/>
          </w:tblCellMar>
        </w:tblPrEx>
        <w:trPr>
          <w:trHeight w:val="60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E20676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107</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79A35E8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健康证（甲肝、戊肝、霍乱弧菌、细菌性痢疾、沙门氏菌、镜下找阿米巴）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89270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105</w:t>
            </w:r>
          </w:p>
        </w:tc>
        <w:tc>
          <w:tcPr>
            <w:tcW w:w="2805" w:type="dxa"/>
            <w:tcBorders>
              <w:top w:val="single" w:color="000000" w:sz="4" w:space="0"/>
              <w:left w:val="single" w:color="000000" w:sz="4" w:space="0"/>
              <w:bottom w:val="single" w:color="000000" w:sz="4" w:space="0"/>
              <w:right w:val="single" w:color="000000" w:sz="4" w:space="0"/>
            </w:tcBorders>
            <w:noWrap w:val="0"/>
            <w:vAlign w:val="center"/>
          </w:tcPr>
          <w:p w14:paraId="0014713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ELISA 法 + 微生物培养法 + 镜检法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74ABC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3个工作日</w:t>
            </w:r>
          </w:p>
        </w:tc>
      </w:tr>
    </w:tbl>
    <w:p w14:paraId="31012753">
      <w:pPr>
        <w:widowControl/>
        <w:spacing w:line="500" w:lineRule="exact"/>
        <w:ind w:firstLine="422" w:firstLineChars="200"/>
        <w:jc w:val="left"/>
        <w:rPr>
          <w:rFonts w:hint="eastAsia" w:ascii="宋体" w:hAnsi="宋体" w:cs="宋体"/>
          <w:b/>
          <w:bCs/>
          <w:color w:val="auto"/>
          <w:kern w:val="0"/>
          <w:szCs w:val="21"/>
        </w:rPr>
      </w:pPr>
      <w:r>
        <w:rPr>
          <w:rFonts w:hint="eastAsia" w:ascii="宋体" w:hAnsi="宋体" w:cs="宋体"/>
          <w:b/>
          <w:bCs/>
          <w:iCs/>
          <w:color w:val="auto"/>
          <w:kern w:val="0"/>
          <w:szCs w:val="21"/>
        </w:rPr>
        <w:t>（三）技术商务要求</w:t>
      </w:r>
    </w:p>
    <w:p w14:paraId="1F385EF9">
      <w:pPr>
        <w:widowControl/>
        <w:spacing w:line="500" w:lineRule="exact"/>
        <w:ind w:firstLine="422" w:firstLineChars="200"/>
        <w:jc w:val="left"/>
        <w:rPr>
          <w:rFonts w:hint="eastAsia" w:ascii="宋体" w:hAnsi="宋体" w:cs="宋体"/>
          <w:b/>
          <w:bCs/>
          <w:color w:val="auto"/>
          <w:kern w:val="0"/>
          <w:szCs w:val="21"/>
        </w:rPr>
      </w:pPr>
      <w:r>
        <w:rPr>
          <w:rFonts w:hint="eastAsia" w:ascii="宋体" w:hAnsi="宋体" w:cs="宋体"/>
          <w:b/>
          <w:bCs/>
          <w:color w:val="auto"/>
          <w:kern w:val="0"/>
          <w:szCs w:val="21"/>
        </w:rPr>
        <w:t>1.技术要求</w:t>
      </w:r>
    </w:p>
    <w:p w14:paraId="2A6146DA">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①严格按照检测目录承诺的回报时间，配送纸质报告单，并提供网络查询。</w:t>
      </w:r>
    </w:p>
    <w:p w14:paraId="27EF47DC">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②每日提供检测清单，与检验科进行签字交接，按财务要求进行项目录入及结算。</w:t>
      </w:r>
    </w:p>
    <w:p w14:paraId="309D3EB6">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③对临床有疑问的回报结果，提供技术支持（重新检测、答疑等）。</w:t>
      </w:r>
    </w:p>
    <w:p w14:paraId="3567A322">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④中标供应商应保障标本送达实验室的时效性，标本收集运输过程中发生的生物安全责任事故由中标供应商承担。</w:t>
      </w:r>
    </w:p>
    <w:p w14:paraId="27CF141B">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⑤医院检验科可以根据临床需求随时收回外送项目。</w:t>
      </w:r>
    </w:p>
    <w:p w14:paraId="1B6468F2">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⑥中标（成交）供应商能够实现与医院 LIS、HIS 信息系统对接，便于申请医师直接查询和打印结果，所有费用由供应商承担。中标（成交）供应商承诺所送检的生物标本的信息安全，不得泄露至不具有知悉权限的其他主体，否则由此产生的法律责任由中标（成交）供应商全部承担。</w:t>
      </w:r>
    </w:p>
    <w:p w14:paraId="4C54414D">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⑦物价有变化时根据文件相关政策作相应调整。</w:t>
      </w:r>
    </w:p>
    <w:p w14:paraId="337E3602">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⑧当医院具备开展某个项目检测条件时，院方可以无条件收回本项目，供应商必须终止该项目标本的回收。</w:t>
      </w:r>
    </w:p>
    <w:p w14:paraId="49E3481D">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⑨中标供应商标本的收集、运送、保存、室内质控、室间质评以及各项质量管理必须符合国家及省市相关规定，按照国家检验相关规范要求进行操作，并对标本的检验报告承担相应责任。</w:t>
      </w:r>
    </w:p>
    <w:p w14:paraId="54DBBAC0">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★⑩检验项目价格有变化时根据文件相关政策作相应调整，但中标折扣不变，中标人不得因价格变动而要求提升折扣。（</w:t>
      </w:r>
      <w:r>
        <w:rPr>
          <w:rFonts w:hint="eastAsia" w:ascii="宋体" w:hAnsi="宋体" w:cs="宋体"/>
          <w:b/>
          <w:color w:val="auto"/>
          <w:szCs w:val="21"/>
        </w:rPr>
        <w:t>本项目按折扣报价，其中包1的报价折扣</w:t>
      </w:r>
      <w:r>
        <w:rPr>
          <w:rFonts w:hint="eastAsia" w:ascii="宋体" w:hAnsi="宋体" w:cs="宋体"/>
          <w:b/>
          <w:color w:val="auto"/>
          <w:szCs w:val="21"/>
          <w:lang w:val="en-US" w:eastAsia="zh-CN"/>
        </w:rPr>
        <w:t>不高于50%（含</w:t>
      </w:r>
      <w:r>
        <w:rPr>
          <w:rFonts w:hint="eastAsia" w:ascii="宋体" w:hAnsi="宋体" w:cs="宋体"/>
          <w:b/>
          <w:color w:val="auto"/>
          <w:szCs w:val="21"/>
        </w:rPr>
        <w:t>）。</w:t>
      </w:r>
    </w:p>
    <w:p w14:paraId="38C26B7C">
      <w:pPr>
        <w:widowControl/>
        <w:spacing w:line="500" w:lineRule="exact"/>
        <w:ind w:firstLine="420" w:firstLineChars="200"/>
        <w:jc w:val="left"/>
        <w:rPr>
          <w:rFonts w:hint="eastAsia" w:ascii="宋体" w:hAnsi="宋体" w:cs="宋体"/>
          <w:iCs/>
          <w:color w:val="auto"/>
          <w:kern w:val="0"/>
          <w:szCs w:val="21"/>
          <w:u w:val="single"/>
        </w:rPr>
      </w:pPr>
      <w:r>
        <w:rPr>
          <w:rFonts w:hint="eastAsia" w:ascii="宋体" w:hAnsi="宋体" w:cs="宋体"/>
          <w:iCs/>
          <w:color w:val="auto"/>
          <w:kern w:val="0"/>
          <w:szCs w:val="21"/>
        </w:rPr>
        <w:t xml:space="preserve">⑪中标供应商实验室应具备建立医学检验实验室质量管理体系，制定各项规章制度、人员岗位职责，实施由国家制定或认可的诊疗技术规范和操作规程。规章制度至少包括设施与设备管理制度、试剂管理制度、标本管理制度、分析前中后三个阶段的质量管理制度、患者(标本)登记和医疗文档管理制度、消防安全管理制度、信息管理制度与患者隐私保护制度、生物安全管理制度、危化品使用管理制度等，并制定各检验项目的质量控制指标及标准操作程序。                            </w:t>
      </w:r>
    </w:p>
    <w:p w14:paraId="492D79C2">
      <w:pPr>
        <w:widowControl/>
        <w:spacing w:line="500" w:lineRule="exact"/>
        <w:ind w:firstLine="422" w:firstLineChars="200"/>
        <w:jc w:val="left"/>
        <w:rPr>
          <w:rFonts w:hint="eastAsia" w:ascii="宋体" w:hAnsi="宋体" w:cs="宋体"/>
          <w:b/>
          <w:bCs/>
          <w:color w:val="auto"/>
          <w:kern w:val="0"/>
          <w:szCs w:val="21"/>
        </w:rPr>
      </w:pPr>
      <w:r>
        <w:rPr>
          <w:rFonts w:hint="eastAsia" w:ascii="宋体" w:hAnsi="宋体" w:cs="宋体"/>
          <w:b/>
          <w:bCs/>
          <w:color w:val="auto"/>
          <w:kern w:val="0"/>
          <w:szCs w:val="21"/>
        </w:rPr>
        <w:t>2.商务要求</w:t>
      </w:r>
    </w:p>
    <w:p w14:paraId="274C6084">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地点：岳阳市妇幼保健院</w:t>
      </w:r>
    </w:p>
    <w:p w14:paraId="4F1322F9">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color w:val="auto"/>
          <w:szCs w:val="21"/>
        </w:rPr>
        <w:t>服务期：2026年10月-2027年9月</w:t>
      </w:r>
    </w:p>
    <w:p w14:paraId="5DB1E2EA">
      <w:pPr>
        <w:widowControl/>
        <w:spacing w:line="500" w:lineRule="exact"/>
        <w:ind w:firstLine="420" w:firstLineChars="200"/>
        <w:jc w:val="left"/>
        <w:rPr>
          <w:rFonts w:hint="eastAsia" w:ascii="宋体" w:hAnsi="宋体" w:cs="宋体"/>
          <w:iCs/>
          <w:color w:val="auto"/>
          <w:spacing w:val="26"/>
          <w:kern w:val="0"/>
          <w:szCs w:val="21"/>
        </w:rPr>
      </w:pPr>
      <w:r>
        <w:rPr>
          <w:rFonts w:hint="eastAsia" w:ascii="宋体" w:hAnsi="宋体" w:cs="宋体"/>
          <w:iCs/>
          <w:color w:val="auto"/>
          <w:kern w:val="0"/>
          <w:szCs w:val="21"/>
        </w:rPr>
        <w:t>付款方式：1、合同签订执行后根据每月检测订单实际完成量乘以中标单价，按月进行结算。2、实际完成量确认：以医院外送标本签收入库、结果审核完成的记录为准，结算前与医院确认。3、乙方开具正规税务发票，甲方财务科收到发票后30日内支付检验费用，支付方式为银行转账。</w:t>
      </w:r>
    </w:p>
    <w:p w14:paraId="475599B2">
      <w:pPr>
        <w:spacing w:line="500" w:lineRule="exact"/>
        <w:ind w:firstLine="526" w:firstLineChars="200"/>
        <w:jc w:val="left"/>
        <w:rPr>
          <w:rFonts w:hint="eastAsia" w:ascii="宋体" w:hAnsi="宋体" w:cs="宋体"/>
          <w:b/>
          <w:bCs/>
          <w:color w:val="auto"/>
          <w:spacing w:val="26"/>
          <w:szCs w:val="21"/>
        </w:rPr>
      </w:pPr>
    </w:p>
    <w:p w14:paraId="25301BCD">
      <w:pPr>
        <w:spacing w:line="500" w:lineRule="exact"/>
        <w:jc w:val="left"/>
        <w:rPr>
          <w:rFonts w:hint="eastAsia" w:ascii="宋体" w:hAnsi="宋体" w:cs="宋体"/>
          <w:b/>
          <w:bCs/>
          <w:color w:val="auto"/>
          <w:spacing w:val="26"/>
          <w:szCs w:val="21"/>
        </w:rPr>
      </w:pPr>
    </w:p>
    <w:p w14:paraId="22B2D627">
      <w:pPr>
        <w:spacing w:line="500" w:lineRule="exact"/>
        <w:ind w:firstLine="526" w:firstLineChars="200"/>
        <w:jc w:val="left"/>
        <w:rPr>
          <w:rFonts w:hint="eastAsia" w:ascii="宋体" w:hAnsi="宋体" w:cs="宋体"/>
          <w:b/>
          <w:bCs/>
          <w:color w:val="auto"/>
          <w:spacing w:val="26"/>
          <w:szCs w:val="21"/>
        </w:rPr>
      </w:pPr>
      <w:r>
        <w:rPr>
          <w:rFonts w:hint="eastAsia" w:ascii="宋体" w:hAnsi="宋体" w:cs="宋体"/>
          <w:b/>
          <w:bCs/>
          <w:color w:val="auto"/>
          <w:spacing w:val="26"/>
          <w:szCs w:val="21"/>
        </w:rPr>
        <w:t>（包二）：</w:t>
      </w:r>
    </w:p>
    <w:p w14:paraId="654CAA0B">
      <w:pPr>
        <w:pStyle w:val="4"/>
        <w:spacing w:line="500" w:lineRule="exact"/>
        <w:ind w:firstLine="526" w:firstLineChars="200"/>
        <w:rPr>
          <w:rFonts w:hint="eastAsia" w:ascii="宋体" w:hAnsi="宋体" w:cs="宋体"/>
          <w:b/>
          <w:bCs/>
          <w:color w:val="auto"/>
          <w:spacing w:val="26"/>
          <w:szCs w:val="21"/>
        </w:rPr>
      </w:pPr>
      <w:r>
        <w:rPr>
          <w:rFonts w:hint="eastAsia" w:ascii="宋体" w:hAnsi="宋体" w:cs="宋体"/>
          <w:b/>
          <w:bCs/>
          <w:color w:val="auto"/>
          <w:spacing w:val="26"/>
          <w:szCs w:val="21"/>
        </w:rPr>
        <w:t>（一）采购需求清单：</w:t>
      </w:r>
    </w:p>
    <w:tbl>
      <w:tblPr>
        <w:tblStyle w:val="5"/>
        <w:tblW w:w="9718" w:type="dxa"/>
        <w:tblInd w:w="93" w:type="dxa"/>
        <w:tblLayout w:type="autofit"/>
        <w:tblCellMar>
          <w:top w:w="0" w:type="dxa"/>
          <w:left w:w="108" w:type="dxa"/>
          <w:bottom w:w="0" w:type="dxa"/>
          <w:right w:w="108" w:type="dxa"/>
        </w:tblCellMar>
      </w:tblPr>
      <w:tblGrid>
        <w:gridCol w:w="542"/>
        <w:gridCol w:w="3823"/>
        <w:gridCol w:w="1044"/>
        <w:gridCol w:w="2805"/>
        <w:gridCol w:w="1504"/>
      </w:tblGrid>
      <w:tr w14:paraId="3ABEA106">
        <w:tblPrEx>
          <w:tblCellMar>
            <w:top w:w="0" w:type="dxa"/>
            <w:left w:w="108" w:type="dxa"/>
            <w:bottom w:w="0" w:type="dxa"/>
            <w:right w:w="108" w:type="dxa"/>
          </w:tblCellMar>
        </w:tblPrEx>
        <w:trPr>
          <w:trHeight w:val="595" w:hRule="atLeast"/>
        </w:trPr>
        <w:tc>
          <w:tcPr>
            <w:tcW w:w="542" w:type="dxa"/>
            <w:tcBorders>
              <w:top w:val="single" w:color="000000" w:sz="4" w:space="0"/>
              <w:left w:val="single" w:color="000000" w:sz="4" w:space="0"/>
              <w:bottom w:val="single" w:color="000000" w:sz="4" w:space="0"/>
              <w:right w:val="single" w:color="000000" w:sz="4" w:space="0"/>
            </w:tcBorders>
            <w:noWrap/>
            <w:vAlign w:val="center"/>
          </w:tcPr>
          <w:p w14:paraId="20DA0BF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序号</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41B54E6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项目名称</w:t>
            </w:r>
          </w:p>
        </w:tc>
        <w:tc>
          <w:tcPr>
            <w:tcW w:w="1044" w:type="dxa"/>
            <w:tcBorders>
              <w:top w:val="single" w:color="000000" w:sz="4" w:space="0"/>
              <w:left w:val="single" w:color="000000" w:sz="4" w:space="0"/>
              <w:bottom w:val="single" w:color="000000" w:sz="4" w:space="0"/>
              <w:right w:val="single" w:color="000000" w:sz="4" w:space="0"/>
            </w:tcBorders>
            <w:noWrap/>
            <w:vAlign w:val="center"/>
          </w:tcPr>
          <w:p w14:paraId="09F20F85">
            <w:pPr>
              <w:widowControl/>
              <w:jc w:val="center"/>
              <w:textAlignment w:val="center"/>
              <w:rPr>
                <w:rFonts w:hint="default" w:ascii="宋体" w:hAnsi="宋体" w:eastAsia="宋体" w:cs="宋体"/>
                <w:color w:val="auto"/>
                <w:szCs w:val="21"/>
                <w:lang w:val="en-US" w:eastAsia="zh-CN"/>
              </w:rPr>
            </w:pPr>
            <w:r>
              <w:rPr>
                <w:rFonts w:hint="eastAsia" w:ascii="宋体" w:hAnsi="宋体" w:cs="宋体"/>
                <w:color w:val="auto"/>
                <w:kern w:val="0"/>
                <w:szCs w:val="21"/>
                <w:lang w:bidi="ar"/>
              </w:rPr>
              <w:t>项目价格</w:t>
            </w:r>
            <w:r>
              <w:rPr>
                <w:rFonts w:hint="eastAsia" w:ascii="宋体" w:hAnsi="宋体" w:cs="宋体"/>
                <w:color w:val="auto"/>
                <w:kern w:val="0"/>
                <w:szCs w:val="21"/>
                <w:lang w:eastAsia="zh-CN" w:bidi="ar"/>
              </w:rPr>
              <w:t>（</w:t>
            </w:r>
            <w:r>
              <w:rPr>
                <w:rFonts w:hint="eastAsia" w:ascii="宋体" w:hAnsi="宋体" w:cs="宋体"/>
                <w:color w:val="auto"/>
                <w:kern w:val="0"/>
                <w:szCs w:val="21"/>
                <w:lang w:val="en-US" w:eastAsia="zh-CN" w:bidi="ar"/>
              </w:rPr>
              <w:t>元）</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CA3F9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项目方法学</w:t>
            </w:r>
          </w:p>
        </w:tc>
        <w:tc>
          <w:tcPr>
            <w:tcW w:w="1504" w:type="dxa"/>
            <w:tcBorders>
              <w:top w:val="single" w:color="000000" w:sz="4" w:space="0"/>
              <w:left w:val="single" w:color="000000" w:sz="4" w:space="0"/>
              <w:bottom w:val="single" w:color="000000" w:sz="4" w:space="0"/>
              <w:right w:val="single" w:color="000000" w:sz="4" w:space="0"/>
            </w:tcBorders>
            <w:noWrap/>
            <w:vAlign w:val="center"/>
          </w:tcPr>
          <w:p w14:paraId="7DC6387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出具报告时间</w:t>
            </w:r>
          </w:p>
        </w:tc>
      </w:tr>
      <w:tr w14:paraId="280AC048">
        <w:tblPrEx>
          <w:tblCellMar>
            <w:top w:w="0" w:type="dxa"/>
            <w:left w:w="108" w:type="dxa"/>
            <w:bottom w:w="0" w:type="dxa"/>
            <w:right w:w="108" w:type="dxa"/>
          </w:tblCellMar>
        </w:tblPrEx>
        <w:trPr>
          <w:trHeight w:val="595" w:hRule="atLeast"/>
        </w:trPr>
        <w:tc>
          <w:tcPr>
            <w:tcW w:w="542" w:type="dxa"/>
            <w:tcBorders>
              <w:top w:val="single" w:color="000000" w:sz="4" w:space="0"/>
              <w:left w:val="single" w:color="000000" w:sz="4" w:space="0"/>
              <w:bottom w:val="single" w:color="000000" w:sz="4" w:space="0"/>
              <w:right w:val="single" w:color="000000" w:sz="4" w:space="0"/>
            </w:tcBorders>
            <w:noWrap/>
            <w:vAlign w:val="center"/>
          </w:tcPr>
          <w:p w14:paraId="5EAE20AE">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1</w:t>
            </w:r>
          </w:p>
        </w:tc>
        <w:tc>
          <w:tcPr>
            <w:tcW w:w="3823" w:type="dxa"/>
            <w:tcBorders>
              <w:top w:val="single" w:color="000000" w:sz="4" w:space="0"/>
              <w:left w:val="single" w:color="000000" w:sz="4" w:space="0"/>
              <w:bottom w:val="single" w:color="000000" w:sz="4" w:space="0"/>
              <w:right w:val="single" w:color="000000" w:sz="4" w:space="0"/>
            </w:tcBorders>
            <w:noWrap w:val="0"/>
            <w:vAlign w:val="center"/>
          </w:tcPr>
          <w:p w14:paraId="1E961F9D">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新生儿T细胞和B细胞免疫缺陷病检测</w:t>
            </w:r>
          </w:p>
        </w:tc>
        <w:tc>
          <w:tcPr>
            <w:tcW w:w="1044" w:type="dxa"/>
            <w:tcBorders>
              <w:top w:val="single" w:color="000000" w:sz="4" w:space="0"/>
              <w:left w:val="single" w:color="000000" w:sz="4" w:space="0"/>
              <w:bottom w:val="single" w:color="000000" w:sz="4" w:space="0"/>
              <w:right w:val="single" w:color="000000" w:sz="4" w:space="0"/>
            </w:tcBorders>
            <w:noWrap/>
            <w:vAlign w:val="center"/>
          </w:tcPr>
          <w:p w14:paraId="25DBB1AB">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780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3969FAD">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荧光定量PCR法</w:t>
            </w:r>
          </w:p>
        </w:tc>
        <w:tc>
          <w:tcPr>
            <w:tcW w:w="1504" w:type="dxa"/>
            <w:tcBorders>
              <w:top w:val="single" w:color="000000" w:sz="4" w:space="0"/>
              <w:left w:val="single" w:color="000000" w:sz="4" w:space="0"/>
              <w:bottom w:val="single" w:color="000000" w:sz="4" w:space="0"/>
              <w:right w:val="single" w:color="000000" w:sz="4" w:space="0"/>
            </w:tcBorders>
            <w:noWrap/>
            <w:vAlign w:val="center"/>
          </w:tcPr>
          <w:p w14:paraId="6621F7FC">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5个工作日</w:t>
            </w:r>
          </w:p>
        </w:tc>
      </w:tr>
    </w:tbl>
    <w:p w14:paraId="6FFF0847">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（二）技术商务要求</w:t>
      </w:r>
    </w:p>
    <w:p w14:paraId="6C52BAC4">
      <w:pPr>
        <w:widowControl/>
        <w:spacing w:line="5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1.技术要求</w:t>
      </w:r>
    </w:p>
    <w:p w14:paraId="455E1A93">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（1）技术要求</w:t>
      </w:r>
    </w:p>
    <w:p w14:paraId="7236D7DB">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①样本类型：足跟血干血斑（直径≥8mm，不多于2个血斑）</w:t>
      </w:r>
    </w:p>
    <w:p w14:paraId="4D374B77">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②投标方需使用合理、有效的技术手段及生物标志物保质、保量、按时完成本项目检测服务；</w:t>
      </w:r>
    </w:p>
    <w:p w14:paraId="56F6CF09">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③对检测结果提示“异常”的样本，投标人应进行样本重新采集以及复核，对于复核结果仍提示“异常”的样本，投标人应提供基于高通量基因测序技术的检测服务。</w:t>
      </w:r>
    </w:p>
    <w:p w14:paraId="74C19702">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④对于筛查/复核结果提示“异常”的受检者，投标人协助院方联系具有相关疾病治疗经验的专家团队以及专业医疗机构接受进一步诊断。</w:t>
      </w:r>
    </w:p>
    <w:p w14:paraId="4477C8F6">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⑤对接受本检测服务，并确诊为重症联合免疫缺陷病（SCID）的受检者，投标人需协助患者家庭申请医疗救助金（提供具体方案）。</w:t>
      </w:r>
    </w:p>
    <w:p w14:paraId="77F4E680">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★⑥检验项目价格有变化时根据文件相关政策作相应调整，但中标折扣不变，中标人不得因价格变动而要求提升折扣。（</w:t>
      </w:r>
      <w:r>
        <w:rPr>
          <w:rFonts w:hint="eastAsia" w:ascii="宋体" w:hAnsi="宋体" w:cs="宋体"/>
          <w:b/>
          <w:color w:val="auto"/>
          <w:szCs w:val="21"/>
        </w:rPr>
        <w:t>本项目按折扣报价，其中包2的报价折扣</w:t>
      </w:r>
      <w:r>
        <w:rPr>
          <w:rFonts w:hint="eastAsia" w:ascii="宋体" w:hAnsi="宋体" w:cs="宋体"/>
          <w:b/>
          <w:color w:val="auto"/>
          <w:szCs w:val="21"/>
          <w:lang w:val="en-US" w:eastAsia="zh-CN"/>
        </w:rPr>
        <w:t>不高于75%（含</w:t>
      </w:r>
      <w:r>
        <w:rPr>
          <w:rFonts w:hint="eastAsia" w:ascii="宋体" w:hAnsi="宋体" w:cs="宋体"/>
          <w:b/>
          <w:color w:val="auto"/>
          <w:szCs w:val="21"/>
        </w:rPr>
        <w:t>）。</w:t>
      </w:r>
    </w:p>
    <w:p w14:paraId="2FDC2E65">
      <w:pPr>
        <w:widowControl/>
        <w:numPr>
          <w:ilvl w:val="0"/>
          <w:numId w:val="1"/>
        </w:numPr>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商务要求</w:t>
      </w:r>
    </w:p>
    <w:p w14:paraId="426CE963">
      <w:pPr>
        <w:widowControl/>
        <w:spacing w:line="500" w:lineRule="exact"/>
        <w:ind w:firstLine="420" w:firstLineChars="200"/>
        <w:jc w:val="left"/>
        <w:rPr>
          <w:rFonts w:hint="eastAsia" w:ascii="宋体" w:hAnsi="宋体" w:cs="宋体"/>
          <w:iCs/>
          <w:color w:val="auto"/>
          <w:kern w:val="0"/>
          <w:szCs w:val="21"/>
        </w:rPr>
      </w:pPr>
      <w:r>
        <w:rPr>
          <w:rFonts w:hint="eastAsia" w:ascii="宋体" w:hAnsi="宋体" w:cs="宋体"/>
          <w:iCs/>
          <w:color w:val="auto"/>
          <w:kern w:val="0"/>
          <w:szCs w:val="21"/>
        </w:rPr>
        <w:t>地点：岳阳市妇幼保健院</w:t>
      </w:r>
    </w:p>
    <w:p w14:paraId="44A5D37A">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服务期：2026年10月-2027年9月</w:t>
      </w:r>
    </w:p>
    <w:p w14:paraId="7077DA63">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付款方式：</w:t>
      </w:r>
      <w:r>
        <w:rPr>
          <w:rFonts w:hint="eastAsia" w:ascii="宋体" w:hAnsi="宋体" w:cs="宋体"/>
          <w:iCs/>
          <w:color w:val="auto"/>
          <w:kern w:val="0"/>
          <w:szCs w:val="21"/>
        </w:rPr>
        <w:t>1、合同签订执行后根据每月检测订单实际完成量乘以中标单价，按月进行结算。2、实际完成量确认：以医院外送标本签收入库、结果审核完成的记录为准，结算前与医院确认。3、乙方开具正规税务发票，甲方财务科收到发票后30日内支付检验费用，支付方式为银行转账。</w:t>
      </w:r>
    </w:p>
    <w:p w14:paraId="2435F0AA">
      <w:pPr>
        <w:spacing w:before="1" w:line="500" w:lineRule="exact"/>
        <w:ind w:firstLine="420" w:firstLineChars="200"/>
        <w:jc w:val="left"/>
        <w:rPr>
          <w:rFonts w:hint="eastAsia" w:ascii="宋体" w:hAnsi="宋体" w:cs="宋体"/>
          <w:color w:val="auto"/>
          <w:szCs w:val="21"/>
        </w:rPr>
      </w:pPr>
    </w:p>
    <w:p w14:paraId="4AB7AEB5">
      <w:pPr>
        <w:spacing w:before="1" w:line="500" w:lineRule="exact"/>
        <w:ind w:firstLine="420" w:firstLineChars="200"/>
        <w:jc w:val="left"/>
        <w:rPr>
          <w:rFonts w:hint="eastAsia" w:ascii="宋体" w:hAnsi="宋体" w:cs="宋体"/>
          <w:color w:val="auto"/>
          <w:szCs w:val="21"/>
        </w:rPr>
      </w:pPr>
    </w:p>
    <w:p w14:paraId="1FC687DA">
      <w:pPr>
        <w:spacing w:before="1" w:line="500" w:lineRule="exact"/>
        <w:ind w:firstLine="420" w:firstLineChars="200"/>
        <w:jc w:val="left"/>
        <w:rPr>
          <w:rFonts w:hint="eastAsia" w:ascii="宋体" w:hAnsi="宋体" w:cs="宋体"/>
          <w:color w:val="auto"/>
          <w:szCs w:val="21"/>
        </w:rPr>
      </w:pPr>
    </w:p>
    <w:p w14:paraId="2044F1C1">
      <w:pPr>
        <w:spacing w:before="1" w:line="500" w:lineRule="exact"/>
        <w:jc w:val="left"/>
        <w:rPr>
          <w:rFonts w:hint="eastAsia" w:ascii="宋体" w:hAnsi="宋体" w:cs="宋体"/>
          <w:color w:val="auto"/>
          <w:szCs w:val="21"/>
        </w:rPr>
      </w:pPr>
    </w:p>
    <w:p w14:paraId="7025E8EF">
      <w:pPr>
        <w:spacing w:before="1" w:line="500" w:lineRule="exact"/>
        <w:jc w:val="left"/>
        <w:rPr>
          <w:rFonts w:hint="eastAsia" w:ascii="宋体" w:hAnsi="宋体" w:cs="宋体"/>
          <w:color w:val="auto"/>
          <w:szCs w:val="21"/>
        </w:rPr>
      </w:pPr>
    </w:p>
    <w:p w14:paraId="0A32FC3F">
      <w:pPr>
        <w:spacing w:before="1"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（包三）：</w:t>
      </w:r>
    </w:p>
    <w:p w14:paraId="195373C3">
      <w:pPr>
        <w:pStyle w:val="4"/>
        <w:numPr>
          <w:ilvl w:val="0"/>
          <w:numId w:val="2"/>
        </w:numPr>
        <w:spacing w:line="500" w:lineRule="exact"/>
        <w:ind w:firstLine="422" w:firstLineChars="200"/>
        <w:rPr>
          <w:rFonts w:hint="eastAsia" w:ascii="宋体" w:hAnsi="宋体" w:cs="宋体"/>
          <w:b/>
          <w:bCs/>
          <w:color w:val="auto"/>
          <w:szCs w:val="21"/>
        </w:rPr>
      </w:pPr>
      <w:r>
        <w:rPr>
          <w:rFonts w:hint="eastAsia" w:ascii="宋体" w:hAnsi="宋体" w:cs="宋体"/>
          <w:b/>
          <w:bCs/>
          <w:color w:val="auto"/>
          <w:szCs w:val="21"/>
        </w:rPr>
        <w:t>采购需求清单：</w:t>
      </w:r>
    </w:p>
    <w:tbl>
      <w:tblPr>
        <w:tblStyle w:val="5"/>
        <w:tblW w:w="9678" w:type="dxa"/>
        <w:tblInd w:w="93" w:type="dxa"/>
        <w:tblLayout w:type="autofit"/>
        <w:tblCellMar>
          <w:top w:w="0" w:type="dxa"/>
          <w:left w:w="108" w:type="dxa"/>
          <w:bottom w:w="0" w:type="dxa"/>
          <w:right w:w="108" w:type="dxa"/>
        </w:tblCellMar>
      </w:tblPr>
      <w:tblGrid>
        <w:gridCol w:w="450"/>
        <w:gridCol w:w="2999"/>
        <w:gridCol w:w="2980"/>
        <w:gridCol w:w="1266"/>
        <w:gridCol w:w="879"/>
        <w:gridCol w:w="1104"/>
      </w:tblGrid>
      <w:tr w14:paraId="2AF0CEF6">
        <w:tblPrEx>
          <w:tblCellMar>
            <w:top w:w="0" w:type="dxa"/>
            <w:left w:w="108" w:type="dxa"/>
            <w:bottom w:w="0" w:type="dxa"/>
            <w:right w:w="108" w:type="dxa"/>
          </w:tblCellMar>
        </w:tblPrEx>
        <w:trPr>
          <w:trHeight w:val="906" w:hRule="atLeast"/>
        </w:trPr>
        <w:tc>
          <w:tcPr>
            <w:tcW w:w="454" w:type="dxa"/>
            <w:tcBorders>
              <w:top w:val="single" w:color="000000" w:sz="4" w:space="0"/>
              <w:left w:val="single" w:color="000000" w:sz="4" w:space="0"/>
              <w:bottom w:val="single" w:color="000000" w:sz="4" w:space="0"/>
              <w:right w:val="single" w:color="000000" w:sz="4" w:space="0"/>
            </w:tcBorders>
            <w:noWrap w:val="0"/>
            <w:vAlign w:val="center"/>
          </w:tcPr>
          <w:p w14:paraId="06A7945F">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序号</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E164572">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检测项目</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452639D">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检测内容</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7E595CC">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检测方法</w:t>
            </w:r>
          </w:p>
        </w:tc>
        <w:tc>
          <w:tcPr>
            <w:tcW w:w="883" w:type="dxa"/>
            <w:tcBorders>
              <w:top w:val="single" w:color="000000" w:sz="4" w:space="0"/>
              <w:left w:val="single" w:color="000000" w:sz="4" w:space="0"/>
              <w:bottom w:val="single" w:color="000000" w:sz="4" w:space="0"/>
              <w:right w:val="single" w:color="000000" w:sz="4" w:space="0"/>
            </w:tcBorders>
            <w:noWrap w:val="0"/>
            <w:vAlign w:val="center"/>
          </w:tcPr>
          <w:p w14:paraId="125DEA55">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项目收费价（元）</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561F66C">
            <w:pPr>
              <w:widowControl/>
              <w:jc w:val="center"/>
              <w:textAlignment w:val="center"/>
              <w:rPr>
                <w:rFonts w:hint="eastAsia" w:ascii="宋体" w:hAnsi="宋体" w:cs="宋体"/>
                <w:b/>
                <w:bCs/>
                <w:color w:val="auto"/>
                <w:szCs w:val="21"/>
              </w:rPr>
            </w:pPr>
            <w:r>
              <w:rPr>
                <w:rFonts w:hint="eastAsia" w:ascii="宋体" w:hAnsi="宋体" w:cs="宋体"/>
                <w:b/>
                <w:bCs/>
                <w:color w:val="auto"/>
                <w:kern w:val="0"/>
                <w:szCs w:val="21"/>
                <w:lang w:bidi="ar"/>
              </w:rPr>
              <w:t>出具报告的时间</w:t>
            </w:r>
          </w:p>
        </w:tc>
      </w:tr>
      <w:tr w14:paraId="3344BB20">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6BCE6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71D8DF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全外显子组基因检测（家系）</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41DDC3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约22000个基因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A7C6C1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E0BE0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8320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95E1B2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2817EB45">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5A559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983333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全外显子组基因检测（单先证者）</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C87FC4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约22000个基因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50B7F2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08E52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4160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258732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4A822820">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AEA33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7832E9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全外显子组基因检测（单先证者）+CNV-seq</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38D81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约22000个基因 + 23对染色体非整倍体；1Mb以上缺失、重复；三倍体异常</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0B34774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79765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4940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C9E665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229F8A94">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E9E7F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A5497D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全外显子组基因检测（家系）+先证者CNV-seq</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DC93CF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约22000个基因 + 23对染色体非整倍体；1Mb以上缺失、重复；三倍体异常</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FCC576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289B7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9620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0B43F4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6BBB082C">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46E34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B3F0E6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全外显子组基因检测（家系）+先证者SNP-array（基因芯片750K）</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65F747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约22000个基因 + 全基因组100kb以上拷贝数异常</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B4B962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C2147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11180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299626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0B583893">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3F6EF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C68FFE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全外家系+线粒体家系+先证者CNV-seq</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268EE9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1.约 22000 个基因；2. 全染色体组非整倍体及100Kb以上的拷贝数异常。</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82B811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8F03A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11440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6E71D8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0B651240">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5740F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759220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全外显家系+线粒体家系</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1E441D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 约 22000 个基因；2. 线粒体环基因组</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4A93551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CC9FD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9620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692745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19619417">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166CB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8</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F8F38E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遗传代谢病基因检测--基础版</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53FF94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PAH, PTS, MUT, SLC22A5等107个基因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0BD013B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C989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E31D07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3069D574">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A770FE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9</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2EE106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遗传代谢病基因检测--扩展版</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0D05949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PAH, PTS, MUT, SLC22A5等346个基因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C73709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4383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3640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34626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589385D4">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BF9E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7AB263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GCMS尿有机酸检测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0C88C2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近100种遗传代谢病相关指标</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136D7B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GCMS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9EECF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C43841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7-10个工作日</w:t>
            </w:r>
          </w:p>
        </w:tc>
      </w:tr>
      <w:tr w14:paraId="08217D75">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858FF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11</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0BB812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遗传性耳聋基因检测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03413A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GJB2, GJB3, SLC26A4,MT-RNR1等122个基因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BA8F03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NGS+Sanger测序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0823A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4160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313B55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0275C413">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127325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E91D44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脊髓性肌萎缩症携带者筛查（SMA）</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ABE5CF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SMN1基因第7、8号外显子缺失情况</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D90D7B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PCR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0DC56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780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A7B230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50FAE046">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FB2F5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13</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884ACA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脊髓性肌萎缩</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0CBE372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SMN1, SMN2</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C8D0E6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2E27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63671F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02E060A0">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323A1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14</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6014AB3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假性肥大性肌营养不良</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5BE82E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DMD</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C3CEEF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0761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A0A25E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35DF84A6">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744614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21641A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单基因遗传病携带者筛查（进阶版）</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55C41E9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SMN1、DMD、 HBA1/HBA2等237个基因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71DD62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 TP-PCR+ LR-PCR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C73A8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2600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DC898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1235420B">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E4F76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087F3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单基因遗传病携带者筛查（十联检）</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CB063E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SMN1、 HBA1/HBA2等15基因及叶酸代谢能力基因检测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541B0B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多重PCR+NGS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1AE6D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780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4A43CB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7FC8F69">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C087E1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17</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C5EB94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单基因遗传病携带者筛查（标准版）</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99B2B7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SMN1、DMD、 HBA1/HBA2等40个基因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27012F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 TP-PCR+ LR-PCR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809B0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43AA5D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69073D7A">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A4D99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18</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375EDA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脆性X染色体综合征基因检测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8C5E00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FMR1基因（CGG）拷贝数情况</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2A463A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PCR联合毛细管电泳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10ED6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35183C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5-7个工作日</w:t>
            </w:r>
          </w:p>
        </w:tc>
      </w:tr>
      <w:tr w14:paraId="10C1D470">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F4BD2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19</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A32CA6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希特林蛋白缺乏症基因检测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51C40C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SLC25A13基因16个位点</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898BAB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MassArray</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E4D20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754B49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1F3BE27C">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ACB58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D845B9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子痫前期风险评估（孕早期）</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5A7CC0A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PlGF孕妇（孕11–13+6周）</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4674BC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0331D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7223DD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25C5012">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403B6D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21</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C2E43A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子痫前期风险评估（孕中晚期）</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8025E5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sFlt-1/PlGF孕妇（孕14周–分娩）</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40A3F3F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化学发光法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F6B09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A4A14B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38E2665">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EF48E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22</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059ED7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黄疸常见遗传学病基因检测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1E6AB3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黄疸相关50个基因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CDFFBB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8C579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1820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539CD9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37493787">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DB395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F42677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先天性中重度耳聋基因检测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4554ED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GJB2</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40BC53A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Sanger测序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A49AB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D9CC2D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3CBE6FDC">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FEBDF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24</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212DB3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大前庭水管综合征型耳聋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569CFB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SLC26A4</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9EEB3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Sanger测序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4E9C7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C6A06B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1141345D">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E7E95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C26034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高苯丙氨酸血症基因检测（PAH）</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35EA18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PAH基因1-13号外显子拷贝数情况</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4927738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1601B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2DB5D7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7C5A8B29">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1B132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26</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B4F50C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产前羊水验证 （STR+Sanger)</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7F543D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羊水验证</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0A7F56F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Sanger测序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0FF76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E0FA27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1C5FB33E">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507A0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27</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32BE4E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产前羊水验证 （MCC+MLPA）-地贫</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E8A030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羊水验证</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D3E24C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PCR+MLPA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C04C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EB92B3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7546C23D">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F7D88E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28</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6FF64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产前羊水验证（MCC+MLPA）</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254A50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羊水验证</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0A6EE07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9E326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F21FA4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33728618">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7CF3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29</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F3BDD7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产前CAH羊水验证 （STR+MLPA+Sanger）</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B0A021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羊水验证</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7BF234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MLPA+Sang er测序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2BA40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4187E5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14B60E33">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D880E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30</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6C7962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一代家系验证</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CFDED1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先证者位点验证</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2582F0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Sanger测序（/位点）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D8FCC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B7ABC4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19D8A15">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DC02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31</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575FFB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ddPCR验证</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61E532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针对已检出/提示CNV的验证（家系及三人以下）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9EDCC2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ddPCR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54F34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1800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4868C6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2873E458">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8F56B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32</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4001E3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G6PD测序（遗传）</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4728EA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G6PD基因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421A45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Sanger测序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E79EA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1743A7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17D61846">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49495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33</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446E84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新生儿常见遗传病基因筛查--NeoSeq（专家版）</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C4239B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126种疾病，351种疾病亚型，268个基因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5C0E5A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31495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1300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E54061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2D90370D">
        <w:tblPrEx>
          <w:tblCellMar>
            <w:top w:w="0" w:type="dxa"/>
            <w:left w:w="108" w:type="dxa"/>
            <w:bottom w:w="0" w:type="dxa"/>
            <w:right w:w="108" w:type="dxa"/>
          </w:tblCellMar>
        </w:tblPrEx>
        <w:trPr>
          <w:trHeight w:val="120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92BFA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34</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5D96C0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新生儿常见遗传病基因筛查--NeoSeq（九联检）</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67BBC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7个基因(GJB2、SLC26A4、 ATP7B、 HBB、PAH、MMACHC、MMUT) 的编码序列和8个基因(GJB3、MT-RNR1、MT-CO1、MT-TH、SMN1、HBA1/HBA2、SLC25A13)的常见热点变异，共15个基因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CE16CB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15394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DD29A9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5F160D6">
        <w:tblPrEx>
          <w:tblCellMar>
            <w:top w:w="0" w:type="dxa"/>
            <w:left w:w="108" w:type="dxa"/>
            <w:bottom w:w="0" w:type="dxa"/>
            <w:right w:w="108" w:type="dxa"/>
          </w:tblCellMar>
        </w:tblPrEx>
        <w:trPr>
          <w:trHeight w:val="120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30864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35</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072C83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产前FISH（荧光原位杂交）</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92801A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21，18，13，X，Y非整倍体</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59BE64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产前染色体非整倍体检测（5个探针）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B3C8F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BF5C6B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5-7个工作日</w:t>
            </w:r>
          </w:p>
        </w:tc>
      </w:tr>
      <w:tr w14:paraId="748F6309">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CF68D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36</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F3767B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定制探针FISH（荧光原位杂交）</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5594E4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染色体靶向区域定制FISH探针检测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BB8282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定制FISH检测（/位点）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3DC3E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B2B876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42FB80EB">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F4327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37</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D280BD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SNP-array（基因芯片750K）</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5B5006E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全基因组100kb以上拷贝数异常</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A5EDBC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CytoScan 750K</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DAA4D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3250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0296D6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7F79FEBC">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B703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38</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3536D1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SNP-array（基因芯片HD）</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C99E56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全基因组50kb以上拷贝数异常</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009678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CytoScan HD</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0EE03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D29E36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58184337">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4BD1F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39</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949E9D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染色体拷贝数变异检测- 100K</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3E8FF3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23对染色体非整倍体1Mb以上缺失、重复三倍体异常</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1C0D27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EC2E8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2550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450244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7B3335FF">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D190EE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40</w:t>
            </w:r>
          </w:p>
        </w:tc>
        <w:tc>
          <w:tcPr>
            <w:tcW w:w="0" w:type="auto"/>
            <w:tcBorders>
              <w:top w:val="nil"/>
              <w:left w:val="nil"/>
              <w:bottom w:val="nil"/>
              <w:right w:val="nil"/>
            </w:tcBorders>
            <w:noWrap/>
            <w:vAlign w:val="center"/>
          </w:tcPr>
          <w:p w14:paraId="652C830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高分辨染色体核型分析</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091531C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染色体结构及数目的畸变 （分辨率3Mb以上）</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2557A2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GTG显带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1AA08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750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636383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FEFC1D6">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01ECE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41</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7FFAE3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全基因组测序（单先证者）</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5D05848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全基因组碱基序列</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4DE9319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D5310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7020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023E08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4172F83B">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12BEE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42</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0372DD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全基因组测序（家系）</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2B62AA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全基因组碱基序列</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28E9D2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DB96B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14040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11F395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071AF358">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7DB8B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43</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71CCC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快速全基因组测序（家系）</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EA3497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全基因组碱基序列10个自然日出结果</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B36DD4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B3117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16120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9A70F2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1E8979D7">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0C420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44</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D9AAFB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第三代CAH基因检测503位点</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AE194F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单基因遗传病基因突变检查</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344631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28539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1300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7FC164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481CC1F2">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93578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0FD0E7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第三代CAH基因检测1653位点</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7E36E6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单基因遗传病基因突变检查</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4F087D6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5E0F0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3640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6FCF6F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372F8B89">
        <w:tblPrEx>
          <w:tblCellMar>
            <w:top w:w="0" w:type="dxa"/>
            <w:left w:w="108" w:type="dxa"/>
            <w:bottom w:w="0" w:type="dxa"/>
            <w:right w:w="108" w:type="dxa"/>
          </w:tblCellMar>
        </w:tblPrEx>
        <w:trPr>
          <w:trHeight w:val="2101"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E3EE4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46</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E8A462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第三代CAH基因检测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017D1C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一次性检测CAH相关10个基因(CYP11A1、CYP1181、CYP11B2、CYP17A1、CYP21A2TNXB、HSD3B2、POR、SRD5A2、STAR)的各种变异类型，包括SNV/InDel(含深度内含子变异)、CNV、SV(倒位、易位等)、串联重复等。</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0334A6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51FF8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5720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085752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7E1B7396">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274E2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47</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BD7ADC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地贫三代测序（621位点）</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0B794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单基因遗传病基因突变检查</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AC7C57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637F2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780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895928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5A441FD1">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3D7A96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48</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2FED46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地贫三代测序（2000位点）</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964A97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单基因遗传病基因突变检查</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4400CBC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2DD5D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1300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303355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25D7CE83">
        <w:tblPrEx>
          <w:tblCellMar>
            <w:top w:w="0" w:type="dxa"/>
            <w:left w:w="108" w:type="dxa"/>
            <w:bottom w:w="0" w:type="dxa"/>
            <w:right w:w="108" w:type="dxa"/>
          </w:tblCellMar>
        </w:tblPrEx>
        <w:trPr>
          <w:trHeight w:val="120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BFA6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49</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11C0AC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地贫全谱检测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5B25D0B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利用长程PCR技术和三代单分子测序技术，有效排除假基因干扰，对地中海贫血HB8、HBA1/2基因全长序列内的点变异(SNV/InDel)和结构变异(CNV/SV)进行全面检测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473281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FB176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4160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FA2499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45-50个自然日</w:t>
            </w:r>
          </w:p>
        </w:tc>
      </w:tr>
      <w:tr w14:paraId="0CE01135">
        <w:tblPrEx>
          <w:tblCellMar>
            <w:top w:w="0" w:type="dxa"/>
            <w:left w:w="108" w:type="dxa"/>
            <w:bottom w:w="0" w:type="dxa"/>
            <w:right w:w="108" w:type="dxa"/>
          </w:tblCellMar>
        </w:tblPrEx>
        <w:trPr>
          <w:trHeight w:val="180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B4B97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50</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6B8A47B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多囊肾及常见遗传性肾病39基因检测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6F8CFB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实现对多囊肾病、Aport综合征、Meckel综合征、肾小管间质肾病、肾病综合征等39个核心基因的全长检测，一次性解决SNV/nDel(含深度内含子变异)、CNV、SV(倒位、易位等)、串联重复等诊断难题</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F53F04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14775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5200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3756DA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45-50个自然日</w:t>
            </w:r>
          </w:p>
        </w:tc>
      </w:tr>
      <w:tr w14:paraId="196C4C3A">
        <w:tblPrEx>
          <w:tblCellMar>
            <w:top w:w="0" w:type="dxa"/>
            <w:left w:w="108" w:type="dxa"/>
            <w:bottom w:w="0" w:type="dxa"/>
            <w:right w:w="108" w:type="dxa"/>
          </w:tblCellMar>
        </w:tblPrEx>
        <w:trPr>
          <w:trHeight w:val="150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95046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51</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F37F46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21羟化酶缺乏症CYP21A2基因检测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0FC0248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利用长程PCR技术和三代单分子测序技术，有效排除假基因干扰，对CYP21A2基因全长序列内的点变异(SNV/tnDel)和结构变异(CNV/SV)进行全面检测。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0304BB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AA528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4160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2188C2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45-50个自然日</w:t>
            </w:r>
          </w:p>
        </w:tc>
      </w:tr>
      <w:tr w14:paraId="23C1FD40">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63B81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52</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6F8CECC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第三代SMA基因检测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C38151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单基因遗传病基因突变检查</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AD0C29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5CDEE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3640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521A6F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4705FF58">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D2113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53</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585E33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第三代脆性X染色体综合征检测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0D7345D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单基因遗传病基因突变检查</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CB0B8E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FCE5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3640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B2B430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78BCC51D">
        <w:tblPrEx>
          <w:tblCellMar>
            <w:top w:w="0" w:type="dxa"/>
            <w:left w:w="108" w:type="dxa"/>
            <w:bottom w:w="0" w:type="dxa"/>
            <w:right w:w="108" w:type="dxa"/>
          </w:tblCellMar>
        </w:tblPrEx>
        <w:trPr>
          <w:trHeight w:val="180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1050D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54</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ED062B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色素失禁症（IKBKG）基因检测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49CECC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利用长程PCR技术和三代单分子测序技术，有效排除假基因干扰，对色素失禁症致病基因IKBKG全长序列内的点变异 (SNV/lnDel)和结构变异 (CNV/SV)进行全面检测。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05CFFA0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长程PCR+三代测序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35A4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3900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1C8CCE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45-50个自然日</w:t>
            </w:r>
          </w:p>
        </w:tc>
      </w:tr>
      <w:tr w14:paraId="12ECA41B">
        <w:tblPrEx>
          <w:tblCellMar>
            <w:top w:w="0" w:type="dxa"/>
            <w:left w:w="108" w:type="dxa"/>
            <w:bottom w:w="0" w:type="dxa"/>
            <w:right w:w="108" w:type="dxa"/>
          </w:tblCellMar>
        </w:tblPrEx>
        <w:trPr>
          <w:trHeight w:val="2101"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88B551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03AD57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戈谢病（GBA1）基因检测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A48AD9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利用长程PCR技术和三代单分子测序技术，有效排除假基因干扰，覆盖GBA1基因全长序列，实现一次检测即可同时覆盖所有变异类型，点变异(含深度内含子变异 )、缺失、插入、倒位、易位等，明确变异断裂点，并进行单体型分析。</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24E450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长程PCR+三代测序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979BE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3900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680E56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45-50个自然日</w:t>
            </w:r>
          </w:p>
        </w:tc>
      </w:tr>
      <w:tr w14:paraId="43B36D7E">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61FA23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56</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07C489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共济失调相关动态突变检测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F11719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临床常见11种SCA亚型动态突变变异检测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D54B5C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PCR联合毛细管电泳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B71AC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C7604E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4C7DE7D8">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93ACA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57</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622EAFD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Prader-Willi综合征/Angelman综合征</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515894C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单基因遗传病基因突变检查</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D10716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MS-MLPA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B0AE3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C613A0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15-20个工作日</w:t>
            </w:r>
          </w:p>
        </w:tc>
      </w:tr>
      <w:tr w14:paraId="0CC5F443">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A1080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58</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F1AB4F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吡哆醇依赖性癫痫检测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550CA89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哌啶酸、α-氨基己二酸半醛、6-羧基哌啶酸、α-氨基己二酸4项生化指标</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B70568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LC-MS/MS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AB539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4CB1F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7-10个工作日</w:t>
            </w:r>
          </w:p>
        </w:tc>
      </w:tr>
      <w:tr w14:paraId="40F34070">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CECE9B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59</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82D9A1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氨基酸质谱检测-遗传代谢性癫痫方向</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20FE09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20个氨基酸指标：干血片+尿滤纸片</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E6D97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LC-MS/MS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AAA00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BFBB4A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7-10个工作日</w:t>
            </w:r>
          </w:p>
        </w:tc>
      </w:tr>
      <w:tr w14:paraId="6EBC44BA">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EBB4DE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35B2B0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癫痫基因诊断</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01DD60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431个癫痫基因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66F54B6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06CB4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3900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21A3BDC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726E1A00">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B0DC0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61</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140A64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癫痫基因诊断+癫痫用药指导基因检测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0DF47F5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癫痫基因诊断+癫痫用药指导基因检测</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C3FC62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D6867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5000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738DE5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7594015A">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38780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62</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E3DF6D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抗癫痫药物血药浓度监测 （备注：根据检测药物种类加乘，如2种药物指导价格*2）</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CD6360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一种抗癫痫药物的血药浓度</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780B9D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LC-MS/MS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971F8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F4DB79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2BBF23E5">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EFF4F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63</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408A5B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线粒体全长测序（单人）</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175A84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线粒体全长测序（单人）</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88EB6F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C6B41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2080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2942E7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0DCC6194">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00EA1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64</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352001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染色体片段缺失异常验证（Q-PCR单人）</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4E1962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染色体片段异常的验证</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C7A78E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qPCR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26CB4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C6A9F4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7-10个工作日</w:t>
            </w:r>
          </w:p>
        </w:tc>
      </w:tr>
      <w:tr w14:paraId="09DED327">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5A974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65</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AA2A51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甲型血友病（F8）</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6362FB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检测F8基因外显子拷贝数变化</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6A9D2D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86105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759BAD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02A29391">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057956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66</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DD16BC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乙型血友病（F7、F8、F9）</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177B267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检测F7/F8/F9基因外显子拷贝数变化</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546004F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MLPA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C4960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C8D04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01892308">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6ABA1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67</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688F0D7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内分泌代谢系统相关基因检测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4EEA278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与内分泌系统相关的1200余个基因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7D627BA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DD1BB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5720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727A073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2604C9C4">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AB650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68</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681A57D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泌尿生殖系统相关基因检测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1D17BE3">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与泌尿生殖基因相关的1340个基因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2A21A23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4295B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6000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6FE94C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7413EB3E">
        <w:tblPrEx>
          <w:tblCellMar>
            <w:top w:w="0" w:type="dxa"/>
            <w:left w:w="108" w:type="dxa"/>
            <w:bottom w:w="0" w:type="dxa"/>
            <w:right w:w="108" w:type="dxa"/>
          </w:tblCellMar>
        </w:tblPrEx>
        <w:trPr>
          <w:trHeight w:val="60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568FA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69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F7DCC">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心血管系统相关基因检测</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25C49CD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与心血管系统相关的1200余个相关基因</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3BB5AA3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58493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5720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4E7B76A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3B7ABDE0">
        <w:tblPrEx>
          <w:tblCellMar>
            <w:top w:w="0" w:type="dxa"/>
            <w:left w:w="108" w:type="dxa"/>
            <w:bottom w:w="0" w:type="dxa"/>
            <w:right w:w="108" w:type="dxa"/>
          </w:tblCellMar>
        </w:tblPrEx>
        <w:trPr>
          <w:trHeight w:val="329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0CB5DF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61412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OGM</w:t>
            </w:r>
            <w:r>
              <w:rPr>
                <w:rStyle w:val="8"/>
                <w:rFonts w:hint="default"/>
                <w:color w:val="auto"/>
                <w:sz w:val="21"/>
                <w:szCs w:val="21"/>
                <w:lang w:bidi="ar"/>
              </w:rPr>
              <w:t>检测</w:t>
            </w:r>
            <w:r>
              <w:rPr>
                <w:rFonts w:hint="eastAsia" w:ascii="宋体" w:hAnsi="宋体" w:cs="宋体"/>
                <w:color w:val="auto"/>
                <w:kern w:val="0"/>
                <w:szCs w:val="21"/>
                <w:lang w:bidi="ar"/>
              </w:rPr>
              <w:t>-</w:t>
            </w:r>
            <w:r>
              <w:rPr>
                <w:rStyle w:val="8"/>
                <w:rFonts w:hint="default"/>
                <w:color w:val="auto"/>
                <w:sz w:val="21"/>
                <w:szCs w:val="21"/>
                <w:lang w:bidi="ar"/>
              </w:rPr>
              <w:t>标准版（家系三人）</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ADDF656">
            <w:pPr>
              <w:widowControl/>
              <w:jc w:val="center"/>
              <w:textAlignment w:val="center"/>
              <w:rPr>
                <w:rFonts w:hint="eastAsia" w:ascii="宋体" w:hAnsi="宋体" w:cs="宋体"/>
                <w:color w:val="auto"/>
                <w:szCs w:val="21"/>
              </w:rPr>
            </w:pPr>
            <w:r>
              <w:rPr>
                <w:rStyle w:val="8"/>
                <w:rFonts w:hint="default"/>
                <w:color w:val="auto"/>
                <w:sz w:val="21"/>
                <w:szCs w:val="21"/>
                <w:lang w:bidi="ar"/>
              </w:rPr>
              <w:t>本条为核心家系</w:t>
            </w:r>
            <w:r>
              <w:rPr>
                <w:rFonts w:hint="eastAsia" w:ascii="宋体" w:hAnsi="宋体" w:cs="宋体"/>
                <w:color w:val="auto"/>
                <w:kern w:val="0"/>
                <w:szCs w:val="21"/>
                <w:lang w:bidi="ar"/>
              </w:rPr>
              <w:t>3</w:t>
            </w:r>
            <w:r>
              <w:rPr>
                <w:rStyle w:val="8"/>
                <w:rFonts w:hint="default"/>
                <w:color w:val="auto"/>
                <w:sz w:val="21"/>
                <w:szCs w:val="21"/>
                <w:lang w:bidi="ar"/>
              </w:rPr>
              <w:t>人常规</w:t>
            </w:r>
            <w:r>
              <w:rPr>
                <w:rFonts w:hint="eastAsia" w:ascii="宋体" w:hAnsi="宋体" w:cs="宋体"/>
                <w:color w:val="auto"/>
                <w:kern w:val="0"/>
                <w:szCs w:val="21"/>
                <w:lang w:bidi="ar"/>
              </w:rPr>
              <w:t>OGM</w:t>
            </w:r>
            <w:r>
              <w:rPr>
                <w:rStyle w:val="8"/>
                <w:rFonts w:hint="default"/>
                <w:color w:val="auto"/>
                <w:sz w:val="21"/>
                <w:szCs w:val="21"/>
                <w:lang w:bidi="ar"/>
              </w:rPr>
              <w:t>检测：染色体非整倍体和三倍体</w:t>
            </w:r>
            <w:r>
              <w:rPr>
                <w:rStyle w:val="8"/>
                <w:rFonts w:hint="default"/>
                <w:color w:val="auto"/>
                <w:sz w:val="21"/>
                <w:szCs w:val="21"/>
                <w:lang w:bidi="ar"/>
              </w:rPr>
              <w:br w:type="textWrapping"/>
            </w:r>
            <w:r>
              <w:rPr>
                <w:rStyle w:val="8"/>
                <w:rFonts w:hint="default"/>
                <w:color w:val="auto"/>
                <w:sz w:val="21"/>
                <w:szCs w:val="21"/>
                <w:lang w:bidi="ar"/>
              </w:rPr>
              <w:t>·纯合子插入(&gt;500bp)/缺失(&gt;700bp)</w:t>
            </w:r>
            <w:r>
              <w:rPr>
                <w:rStyle w:val="8"/>
                <w:rFonts w:hint="default"/>
                <w:color w:val="auto"/>
                <w:sz w:val="21"/>
                <w:szCs w:val="21"/>
                <w:lang w:bidi="ar"/>
              </w:rPr>
              <w:br w:type="textWrapping"/>
            </w:r>
            <w:r>
              <w:rPr>
                <w:rStyle w:val="8"/>
                <w:rFonts w:hint="default"/>
                <w:color w:val="auto"/>
                <w:sz w:val="21"/>
                <w:szCs w:val="21"/>
                <w:lang w:bidi="ar"/>
              </w:rPr>
              <w:t>平衡性染色体结构重排(&gt;70kb)</w:t>
            </w:r>
            <w:r>
              <w:rPr>
                <w:rStyle w:val="8"/>
                <w:rFonts w:hint="default"/>
                <w:color w:val="auto"/>
                <w:sz w:val="21"/>
                <w:szCs w:val="21"/>
                <w:lang w:bidi="ar"/>
              </w:rPr>
              <w:br w:type="textWrapping"/>
            </w:r>
            <w:r>
              <w:rPr>
                <w:rStyle w:val="8"/>
                <w:rFonts w:hint="default"/>
                <w:color w:val="auto"/>
                <w:sz w:val="21"/>
                <w:szCs w:val="21"/>
                <w:lang w:bidi="ar"/>
              </w:rPr>
              <w:t>·拷贝数变异(&gt;500kb)</w:t>
            </w:r>
            <w:r>
              <w:rPr>
                <w:rStyle w:val="8"/>
                <w:rFonts w:hint="default"/>
                <w:color w:val="auto"/>
                <w:sz w:val="21"/>
                <w:szCs w:val="21"/>
                <w:lang w:bidi="ar"/>
              </w:rPr>
              <w:br w:type="textWrapping"/>
            </w:r>
            <w:r>
              <w:rPr>
                <w:rStyle w:val="8"/>
                <w:rFonts w:hint="default"/>
                <w:color w:val="auto"/>
                <w:sz w:val="21"/>
                <w:szCs w:val="21"/>
                <w:lang w:bidi="ar"/>
              </w:rPr>
              <w:t>·FSHD1 D4Z4重复单元数和4q35单体型</w:t>
            </w:r>
            <w:r>
              <w:rPr>
                <w:rStyle w:val="8"/>
                <w:rFonts w:hint="default"/>
                <w:color w:val="auto"/>
                <w:sz w:val="21"/>
                <w:szCs w:val="21"/>
                <w:lang w:bidi="ar"/>
              </w:rPr>
              <w:br w:type="textWrapping"/>
            </w:r>
            <w:r>
              <w:rPr>
                <w:rStyle w:val="8"/>
                <w:rFonts w:hint="default"/>
                <w:color w:val="auto"/>
                <w:sz w:val="21"/>
                <w:szCs w:val="21"/>
                <w:lang w:bidi="ar"/>
              </w:rPr>
              <w:t>提示嵌合体</w:t>
            </w:r>
            <w:r>
              <w:rPr>
                <w:rStyle w:val="8"/>
                <w:rFonts w:hint="default"/>
                <w:color w:val="auto"/>
                <w:sz w:val="21"/>
                <w:szCs w:val="21"/>
                <w:lang w:bidi="ar"/>
              </w:rPr>
              <w:br w:type="textWrapping"/>
            </w:r>
            <w:r>
              <w:rPr>
                <w:rStyle w:val="8"/>
                <w:rFonts w:hint="default"/>
                <w:color w:val="auto"/>
                <w:sz w:val="21"/>
                <w:szCs w:val="21"/>
                <w:lang w:bidi="ar"/>
              </w:rPr>
              <w:t>·提示纯合区域(AOH/LOH/UPD)(&gt;25 Mb)</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E7A72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OGM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B6F02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16680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077046D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6938D84">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2C3B4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BBDDC7">
            <w:pPr>
              <w:widowControl/>
              <w:jc w:val="center"/>
              <w:textAlignment w:val="center"/>
              <w:rPr>
                <w:rFonts w:hint="eastAsia" w:ascii="宋体" w:hAnsi="宋体" w:cs="宋体"/>
                <w:color w:val="auto"/>
                <w:szCs w:val="21"/>
              </w:rPr>
            </w:pPr>
            <w:r>
              <w:rPr>
                <w:rStyle w:val="8"/>
                <w:rFonts w:hint="default"/>
                <w:color w:val="auto"/>
                <w:sz w:val="21"/>
                <w:szCs w:val="21"/>
                <w:lang w:bidi="ar"/>
              </w:rPr>
              <w:t>胎儿</w:t>
            </w:r>
            <w:r>
              <w:rPr>
                <w:rFonts w:hint="eastAsia" w:ascii="宋体" w:hAnsi="宋体" w:cs="宋体"/>
                <w:color w:val="auto"/>
                <w:kern w:val="0"/>
                <w:szCs w:val="21"/>
                <w:lang w:bidi="ar"/>
              </w:rPr>
              <w:t>OGM</w:t>
            </w:r>
            <w:r>
              <w:rPr>
                <w:rStyle w:val="8"/>
                <w:rFonts w:hint="default"/>
                <w:color w:val="auto"/>
                <w:sz w:val="21"/>
                <w:szCs w:val="21"/>
                <w:lang w:bidi="ar"/>
              </w:rPr>
              <w:t>检测</w:t>
            </w:r>
            <w:r>
              <w:rPr>
                <w:rFonts w:hint="eastAsia" w:ascii="宋体" w:hAnsi="宋体" w:cs="宋体"/>
                <w:color w:val="auto"/>
                <w:kern w:val="0"/>
                <w:szCs w:val="21"/>
                <w:lang w:bidi="ar"/>
              </w:rPr>
              <w:t>-</w:t>
            </w:r>
            <w:r>
              <w:rPr>
                <w:rStyle w:val="8"/>
                <w:rFonts w:hint="default"/>
                <w:color w:val="auto"/>
                <w:sz w:val="21"/>
                <w:szCs w:val="21"/>
                <w:lang w:bidi="ar"/>
              </w:rPr>
              <w:t>标准版</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77EFC6C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w:t>
            </w:r>
            <w:r>
              <w:rPr>
                <w:rStyle w:val="8"/>
                <w:rFonts w:hint="default"/>
                <w:color w:val="auto"/>
                <w:sz w:val="21"/>
                <w:szCs w:val="21"/>
                <w:lang w:bidi="ar"/>
              </w:rPr>
              <w:t>、本条为产前胎儿羊水常规</w:t>
            </w:r>
            <w:r>
              <w:rPr>
                <w:rFonts w:hint="eastAsia" w:ascii="宋体" w:hAnsi="宋体" w:cs="宋体"/>
                <w:color w:val="auto"/>
                <w:kern w:val="0"/>
                <w:szCs w:val="21"/>
                <w:lang w:bidi="ar"/>
              </w:rPr>
              <w:t>OGM</w:t>
            </w:r>
            <w:r>
              <w:rPr>
                <w:rStyle w:val="8"/>
                <w:rFonts w:hint="default"/>
                <w:color w:val="auto"/>
                <w:sz w:val="21"/>
                <w:szCs w:val="21"/>
                <w:lang w:bidi="ar"/>
              </w:rPr>
              <w:t>检测，属于临床特检项目，需考虑细胞培养时间，周期较长。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FED1A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OGM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CA4F7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5560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98138ED">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20-25个工作日</w:t>
            </w:r>
          </w:p>
        </w:tc>
      </w:tr>
      <w:tr w14:paraId="54EA8C5B">
        <w:tblPrEx>
          <w:tblCellMar>
            <w:top w:w="0" w:type="dxa"/>
            <w:left w:w="108" w:type="dxa"/>
            <w:bottom w:w="0" w:type="dxa"/>
            <w:right w:w="108" w:type="dxa"/>
          </w:tblCellMar>
        </w:tblPrEx>
        <w:trPr>
          <w:trHeight w:val="329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09627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4FC1E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OGM</w:t>
            </w:r>
            <w:r>
              <w:rPr>
                <w:rStyle w:val="8"/>
                <w:rFonts w:hint="default"/>
                <w:color w:val="auto"/>
                <w:sz w:val="21"/>
                <w:szCs w:val="21"/>
                <w:lang w:bidi="ar"/>
              </w:rPr>
              <w:t>检测</w:t>
            </w:r>
            <w:r>
              <w:rPr>
                <w:rFonts w:hint="eastAsia" w:ascii="宋体" w:hAnsi="宋体" w:cs="宋体"/>
                <w:color w:val="auto"/>
                <w:kern w:val="0"/>
                <w:szCs w:val="21"/>
                <w:lang w:bidi="ar"/>
              </w:rPr>
              <w:t>-</w:t>
            </w:r>
            <w:r>
              <w:rPr>
                <w:rStyle w:val="8"/>
                <w:rFonts w:hint="default"/>
                <w:color w:val="auto"/>
                <w:sz w:val="21"/>
                <w:szCs w:val="21"/>
                <w:lang w:bidi="ar"/>
              </w:rPr>
              <w:t>标准版（单人）</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41E08EC">
            <w:pPr>
              <w:widowControl/>
              <w:jc w:val="center"/>
              <w:textAlignment w:val="center"/>
              <w:rPr>
                <w:rFonts w:hint="eastAsia" w:ascii="宋体" w:hAnsi="宋体" w:cs="宋体"/>
                <w:color w:val="auto"/>
                <w:szCs w:val="21"/>
              </w:rPr>
            </w:pPr>
            <w:r>
              <w:rPr>
                <w:rStyle w:val="8"/>
                <w:rFonts w:hint="default"/>
                <w:color w:val="auto"/>
                <w:sz w:val="21"/>
                <w:szCs w:val="21"/>
                <w:lang w:bidi="ar"/>
              </w:rPr>
              <w:t>本条为核心家系单人常规</w:t>
            </w:r>
            <w:r>
              <w:rPr>
                <w:rFonts w:hint="eastAsia" w:ascii="宋体" w:hAnsi="宋体" w:cs="宋体"/>
                <w:color w:val="auto"/>
                <w:kern w:val="0"/>
                <w:szCs w:val="21"/>
                <w:lang w:bidi="ar"/>
              </w:rPr>
              <w:t>OGM</w:t>
            </w:r>
            <w:r>
              <w:rPr>
                <w:rStyle w:val="8"/>
                <w:rFonts w:hint="default"/>
                <w:color w:val="auto"/>
                <w:sz w:val="21"/>
                <w:szCs w:val="21"/>
                <w:lang w:bidi="ar"/>
              </w:rPr>
              <w:t>检测：染色体非整倍体和三倍体</w:t>
            </w:r>
            <w:r>
              <w:rPr>
                <w:rStyle w:val="8"/>
                <w:rFonts w:hint="default"/>
                <w:color w:val="auto"/>
                <w:sz w:val="21"/>
                <w:szCs w:val="21"/>
                <w:lang w:bidi="ar"/>
              </w:rPr>
              <w:br w:type="textWrapping"/>
            </w:r>
            <w:r>
              <w:rPr>
                <w:rStyle w:val="8"/>
                <w:rFonts w:hint="default"/>
                <w:color w:val="auto"/>
                <w:sz w:val="21"/>
                <w:szCs w:val="21"/>
                <w:lang w:bidi="ar"/>
              </w:rPr>
              <w:t>·纯合子插入(&gt;500bp)/缺失(&gt;700bp)</w:t>
            </w:r>
            <w:r>
              <w:rPr>
                <w:rStyle w:val="8"/>
                <w:rFonts w:hint="default"/>
                <w:color w:val="auto"/>
                <w:sz w:val="21"/>
                <w:szCs w:val="21"/>
                <w:lang w:bidi="ar"/>
              </w:rPr>
              <w:br w:type="textWrapping"/>
            </w:r>
            <w:r>
              <w:rPr>
                <w:rStyle w:val="8"/>
                <w:rFonts w:hint="default"/>
                <w:color w:val="auto"/>
                <w:sz w:val="21"/>
                <w:szCs w:val="21"/>
                <w:lang w:bidi="ar"/>
              </w:rPr>
              <w:t>平衡性染色体结构重排(&gt;70kb)</w:t>
            </w:r>
            <w:r>
              <w:rPr>
                <w:rStyle w:val="8"/>
                <w:rFonts w:hint="default"/>
                <w:color w:val="auto"/>
                <w:sz w:val="21"/>
                <w:szCs w:val="21"/>
                <w:lang w:bidi="ar"/>
              </w:rPr>
              <w:br w:type="textWrapping"/>
            </w:r>
            <w:r>
              <w:rPr>
                <w:rStyle w:val="8"/>
                <w:rFonts w:hint="default"/>
                <w:color w:val="auto"/>
                <w:sz w:val="21"/>
                <w:szCs w:val="21"/>
                <w:lang w:bidi="ar"/>
              </w:rPr>
              <w:t>·拷贝数变异(&gt;500kb)</w:t>
            </w:r>
            <w:r>
              <w:rPr>
                <w:rStyle w:val="8"/>
                <w:rFonts w:hint="default"/>
                <w:color w:val="auto"/>
                <w:sz w:val="21"/>
                <w:szCs w:val="21"/>
                <w:lang w:bidi="ar"/>
              </w:rPr>
              <w:br w:type="textWrapping"/>
            </w:r>
            <w:r>
              <w:rPr>
                <w:rStyle w:val="8"/>
                <w:rFonts w:hint="default"/>
                <w:color w:val="auto"/>
                <w:sz w:val="21"/>
                <w:szCs w:val="21"/>
                <w:lang w:bidi="ar"/>
              </w:rPr>
              <w:t>·FSHD1 D4Z4重复单元数和4q35单体型</w:t>
            </w:r>
            <w:r>
              <w:rPr>
                <w:rStyle w:val="8"/>
                <w:rFonts w:hint="default"/>
                <w:color w:val="auto"/>
                <w:sz w:val="21"/>
                <w:szCs w:val="21"/>
                <w:lang w:bidi="ar"/>
              </w:rPr>
              <w:br w:type="textWrapping"/>
            </w:r>
            <w:r>
              <w:rPr>
                <w:rStyle w:val="8"/>
                <w:rFonts w:hint="default"/>
                <w:color w:val="auto"/>
                <w:sz w:val="21"/>
                <w:szCs w:val="21"/>
                <w:lang w:bidi="ar"/>
              </w:rPr>
              <w:t>提示嵌合体</w:t>
            </w:r>
            <w:r>
              <w:rPr>
                <w:rStyle w:val="8"/>
                <w:rFonts w:hint="default"/>
                <w:color w:val="auto"/>
                <w:sz w:val="21"/>
                <w:szCs w:val="21"/>
                <w:lang w:bidi="ar"/>
              </w:rPr>
              <w:br w:type="textWrapping"/>
            </w:r>
            <w:r>
              <w:rPr>
                <w:rStyle w:val="8"/>
                <w:rFonts w:hint="default"/>
                <w:color w:val="auto"/>
                <w:sz w:val="21"/>
                <w:szCs w:val="21"/>
                <w:lang w:bidi="ar"/>
              </w:rPr>
              <w:t>·提示纯合区域(AOH/LOH/UPD)(&gt;25 Mb)</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23051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OGM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D2F2A4">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5660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FE79F2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4AAEAE6A">
        <w:tblPrEx>
          <w:tblCellMar>
            <w:top w:w="0" w:type="dxa"/>
            <w:left w:w="108" w:type="dxa"/>
            <w:bottom w:w="0" w:type="dxa"/>
            <w:right w:w="108" w:type="dxa"/>
          </w:tblCellMar>
        </w:tblPrEx>
        <w:trPr>
          <w:trHeight w:val="329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3942FB">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F15A6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OGM</w:t>
            </w:r>
            <w:r>
              <w:rPr>
                <w:rStyle w:val="8"/>
                <w:rFonts w:hint="default"/>
                <w:color w:val="auto"/>
                <w:sz w:val="21"/>
                <w:szCs w:val="21"/>
                <w:lang w:bidi="ar"/>
              </w:rPr>
              <w:t>检测</w:t>
            </w:r>
            <w:r>
              <w:rPr>
                <w:rFonts w:hint="eastAsia" w:ascii="宋体" w:hAnsi="宋体" w:cs="宋体"/>
                <w:color w:val="auto"/>
                <w:kern w:val="0"/>
                <w:szCs w:val="21"/>
                <w:lang w:bidi="ar"/>
              </w:rPr>
              <w:t>-</w:t>
            </w:r>
            <w:r>
              <w:rPr>
                <w:rStyle w:val="8"/>
                <w:rFonts w:hint="default"/>
                <w:color w:val="auto"/>
                <w:sz w:val="21"/>
                <w:szCs w:val="21"/>
                <w:lang w:bidi="ar"/>
              </w:rPr>
              <w:t>标准版（夫妻）</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6471B1F6">
            <w:pPr>
              <w:widowControl/>
              <w:jc w:val="center"/>
              <w:textAlignment w:val="center"/>
              <w:rPr>
                <w:rFonts w:hint="eastAsia" w:ascii="宋体" w:hAnsi="宋体" w:cs="宋体"/>
                <w:color w:val="auto"/>
                <w:szCs w:val="21"/>
              </w:rPr>
            </w:pPr>
            <w:r>
              <w:rPr>
                <w:rStyle w:val="8"/>
                <w:rFonts w:hint="default"/>
                <w:color w:val="auto"/>
                <w:sz w:val="21"/>
                <w:szCs w:val="21"/>
                <w:lang w:bidi="ar"/>
              </w:rPr>
              <w:t>本条为核心家系双人常规</w:t>
            </w:r>
            <w:r>
              <w:rPr>
                <w:rFonts w:hint="eastAsia" w:ascii="宋体" w:hAnsi="宋体" w:cs="宋体"/>
                <w:color w:val="auto"/>
                <w:kern w:val="0"/>
                <w:szCs w:val="21"/>
                <w:lang w:bidi="ar"/>
              </w:rPr>
              <w:t>OGM</w:t>
            </w:r>
            <w:r>
              <w:rPr>
                <w:rStyle w:val="8"/>
                <w:rFonts w:hint="default"/>
                <w:color w:val="auto"/>
                <w:sz w:val="21"/>
                <w:szCs w:val="21"/>
                <w:lang w:bidi="ar"/>
              </w:rPr>
              <w:t>检测：染色体非整倍体和三倍体</w:t>
            </w:r>
            <w:r>
              <w:rPr>
                <w:rStyle w:val="8"/>
                <w:rFonts w:hint="default"/>
                <w:color w:val="auto"/>
                <w:sz w:val="21"/>
                <w:szCs w:val="21"/>
                <w:lang w:bidi="ar"/>
              </w:rPr>
              <w:br w:type="textWrapping"/>
            </w:r>
            <w:r>
              <w:rPr>
                <w:rStyle w:val="8"/>
                <w:rFonts w:hint="default"/>
                <w:color w:val="auto"/>
                <w:sz w:val="21"/>
                <w:szCs w:val="21"/>
                <w:lang w:bidi="ar"/>
              </w:rPr>
              <w:t>·纯合子插入(&gt;500bp)/缺失(&gt;700bp)</w:t>
            </w:r>
            <w:r>
              <w:rPr>
                <w:rStyle w:val="8"/>
                <w:rFonts w:hint="default"/>
                <w:color w:val="auto"/>
                <w:sz w:val="21"/>
                <w:szCs w:val="21"/>
                <w:lang w:bidi="ar"/>
              </w:rPr>
              <w:br w:type="textWrapping"/>
            </w:r>
            <w:r>
              <w:rPr>
                <w:rStyle w:val="8"/>
                <w:rFonts w:hint="default"/>
                <w:color w:val="auto"/>
                <w:sz w:val="21"/>
                <w:szCs w:val="21"/>
                <w:lang w:bidi="ar"/>
              </w:rPr>
              <w:t>平衡性染色体结构重排(&gt;70kb)</w:t>
            </w:r>
            <w:r>
              <w:rPr>
                <w:rStyle w:val="8"/>
                <w:rFonts w:hint="default"/>
                <w:color w:val="auto"/>
                <w:sz w:val="21"/>
                <w:szCs w:val="21"/>
                <w:lang w:bidi="ar"/>
              </w:rPr>
              <w:br w:type="textWrapping"/>
            </w:r>
            <w:r>
              <w:rPr>
                <w:rStyle w:val="8"/>
                <w:rFonts w:hint="default"/>
                <w:color w:val="auto"/>
                <w:sz w:val="21"/>
                <w:szCs w:val="21"/>
                <w:lang w:bidi="ar"/>
              </w:rPr>
              <w:t>·拷贝数变异(&gt;500kb)</w:t>
            </w:r>
            <w:r>
              <w:rPr>
                <w:rStyle w:val="8"/>
                <w:rFonts w:hint="default"/>
                <w:color w:val="auto"/>
                <w:sz w:val="21"/>
                <w:szCs w:val="21"/>
                <w:lang w:bidi="ar"/>
              </w:rPr>
              <w:br w:type="textWrapping"/>
            </w:r>
            <w:r>
              <w:rPr>
                <w:rStyle w:val="8"/>
                <w:rFonts w:hint="default"/>
                <w:color w:val="auto"/>
                <w:sz w:val="21"/>
                <w:szCs w:val="21"/>
                <w:lang w:bidi="ar"/>
              </w:rPr>
              <w:t>·FSHD1 D4Z4重复单元数和4q35单体型</w:t>
            </w:r>
            <w:r>
              <w:rPr>
                <w:rStyle w:val="8"/>
                <w:rFonts w:hint="default"/>
                <w:color w:val="auto"/>
                <w:sz w:val="21"/>
                <w:szCs w:val="21"/>
                <w:lang w:bidi="ar"/>
              </w:rPr>
              <w:br w:type="textWrapping"/>
            </w:r>
            <w:r>
              <w:rPr>
                <w:rStyle w:val="8"/>
                <w:rFonts w:hint="default"/>
                <w:color w:val="auto"/>
                <w:sz w:val="21"/>
                <w:szCs w:val="21"/>
                <w:lang w:bidi="ar"/>
              </w:rPr>
              <w:t>提示嵌合体</w:t>
            </w:r>
            <w:r>
              <w:rPr>
                <w:rStyle w:val="8"/>
                <w:rFonts w:hint="default"/>
                <w:color w:val="auto"/>
                <w:sz w:val="21"/>
                <w:szCs w:val="21"/>
                <w:lang w:bidi="ar"/>
              </w:rPr>
              <w:br w:type="textWrapping"/>
            </w:r>
            <w:r>
              <w:rPr>
                <w:rStyle w:val="8"/>
                <w:rFonts w:hint="default"/>
                <w:color w:val="auto"/>
                <w:sz w:val="21"/>
                <w:szCs w:val="21"/>
                <w:lang w:bidi="ar"/>
              </w:rPr>
              <w:t>·提示纯合区域(AOH/LOH/UPD)(&gt;25 Mb)</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1E01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OGM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04D68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11120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5F5E0C4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10-15个工作日</w:t>
            </w:r>
          </w:p>
        </w:tc>
      </w:tr>
      <w:tr w14:paraId="660D015E">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02F8E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72EBB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WGS</w:t>
            </w:r>
            <w:r>
              <w:rPr>
                <w:rStyle w:val="8"/>
                <w:rFonts w:hint="default"/>
                <w:color w:val="auto"/>
                <w:sz w:val="21"/>
                <w:szCs w:val="21"/>
                <w:lang w:bidi="ar"/>
              </w:rPr>
              <w:t>家系</w:t>
            </w:r>
            <w:r>
              <w:rPr>
                <w:rFonts w:hint="eastAsia" w:ascii="宋体" w:hAnsi="宋体" w:cs="宋体"/>
                <w:color w:val="auto"/>
                <w:kern w:val="0"/>
                <w:szCs w:val="21"/>
                <w:lang w:bidi="ar"/>
              </w:rPr>
              <w:t>+RNA-seq</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AD869FE">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全基因组分析范围+RNA-seq 分析范围：根据WGS提示的基因情况、表型相关的表达和剪接异常。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083148">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8194C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15080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6DA15F05">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2B8E624F">
        <w:tblPrEx>
          <w:tblCellMar>
            <w:top w:w="0" w:type="dxa"/>
            <w:left w:w="108" w:type="dxa"/>
            <w:bottom w:w="0" w:type="dxa"/>
            <w:right w:w="108" w:type="dxa"/>
          </w:tblCellMar>
        </w:tblPrEx>
        <w:trPr>
          <w:trHeight w:val="90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4D058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7B2939">
            <w:pPr>
              <w:widowControl/>
              <w:jc w:val="center"/>
              <w:textAlignment w:val="center"/>
              <w:rPr>
                <w:rFonts w:hint="eastAsia" w:ascii="宋体" w:hAnsi="宋体" w:cs="宋体"/>
                <w:color w:val="auto"/>
                <w:szCs w:val="21"/>
              </w:rPr>
            </w:pPr>
            <w:r>
              <w:rPr>
                <w:rStyle w:val="8"/>
                <w:rFonts w:hint="default"/>
                <w:color w:val="auto"/>
                <w:sz w:val="21"/>
                <w:szCs w:val="21"/>
                <w:lang w:bidi="ar"/>
              </w:rPr>
              <w:t>单人</w:t>
            </w:r>
            <w:r>
              <w:rPr>
                <w:rFonts w:hint="eastAsia" w:ascii="宋体" w:hAnsi="宋体" w:cs="宋体"/>
                <w:color w:val="auto"/>
                <w:kern w:val="0"/>
                <w:szCs w:val="21"/>
                <w:lang w:bidi="ar"/>
              </w:rPr>
              <w:t>WGS+RNA-seq</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085A2781">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全基因组分析范围+RNA-seq 分析范围：根据WGS提示的基因情况、表型相关的表达和剪接异常。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7152D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5BC8C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12220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12751FF6">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r w14:paraId="0587929B">
        <w:tblPrEx>
          <w:tblCellMar>
            <w:top w:w="0" w:type="dxa"/>
            <w:left w:w="108" w:type="dxa"/>
            <w:bottom w:w="0" w:type="dxa"/>
            <w:right w:w="108" w:type="dxa"/>
          </w:tblCellMar>
        </w:tblPrEx>
        <w:trPr>
          <w:trHeight w:val="61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E93129F">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A91789">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RNA-seq</w:t>
            </w:r>
            <w:r>
              <w:rPr>
                <w:rStyle w:val="8"/>
                <w:rFonts w:hint="default"/>
                <w:color w:val="auto"/>
                <w:sz w:val="21"/>
                <w:szCs w:val="21"/>
                <w:lang w:bidi="ar"/>
              </w:rPr>
              <w:t>基础版</w:t>
            </w:r>
          </w:p>
        </w:tc>
        <w:tc>
          <w:tcPr>
            <w:tcW w:w="3127" w:type="dxa"/>
            <w:tcBorders>
              <w:top w:val="single" w:color="000000" w:sz="4" w:space="0"/>
              <w:left w:val="single" w:color="000000" w:sz="4" w:space="0"/>
              <w:bottom w:val="single" w:color="000000" w:sz="4" w:space="0"/>
              <w:right w:val="single" w:color="000000" w:sz="4" w:space="0"/>
            </w:tcBorders>
            <w:noWrap w:val="0"/>
            <w:vAlign w:val="center"/>
          </w:tcPr>
          <w:p w14:paraId="37479710">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针对临床关注的目标基因进行差异表达和剪接分析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DA731A">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NGS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DDD902">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4160</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14:paraId="37A7C5D7">
            <w:pPr>
              <w:widowControl/>
              <w:jc w:val="center"/>
              <w:textAlignment w:val="center"/>
              <w:rPr>
                <w:rFonts w:hint="eastAsia" w:ascii="宋体" w:hAnsi="宋体" w:cs="宋体"/>
                <w:color w:val="auto"/>
                <w:szCs w:val="21"/>
              </w:rPr>
            </w:pPr>
            <w:r>
              <w:rPr>
                <w:rFonts w:hint="eastAsia" w:ascii="宋体" w:hAnsi="宋体" w:cs="宋体"/>
                <w:color w:val="auto"/>
                <w:kern w:val="0"/>
                <w:szCs w:val="21"/>
                <w:lang w:bidi="ar"/>
              </w:rPr>
              <w:t>25-30个工作日</w:t>
            </w:r>
          </w:p>
        </w:tc>
      </w:tr>
    </w:tbl>
    <w:p w14:paraId="10D1AA17">
      <w:pPr>
        <w:pStyle w:val="4"/>
        <w:spacing w:line="500" w:lineRule="exact"/>
        <w:rPr>
          <w:rFonts w:hint="eastAsia" w:ascii="宋体" w:hAnsi="宋体" w:cs="宋体"/>
          <w:b/>
          <w:bCs/>
          <w:color w:val="auto"/>
          <w:szCs w:val="21"/>
        </w:rPr>
      </w:pPr>
    </w:p>
    <w:p w14:paraId="1D2F9494">
      <w:pPr>
        <w:pStyle w:val="4"/>
        <w:spacing w:line="500" w:lineRule="exact"/>
        <w:ind w:firstLine="422" w:firstLineChars="200"/>
        <w:rPr>
          <w:rFonts w:hint="eastAsia" w:ascii="宋体" w:hAnsi="宋体" w:cs="宋体"/>
          <w:b/>
          <w:bCs/>
          <w:color w:val="auto"/>
          <w:szCs w:val="21"/>
        </w:rPr>
      </w:pPr>
      <w:r>
        <w:rPr>
          <w:rFonts w:hint="eastAsia" w:ascii="宋体" w:hAnsi="宋体" w:cs="宋体"/>
          <w:b/>
          <w:bCs/>
          <w:color w:val="auto"/>
          <w:szCs w:val="21"/>
        </w:rPr>
        <w:t>（二）技术商务要求</w:t>
      </w:r>
    </w:p>
    <w:p w14:paraId="5C909751">
      <w:pPr>
        <w:widowControl/>
        <w:spacing w:line="500" w:lineRule="exact"/>
        <w:jc w:val="left"/>
        <w:rPr>
          <w:rFonts w:hint="eastAsia" w:ascii="宋体" w:hAnsi="宋体" w:cs="宋体"/>
          <w:iCs/>
          <w:color w:val="auto"/>
          <w:kern w:val="0"/>
          <w:szCs w:val="21"/>
        </w:rPr>
      </w:pPr>
      <w:r>
        <w:rPr>
          <w:rFonts w:hint="eastAsia" w:ascii="宋体" w:hAnsi="宋体" w:cs="宋体"/>
          <w:iCs/>
          <w:color w:val="auto"/>
          <w:kern w:val="0"/>
          <w:szCs w:val="21"/>
        </w:rPr>
        <w:t>一、技术要求</w:t>
      </w:r>
    </w:p>
    <w:p w14:paraId="07708962">
      <w:pPr>
        <w:spacing w:line="240" w:lineRule="atLeast"/>
        <w:ind w:firstLine="422" w:firstLineChars="200"/>
        <w:rPr>
          <w:rFonts w:hint="eastAsia" w:ascii="宋体" w:hAnsi="宋体" w:cs="宋体"/>
          <w:b/>
          <w:bCs/>
          <w:color w:val="auto"/>
          <w:szCs w:val="21"/>
          <w:lang w:bidi="ar"/>
        </w:rPr>
      </w:pPr>
      <w:r>
        <w:rPr>
          <w:rFonts w:hint="eastAsia" w:ascii="宋体" w:hAnsi="宋体" w:cs="宋体"/>
          <w:b/>
          <w:bCs/>
          <w:color w:val="auto"/>
          <w:szCs w:val="21"/>
          <w:lang w:bidi="ar"/>
        </w:rPr>
        <w:t>1.1、单基因遗传病携带者筛查</w:t>
      </w:r>
    </w:p>
    <w:p w14:paraId="4F452EAB">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1）至少提供10-15种疾病、40-50种疾病、200-300种疾病三种检测版本，（10-15种疾病筛查病种必须包含地中海贫血、遗传性非综合征型耳聋、SMA等常见单基因病，40-50种疾病、200-300种疾病还需包含血友病A型、脆性X综合征及21-羟化酶缺乏症等单基因病）。</w:t>
      </w:r>
    </w:p>
    <w:p w14:paraId="05DC6C9C">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2）采用多重PCR建库法联合高通量测序技术、主流的目标序列液相杂交捕获联合高通量测序技术，平均测序深度不低于400X，检测探针覆盖范围应至少包括外显子编码区域，目标区域覆盖度&gt;99%，目标区域深度20X以上reads占比&gt;99%，30X以上占比&gt;99%，Q30所占比例≥ 90%；基因组比对率 &gt; 99.9%；捕获效率≥65%，探针覆盖范围要求总捕获区间大小不小于2 Mb，探针设计参考CCDS、RefSeq、Ensembl、GENCODE、Clinvar等数据库。检测探针覆盖范围应至少包括目标基因全部外显子编码区域，包括HGMD及ClinVar数据库中判断为致病或疑似致病的深度内含子变异优先考虑。</w:t>
      </w:r>
    </w:p>
    <w:p w14:paraId="2EF1B6FA">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（3）为覆盖特殊疾病如脆性X及倒位型血友病等，需使用PCR等技术进行辅助，结果须整合在携带者筛查报告中，提供临床阳性检测报告证明。</w:t>
      </w:r>
    </w:p>
    <w:p w14:paraId="04929C16">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（4）</w:t>
      </w:r>
      <w:r>
        <w:rPr>
          <w:rFonts w:hint="eastAsia" w:ascii="宋体" w:hAnsi="宋体" w:cs="宋体"/>
          <w:i/>
          <w:iCs/>
          <w:color w:val="auto"/>
          <w:szCs w:val="21"/>
          <w:lang w:bidi="ar"/>
        </w:rPr>
        <w:t>HBA1/HBA2</w:t>
      </w:r>
      <w:r>
        <w:rPr>
          <w:rFonts w:hint="eastAsia" w:ascii="宋体" w:hAnsi="宋体" w:cs="宋体"/>
          <w:color w:val="auto"/>
          <w:szCs w:val="21"/>
          <w:lang w:bidi="ar"/>
        </w:rPr>
        <w:t>基因除能检测非同源区域SNV/InDel，还需覆盖常见致病性CNV（--SEA、-α3.7、-α4.2 、-FIL、-THAI），提供临床阳性检测报告证明。</w:t>
      </w:r>
    </w:p>
    <w:p w14:paraId="02AFFA80">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（5）可以精确检测到DMD基因单个外显子水平的缺失/重复，提供临床阳性检测报告证明。</w:t>
      </w:r>
    </w:p>
    <w:p w14:paraId="782F0DBD">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（6）除检测SNV/InDel外，还需能检测内含子倒位、能检测5’UTR区CGG重复数、能检测SLC25A13基因IVS16ins3kb，IVS4ins6kb，c.1638_1660dup这三种特殊变异。</w:t>
      </w:r>
    </w:p>
    <w:p w14:paraId="5F8F9794">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（7）可以通过特殊的设计，区分CYP21A2真假同源基因，提供临床阳性检测报告证明。</w:t>
      </w:r>
    </w:p>
    <w:p w14:paraId="0219493F">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（8）10-15种疾病的筛查覆盖叶酸基因，可检测MTHFR、MTRR三个变异位点，并提供叶酸补充指导意见；SMN1 exon7拷贝数的算法拥有双重独立运算流程，两种算法结果同时输出复核比较；HBA1/HBA2 --SEA，--THAI的变异增加断裂点分析算法，增加结果准确性；针对希特林蛋白缺乏症，可覆盖IVS16ins3kb特殊变异类型，提供实际临床阳性报告证明。</w:t>
      </w:r>
    </w:p>
    <w:p w14:paraId="3E44BFA8">
      <w:p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9）▲ECS可常规分析CNV，配套的生信分析软件可自动汇总一批次样本的CNV整体结果表，并自动注释和排序，列出需重点关注区段的染色体位置、变异类型、区带、区段大小、拷贝数计算值、DGV/gnomAD/Decipher数据库收录相关情况，提示区段内所含有的OMIM基因和疾病表型等信息，提供分析软件截图证明。</w:t>
      </w:r>
    </w:p>
    <w:p w14:paraId="3303E6DC">
      <w:pPr>
        <w:pStyle w:val="4"/>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10）为保证结果准确性，分析过程中必要时应结合多技术平台验证，配套生信分析软件具有自动加项功能，对于部分NGS检测效能具有局限性的特殊基因和变异位点，可根据生信提示数据，自动勾选如MLPA、gap-PCR等加项验证，并可导出excel表格供参考，提供分析软件截图证明。</w:t>
      </w:r>
    </w:p>
    <w:p w14:paraId="7A98E434">
      <w:pPr>
        <w:pStyle w:val="4"/>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（11）质量控制：生信分析流程质控环节有防污染分析流程、性别质控流程，多纬度质量保障实验结果的准确性。</w:t>
      </w:r>
    </w:p>
    <w:p w14:paraId="5E3D67BE">
      <w:pPr>
        <w:pStyle w:val="4"/>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（12）投标人检测能力：具备丰富的单基因病检测经验，提供单月完成超过1000例检测的证明。</w:t>
      </w:r>
    </w:p>
    <w:p w14:paraId="339065A0">
      <w:pPr>
        <w:spacing w:line="240" w:lineRule="atLeast"/>
        <w:ind w:firstLine="422" w:firstLineChars="200"/>
        <w:rPr>
          <w:rFonts w:hint="eastAsia" w:ascii="宋体" w:hAnsi="宋体" w:cs="宋体"/>
          <w:b/>
          <w:bCs/>
          <w:color w:val="auto"/>
          <w:szCs w:val="21"/>
          <w:lang w:bidi="ar"/>
        </w:rPr>
      </w:pPr>
      <w:r>
        <w:rPr>
          <w:rFonts w:hint="eastAsia" w:ascii="宋体" w:hAnsi="宋体" w:cs="宋体"/>
          <w:b/>
          <w:bCs/>
          <w:color w:val="auto"/>
          <w:szCs w:val="21"/>
          <w:lang w:bidi="ar"/>
        </w:rPr>
        <w:t>1.2、新生儿常见遗传病基因筛查(分子新筛)</w:t>
      </w:r>
    </w:p>
    <w:p w14:paraId="7664E01C">
      <w:pPr>
        <w:numPr>
          <w:ilvl w:val="0"/>
          <w:numId w:val="3"/>
        </w:numPr>
        <w:spacing w:line="240" w:lineRule="atLeast"/>
        <w:ind w:firstLine="420" w:firstLineChars="200"/>
        <w:rPr>
          <w:rFonts w:hint="eastAsia" w:ascii="宋体" w:hAnsi="宋体" w:cs="宋体"/>
          <w:color w:val="auto"/>
          <w:szCs w:val="21"/>
        </w:rPr>
      </w:pPr>
      <w:r>
        <w:rPr>
          <w:rFonts w:hint="eastAsia" w:ascii="宋体" w:hAnsi="宋体" w:cs="宋体"/>
          <w:color w:val="auto"/>
          <w:szCs w:val="21"/>
          <w:lang w:bidi="ar"/>
        </w:rPr>
        <w:t>▲</w:t>
      </w:r>
      <w:r>
        <w:rPr>
          <w:rFonts w:hint="eastAsia" w:ascii="宋体" w:hAnsi="宋体" w:cs="宋体"/>
          <w:color w:val="auto"/>
          <w:szCs w:val="21"/>
        </w:rPr>
        <w:t>根据不同临床需求，可提供多重PCR和液相杂交捕获两种建库方式，分别实现常见遗传病基因检测和基因编码区测通。</w:t>
      </w:r>
    </w:p>
    <w:p w14:paraId="53DECB09">
      <w:pPr>
        <w:numPr>
          <w:ilvl w:val="0"/>
          <w:numId w:val="3"/>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具有/提供与现有新生儿疾病筛查系统匹配的信息软件，能够实现与现有新筛同步开单、新生儿基因检测结果自动回传，质谱与基因筛查结果同步呈现，并能与现有新筛病案统一管理。</w:t>
      </w:r>
    </w:p>
    <w:p w14:paraId="413CABE1">
      <w:pPr>
        <w:numPr>
          <w:ilvl w:val="0"/>
          <w:numId w:val="3"/>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具有/提供用户界面友好的生信在线分析平台，实现该项目生信分析的全自动化，并能够向用户提供在线账号开放分析过程。</w:t>
      </w:r>
    </w:p>
    <w:p w14:paraId="2C833283">
      <w:pPr>
        <w:spacing w:line="240" w:lineRule="atLeast"/>
        <w:ind w:left="420" w:leftChars="200"/>
        <w:rPr>
          <w:rFonts w:hint="eastAsia" w:ascii="宋体" w:hAnsi="宋体" w:cs="宋体"/>
          <w:b/>
          <w:bCs/>
          <w:color w:val="auto"/>
          <w:szCs w:val="21"/>
        </w:rPr>
      </w:pPr>
      <w:r>
        <w:rPr>
          <w:rFonts w:hint="eastAsia" w:ascii="宋体" w:hAnsi="宋体" w:cs="宋体"/>
          <w:b/>
          <w:bCs/>
          <w:color w:val="auto"/>
          <w:szCs w:val="21"/>
        </w:rPr>
        <w:t>1.2.1新生儿基因筛查-九联检</w:t>
      </w:r>
    </w:p>
    <w:p w14:paraId="3983772E">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疾病种类（九联检）：优先纳入已有有效干预措施的严重儿童遗传病，至少包含常见5种但不多于10种单基因遗传病（必须包括遗传性非综合征型耳聋、ɑ/β-地中海贫血、SMA、肝豆状核变性和希特林蛋白缺乏症）；</w:t>
      </w:r>
    </w:p>
    <w:p w14:paraId="790E404B">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检测技术：采用多重PCR建库法联合高通量测序技术，1管PCR反应同时对目标片段进行扩增富集，平均测序深度不低于500X，覆盖度≥50×区域占比99%，提供临床样本检测数据证明；</w:t>
      </w:r>
    </w:p>
    <w:p w14:paraId="218A76AF">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检测灵敏度高：DNA浓度 ≥1.5ng/ul ，DNA 投入量为 ≥4.5ng；</w:t>
      </w:r>
    </w:p>
    <w:p w14:paraId="15526E77">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检测变异类型：检测单核苷酸变异、小插入缺失变异、常见的CNV变异，提供临床检测报告证明；</w:t>
      </w:r>
    </w:p>
    <w:p w14:paraId="73CB6278">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重要疾病：1）耳聋，参考临床指南，检测GJB2和SLC26A4的SNV/InDel以及GJB3、MT-RNR1、MT-CO1和MT-TH等基因热点变异；2）地中海贫血，检测HBA1/HBA2基因非同源区域SNV/InDel以及常见致病性CNV（--SEA、-α3.7、-α4.2）；（（3）希特林蛋白缺乏症，检测SLC25A13基因IVS16ins3kb变异；</w:t>
      </w:r>
    </w:p>
    <w:p w14:paraId="32A92407">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SMN1 exon7拷贝数的算法拥有双重独立运算流程，两种算法结果同时输出复核比较。</w:t>
      </w:r>
    </w:p>
    <w:p w14:paraId="4EB18B56">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HBA1/HBA2 --SEA，--THAI的变异增加断裂点分析算法，增加结果准确性。</w:t>
      </w:r>
    </w:p>
    <w:p w14:paraId="1DA114D5">
      <w:pPr>
        <w:numPr>
          <w:ilvl w:val="0"/>
          <w:numId w:val="4"/>
        </w:numPr>
        <w:spacing w:line="240" w:lineRule="atLeast"/>
        <w:ind w:left="0" w:firstLine="425"/>
        <w:rPr>
          <w:rFonts w:hint="eastAsia" w:ascii="宋体" w:hAnsi="宋体" w:cs="宋体"/>
          <w:color w:val="auto"/>
          <w:szCs w:val="21"/>
        </w:rPr>
      </w:pPr>
      <w:r>
        <w:rPr>
          <w:rFonts w:hint="eastAsia" w:ascii="宋体" w:hAnsi="宋体" w:cs="宋体"/>
          <w:color w:val="auto"/>
          <w:szCs w:val="21"/>
        </w:rPr>
        <w:t>生信分析流程质控环节有防污染分析流程、性别质控流程，多纬度质量保障实验结果的准确性。</w:t>
      </w:r>
    </w:p>
    <w:p w14:paraId="2A247CF3">
      <w:pPr>
        <w:spacing w:line="240" w:lineRule="atLeast"/>
        <w:ind w:left="420" w:leftChars="200"/>
        <w:rPr>
          <w:rFonts w:hint="eastAsia" w:ascii="宋体" w:hAnsi="宋体" w:cs="宋体"/>
          <w:b/>
          <w:bCs/>
          <w:color w:val="auto"/>
          <w:szCs w:val="21"/>
        </w:rPr>
      </w:pPr>
      <w:r>
        <w:rPr>
          <w:rFonts w:hint="eastAsia" w:ascii="宋体" w:hAnsi="宋体" w:cs="宋体"/>
          <w:b/>
          <w:bCs/>
          <w:color w:val="auto"/>
          <w:szCs w:val="21"/>
        </w:rPr>
        <w:t>1.2.2新生儿基因筛查专家版-NeoSeq pro</w:t>
      </w:r>
    </w:p>
    <w:p w14:paraId="153B2C12">
      <w:pPr>
        <w:numPr>
          <w:ilvl w:val="0"/>
          <w:numId w:val="5"/>
        </w:numPr>
        <w:spacing w:line="240" w:lineRule="atLeast"/>
        <w:rPr>
          <w:rFonts w:hint="eastAsia" w:ascii="宋体" w:hAnsi="宋体" w:cs="宋体"/>
          <w:color w:val="auto"/>
          <w:szCs w:val="21"/>
        </w:rPr>
      </w:pPr>
      <w:r>
        <w:rPr>
          <w:rFonts w:hint="eastAsia" w:ascii="宋体" w:hAnsi="宋体" w:cs="宋体"/>
          <w:color w:val="auto"/>
          <w:szCs w:val="21"/>
        </w:rPr>
        <w:t>检测技术：采用主流的目标序列捕获法联合高通量测序技术。</w:t>
      </w:r>
    </w:p>
    <w:p w14:paraId="5A9A7733">
      <w:pPr>
        <w:numPr>
          <w:ilvl w:val="0"/>
          <w:numId w:val="5"/>
        </w:numPr>
        <w:spacing w:line="240" w:lineRule="atLeast"/>
        <w:rPr>
          <w:rFonts w:hint="eastAsia" w:ascii="宋体" w:hAnsi="宋体" w:cs="宋体"/>
          <w:color w:val="auto"/>
          <w:szCs w:val="21"/>
        </w:rPr>
      </w:pPr>
      <w:r>
        <w:rPr>
          <w:rFonts w:hint="eastAsia" w:ascii="宋体" w:hAnsi="宋体" w:cs="宋体"/>
          <w:color w:val="auto"/>
          <w:szCs w:val="21"/>
        </w:rPr>
        <w:t>1)检测200余个基因，提示200余种单基因遗传病的患病风险，相关病种包括α/β-地中海贫血、脊髓性肌萎缩症、杜氏肌营养不良、X-连锁肾上腺脑白质营养不良、戈谢病、过氧化物酶体生物发生缺陷病、马凡综合征、Noonan综合征等；提示并报告T21、47,XXY等非整倍体变异。</w:t>
      </w:r>
    </w:p>
    <w:p w14:paraId="43189E84">
      <w:pPr>
        <w:numPr>
          <w:ilvl w:val="0"/>
          <w:numId w:val="5"/>
        </w:numPr>
        <w:spacing w:line="240" w:lineRule="atLeast"/>
        <w:rPr>
          <w:rFonts w:hint="eastAsia" w:ascii="宋体" w:hAnsi="宋体" w:cs="宋体"/>
          <w:color w:val="auto"/>
          <w:szCs w:val="21"/>
        </w:rPr>
      </w:pPr>
      <w:r>
        <w:rPr>
          <w:rFonts w:hint="eastAsia" w:ascii="宋体" w:hAnsi="宋体" w:cs="宋体"/>
          <w:color w:val="auto"/>
          <w:szCs w:val="21"/>
        </w:rPr>
        <w:t>检测变异类型：检测单核苷酸变异、微小插入/缺失（≤10bp）、以及目标基因连续三个外显子水平的拷贝数变异（CNV)，提供临床检测报告证明。</w:t>
      </w:r>
    </w:p>
    <w:p w14:paraId="512A5A3B">
      <w:pPr>
        <w:numPr>
          <w:ilvl w:val="0"/>
          <w:numId w:val="5"/>
        </w:numPr>
        <w:spacing w:line="240" w:lineRule="atLeast"/>
        <w:rPr>
          <w:rFonts w:hint="eastAsia" w:ascii="宋体" w:hAnsi="宋体" w:cs="宋体"/>
          <w:color w:val="auto"/>
          <w:szCs w:val="21"/>
        </w:rPr>
      </w:pPr>
      <w:r>
        <w:rPr>
          <w:rFonts w:hint="eastAsia" w:ascii="宋体" w:hAnsi="宋体" w:cs="宋体"/>
          <w:color w:val="auto"/>
          <w:szCs w:val="21"/>
        </w:rPr>
        <w:t>特殊单病要求：</w:t>
      </w:r>
    </w:p>
    <w:p w14:paraId="71BA66E6">
      <w:p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4.1）地中海贫血：检测HBA1/HBA2基因非同源区域SNV/InDel，覆盖中国人群常见致病CNV（-α3.7、-α4.2、--SEA、--FIL、--THAI、-α27.6）；可检测或提示HBB 基因常见3种大片段缺失变异 (SEA-HPFH、Chinese、Taiwanese)。</w:t>
      </w:r>
    </w:p>
    <w:p w14:paraId="37A99636">
      <w:p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4.2）杜氏肌营养不良：检测DMD基因SNV/InDel，以及基因单个外显子水平的缺失重复。</w:t>
      </w:r>
    </w:p>
    <w:p w14:paraId="61AF7E78">
      <w:p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4.3）SMA：检测SMN1基因7号外显子纯合缺失，较高准确提示SMN1基因7号外显子的杂合缺失和SMN2基因7号外显子和8号外显子的拷贝数情况。</w:t>
      </w:r>
    </w:p>
    <w:p w14:paraId="2ABACB27">
      <w:pPr>
        <w:spacing w:line="240" w:lineRule="atLeast"/>
        <w:ind w:left="420" w:leftChars="200"/>
        <w:rPr>
          <w:rFonts w:hint="eastAsia" w:ascii="宋体" w:hAnsi="宋体" w:cs="宋体"/>
          <w:color w:val="auto"/>
          <w:szCs w:val="21"/>
        </w:rPr>
      </w:pPr>
      <w:r>
        <w:rPr>
          <w:rFonts w:hint="eastAsia" w:ascii="宋体" w:hAnsi="宋体" w:cs="宋体"/>
          <w:color w:val="auto"/>
          <w:szCs w:val="21"/>
        </w:rPr>
        <w:t>4.4）希特林蛋白缺乏症：可检测SLC25A13基因IVS16ins3kb，IVS 4ins6kb，c.1638_1660dup这三种特殊变异。</w:t>
      </w:r>
    </w:p>
    <w:p w14:paraId="329E2782">
      <w:pPr>
        <w:widowControl/>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4.5）PAH、MMACHC 基因：覆盖基因 5’UTR 区域，检测并报告PAH基因的深度内含子变异不少于8个。</w:t>
      </w:r>
    </w:p>
    <w:p w14:paraId="1F49FA10">
      <w:pPr>
        <w:widowControl/>
        <w:numPr>
          <w:ilvl w:val="0"/>
          <w:numId w:val="5"/>
        </w:num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质控要求：高通量测序数据质控应达到平均测序深度不低于350X，目标区域覆盖度&gt;99%，目标区域大于20X，比例&gt;99%； Q20 比例≥ 99%、Q30比例 ≥90%；基因组比对率 &gt; 99%；捕获效率＞65%；线粒体有效测序深度≥10000X。。</w:t>
      </w:r>
    </w:p>
    <w:p w14:paraId="16E9F683">
      <w:pPr>
        <w:widowControl/>
        <w:numPr>
          <w:ilvl w:val="0"/>
          <w:numId w:val="5"/>
        </w:num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探针覆盖范围：检测探针覆盖范围应至少包括目标基因全部外显子编码区域，和HGMD及ClinVar中判断为致病或疑似致病的深度内含子变异。</w:t>
      </w:r>
    </w:p>
    <w:p w14:paraId="12592DCC">
      <w:pPr>
        <w:widowControl/>
        <w:numPr>
          <w:ilvl w:val="0"/>
          <w:numId w:val="5"/>
        </w:num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报告原则：按照ACMG及ClinGen框架解读、实时更新新生儿基因筛查致病变异数据库，收录致病、疑似致病变异位点数，并报告检测范围内的所有致病和疑似致病位点。</w:t>
      </w:r>
    </w:p>
    <w:p w14:paraId="36A43E18">
      <w:pPr>
        <w:numPr>
          <w:ilvl w:val="0"/>
          <w:numId w:val="5"/>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样本要求：2个8mm滤纸干血片。</w:t>
      </w:r>
    </w:p>
    <w:p w14:paraId="5BD92CA2">
      <w:pPr>
        <w:numPr>
          <w:ilvl w:val="0"/>
          <w:numId w:val="5"/>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验证平台：具备对筛查阳性结果进行验证的平台，至少包含Sanger、MLPA、qPCR、LR-PCR、 TP-PCR、及Gap-PCR等检测技术，提供实验室检测病例或相关证明材料</w:t>
      </w:r>
    </w:p>
    <w:p w14:paraId="6F1E2F63">
      <w:pPr>
        <w:numPr>
          <w:ilvl w:val="0"/>
          <w:numId w:val="5"/>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辅助诊断检测能力：具备罕见遗传病诊疗多技术平台及针对复杂遗传病的诊断能力，包括FISH、OGM、甲基化-MLPA、染色体高分辨核型等技术平台；拥有包括质谱自主运行设备，开展过实际临床检测项目，如尿有机酸检测（内标标准曲线法定量，指标不少于90个）、血/尿氨基酸检测（同位素内标标准曲线法定量，指标不少于40个），以便对筛查阳性患儿进一步辅助诊断。</w:t>
      </w:r>
    </w:p>
    <w:p w14:paraId="20D1EDD7">
      <w:pPr>
        <w:numPr>
          <w:ilvl w:val="0"/>
          <w:numId w:val="5"/>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遗传咨询工具：提供筛查疾病谱各个疾病的介绍、诊断、治疗及新生儿基因筛查结果遗传咨询的文字资料及培训服务。</w:t>
      </w:r>
    </w:p>
    <w:p w14:paraId="16D70542">
      <w:pPr>
        <w:spacing w:line="240" w:lineRule="atLeast"/>
        <w:ind w:firstLine="422" w:firstLineChars="200"/>
        <w:rPr>
          <w:rFonts w:hint="eastAsia" w:ascii="宋体" w:hAnsi="宋体" w:cs="宋体"/>
          <w:b/>
          <w:bCs/>
          <w:color w:val="auto"/>
          <w:szCs w:val="21"/>
          <w:lang w:bidi="ar"/>
        </w:rPr>
      </w:pPr>
      <w:r>
        <w:rPr>
          <w:rFonts w:hint="eastAsia" w:ascii="宋体" w:hAnsi="宋体" w:cs="宋体"/>
          <w:b/>
          <w:bCs/>
          <w:color w:val="auto"/>
          <w:szCs w:val="21"/>
          <w:lang w:bidi="ar"/>
        </w:rPr>
        <w:t>1.3、染色体微阵列分析（SNP-750K）</w:t>
      </w:r>
    </w:p>
    <w:p w14:paraId="735A0904">
      <w:pPr>
        <w:spacing w:line="240" w:lineRule="atLeast"/>
        <w:ind w:left="420" w:leftChars="200"/>
        <w:rPr>
          <w:rFonts w:hint="eastAsia" w:ascii="宋体" w:hAnsi="宋体" w:cs="宋体"/>
          <w:color w:val="auto"/>
          <w:szCs w:val="21"/>
        </w:rPr>
      </w:pPr>
      <w:r>
        <w:rPr>
          <w:rFonts w:hint="eastAsia" w:ascii="宋体" w:hAnsi="宋体" w:cs="宋体"/>
          <w:color w:val="auto"/>
          <w:szCs w:val="21"/>
        </w:rPr>
        <w:t>（1）实验室开展的CMA项目应连续3年获得国家临检中心颁发的“染色体基因组结构异常检测室间质评合格证书”。</w:t>
      </w:r>
    </w:p>
    <w:p w14:paraId="3EC72462">
      <w:pPr>
        <w:spacing w:line="240" w:lineRule="atLeast"/>
        <w:ind w:left="420" w:leftChars="200"/>
        <w:rPr>
          <w:rFonts w:hint="eastAsia" w:ascii="宋体" w:hAnsi="宋体" w:cs="宋体"/>
          <w:color w:val="auto"/>
          <w:szCs w:val="21"/>
        </w:rPr>
      </w:pPr>
      <w:r>
        <w:rPr>
          <w:rFonts w:hint="eastAsia" w:ascii="宋体" w:hAnsi="宋体" w:cs="宋体"/>
          <w:color w:val="auto"/>
          <w:szCs w:val="21"/>
        </w:rPr>
        <w:t>（2）报告签发者应为副高及以上，具有ABMGG认证与FACMG资质。</w:t>
      </w:r>
    </w:p>
    <w:p w14:paraId="4F6F3C9B">
      <w:pPr>
        <w:spacing w:line="240" w:lineRule="atLeast"/>
        <w:ind w:left="420" w:leftChars="200"/>
        <w:rPr>
          <w:rFonts w:hint="eastAsia" w:ascii="宋体" w:hAnsi="宋体" w:cs="宋体"/>
          <w:color w:val="auto"/>
          <w:szCs w:val="21"/>
        </w:rPr>
      </w:pPr>
      <w:r>
        <w:rPr>
          <w:rFonts w:hint="eastAsia" w:ascii="宋体" w:hAnsi="宋体" w:cs="宋体"/>
          <w:color w:val="auto"/>
          <w:szCs w:val="21"/>
        </w:rPr>
        <w:t>（3）投标人基因芯片分析设备应获得CFDA、CE、FDA认证，保证项目实施具备稳定可靠的运行平台。</w:t>
      </w:r>
    </w:p>
    <w:p w14:paraId="7A918741">
      <w:pPr>
        <w:spacing w:line="240" w:lineRule="atLeast"/>
        <w:ind w:left="420" w:leftChars="200"/>
        <w:rPr>
          <w:rFonts w:hint="eastAsia" w:ascii="宋体" w:hAnsi="宋体" w:cs="宋体"/>
          <w:color w:val="auto"/>
          <w:szCs w:val="21"/>
        </w:rPr>
      </w:pPr>
      <w:r>
        <w:rPr>
          <w:rFonts w:hint="eastAsia" w:ascii="宋体" w:hAnsi="宋体" w:cs="宋体"/>
          <w:color w:val="auto"/>
          <w:szCs w:val="21"/>
        </w:rPr>
        <w:t>（4）基因芯片试剂具有国家药品监督管理局（NMPA）批准的第三类医疗器械注册证。</w:t>
      </w:r>
    </w:p>
    <w:p w14:paraId="333301DE">
      <w:pPr>
        <w:spacing w:line="240" w:lineRule="atLeast"/>
        <w:ind w:left="420" w:leftChars="200"/>
        <w:rPr>
          <w:rFonts w:hint="eastAsia" w:ascii="宋体" w:hAnsi="宋体" w:cs="宋体"/>
          <w:color w:val="auto"/>
          <w:szCs w:val="21"/>
        </w:rPr>
      </w:pPr>
      <w:r>
        <w:rPr>
          <w:rFonts w:hint="eastAsia" w:ascii="宋体" w:hAnsi="宋体" w:cs="宋体"/>
          <w:color w:val="auto"/>
          <w:szCs w:val="21"/>
        </w:rPr>
        <w:t>（5）基因芯片配套的生信分析软件具有国家药品监督管理局（NMPA）批准的医疗器械注册证。</w:t>
      </w:r>
    </w:p>
    <w:p w14:paraId="5AF585D6">
      <w:pPr>
        <w:spacing w:line="240" w:lineRule="atLeast"/>
        <w:ind w:left="420" w:leftChars="200"/>
        <w:rPr>
          <w:rFonts w:hint="eastAsia" w:ascii="宋体" w:hAnsi="宋体" w:cs="宋体"/>
          <w:color w:val="auto"/>
          <w:szCs w:val="21"/>
        </w:rPr>
      </w:pPr>
      <w:r>
        <w:rPr>
          <w:rFonts w:hint="eastAsia" w:ascii="宋体" w:hAnsi="宋体" w:cs="宋体"/>
          <w:color w:val="auto"/>
          <w:szCs w:val="21"/>
        </w:rPr>
        <w:t>（6）基因芯片生产合成采用光蚀刻原位合成技术，以保证芯片质量的稳定性。</w:t>
      </w:r>
    </w:p>
    <w:p w14:paraId="36379581">
      <w:pPr>
        <w:spacing w:line="240" w:lineRule="atLeast"/>
        <w:ind w:left="420" w:leftChars="200"/>
        <w:rPr>
          <w:rFonts w:hint="eastAsia" w:ascii="宋体" w:hAnsi="宋体" w:cs="宋体"/>
          <w:color w:val="auto"/>
          <w:szCs w:val="21"/>
        </w:rPr>
      </w:pPr>
      <w:r>
        <w:rPr>
          <w:rFonts w:hint="eastAsia" w:ascii="宋体" w:hAnsi="宋体" w:cs="宋体"/>
          <w:color w:val="auto"/>
          <w:szCs w:val="21"/>
        </w:rPr>
        <w:t>（7）基因芯片最小包装可1个，单张芯片检测单个样本，避免样本间交叉污染。</w:t>
      </w:r>
    </w:p>
    <w:p w14:paraId="6E49CF3E">
      <w:pPr>
        <w:spacing w:line="240" w:lineRule="atLeast"/>
        <w:ind w:left="420" w:leftChars="200"/>
        <w:rPr>
          <w:rFonts w:hint="eastAsia" w:ascii="宋体" w:hAnsi="宋体" w:cs="宋体"/>
          <w:color w:val="auto"/>
          <w:szCs w:val="21"/>
        </w:rPr>
      </w:pPr>
      <w:r>
        <w:rPr>
          <w:rFonts w:hint="eastAsia" w:ascii="宋体" w:hAnsi="宋体" w:cs="宋体"/>
          <w:color w:val="auto"/>
          <w:szCs w:val="21"/>
        </w:rPr>
        <w:t>（8）▲CMA芯片具有拷贝数变异（CNV）和单核苷酸多态性（SNP）两种类型复合探针，探针Marker数量≥75万（其中SNP探针≥20万）；对于临床疑难案例，可提供高分辨率芯片，探针Marker数量≥260万（其中SNP探针数≥70万）。</w:t>
      </w:r>
    </w:p>
    <w:p w14:paraId="1B168C62">
      <w:pPr>
        <w:spacing w:line="240" w:lineRule="atLeast"/>
        <w:ind w:left="420" w:leftChars="200"/>
        <w:rPr>
          <w:rFonts w:hint="eastAsia" w:ascii="宋体" w:hAnsi="宋体" w:cs="宋体"/>
          <w:color w:val="auto"/>
          <w:szCs w:val="21"/>
        </w:rPr>
      </w:pPr>
      <w:r>
        <w:rPr>
          <w:rFonts w:hint="eastAsia" w:ascii="宋体" w:hAnsi="宋体" w:cs="宋体"/>
          <w:color w:val="auto"/>
          <w:szCs w:val="21"/>
        </w:rPr>
        <w:t>（9）CMA芯片可同时检测小片段CNV、≥20%的嵌合体、杂合性缺失/单亲二体（LOH/UPD）、多倍体等畸变。</w:t>
      </w:r>
    </w:p>
    <w:p w14:paraId="2035753C">
      <w:pPr>
        <w:spacing w:line="240" w:lineRule="atLeast"/>
        <w:ind w:left="420" w:leftChars="200"/>
        <w:rPr>
          <w:rFonts w:hint="eastAsia" w:ascii="宋体" w:hAnsi="宋体" w:cs="宋体"/>
          <w:color w:val="auto"/>
          <w:szCs w:val="21"/>
        </w:rPr>
      </w:pPr>
      <w:r>
        <w:rPr>
          <w:rFonts w:hint="eastAsia" w:ascii="宋体" w:hAnsi="宋体" w:cs="宋体"/>
          <w:color w:val="auto"/>
          <w:szCs w:val="21"/>
        </w:rPr>
        <w:t>（10）提供结合最新拷贝数变异致病性判读指南的遗传学高级生信分析软件，不仅限于CMA芯片平台配套的软件，除用于芯片数据分析外，可实现测序结果和芯片数据的同平台分析比对与管理，以及本地检测数据库的建立，确保检测结果的多平台临床分析和科研拓展应用。</w:t>
      </w:r>
    </w:p>
    <w:p w14:paraId="6A169A89">
      <w:pPr>
        <w:spacing w:line="240" w:lineRule="atLeast"/>
        <w:ind w:left="420" w:leftChars="200"/>
        <w:rPr>
          <w:rFonts w:hint="eastAsia" w:ascii="宋体" w:hAnsi="宋体" w:cs="宋体"/>
          <w:color w:val="auto"/>
          <w:szCs w:val="21"/>
        </w:rPr>
      </w:pPr>
      <w:r>
        <w:rPr>
          <w:rFonts w:hint="eastAsia" w:ascii="宋体" w:hAnsi="宋体" w:cs="宋体"/>
          <w:color w:val="auto"/>
          <w:szCs w:val="21"/>
        </w:rPr>
        <w:t>（11）具备丰富的产前检测经验，提供检测量证明。</w:t>
      </w:r>
    </w:p>
    <w:p w14:paraId="7A753E7B">
      <w:pPr>
        <w:spacing w:line="240" w:lineRule="atLeast"/>
        <w:ind w:left="420" w:leftChars="200"/>
        <w:rPr>
          <w:rFonts w:hint="eastAsia" w:ascii="宋体" w:hAnsi="宋体" w:cs="宋体"/>
          <w:color w:val="auto"/>
          <w:szCs w:val="21"/>
        </w:rPr>
      </w:pPr>
      <w:r>
        <w:rPr>
          <w:rFonts w:hint="eastAsia" w:ascii="宋体" w:hAnsi="宋体" w:cs="宋体"/>
          <w:color w:val="auto"/>
          <w:szCs w:val="21"/>
        </w:rPr>
        <w:t>（12）投标人或关联公司具有≥3项芯片数据分析、注释解读相关的软件著作权或发明专利。</w:t>
      </w:r>
    </w:p>
    <w:p w14:paraId="360E8428">
      <w:pPr>
        <w:spacing w:line="240" w:lineRule="atLeast"/>
        <w:ind w:left="420" w:leftChars="200"/>
        <w:rPr>
          <w:rFonts w:hint="eastAsia" w:ascii="宋体" w:hAnsi="宋体" w:cs="宋体"/>
          <w:color w:val="auto"/>
          <w:szCs w:val="21"/>
        </w:rPr>
      </w:pPr>
      <w:r>
        <w:rPr>
          <w:rFonts w:hint="eastAsia" w:ascii="宋体" w:hAnsi="宋体" w:cs="宋体"/>
          <w:color w:val="auto"/>
          <w:szCs w:val="21"/>
        </w:rPr>
        <w:t>（13）投标人需实现实验室整体流程的信息化，具有临床信息登记、实验室流程管理及报告结果统计功能，支持诊断结果的统一信息化管理，定期反馈统计分析数据和信息。</w:t>
      </w:r>
    </w:p>
    <w:p w14:paraId="432B5A04">
      <w:pPr>
        <w:spacing w:line="240" w:lineRule="atLeast"/>
        <w:ind w:left="420" w:leftChars="200"/>
        <w:rPr>
          <w:rFonts w:hint="eastAsia" w:ascii="宋体" w:hAnsi="宋体" w:cs="宋体"/>
          <w:color w:val="auto"/>
          <w:szCs w:val="21"/>
        </w:rPr>
      </w:pPr>
      <w:r>
        <w:rPr>
          <w:rFonts w:hint="eastAsia" w:ascii="宋体" w:hAnsi="宋体" w:cs="宋体"/>
          <w:color w:val="auto"/>
          <w:szCs w:val="21"/>
        </w:rPr>
        <w:t>（14）对于CMA芯片检出的异常病例，能提供高分辨核型分析、特殊显带、FISH、BAC、QF-PCR、MLPA/MS-MLPA、Sanger、WES、WGS、RNA-seq、OGM等齐全的验证、溯源解决方案。</w:t>
      </w:r>
    </w:p>
    <w:p w14:paraId="22CE8FFE">
      <w:pPr>
        <w:spacing w:line="240" w:lineRule="atLeast"/>
        <w:ind w:left="420" w:leftChars="200"/>
        <w:rPr>
          <w:rFonts w:hint="eastAsia" w:ascii="宋体" w:hAnsi="宋体" w:cs="宋体"/>
          <w:color w:val="auto"/>
          <w:szCs w:val="21"/>
        </w:rPr>
      </w:pPr>
      <w:r>
        <w:rPr>
          <w:rFonts w:hint="eastAsia" w:ascii="宋体" w:hAnsi="宋体" w:cs="宋体"/>
          <w:color w:val="auto"/>
          <w:szCs w:val="21"/>
        </w:rPr>
        <w:t>（15）投标人应具有三甲医院产诊中心染色体芯片平台建设经验，并具备提供基因芯片平台本地化运行的能力。</w:t>
      </w:r>
    </w:p>
    <w:p w14:paraId="2FBF0180">
      <w:pPr>
        <w:spacing w:line="240" w:lineRule="atLeast"/>
        <w:ind w:firstLine="422" w:firstLineChars="200"/>
        <w:rPr>
          <w:rFonts w:hint="eastAsia" w:ascii="宋体" w:hAnsi="宋体" w:cs="宋体"/>
          <w:b/>
          <w:bCs/>
          <w:color w:val="auto"/>
          <w:szCs w:val="21"/>
          <w:lang w:bidi="ar"/>
        </w:rPr>
      </w:pPr>
      <w:r>
        <w:rPr>
          <w:rFonts w:hint="eastAsia" w:ascii="宋体" w:hAnsi="宋体" w:cs="宋体"/>
          <w:b/>
          <w:bCs/>
          <w:color w:val="auto"/>
          <w:szCs w:val="21"/>
          <w:lang w:bidi="ar"/>
        </w:rPr>
        <w:t>1.4、染色体微阵列分析（SNP-HD）</w:t>
      </w:r>
    </w:p>
    <w:p w14:paraId="6A60B381">
      <w:pPr>
        <w:widowControl/>
        <w:spacing w:line="240" w:lineRule="atLeast"/>
        <w:ind w:firstLine="420" w:firstLineChars="200"/>
        <w:jc w:val="left"/>
        <w:rPr>
          <w:rFonts w:hint="eastAsia" w:ascii="宋体" w:hAnsi="宋体" w:cs="宋体"/>
          <w:color w:val="auto"/>
          <w:kern w:val="0"/>
          <w:szCs w:val="21"/>
          <w:lang w:bidi="ar"/>
        </w:rPr>
      </w:pPr>
      <w:r>
        <w:rPr>
          <w:rFonts w:hint="eastAsia" w:ascii="宋体" w:hAnsi="宋体" w:cs="宋体"/>
          <w:color w:val="auto"/>
          <w:szCs w:val="21"/>
          <w:lang w:bidi="ar"/>
        </w:rPr>
        <w:t>（1）</w:t>
      </w:r>
      <w:r>
        <w:rPr>
          <w:rFonts w:hint="eastAsia" w:ascii="宋体" w:hAnsi="宋体" w:cs="宋体"/>
          <w:color w:val="auto"/>
          <w:kern w:val="0"/>
          <w:szCs w:val="21"/>
          <w:lang w:bidi="ar"/>
        </w:rPr>
        <w:t>投标人基因芯片分析设备应获得CFDA、CE、FDA认证，保证项目实施具备稳定可靠的运行平台。</w:t>
      </w:r>
    </w:p>
    <w:p w14:paraId="6336379D">
      <w:pPr>
        <w:spacing w:line="240" w:lineRule="atLeast"/>
        <w:ind w:left="420" w:leftChars="200"/>
        <w:rPr>
          <w:rFonts w:hint="eastAsia" w:ascii="宋体" w:hAnsi="宋体" w:cs="宋体"/>
          <w:color w:val="auto"/>
          <w:szCs w:val="21"/>
        </w:rPr>
      </w:pPr>
      <w:r>
        <w:rPr>
          <w:rFonts w:hint="eastAsia" w:ascii="宋体" w:hAnsi="宋体" w:cs="宋体"/>
          <w:color w:val="auto"/>
          <w:szCs w:val="21"/>
        </w:rPr>
        <w:t>（2）基因芯片生产合成采用光蚀刻原位合成技术，以保证芯片质量的稳定性。</w:t>
      </w:r>
    </w:p>
    <w:p w14:paraId="0B490AF9">
      <w:p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（3）基因芯片最小包装可1个，单张芯片检测单个样本，避免样本间交叉污染。</w:t>
      </w:r>
    </w:p>
    <w:p w14:paraId="7FD32B1A">
      <w:pPr>
        <w:widowControl/>
        <w:spacing w:line="240" w:lineRule="atLeast"/>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（4）CMA芯片具有拷贝数变异（CNV）和单核苷酸多态性（SNP）两种类型复合探针，探针Marker数量≥260万（其中SNP探针数≥70万）；</w:t>
      </w:r>
    </w:p>
    <w:p w14:paraId="38C72405">
      <w:pPr>
        <w:widowControl/>
        <w:spacing w:line="240" w:lineRule="atLeast"/>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（5）CMA芯片可同时检测小片段CNV、≥20%的嵌合体、杂合性缺失/单亲二体（LOH/UPD）、多倍体等畸变。</w:t>
      </w:r>
    </w:p>
    <w:p w14:paraId="355C6104">
      <w:pPr>
        <w:widowControl/>
        <w:spacing w:line="240" w:lineRule="atLeast"/>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6）提供结合最新拷贝数变异致病性判读指南的遗传学高级生信分析软件，不仅限于CMA芯片平台配套的软件，除用于芯片数据分析外，可实现测序结果和芯片数据的同平台分析比对与管理，以及本地检测数据库的建立，确保检测结果的多平台临床分析和科研拓展应用。</w:t>
      </w:r>
    </w:p>
    <w:p w14:paraId="13DFD963">
      <w:pPr>
        <w:widowControl/>
        <w:spacing w:line="240" w:lineRule="atLeast"/>
        <w:ind w:firstLine="420" w:firstLineChars="200"/>
        <w:jc w:val="left"/>
        <w:rPr>
          <w:rFonts w:hint="eastAsia" w:ascii="宋体" w:hAnsi="宋体" w:cs="宋体"/>
          <w:color w:val="auto"/>
          <w:szCs w:val="21"/>
          <w:lang w:bidi="ar"/>
        </w:rPr>
      </w:pPr>
      <w:r>
        <w:rPr>
          <w:rFonts w:hint="eastAsia" w:ascii="宋体" w:hAnsi="宋体" w:cs="宋体"/>
          <w:color w:val="auto"/>
          <w:kern w:val="0"/>
          <w:szCs w:val="21"/>
          <w:lang w:bidi="ar"/>
        </w:rPr>
        <w:t>（7）具备丰富的产前检测经验，提供检测量证明。</w:t>
      </w:r>
    </w:p>
    <w:p w14:paraId="15C974C5">
      <w:pPr>
        <w:spacing w:line="240" w:lineRule="atLeast"/>
        <w:ind w:firstLine="422" w:firstLineChars="200"/>
        <w:rPr>
          <w:rFonts w:hint="eastAsia" w:ascii="宋体" w:hAnsi="宋体" w:cs="宋体"/>
          <w:b/>
          <w:bCs/>
          <w:color w:val="auto"/>
          <w:szCs w:val="21"/>
          <w:lang w:bidi="ar"/>
        </w:rPr>
      </w:pPr>
      <w:r>
        <w:rPr>
          <w:rFonts w:hint="eastAsia" w:ascii="宋体" w:hAnsi="宋体" w:cs="宋体"/>
          <w:b/>
          <w:bCs/>
          <w:color w:val="auto"/>
          <w:szCs w:val="21"/>
          <w:lang w:bidi="ar"/>
        </w:rPr>
        <w:t>1.5、染色体畸变（CNV）检测（</w:t>
      </w:r>
      <w:r>
        <w:rPr>
          <w:rFonts w:hint="eastAsia" w:ascii="宋体" w:hAnsi="宋体" w:cs="宋体"/>
          <w:color w:val="auto"/>
          <w:szCs w:val="21"/>
          <w:lang w:bidi="ar"/>
        </w:rPr>
        <w:t>100KB/1mb</w:t>
      </w:r>
      <w:r>
        <w:rPr>
          <w:rFonts w:hint="eastAsia" w:ascii="宋体" w:hAnsi="宋体" w:cs="宋体"/>
          <w:b/>
          <w:bCs/>
          <w:color w:val="auto"/>
          <w:szCs w:val="21"/>
          <w:lang w:bidi="ar"/>
        </w:rPr>
        <w:t>）</w:t>
      </w:r>
    </w:p>
    <w:p w14:paraId="01946833">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（1）低分辨率CNV-seq：受检样本构建DNA文库后，采用PE 150测序模式，平均测序深度不少于0.5X，样本质控后reads数不少于10M，可检测1Mb以上微缺失/微重复，提供选择STR搭配，排除母源性污染，并报告三倍体异常。</w:t>
      </w:r>
    </w:p>
    <w:p w14:paraId="5347CCB1">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（2）高分辨率CNV-seq：受检样本构建DNA文库后，采用PE 150测序模式，平均测序深度不少于3X，样本质控后reads数不少于60M，检测100Kb以上微缺失/微重复，大于15%的嵌合性非整倍体，提示大于10Mb的杂合性缺失/单亲二倍体（LOH/UPD），提供选择STR搭配，排除母源性污染，并报告三倍体异常。</w:t>
      </w:r>
    </w:p>
    <w:p w14:paraId="64E1B280">
      <w:pPr>
        <w:widowControl/>
        <w:spacing w:line="240" w:lineRule="atLeast"/>
        <w:ind w:firstLine="420" w:firstLineChars="200"/>
        <w:jc w:val="left"/>
        <w:rPr>
          <w:rFonts w:hint="eastAsia" w:ascii="宋体" w:hAnsi="宋体" w:cs="宋体"/>
          <w:color w:val="auto"/>
          <w:szCs w:val="21"/>
          <w:lang w:bidi="ar"/>
        </w:rPr>
      </w:pPr>
      <w:r>
        <w:rPr>
          <w:rFonts w:hint="eastAsia" w:ascii="宋体" w:hAnsi="宋体" w:cs="宋体"/>
          <w:color w:val="auto"/>
          <w:szCs w:val="21"/>
        </w:rPr>
        <w:t>（3）大于10万例临床遗传病诊断CNV数据库作为注释解读支撑。</w:t>
      </w:r>
    </w:p>
    <w:p w14:paraId="2C6315FE">
      <w:pPr>
        <w:spacing w:line="240" w:lineRule="atLeast"/>
        <w:ind w:firstLine="422" w:firstLineChars="200"/>
        <w:rPr>
          <w:rFonts w:hint="eastAsia" w:ascii="宋体" w:hAnsi="宋体" w:cs="宋体"/>
          <w:b/>
          <w:bCs/>
          <w:color w:val="auto"/>
          <w:szCs w:val="21"/>
          <w:lang w:bidi="ar"/>
        </w:rPr>
      </w:pPr>
      <w:r>
        <w:rPr>
          <w:rFonts w:hint="eastAsia" w:ascii="宋体" w:hAnsi="宋体" w:cs="宋体"/>
          <w:b/>
          <w:bCs/>
          <w:color w:val="auto"/>
          <w:szCs w:val="21"/>
          <w:lang w:bidi="ar"/>
        </w:rPr>
        <w:t>1.6、全外显子组基因检测（</w:t>
      </w:r>
      <w:r>
        <w:rPr>
          <w:rFonts w:hint="eastAsia" w:ascii="宋体" w:hAnsi="宋体" w:cs="宋体"/>
          <w:color w:val="auto"/>
          <w:szCs w:val="21"/>
          <w:lang w:bidi="ar"/>
        </w:rPr>
        <w:t>单先证者/家系</w:t>
      </w:r>
      <w:r>
        <w:rPr>
          <w:rFonts w:hint="eastAsia" w:ascii="宋体" w:hAnsi="宋体" w:cs="宋体"/>
          <w:b/>
          <w:bCs/>
          <w:color w:val="auto"/>
          <w:szCs w:val="21"/>
          <w:lang w:bidi="ar"/>
        </w:rPr>
        <w:t>）</w:t>
      </w:r>
    </w:p>
    <w:p w14:paraId="49AA8FA5">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（1）WES建库所用捕获探针目标区域&gt;40Mb，需要包含致病基因的编码外显子、外显子与内含子临界区域，保证批次间捕获效率一致性。</w:t>
      </w:r>
    </w:p>
    <w:p w14:paraId="34D95FCD">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（2）WES需包含额外设计针对内含子区段、基因非编码序列及基因间序列的探针位点，以提高对内含子致病变异及CNV变异检测灵敏性。</w:t>
      </w:r>
    </w:p>
    <w:p w14:paraId="39FA9DBA">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（3）WES捕获试剂盒探针为DNA双链探针，WES建库试剂盒捕获特异性大于75%。</w:t>
      </w:r>
    </w:p>
    <w:p w14:paraId="58B0EBCB">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（4）WES建库试剂盒可实现对新版本的ACMGv3.1、RefSeq、CCDS、ClinVar、 Ensembl和COSMIC等基因组数据库的优异覆盖。</w:t>
      </w:r>
    </w:p>
    <w:p w14:paraId="33F04B5C">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（5）</w:t>
      </w:r>
      <w:r>
        <w:rPr>
          <w:rFonts w:hint="eastAsia" w:ascii="宋体" w:hAnsi="宋体" w:cs="宋体"/>
          <w:color w:val="auto"/>
          <w:kern w:val="0"/>
          <w:szCs w:val="21"/>
          <w:lang w:bidi="ar"/>
        </w:rPr>
        <w:t>▲</w:t>
      </w:r>
      <w:r>
        <w:rPr>
          <w:rFonts w:hint="eastAsia" w:ascii="宋体" w:hAnsi="宋体" w:cs="宋体"/>
          <w:color w:val="auto"/>
          <w:szCs w:val="21"/>
        </w:rPr>
        <w:t>WES试剂盒捕获区域覆盖Clinvar、HGMD中收录的深度内含子变异位点，涵盖深度内含子位点数目≥100个。</w:t>
      </w:r>
    </w:p>
    <w:p w14:paraId="41E45200">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（6）WES建库试剂盒应具有独立的样本追踪SNP，进行实验流程及测序结果质控。</w:t>
      </w:r>
    </w:p>
    <w:p w14:paraId="0A1D53BE">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（7）采用双末端测序方式（测序长度不低于150bp×2），全外显子平均测序深度≥120X，单个样本的数据量≥10G。</w:t>
      </w:r>
    </w:p>
    <w:p w14:paraId="4F1641AA">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（8）测序结果质量需满足：Q30&gt;85%，目标区测序深度20X以上区域&gt;95%，FOLD80&lt;1.6。</w:t>
      </w:r>
    </w:p>
    <w:p w14:paraId="65753693">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（9）可基于WES检测数据，同时分析SNV、InDel、CNV（片段性、基因及外显子水平CNV，并提供验证结果）、LOH/UPD等与表型相关的病理性变异。</w:t>
      </w:r>
    </w:p>
    <w:p w14:paraId="21E8DA2C">
      <w:pPr>
        <w:widowControl/>
        <w:spacing w:line="240" w:lineRule="atLeast"/>
        <w:ind w:firstLine="420" w:firstLineChars="200"/>
        <w:jc w:val="left"/>
        <w:rPr>
          <w:rFonts w:hint="eastAsia" w:ascii="宋体" w:hAnsi="宋体" w:cs="宋体"/>
          <w:b/>
          <w:bCs/>
          <w:color w:val="auto"/>
          <w:szCs w:val="21"/>
          <w:lang w:bidi="ar"/>
        </w:rPr>
      </w:pPr>
      <w:r>
        <w:rPr>
          <w:rFonts w:hint="eastAsia" w:ascii="宋体" w:hAnsi="宋体" w:cs="宋体"/>
          <w:color w:val="auto"/>
          <w:szCs w:val="21"/>
        </w:rPr>
        <w:t>（10）对于特定样本，可提供全外显子组测序（WES）和染色体芯片（CMA）结果的同平台数据整合比对分析。</w:t>
      </w:r>
    </w:p>
    <w:p w14:paraId="2B43EC5F">
      <w:pPr>
        <w:spacing w:line="240" w:lineRule="atLeast"/>
        <w:ind w:firstLine="422" w:firstLineChars="200"/>
        <w:rPr>
          <w:rFonts w:hint="eastAsia" w:ascii="宋体" w:hAnsi="宋体" w:cs="宋体"/>
          <w:b/>
          <w:bCs/>
          <w:color w:val="auto"/>
          <w:szCs w:val="21"/>
          <w:lang w:bidi="ar"/>
        </w:rPr>
      </w:pPr>
      <w:r>
        <w:rPr>
          <w:rFonts w:hint="eastAsia" w:ascii="宋体" w:hAnsi="宋体" w:cs="宋体"/>
          <w:b/>
          <w:bCs/>
          <w:color w:val="auto"/>
          <w:szCs w:val="21"/>
          <w:lang w:bidi="ar"/>
        </w:rPr>
        <w:t>1.7、遗传代谢病相关基因检测</w:t>
      </w:r>
    </w:p>
    <w:p w14:paraId="5E0AED44">
      <w:pPr>
        <w:numPr>
          <w:ilvl w:val="0"/>
          <w:numId w:val="6"/>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检测内容：遗传代谢病相关基因检测范围基础版应包括至少100个基因（升级版&gt;340个基因），不高于400个基因。</w:t>
      </w:r>
    </w:p>
    <w:p w14:paraId="25791EB5">
      <w:pPr>
        <w:numPr>
          <w:ilvl w:val="0"/>
          <w:numId w:val="6"/>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检测技术：目标序列捕获法联合高通量测序技术。</w:t>
      </w:r>
    </w:p>
    <w:p w14:paraId="174E8302">
      <w:pPr>
        <w:numPr>
          <w:ilvl w:val="0"/>
          <w:numId w:val="6"/>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检测变异类型：检测单核苷酸变异、微小插入/缺失（≤10 bp）、以及目标基因外显子水平的拷贝数变异（CNV)，为临床提供更全面精准的检测服务，需提供相应报告证明。</w:t>
      </w:r>
    </w:p>
    <w:p w14:paraId="78DB839E">
      <w:pPr>
        <w:numPr>
          <w:ilvl w:val="0"/>
          <w:numId w:val="6"/>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为保证数据结果准确性，平均覆盖度≥200×，20×以上覆盖区域≥99.5%，fold80&lt;1.8。</w:t>
      </w:r>
    </w:p>
    <w:p w14:paraId="7722290F">
      <w:pPr>
        <w:numPr>
          <w:ilvl w:val="0"/>
          <w:numId w:val="6"/>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针对报告变异，可提供相应验证服务，包括但不限于SNV位点验证、MLPA验证、qPCR验证验证等。</w:t>
      </w:r>
    </w:p>
    <w:p w14:paraId="63B810EC">
      <w:pPr>
        <w:numPr>
          <w:ilvl w:val="0"/>
          <w:numId w:val="6"/>
        </w:num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可提供完善的遗传代谢病辅助诊断检测方案，提供其他辅助检测服务，包括但不限于遗传代谢病质谱检测、血氨基酸检测，全外显子组测序、全基因组测序、染色体微阵列分析等。</w:t>
      </w:r>
    </w:p>
    <w:p w14:paraId="5E75A243">
      <w:pPr>
        <w:numPr>
          <w:ilvl w:val="0"/>
          <w:numId w:val="6"/>
        </w:numPr>
        <w:spacing w:line="240" w:lineRule="atLeast"/>
        <w:ind w:firstLine="420" w:firstLineChars="200"/>
        <w:rPr>
          <w:rFonts w:hint="eastAsia" w:ascii="宋体" w:hAnsi="宋体" w:cs="宋体"/>
          <w:b/>
          <w:bCs/>
          <w:color w:val="auto"/>
          <w:szCs w:val="21"/>
          <w:lang w:bidi="ar"/>
        </w:rPr>
      </w:pPr>
      <w:r>
        <w:rPr>
          <w:rFonts w:hint="eastAsia" w:ascii="宋体" w:hAnsi="宋体" w:cs="宋体"/>
          <w:color w:val="auto"/>
          <w:szCs w:val="21"/>
        </w:rPr>
        <w:t>检测内容包含数据库收录、文献有报道的深度内含子区域探针设计（外显子±50bp区域），设计位点个数≥50个。</w:t>
      </w:r>
    </w:p>
    <w:p w14:paraId="311B5CD1">
      <w:pPr>
        <w:numPr>
          <w:ilvl w:val="0"/>
          <w:numId w:val="6"/>
        </w:numPr>
        <w:spacing w:line="240" w:lineRule="atLeast"/>
        <w:ind w:firstLine="420" w:firstLineChars="200"/>
        <w:rPr>
          <w:rFonts w:hint="eastAsia" w:ascii="宋体" w:hAnsi="宋体" w:cs="宋体"/>
          <w:b/>
          <w:bCs/>
          <w:color w:val="auto"/>
          <w:szCs w:val="21"/>
          <w:lang w:bidi="ar"/>
        </w:rPr>
      </w:pPr>
      <w:r>
        <w:rPr>
          <w:rFonts w:hint="eastAsia" w:ascii="宋体" w:hAnsi="宋体" w:cs="宋体"/>
          <w:color w:val="auto"/>
          <w:szCs w:val="21"/>
        </w:rPr>
        <w:t>检测范围需包含UTR区域。</w:t>
      </w:r>
    </w:p>
    <w:p w14:paraId="5EB7291E">
      <w:pPr>
        <w:numPr>
          <w:ilvl w:val="0"/>
          <w:numId w:val="6"/>
        </w:numPr>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rPr>
        <w:t>与国内至少3家新筛中心开展合作，提供相应合同。</w:t>
      </w:r>
    </w:p>
    <w:p w14:paraId="2DEDFD3C">
      <w:pPr>
        <w:spacing w:line="240" w:lineRule="atLeast"/>
        <w:rPr>
          <w:rFonts w:hint="eastAsia" w:ascii="宋体" w:hAnsi="宋体" w:cs="宋体"/>
          <w:b/>
          <w:bCs/>
          <w:color w:val="auto"/>
          <w:szCs w:val="21"/>
          <w:lang w:bidi="ar"/>
        </w:rPr>
      </w:pPr>
      <w:r>
        <w:rPr>
          <w:rFonts w:hint="eastAsia" w:ascii="宋体" w:hAnsi="宋体" w:cs="宋体"/>
          <w:b/>
          <w:bCs/>
          <w:color w:val="auto"/>
          <w:szCs w:val="21"/>
          <w:lang w:bidi="ar"/>
        </w:rPr>
        <w:t>1.8、光学基因组图谱检测分析（OGM）</w:t>
      </w:r>
    </w:p>
    <w:p w14:paraId="25F9E5FE">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（1）实验室具有针对外周血、羊水等样本类型的光学基因组图谱检测和分析能力。</w:t>
      </w:r>
    </w:p>
    <w:p w14:paraId="1FED53A1">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（2）可检测三倍体、染色体非整倍体、≥500kb染色体拷贝数变异、≥500bp的纯合子插入和≥700bp的纯合子缺失。</w:t>
      </w:r>
    </w:p>
    <w:p w14:paraId="79ABC339">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（3）可检测≥70kb的易位/倒位和插入等平衡性染色体结构重排，并提示≥25Mb的杂合性的丢失（AOH）以及嵌合体等畸变。</w:t>
      </w:r>
    </w:p>
    <w:p w14:paraId="15E0D861">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4）针对核型结果不明确或提示多条染色体复杂结构重排，可通过OGM明确重排形式，并绘制异常染色体结构重排模式图，提供≥2拷贝重复、臂内倒位、臂间倒位、单条染色体多个断裂点、环状染色体、相互易位、≥3条染色体间复杂重排等异常检测报告作证明材料。</w:t>
      </w:r>
    </w:p>
    <w:p w14:paraId="2D56111C">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（5）可对面肩肱型肌营养不良症（FSHD）患者提供针对性的检测，报告与FSHD1疾病相关的D4Z4重复单元数，以及4q35区域单倍体型，提供≥3份D4Z4重复单元数小于10次的阳性检测报告作证明材料。</w:t>
      </w:r>
    </w:p>
    <w:p w14:paraId="185D8298">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（6）对面肩肱型肌营养不良症（FSHD）产前诊断需求的胎儿提供针对性检测，报告与FSHD1疾病相关的D4Z4重复单元数，以及4q35区域单倍体型，提供产前确诊为FSHD的检测报告作证明材料。</w:t>
      </w:r>
    </w:p>
    <w:p w14:paraId="29F4ECD4">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（7）对于CMA/MLPA提示的DMD基因内部重复，可通过OGM明确CNV重排形式，有助于明确CNV是否破坏DMD基因阅读框，提供≥3份DMD基因内部重复的检测报告作证明材料。</w:t>
      </w:r>
    </w:p>
    <w:p w14:paraId="675B1800">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（8）对于产前CMA提示的DMD基因内部重复的男性胎儿提供针对性检测，明确CNV重复是否破坏DMD基因阅读框，评估胎儿预后（DMD或BMD），提供产前DMD基因内部重复的检测报告作证明材料。</w:t>
      </w:r>
    </w:p>
    <w:p w14:paraId="40D52D22">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（9）针对临床高度怀疑某种遗传病患者，但核型、CMA、WES等均未明确诊断，可通过OGM明确易位、倒位等结构变异破坏关键基因的致病机制，提供结构变异断裂点位于关键基因内部的检测报告作证明材料。</w:t>
      </w:r>
    </w:p>
    <w:p w14:paraId="06BACC70">
      <w:pPr>
        <w:widowControl/>
        <w:spacing w:line="240" w:lineRule="atLeast"/>
        <w:ind w:firstLine="420" w:firstLineChars="200"/>
        <w:jc w:val="left"/>
        <w:rPr>
          <w:rFonts w:hint="eastAsia" w:ascii="宋体" w:hAnsi="宋体" w:cs="宋体"/>
          <w:color w:val="auto"/>
          <w:szCs w:val="21"/>
        </w:rPr>
      </w:pPr>
      <w:r>
        <w:rPr>
          <w:rFonts w:hint="eastAsia" w:ascii="宋体" w:hAnsi="宋体" w:cs="宋体"/>
          <w:color w:val="auto"/>
          <w:szCs w:val="21"/>
        </w:rPr>
        <w:t>（10）对于OGM检测提示的复杂重排案例，可提供高分辨核型分析、特殊显带核型分析、FISH、WGS等多技术平台验证方案。</w:t>
      </w:r>
    </w:p>
    <w:p w14:paraId="5B22B7A5">
      <w:pPr>
        <w:pStyle w:val="4"/>
        <w:spacing w:line="240" w:lineRule="atLeast"/>
        <w:rPr>
          <w:rFonts w:hint="eastAsia" w:ascii="宋体" w:hAnsi="宋体" w:cs="宋体"/>
          <w:b/>
          <w:bCs/>
          <w:color w:val="auto"/>
          <w:szCs w:val="21"/>
          <w:lang w:bidi="ar"/>
        </w:rPr>
      </w:pPr>
    </w:p>
    <w:p w14:paraId="02FFC067">
      <w:pPr>
        <w:pStyle w:val="4"/>
        <w:spacing w:line="240" w:lineRule="atLeast"/>
        <w:rPr>
          <w:rFonts w:hint="eastAsia" w:ascii="宋体" w:hAnsi="宋体" w:cs="宋体"/>
          <w:b/>
          <w:bCs/>
          <w:color w:val="auto"/>
          <w:szCs w:val="21"/>
          <w:lang w:bidi="ar"/>
        </w:rPr>
      </w:pPr>
      <w:r>
        <w:rPr>
          <w:rFonts w:hint="eastAsia" w:ascii="宋体" w:hAnsi="宋体" w:cs="宋体"/>
          <w:b/>
          <w:bCs/>
          <w:color w:val="auto"/>
          <w:szCs w:val="21"/>
          <w:lang w:bidi="ar"/>
        </w:rPr>
        <w:t>1.9、全基因组测序（WGS）</w:t>
      </w:r>
    </w:p>
    <w:p w14:paraId="497D5BE4">
      <w:pPr>
        <w:spacing w:line="240" w:lineRule="atLeast"/>
        <w:rPr>
          <w:rFonts w:hint="eastAsia" w:ascii="宋体" w:hAnsi="宋体" w:cs="宋体"/>
          <w:color w:val="auto"/>
          <w:szCs w:val="21"/>
        </w:rPr>
      </w:pPr>
      <w:r>
        <w:rPr>
          <w:rFonts w:hint="eastAsia" w:ascii="宋体" w:hAnsi="宋体" w:cs="宋体"/>
          <w:color w:val="auto"/>
          <w:szCs w:val="21"/>
        </w:rPr>
        <w:t>（1） 项目可接收外周血、组织、羊水、脐血等多种样本类型，受检样本提取DNA后，采用超声方式进行随机打断处理。</w:t>
      </w:r>
    </w:p>
    <w:p w14:paraId="7ACE1078">
      <w:pPr>
        <w:spacing w:line="240" w:lineRule="atLeast"/>
        <w:rPr>
          <w:rFonts w:hint="eastAsia" w:ascii="宋体" w:hAnsi="宋体" w:cs="宋体"/>
          <w:color w:val="auto"/>
          <w:szCs w:val="21"/>
        </w:rPr>
      </w:pPr>
      <w:r>
        <w:rPr>
          <w:rFonts w:hint="eastAsia" w:ascii="宋体" w:hAnsi="宋体" w:cs="宋体"/>
          <w:color w:val="auto"/>
          <w:szCs w:val="21"/>
        </w:rPr>
        <w:t>（2） 采用PCR-free建库方式，建库试剂无需PCR扩增操作步骤，文库纯化后即可直接定量上机测序，以减少扩增偏倚。</w:t>
      </w:r>
    </w:p>
    <w:p w14:paraId="18356BD4">
      <w:pPr>
        <w:spacing w:line="240" w:lineRule="atLeast"/>
        <w:rPr>
          <w:rFonts w:hint="eastAsia" w:ascii="宋体" w:hAnsi="宋体" w:cs="宋体"/>
          <w:color w:val="auto"/>
          <w:szCs w:val="21"/>
        </w:rPr>
      </w:pPr>
      <w:r>
        <w:rPr>
          <w:rFonts w:hint="eastAsia" w:ascii="宋体" w:hAnsi="宋体" w:cs="宋体"/>
          <w:color w:val="auto"/>
          <w:szCs w:val="21"/>
        </w:rPr>
        <w:t>（3）受检样本DNA文库采用双端150bp测序模式（PE150），平均测序深度≥30×，单样本测序数据量≥90G。</w:t>
      </w:r>
    </w:p>
    <w:p w14:paraId="5C96B7CA">
      <w:pPr>
        <w:spacing w:line="240" w:lineRule="atLeast"/>
        <w:rPr>
          <w:rFonts w:hint="eastAsia" w:ascii="宋体" w:hAnsi="宋体" w:cs="宋体"/>
          <w:color w:val="auto"/>
          <w:szCs w:val="21"/>
        </w:rPr>
      </w:pPr>
      <w:r>
        <w:rPr>
          <w:rFonts w:hint="eastAsia" w:ascii="宋体" w:hAnsi="宋体" w:cs="宋体"/>
          <w:color w:val="auto"/>
          <w:szCs w:val="21"/>
        </w:rPr>
        <w:t>（4） 可在全基因组层面上分析非整倍体、≥5Kb CNV、ROH/UPD、外显子和内含子区域SNV/Indel、线粒体基因变异等。</w:t>
      </w:r>
    </w:p>
    <w:p w14:paraId="1BDD31B4">
      <w:pPr>
        <w:spacing w:line="240" w:lineRule="atLeast"/>
        <w:rPr>
          <w:rFonts w:hint="eastAsia" w:ascii="宋体" w:hAnsi="宋体" w:cs="宋体"/>
          <w:color w:val="auto"/>
          <w:szCs w:val="21"/>
        </w:rPr>
      </w:pPr>
      <w:r>
        <w:rPr>
          <w:rFonts w:hint="eastAsia" w:ascii="宋体" w:hAnsi="宋体" w:cs="宋体"/>
          <w:color w:val="auto"/>
          <w:szCs w:val="21"/>
        </w:rPr>
        <w:t>（5）基于WGS检测数据，可提示外显子级别CNV、部分短串联重复、部分结构变异（SV)等。</w:t>
      </w:r>
    </w:p>
    <w:p w14:paraId="5478CF32">
      <w:pPr>
        <w:spacing w:line="240" w:lineRule="atLeast"/>
        <w:rPr>
          <w:rFonts w:hint="eastAsia" w:ascii="宋体" w:hAnsi="宋体" w:cs="宋体"/>
          <w:color w:val="auto"/>
          <w:szCs w:val="21"/>
        </w:rPr>
      </w:pPr>
      <w:r>
        <w:rPr>
          <w:rFonts w:hint="eastAsia" w:ascii="宋体" w:hAnsi="宋体" w:cs="宋体"/>
          <w:color w:val="auto"/>
          <w:szCs w:val="21"/>
        </w:rPr>
        <w:t>（6） 对于WGS检测结果，可基于ACMG、ClinGen等国际医学权威机构发布的CNV、SNV/indel病理性判读指南进行智能生信判读和报告撰写。</w:t>
      </w:r>
    </w:p>
    <w:p w14:paraId="0784DAE0">
      <w:pPr>
        <w:spacing w:line="240" w:lineRule="atLeast"/>
        <w:rPr>
          <w:rFonts w:hint="eastAsia" w:ascii="宋体" w:hAnsi="宋体" w:cs="宋体"/>
          <w:color w:val="auto"/>
          <w:szCs w:val="21"/>
        </w:rPr>
      </w:pPr>
      <w:r>
        <w:rPr>
          <w:rFonts w:hint="eastAsia" w:ascii="宋体" w:hAnsi="宋体" w:cs="宋体"/>
          <w:color w:val="auto"/>
          <w:szCs w:val="21"/>
        </w:rPr>
        <w:t>（7）对于特殊疑难家系样本，可提供最快10个自然日的检测服务，常规样本30自然日。</w:t>
      </w:r>
    </w:p>
    <w:p w14:paraId="76EB2076">
      <w:pPr>
        <w:spacing w:line="240" w:lineRule="atLeast"/>
        <w:rPr>
          <w:rFonts w:hint="eastAsia" w:ascii="宋体" w:hAnsi="宋体" w:cs="宋体"/>
          <w:color w:val="auto"/>
          <w:szCs w:val="21"/>
        </w:rPr>
      </w:pPr>
      <w:r>
        <w:rPr>
          <w:rFonts w:hint="eastAsia" w:ascii="宋体" w:hAnsi="宋体" w:cs="宋体"/>
          <w:color w:val="auto"/>
          <w:szCs w:val="21"/>
        </w:rPr>
        <w:t>（8）对于WGS检出和提示的复杂基因组变异，可提供高分辨核型分析（≥550条带）、特殊显带、FISH、BAC探针、QF-PCR、Sanger、OGM等可能的验证兜底服务, 提供真实的病例验证报告，以及这些检测项目主设备采购证明材料及实验室设备的照片。</w:t>
      </w:r>
    </w:p>
    <w:p w14:paraId="771E8F86">
      <w:pPr>
        <w:spacing w:line="240" w:lineRule="atLeast"/>
        <w:rPr>
          <w:rFonts w:hint="eastAsia" w:ascii="宋体" w:hAnsi="宋体" w:cs="宋体"/>
          <w:b/>
          <w:bCs/>
          <w:color w:val="auto"/>
          <w:szCs w:val="21"/>
          <w:lang w:bidi="ar"/>
        </w:rPr>
      </w:pPr>
      <w:r>
        <w:rPr>
          <w:rFonts w:hint="eastAsia" w:ascii="宋体" w:hAnsi="宋体" w:cs="宋体"/>
          <w:b/>
          <w:bCs/>
          <w:color w:val="auto"/>
          <w:szCs w:val="21"/>
          <w:lang w:bidi="ar"/>
        </w:rPr>
        <w:t>2.0、地贫全谱检测</w:t>
      </w:r>
    </w:p>
    <w:p w14:paraId="53BA83F1">
      <w:pPr>
        <w:widowControl/>
        <w:numPr>
          <w:ilvl w:val="0"/>
          <w:numId w:val="7"/>
        </w:numPr>
        <w:spacing w:line="240" w:lineRule="atLeast"/>
        <w:rPr>
          <w:rFonts w:hint="eastAsia" w:ascii="宋体" w:hAnsi="宋体" w:cs="宋体"/>
          <w:color w:val="auto"/>
          <w:szCs w:val="21"/>
        </w:rPr>
      </w:pPr>
      <w:r>
        <w:rPr>
          <w:rFonts w:hint="eastAsia" w:ascii="宋体" w:hAnsi="宋体" w:cs="宋体"/>
          <w:color w:val="auto"/>
          <w:szCs w:val="21"/>
        </w:rPr>
        <w:t>采用长程PCR+三代测序检测方法；</w:t>
      </w:r>
    </w:p>
    <w:p w14:paraId="6B2F61C7">
      <w:pPr>
        <w:widowControl/>
        <w:numPr>
          <w:ilvl w:val="0"/>
          <w:numId w:val="7"/>
        </w:numPr>
        <w:spacing w:line="240" w:lineRule="atLeast"/>
        <w:rPr>
          <w:rFonts w:hint="eastAsia" w:ascii="宋体" w:hAnsi="宋体" w:cs="宋体"/>
          <w:color w:val="auto"/>
          <w:szCs w:val="21"/>
        </w:rPr>
      </w:pPr>
      <w:r>
        <w:rPr>
          <w:rFonts w:hint="eastAsia" w:ascii="宋体" w:hAnsi="宋体" w:cs="宋体"/>
          <w:color w:val="auto"/>
          <w:szCs w:val="21"/>
        </w:rPr>
        <w:t>性能指标：</w:t>
      </w:r>
    </w:p>
    <w:p w14:paraId="50BF6169">
      <w:pPr>
        <w:spacing w:line="360" w:lineRule="auto"/>
        <w:rPr>
          <w:rFonts w:hint="eastAsia" w:ascii="宋体" w:hAnsi="宋体" w:cs="宋体"/>
          <w:color w:val="auto"/>
          <w:szCs w:val="21"/>
        </w:rPr>
      </w:pPr>
      <w:r>
        <w:rPr>
          <w:rFonts w:hint="eastAsia" w:ascii="宋体" w:hAnsi="宋体" w:cs="宋体"/>
          <w:color w:val="auto"/>
          <w:szCs w:val="21"/>
        </w:rPr>
        <w:t>1）富集效率: 有效数据占比 60%-70%</w:t>
      </w:r>
    </w:p>
    <w:p w14:paraId="23539FE0">
      <w:pPr>
        <w:spacing w:line="360" w:lineRule="auto"/>
        <w:rPr>
          <w:rFonts w:hint="eastAsia" w:ascii="宋体" w:hAnsi="宋体" w:cs="宋体"/>
          <w:color w:val="auto"/>
          <w:szCs w:val="21"/>
        </w:rPr>
      </w:pPr>
      <w:r>
        <w:rPr>
          <w:rFonts w:hint="eastAsia" w:ascii="宋体" w:hAnsi="宋体" w:cs="宋体"/>
          <w:color w:val="auto"/>
          <w:szCs w:val="21"/>
        </w:rPr>
        <w:t>2）富集特异性：目标区域数据占比60%-70%</w:t>
      </w:r>
    </w:p>
    <w:p w14:paraId="0E465CE1">
      <w:pPr>
        <w:spacing w:line="360" w:lineRule="auto"/>
        <w:rPr>
          <w:rFonts w:hint="eastAsia" w:ascii="宋体" w:hAnsi="宋体" w:cs="宋体"/>
          <w:color w:val="auto"/>
          <w:szCs w:val="21"/>
        </w:rPr>
      </w:pPr>
      <w:r>
        <w:rPr>
          <w:rFonts w:hint="eastAsia" w:ascii="宋体" w:hAnsi="宋体" w:cs="宋体"/>
          <w:color w:val="auto"/>
          <w:szCs w:val="21"/>
        </w:rPr>
        <w:t>3）平均读长：4~5 kb</w:t>
      </w:r>
    </w:p>
    <w:p w14:paraId="4E155014">
      <w:pPr>
        <w:spacing w:line="360" w:lineRule="auto"/>
        <w:rPr>
          <w:rFonts w:hint="eastAsia" w:ascii="宋体" w:hAnsi="宋体" w:cs="宋体"/>
          <w:color w:val="auto"/>
          <w:szCs w:val="21"/>
        </w:rPr>
      </w:pPr>
      <w:r>
        <w:rPr>
          <w:rFonts w:hint="eastAsia" w:ascii="宋体" w:hAnsi="宋体" w:cs="宋体"/>
          <w:color w:val="auto"/>
          <w:szCs w:val="21"/>
        </w:rPr>
        <w:t>4）目标区域1×覆盖度：≥97.50%</w:t>
      </w:r>
    </w:p>
    <w:p w14:paraId="3743925B">
      <w:pPr>
        <w:spacing w:line="360" w:lineRule="auto"/>
        <w:rPr>
          <w:rFonts w:hint="eastAsia" w:ascii="宋体" w:hAnsi="宋体" w:cs="宋体"/>
          <w:color w:val="auto"/>
          <w:szCs w:val="21"/>
        </w:rPr>
      </w:pPr>
      <w:r>
        <w:rPr>
          <w:rFonts w:hint="eastAsia" w:ascii="宋体" w:hAnsi="宋体" w:cs="宋体"/>
          <w:color w:val="auto"/>
          <w:szCs w:val="21"/>
        </w:rPr>
        <w:t>5）目标区域平均测序深度：≥1000×</w:t>
      </w:r>
    </w:p>
    <w:p w14:paraId="39B0F67B">
      <w:pPr>
        <w:spacing w:line="360" w:lineRule="auto"/>
        <w:rPr>
          <w:rFonts w:hint="eastAsia" w:ascii="宋体" w:hAnsi="宋体" w:cs="宋体"/>
          <w:color w:val="auto"/>
          <w:szCs w:val="21"/>
        </w:rPr>
      </w:pPr>
      <w:r>
        <w:rPr>
          <w:rFonts w:hint="eastAsia" w:ascii="宋体" w:hAnsi="宋体" w:cs="宋体"/>
          <w:color w:val="auto"/>
          <w:szCs w:val="21"/>
        </w:rPr>
        <w:t>6）碱基准确度：Q20，≥98%；Q33，≥97%</w:t>
      </w:r>
    </w:p>
    <w:p w14:paraId="63CB321B">
      <w:pPr>
        <w:widowControl/>
        <w:numPr>
          <w:ilvl w:val="0"/>
          <w:numId w:val="7"/>
        </w:numPr>
        <w:spacing w:line="240" w:lineRule="atLeast"/>
        <w:rPr>
          <w:rFonts w:hint="eastAsia" w:ascii="宋体" w:hAnsi="宋体" w:cs="宋体"/>
          <w:color w:val="auto"/>
          <w:szCs w:val="21"/>
        </w:rPr>
      </w:pPr>
      <w:r>
        <w:rPr>
          <w:rFonts w:hint="eastAsia" w:ascii="宋体" w:hAnsi="宋体" w:cs="宋体"/>
          <w:color w:val="auto"/>
          <w:szCs w:val="21"/>
        </w:rPr>
        <w:t>检测/报告范围</w:t>
      </w:r>
    </w:p>
    <w:p w14:paraId="4F879220">
      <w:pPr>
        <w:spacing w:line="360" w:lineRule="auto"/>
        <w:rPr>
          <w:rFonts w:hint="eastAsia" w:ascii="宋体" w:hAnsi="宋体" w:cs="宋体"/>
          <w:color w:val="auto"/>
          <w:szCs w:val="21"/>
        </w:rPr>
      </w:pPr>
      <w:r>
        <w:rPr>
          <w:rFonts w:hint="eastAsia" w:ascii="宋体" w:hAnsi="宋体" w:cs="宋体"/>
          <w:color w:val="auto"/>
          <w:szCs w:val="21"/>
        </w:rPr>
        <w:t>1）目标基因变异: 对地中海贫血相关基因（</w:t>
      </w:r>
      <w:r>
        <w:rPr>
          <w:rFonts w:hint="eastAsia" w:ascii="宋体" w:hAnsi="宋体" w:cs="宋体"/>
          <w:i/>
          <w:iCs/>
          <w:color w:val="auto"/>
          <w:szCs w:val="21"/>
        </w:rPr>
        <w:t>HBB、HBA1/2</w:t>
      </w:r>
      <w:r>
        <w:rPr>
          <w:rFonts w:hint="eastAsia" w:ascii="宋体" w:hAnsi="宋体" w:cs="宋体"/>
          <w:color w:val="auto"/>
          <w:szCs w:val="21"/>
        </w:rPr>
        <w:t>）全长序列内的点变异(SNV/InDel)和结构变异(CNV/SV)进行全面检测与报告，明确变异断裂点。</w:t>
      </w:r>
    </w:p>
    <w:p w14:paraId="59D7BD4B">
      <w:pPr>
        <w:spacing w:line="360" w:lineRule="auto"/>
        <w:rPr>
          <w:rFonts w:hint="eastAsia" w:ascii="宋体" w:hAnsi="宋体" w:cs="宋体"/>
          <w:color w:val="auto"/>
          <w:szCs w:val="21"/>
        </w:rPr>
      </w:pPr>
      <w:r>
        <w:rPr>
          <w:rFonts w:hint="eastAsia" w:ascii="宋体" w:hAnsi="宋体" w:cs="宋体"/>
          <w:color w:val="auto"/>
          <w:szCs w:val="21"/>
        </w:rPr>
        <w:t>2）特殊区域检测: 可跨越高GC/重复区域，有效排除高度同源序列及假基因的干扰。</w:t>
      </w:r>
    </w:p>
    <w:p w14:paraId="01A790F3">
      <w:pPr>
        <w:spacing w:line="360" w:lineRule="auto"/>
        <w:rPr>
          <w:rFonts w:hint="eastAsia" w:ascii="宋体" w:hAnsi="宋体" w:cs="宋体"/>
          <w:color w:val="auto"/>
          <w:szCs w:val="21"/>
        </w:rPr>
      </w:pPr>
      <w:r>
        <w:rPr>
          <w:rFonts w:hint="eastAsia" w:ascii="宋体" w:hAnsi="宋体" w:cs="宋体"/>
          <w:color w:val="auto"/>
          <w:szCs w:val="21"/>
        </w:rPr>
        <w:t>3）剪接变异: 支持经典及隐蔽剪接位点变异的识别。</w:t>
      </w:r>
    </w:p>
    <w:p w14:paraId="7B3173CD">
      <w:pPr>
        <w:spacing w:line="360" w:lineRule="auto"/>
        <w:rPr>
          <w:rFonts w:hint="eastAsia" w:ascii="宋体" w:hAnsi="宋体" w:cs="宋体"/>
          <w:color w:val="auto"/>
          <w:szCs w:val="21"/>
        </w:rPr>
      </w:pPr>
      <w:r>
        <w:rPr>
          <w:rFonts w:hint="eastAsia" w:ascii="宋体" w:hAnsi="宋体" w:cs="宋体"/>
          <w:color w:val="auto"/>
          <w:szCs w:val="21"/>
        </w:rPr>
        <w:t>4）单体型分析: 提供单体型分析结果。</w:t>
      </w:r>
    </w:p>
    <w:p w14:paraId="2AC1B202">
      <w:pPr>
        <w:widowControl/>
        <w:spacing w:line="240" w:lineRule="atLeast"/>
        <w:rPr>
          <w:rFonts w:hint="eastAsia" w:ascii="宋体" w:hAnsi="宋体" w:cs="宋体"/>
          <w:b/>
          <w:bCs/>
          <w:color w:val="auto"/>
          <w:szCs w:val="21"/>
          <w:lang w:bidi="ar"/>
        </w:rPr>
      </w:pPr>
      <w:r>
        <w:rPr>
          <w:rFonts w:hint="eastAsia" w:ascii="宋体" w:hAnsi="宋体" w:cs="宋体"/>
          <w:b/>
          <w:bCs/>
          <w:color w:val="auto"/>
          <w:szCs w:val="21"/>
          <w:lang w:bidi="ar"/>
        </w:rPr>
        <w:t>2.1、多囊肾及常见遗传性肾病39基因检测</w:t>
      </w:r>
    </w:p>
    <w:p w14:paraId="2DEC65C0">
      <w:pPr>
        <w:widowControl/>
        <w:spacing w:line="240" w:lineRule="atLeast"/>
        <w:rPr>
          <w:rFonts w:hint="eastAsia" w:ascii="宋体" w:hAnsi="宋体" w:cs="宋体"/>
          <w:color w:val="auto"/>
          <w:szCs w:val="21"/>
        </w:rPr>
      </w:pPr>
      <w:r>
        <w:rPr>
          <w:rFonts w:hint="eastAsia" w:ascii="宋体" w:hAnsi="宋体" w:cs="宋体"/>
          <w:color w:val="auto"/>
          <w:szCs w:val="21"/>
        </w:rPr>
        <w:t>（1）采用目标区域捕获+三代测序检测方法；</w:t>
      </w:r>
    </w:p>
    <w:p w14:paraId="22DFF46E">
      <w:pPr>
        <w:widowControl/>
        <w:spacing w:line="240" w:lineRule="atLeast"/>
        <w:rPr>
          <w:rFonts w:hint="eastAsia" w:ascii="宋体" w:hAnsi="宋体" w:cs="宋体"/>
          <w:color w:val="auto"/>
          <w:szCs w:val="21"/>
        </w:rPr>
      </w:pPr>
      <w:r>
        <w:rPr>
          <w:rFonts w:hint="eastAsia" w:ascii="宋体" w:hAnsi="宋体" w:cs="宋体"/>
          <w:color w:val="auto"/>
          <w:szCs w:val="21"/>
        </w:rPr>
        <w:t>（2）性能指标：</w:t>
      </w:r>
    </w:p>
    <w:p w14:paraId="2CF5F11D">
      <w:pPr>
        <w:widowControl/>
        <w:spacing w:line="240" w:lineRule="atLeast"/>
        <w:rPr>
          <w:rFonts w:hint="eastAsia" w:ascii="宋体" w:hAnsi="宋体" w:cs="宋体"/>
          <w:color w:val="auto"/>
          <w:szCs w:val="21"/>
        </w:rPr>
      </w:pPr>
      <w:r>
        <w:rPr>
          <w:rFonts w:hint="eastAsia" w:ascii="宋体" w:hAnsi="宋体" w:cs="宋体"/>
          <w:color w:val="auto"/>
          <w:szCs w:val="21"/>
        </w:rPr>
        <w:t>1）富集效率: 有效数据占比 45%-55%</w:t>
      </w:r>
    </w:p>
    <w:p w14:paraId="48F6FB86">
      <w:pPr>
        <w:spacing w:line="360" w:lineRule="auto"/>
        <w:rPr>
          <w:rFonts w:hint="eastAsia" w:ascii="宋体" w:hAnsi="宋体" w:cs="宋体"/>
          <w:color w:val="auto"/>
          <w:szCs w:val="21"/>
        </w:rPr>
      </w:pPr>
      <w:r>
        <w:rPr>
          <w:rFonts w:hint="eastAsia" w:ascii="宋体" w:hAnsi="宋体" w:cs="宋体"/>
          <w:color w:val="auto"/>
          <w:szCs w:val="21"/>
        </w:rPr>
        <w:t>2）富集特异性：目标区域数据占比45%-55%</w:t>
      </w:r>
    </w:p>
    <w:p w14:paraId="21D21135">
      <w:pPr>
        <w:spacing w:line="360" w:lineRule="auto"/>
        <w:rPr>
          <w:rFonts w:hint="eastAsia" w:ascii="宋体" w:hAnsi="宋体" w:cs="宋体"/>
          <w:color w:val="auto"/>
          <w:szCs w:val="21"/>
        </w:rPr>
      </w:pPr>
      <w:r>
        <w:rPr>
          <w:rFonts w:hint="eastAsia" w:ascii="宋体" w:hAnsi="宋体" w:cs="宋体"/>
          <w:color w:val="auto"/>
          <w:szCs w:val="21"/>
        </w:rPr>
        <w:t>3）平均读长：3~5 kb</w:t>
      </w:r>
    </w:p>
    <w:p w14:paraId="47367CFA">
      <w:pPr>
        <w:spacing w:line="360" w:lineRule="auto"/>
        <w:rPr>
          <w:rFonts w:hint="eastAsia" w:ascii="宋体" w:hAnsi="宋体" w:cs="宋体"/>
          <w:color w:val="auto"/>
          <w:szCs w:val="21"/>
        </w:rPr>
      </w:pPr>
      <w:r>
        <w:rPr>
          <w:rFonts w:hint="eastAsia" w:ascii="宋体" w:hAnsi="宋体" w:cs="宋体"/>
          <w:color w:val="auto"/>
          <w:szCs w:val="21"/>
        </w:rPr>
        <w:t>4）目标区域1×覆盖度：≥99.85%</w:t>
      </w:r>
    </w:p>
    <w:p w14:paraId="2B5FD2B8">
      <w:pPr>
        <w:spacing w:line="360" w:lineRule="auto"/>
        <w:rPr>
          <w:rFonts w:hint="eastAsia" w:ascii="宋体" w:hAnsi="宋体" w:cs="宋体"/>
          <w:color w:val="auto"/>
          <w:szCs w:val="21"/>
        </w:rPr>
      </w:pPr>
      <w:r>
        <w:rPr>
          <w:rFonts w:hint="eastAsia" w:ascii="宋体" w:hAnsi="宋体" w:cs="宋体"/>
          <w:color w:val="auto"/>
          <w:szCs w:val="21"/>
        </w:rPr>
        <w:t>5）目标区域平均测序深度：≥50×</w:t>
      </w:r>
    </w:p>
    <w:p w14:paraId="79EBA17F">
      <w:pPr>
        <w:spacing w:line="360" w:lineRule="auto"/>
        <w:rPr>
          <w:rFonts w:hint="eastAsia" w:ascii="宋体" w:hAnsi="宋体" w:cs="宋体"/>
          <w:color w:val="auto"/>
          <w:szCs w:val="21"/>
        </w:rPr>
      </w:pPr>
      <w:r>
        <w:rPr>
          <w:rFonts w:hint="eastAsia" w:ascii="宋体" w:hAnsi="宋体" w:cs="宋体"/>
          <w:color w:val="auto"/>
          <w:szCs w:val="21"/>
        </w:rPr>
        <w:t>6）碱基准确度：Q20，≥99%；Q33，≥98%</w:t>
      </w:r>
    </w:p>
    <w:p w14:paraId="5A9526CD">
      <w:pPr>
        <w:widowControl/>
        <w:spacing w:line="240" w:lineRule="atLeast"/>
        <w:rPr>
          <w:rFonts w:hint="eastAsia" w:ascii="宋体" w:hAnsi="宋体" w:cs="宋体"/>
          <w:color w:val="auto"/>
          <w:szCs w:val="21"/>
        </w:rPr>
      </w:pPr>
      <w:r>
        <w:rPr>
          <w:rFonts w:hint="eastAsia" w:ascii="宋体" w:hAnsi="宋体" w:cs="宋体"/>
          <w:color w:val="auto"/>
          <w:szCs w:val="21"/>
        </w:rPr>
        <w:t>（3）检测/报告范围</w:t>
      </w:r>
    </w:p>
    <w:p w14:paraId="1D41D8B8">
      <w:pPr>
        <w:spacing w:line="360" w:lineRule="auto"/>
        <w:rPr>
          <w:rFonts w:hint="eastAsia" w:ascii="宋体" w:hAnsi="宋体" w:cs="宋体"/>
          <w:color w:val="auto"/>
          <w:szCs w:val="21"/>
        </w:rPr>
      </w:pPr>
      <w:r>
        <w:rPr>
          <w:rFonts w:hint="eastAsia" w:ascii="宋体" w:hAnsi="宋体" w:cs="宋体"/>
          <w:color w:val="auto"/>
          <w:szCs w:val="21"/>
        </w:rPr>
        <w:t>1）目标基因变异: 对多囊肾病、Alport综合征等相关的39个核心基因，一次性检测并报告点变异(含深度内含子变异)、缺失、插入、倒位、易位等变异。</w:t>
      </w:r>
    </w:p>
    <w:p w14:paraId="75D91C2D">
      <w:pPr>
        <w:spacing w:line="360" w:lineRule="auto"/>
        <w:rPr>
          <w:rFonts w:hint="eastAsia" w:ascii="宋体" w:hAnsi="宋体" w:cs="宋体"/>
          <w:color w:val="auto"/>
          <w:szCs w:val="21"/>
        </w:rPr>
      </w:pPr>
      <w:r>
        <w:rPr>
          <w:rFonts w:hint="eastAsia" w:ascii="宋体" w:hAnsi="宋体" w:cs="宋体"/>
          <w:color w:val="auto"/>
          <w:szCs w:val="21"/>
        </w:rPr>
        <w:t>2）特殊区域检测: 可跨越高GC/重复区域，排除高度同源序列及假基因干扰，明确基因融合类型。</w:t>
      </w:r>
    </w:p>
    <w:p w14:paraId="1D9EAC1E">
      <w:pPr>
        <w:spacing w:line="360" w:lineRule="auto"/>
        <w:rPr>
          <w:rFonts w:hint="eastAsia" w:ascii="宋体" w:hAnsi="宋体" w:cs="宋体"/>
          <w:color w:val="auto"/>
          <w:szCs w:val="21"/>
        </w:rPr>
      </w:pPr>
      <w:r>
        <w:rPr>
          <w:rFonts w:hint="eastAsia" w:ascii="宋体" w:hAnsi="宋体" w:cs="宋体"/>
          <w:color w:val="auto"/>
          <w:szCs w:val="21"/>
        </w:rPr>
        <w:t>3）剪接变异: 支持经典及隐蔽剪接位点变异的识别。</w:t>
      </w:r>
    </w:p>
    <w:p w14:paraId="1AB8D02C">
      <w:pPr>
        <w:spacing w:line="360" w:lineRule="auto"/>
        <w:rPr>
          <w:rFonts w:hint="eastAsia" w:ascii="宋体" w:hAnsi="宋体" w:cs="宋体"/>
          <w:color w:val="auto"/>
          <w:szCs w:val="21"/>
        </w:rPr>
      </w:pPr>
      <w:r>
        <w:rPr>
          <w:rFonts w:hint="eastAsia" w:ascii="宋体" w:hAnsi="宋体" w:cs="宋体"/>
          <w:color w:val="auto"/>
          <w:szCs w:val="21"/>
        </w:rPr>
        <w:t>4）单体型与相位分析: 提供单体型分析，可明确复合杂合突变中两个变异的顺式/反式构型（无需额外家系验证）。</w:t>
      </w:r>
    </w:p>
    <w:p w14:paraId="3DB4B065">
      <w:pPr>
        <w:widowControl/>
        <w:spacing w:line="240" w:lineRule="atLeast"/>
        <w:rPr>
          <w:rFonts w:hint="eastAsia" w:ascii="宋体" w:hAnsi="宋体" w:cs="宋体"/>
          <w:b/>
          <w:bCs/>
          <w:color w:val="auto"/>
          <w:szCs w:val="21"/>
          <w:lang w:bidi="ar"/>
        </w:rPr>
      </w:pPr>
      <w:r>
        <w:rPr>
          <w:rFonts w:hint="eastAsia" w:ascii="宋体" w:hAnsi="宋体" w:cs="宋体"/>
          <w:b/>
          <w:bCs/>
          <w:color w:val="auto"/>
          <w:szCs w:val="21"/>
          <w:lang w:bidi="ar"/>
        </w:rPr>
        <w:t>2.2、21羟化酶缺乏症（CYP21A2）基因检测</w:t>
      </w:r>
    </w:p>
    <w:p w14:paraId="588E4662">
      <w:pPr>
        <w:spacing w:line="360" w:lineRule="auto"/>
        <w:rPr>
          <w:rFonts w:hint="eastAsia" w:ascii="宋体" w:hAnsi="宋体" w:cs="宋体"/>
          <w:color w:val="auto"/>
          <w:szCs w:val="21"/>
        </w:rPr>
      </w:pPr>
      <w:r>
        <w:rPr>
          <w:rFonts w:hint="eastAsia" w:ascii="宋体" w:hAnsi="宋体" w:cs="宋体"/>
          <w:color w:val="auto"/>
          <w:szCs w:val="21"/>
        </w:rPr>
        <w:t>（1）采用长程PCR+三代测序检测方法；</w:t>
      </w:r>
    </w:p>
    <w:p w14:paraId="07E249BE">
      <w:pPr>
        <w:spacing w:line="360" w:lineRule="auto"/>
        <w:rPr>
          <w:rFonts w:hint="eastAsia" w:ascii="宋体" w:hAnsi="宋体" w:cs="宋体"/>
          <w:color w:val="auto"/>
          <w:szCs w:val="21"/>
        </w:rPr>
      </w:pPr>
      <w:r>
        <w:rPr>
          <w:rFonts w:hint="eastAsia" w:ascii="宋体" w:hAnsi="宋体" w:cs="宋体"/>
          <w:color w:val="auto"/>
          <w:szCs w:val="21"/>
        </w:rPr>
        <w:t>（2）性能指标：</w:t>
      </w:r>
    </w:p>
    <w:p w14:paraId="02EFAF31">
      <w:pPr>
        <w:spacing w:line="360" w:lineRule="auto"/>
        <w:rPr>
          <w:rFonts w:hint="eastAsia" w:ascii="宋体" w:hAnsi="宋体" w:cs="宋体"/>
          <w:color w:val="auto"/>
          <w:szCs w:val="21"/>
        </w:rPr>
      </w:pPr>
      <w:r>
        <w:rPr>
          <w:rFonts w:hint="eastAsia" w:ascii="宋体" w:hAnsi="宋体" w:cs="宋体"/>
          <w:color w:val="auto"/>
          <w:szCs w:val="21"/>
        </w:rPr>
        <w:t>1）富集效率: 有效数据占比 60%-70%</w:t>
      </w:r>
    </w:p>
    <w:p w14:paraId="3A07FE00">
      <w:pPr>
        <w:spacing w:line="360" w:lineRule="auto"/>
        <w:rPr>
          <w:rFonts w:hint="eastAsia" w:ascii="宋体" w:hAnsi="宋体" w:cs="宋体"/>
          <w:color w:val="auto"/>
          <w:szCs w:val="21"/>
        </w:rPr>
      </w:pPr>
      <w:r>
        <w:rPr>
          <w:rFonts w:hint="eastAsia" w:ascii="宋体" w:hAnsi="宋体" w:cs="宋体"/>
          <w:color w:val="auto"/>
          <w:szCs w:val="21"/>
        </w:rPr>
        <w:t>2）富集特异性：目标区域数据占比60%-70%</w:t>
      </w:r>
    </w:p>
    <w:p w14:paraId="2D0E2CE3">
      <w:pPr>
        <w:spacing w:line="360" w:lineRule="auto"/>
        <w:rPr>
          <w:rFonts w:hint="eastAsia" w:ascii="宋体" w:hAnsi="宋体" w:cs="宋体"/>
          <w:color w:val="auto"/>
          <w:szCs w:val="21"/>
        </w:rPr>
      </w:pPr>
      <w:r>
        <w:rPr>
          <w:rFonts w:hint="eastAsia" w:ascii="宋体" w:hAnsi="宋体" w:cs="宋体"/>
          <w:color w:val="auto"/>
          <w:szCs w:val="21"/>
        </w:rPr>
        <w:t>3）平均读长： 4~5 kb</w:t>
      </w:r>
    </w:p>
    <w:p w14:paraId="44006F2A">
      <w:pPr>
        <w:spacing w:line="360" w:lineRule="auto"/>
        <w:rPr>
          <w:rFonts w:hint="eastAsia" w:ascii="宋体" w:hAnsi="宋体" w:cs="宋体"/>
          <w:color w:val="auto"/>
          <w:szCs w:val="21"/>
        </w:rPr>
      </w:pPr>
      <w:r>
        <w:rPr>
          <w:rFonts w:hint="eastAsia" w:ascii="宋体" w:hAnsi="宋体" w:cs="宋体"/>
          <w:color w:val="auto"/>
          <w:szCs w:val="21"/>
        </w:rPr>
        <w:t>4）目标区域1×覆盖度：≥97.50%</w:t>
      </w:r>
    </w:p>
    <w:p w14:paraId="501ACD51">
      <w:pPr>
        <w:spacing w:line="360" w:lineRule="auto"/>
        <w:rPr>
          <w:rFonts w:hint="eastAsia" w:ascii="宋体" w:hAnsi="宋体" w:cs="宋体"/>
          <w:color w:val="auto"/>
          <w:szCs w:val="21"/>
        </w:rPr>
      </w:pPr>
      <w:r>
        <w:rPr>
          <w:rFonts w:hint="eastAsia" w:ascii="宋体" w:hAnsi="宋体" w:cs="宋体"/>
          <w:color w:val="auto"/>
          <w:szCs w:val="21"/>
        </w:rPr>
        <w:t>5）目标区域平均测序深度：≥1000×</w:t>
      </w:r>
    </w:p>
    <w:p w14:paraId="2DE3BFF8">
      <w:pPr>
        <w:spacing w:line="360" w:lineRule="auto"/>
        <w:rPr>
          <w:rFonts w:hint="eastAsia" w:ascii="宋体" w:hAnsi="宋体" w:cs="宋体"/>
          <w:color w:val="auto"/>
          <w:szCs w:val="21"/>
        </w:rPr>
      </w:pPr>
      <w:r>
        <w:rPr>
          <w:rFonts w:hint="eastAsia" w:ascii="宋体" w:hAnsi="宋体" w:cs="宋体"/>
          <w:color w:val="auto"/>
          <w:szCs w:val="21"/>
        </w:rPr>
        <w:t>6）碱基准确度：Q20 ≥98%；Q33 ≥97%</w:t>
      </w:r>
    </w:p>
    <w:p w14:paraId="4059A47A">
      <w:pPr>
        <w:spacing w:line="360" w:lineRule="auto"/>
        <w:rPr>
          <w:rFonts w:hint="eastAsia" w:ascii="宋体" w:hAnsi="宋体" w:cs="宋体"/>
          <w:color w:val="auto"/>
          <w:szCs w:val="21"/>
        </w:rPr>
      </w:pPr>
      <w:r>
        <w:rPr>
          <w:rFonts w:hint="eastAsia" w:ascii="宋体" w:hAnsi="宋体" w:cs="宋体"/>
          <w:color w:val="auto"/>
          <w:szCs w:val="21"/>
        </w:rPr>
        <w:t>（3）检测/报告范围</w:t>
      </w:r>
    </w:p>
    <w:p w14:paraId="61684BC0">
      <w:pPr>
        <w:spacing w:line="360" w:lineRule="auto"/>
        <w:rPr>
          <w:rFonts w:hint="eastAsia" w:ascii="宋体" w:hAnsi="宋体" w:cs="宋体"/>
          <w:color w:val="auto"/>
          <w:szCs w:val="21"/>
        </w:rPr>
      </w:pPr>
      <w:r>
        <w:rPr>
          <w:rFonts w:hint="eastAsia" w:ascii="宋体" w:hAnsi="宋体" w:cs="宋体"/>
          <w:color w:val="auto"/>
          <w:szCs w:val="21"/>
        </w:rPr>
        <w:t>1）目标基因变异: 对</w:t>
      </w:r>
      <w:r>
        <w:rPr>
          <w:rFonts w:hint="eastAsia" w:ascii="宋体" w:hAnsi="宋体" w:cs="宋体"/>
          <w:i/>
          <w:iCs/>
          <w:color w:val="auto"/>
          <w:szCs w:val="21"/>
        </w:rPr>
        <w:t>CYP21A2</w:t>
      </w:r>
      <w:r>
        <w:rPr>
          <w:rFonts w:hint="eastAsia" w:ascii="宋体" w:hAnsi="宋体" w:cs="宋体"/>
          <w:color w:val="auto"/>
          <w:szCs w:val="21"/>
        </w:rPr>
        <w:t>基因全长序列内的点变异(SNV/InDel)和结构变异(CNV/SV)进行全面检测与报告，明确变异断裂点。</w:t>
      </w:r>
    </w:p>
    <w:p w14:paraId="5D88F20A">
      <w:pPr>
        <w:spacing w:line="360" w:lineRule="auto"/>
        <w:rPr>
          <w:rFonts w:hint="eastAsia" w:ascii="宋体" w:hAnsi="宋体" w:cs="宋体"/>
          <w:color w:val="auto"/>
          <w:szCs w:val="21"/>
        </w:rPr>
      </w:pPr>
      <w:r>
        <w:rPr>
          <w:rFonts w:hint="eastAsia" w:ascii="宋体" w:hAnsi="宋体" w:cs="宋体"/>
          <w:color w:val="auto"/>
          <w:szCs w:val="21"/>
        </w:rPr>
        <w:t>2）假基因干扰排除: 可有效排除高度同源的假基因干扰。</w:t>
      </w:r>
    </w:p>
    <w:p w14:paraId="5008C57E">
      <w:pPr>
        <w:spacing w:line="360" w:lineRule="auto"/>
        <w:rPr>
          <w:rFonts w:hint="eastAsia" w:ascii="宋体" w:hAnsi="宋体" w:cs="宋体"/>
          <w:color w:val="auto"/>
          <w:szCs w:val="21"/>
        </w:rPr>
      </w:pPr>
      <w:r>
        <w:rPr>
          <w:rFonts w:hint="eastAsia" w:ascii="宋体" w:hAnsi="宋体" w:cs="宋体"/>
          <w:color w:val="auto"/>
          <w:szCs w:val="21"/>
        </w:rPr>
        <w:t>3）剪接变异: 支持经典及隐蔽剪接位点变异的识别。</w:t>
      </w:r>
    </w:p>
    <w:p w14:paraId="67409439">
      <w:pPr>
        <w:spacing w:line="360" w:lineRule="auto"/>
        <w:jc w:val="left"/>
        <w:rPr>
          <w:rFonts w:hint="eastAsia" w:ascii="宋体" w:hAnsi="宋体" w:cs="宋体"/>
          <w:color w:val="auto"/>
          <w:szCs w:val="21"/>
        </w:rPr>
      </w:pPr>
      <w:r>
        <w:rPr>
          <w:rFonts w:hint="eastAsia" w:ascii="宋体" w:hAnsi="宋体" w:cs="宋体"/>
          <w:color w:val="auto"/>
          <w:szCs w:val="21"/>
        </w:rPr>
        <w:t>4）单体型与相位分析: 提供单体型分析，可明确双杂合顺反式。</w:t>
      </w:r>
    </w:p>
    <w:p w14:paraId="635E55F8">
      <w:pPr>
        <w:widowControl/>
        <w:spacing w:line="240" w:lineRule="atLeast"/>
        <w:rPr>
          <w:rFonts w:hint="eastAsia" w:ascii="宋体" w:hAnsi="宋体" w:cs="宋体"/>
          <w:b/>
          <w:bCs/>
          <w:color w:val="auto"/>
          <w:szCs w:val="21"/>
          <w:lang w:bidi="ar"/>
        </w:rPr>
      </w:pPr>
      <w:r>
        <w:rPr>
          <w:rFonts w:hint="eastAsia" w:ascii="宋体" w:hAnsi="宋体" w:cs="宋体"/>
          <w:b/>
          <w:bCs/>
          <w:color w:val="auto"/>
          <w:szCs w:val="21"/>
          <w:lang w:bidi="ar"/>
        </w:rPr>
        <w:t>2.3、色素失禁症（IKBKG）基因检测</w:t>
      </w:r>
    </w:p>
    <w:p w14:paraId="6EE0ACBB">
      <w:pPr>
        <w:spacing w:line="360" w:lineRule="auto"/>
        <w:rPr>
          <w:rFonts w:hint="eastAsia" w:ascii="宋体" w:hAnsi="宋体" w:cs="宋体"/>
          <w:b/>
          <w:bCs/>
          <w:color w:val="auto"/>
          <w:szCs w:val="21"/>
        </w:rPr>
      </w:pPr>
      <w:r>
        <w:rPr>
          <w:rFonts w:hint="eastAsia" w:ascii="宋体" w:hAnsi="宋体" w:cs="宋体"/>
          <w:color w:val="auto"/>
          <w:szCs w:val="21"/>
        </w:rPr>
        <w:t>（1）采样长程PCR+三代测序检测方法；</w:t>
      </w:r>
    </w:p>
    <w:p w14:paraId="2B6A3F2D">
      <w:pPr>
        <w:spacing w:line="360" w:lineRule="auto"/>
        <w:rPr>
          <w:rFonts w:hint="eastAsia" w:ascii="宋体" w:hAnsi="宋体" w:cs="宋体"/>
          <w:color w:val="auto"/>
          <w:szCs w:val="21"/>
        </w:rPr>
      </w:pPr>
      <w:r>
        <w:rPr>
          <w:rFonts w:hint="eastAsia" w:ascii="宋体" w:hAnsi="宋体" w:cs="宋体"/>
          <w:color w:val="auto"/>
          <w:szCs w:val="21"/>
        </w:rPr>
        <w:t>（2）性能指标：</w:t>
      </w:r>
    </w:p>
    <w:p w14:paraId="58892387">
      <w:pPr>
        <w:spacing w:line="360" w:lineRule="auto"/>
        <w:rPr>
          <w:rFonts w:hint="eastAsia" w:ascii="宋体" w:hAnsi="宋体" w:cs="宋体"/>
          <w:color w:val="auto"/>
          <w:szCs w:val="21"/>
        </w:rPr>
      </w:pPr>
      <w:r>
        <w:rPr>
          <w:rFonts w:hint="eastAsia" w:ascii="宋体" w:hAnsi="宋体" w:cs="宋体"/>
          <w:color w:val="auto"/>
          <w:szCs w:val="21"/>
        </w:rPr>
        <w:t>1）目标区域1×覆盖度: ≥99%</w:t>
      </w:r>
    </w:p>
    <w:p w14:paraId="743CF62E">
      <w:pPr>
        <w:spacing w:line="360" w:lineRule="auto"/>
        <w:rPr>
          <w:rFonts w:hint="eastAsia" w:ascii="宋体" w:hAnsi="宋体" w:cs="宋体"/>
          <w:color w:val="auto"/>
          <w:szCs w:val="21"/>
        </w:rPr>
      </w:pPr>
      <w:r>
        <w:rPr>
          <w:rFonts w:hint="eastAsia" w:ascii="宋体" w:hAnsi="宋体" w:cs="宋体"/>
          <w:color w:val="auto"/>
          <w:szCs w:val="21"/>
        </w:rPr>
        <w:t>2）目标区域平均测序深度: ≥500×</w:t>
      </w:r>
    </w:p>
    <w:p w14:paraId="4F93E03E">
      <w:pPr>
        <w:spacing w:line="360" w:lineRule="auto"/>
        <w:rPr>
          <w:rFonts w:hint="eastAsia" w:ascii="宋体" w:hAnsi="宋体" w:cs="宋体"/>
          <w:color w:val="auto"/>
          <w:szCs w:val="21"/>
        </w:rPr>
      </w:pPr>
      <w:r>
        <w:rPr>
          <w:rFonts w:hint="eastAsia" w:ascii="宋体" w:hAnsi="宋体" w:cs="宋体"/>
          <w:color w:val="auto"/>
          <w:szCs w:val="21"/>
        </w:rPr>
        <w:t>3）碱基准确度: Q30 ≥90%</w:t>
      </w:r>
    </w:p>
    <w:p w14:paraId="29818661">
      <w:pPr>
        <w:spacing w:line="360" w:lineRule="auto"/>
        <w:rPr>
          <w:rFonts w:hint="eastAsia" w:ascii="宋体" w:hAnsi="宋体" w:cs="宋体"/>
          <w:color w:val="auto"/>
          <w:szCs w:val="21"/>
        </w:rPr>
      </w:pPr>
      <w:r>
        <w:rPr>
          <w:rFonts w:hint="eastAsia" w:ascii="宋体" w:hAnsi="宋体" w:cs="宋体"/>
          <w:color w:val="auto"/>
          <w:szCs w:val="21"/>
        </w:rPr>
        <w:t>（3）检测/报告范围</w:t>
      </w:r>
    </w:p>
    <w:p w14:paraId="77CB0DEE">
      <w:pPr>
        <w:spacing w:line="360" w:lineRule="auto"/>
        <w:rPr>
          <w:rFonts w:hint="eastAsia" w:ascii="宋体" w:hAnsi="宋体" w:cs="宋体"/>
          <w:color w:val="auto"/>
          <w:szCs w:val="21"/>
        </w:rPr>
      </w:pPr>
      <w:r>
        <w:rPr>
          <w:rFonts w:hint="eastAsia" w:ascii="宋体" w:hAnsi="宋体" w:cs="宋体"/>
          <w:color w:val="auto"/>
          <w:szCs w:val="21"/>
        </w:rPr>
        <w:t>1）目标基因变异: 对色素失禁症致病基因</w:t>
      </w:r>
      <w:r>
        <w:rPr>
          <w:rFonts w:hint="eastAsia" w:ascii="宋体" w:hAnsi="宋体" w:cs="宋体"/>
          <w:i/>
          <w:iCs/>
          <w:color w:val="auto"/>
          <w:szCs w:val="21"/>
        </w:rPr>
        <w:t>IKBKG</w:t>
      </w:r>
      <w:r>
        <w:rPr>
          <w:rFonts w:hint="eastAsia" w:ascii="宋体" w:hAnsi="宋体" w:cs="宋体"/>
          <w:color w:val="auto"/>
          <w:szCs w:val="21"/>
        </w:rPr>
        <w:t>全长序列内的点变异(含深度内含子变异)、缺失、插入、倒位、易位等多种变异进行检测与报告。</w:t>
      </w:r>
    </w:p>
    <w:p w14:paraId="42A952B0">
      <w:pPr>
        <w:spacing w:line="360" w:lineRule="auto"/>
        <w:rPr>
          <w:rFonts w:hint="eastAsia" w:ascii="宋体" w:hAnsi="宋体" w:cs="宋体"/>
          <w:color w:val="auto"/>
          <w:szCs w:val="21"/>
        </w:rPr>
      </w:pPr>
      <w:r>
        <w:rPr>
          <w:rFonts w:hint="eastAsia" w:ascii="宋体" w:hAnsi="宋体" w:cs="宋体"/>
          <w:color w:val="auto"/>
          <w:szCs w:val="21"/>
        </w:rPr>
        <w:t>2）特殊区域检测: 可跨越高GC/重复区域，排除高度同源序列及假基因干扰，明确基因融合类型。</w:t>
      </w:r>
    </w:p>
    <w:p w14:paraId="63C777C8">
      <w:pPr>
        <w:spacing w:line="360" w:lineRule="auto"/>
        <w:rPr>
          <w:rFonts w:hint="eastAsia" w:ascii="宋体" w:hAnsi="宋体" w:cs="宋体"/>
          <w:color w:val="auto"/>
          <w:szCs w:val="21"/>
        </w:rPr>
      </w:pPr>
      <w:r>
        <w:rPr>
          <w:rFonts w:hint="eastAsia" w:ascii="宋体" w:hAnsi="宋体" w:cs="宋体"/>
          <w:color w:val="auto"/>
          <w:szCs w:val="21"/>
        </w:rPr>
        <w:t>3）剪接变异: 支持经典及隐蔽剪接位点变异的识别。</w:t>
      </w:r>
    </w:p>
    <w:p w14:paraId="293A70F3">
      <w:pPr>
        <w:spacing w:line="360" w:lineRule="auto"/>
        <w:rPr>
          <w:rFonts w:hint="eastAsia" w:ascii="宋体" w:hAnsi="宋体" w:cs="宋体"/>
          <w:color w:val="auto"/>
          <w:szCs w:val="21"/>
        </w:rPr>
      </w:pPr>
      <w:r>
        <w:rPr>
          <w:rFonts w:hint="eastAsia" w:ascii="宋体" w:hAnsi="宋体" w:cs="宋体"/>
          <w:color w:val="auto"/>
          <w:szCs w:val="21"/>
        </w:rPr>
        <w:t>4）单体型与相位分析: 提供单体型分析，可明确双杂合顺反式。</w:t>
      </w:r>
    </w:p>
    <w:p w14:paraId="0C0F97D2">
      <w:pPr>
        <w:spacing w:line="360" w:lineRule="auto"/>
        <w:rPr>
          <w:rFonts w:hint="eastAsia" w:ascii="宋体" w:hAnsi="宋体" w:cs="宋体"/>
          <w:b/>
          <w:bCs/>
          <w:color w:val="auto"/>
          <w:szCs w:val="21"/>
        </w:rPr>
      </w:pPr>
      <w:r>
        <w:rPr>
          <w:rFonts w:hint="eastAsia" w:ascii="宋体" w:hAnsi="宋体" w:cs="宋体"/>
          <w:b/>
          <w:bCs/>
          <w:color w:val="auto"/>
          <w:szCs w:val="21"/>
        </w:rPr>
        <w:t>2.4、</w:t>
      </w:r>
      <w:r>
        <w:rPr>
          <w:rFonts w:hint="eastAsia" w:ascii="宋体" w:hAnsi="宋体" w:cs="宋体"/>
          <w:b/>
          <w:bCs/>
          <w:color w:val="auto"/>
          <w:szCs w:val="21"/>
          <w:lang w:bidi="ar"/>
        </w:rPr>
        <w:t>戈谢病（GBA1）基因检测</w:t>
      </w:r>
    </w:p>
    <w:p w14:paraId="5CD701E3">
      <w:pPr>
        <w:spacing w:line="360" w:lineRule="auto"/>
        <w:rPr>
          <w:rFonts w:hint="eastAsia" w:ascii="宋体" w:hAnsi="宋体" w:cs="宋体"/>
          <w:color w:val="auto"/>
          <w:szCs w:val="21"/>
        </w:rPr>
      </w:pPr>
      <w:r>
        <w:rPr>
          <w:rFonts w:hint="eastAsia" w:ascii="宋体" w:hAnsi="宋体" w:cs="宋体"/>
          <w:color w:val="auto"/>
          <w:szCs w:val="21"/>
        </w:rPr>
        <w:t>（1）检测方法: 长程PCR+三代测序；</w:t>
      </w:r>
    </w:p>
    <w:p w14:paraId="48AB84A2">
      <w:pPr>
        <w:spacing w:line="360" w:lineRule="auto"/>
        <w:rPr>
          <w:rFonts w:hint="eastAsia" w:ascii="宋体" w:hAnsi="宋体" w:cs="宋体"/>
          <w:color w:val="auto"/>
          <w:szCs w:val="21"/>
        </w:rPr>
      </w:pPr>
      <w:r>
        <w:rPr>
          <w:rFonts w:hint="eastAsia" w:ascii="宋体" w:hAnsi="宋体" w:cs="宋体"/>
          <w:color w:val="auto"/>
          <w:szCs w:val="21"/>
        </w:rPr>
        <w:t>（2）性能指标</w:t>
      </w:r>
    </w:p>
    <w:p w14:paraId="361B4661">
      <w:pPr>
        <w:spacing w:line="360" w:lineRule="auto"/>
        <w:rPr>
          <w:rFonts w:hint="eastAsia" w:ascii="宋体" w:hAnsi="宋体" w:cs="宋体"/>
          <w:color w:val="auto"/>
          <w:szCs w:val="21"/>
        </w:rPr>
      </w:pPr>
      <w:r>
        <w:rPr>
          <w:rFonts w:hint="eastAsia" w:ascii="宋体" w:hAnsi="宋体" w:cs="宋体"/>
          <w:color w:val="auto"/>
          <w:szCs w:val="21"/>
        </w:rPr>
        <w:t>1）目标区域1×覆盖度: ≥99%</w:t>
      </w:r>
    </w:p>
    <w:p w14:paraId="3F6016BC">
      <w:pPr>
        <w:spacing w:line="360" w:lineRule="auto"/>
        <w:rPr>
          <w:rFonts w:hint="eastAsia" w:ascii="宋体" w:hAnsi="宋体" w:cs="宋体"/>
          <w:color w:val="auto"/>
          <w:szCs w:val="21"/>
        </w:rPr>
      </w:pPr>
      <w:r>
        <w:rPr>
          <w:rFonts w:hint="eastAsia" w:ascii="宋体" w:hAnsi="宋体" w:cs="宋体"/>
          <w:color w:val="auto"/>
          <w:szCs w:val="21"/>
        </w:rPr>
        <w:t>2）目标区域平均测序深度: ≥500×</w:t>
      </w:r>
    </w:p>
    <w:p w14:paraId="22FB89CF">
      <w:pPr>
        <w:spacing w:line="360" w:lineRule="auto"/>
        <w:rPr>
          <w:rFonts w:hint="eastAsia" w:ascii="宋体" w:hAnsi="宋体" w:cs="宋体"/>
          <w:color w:val="auto"/>
          <w:szCs w:val="21"/>
        </w:rPr>
      </w:pPr>
      <w:r>
        <w:rPr>
          <w:rFonts w:hint="eastAsia" w:ascii="宋体" w:hAnsi="宋体" w:cs="宋体"/>
          <w:color w:val="auto"/>
          <w:szCs w:val="21"/>
        </w:rPr>
        <w:t>3）碱基准确度: Q30 ≥90%</w:t>
      </w:r>
    </w:p>
    <w:p w14:paraId="1254AC74">
      <w:pPr>
        <w:spacing w:line="360" w:lineRule="auto"/>
        <w:rPr>
          <w:rFonts w:hint="eastAsia" w:ascii="宋体" w:hAnsi="宋体" w:cs="宋体"/>
          <w:color w:val="auto"/>
          <w:szCs w:val="21"/>
        </w:rPr>
      </w:pPr>
      <w:r>
        <w:rPr>
          <w:rFonts w:hint="eastAsia" w:ascii="宋体" w:hAnsi="宋体" w:cs="宋体"/>
          <w:color w:val="auto"/>
          <w:szCs w:val="21"/>
        </w:rPr>
        <w:t>（3）检测/报告范围</w:t>
      </w:r>
    </w:p>
    <w:p w14:paraId="6FA4BB70">
      <w:pPr>
        <w:spacing w:line="360" w:lineRule="auto"/>
        <w:rPr>
          <w:rFonts w:hint="eastAsia" w:ascii="宋体" w:hAnsi="宋体" w:cs="宋体"/>
          <w:color w:val="auto"/>
          <w:szCs w:val="21"/>
        </w:rPr>
      </w:pPr>
      <w:r>
        <w:rPr>
          <w:rFonts w:hint="eastAsia" w:ascii="宋体" w:hAnsi="宋体" w:cs="宋体"/>
          <w:color w:val="auto"/>
          <w:szCs w:val="21"/>
        </w:rPr>
        <w:t>1）目标基因变异: 对</w:t>
      </w:r>
      <w:r>
        <w:rPr>
          <w:rFonts w:hint="eastAsia" w:ascii="宋体" w:hAnsi="宋体" w:cs="宋体"/>
          <w:i/>
          <w:iCs/>
          <w:color w:val="auto"/>
          <w:szCs w:val="21"/>
        </w:rPr>
        <w:t>GBA</w:t>
      </w:r>
      <w:r>
        <w:rPr>
          <w:rFonts w:hint="eastAsia" w:ascii="宋体" w:hAnsi="宋体" w:cs="宋体"/>
          <w:color w:val="auto"/>
          <w:szCs w:val="21"/>
        </w:rPr>
        <w:t>基因全长序列内的点变异(含深度内含子变异)、缺失、插入、倒位、易位等多种变异进行一次性检测与报告。</w:t>
      </w:r>
    </w:p>
    <w:p w14:paraId="3472A06D">
      <w:pPr>
        <w:spacing w:line="360" w:lineRule="auto"/>
        <w:rPr>
          <w:rFonts w:hint="eastAsia" w:ascii="宋体" w:hAnsi="宋体" w:cs="宋体"/>
          <w:color w:val="auto"/>
          <w:szCs w:val="21"/>
        </w:rPr>
      </w:pPr>
      <w:r>
        <w:rPr>
          <w:rFonts w:hint="eastAsia" w:ascii="宋体" w:hAnsi="宋体" w:cs="宋体"/>
          <w:color w:val="auto"/>
          <w:szCs w:val="21"/>
        </w:rPr>
        <w:t>2）假基因干扰排除: 可有效排除高度同源的假基因干扰。</w:t>
      </w:r>
    </w:p>
    <w:p w14:paraId="57BCDEDD">
      <w:pPr>
        <w:spacing w:line="360" w:lineRule="auto"/>
        <w:rPr>
          <w:rFonts w:hint="eastAsia" w:ascii="宋体" w:hAnsi="宋体" w:cs="宋体"/>
          <w:color w:val="auto"/>
          <w:szCs w:val="21"/>
        </w:rPr>
      </w:pPr>
      <w:r>
        <w:rPr>
          <w:rFonts w:hint="eastAsia" w:ascii="宋体" w:hAnsi="宋体" w:cs="宋体"/>
          <w:color w:val="auto"/>
          <w:szCs w:val="21"/>
        </w:rPr>
        <w:t>3）剪接变异: 支持经典及隐蔽剪接位点变异的识别。</w:t>
      </w:r>
    </w:p>
    <w:p w14:paraId="1BEA86EE">
      <w:pPr>
        <w:spacing w:line="360" w:lineRule="auto"/>
        <w:rPr>
          <w:rFonts w:hint="eastAsia" w:ascii="宋体" w:hAnsi="宋体" w:cs="宋体"/>
          <w:color w:val="auto"/>
          <w:szCs w:val="21"/>
        </w:rPr>
      </w:pPr>
      <w:r>
        <w:rPr>
          <w:rFonts w:hint="eastAsia" w:ascii="宋体" w:hAnsi="宋体" w:cs="宋体"/>
          <w:color w:val="auto"/>
          <w:szCs w:val="21"/>
        </w:rPr>
        <w:t>4）单体型与相位分析: 提供单体型分析，可明确双杂合顺反式。</w:t>
      </w:r>
    </w:p>
    <w:p w14:paraId="419754FF">
      <w:pPr>
        <w:spacing w:line="360" w:lineRule="auto"/>
        <w:rPr>
          <w:rFonts w:hint="eastAsia" w:ascii="宋体" w:hAnsi="宋体" w:cs="宋体"/>
          <w:b/>
          <w:bCs/>
          <w:color w:val="auto"/>
          <w:szCs w:val="21"/>
          <w:lang w:bidi="ar"/>
        </w:rPr>
      </w:pPr>
      <w:r>
        <w:rPr>
          <w:rFonts w:hint="eastAsia" w:ascii="宋体" w:hAnsi="宋体" w:cs="宋体"/>
          <w:b/>
          <w:bCs/>
          <w:color w:val="auto"/>
          <w:szCs w:val="21"/>
          <w:lang w:bidi="ar"/>
        </w:rPr>
        <w:t>2.5、动态突变疾病 62 亚型基因检测</w:t>
      </w:r>
    </w:p>
    <w:p w14:paraId="23A0347F">
      <w:pPr>
        <w:spacing w:line="360" w:lineRule="auto"/>
        <w:rPr>
          <w:rFonts w:hint="eastAsia" w:ascii="宋体" w:hAnsi="宋体" w:cs="宋体"/>
          <w:color w:val="auto"/>
          <w:szCs w:val="21"/>
        </w:rPr>
      </w:pPr>
      <w:r>
        <w:rPr>
          <w:rFonts w:hint="eastAsia" w:ascii="宋体" w:hAnsi="宋体" w:cs="宋体"/>
          <w:color w:val="auto"/>
          <w:szCs w:val="21"/>
        </w:rPr>
        <w:t>（1）检测方法: 目标区域捕获+三代测序；</w:t>
      </w:r>
    </w:p>
    <w:p w14:paraId="0F089D6E">
      <w:pPr>
        <w:spacing w:line="360" w:lineRule="auto"/>
        <w:rPr>
          <w:rFonts w:hint="eastAsia" w:ascii="宋体" w:hAnsi="宋体" w:cs="宋体"/>
          <w:color w:val="auto"/>
          <w:szCs w:val="21"/>
        </w:rPr>
      </w:pPr>
      <w:r>
        <w:rPr>
          <w:rFonts w:hint="eastAsia" w:ascii="宋体" w:hAnsi="宋体" w:cs="宋体"/>
          <w:color w:val="auto"/>
          <w:szCs w:val="21"/>
        </w:rPr>
        <w:t>（2）性能指标：</w:t>
      </w:r>
    </w:p>
    <w:p w14:paraId="5E7AF310">
      <w:pPr>
        <w:spacing w:line="360" w:lineRule="auto"/>
        <w:rPr>
          <w:rFonts w:hint="eastAsia" w:ascii="宋体" w:hAnsi="宋体" w:cs="宋体"/>
          <w:color w:val="auto"/>
          <w:szCs w:val="21"/>
        </w:rPr>
      </w:pPr>
      <w:r>
        <w:rPr>
          <w:rFonts w:hint="eastAsia" w:ascii="宋体" w:hAnsi="宋体" w:cs="宋体"/>
          <w:color w:val="auto"/>
          <w:szCs w:val="21"/>
        </w:rPr>
        <w:t>1）富集效率: 有效数据占比 55%-60%</w:t>
      </w:r>
    </w:p>
    <w:p w14:paraId="49AA7730">
      <w:pPr>
        <w:spacing w:line="360" w:lineRule="auto"/>
        <w:rPr>
          <w:rFonts w:hint="eastAsia" w:ascii="宋体" w:hAnsi="宋体" w:cs="宋体"/>
          <w:color w:val="auto"/>
          <w:szCs w:val="21"/>
        </w:rPr>
      </w:pPr>
      <w:r>
        <w:rPr>
          <w:rFonts w:hint="eastAsia" w:ascii="宋体" w:hAnsi="宋体" w:cs="宋体"/>
          <w:color w:val="auto"/>
          <w:szCs w:val="21"/>
        </w:rPr>
        <w:t>2）富集特异性: 目标区域数据占比 55%-60%</w:t>
      </w:r>
    </w:p>
    <w:p w14:paraId="7D2ACC94">
      <w:pPr>
        <w:spacing w:line="360" w:lineRule="auto"/>
        <w:rPr>
          <w:rFonts w:hint="eastAsia" w:ascii="宋体" w:hAnsi="宋体" w:cs="宋体"/>
          <w:color w:val="auto"/>
          <w:szCs w:val="21"/>
        </w:rPr>
      </w:pPr>
      <w:r>
        <w:rPr>
          <w:rFonts w:hint="eastAsia" w:ascii="宋体" w:hAnsi="宋体" w:cs="宋体"/>
          <w:color w:val="auto"/>
          <w:szCs w:val="21"/>
        </w:rPr>
        <w:t>3）平均读长: 3~5 kb</w:t>
      </w:r>
    </w:p>
    <w:p w14:paraId="6D0CC036">
      <w:pPr>
        <w:spacing w:line="360" w:lineRule="auto"/>
        <w:rPr>
          <w:rFonts w:hint="eastAsia" w:ascii="宋体" w:hAnsi="宋体" w:cs="宋体"/>
          <w:color w:val="auto"/>
          <w:szCs w:val="21"/>
        </w:rPr>
      </w:pPr>
      <w:r>
        <w:rPr>
          <w:rFonts w:hint="eastAsia" w:ascii="宋体" w:hAnsi="宋体" w:cs="宋体"/>
          <w:color w:val="auto"/>
          <w:szCs w:val="21"/>
        </w:rPr>
        <w:t>4）目标区域1×覆盖度: ≥99.75%</w:t>
      </w:r>
    </w:p>
    <w:p w14:paraId="6E659475">
      <w:pPr>
        <w:spacing w:line="360" w:lineRule="auto"/>
        <w:rPr>
          <w:rFonts w:hint="eastAsia" w:ascii="宋体" w:hAnsi="宋体" w:cs="宋体"/>
          <w:color w:val="auto"/>
          <w:szCs w:val="21"/>
        </w:rPr>
      </w:pPr>
      <w:r>
        <w:rPr>
          <w:rFonts w:hint="eastAsia" w:ascii="宋体" w:hAnsi="宋体" w:cs="宋体"/>
          <w:color w:val="auto"/>
          <w:szCs w:val="21"/>
        </w:rPr>
        <w:t>5）目标区域平均测序深度: ≥150×</w:t>
      </w:r>
    </w:p>
    <w:p w14:paraId="41C7CE0C">
      <w:pPr>
        <w:spacing w:line="360" w:lineRule="auto"/>
        <w:rPr>
          <w:rFonts w:hint="eastAsia" w:ascii="宋体" w:hAnsi="宋体" w:cs="宋体"/>
          <w:color w:val="auto"/>
          <w:szCs w:val="21"/>
        </w:rPr>
      </w:pPr>
      <w:r>
        <w:rPr>
          <w:rFonts w:hint="eastAsia" w:ascii="宋体" w:hAnsi="宋体" w:cs="宋体"/>
          <w:color w:val="auto"/>
          <w:szCs w:val="21"/>
        </w:rPr>
        <w:t>6）碱基准确度: Q20 ≥98%；Q33 ≥97%</w:t>
      </w:r>
    </w:p>
    <w:p w14:paraId="6652ADCB">
      <w:pPr>
        <w:spacing w:line="360" w:lineRule="auto"/>
        <w:rPr>
          <w:rFonts w:hint="eastAsia" w:ascii="宋体" w:hAnsi="宋体" w:cs="宋体"/>
          <w:color w:val="auto"/>
          <w:szCs w:val="21"/>
        </w:rPr>
      </w:pPr>
      <w:r>
        <w:rPr>
          <w:rFonts w:hint="eastAsia" w:ascii="宋体" w:hAnsi="宋体" w:cs="宋体"/>
          <w:color w:val="auto"/>
          <w:szCs w:val="21"/>
        </w:rPr>
        <w:t>（3）检测/报告范围</w:t>
      </w:r>
    </w:p>
    <w:p w14:paraId="3C9E08E4">
      <w:pPr>
        <w:spacing w:line="360" w:lineRule="auto"/>
        <w:rPr>
          <w:rFonts w:hint="eastAsia" w:ascii="宋体" w:hAnsi="宋体" w:cs="宋体"/>
          <w:color w:val="auto"/>
          <w:szCs w:val="21"/>
        </w:rPr>
      </w:pPr>
      <w:r>
        <w:rPr>
          <w:rFonts w:hint="eastAsia" w:ascii="宋体" w:hAnsi="宋体" w:cs="宋体"/>
          <w:color w:val="auto"/>
          <w:szCs w:val="21"/>
        </w:rPr>
        <w:t>1）动态突变检测: 支持对共济失调类22亚型、眼咽型肌病、肌阵孪性癫痫、亨廷顿舞蹈症、强直性肌营养不良、脆性X综合征、神经元核内包涵体、多系统萎缩等共62种已知动态突变亚型相关基因的STR/VNTR重复序列进行精准分型。</w:t>
      </w:r>
    </w:p>
    <w:p w14:paraId="31571905">
      <w:pPr>
        <w:spacing w:line="360" w:lineRule="auto"/>
        <w:rPr>
          <w:rFonts w:hint="eastAsia" w:ascii="宋体" w:hAnsi="宋体" w:cs="宋体"/>
          <w:color w:val="auto"/>
          <w:szCs w:val="21"/>
        </w:rPr>
      </w:pPr>
      <w:r>
        <w:rPr>
          <w:rFonts w:hint="eastAsia" w:ascii="宋体" w:hAnsi="宋体" w:cs="宋体"/>
          <w:color w:val="auto"/>
          <w:szCs w:val="21"/>
        </w:rPr>
        <w:t>2）重复序列分析: 可明确重复次数，并分析重复单元间的碱基差异，辅助鉴别诊断。</w:t>
      </w:r>
    </w:p>
    <w:p w14:paraId="3722BACD">
      <w:pPr>
        <w:spacing w:line="360" w:lineRule="auto"/>
        <w:rPr>
          <w:rFonts w:hint="eastAsia" w:ascii="宋体" w:hAnsi="宋体" w:cs="宋体"/>
          <w:b/>
          <w:bCs/>
          <w:color w:val="auto"/>
          <w:szCs w:val="21"/>
          <w:lang w:bidi="ar"/>
        </w:rPr>
      </w:pPr>
      <w:r>
        <w:rPr>
          <w:rFonts w:hint="eastAsia" w:ascii="宋体" w:hAnsi="宋体" w:cs="宋体"/>
          <w:b/>
          <w:bCs/>
          <w:color w:val="auto"/>
          <w:szCs w:val="21"/>
          <w:lang w:bidi="ar"/>
        </w:rPr>
        <w:t>2.6、遗传病Panel检测(泌尿系统、内分泌系统、心血管系统）</w:t>
      </w:r>
    </w:p>
    <w:p w14:paraId="08F9430F">
      <w:pPr>
        <w:pStyle w:val="9"/>
        <w:spacing w:line="360" w:lineRule="auto"/>
        <w:ind w:firstLine="0" w:firstLineChars="0"/>
        <w:rPr>
          <w:rFonts w:hint="eastAsia" w:ascii="宋体" w:hAnsi="宋体" w:cs="宋体"/>
          <w:color w:val="auto"/>
          <w:szCs w:val="21"/>
        </w:rPr>
      </w:pPr>
      <w:r>
        <w:rPr>
          <w:rFonts w:hint="eastAsia" w:ascii="宋体" w:hAnsi="宋体" w:cs="宋体"/>
          <w:color w:val="auto"/>
          <w:szCs w:val="21"/>
        </w:rPr>
        <w:t>（1）所用检测技术的探针应为DNA双链探针，通过探针杂交捕获目标基因（不低于1000个）外显子及毗邻的剪接区域（约20bp）。</w:t>
      </w:r>
    </w:p>
    <w:p w14:paraId="10377D4B">
      <w:pPr>
        <w:pStyle w:val="9"/>
        <w:spacing w:line="360" w:lineRule="auto"/>
        <w:ind w:firstLine="0" w:firstLineChars="0"/>
        <w:rPr>
          <w:rFonts w:hint="eastAsia" w:ascii="宋体" w:hAnsi="宋体" w:cs="宋体"/>
          <w:color w:val="auto"/>
          <w:szCs w:val="21"/>
        </w:rPr>
      </w:pPr>
      <w:r>
        <w:rPr>
          <w:rFonts w:hint="eastAsia" w:ascii="宋体" w:hAnsi="宋体" w:cs="宋体"/>
          <w:color w:val="auto"/>
          <w:szCs w:val="21"/>
        </w:rPr>
        <w:t>（2）捕获探针需要包含目标基因的编码外显子、外显子与部分连接的内含子临界区域。</w:t>
      </w:r>
    </w:p>
    <w:p w14:paraId="768117DF">
      <w:pPr>
        <w:pStyle w:val="9"/>
        <w:spacing w:line="360" w:lineRule="auto"/>
        <w:ind w:firstLine="0" w:firstLineChars="0"/>
        <w:rPr>
          <w:rFonts w:hint="eastAsia" w:ascii="宋体" w:hAnsi="宋体" w:cs="宋体"/>
          <w:color w:val="auto"/>
          <w:szCs w:val="21"/>
        </w:rPr>
      </w:pPr>
      <w:r>
        <w:rPr>
          <w:rFonts w:hint="eastAsia" w:ascii="宋体" w:hAnsi="宋体" w:cs="宋体"/>
          <w:color w:val="auto"/>
          <w:szCs w:val="21"/>
        </w:rPr>
        <w:t>（3）数据质量要求：使用PE150测序方法，Q30≥90%，单个样本测序数据量&gt;12G，平均有效测序深度&gt;120×，Duplication比例不高于8%，20×覆盖度&gt;95%，Fold80&lt;2。</w:t>
      </w:r>
    </w:p>
    <w:p w14:paraId="17181504">
      <w:pPr>
        <w:pStyle w:val="9"/>
        <w:spacing w:line="360" w:lineRule="auto"/>
        <w:ind w:firstLine="0" w:firstLineChars="0"/>
        <w:rPr>
          <w:rFonts w:hint="eastAsia" w:ascii="宋体" w:hAnsi="宋体" w:cs="宋体"/>
          <w:color w:val="auto"/>
          <w:szCs w:val="21"/>
        </w:rPr>
      </w:pPr>
      <w:r>
        <w:rPr>
          <w:rFonts w:hint="eastAsia" w:ascii="宋体" w:hAnsi="宋体" w:cs="宋体"/>
          <w:color w:val="auto"/>
          <w:szCs w:val="21"/>
        </w:rPr>
        <w:t>（4）可分析编码区（包括启动子区、外显子剪切区域）及部分非编码区的点突变（SNV/Indel）、连续3个外显子及以上的缺失/重复（Exon CNV）；可分析SMN1基因7号外显子的拷贝数变异；可分析其他特殊区域：如SLC25A13基因IVS16ins3kb和IVS4ins6kb等转座子插入。</w:t>
      </w:r>
    </w:p>
    <w:p w14:paraId="75081D4F">
      <w:pPr>
        <w:spacing w:line="360" w:lineRule="auto"/>
        <w:rPr>
          <w:rFonts w:hint="eastAsia" w:ascii="宋体" w:hAnsi="宋体" w:cs="宋体"/>
          <w:color w:val="auto"/>
          <w:szCs w:val="21"/>
        </w:rPr>
      </w:pPr>
      <w:r>
        <w:rPr>
          <w:rFonts w:hint="eastAsia" w:ascii="宋体" w:hAnsi="宋体" w:cs="宋体"/>
          <w:color w:val="auto"/>
          <w:szCs w:val="21"/>
        </w:rPr>
        <w:t>（5）送检样本类型包括外周血、羊水、绒毛、脐带血、流产组织、其它组织或DNA。</w:t>
      </w:r>
    </w:p>
    <w:p w14:paraId="6D223A3F">
      <w:pPr>
        <w:spacing w:line="360" w:lineRule="auto"/>
        <w:rPr>
          <w:rFonts w:hint="eastAsia" w:ascii="宋体" w:hAnsi="宋体" w:cs="宋体"/>
          <w:color w:val="auto"/>
          <w:szCs w:val="21"/>
        </w:rPr>
      </w:pPr>
      <w:r>
        <w:rPr>
          <w:rFonts w:hint="eastAsia" w:ascii="宋体" w:hAnsi="宋体" w:cs="宋体"/>
          <w:color w:val="auto"/>
          <w:szCs w:val="21"/>
        </w:rPr>
        <w:t>（6）具备自主研发的打分排序算法和数据分析系统，并提供国家版权局颁发的相关软件著作权证书及专利证书（或受理通知书）以证明技术实力。</w:t>
      </w:r>
    </w:p>
    <w:p w14:paraId="3DBC05BD">
      <w:pPr>
        <w:spacing w:line="360" w:lineRule="auto"/>
        <w:rPr>
          <w:rFonts w:hint="eastAsia" w:ascii="宋体" w:hAnsi="宋体" w:cs="宋体"/>
          <w:b/>
          <w:bCs/>
          <w:color w:val="auto"/>
          <w:szCs w:val="21"/>
          <w:lang w:bidi="ar"/>
        </w:rPr>
      </w:pPr>
      <w:r>
        <w:rPr>
          <w:rFonts w:hint="eastAsia" w:ascii="宋体" w:hAnsi="宋体" w:cs="宋体"/>
          <w:color w:val="auto"/>
          <w:szCs w:val="21"/>
        </w:rPr>
        <w:t>（7）具备加速生信分析的能力，应采用经充分验证的加速分析方案（如Sentieon、DRAGEN或同等方案），以确保满足报告周期要求。</w:t>
      </w:r>
    </w:p>
    <w:p w14:paraId="7C9D8BBC">
      <w:pPr>
        <w:spacing w:line="240" w:lineRule="atLeast"/>
        <w:rPr>
          <w:rFonts w:hint="eastAsia" w:ascii="宋体" w:hAnsi="宋体" w:cs="宋体"/>
          <w:b/>
          <w:bCs/>
          <w:color w:val="auto"/>
          <w:szCs w:val="21"/>
          <w:lang w:bidi="ar"/>
        </w:rPr>
      </w:pPr>
      <w:r>
        <w:rPr>
          <w:rFonts w:hint="eastAsia" w:ascii="宋体" w:hAnsi="宋体" w:cs="宋体"/>
          <w:b/>
          <w:bCs/>
          <w:color w:val="auto"/>
          <w:szCs w:val="21"/>
          <w:lang w:bidi="ar"/>
        </w:rPr>
        <w:t>2.7、阳性病例验证</w:t>
      </w:r>
    </w:p>
    <w:p w14:paraId="78D49002">
      <w:pPr>
        <w:widowControl/>
        <w:spacing w:line="240" w:lineRule="atLeast"/>
        <w:ind w:firstLine="420" w:firstLineChars="200"/>
        <w:jc w:val="left"/>
        <w:rPr>
          <w:rFonts w:hint="eastAsia" w:ascii="宋体" w:hAnsi="宋体" w:cs="宋体"/>
          <w:b/>
          <w:bCs/>
          <w:color w:val="auto"/>
          <w:szCs w:val="21"/>
        </w:rPr>
      </w:pPr>
      <w:r>
        <w:rPr>
          <w:rFonts w:hint="eastAsia" w:ascii="宋体" w:hAnsi="宋体" w:cs="宋体"/>
          <w:color w:val="auto"/>
          <w:kern w:val="0"/>
          <w:szCs w:val="21"/>
          <w:lang w:bidi="ar"/>
        </w:rPr>
        <w:t>（1）</w:t>
      </w:r>
      <w:r>
        <w:rPr>
          <w:rFonts w:hint="eastAsia" w:ascii="宋体" w:hAnsi="宋体" w:cs="宋体"/>
          <w:color w:val="auto"/>
          <w:szCs w:val="21"/>
        </w:rPr>
        <w:t>可以提</w:t>
      </w:r>
      <w:r>
        <w:rPr>
          <w:rFonts w:hint="eastAsia" w:ascii="宋体" w:hAnsi="宋体" w:cs="宋体"/>
          <w:color w:val="auto"/>
          <w:kern w:val="0"/>
          <w:szCs w:val="21"/>
          <w:lang w:bidi="ar"/>
        </w:rPr>
        <w:t>供CMA、CNV-seq、高分辨核型（≥550条带）、核型分析C/Q/N带、FISH、定制BAC探针、Sanger、STR分析、QF-PCR、MLPA、MS-MLPA、OGM、WES、WGS、ddPCR等齐全的验证、溯源解决方案。</w:t>
      </w:r>
    </w:p>
    <w:p w14:paraId="70F6E8EE">
      <w:pPr>
        <w:widowControl/>
        <w:spacing w:line="240" w:lineRule="atLeast"/>
        <w:jc w:val="left"/>
        <w:rPr>
          <w:rFonts w:hint="eastAsia" w:ascii="宋体" w:hAnsi="宋体" w:cs="宋体"/>
          <w:b/>
          <w:bCs/>
          <w:color w:val="auto"/>
          <w:szCs w:val="21"/>
        </w:rPr>
      </w:pPr>
      <w:r>
        <w:rPr>
          <w:rFonts w:hint="eastAsia" w:ascii="宋体" w:hAnsi="宋体" w:cs="宋体"/>
          <w:b/>
          <w:bCs/>
          <w:color w:val="auto"/>
          <w:szCs w:val="21"/>
        </w:rPr>
        <w:t>3.0、遗传分析与报告系统：</w:t>
      </w:r>
    </w:p>
    <w:p w14:paraId="306314DA">
      <w:pPr>
        <w:widowControl/>
        <w:spacing w:line="240" w:lineRule="atLeast"/>
        <w:ind w:left="255" w:firstLine="420" w:firstLineChars="200"/>
        <w:jc w:val="left"/>
        <w:rPr>
          <w:rFonts w:hint="eastAsia" w:ascii="宋体" w:hAnsi="宋体" w:cs="宋体"/>
          <w:color w:val="auto"/>
          <w:szCs w:val="21"/>
        </w:rPr>
      </w:pPr>
      <w:r>
        <w:rPr>
          <w:rFonts w:hint="eastAsia" w:ascii="宋体" w:hAnsi="宋体" w:cs="宋体"/>
          <w:color w:val="auto"/>
          <w:szCs w:val="21"/>
        </w:rPr>
        <w:t>3.1、提供用户界面友好的遗传分析在线平台，系统包括样本管理，流程进度监督、测序数据质控、审核任务分配、自动分配验证加项、数据遗传分析、位点库、自动化报告及在线编辑报告模块等功能。</w:t>
      </w:r>
    </w:p>
    <w:p w14:paraId="1CCB3559">
      <w:p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3.2、系统样本管理模块包括批次内特殊变异类型HBA1/HBA2、DMD的CNV展示图、相关热性图等功能。</w:t>
      </w:r>
    </w:p>
    <w:p w14:paraId="73DDE133">
      <w:p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3.3、系统审核分析模块需包括全部生信注释信息，自动化链接待分析位点被收录的数据库信息，包括Google、SpliceAI、ClinVar、Mutalyzer、gnomAD、可实现报告语句生成的半自动化等功能。</w:t>
      </w:r>
    </w:p>
    <w:p w14:paraId="1C26AF36">
      <w:pPr>
        <w:spacing w:line="240" w:lineRule="atLeast"/>
        <w:ind w:firstLine="420" w:firstLineChars="200"/>
        <w:rPr>
          <w:rFonts w:hint="eastAsia" w:ascii="宋体" w:hAnsi="宋体" w:cs="宋体"/>
          <w:color w:val="auto"/>
          <w:szCs w:val="21"/>
        </w:rPr>
      </w:pPr>
      <w:r>
        <w:rPr>
          <w:rFonts w:hint="eastAsia" w:ascii="宋体" w:hAnsi="宋体" w:cs="宋体"/>
          <w:color w:val="auto"/>
          <w:szCs w:val="21"/>
        </w:rPr>
        <w:t>3.4、系统内嵌IGV在线查看变异信息等功能。</w:t>
      </w:r>
    </w:p>
    <w:p w14:paraId="16BFDBEA">
      <w:pPr>
        <w:widowControl/>
        <w:spacing w:line="240" w:lineRule="atLeast"/>
        <w:ind w:left="255" w:firstLine="210" w:firstLineChars="100"/>
        <w:jc w:val="left"/>
        <w:rPr>
          <w:rFonts w:hint="eastAsia" w:ascii="宋体" w:hAnsi="宋体" w:cs="宋体"/>
          <w:color w:val="auto"/>
          <w:szCs w:val="21"/>
        </w:rPr>
      </w:pPr>
      <w:r>
        <w:rPr>
          <w:rFonts w:hint="eastAsia" w:ascii="宋体" w:hAnsi="宋体" w:cs="宋体"/>
          <w:color w:val="auto"/>
          <w:szCs w:val="21"/>
        </w:rPr>
        <w:t>3.5、系统报告模块需实现自动化报告生成与预览，且报告可在线编辑。实现该项目生信分析与报告的全自动化，并提供客户账号进行多种形式的分析和使用，包括在线外网访问及本地化等功能。</w:t>
      </w:r>
    </w:p>
    <w:p w14:paraId="23ABB813">
      <w:pPr>
        <w:pStyle w:val="9"/>
        <w:spacing w:line="240" w:lineRule="atLeast"/>
        <w:ind w:firstLine="0" w:firstLineChars="0"/>
        <w:rPr>
          <w:rFonts w:hint="eastAsia" w:ascii="宋体" w:hAnsi="宋体" w:cs="宋体"/>
          <w:b/>
          <w:bCs/>
          <w:color w:val="auto"/>
          <w:szCs w:val="21"/>
        </w:rPr>
      </w:pPr>
      <w:r>
        <w:rPr>
          <w:rFonts w:hint="eastAsia" w:ascii="宋体" w:hAnsi="宋体" w:cs="宋体"/>
          <w:b/>
          <w:bCs/>
          <w:color w:val="auto"/>
          <w:szCs w:val="21"/>
        </w:rPr>
        <w:t>二、服务参数</w:t>
      </w:r>
    </w:p>
    <w:p w14:paraId="33CFA956">
      <w:pPr>
        <w:pStyle w:val="9"/>
        <w:numPr>
          <w:ilvl w:val="0"/>
          <w:numId w:val="8"/>
        </w:numPr>
        <w:spacing w:line="240" w:lineRule="atLeast"/>
        <w:ind w:left="567" w:firstLine="0" w:firstLineChars="0"/>
        <w:rPr>
          <w:rFonts w:hint="eastAsia" w:ascii="宋体" w:hAnsi="宋体" w:cs="宋体"/>
          <w:b/>
          <w:bCs/>
          <w:color w:val="auto"/>
          <w:szCs w:val="21"/>
        </w:rPr>
      </w:pPr>
      <w:r>
        <w:rPr>
          <w:rFonts w:hint="eastAsia" w:ascii="宋体" w:hAnsi="宋体" w:cs="宋体"/>
          <w:b/>
          <w:bCs/>
          <w:color w:val="auto"/>
          <w:szCs w:val="21"/>
        </w:rPr>
        <w:t>服务要求：</w:t>
      </w:r>
    </w:p>
    <w:p w14:paraId="7D1CCCEF">
      <w:pPr>
        <w:pStyle w:val="9"/>
        <w:spacing w:line="240" w:lineRule="atLeast"/>
        <w:ind w:left="567" w:firstLine="0" w:firstLineChars="0"/>
        <w:rPr>
          <w:rFonts w:hint="eastAsia" w:ascii="宋体" w:hAnsi="宋体" w:cs="宋体"/>
          <w:color w:val="auto"/>
          <w:szCs w:val="21"/>
        </w:rPr>
      </w:pPr>
      <w:r>
        <w:rPr>
          <w:rFonts w:hint="eastAsia" w:ascii="宋体" w:hAnsi="宋体" w:cs="宋体"/>
          <w:b/>
          <w:bCs/>
          <w:color w:val="auto"/>
          <w:szCs w:val="21"/>
        </w:rPr>
        <w:t>1.1验证平台：</w:t>
      </w:r>
      <w:r>
        <w:rPr>
          <w:rFonts w:hint="eastAsia" w:ascii="宋体" w:hAnsi="宋体" w:cs="宋体"/>
          <w:color w:val="auto"/>
          <w:szCs w:val="21"/>
        </w:rPr>
        <w:t>能提供高分辨核型分析、特殊显带、FISH、BAC、QF-PCR、MLPA/MS-MLPA、Sanger、WES、WGS、RNA-seq、OGM等齐全的验证、溯源解决方案。</w:t>
      </w:r>
    </w:p>
    <w:p w14:paraId="79C08F88">
      <w:pPr>
        <w:pStyle w:val="9"/>
        <w:spacing w:line="240" w:lineRule="atLeast"/>
        <w:ind w:left="567" w:firstLine="0" w:firstLineChars="0"/>
        <w:rPr>
          <w:rFonts w:hint="eastAsia" w:ascii="宋体" w:hAnsi="宋体" w:cs="宋体"/>
          <w:color w:val="auto"/>
          <w:szCs w:val="21"/>
        </w:rPr>
      </w:pPr>
      <w:r>
        <w:rPr>
          <w:rFonts w:hint="eastAsia" w:ascii="宋体" w:hAnsi="宋体" w:cs="宋体"/>
          <w:b/>
          <w:bCs/>
          <w:color w:val="auto"/>
          <w:szCs w:val="21"/>
        </w:rPr>
        <w:t>1.2遗传咨询：</w:t>
      </w:r>
      <w:r>
        <w:rPr>
          <w:rFonts w:hint="eastAsia" w:ascii="宋体" w:hAnsi="宋体" w:cs="宋体"/>
          <w:color w:val="auto"/>
          <w:szCs w:val="21"/>
        </w:rPr>
        <w:t>拥有国际认可资质的遗传咨询团队，提供遗传咨询协助、遗传咨询能力培训等提高临床咨询能力的服务，提供具有ABMGG认证与FACMG资质的报告分析审核人员证明。</w:t>
      </w:r>
    </w:p>
    <w:p w14:paraId="07789F96">
      <w:pPr>
        <w:pStyle w:val="9"/>
        <w:spacing w:line="240" w:lineRule="atLeast"/>
        <w:ind w:left="567" w:firstLine="0" w:firstLineChars="0"/>
        <w:rPr>
          <w:rFonts w:hint="eastAsia" w:ascii="宋体" w:hAnsi="宋体" w:cs="宋体"/>
          <w:color w:val="auto"/>
          <w:szCs w:val="21"/>
        </w:rPr>
      </w:pPr>
      <w:r>
        <w:rPr>
          <w:rFonts w:hint="eastAsia" w:ascii="宋体" w:hAnsi="宋体" w:cs="宋体"/>
          <w:b/>
          <w:bCs/>
          <w:color w:val="auto"/>
          <w:szCs w:val="21"/>
        </w:rPr>
        <w:t>1.3遗传咨询服务：</w:t>
      </w:r>
      <w:r>
        <w:rPr>
          <w:rFonts w:hint="eastAsia" w:ascii="宋体" w:hAnsi="宋体" w:cs="宋体"/>
          <w:color w:val="auto"/>
          <w:szCs w:val="21"/>
        </w:rPr>
        <w:t>提供24小时热线及在线遗传咨询服务与在线查询工具。</w:t>
      </w:r>
    </w:p>
    <w:p w14:paraId="3827B492">
      <w:pPr>
        <w:pStyle w:val="9"/>
        <w:spacing w:line="240" w:lineRule="atLeast"/>
        <w:ind w:left="567" w:firstLine="0" w:firstLineChars="0"/>
        <w:rPr>
          <w:rFonts w:hint="eastAsia" w:ascii="宋体" w:hAnsi="宋体" w:cs="宋体"/>
          <w:color w:val="auto"/>
          <w:szCs w:val="21"/>
        </w:rPr>
      </w:pPr>
      <w:r>
        <w:rPr>
          <w:rFonts w:hint="eastAsia" w:ascii="宋体" w:hAnsi="宋体" w:cs="宋体"/>
          <w:b/>
          <w:bCs/>
          <w:color w:val="auto"/>
          <w:szCs w:val="21"/>
        </w:rPr>
        <w:t>1.4▲线上工具：</w:t>
      </w:r>
      <w:r>
        <w:rPr>
          <w:rFonts w:hint="eastAsia" w:ascii="宋体" w:hAnsi="宋体" w:cs="宋体"/>
          <w:color w:val="auto"/>
          <w:szCs w:val="21"/>
        </w:rPr>
        <w:t>需能协助建立在线服务，满足项目宣教、线上开单、缴费、查询报告、样本递送、家系管理等功能，并可与医院系统对接，相关要求如下:</w:t>
      </w:r>
    </w:p>
    <w:p w14:paraId="7952515F">
      <w:pPr>
        <w:pStyle w:val="9"/>
        <w:spacing w:line="240" w:lineRule="atLeast"/>
        <w:ind w:firstLine="0" w:firstLineChars="0"/>
        <w:rPr>
          <w:rFonts w:hint="eastAsia" w:ascii="宋体" w:hAnsi="宋体" w:cs="宋体"/>
          <w:color w:val="auto"/>
          <w:szCs w:val="21"/>
        </w:rPr>
      </w:pPr>
    </w:p>
    <w:tbl>
      <w:tblPr>
        <w:tblStyle w:val="5"/>
        <w:tblpPr w:leftFromText="180" w:rightFromText="180" w:vertAnchor="text" w:horzAnchor="page" w:tblpXSpec="center" w:tblpY="68"/>
        <w:tblOverlap w:val="never"/>
        <w:tblW w:w="4814" w:type="pct"/>
        <w:jc w:val="center"/>
        <w:tblLayout w:type="autofit"/>
        <w:tblCellMar>
          <w:top w:w="0" w:type="dxa"/>
          <w:left w:w="108" w:type="dxa"/>
          <w:bottom w:w="0" w:type="dxa"/>
          <w:right w:w="108" w:type="dxa"/>
        </w:tblCellMar>
      </w:tblPr>
      <w:tblGrid>
        <w:gridCol w:w="568"/>
        <w:gridCol w:w="1300"/>
        <w:gridCol w:w="6337"/>
      </w:tblGrid>
      <w:tr w14:paraId="77502C4F">
        <w:tblPrEx>
          <w:tblCellMar>
            <w:top w:w="0" w:type="dxa"/>
            <w:left w:w="108" w:type="dxa"/>
            <w:bottom w:w="0" w:type="dxa"/>
            <w:right w:w="108" w:type="dxa"/>
          </w:tblCellMar>
        </w:tblPrEx>
        <w:trPr>
          <w:trHeight w:val="2104" w:hRule="atLeast"/>
          <w:jc w:val="center"/>
        </w:trPr>
        <w:tc>
          <w:tcPr>
            <w:tcW w:w="346" w:type="pct"/>
            <w:tcBorders>
              <w:top w:val="single" w:color="auto" w:sz="4" w:space="0"/>
              <w:left w:val="single" w:color="auto" w:sz="4" w:space="0"/>
              <w:bottom w:val="single" w:color="auto" w:sz="4" w:space="0"/>
              <w:right w:val="single" w:color="auto" w:sz="4" w:space="0"/>
            </w:tcBorders>
            <w:noWrap w:val="0"/>
            <w:vAlign w:val="center"/>
          </w:tcPr>
          <w:p w14:paraId="4F85B04E">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1</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48AFCF35">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手机移动端</w:t>
            </w:r>
          </w:p>
        </w:tc>
        <w:tc>
          <w:tcPr>
            <w:tcW w:w="3860" w:type="pct"/>
            <w:tcBorders>
              <w:top w:val="single" w:color="auto" w:sz="4" w:space="0"/>
              <w:left w:val="single" w:color="auto" w:sz="4" w:space="0"/>
              <w:bottom w:val="single" w:color="auto" w:sz="4" w:space="0"/>
              <w:right w:val="single" w:color="auto" w:sz="4" w:space="0"/>
            </w:tcBorders>
            <w:noWrap w:val="0"/>
            <w:vAlign w:val="center"/>
          </w:tcPr>
          <w:p w14:paraId="52C8E159">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需提供配套手机端信息系统管理小程序，需要具有项目宣教、线上开单、线上缴费、查询报告功能；同时支持扩展项目，例如叶酸代谢基因检测、串联质谱筛查等，实现项目精准化宣教。减少医务工作者信息录入错误，让病人可以自主在手机端查询、打印报告，方便、快捷简化流程。</w:t>
            </w:r>
          </w:p>
        </w:tc>
      </w:tr>
      <w:tr w14:paraId="15227525">
        <w:tblPrEx>
          <w:tblCellMar>
            <w:top w:w="0" w:type="dxa"/>
            <w:left w:w="108" w:type="dxa"/>
            <w:bottom w:w="0" w:type="dxa"/>
            <w:right w:w="108" w:type="dxa"/>
          </w:tblCellMar>
        </w:tblPrEx>
        <w:trPr>
          <w:trHeight w:val="2009" w:hRule="atLeast"/>
          <w:jc w:val="center"/>
        </w:trPr>
        <w:tc>
          <w:tcPr>
            <w:tcW w:w="346" w:type="pct"/>
            <w:tcBorders>
              <w:top w:val="single" w:color="auto" w:sz="4" w:space="0"/>
              <w:left w:val="single" w:color="auto" w:sz="4" w:space="0"/>
              <w:bottom w:val="single" w:color="auto" w:sz="4" w:space="0"/>
              <w:right w:val="single" w:color="auto" w:sz="4" w:space="0"/>
            </w:tcBorders>
            <w:noWrap w:val="0"/>
            <w:vAlign w:val="center"/>
          </w:tcPr>
          <w:p w14:paraId="2A56D643">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2</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2D477C10">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权限管理</w:t>
            </w:r>
          </w:p>
        </w:tc>
        <w:tc>
          <w:tcPr>
            <w:tcW w:w="3860" w:type="pct"/>
            <w:tcBorders>
              <w:top w:val="single" w:color="auto" w:sz="4" w:space="0"/>
              <w:left w:val="single" w:color="auto" w:sz="4" w:space="0"/>
              <w:bottom w:val="single" w:color="auto" w:sz="4" w:space="0"/>
              <w:right w:val="single" w:color="auto" w:sz="4" w:space="0"/>
            </w:tcBorders>
            <w:noWrap w:val="0"/>
            <w:vAlign w:val="center"/>
          </w:tcPr>
          <w:p w14:paraId="0654CF6D">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软件具有权限管理功能，可由管理人员根据实际工作需求自由创建业务单位和医务人员角色种类，自由定义各角色所具有的功能权限，满足不同职责医护人员的工作需求。</w:t>
            </w:r>
          </w:p>
        </w:tc>
      </w:tr>
      <w:tr w14:paraId="7FCA2D4E">
        <w:tblPrEx>
          <w:tblCellMar>
            <w:top w:w="0" w:type="dxa"/>
            <w:left w:w="108" w:type="dxa"/>
            <w:bottom w:w="0" w:type="dxa"/>
            <w:right w:w="108" w:type="dxa"/>
          </w:tblCellMar>
        </w:tblPrEx>
        <w:trPr>
          <w:trHeight w:val="2009" w:hRule="atLeast"/>
          <w:jc w:val="center"/>
        </w:trPr>
        <w:tc>
          <w:tcPr>
            <w:tcW w:w="346" w:type="pct"/>
            <w:tcBorders>
              <w:top w:val="single" w:color="auto" w:sz="4" w:space="0"/>
              <w:left w:val="single" w:color="auto" w:sz="4" w:space="0"/>
              <w:bottom w:val="single" w:color="auto" w:sz="4" w:space="0"/>
              <w:right w:val="single" w:color="auto" w:sz="4" w:space="0"/>
            </w:tcBorders>
            <w:noWrap w:val="0"/>
            <w:vAlign w:val="center"/>
          </w:tcPr>
          <w:p w14:paraId="3F0476E4">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3</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5DE235E5">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流程管理</w:t>
            </w:r>
          </w:p>
        </w:tc>
        <w:tc>
          <w:tcPr>
            <w:tcW w:w="3860" w:type="pct"/>
            <w:tcBorders>
              <w:top w:val="single" w:color="auto" w:sz="4" w:space="0"/>
              <w:left w:val="single" w:color="auto" w:sz="4" w:space="0"/>
              <w:bottom w:val="single" w:color="auto" w:sz="4" w:space="0"/>
              <w:right w:val="single" w:color="auto" w:sz="4" w:space="0"/>
            </w:tcBorders>
            <w:noWrap w:val="0"/>
            <w:vAlign w:val="center"/>
          </w:tcPr>
          <w:p w14:paraId="240AAC41">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软件需要具有样本流程信息化管理功能，包含样本登记、样本递送、实验验收、报告审核、报告打印全流程数字化管理；最大程度上对流程进行数字化辅助管理，减少人为出错概率。</w:t>
            </w:r>
          </w:p>
        </w:tc>
      </w:tr>
      <w:tr w14:paraId="737F6C72">
        <w:tblPrEx>
          <w:tblCellMar>
            <w:top w:w="0" w:type="dxa"/>
            <w:left w:w="108" w:type="dxa"/>
            <w:bottom w:w="0" w:type="dxa"/>
            <w:right w:w="108" w:type="dxa"/>
          </w:tblCellMar>
        </w:tblPrEx>
        <w:trPr>
          <w:trHeight w:val="1394" w:hRule="atLeast"/>
          <w:jc w:val="center"/>
        </w:trPr>
        <w:tc>
          <w:tcPr>
            <w:tcW w:w="346" w:type="pct"/>
            <w:tcBorders>
              <w:top w:val="single" w:color="auto" w:sz="4" w:space="0"/>
              <w:left w:val="single" w:color="auto" w:sz="4" w:space="0"/>
              <w:bottom w:val="single" w:color="auto" w:sz="4" w:space="0"/>
              <w:right w:val="single" w:color="auto" w:sz="4" w:space="0"/>
            </w:tcBorders>
            <w:noWrap w:val="0"/>
            <w:vAlign w:val="center"/>
          </w:tcPr>
          <w:p w14:paraId="27BD19BD">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4</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5AAB2D13">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查询统计</w:t>
            </w:r>
          </w:p>
        </w:tc>
        <w:tc>
          <w:tcPr>
            <w:tcW w:w="3860" w:type="pct"/>
            <w:tcBorders>
              <w:top w:val="single" w:color="auto" w:sz="4" w:space="0"/>
              <w:left w:val="single" w:color="auto" w:sz="4" w:space="0"/>
              <w:bottom w:val="single" w:color="auto" w:sz="4" w:space="0"/>
              <w:right w:val="single" w:color="auto" w:sz="4" w:space="0"/>
            </w:tcBorders>
            <w:noWrap w:val="0"/>
            <w:vAlign w:val="center"/>
          </w:tcPr>
          <w:p w14:paraId="3C52D13B">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软件要具有全面的查询功能，可自定义查询条件进行检索，查询结果可导EXCEL，导出列表可自定义。</w:t>
            </w:r>
          </w:p>
        </w:tc>
      </w:tr>
      <w:tr w14:paraId="22A12571">
        <w:tblPrEx>
          <w:tblCellMar>
            <w:top w:w="0" w:type="dxa"/>
            <w:left w:w="108" w:type="dxa"/>
            <w:bottom w:w="0" w:type="dxa"/>
            <w:right w:w="108" w:type="dxa"/>
          </w:tblCellMar>
        </w:tblPrEx>
        <w:trPr>
          <w:trHeight w:val="2009" w:hRule="atLeast"/>
          <w:jc w:val="center"/>
        </w:trPr>
        <w:tc>
          <w:tcPr>
            <w:tcW w:w="346" w:type="pct"/>
            <w:tcBorders>
              <w:top w:val="single" w:color="auto" w:sz="4" w:space="0"/>
              <w:left w:val="single" w:color="auto" w:sz="4" w:space="0"/>
              <w:bottom w:val="single" w:color="auto" w:sz="4" w:space="0"/>
              <w:right w:val="single" w:color="auto" w:sz="4" w:space="0"/>
            </w:tcBorders>
            <w:noWrap w:val="0"/>
            <w:vAlign w:val="center"/>
          </w:tcPr>
          <w:p w14:paraId="642602EE">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5</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6777B757">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异常样本处理流程</w:t>
            </w:r>
          </w:p>
        </w:tc>
        <w:tc>
          <w:tcPr>
            <w:tcW w:w="3860" w:type="pct"/>
            <w:tcBorders>
              <w:top w:val="single" w:color="auto" w:sz="4" w:space="0"/>
              <w:left w:val="single" w:color="auto" w:sz="4" w:space="0"/>
              <w:bottom w:val="single" w:color="auto" w:sz="4" w:space="0"/>
              <w:right w:val="single" w:color="auto" w:sz="4" w:space="0"/>
            </w:tcBorders>
            <w:noWrap w:val="0"/>
            <w:vAlign w:val="center"/>
          </w:tcPr>
          <w:p w14:paraId="16EC7918">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软件针对实验结果异常、不合格样本情况，设定专门的管理模块，具有详细的通知管理记录，可记录通知情况和内容，召回后可关联原始样本，方便统计查询。</w:t>
            </w:r>
          </w:p>
        </w:tc>
      </w:tr>
      <w:tr w14:paraId="47C0C344">
        <w:tblPrEx>
          <w:tblCellMar>
            <w:top w:w="0" w:type="dxa"/>
            <w:left w:w="108" w:type="dxa"/>
            <w:bottom w:w="0" w:type="dxa"/>
            <w:right w:w="108" w:type="dxa"/>
          </w:tblCellMar>
        </w:tblPrEx>
        <w:trPr>
          <w:trHeight w:val="1394" w:hRule="atLeast"/>
          <w:jc w:val="center"/>
        </w:trPr>
        <w:tc>
          <w:tcPr>
            <w:tcW w:w="346" w:type="pct"/>
            <w:tcBorders>
              <w:top w:val="single" w:color="auto" w:sz="4" w:space="0"/>
              <w:left w:val="single" w:color="auto" w:sz="4" w:space="0"/>
              <w:bottom w:val="single" w:color="auto" w:sz="4" w:space="0"/>
              <w:right w:val="single" w:color="auto" w:sz="4" w:space="0"/>
            </w:tcBorders>
            <w:noWrap w:val="0"/>
            <w:vAlign w:val="center"/>
          </w:tcPr>
          <w:p w14:paraId="24ADD010">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6</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68564945">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数据对接</w:t>
            </w:r>
          </w:p>
        </w:tc>
        <w:tc>
          <w:tcPr>
            <w:tcW w:w="3860" w:type="pct"/>
            <w:tcBorders>
              <w:top w:val="single" w:color="auto" w:sz="4" w:space="0"/>
              <w:left w:val="single" w:color="auto" w:sz="4" w:space="0"/>
              <w:bottom w:val="single" w:color="auto" w:sz="4" w:space="0"/>
              <w:right w:val="single" w:color="auto" w:sz="4" w:space="0"/>
            </w:tcBorders>
            <w:noWrap w:val="0"/>
            <w:vAlign w:val="center"/>
          </w:tcPr>
          <w:p w14:paraId="7CD246F0">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软件能提供通用数据接口，能与湖南省出生缺陷防治信息平台产前筛查与诊断信息系统对接。</w:t>
            </w:r>
          </w:p>
        </w:tc>
      </w:tr>
      <w:tr w14:paraId="0035652E">
        <w:tblPrEx>
          <w:tblCellMar>
            <w:top w:w="0" w:type="dxa"/>
            <w:left w:w="108" w:type="dxa"/>
            <w:bottom w:w="0" w:type="dxa"/>
            <w:right w:w="108" w:type="dxa"/>
          </w:tblCellMar>
        </w:tblPrEx>
        <w:trPr>
          <w:trHeight w:val="882" w:hRule="atLeast"/>
          <w:jc w:val="center"/>
        </w:trPr>
        <w:tc>
          <w:tcPr>
            <w:tcW w:w="346" w:type="pct"/>
            <w:tcBorders>
              <w:top w:val="single" w:color="auto" w:sz="4" w:space="0"/>
              <w:left w:val="single" w:color="auto" w:sz="4" w:space="0"/>
              <w:bottom w:val="single" w:color="auto" w:sz="4" w:space="0"/>
              <w:right w:val="single" w:color="auto" w:sz="4" w:space="0"/>
            </w:tcBorders>
            <w:noWrap w:val="0"/>
            <w:vAlign w:val="center"/>
          </w:tcPr>
          <w:p w14:paraId="03601432">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7</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47BFCE82">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信息安全</w:t>
            </w:r>
          </w:p>
        </w:tc>
        <w:tc>
          <w:tcPr>
            <w:tcW w:w="3860" w:type="pct"/>
            <w:tcBorders>
              <w:top w:val="single" w:color="auto" w:sz="4" w:space="0"/>
              <w:left w:val="single" w:color="auto" w:sz="4" w:space="0"/>
              <w:bottom w:val="single" w:color="auto" w:sz="4" w:space="0"/>
              <w:right w:val="single" w:color="auto" w:sz="4" w:space="0"/>
            </w:tcBorders>
            <w:noWrap w:val="0"/>
            <w:vAlign w:val="center"/>
          </w:tcPr>
          <w:p w14:paraId="588C67EE">
            <w:pPr>
              <w:pStyle w:val="9"/>
              <w:spacing w:before="156" w:beforeLines="50" w:line="240" w:lineRule="atLeast"/>
              <w:ind w:firstLine="0" w:firstLineChars="0"/>
              <w:rPr>
                <w:rFonts w:hint="eastAsia" w:ascii="宋体" w:hAnsi="宋体" w:cs="宋体"/>
                <w:color w:val="auto"/>
                <w:szCs w:val="21"/>
                <w:lang w:val="en-US" w:eastAsia="zh-CN"/>
              </w:rPr>
            </w:pPr>
            <w:r>
              <w:rPr>
                <w:rFonts w:hint="eastAsia" w:ascii="宋体" w:hAnsi="宋体" w:cs="宋体"/>
                <w:color w:val="auto"/>
                <w:szCs w:val="21"/>
                <w:lang w:val="en-US" w:eastAsia="zh-CN"/>
              </w:rPr>
              <w:t>由于软件会录入病人敏感信息，近一年内通过三级等保认证</w:t>
            </w:r>
          </w:p>
        </w:tc>
      </w:tr>
    </w:tbl>
    <w:p w14:paraId="6ADC9D17">
      <w:pPr>
        <w:pStyle w:val="9"/>
        <w:spacing w:line="240" w:lineRule="atLeast"/>
        <w:ind w:firstLine="0" w:firstLineChars="0"/>
        <w:rPr>
          <w:rFonts w:hint="eastAsia" w:ascii="宋体" w:hAnsi="宋体" w:cs="宋体"/>
          <w:color w:val="auto"/>
          <w:szCs w:val="21"/>
        </w:rPr>
      </w:pPr>
    </w:p>
    <w:p w14:paraId="60D9F7DA">
      <w:pPr>
        <w:pStyle w:val="9"/>
        <w:spacing w:line="240" w:lineRule="atLeast"/>
        <w:ind w:firstLine="422"/>
        <w:rPr>
          <w:rFonts w:hint="eastAsia" w:ascii="宋体" w:hAnsi="宋体" w:cs="宋体"/>
          <w:color w:val="auto"/>
          <w:szCs w:val="21"/>
        </w:rPr>
      </w:pPr>
      <w:r>
        <w:rPr>
          <w:rFonts w:hint="eastAsia" w:ascii="宋体" w:hAnsi="宋体" w:cs="宋体"/>
          <w:b/>
          <w:bCs/>
          <w:color w:val="auto"/>
          <w:szCs w:val="21"/>
        </w:rPr>
        <w:t>1.5项目开展：</w:t>
      </w:r>
      <w:r>
        <w:rPr>
          <w:rFonts w:hint="eastAsia" w:ascii="宋体" w:hAnsi="宋体" w:cs="宋体"/>
          <w:color w:val="auto"/>
          <w:szCs w:val="21"/>
        </w:rPr>
        <w:t>具备线上管理小程序，独立或与科室、院内公众号绑定，小程序集成开单、支付、开具票据、项目信息自主录入、报告结果查询等；小程序支持项目自定义宣教管理，线上表单内容自定义管理，支付订单统计管理等；支持提供线上转院或转诊流程，支持从患者端或医护端的线上转院或转诊模块，支持自定义线上转院转诊的医院排班管理等功能。</w:t>
      </w:r>
    </w:p>
    <w:p w14:paraId="055985C1">
      <w:pPr>
        <w:pStyle w:val="9"/>
        <w:spacing w:line="240" w:lineRule="atLeast"/>
        <w:ind w:firstLine="422"/>
        <w:rPr>
          <w:rFonts w:hint="eastAsia" w:ascii="宋体" w:hAnsi="宋体" w:cs="宋体"/>
          <w:color w:val="auto"/>
          <w:szCs w:val="21"/>
        </w:rPr>
      </w:pPr>
      <w:r>
        <w:rPr>
          <w:rFonts w:hint="eastAsia" w:ascii="宋体" w:hAnsi="宋体" w:cs="宋体"/>
          <w:b/>
          <w:bCs/>
          <w:color w:val="auto"/>
          <w:szCs w:val="21"/>
        </w:rPr>
        <w:t>1.6转诊服务：</w:t>
      </w:r>
      <w:r>
        <w:rPr>
          <w:rFonts w:hint="eastAsia" w:ascii="宋体" w:hAnsi="宋体" w:cs="宋体"/>
          <w:color w:val="auto"/>
          <w:szCs w:val="21"/>
        </w:rPr>
        <w:t>与本省产前诊断中心有合作协议，可协助建立阳性携带者或高风险夫妇的疑难遗传咨询及产前诊断转诊通道服务。</w:t>
      </w:r>
    </w:p>
    <w:p w14:paraId="6CC68CD8">
      <w:pPr>
        <w:pStyle w:val="9"/>
        <w:spacing w:line="240" w:lineRule="atLeast"/>
        <w:ind w:left="567" w:firstLine="0" w:firstLineChars="0"/>
        <w:rPr>
          <w:rFonts w:hint="eastAsia" w:ascii="宋体" w:hAnsi="宋体" w:cs="宋体"/>
          <w:color w:val="auto"/>
          <w:szCs w:val="21"/>
        </w:rPr>
      </w:pPr>
      <w:r>
        <w:rPr>
          <w:rFonts w:hint="eastAsia" w:ascii="宋体" w:hAnsi="宋体" w:cs="宋体"/>
          <w:b/>
          <w:bCs/>
          <w:color w:val="auto"/>
          <w:szCs w:val="21"/>
        </w:rPr>
        <w:t>1.7验证服务：</w:t>
      </w:r>
      <w:r>
        <w:rPr>
          <w:rFonts w:hint="eastAsia" w:ascii="宋体" w:hAnsi="宋体" w:cs="宋体"/>
          <w:color w:val="auto"/>
          <w:szCs w:val="21"/>
        </w:rPr>
        <w:t>能为携带者筛查项目检测出的单基因病高风险夫妻提供产前验证服务。</w:t>
      </w:r>
    </w:p>
    <w:p w14:paraId="210FB300">
      <w:pPr>
        <w:pStyle w:val="9"/>
        <w:spacing w:line="240" w:lineRule="atLeast"/>
        <w:ind w:left="567" w:firstLine="0" w:firstLineChars="0"/>
        <w:rPr>
          <w:rFonts w:hint="eastAsia" w:ascii="宋体" w:hAnsi="宋体" w:cs="宋体"/>
          <w:color w:val="auto"/>
          <w:szCs w:val="21"/>
        </w:rPr>
      </w:pPr>
      <w:r>
        <w:rPr>
          <w:rFonts w:hint="eastAsia" w:ascii="宋体" w:hAnsi="宋体" w:cs="宋体"/>
          <w:b/>
          <w:bCs/>
          <w:color w:val="auto"/>
          <w:szCs w:val="21"/>
        </w:rPr>
        <w:t>1.8产前筛查体系服务经验：</w:t>
      </w:r>
      <w:r>
        <w:rPr>
          <w:rFonts w:hint="eastAsia" w:ascii="宋体" w:hAnsi="宋体" w:cs="宋体"/>
          <w:color w:val="auto"/>
          <w:szCs w:val="21"/>
        </w:rPr>
        <w:t>在省内具有符合公共卫生要求的产前筛查体系化或区域网络建设的服务经验。</w:t>
      </w:r>
    </w:p>
    <w:p w14:paraId="137BEA37">
      <w:pPr>
        <w:pStyle w:val="9"/>
        <w:spacing w:line="240" w:lineRule="atLeast"/>
        <w:ind w:left="567" w:firstLine="0" w:firstLineChars="0"/>
        <w:rPr>
          <w:rFonts w:hint="eastAsia" w:ascii="宋体" w:hAnsi="宋体" w:cs="宋体"/>
          <w:color w:val="auto"/>
          <w:szCs w:val="21"/>
        </w:rPr>
      </w:pPr>
      <w:r>
        <w:rPr>
          <w:rFonts w:hint="eastAsia" w:ascii="宋体" w:hAnsi="宋体" w:cs="宋体"/>
          <w:b/>
          <w:bCs/>
          <w:color w:val="auto"/>
          <w:szCs w:val="21"/>
        </w:rPr>
        <w:t>1.9投标人科研能力：</w:t>
      </w:r>
      <w:r>
        <w:rPr>
          <w:rFonts w:hint="eastAsia" w:ascii="宋体" w:hAnsi="宋体" w:cs="宋体"/>
          <w:color w:val="auto"/>
          <w:szCs w:val="21"/>
        </w:rPr>
        <w:t>具备优秀的单基因病科研服务能力，参加国家级重点研发计划优先。</w:t>
      </w:r>
    </w:p>
    <w:p w14:paraId="5E2FE36F">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2、样本交接、保存要求</w:t>
      </w:r>
    </w:p>
    <w:p w14:paraId="643DECCC">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2.1 医院对采集的样本进行前处理和存储，并注明样本的检测信息，如：患者基本信息（姓名+病案号），样本类型、项目名称、采集时间等。</w:t>
      </w:r>
    </w:p>
    <w:p w14:paraId="595C31ED">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2.2 医院将样本统一收集存放在指定地点，安排人员与中标供应商进行样本的交接、签收工作，医院收集样本所需的耗材由中标供应商提供。</w:t>
      </w:r>
    </w:p>
    <w:p w14:paraId="255CB277">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2.3中标供应商应每天安排上门收取标本。</w:t>
      </w:r>
    </w:p>
    <w:p w14:paraId="57028420">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2.4 样本的保存：中标供应商应按国家和行业标准对样本进行保存。</w:t>
      </w:r>
    </w:p>
    <w:p w14:paraId="34318F44">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2.5对体检等有大批量检测需求的情况，医院将提前7天通知中标供应商，中标供应商应及时做好准备工作，在规定时间内完成检测工作。</w:t>
      </w:r>
    </w:p>
    <w:p w14:paraId="177077EE">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2.6中标供应商须根据采购人需求，免费提供采购人用于相关标本存放用品、耗材等，提供每次到货清单、合格证、医疗器械注册证等。</w:t>
      </w:r>
    </w:p>
    <w:p w14:paraId="6462A192">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3、运输冷链系统要求</w:t>
      </w:r>
    </w:p>
    <w:p w14:paraId="1D73C7A0">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3.1 所有样本的运送必须符合样本温度的管理要求，采用相应的冷链运送技术。采用符合相关标准的冷链物流车或转送车辆及冷链物流箱，冷链物流车或转送车辆及冷链物流箱配备数量满足标本转送要求。</w:t>
      </w:r>
    </w:p>
    <w:p w14:paraId="4ADE33EF">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3.2提供可实时监控物流各个环节的温度的系统和终端设备，能够对物流的全程进行温度监控、报警及记录，能够对整个过程进行溯源管理，并能够提交相关记录的纸质文档，以留档备查。一年3次以上无法进行运送温度溯源，医院有权终止合同，并追究相关损失。</w:t>
      </w:r>
    </w:p>
    <w:p w14:paraId="65279C5F">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3.3中标供应商负责全程冷链运送现有的标本。</w:t>
      </w:r>
    </w:p>
    <w:p w14:paraId="3EB34158">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3.4样本交接及运送过程必须符合样本的安全管理要求。</w:t>
      </w:r>
    </w:p>
    <w:p w14:paraId="0500E4AE">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3.5运输车辆拥有运输标本专业设备，可以应对突发生物安全事件的现场处置。</w:t>
      </w:r>
    </w:p>
    <w:p w14:paraId="7569B8FE">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4.结果查询</w:t>
      </w:r>
    </w:p>
    <w:p w14:paraId="269EFD04">
      <w:pPr>
        <w:pStyle w:val="11"/>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4.1提供网上查询服务，随时查询进度和结果。提供电话查询服务，危急值专人电话跟进，确保患者检测信息与临床医生的畅通。</w:t>
      </w:r>
    </w:p>
    <w:p w14:paraId="4033D6E3">
      <w:pPr>
        <w:pStyle w:val="11"/>
        <w:spacing w:line="240" w:lineRule="atLeast"/>
        <w:ind w:firstLine="420" w:firstLineChars="200"/>
        <w:rPr>
          <w:rFonts w:hint="eastAsia" w:ascii="宋体" w:hAnsi="宋体" w:cs="宋体"/>
          <w:color w:val="auto"/>
          <w:szCs w:val="21"/>
          <w:lang w:bidi="ar"/>
        </w:rPr>
      </w:pPr>
      <w:r>
        <w:rPr>
          <w:rFonts w:hint="eastAsia" w:ascii="宋体" w:hAnsi="宋体" w:cs="宋体"/>
          <w:color w:val="auto"/>
          <w:szCs w:val="21"/>
          <w:lang w:bidi="ar"/>
        </w:rPr>
        <w:t>4.2可追溯性：医院医务人员可以随时调阅检测结果，投标人须保证病人的资料的准确性和检验结果的及时性，并提供系统使用的必要培训与技术支持。</w:t>
      </w:r>
    </w:p>
    <w:p w14:paraId="4735E3B1">
      <w:pPr>
        <w:pStyle w:val="9"/>
        <w:spacing w:line="240" w:lineRule="atLeast"/>
        <w:jc w:val="left"/>
        <w:rPr>
          <w:rFonts w:hint="eastAsia" w:ascii="宋体" w:hAnsi="宋体" w:cs="宋体"/>
          <w:color w:val="auto"/>
          <w:kern w:val="0"/>
          <w:szCs w:val="21"/>
          <w:lang w:bidi="ar"/>
        </w:rPr>
      </w:pPr>
      <w:r>
        <w:rPr>
          <w:rFonts w:hint="eastAsia" w:ascii="宋体" w:hAnsi="宋体" w:cs="宋体"/>
          <w:color w:val="auto"/>
          <w:kern w:val="0"/>
          <w:szCs w:val="21"/>
          <w:lang w:bidi="ar"/>
        </w:rPr>
        <w:t>4.3报告时间：按照检测项目常规报告时间提供检测结果，并能满足招标方急诊项目的优先检测需要。</w:t>
      </w:r>
    </w:p>
    <w:p w14:paraId="3D9E8EDD">
      <w:pPr>
        <w:pStyle w:val="10"/>
        <w:spacing w:line="240" w:lineRule="atLeast"/>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4.4如医院对检测结果有异议，并在样本保存有效期内提出，中标供应商应无条件免费重新检测。</w:t>
      </w:r>
    </w:p>
    <w:p w14:paraId="09948BB5">
      <w:pPr>
        <w:spacing w:line="240" w:lineRule="atLeast"/>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5.售后服务</w:t>
      </w:r>
    </w:p>
    <w:p w14:paraId="6D11F0D2">
      <w:pPr>
        <w:spacing w:line="240" w:lineRule="atLeast"/>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投标人需提供免费服务电话、网络查询、微信查询等多种渠道供采购人相关临床部门进行业务咨询、报告查询、账单查询统计功能。制定完善制定和流程保障上门服务，并派驻具有医学检验背景的专业人员提供上门售后服务。</w:t>
      </w:r>
    </w:p>
    <w:p w14:paraId="12E4CED3">
      <w:pPr>
        <w:spacing w:line="240" w:lineRule="atLeast"/>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6.应急服务</w:t>
      </w:r>
    </w:p>
    <w:p w14:paraId="650816EB">
      <w:pPr>
        <w:spacing w:line="240" w:lineRule="atLeast"/>
        <w:rPr>
          <w:rFonts w:hint="eastAsia" w:ascii="宋体" w:hAnsi="宋体" w:cs="宋体"/>
          <w:color w:val="auto"/>
          <w:kern w:val="0"/>
          <w:szCs w:val="21"/>
          <w:lang w:bidi="ar"/>
        </w:rPr>
      </w:pPr>
      <w:r>
        <w:rPr>
          <w:rFonts w:hint="eastAsia" w:ascii="宋体" w:hAnsi="宋体" w:cs="宋体"/>
          <w:color w:val="auto"/>
          <w:kern w:val="0"/>
          <w:szCs w:val="21"/>
          <w:lang w:bidi="ar"/>
        </w:rPr>
        <w:t>投标人应有完整的应急预案，对于院方的突发状况应有快速反应机制，在接到采购人需求的2小时内及时沟通处理，4小时内到达医院。</w:t>
      </w:r>
    </w:p>
    <w:p w14:paraId="0356D2A0">
      <w:pPr>
        <w:widowControl/>
        <w:spacing w:line="500" w:lineRule="exact"/>
        <w:ind w:firstLine="420" w:firstLineChars="200"/>
        <w:jc w:val="left"/>
        <w:rPr>
          <w:rFonts w:hint="eastAsia" w:ascii="宋体" w:hAnsi="宋体" w:cs="宋体"/>
          <w:iCs/>
          <w:color w:val="auto"/>
          <w:kern w:val="0"/>
          <w:szCs w:val="21"/>
          <w:u w:val="single"/>
        </w:rPr>
      </w:pPr>
      <w:r>
        <w:rPr>
          <w:rFonts w:hint="eastAsia" w:ascii="宋体" w:hAnsi="宋体" w:cs="宋体"/>
          <w:iCs/>
          <w:color w:val="auto"/>
          <w:kern w:val="0"/>
          <w:szCs w:val="21"/>
        </w:rPr>
        <w:t>★7.检验项目价格有变化时根据文件相关政策作相应调整，但中标折扣不变，中标人不得因价格变动而要求提升折扣。（</w:t>
      </w:r>
      <w:r>
        <w:rPr>
          <w:rFonts w:hint="eastAsia" w:ascii="宋体" w:hAnsi="宋体" w:cs="宋体"/>
          <w:b/>
          <w:color w:val="auto"/>
          <w:szCs w:val="21"/>
        </w:rPr>
        <w:t>本项目按折扣报价，其中包3的报价折扣</w:t>
      </w:r>
      <w:r>
        <w:rPr>
          <w:rFonts w:hint="eastAsia" w:ascii="宋体" w:hAnsi="宋体" w:cs="宋体"/>
          <w:b/>
          <w:color w:val="auto"/>
          <w:szCs w:val="21"/>
          <w:lang w:val="en-US" w:eastAsia="zh-CN"/>
        </w:rPr>
        <w:t>不高于80%（含</w:t>
      </w:r>
      <w:r>
        <w:rPr>
          <w:rFonts w:hint="eastAsia" w:ascii="宋体" w:hAnsi="宋体" w:cs="宋体"/>
          <w:b/>
          <w:color w:val="auto"/>
          <w:szCs w:val="21"/>
        </w:rPr>
        <w:t>）。</w:t>
      </w:r>
      <w:r>
        <w:rPr>
          <w:rFonts w:hint="eastAsia" w:ascii="宋体" w:hAnsi="宋体" w:cs="宋体"/>
          <w:iCs/>
          <w:color w:val="auto"/>
          <w:kern w:val="0"/>
          <w:szCs w:val="21"/>
        </w:rPr>
        <w:t xml:space="preserve">               </w:t>
      </w:r>
    </w:p>
    <w:p w14:paraId="113CBDE7">
      <w:pPr>
        <w:widowControl/>
        <w:numPr>
          <w:ilvl w:val="0"/>
          <w:numId w:val="9"/>
        </w:numPr>
        <w:spacing w:line="500" w:lineRule="exact"/>
        <w:jc w:val="left"/>
        <w:rPr>
          <w:rFonts w:hint="eastAsia" w:ascii="宋体" w:hAnsi="宋体" w:cs="宋体"/>
          <w:b/>
          <w:bCs/>
          <w:color w:val="auto"/>
          <w:kern w:val="0"/>
          <w:szCs w:val="21"/>
        </w:rPr>
      </w:pPr>
      <w:r>
        <w:rPr>
          <w:rFonts w:hint="eastAsia" w:ascii="宋体" w:hAnsi="宋体" w:cs="宋体"/>
          <w:b/>
          <w:bCs/>
          <w:color w:val="auto"/>
          <w:kern w:val="0"/>
          <w:szCs w:val="21"/>
        </w:rPr>
        <w:t>商务要求</w:t>
      </w:r>
    </w:p>
    <w:p w14:paraId="17719849">
      <w:pPr>
        <w:widowControl/>
        <w:spacing w:line="500" w:lineRule="exact"/>
        <w:ind w:firstLine="420" w:firstLineChars="200"/>
        <w:jc w:val="left"/>
        <w:rPr>
          <w:rFonts w:hint="eastAsia" w:ascii="宋体" w:hAnsi="宋体" w:cs="宋体"/>
          <w:b/>
          <w:bCs/>
          <w:color w:val="auto"/>
          <w:kern w:val="0"/>
          <w:szCs w:val="21"/>
        </w:rPr>
      </w:pPr>
      <w:r>
        <w:rPr>
          <w:rFonts w:hint="eastAsia" w:ascii="宋体" w:hAnsi="宋体" w:cs="宋体"/>
          <w:iCs/>
          <w:color w:val="auto"/>
          <w:kern w:val="0"/>
          <w:szCs w:val="21"/>
        </w:rPr>
        <w:t>地点：岳阳市妇幼保健院</w:t>
      </w:r>
    </w:p>
    <w:p w14:paraId="43AD8B99">
      <w:pPr>
        <w:widowControl/>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服务期：2026年10月-2027年9月。</w:t>
      </w:r>
    </w:p>
    <w:p w14:paraId="5F916B1E">
      <w:pPr>
        <w:widowControl/>
        <w:spacing w:line="500" w:lineRule="exact"/>
        <w:ind w:firstLine="420" w:firstLineChars="200"/>
        <w:jc w:val="left"/>
        <w:rPr>
          <w:rFonts w:hint="eastAsia" w:ascii="宋体" w:hAnsi="宋体" w:cs="宋体"/>
          <w:color w:val="auto"/>
          <w:kern w:val="0"/>
          <w:szCs w:val="21"/>
          <w:lang w:bidi="ar"/>
        </w:rPr>
      </w:pPr>
      <w:r>
        <w:rPr>
          <w:rFonts w:hint="eastAsia" w:ascii="宋体" w:hAnsi="宋体" w:cs="宋体"/>
          <w:iCs/>
          <w:color w:val="auto"/>
          <w:kern w:val="0"/>
          <w:szCs w:val="21"/>
        </w:rPr>
        <w:t>付款方式：1、合同签订执行后根据每月检测订单实际完成量乘以中标单价，按月进行结算。2、实际完成量确认：以医院外送标本签收入库、结果审核完成的记录为准，结算前与医院确认。3、乙方开具正规税务发票，甲方财务科收到发票后30日内支付检验费用，支付方式为银行转账。</w:t>
      </w:r>
    </w:p>
    <w:p w14:paraId="70986F77">
      <w:pPr>
        <w:pStyle w:val="13"/>
        <w:adjustRightInd w:val="0"/>
        <w:snapToGrid w:val="0"/>
        <w:spacing w:before="156" w:beforeLines="50" w:line="380" w:lineRule="exact"/>
        <w:ind w:firstLine="420" w:firstLineChars="200"/>
        <w:rPr>
          <w:rFonts w:hint="eastAsia" w:ascii="宋体" w:hAnsi="宋体" w:cs="宋体"/>
          <w:color w:val="auto"/>
          <w:szCs w:val="21"/>
        </w:rPr>
      </w:pPr>
      <w:r>
        <w:rPr>
          <w:rFonts w:hint="eastAsia" w:ascii="宋体" w:hAnsi="宋体" w:cs="宋体"/>
          <w:color w:val="auto"/>
          <w:szCs w:val="21"/>
        </w:rPr>
        <w:t>注：（一）本项目不允许中标后转让或者分包。</w:t>
      </w:r>
    </w:p>
    <w:p w14:paraId="0113086D">
      <w:pPr>
        <w:spacing w:line="380" w:lineRule="exact"/>
        <w:ind w:firstLine="630" w:firstLineChars="300"/>
        <w:jc w:val="left"/>
        <w:rPr>
          <w:rFonts w:hint="eastAsia" w:ascii="宋体" w:hAnsi="宋体" w:cs="宋体"/>
          <w:color w:val="auto"/>
          <w:szCs w:val="21"/>
        </w:rPr>
      </w:pPr>
      <w:r>
        <w:rPr>
          <w:rFonts w:hint="eastAsia" w:ascii="宋体" w:hAnsi="宋体" w:cs="宋体"/>
          <w:color w:val="auto"/>
          <w:szCs w:val="21"/>
        </w:rPr>
        <w:t xml:space="preserve">★（二）本项目分为三个包，投标人可对任意一包进行投标，也可以同时对多个包进行投标。须分包制作投标文件。本项目实行每个投标人只允许中一个包原则，按包号顺序分包定标，即：第一包→第二包→第三包的顺序。已被选为第一中标候选人的投标人不再参与其他包的评审，以此类推。若其他包有效投标人单位不足三家，则该包作废标处理。 </w:t>
      </w:r>
    </w:p>
    <w:p w14:paraId="3D9CA4B0">
      <w:pPr>
        <w:widowControl/>
        <w:adjustRightInd w:val="0"/>
        <w:snapToGrid w:val="0"/>
        <w:spacing w:line="380" w:lineRule="exact"/>
        <w:ind w:firstLine="630" w:firstLineChars="300"/>
        <w:jc w:val="left"/>
        <w:rPr>
          <w:rFonts w:hint="eastAsia" w:ascii="宋体" w:hAnsi="宋体" w:cs="宋体"/>
          <w:b/>
          <w:bCs/>
          <w:color w:val="auto"/>
          <w:szCs w:val="21"/>
        </w:rPr>
      </w:pPr>
      <w:r>
        <w:rPr>
          <w:rFonts w:hint="eastAsia" w:ascii="宋体" w:hAnsi="宋体" w:cs="宋体"/>
          <w:color w:val="auto"/>
          <w:szCs w:val="21"/>
        </w:rPr>
        <w:t>（三）其他未尽事项甲乙双方在合同中详细约定（以合同约定为准。）</w:t>
      </w:r>
    </w:p>
    <w:p w14:paraId="4EE93D50">
      <w:pPr>
        <w:pStyle w:val="3"/>
        <w:adjustRightInd w:val="0"/>
        <w:snapToGrid w:val="0"/>
        <w:spacing w:line="360" w:lineRule="auto"/>
        <w:outlineLvl w:val="0"/>
        <w:rPr>
          <w:rFonts w:hint="eastAsia" w:ascii="黑体" w:hAnsi="华文中宋" w:eastAsia="黑体"/>
          <w:b/>
          <w:color w:val="auto"/>
          <w:sz w:val="32"/>
          <w:szCs w:val="32"/>
        </w:rPr>
      </w:pPr>
      <w:r>
        <w:rPr>
          <w:rFonts w:ascii="宋体" w:hAnsi="宋体" w:eastAsia="宋体" w:cs="宋体"/>
          <w:sz w:val="24"/>
          <w:szCs w:val="24"/>
        </w:rPr>
        <w:t>★投标人如参与本项目一个或多个包投标的，应针对</w:t>
      </w:r>
      <w:r>
        <w:rPr>
          <w:rStyle w:val="7"/>
          <w:rFonts w:ascii="宋体" w:hAnsi="宋体" w:eastAsia="宋体" w:cs="宋体"/>
          <w:sz w:val="24"/>
          <w:szCs w:val="24"/>
        </w:rPr>
        <w:t>其所投每个包</w:t>
      </w:r>
      <w:r>
        <w:rPr>
          <w:rFonts w:ascii="宋体" w:hAnsi="宋体" w:eastAsia="宋体" w:cs="宋体"/>
          <w:sz w:val="24"/>
          <w:szCs w:val="24"/>
        </w:rPr>
        <w:t>的项目要求，在投标文件中承诺全部响应并满足该包的各项要求；未参与投标的包无需作出承诺，格式自拟。</w:t>
      </w:r>
    </w:p>
    <w:p w14:paraId="1BA3D67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62F53"/>
    <w:multiLevelType w:val="singleLevel"/>
    <w:tmpl w:val="87462F53"/>
    <w:lvl w:ilvl="0" w:tentative="0">
      <w:start w:val="1"/>
      <w:numFmt w:val="chineseCounting"/>
      <w:suff w:val="nothing"/>
      <w:lvlText w:val="%1、"/>
      <w:lvlJc w:val="left"/>
      <w:rPr>
        <w:rFonts w:hint="eastAsia"/>
      </w:rPr>
    </w:lvl>
  </w:abstractNum>
  <w:abstractNum w:abstractNumId="1">
    <w:nsid w:val="A4C17F7A"/>
    <w:multiLevelType w:val="singleLevel"/>
    <w:tmpl w:val="A4C17F7A"/>
    <w:lvl w:ilvl="0" w:tentative="0">
      <w:start w:val="1"/>
      <w:numFmt w:val="decimal"/>
      <w:suff w:val="nothing"/>
      <w:lvlText w:val="%1、"/>
      <w:lvlJc w:val="left"/>
    </w:lvl>
  </w:abstractNum>
  <w:abstractNum w:abstractNumId="2">
    <w:nsid w:val="A7716D63"/>
    <w:multiLevelType w:val="singleLevel"/>
    <w:tmpl w:val="A7716D63"/>
    <w:lvl w:ilvl="0" w:tentative="0">
      <w:start w:val="1"/>
      <w:numFmt w:val="decimal"/>
      <w:suff w:val="nothing"/>
      <w:lvlText w:val="（%1）"/>
      <w:lvlJc w:val="left"/>
    </w:lvl>
  </w:abstractNum>
  <w:abstractNum w:abstractNumId="3">
    <w:nsid w:val="B8D8A6AC"/>
    <w:multiLevelType w:val="singleLevel"/>
    <w:tmpl w:val="B8D8A6AC"/>
    <w:lvl w:ilvl="0" w:tentative="0">
      <w:start w:val="2"/>
      <w:numFmt w:val="decimal"/>
      <w:lvlText w:val="%1."/>
      <w:lvlJc w:val="left"/>
      <w:pPr>
        <w:tabs>
          <w:tab w:val="left" w:pos="312"/>
        </w:tabs>
      </w:pPr>
    </w:lvl>
  </w:abstractNum>
  <w:abstractNum w:abstractNumId="4">
    <w:nsid w:val="C9A8BEA6"/>
    <w:multiLevelType w:val="singleLevel"/>
    <w:tmpl w:val="C9A8BEA6"/>
    <w:lvl w:ilvl="0" w:tentative="0">
      <w:start w:val="1"/>
      <w:numFmt w:val="decimal"/>
      <w:suff w:val="nothing"/>
      <w:lvlText w:val="（%1）"/>
      <w:lvlJc w:val="left"/>
    </w:lvl>
  </w:abstractNum>
  <w:abstractNum w:abstractNumId="5">
    <w:nsid w:val="DA2F002C"/>
    <w:multiLevelType w:val="singleLevel"/>
    <w:tmpl w:val="DA2F002C"/>
    <w:lvl w:ilvl="0" w:tentative="0">
      <w:start w:val="1"/>
      <w:numFmt w:val="decimal"/>
      <w:lvlText w:val="(%1)"/>
      <w:lvlJc w:val="left"/>
      <w:pPr>
        <w:ind w:left="425" w:hanging="425"/>
      </w:pPr>
      <w:rPr>
        <w:rFonts w:hint="default"/>
      </w:rPr>
    </w:lvl>
  </w:abstractNum>
  <w:abstractNum w:abstractNumId="6">
    <w:nsid w:val="236981E7"/>
    <w:multiLevelType w:val="singleLevel"/>
    <w:tmpl w:val="236981E7"/>
    <w:lvl w:ilvl="0" w:tentative="0">
      <w:start w:val="1"/>
      <w:numFmt w:val="decimal"/>
      <w:lvlText w:val="(%1)"/>
      <w:lvlJc w:val="left"/>
      <w:pPr>
        <w:ind w:left="425" w:hanging="425"/>
      </w:pPr>
      <w:rPr>
        <w:rFonts w:hint="default"/>
      </w:rPr>
    </w:lvl>
  </w:abstractNum>
  <w:abstractNum w:abstractNumId="7">
    <w:nsid w:val="4E1BCD98"/>
    <w:multiLevelType w:val="singleLevel"/>
    <w:tmpl w:val="4E1BCD98"/>
    <w:lvl w:ilvl="0" w:tentative="0">
      <w:start w:val="1"/>
      <w:numFmt w:val="decimal"/>
      <w:lvlText w:val="(%1)"/>
      <w:lvlJc w:val="left"/>
      <w:pPr>
        <w:tabs>
          <w:tab w:val="left" w:pos="312"/>
        </w:tabs>
      </w:pPr>
    </w:lvl>
  </w:abstractNum>
  <w:abstractNum w:abstractNumId="8">
    <w:nsid w:val="58C9FABF"/>
    <w:multiLevelType w:val="singleLevel"/>
    <w:tmpl w:val="58C9FABF"/>
    <w:lvl w:ilvl="0" w:tentative="0">
      <w:start w:val="1"/>
      <w:numFmt w:val="chineseCounting"/>
      <w:suff w:val="nothing"/>
      <w:lvlText w:val="（%1）"/>
      <w:lvlJc w:val="left"/>
      <w:rPr>
        <w:rFonts w:hint="eastAsia"/>
      </w:rPr>
    </w:lvl>
  </w:abstractNum>
  <w:num w:numId="1">
    <w:abstractNumId w:val="3"/>
  </w:num>
  <w:num w:numId="2">
    <w:abstractNumId w:val="8"/>
  </w:num>
  <w:num w:numId="3">
    <w:abstractNumId w:val="5"/>
  </w:num>
  <w:num w:numId="4">
    <w:abstractNumId w:val="6"/>
  </w:num>
  <w:num w:numId="5">
    <w:abstractNumId w:val="2"/>
  </w:num>
  <w:num w:numId="6">
    <w:abstractNumId w:val="4"/>
  </w:num>
  <w:num w:numId="7">
    <w:abstractNumId w:val="7"/>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3C6A1A"/>
    <w:rsid w:val="3CC441C6"/>
    <w:rsid w:val="43B74BA0"/>
    <w:rsid w:val="469D6AD4"/>
    <w:rsid w:val="4D0258E3"/>
    <w:rsid w:val="73990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jc w:val="center"/>
      <w:outlineLvl w:val="0"/>
    </w:pPr>
    <w:rPr>
      <w:b/>
      <w:bCs/>
      <w:kern w:val="0"/>
      <w:sz w:val="24"/>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kern w:val="0"/>
      <w:sz w:val="20"/>
      <w:szCs w:val="21"/>
    </w:rPr>
  </w:style>
  <w:style w:type="paragraph" w:styleId="4">
    <w:name w:val="endnote text"/>
    <w:basedOn w:val="1"/>
    <w:unhideWhenUsed/>
    <w:qFormat/>
    <w:uiPriority w:val="99"/>
    <w:pPr>
      <w:snapToGrid w:val="0"/>
      <w:jc w:val="left"/>
    </w:pPr>
  </w:style>
  <w:style w:type="character" w:styleId="7">
    <w:name w:val="Strong"/>
    <w:qFormat/>
    <w:uiPriority w:val="0"/>
    <w:rPr>
      <w:b/>
      <w:bCs/>
    </w:rPr>
  </w:style>
  <w:style w:type="character" w:customStyle="1" w:styleId="8">
    <w:name w:val="font81"/>
    <w:basedOn w:val="6"/>
    <w:qFormat/>
    <w:uiPriority w:val="0"/>
    <w:rPr>
      <w:rFonts w:hint="eastAsia" w:ascii="宋体" w:hAnsi="宋体" w:eastAsia="宋体" w:cs="宋体"/>
      <w:color w:val="111218"/>
      <w:sz w:val="18"/>
      <w:szCs w:val="18"/>
      <w:u w:val="none"/>
    </w:rPr>
  </w:style>
  <w:style w:type="paragraph" w:styleId="9">
    <w:name w:val="List Paragraph"/>
    <w:basedOn w:val="1"/>
    <w:qFormat/>
    <w:uiPriority w:val="34"/>
    <w:pPr>
      <w:ind w:firstLine="420" w:firstLineChars="200"/>
    </w:pPr>
  </w:style>
  <w:style w:type="paragraph" w:customStyle="1" w:styleId="10">
    <w:name w:val="列表段落1"/>
    <w:basedOn w:val="1"/>
    <w:qFormat/>
    <w:uiPriority w:val="34"/>
    <w:pPr>
      <w:ind w:firstLine="420" w:firstLineChars="200"/>
    </w:pPr>
    <w:rPr>
      <w:rFonts w:ascii="等线" w:hAnsi="等线" w:eastAsia="仿宋"/>
      <w:szCs w:val="22"/>
    </w:rPr>
  </w:style>
  <w:style w:type="paragraph" w:customStyle="1" w:styleId="11">
    <w:name w:val="表格文字"/>
    <w:basedOn w:val="12"/>
    <w:qFormat/>
    <w:uiPriority w:val="99"/>
    <w:pPr>
      <w:adjustRightInd w:val="0"/>
      <w:spacing w:line="420" w:lineRule="atLeast"/>
      <w:jc w:val="left"/>
      <w:textAlignment w:val="baseline"/>
    </w:pPr>
    <w:rPr>
      <w:kern w:val="0"/>
      <w:szCs w:val="22"/>
    </w:rPr>
  </w:style>
  <w:style w:type="paragraph" w:customStyle="1" w:styleId="12">
    <w:name w:val="正文 New New New New New New New New New New New New New New New New New New New New New New New New New New New New New New New New New New New New"/>
    <w:next w:val="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正文_0"/>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2026-09-22T01:53:37Z</dcterms:created>
  <dc:creator>Administrator</dc:creator>
  <cp:lastModifiedBy>Administrator</cp:lastModifiedBy>
  <dcterms:modified xsi:type="dcterms:W3CDTF">2026-09-22T01:54:45Z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eyJoZGlkIjoiYzJhOGNhNWU3MmM0NzJhZmU3ZDcwZjk1NmJhYzBlNDciLCJ1c2VySWQiOiI0NTYwOTcyNjcifQ==</vt:lpwstr>
  </property>
  <property fmtid="{D5CDD505-2E9C-101B-9397-08002B2CF9AE}" pid="4" name="ICV">
    <vt:lpwstr>C8C46B6D43E64BF5B74C2405E8A300C3_12</vt:lpwstr>
  </property>
</Properties>
</file>