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B86E14">
      <w:pPr>
        <w:spacing w:before="196" w:line="227" w:lineRule="auto"/>
        <w:jc w:val="center"/>
        <w:outlineLvl w:val="0"/>
        <w:rPr>
          <w:rFonts w:hint="eastAsia" w:ascii="仿宋" w:hAnsi="仿宋" w:eastAsia="仿宋" w:cs="仿宋"/>
          <w:sz w:val="28"/>
          <w:szCs w:val="28"/>
          <w:highlight w:val="none"/>
        </w:rPr>
      </w:pPr>
      <w:r>
        <w:rPr>
          <w:rFonts w:hint="eastAsia" w:ascii="仿宋" w:hAnsi="仿宋" w:eastAsia="仿宋" w:cs="仿宋"/>
          <w:b/>
          <w:bCs/>
          <w:spacing w:val="5"/>
          <w:sz w:val="28"/>
          <w:szCs w:val="28"/>
          <w:highlight w:val="none"/>
        </w:rPr>
        <w:t>采购需求</w:t>
      </w:r>
    </w:p>
    <w:p w14:paraId="7468F39A">
      <w:pPr>
        <w:keepNext w:val="0"/>
        <w:keepLines w:val="0"/>
        <w:pageBreakBefore w:val="0"/>
        <w:widowControl w:val="0"/>
        <w:kinsoku/>
        <w:wordWrap/>
        <w:overflowPunct/>
        <w:topLinePunct w:val="0"/>
        <w:bidi w:val="0"/>
        <w:spacing w:after="0" w:line="240" w:lineRule="auto"/>
        <w:jc w:val="both"/>
        <w:textAlignment w:val="auto"/>
        <w:outlineLvl w:val="9"/>
        <w:rPr>
          <w:rFonts w:hint="eastAsia" w:ascii="仿宋" w:hAnsi="仿宋" w:eastAsia="仿宋" w:cs="仿宋"/>
          <w:b w:val="0"/>
          <w:bCs w:val="0"/>
          <w:color w:val="auto"/>
          <w:kern w:val="2"/>
          <w:sz w:val="24"/>
          <w:szCs w:val="24"/>
          <w:highlight w:val="none"/>
          <w:u w:val="single"/>
          <w:lang w:val="en-US" w:eastAsia="zh-CN" w:bidi="ar-SA"/>
        </w:rPr>
      </w:pPr>
      <w:bookmarkStart w:id="0" w:name="_Toc16566"/>
      <w:r>
        <w:rPr>
          <w:rFonts w:hint="eastAsia" w:ascii="仿宋" w:hAnsi="仿宋" w:eastAsia="仿宋" w:cs="仿宋"/>
          <w:b w:val="0"/>
          <w:bCs w:val="0"/>
          <w:color w:val="auto"/>
          <w:kern w:val="2"/>
          <w:sz w:val="24"/>
          <w:szCs w:val="24"/>
          <w:highlight w:val="none"/>
          <w:lang w:val="en-US" w:eastAsia="zh-CN" w:bidi="ar-SA"/>
        </w:rPr>
        <w:t>项目名称：</w:t>
      </w:r>
      <w:r>
        <w:rPr>
          <w:rFonts w:hint="eastAsia" w:ascii="仿宋" w:hAnsi="仿宋" w:eastAsia="仿宋" w:cs="仿宋"/>
          <w:b w:val="0"/>
          <w:bCs w:val="0"/>
          <w:color w:val="auto"/>
          <w:kern w:val="2"/>
          <w:sz w:val="24"/>
          <w:szCs w:val="24"/>
          <w:highlight w:val="none"/>
          <w:u w:val="none"/>
          <w:lang w:val="en-US" w:eastAsia="zh-CN" w:bidi="ar-SA"/>
        </w:rPr>
        <w:t>永顺县卫生健康局2025年基层医疗卫生机构医疗设备购置项目（第二期）)</w:t>
      </w:r>
    </w:p>
    <w:p w14:paraId="7B5FB5E4">
      <w:pPr>
        <w:keepNext w:val="0"/>
        <w:keepLines w:val="0"/>
        <w:pageBreakBefore w:val="0"/>
        <w:widowControl w:val="0"/>
        <w:kinsoku/>
        <w:overflowPunct/>
        <w:topLinePunct w:val="0"/>
        <w:autoSpaceDE/>
        <w:autoSpaceDN/>
        <w:bidi w:val="0"/>
        <w:adjustRightInd w:val="0"/>
        <w:snapToGrid w:val="0"/>
        <w:spacing w:line="400" w:lineRule="exact"/>
        <w:ind w:right="0"/>
        <w:jc w:val="both"/>
        <w:textAlignment w:val="auto"/>
        <w:rPr>
          <w:rFonts w:hint="eastAsia" w:ascii="仿宋" w:hAnsi="仿宋" w:eastAsia="仿宋" w:cs="仿宋"/>
          <w:bCs/>
          <w:snapToGrid/>
          <w:kern w:val="2"/>
          <w:sz w:val="24"/>
          <w:szCs w:val="24"/>
          <w:highlight w:val="none"/>
          <w:lang w:val="en-US" w:eastAsia="zh-CN"/>
        </w:rPr>
      </w:pPr>
      <w:r>
        <w:rPr>
          <w:rFonts w:hint="eastAsia" w:ascii="仿宋" w:hAnsi="仿宋" w:eastAsia="仿宋" w:cs="仿宋"/>
          <w:b w:val="0"/>
          <w:bCs w:val="0"/>
          <w:snapToGrid/>
          <w:color w:val="auto"/>
          <w:kern w:val="2"/>
          <w:sz w:val="24"/>
          <w:szCs w:val="24"/>
          <w:highlight w:val="none"/>
          <w:lang w:val="en-US" w:eastAsia="zh-CN"/>
        </w:rPr>
        <w:t>预算金额：</w:t>
      </w:r>
      <w:r>
        <w:rPr>
          <w:rFonts w:hint="eastAsia" w:ascii="仿宋" w:hAnsi="仿宋" w:eastAsia="仿宋" w:cs="仿宋"/>
          <w:bCs/>
          <w:snapToGrid/>
          <w:kern w:val="2"/>
          <w:sz w:val="24"/>
          <w:szCs w:val="24"/>
          <w:highlight w:val="none"/>
          <w:u w:val="none"/>
          <w:lang w:val="en-US" w:eastAsia="zh-CN"/>
        </w:rPr>
        <w:t>876994元</w:t>
      </w:r>
      <w:r>
        <w:rPr>
          <w:rFonts w:hint="eastAsia" w:ascii="仿宋" w:hAnsi="仿宋" w:eastAsia="仿宋" w:cs="仿宋"/>
          <w:bCs/>
          <w:snapToGrid/>
          <w:kern w:val="2"/>
          <w:sz w:val="24"/>
          <w:szCs w:val="24"/>
          <w:highlight w:val="none"/>
          <w:lang w:val="en-US" w:eastAsia="zh-CN"/>
        </w:rPr>
        <w:t>。</w:t>
      </w:r>
    </w:p>
    <w:p w14:paraId="3A8B5CE5">
      <w:pPr>
        <w:widowControl w:val="0"/>
        <w:jc w:val="both"/>
        <w:rPr>
          <w:rFonts w:hint="eastAsia" w:ascii="仿宋" w:hAnsi="仿宋" w:eastAsia="仿宋" w:cs="仿宋"/>
          <w:bCs/>
          <w:kern w:val="2"/>
          <w:sz w:val="24"/>
          <w:szCs w:val="21"/>
          <w:highlight w:val="none"/>
          <w:lang w:val="en-US" w:eastAsia="zh-CN" w:bidi="ar-SA"/>
        </w:rPr>
      </w:pPr>
    </w:p>
    <w:p w14:paraId="40983215">
      <w:pPr>
        <w:widowControl w:val="0"/>
        <w:jc w:val="both"/>
        <w:rPr>
          <w:rFonts w:hint="eastAsia" w:ascii="仿宋" w:hAnsi="仿宋" w:eastAsia="仿宋" w:cs="仿宋"/>
          <w:bCs/>
          <w:kern w:val="2"/>
          <w:sz w:val="24"/>
          <w:szCs w:val="21"/>
          <w:highlight w:val="none"/>
          <w:lang w:val="en-US" w:eastAsia="zh-CN" w:bidi="ar-SA"/>
        </w:rPr>
      </w:pPr>
    </w:p>
    <w:p w14:paraId="5D307AC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1"/>
        <w:rPr>
          <w:rFonts w:hint="eastAsia" w:ascii="仿宋" w:hAnsi="仿宋" w:eastAsia="仿宋" w:cs="仿宋"/>
          <w:b/>
          <w:bCs/>
          <w:snapToGrid/>
          <w:color w:val="auto"/>
          <w:kern w:val="2"/>
          <w:sz w:val="28"/>
          <w:szCs w:val="28"/>
          <w:highlight w:val="none"/>
          <w:lang w:eastAsia="zh-CN"/>
        </w:rPr>
      </w:pPr>
      <w:bookmarkStart w:id="1" w:name="_Toc19480"/>
      <w:r>
        <w:rPr>
          <w:rFonts w:hint="eastAsia" w:ascii="仿宋" w:hAnsi="仿宋" w:eastAsia="仿宋" w:cs="仿宋"/>
          <w:b/>
          <w:bCs/>
          <w:snapToGrid/>
          <w:color w:val="auto"/>
          <w:kern w:val="2"/>
          <w:sz w:val="28"/>
          <w:szCs w:val="28"/>
          <w:lang w:val="en-US" w:eastAsia="zh-CN" w:bidi="ar-SA"/>
        </w:rPr>
        <w:t xml:space="preserve">第一节 </w:t>
      </w:r>
      <w:r>
        <w:rPr>
          <w:rFonts w:hint="eastAsia" w:ascii="仿宋" w:hAnsi="仿宋" w:eastAsia="仿宋" w:cs="仿宋"/>
          <w:b/>
          <w:bCs/>
          <w:snapToGrid/>
          <w:color w:val="auto"/>
          <w:kern w:val="2"/>
          <w:sz w:val="28"/>
          <w:szCs w:val="28"/>
          <w:highlight w:val="none"/>
          <w:lang w:eastAsia="zh-CN"/>
        </w:rPr>
        <w:t>采购清单一览表</w:t>
      </w:r>
      <w:bookmarkEnd w:id="0"/>
      <w:bookmarkEnd w:id="1"/>
    </w:p>
    <w:tbl>
      <w:tblPr>
        <w:tblStyle w:val="7"/>
        <w:tblW w:w="10300"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696"/>
        <w:gridCol w:w="1924"/>
        <w:gridCol w:w="2052"/>
        <w:gridCol w:w="1500"/>
        <w:gridCol w:w="1416"/>
        <w:gridCol w:w="1416"/>
        <w:gridCol w:w="1296"/>
      </w:tblGrid>
      <w:tr w14:paraId="1E69027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696" w:type="dxa"/>
            <w:tcBorders>
              <w:bottom w:val="single" w:color="000000" w:sz="4" w:space="0"/>
              <w:right w:val="single" w:color="000000" w:sz="4" w:space="0"/>
            </w:tcBorders>
            <w:noWrap/>
            <w:vAlign w:val="center"/>
          </w:tcPr>
          <w:p w14:paraId="58B1DA6A">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bookmarkStart w:id="2" w:name="_Toc31082"/>
            <w:bookmarkStart w:id="3" w:name="_Toc12938"/>
            <w:r>
              <w:rPr>
                <w:rFonts w:hint="eastAsia" w:ascii="仿宋" w:hAnsi="仿宋" w:eastAsia="仿宋" w:cs="仿宋"/>
                <w:b w:val="0"/>
                <w:bCs w:val="0"/>
                <w:color w:val="auto"/>
                <w:kern w:val="2"/>
                <w:sz w:val="24"/>
                <w:szCs w:val="24"/>
                <w:highlight w:val="none"/>
                <w:u w:val="none"/>
                <w:lang w:val="en-US" w:eastAsia="zh-CN" w:bidi="ar-SA"/>
              </w:rPr>
              <w:t>包号</w:t>
            </w:r>
          </w:p>
        </w:tc>
        <w:tc>
          <w:tcPr>
            <w:tcW w:w="1924" w:type="dxa"/>
            <w:tcBorders>
              <w:left w:val="single" w:color="000000" w:sz="4" w:space="0"/>
              <w:bottom w:val="single" w:color="000000" w:sz="4" w:space="0"/>
              <w:right w:val="single" w:color="000000" w:sz="4" w:space="0"/>
            </w:tcBorders>
            <w:noWrap/>
            <w:vAlign w:val="center"/>
          </w:tcPr>
          <w:p w14:paraId="1C14DA1B">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包名称</w:t>
            </w:r>
          </w:p>
        </w:tc>
        <w:tc>
          <w:tcPr>
            <w:tcW w:w="2052" w:type="dxa"/>
            <w:tcBorders>
              <w:left w:val="single" w:color="000000" w:sz="4" w:space="0"/>
              <w:bottom w:val="single" w:color="000000" w:sz="4" w:space="0"/>
              <w:right w:val="single" w:color="000000" w:sz="4" w:space="0"/>
            </w:tcBorders>
            <w:noWrap/>
            <w:vAlign w:val="center"/>
          </w:tcPr>
          <w:p w14:paraId="0D49FBFB">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标的名称</w:t>
            </w:r>
          </w:p>
        </w:tc>
        <w:tc>
          <w:tcPr>
            <w:tcW w:w="1500" w:type="dxa"/>
            <w:tcBorders>
              <w:left w:val="single" w:color="000000" w:sz="4" w:space="0"/>
              <w:bottom w:val="single" w:color="000000" w:sz="4" w:space="0"/>
              <w:right w:val="single" w:color="auto" w:sz="4" w:space="0"/>
            </w:tcBorders>
            <w:noWrap w:val="0"/>
            <w:vAlign w:val="center"/>
          </w:tcPr>
          <w:p w14:paraId="66BFA640">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技术要求</w:t>
            </w:r>
          </w:p>
        </w:tc>
        <w:tc>
          <w:tcPr>
            <w:tcW w:w="1416" w:type="dxa"/>
            <w:tcBorders>
              <w:left w:val="single" w:color="auto" w:sz="4" w:space="0"/>
              <w:bottom w:val="single" w:color="000000" w:sz="4" w:space="0"/>
              <w:right w:val="single" w:color="000000" w:sz="4" w:space="0"/>
            </w:tcBorders>
            <w:noWrap/>
            <w:vAlign w:val="center"/>
          </w:tcPr>
          <w:p w14:paraId="79E1DF4C">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数量（台）</w:t>
            </w:r>
          </w:p>
        </w:tc>
        <w:tc>
          <w:tcPr>
            <w:tcW w:w="1416" w:type="dxa"/>
            <w:tcBorders>
              <w:left w:val="single" w:color="000000" w:sz="4" w:space="0"/>
              <w:bottom w:val="single" w:color="000000" w:sz="4" w:space="0"/>
            </w:tcBorders>
            <w:noWrap/>
            <w:vAlign w:val="center"/>
          </w:tcPr>
          <w:p w14:paraId="0673849C">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单价（元）</w:t>
            </w:r>
          </w:p>
        </w:tc>
        <w:tc>
          <w:tcPr>
            <w:tcW w:w="1296" w:type="dxa"/>
            <w:tcBorders>
              <w:left w:val="single" w:color="000000" w:sz="4" w:space="0"/>
              <w:bottom w:val="single" w:color="000000" w:sz="4" w:space="0"/>
            </w:tcBorders>
            <w:noWrap/>
            <w:vAlign w:val="center"/>
          </w:tcPr>
          <w:p w14:paraId="3505948F">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预算（元）</w:t>
            </w:r>
          </w:p>
        </w:tc>
      </w:tr>
      <w:tr w14:paraId="30E3141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696" w:type="dxa"/>
            <w:vMerge w:val="restart"/>
            <w:tcBorders>
              <w:top w:val="single" w:color="000000" w:sz="4" w:space="0"/>
              <w:right w:val="single" w:color="000000" w:sz="4" w:space="0"/>
            </w:tcBorders>
            <w:noWrap/>
            <w:vAlign w:val="center"/>
          </w:tcPr>
          <w:p w14:paraId="511BCE6B">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1</w:t>
            </w:r>
          </w:p>
        </w:tc>
        <w:tc>
          <w:tcPr>
            <w:tcW w:w="1924" w:type="dxa"/>
            <w:vMerge w:val="restart"/>
            <w:tcBorders>
              <w:top w:val="single" w:color="000000" w:sz="4" w:space="0"/>
              <w:left w:val="single" w:color="000000" w:sz="4" w:space="0"/>
              <w:right w:val="single" w:color="000000" w:sz="4" w:space="0"/>
            </w:tcBorders>
            <w:noWrap w:val="0"/>
            <w:vAlign w:val="center"/>
          </w:tcPr>
          <w:p w14:paraId="3D78D219">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永顺县卫生健康局2025年基层医疗卫生机构医疗设备购置项目(第二期)</w:t>
            </w:r>
          </w:p>
        </w:tc>
        <w:tc>
          <w:tcPr>
            <w:tcW w:w="2052" w:type="dxa"/>
            <w:tcBorders>
              <w:top w:val="single" w:color="000000" w:sz="4" w:space="0"/>
              <w:left w:val="single" w:color="000000" w:sz="4" w:space="0"/>
              <w:bottom w:val="single" w:color="000000" w:sz="4" w:space="0"/>
              <w:right w:val="single" w:color="000000" w:sz="4" w:space="0"/>
            </w:tcBorders>
            <w:noWrap w:val="0"/>
            <w:vAlign w:val="center"/>
          </w:tcPr>
          <w:p w14:paraId="0E39EE72">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血液分析仪</w:t>
            </w:r>
          </w:p>
        </w:tc>
        <w:tc>
          <w:tcPr>
            <w:tcW w:w="1500" w:type="dxa"/>
            <w:vMerge w:val="restart"/>
            <w:tcBorders>
              <w:top w:val="single" w:color="000000" w:sz="4" w:space="0"/>
              <w:left w:val="single" w:color="000000" w:sz="4" w:space="0"/>
              <w:right w:val="single" w:color="auto" w:sz="4" w:space="0"/>
            </w:tcBorders>
            <w:noWrap/>
            <w:vAlign w:val="center"/>
          </w:tcPr>
          <w:p w14:paraId="051AC7C6">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详见第二节技术要求</w:t>
            </w:r>
          </w:p>
        </w:tc>
        <w:tc>
          <w:tcPr>
            <w:tcW w:w="1416" w:type="dxa"/>
            <w:tcBorders>
              <w:top w:val="single" w:color="000000" w:sz="4" w:space="0"/>
              <w:left w:val="single" w:color="auto" w:sz="4" w:space="0"/>
              <w:bottom w:val="single" w:color="000000" w:sz="4" w:space="0"/>
              <w:right w:val="single" w:color="000000" w:sz="4" w:space="0"/>
            </w:tcBorders>
            <w:noWrap/>
            <w:vAlign w:val="center"/>
          </w:tcPr>
          <w:p w14:paraId="5EE6D043">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5</w:t>
            </w:r>
          </w:p>
        </w:tc>
        <w:tc>
          <w:tcPr>
            <w:tcW w:w="1416" w:type="dxa"/>
            <w:tcBorders>
              <w:top w:val="single" w:color="000000" w:sz="4" w:space="0"/>
              <w:left w:val="single" w:color="000000" w:sz="4" w:space="0"/>
              <w:bottom w:val="single" w:color="000000" w:sz="4" w:space="0"/>
            </w:tcBorders>
            <w:noWrap/>
            <w:vAlign w:val="center"/>
          </w:tcPr>
          <w:p w14:paraId="5018DBD8">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33000</w:t>
            </w:r>
          </w:p>
        </w:tc>
        <w:tc>
          <w:tcPr>
            <w:tcW w:w="1296" w:type="dxa"/>
            <w:tcBorders>
              <w:top w:val="single" w:color="000000" w:sz="4" w:space="0"/>
              <w:left w:val="single" w:color="000000" w:sz="4" w:space="0"/>
              <w:bottom w:val="single" w:color="000000" w:sz="4" w:space="0"/>
            </w:tcBorders>
            <w:noWrap/>
            <w:vAlign w:val="center"/>
          </w:tcPr>
          <w:p w14:paraId="2D1995D4">
            <w:pPr>
              <w:keepNext w:val="0"/>
              <w:keepLines w:val="0"/>
              <w:pageBreakBefore w:val="0"/>
              <w:widowControl w:val="0"/>
              <w:kinsoku/>
              <w:wordWrap/>
              <w:overflowPunct/>
              <w:topLinePunct w:val="0"/>
              <w:bidi w:val="0"/>
              <w:spacing w:after="0" w:line="240" w:lineRule="auto"/>
              <w:jc w:val="center"/>
              <w:textAlignment w:val="auto"/>
              <w:outlineLvl w:val="9"/>
              <w:rPr>
                <w:rFonts w:hint="default"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165000</w:t>
            </w:r>
          </w:p>
        </w:tc>
      </w:tr>
      <w:tr w14:paraId="5A19751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696" w:type="dxa"/>
            <w:vMerge w:val="continue"/>
            <w:tcBorders>
              <w:right w:val="single" w:color="000000" w:sz="4" w:space="0"/>
            </w:tcBorders>
            <w:noWrap/>
            <w:vAlign w:val="center"/>
          </w:tcPr>
          <w:p w14:paraId="7A3B4359">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1924" w:type="dxa"/>
            <w:vMerge w:val="continue"/>
            <w:tcBorders>
              <w:left w:val="single" w:color="000000" w:sz="4" w:space="0"/>
              <w:right w:val="single" w:color="000000" w:sz="4" w:space="0"/>
            </w:tcBorders>
            <w:noWrap w:val="0"/>
            <w:vAlign w:val="center"/>
          </w:tcPr>
          <w:p w14:paraId="6DB4112D">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2052" w:type="dxa"/>
            <w:tcBorders>
              <w:top w:val="single" w:color="000000" w:sz="4" w:space="0"/>
              <w:left w:val="single" w:color="000000" w:sz="4" w:space="0"/>
              <w:bottom w:val="single" w:color="000000" w:sz="4" w:space="0"/>
              <w:right w:val="single" w:color="000000" w:sz="4" w:space="0"/>
            </w:tcBorders>
            <w:noWrap w:val="0"/>
            <w:vAlign w:val="center"/>
          </w:tcPr>
          <w:p w14:paraId="484FF1DB">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尿液分析仪</w:t>
            </w:r>
          </w:p>
        </w:tc>
        <w:tc>
          <w:tcPr>
            <w:tcW w:w="1500" w:type="dxa"/>
            <w:vMerge w:val="continue"/>
            <w:tcBorders>
              <w:left w:val="single" w:color="000000" w:sz="4" w:space="0"/>
              <w:right w:val="single" w:color="auto" w:sz="4" w:space="0"/>
            </w:tcBorders>
            <w:noWrap/>
            <w:vAlign w:val="center"/>
          </w:tcPr>
          <w:p w14:paraId="0594D22D">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1416" w:type="dxa"/>
            <w:tcBorders>
              <w:top w:val="single" w:color="000000" w:sz="4" w:space="0"/>
              <w:left w:val="single" w:color="auto" w:sz="4" w:space="0"/>
              <w:bottom w:val="single" w:color="000000" w:sz="4" w:space="0"/>
              <w:right w:val="single" w:color="000000" w:sz="4" w:space="0"/>
            </w:tcBorders>
            <w:noWrap/>
            <w:vAlign w:val="center"/>
          </w:tcPr>
          <w:p w14:paraId="367A859D">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6</w:t>
            </w:r>
          </w:p>
        </w:tc>
        <w:tc>
          <w:tcPr>
            <w:tcW w:w="1416" w:type="dxa"/>
            <w:tcBorders>
              <w:top w:val="single" w:color="000000" w:sz="4" w:space="0"/>
              <w:left w:val="single" w:color="000000" w:sz="4" w:space="0"/>
              <w:bottom w:val="single" w:color="000000" w:sz="4" w:space="0"/>
            </w:tcBorders>
            <w:noWrap/>
            <w:vAlign w:val="center"/>
          </w:tcPr>
          <w:p w14:paraId="5EFBB48A">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17000</w:t>
            </w:r>
          </w:p>
        </w:tc>
        <w:tc>
          <w:tcPr>
            <w:tcW w:w="1296" w:type="dxa"/>
            <w:tcBorders>
              <w:top w:val="single" w:color="000000" w:sz="4" w:space="0"/>
              <w:left w:val="single" w:color="000000" w:sz="4" w:space="0"/>
              <w:bottom w:val="single" w:color="000000" w:sz="4" w:space="0"/>
            </w:tcBorders>
            <w:noWrap/>
            <w:vAlign w:val="center"/>
          </w:tcPr>
          <w:p w14:paraId="07AC4916">
            <w:pPr>
              <w:keepNext w:val="0"/>
              <w:keepLines w:val="0"/>
              <w:pageBreakBefore w:val="0"/>
              <w:widowControl w:val="0"/>
              <w:kinsoku/>
              <w:wordWrap/>
              <w:overflowPunct/>
              <w:topLinePunct w:val="0"/>
              <w:bidi w:val="0"/>
              <w:spacing w:after="0" w:line="240" w:lineRule="auto"/>
              <w:jc w:val="center"/>
              <w:textAlignment w:val="auto"/>
              <w:outlineLvl w:val="9"/>
              <w:rPr>
                <w:rFonts w:hint="default"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102000</w:t>
            </w:r>
          </w:p>
        </w:tc>
      </w:tr>
      <w:tr w14:paraId="020C11D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696" w:type="dxa"/>
            <w:vMerge w:val="continue"/>
            <w:tcBorders>
              <w:right w:val="single" w:color="000000" w:sz="4" w:space="0"/>
            </w:tcBorders>
            <w:noWrap/>
            <w:vAlign w:val="center"/>
          </w:tcPr>
          <w:p w14:paraId="015D81BE">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1924" w:type="dxa"/>
            <w:vMerge w:val="continue"/>
            <w:tcBorders>
              <w:left w:val="single" w:color="000000" w:sz="4" w:space="0"/>
              <w:right w:val="single" w:color="000000" w:sz="4" w:space="0"/>
            </w:tcBorders>
            <w:noWrap w:val="0"/>
            <w:vAlign w:val="center"/>
          </w:tcPr>
          <w:p w14:paraId="3C0BE203">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2052" w:type="dxa"/>
            <w:tcBorders>
              <w:top w:val="single" w:color="000000" w:sz="4" w:space="0"/>
              <w:left w:val="single" w:color="000000" w:sz="4" w:space="0"/>
              <w:bottom w:val="single" w:color="000000" w:sz="4" w:space="0"/>
              <w:right w:val="single" w:color="000000" w:sz="4" w:space="0"/>
            </w:tcBorders>
            <w:noWrap w:val="0"/>
            <w:vAlign w:val="center"/>
          </w:tcPr>
          <w:p w14:paraId="1AA2D6DA">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十二导心电图机</w:t>
            </w:r>
          </w:p>
        </w:tc>
        <w:tc>
          <w:tcPr>
            <w:tcW w:w="1500" w:type="dxa"/>
            <w:vMerge w:val="continue"/>
            <w:tcBorders>
              <w:left w:val="single" w:color="000000" w:sz="4" w:space="0"/>
              <w:right w:val="single" w:color="auto" w:sz="4" w:space="0"/>
            </w:tcBorders>
            <w:noWrap/>
            <w:vAlign w:val="center"/>
          </w:tcPr>
          <w:p w14:paraId="6D75064D">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1416" w:type="dxa"/>
            <w:tcBorders>
              <w:top w:val="single" w:color="000000" w:sz="4" w:space="0"/>
              <w:left w:val="single" w:color="auto" w:sz="4" w:space="0"/>
              <w:bottom w:val="single" w:color="000000" w:sz="4" w:space="0"/>
              <w:right w:val="single" w:color="000000" w:sz="4" w:space="0"/>
            </w:tcBorders>
            <w:noWrap/>
            <w:vAlign w:val="center"/>
          </w:tcPr>
          <w:p w14:paraId="64751759">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5</w:t>
            </w:r>
          </w:p>
        </w:tc>
        <w:tc>
          <w:tcPr>
            <w:tcW w:w="1416" w:type="dxa"/>
            <w:tcBorders>
              <w:top w:val="single" w:color="000000" w:sz="4" w:space="0"/>
              <w:left w:val="single" w:color="000000" w:sz="4" w:space="0"/>
              <w:bottom w:val="single" w:color="000000" w:sz="4" w:space="0"/>
            </w:tcBorders>
            <w:noWrap/>
            <w:vAlign w:val="center"/>
          </w:tcPr>
          <w:p w14:paraId="4DDA3EAA">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14000</w:t>
            </w:r>
          </w:p>
        </w:tc>
        <w:tc>
          <w:tcPr>
            <w:tcW w:w="1296" w:type="dxa"/>
            <w:tcBorders>
              <w:top w:val="single" w:color="000000" w:sz="4" w:space="0"/>
              <w:left w:val="single" w:color="000000" w:sz="4" w:space="0"/>
              <w:bottom w:val="single" w:color="000000" w:sz="4" w:space="0"/>
            </w:tcBorders>
            <w:noWrap/>
            <w:vAlign w:val="center"/>
          </w:tcPr>
          <w:p w14:paraId="3B49422B">
            <w:pPr>
              <w:keepNext w:val="0"/>
              <w:keepLines w:val="0"/>
              <w:pageBreakBefore w:val="0"/>
              <w:widowControl w:val="0"/>
              <w:kinsoku/>
              <w:wordWrap/>
              <w:overflowPunct/>
              <w:topLinePunct w:val="0"/>
              <w:bidi w:val="0"/>
              <w:spacing w:after="0" w:line="240" w:lineRule="auto"/>
              <w:jc w:val="center"/>
              <w:textAlignment w:val="auto"/>
              <w:outlineLvl w:val="9"/>
              <w:rPr>
                <w:rFonts w:hint="default"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70000</w:t>
            </w:r>
          </w:p>
        </w:tc>
      </w:tr>
      <w:tr w14:paraId="5E4A963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696" w:type="dxa"/>
            <w:vMerge w:val="continue"/>
            <w:tcBorders>
              <w:bottom w:val="single" w:color="000000" w:sz="4" w:space="0"/>
              <w:right w:val="single" w:color="000000" w:sz="4" w:space="0"/>
            </w:tcBorders>
            <w:noWrap/>
            <w:vAlign w:val="center"/>
          </w:tcPr>
          <w:p w14:paraId="384D883C">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1924" w:type="dxa"/>
            <w:vMerge w:val="continue"/>
            <w:tcBorders>
              <w:left w:val="single" w:color="000000" w:sz="4" w:space="0"/>
              <w:right w:val="single" w:color="000000" w:sz="4" w:space="0"/>
            </w:tcBorders>
            <w:noWrap w:val="0"/>
            <w:vAlign w:val="center"/>
          </w:tcPr>
          <w:p w14:paraId="59A0F5B6">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2052" w:type="dxa"/>
            <w:tcBorders>
              <w:top w:val="single" w:color="000000" w:sz="4" w:space="0"/>
              <w:left w:val="single" w:color="000000" w:sz="4" w:space="0"/>
              <w:bottom w:val="single" w:color="000000" w:sz="4" w:space="0"/>
              <w:right w:val="single" w:color="000000" w:sz="4" w:space="0"/>
            </w:tcBorders>
            <w:noWrap w:val="0"/>
            <w:vAlign w:val="center"/>
          </w:tcPr>
          <w:p w14:paraId="53621B91">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智能身高体重血压一体机</w:t>
            </w:r>
          </w:p>
        </w:tc>
        <w:tc>
          <w:tcPr>
            <w:tcW w:w="1500" w:type="dxa"/>
            <w:vMerge w:val="continue"/>
            <w:tcBorders>
              <w:left w:val="single" w:color="000000" w:sz="4" w:space="0"/>
              <w:right w:val="single" w:color="auto" w:sz="4" w:space="0"/>
            </w:tcBorders>
            <w:noWrap/>
            <w:vAlign w:val="center"/>
          </w:tcPr>
          <w:p w14:paraId="442B7B4B">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p>
        </w:tc>
        <w:tc>
          <w:tcPr>
            <w:tcW w:w="1416" w:type="dxa"/>
            <w:tcBorders>
              <w:top w:val="single" w:color="000000" w:sz="4" w:space="0"/>
              <w:left w:val="single" w:color="auto" w:sz="4" w:space="0"/>
              <w:bottom w:val="single" w:color="000000" w:sz="4" w:space="0"/>
              <w:right w:val="single" w:color="000000" w:sz="4" w:space="0"/>
            </w:tcBorders>
            <w:noWrap/>
            <w:vAlign w:val="center"/>
          </w:tcPr>
          <w:p w14:paraId="547CE3C9">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23</w:t>
            </w:r>
          </w:p>
        </w:tc>
        <w:tc>
          <w:tcPr>
            <w:tcW w:w="1416" w:type="dxa"/>
            <w:tcBorders>
              <w:top w:val="single" w:color="000000" w:sz="4" w:space="0"/>
              <w:left w:val="single" w:color="000000" w:sz="4" w:space="0"/>
              <w:bottom w:val="single" w:color="000000" w:sz="4" w:space="0"/>
            </w:tcBorders>
            <w:noWrap/>
            <w:vAlign w:val="center"/>
          </w:tcPr>
          <w:p w14:paraId="73F90172">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23478</w:t>
            </w:r>
          </w:p>
        </w:tc>
        <w:tc>
          <w:tcPr>
            <w:tcW w:w="1296" w:type="dxa"/>
            <w:tcBorders>
              <w:top w:val="single" w:color="000000" w:sz="4" w:space="0"/>
              <w:left w:val="single" w:color="000000" w:sz="4" w:space="0"/>
              <w:bottom w:val="single" w:color="000000" w:sz="4" w:space="0"/>
            </w:tcBorders>
            <w:noWrap/>
            <w:vAlign w:val="center"/>
          </w:tcPr>
          <w:p w14:paraId="55EB5B85">
            <w:pPr>
              <w:keepNext w:val="0"/>
              <w:keepLines w:val="0"/>
              <w:pageBreakBefore w:val="0"/>
              <w:widowControl w:val="0"/>
              <w:kinsoku/>
              <w:wordWrap/>
              <w:overflowPunct/>
              <w:topLinePunct w:val="0"/>
              <w:bidi w:val="0"/>
              <w:spacing w:after="0" w:line="240" w:lineRule="auto"/>
              <w:jc w:val="center"/>
              <w:textAlignment w:val="auto"/>
              <w:outlineLvl w:val="9"/>
              <w:rPr>
                <w:rFonts w:hint="default"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539994</w:t>
            </w:r>
          </w:p>
        </w:tc>
      </w:tr>
      <w:tr w14:paraId="4CA3CFF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37" w:hRule="atLeast"/>
          <w:jc w:val="center"/>
        </w:trPr>
        <w:tc>
          <w:tcPr>
            <w:tcW w:w="9004" w:type="dxa"/>
            <w:gridSpan w:val="6"/>
            <w:tcBorders>
              <w:top w:val="single" w:color="000000" w:sz="4" w:space="0"/>
            </w:tcBorders>
            <w:noWrap/>
            <w:vAlign w:val="center"/>
          </w:tcPr>
          <w:p w14:paraId="45E2757D">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合计</w:t>
            </w:r>
          </w:p>
        </w:tc>
        <w:tc>
          <w:tcPr>
            <w:tcW w:w="1296" w:type="dxa"/>
            <w:tcBorders>
              <w:top w:val="single" w:color="000000" w:sz="4" w:space="0"/>
              <w:left w:val="single" w:color="000000" w:sz="4" w:space="0"/>
            </w:tcBorders>
            <w:noWrap/>
            <w:vAlign w:val="center"/>
          </w:tcPr>
          <w:p w14:paraId="4392D4E5">
            <w:pPr>
              <w:keepNext w:val="0"/>
              <w:keepLines w:val="0"/>
              <w:pageBreakBefore w:val="0"/>
              <w:widowControl w:val="0"/>
              <w:kinsoku/>
              <w:wordWrap/>
              <w:overflowPunct/>
              <w:topLinePunct w:val="0"/>
              <w:bidi w:val="0"/>
              <w:spacing w:after="0" w:line="240" w:lineRule="auto"/>
              <w:jc w:val="center"/>
              <w:textAlignment w:val="auto"/>
              <w:outlineLvl w:val="9"/>
              <w:rPr>
                <w:rFonts w:hint="eastAsia" w:ascii="仿宋" w:hAnsi="仿宋" w:eastAsia="仿宋" w:cs="仿宋"/>
                <w:b w:val="0"/>
                <w:bCs w:val="0"/>
                <w:color w:val="auto"/>
                <w:kern w:val="2"/>
                <w:sz w:val="24"/>
                <w:szCs w:val="24"/>
                <w:highlight w:val="none"/>
                <w:u w:val="none"/>
                <w:lang w:val="en-US" w:eastAsia="zh-CN" w:bidi="ar-SA"/>
              </w:rPr>
            </w:pPr>
            <w:r>
              <w:rPr>
                <w:rFonts w:hint="eastAsia" w:ascii="仿宋" w:hAnsi="仿宋" w:eastAsia="仿宋" w:cs="仿宋"/>
                <w:b w:val="0"/>
                <w:bCs w:val="0"/>
                <w:color w:val="auto"/>
                <w:kern w:val="2"/>
                <w:sz w:val="24"/>
                <w:szCs w:val="24"/>
                <w:highlight w:val="none"/>
                <w:u w:val="none"/>
                <w:lang w:val="en-US" w:eastAsia="zh-CN" w:bidi="ar-SA"/>
              </w:rPr>
              <w:t>876994</w:t>
            </w:r>
          </w:p>
        </w:tc>
      </w:tr>
    </w:tbl>
    <w:p w14:paraId="1119A58D">
      <w:pPr>
        <w:widowControl w:val="0"/>
        <w:numPr>
          <w:ilvl w:val="0"/>
          <w:numId w:val="0"/>
        </w:numPr>
        <w:kinsoku/>
        <w:autoSpaceDE/>
        <w:autoSpaceDN/>
        <w:adjustRightInd/>
        <w:snapToGrid/>
        <w:spacing w:line="240" w:lineRule="auto"/>
        <w:ind w:left="0" w:leftChars="0" w:firstLine="0" w:firstLineChars="0"/>
        <w:jc w:val="center"/>
        <w:textAlignment w:val="auto"/>
        <w:outlineLvl w:val="1"/>
        <w:rPr>
          <w:rFonts w:hint="eastAsia" w:ascii="仿宋" w:hAnsi="仿宋" w:eastAsia="仿宋" w:cs="仿宋"/>
          <w:b/>
          <w:bCs/>
          <w:snapToGrid/>
          <w:color w:val="auto"/>
          <w:kern w:val="2"/>
          <w:sz w:val="28"/>
          <w:szCs w:val="28"/>
          <w:lang w:val="en-US" w:eastAsia="zh-CN" w:bidi="ar-SA"/>
        </w:rPr>
      </w:pPr>
    </w:p>
    <w:p w14:paraId="6DD6E2AE">
      <w:pPr>
        <w:keepNext/>
        <w:widowControl w:val="0"/>
        <w:numPr>
          <w:ilvl w:val="0"/>
          <w:numId w:val="0"/>
        </w:numPr>
        <w:kinsoku/>
        <w:autoSpaceDE/>
        <w:autoSpaceDN/>
        <w:adjustRightInd/>
        <w:snapToGrid/>
        <w:spacing w:line="240" w:lineRule="auto"/>
        <w:ind w:left="0" w:leftChars="0" w:firstLine="0" w:firstLineChars="0"/>
        <w:jc w:val="center"/>
        <w:textAlignment w:val="auto"/>
        <w:outlineLvl w:val="1"/>
        <w:rPr>
          <w:rFonts w:hint="eastAsia" w:ascii="仿宋" w:hAnsi="仿宋" w:eastAsia="仿宋" w:cs="仿宋"/>
          <w:b/>
          <w:bCs/>
          <w:snapToGrid/>
          <w:color w:val="auto"/>
          <w:kern w:val="2"/>
          <w:sz w:val="28"/>
          <w:szCs w:val="28"/>
          <w:highlight w:val="none"/>
          <w:lang w:eastAsia="zh-CN"/>
        </w:rPr>
      </w:pPr>
      <w:r>
        <w:rPr>
          <w:rFonts w:hint="eastAsia" w:ascii="仿宋" w:hAnsi="仿宋" w:eastAsia="仿宋" w:cs="仿宋"/>
          <w:b/>
          <w:bCs/>
          <w:snapToGrid/>
          <w:color w:val="auto"/>
          <w:kern w:val="2"/>
          <w:sz w:val="28"/>
          <w:szCs w:val="28"/>
          <w:lang w:val="en-US" w:eastAsia="zh-CN" w:bidi="ar-SA"/>
        </w:rPr>
        <w:t>第二节</w:t>
      </w:r>
      <w:r>
        <w:rPr>
          <w:rFonts w:hint="eastAsia" w:ascii="仿宋" w:hAnsi="仿宋" w:eastAsia="仿宋" w:cs="仿宋"/>
          <w:b/>
          <w:bCs/>
          <w:snapToGrid/>
          <w:color w:val="auto"/>
          <w:kern w:val="2"/>
          <w:sz w:val="28"/>
          <w:szCs w:val="28"/>
          <w:highlight w:val="none"/>
          <w:lang w:eastAsia="zh-CN"/>
        </w:rPr>
        <w:t>技术要求</w:t>
      </w:r>
      <w:bookmarkEnd w:id="2"/>
      <w:bookmarkEnd w:id="3"/>
      <w:bookmarkStart w:id="4" w:name="_Toc27973"/>
    </w:p>
    <w:tbl>
      <w:tblPr>
        <w:tblStyle w:val="11"/>
        <w:tblW w:w="93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1"/>
        <w:gridCol w:w="1247"/>
        <w:gridCol w:w="1183"/>
        <w:gridCol w:w="6420"/>
        <w:gridCol w:w="20"/>
      </w:tblGrid>
      <w:tr w14:paraId="5D146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0" w:hRule="atLeast"/>
          <w:jc w:val="center"/>
        </w:trPr>
        <w:tc>
          <w:tcPr>
            <w:tcW w:w="501" w:type="dxa"/>
            <w:noWrap w:val="0"/>
            <w:vAlign w:val="center"/>
          </w:tcPr>
          <w:p w14:paraId="306B670E">
            <w:pPr>
              <w:keepNext/>
              <w:keepLines w:val="0"/>
              <w:pageBreakBefore w:val="0"/>
              <w:widowControl w:val="0"/>
              <w:kinsoku/>
              <w:wordWrap/>
              <w:overflowPunct/>
              <w:topLinePunct w:val="0"/>
              <w:autoSpaceDE/>
              <w:autoSpaceDN/>
              <w:bidi w:val="0"/>
              <w:adjustRightInd/>
              <w:snapToGrid w:val="0"/>
              <w:spacing w:line="265" w:lineRule="auto"/>
              <w:jc w:val="center"/>
              <w:textAlignment w:val="auto"/>
              <w:rPr>
                <w:rFonts w:hint="eastAsia" w:ascii="仿宋" w:hAnsi="仿宋" w:eastAsia="仿宋" w:cs="仿宋"/>
                <w:snapToGrid/>
                <w:kern w:val="2"/>
                <w:sz w:val="21"/>
                <w:szCs w:val="21"/>
                <w:lang w:val="en-US" w:eastAsia="zh-CN"/>
              </w:rPr>
            </w:pPr>
          </w:p>
          <w:p w14:paraId="0001FAD3">
            <w:pPr>
              <w:keepNext/>
              <w:keepLines w:val="0"/>
              <w:pageBreakBefore w:val="0"/>
              <w:widowControl w:val="0"/>
              <w:kinsoku/>
              <w:wordWrap/>
              <w:overflowPunct/>
              <w:topLinePunct w:val="0"/>
              <w:autoSpaceDE/>
              <w:autoSpaceDN/>
              <w:bidi w:val="0"/>
              <w:adjustRightInd/>
              <w:snapToGrid w:val="0"/>
              <w:spacing w:line="265" w:lineRule="auto"/>
              <w:jc w:val="center"/>
              <w:textAlignment w:val="auto"/>
              <w:rPr>
                <w:rFonts w:hint="eastAsia" w:ascii="仿宋" w:hAnsi="仿宋" w:eastAsia="仿宋" w:cs="仿宋"/>
                <w:snapToGrid/>
                <w:kern w:val="2"/>
                <w:sz w:val="21"/>
                <w:szCs w:val="21"/>
                <w:lang w:val="en-US" w:eastAsia="zh-CN"/>
              </w:rPr>
            </w:pPr>
            <w:r>
              <w:rPr>
                <w:rFonts w:hint="eastAsia" w:ascii="仿宋" w:hAnsi="仿宋" w:eastAsia="仿宋" w:cs="仿宋"/>
                <w:snapToGrid/>
                <w:kern w:val="2"/>
                <w:sz w:val="21"/>
                <w:szCs w:val="21"/>
                <w:lang w:val="en-US" w:eastAsia="zh-CN"/>
              </w:rPr>
              <w:t>1</w:t>
            </w:r>
          </w:p>
          <w:p w14:paraId="559417D3">
            <w:pPr>
              <w:keepNext/>
              <w:keepLines w:val="0"/>
              <w:pageBreakBefore w:val="0"/>
              <w:widowControl w:val="0"/>
              <w:kinsoku/>
              <w:wordWrap/>
              <w:overflowPunct/>
              <w:topLinePunct w:val="0"/>
              <w:autoSpaceDE/>
              <w:autoSpaceDN/>
              <w:bidi w:val="0"/>
              <w:adjustRightInd/>
              <w:snapToGrid w:val="0"/>
              <w:spacing w:line="269" w:lineRule="exact"/>
              <w:ind w:left="443"/>
              <w:jc w:val="center"/>
              <w:textAlignment w:val="auto"/>
              <w:rPr>
                <w:rFonts w:hint="eastAsia" w:ascii="仿宋" w:hAnsi="仿宋" w:eastAsia="仿宋" w:cs="仿宋"/>
                <w:kern w:val="2"/>
                <w:sz w:val="21"/>
                <w:szCs w:val="21"/>
                <w:lang w:val="en-US" w:eastAsia="en-US" w:bidi="ar-SA"/>
              </w:rPr>
            </w:pPr>
          </w:p>
        </w:tc>
        <w:tc>
          <w:tcPr>
            <w:tcW w:w="1247" w:type="dxa"/>
            <w:tcBorders>
              <w:right w:val="single" w:color="000000" w:sz="2" w:space="0"/>
            </w:tcBorders>
            <w:noWrap w:val="0"/>
            <w:vAlign w:val="center"/>
          </w:tcPr>
          <w:p w14:paraId="2F3CC667">
            <w:pPr>
              <w:keepNext/>
              <w:keepLines w:val="0"/>
              <w:pageBreakBefore w:val="0"/>
              <w:widowControl w:val="0"/>
              <w:kinsoku/>
              <w:wordWrap/>
              <w:overflowPunct/>
              <w:topLinePunct w:val="0"/>
              <w:autoSpaceDE/>
              <w:autoSpaceDN/>
              <w:bidi w:val="0"/>
              <w:adjustRightInd/>
              <w:snapToGrid w:val="0"/>
              <w:spacing w:line="228" w:lineRule="auto"/>
              <w:jc w:val="center"/>
              <w:textAlignment w:val="auto"/>
              <w:rPr>
                <w:rFonts w:hint="eastAsia" w:ascii="仿宋" w:hAnsi="仿宋" w:eastAsia="仿宋" w:cs="仿宋"/>
                <w:kern w:val="2"/>
                <w:sz w:val="21"/>
                <w:szCs w:val="21"/>
                <w:lang w:val="en-US" w:eastAsia="en-US" w:bidi="ar-SA"/>
              </w:rPr>
            </w:pPr>
            <w:r>
              <w:rPr>
                <w:rFonts w:hint="eastAsia" w:ascii="仿宋" w:hAnsi="仿宋" w:eastAsia="仿宋" w:cs="仿宋"/>
                <w:spacing w:val="7"/>
                <w:kern w:val="2"/>
                <w:sz w:val="21"/>
                <w:szCs w:val="21"/>
                <w:lang w:val="en-US" w:eastAsia="en-US" w:bidi="ar-SA"/>
              </w:rPr>
              <w:t>血液分析仪</w:t>
            </w:r>
          </w:p>
        </w:tc>
        <w:tc>
          <w:tcPr>
            <w:tcW w:w="7603" w:type="dxa"/>
            <w:gridSpan w:val="2"/>
            <w:tcBorders>
              <w:left w:val="single" w:color="000000" w:sz="2" w:space="0"/>
            </w:tcBorders>
            <w:noWrap w:val="0"/>
            <w:vAlign w:val="top"/>
          </w:tcPr>
          <w:p w14:paraId="2E5133C5">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1.检测原理：采用主流的激光散射、流式细胞分析法、细胞化学染色进行血常规检测，采用免疫比浊法进行C-反应蛋白（CRP）测定；</w:t>
            </w:r>
          </w:p>
          <w:p w14:paraId="03A7F392">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2.检测参数：≥29项报告参数，3个直方图和4个散点图；</w:t>
            </w:r>
          </w:p>
          <w:p w14:paraId="4BA311FD">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3.特定蛋白检测：具备全程C-反应蛋白检测功能</w:t>
            </w:r>
            <w:r>
              <w:rPr>
                <w:rFonts w:hint="eastAsia" w:ascii="仿宋" w:hAnsi="仿宋" w:eastAsia="仿宋" w:cs="仿宋"/>
                <w:spacing w:val="4"/>
                <w:kern w:val="2"/>
                <w:sz w:val="21"/>
                <w:szCs w:val="21"/>
                <w:lang w:val="en-US" w:eastAsia="zh-CN" w:bidi="ar-SA"/>
              </w:rPr>
              <w:t>；</w:t>
            </w:r>
          </w:p>
          <w:p w14:paraId="7F3B4BF9">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highlight w:val="yellow"/>
                <w:lang w:val="en-US" w:eastAsia="zh-CN" w:bidi="ar-SA"/>
              </w:rPr>
            </w:pPr>
            <w:r>
              <w:rPr>
                <w:rFonts w:hint="eastAsia" w:ascii="仿宋" w:hAnsi="仿宋" w:eastAsia="仿宋" w:cs="仿宋"/>
                <w:spacing w:val="9"/>
                <w:sz w:val="21"/>
                <w:szCs w:val="21"/>
                <w:highlight w:val="none"/>
              </w:rPr>
              <w:t>★</w:t>
            </w:r>
            <w:r>
              <w:rPr>
                <w:rFonts w:hint="eastAsia" w:ascii="仿宋" w:hAnsi="仿宋" w:eastAsia="仿宋" w:cs="仿宋"/>
                <w:spacing w:val="4"/>
                <w:kern w:val="2"/>
                <w:sz w:val="21"/>
                <w:szCs w:val="21"/>
                <w:highlight w:val="none"/>
                <w:lang w:val="en-US" w:eastAsia="en-US" w:bidi="ar-SA"/>
              </w:rPr>
              <w:t>4.网织红细胞检测：具备；</w:t>
            </w:r>
            <w:r>
              <w:rPr>
                <w:rFonts w:hint="eastAsia" w:ascii="仿宋" w:hAnsi="仿宋" w:eastAsia="仿宋" w:cs="仿宋"/>
                <w:spacing w:val="4"/>
                <w:kern w:val="2"/>
                <w:sz w:val="21"/>
                <w:szCs w:val="21"/>
                <w:highlight w:val="none"/>
                <w:lang w:val="en-US" w:eastAsia="zh-CN" w:bidi="ar-SA"/>
              </w:rPr>
              <w:t>（提供相关证明文件）</w:t>
            </w:r>
          </w:p>
          <w:p w14:paraId="747364FD">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5.测试模式：具备CBC，CBC+5DIFF，CBC+5DIFF+RRBC，CBC+5DIFF+CRP等模式；</w:t>
            </w:r>
          </w:p>
          <w:p w14:paraId="4C9C7105">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6.检测速度：≥60个/小时；</w:t>
            </w:r>
          </w:p>
          <w:p w14:paraId="60AF8BF1">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7.样本用量：全血样本：五分类+CRP模式≤35μl；其余模式≤20μl；</w:t>
            </w:r>
          </w:p>
          <w:p w14:paraId="241AEA81">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8.进样模式：手动进样和自动进样，手动进样方式支持全血样本及预稀释样本，自动进样方式支持全血样本；</w:t>
            </w:r>
          </w:p>
          <w:p w14:paraId="2867CDAA">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9.数据储存：最大可存储≥20万条样本信息；</w:t>
            </w:r>
          </w:p>
          <w:p w14:paraId="6E8DAB7D">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10.线性范围：WBC：≥0.00×109/L～400.00×109/L，RBC：≥0.00×1012/L～8.00×1012/L，HGB：≥0 g/L～300g/L，PLT：≥0×109/L～5000×109/L，FR-CRP：≥0.20mg/L～320.00mg/L；</w:t>
            </w:r>
          </w:p>
          <w:p w14:paraId="7EA76463">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11.全血测量精密度：WBC：≤2%；RBC：≤1.5%；PLT：≤5.0%；Hgb：≤1.5%；CRP：≤4.0%；</w:t>
            </w:r>
          </w:p>
          <w:p w14:paraId="66718672">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12.校准与质控：具备自动校准和人工校准方式，每种模式下可绘制L-J，X，X-R，X-B质控图；</w:t>
            </w:r>
          </w:p>
          <w:p w14:paraId="14581EA2">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13.异常细胞提示：具有提示难溶性红细胞及异常细胞报警功能；</w:t>
            </w:r>
          </w:p>
          <w:p w14:paraId="31F56666">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14.报警提示：具有参数异常报警、试剂检测报警、故障提示报警、系统自动诊断功能；</w:t>
            </w:r>
          </w:p>
          <w:p w14:paraId="0BFFD932">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15.信息输入：全中文操作系统，可输入标本信息；支持条形码输入；</w:t>
            </w:r>
          </w:p>
          <w:p w14:paraId="1BA799DE">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16.输出：可选择打印中英文报告、直方图、参考范围等；</w:t>
            </w:r>
          </w:p>
          <w:p w14:paraId="16FCCE07">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17.维护和保养：具备采样针自动清洗、液路定时清洗功能；</w:t>
            </w:r>
          </w:p>
          <w:p w14:paraId="22DC6E1B">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18.质控校准：具有原厂配套质控和校准品；</w:t>
            </w:r>
          </w:p>
          <w:p w14:paraId="2E663A2C">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19.数据处理终端：CPU≥4核，主频≥3G，内存≥16G，硬盘≥1T，显示器≥20寸液晶；</w:t>
            </w:r>
          </w:p>
          <w:p w14:paraId="54F70382">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20.操作系统：预装正版软件（含中文操作系统），鼠标､键盘操作；</w:t>
            </w:r>
          </w:p>
          <w:p w14:paraId="35854573">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21.支持离线备份功能（以备断电时使用）；</w:t>
            </w:r>
          </w:p>
          <w:p w14:paraId="7AFB22E5">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lang w:val="en-US" w:eastAsia="en-US" w:bidi="ar-SA"/>
              </w:rPr>
            </w:pPr>
            <w:r>
              <w:rPr>
                <w:rFonts w:hint="eastAsia" w:ascii="仿宋" w:hAnsi="仿宋" w:eastAsia="仿宋" w:cs="仿宋"/>
                <w:spacing w:val="4"/>
                <w:kern w:val="2"/>
                <w:sz w:val="21"/>
                <w:szCs w:val="21"/>
                <w:lang w:val="en-US" w:eastAsia="en-US" w:bidi="ar-SA"/>
              </w:rPr>
              <w:t>22.支持开放性试剂、耗材。</w:t>
            </w:r>
          </w:p>
        </w:tc>
      </w:tr>
      <w:tr w14:paraId="1CF07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0" w:hRule="atLeast"/>
          <w:jc w:val="center"/>
        </w:trPr>
        <w:tc>
          <w:tcPr>
            <w:tcW w:w="501" w:type="dxa"/>
            <w:noWrap w:val="0"/>
            <w:vAlign w:val="center"/>
          </w:tcPr>
          <w:p w14:paraId="6544A189">
            <w:pPr>
              <w:keepNext/>
              <w:keepLines w:val="0"/>
              <w:pageBreakBefore w:val="0"/>
              <w:widowControl w:val="0"/>
              <w:kinsoku/>
              <w:wordWrap/>
              <w:overflowPunct/>
              <w:topLinePunct w:val="0"/>
              <w:autoSpaceDE/>
              <w:autoSpaceDN/>
              <w:bidi w:val="0"/>
              <w:adjustRightInd/>
              <w:snapToGrid w:val="0"/>
              <w:spacing w:line="271"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position w:val="1"/>
                <w:sz w:val="21"/>
                <w:szCs w:val="21"/>
                <w:lang w:val="en-US" w:eastAsia="zh-CN" w:bidi="ar-SA"/>
              </w:rPr>
              <w:t>2</w:t>
            </w:r>
          </w:p>
        </w:tc>
        <w:tc>
          <w:tcPr>
            <w:tcW w:w="1247" w:type="dxa"/>
            <w:tcBorders>
              <w:right w:val="single" w:color="000000" w:sz="2" w:space="0"/>
            </w:tcBorders>
            <w:noWrap w:val="0"/>
            <w:vAlign w:val="center"/>
          </w:tcPr>
          <w:p w14:paraId="08B8B277">
            <w:pPr>
              <w:keepNext/>
              <w:keepLines w:val="0"/>
              <w:pageBreakBefore w:val="0"/>
              <w:widowControl w:val="0"/>
              <w:kinsoku/>
              <w:wordWrap/>
              <w:overflowPunct/>
              <w:topLinePunct w:val="0"/>
              <w:autoSpaceDE/>
              <w:autoSpaceDN/>
              <w:bidi w:val="0"/>
              <w:adjustRightInd/>
              <w:snapToGrid w:val="0"/>
              <w:spacing w:line="228" w:lineRule="auto"/>
              <w:jc w:val="center"/>
              <w:textAlignment w:val="auto"/>
              <w:rPr>
                <w:rFonts w:hint="eastAsia" w:ascii="仿宋" w:hAnsi="仿宋" w:eastAsia="仿宋" w:cs="仿宋"/>
                <w:kern w:val="2"/>
                <w:sz w:val="21"/>
                <w:szCs w:val="21"/>
                <w:lang w:val="en-US" w:eastAsia="en-US" w:bidi="ar-SA"/>
              </w:rPr>
            </w:pPr>
            <w:r>
              <w:rPr>
                <w:rFonts w:hint="eastAsia" w:ascii="仿宋" w:hAnsi="仿宋" w:eastAsia="仿宋" w:cs="仿宋"/>
                <w:spacing w:val="8"/>
                <w:kern w:val="2"/>
                <w:sz w:val="21"/>
                <w:szCs w:val="21"/>
                <w:lang w:val="en-US" w:eastAsia="en-US" w:bidi="ar-SA"/>
              </w:rPr>
              <w:t>尿液分析仪</w:t>
            </w:r>
          </w:p>
        </w:tc>
        <w:tc>
          <w:tcPr>
            <w:tcW w:w="7603" w:type="dxa"/>
            <w:gridSpan w:val="2"/>
            <w:tcBorders>
              <w:left w:val="single" w:color="000000" w:sz="2" w:space="0"/>
            </w:tcBorders>
            <w:noWrap w:val="0"/>
            <w:vAlign w:val="top"/>
          </w:tcPr>
          <w:p w14:paraId="074D7DC7">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1.检测波长数量：≥4个波长；</w:t>
            </w:r>
          </w:p>
          <w:p w14:paraId="01F8A6C9">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2.测试速度：≥250个样本/小时；</w:t>
            </w:r>
          </w:p>
          <w:p w14:paraId="035D362F">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3.检测项目：可使用适配尿试纸条进行11项、12项、14项检测（检测项目包括维生素C、白细胞、酮体、亚硝酸盐、尿胆原、胆红素、蛋白质、葡萄糖、尿比重、隐血、酸碱度、肌酐、尿钙、微量白蛋白、微量白蛋白/肌酐比值）；</w:t>
            </w:r>
          </w:p>
          <w:p w14:paraId="4CD7BAF9">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4.显示屏：彩色液晶触摸屏≥7寸；</w:t>
            </w:r>
          </w:p>
          <w:p w14:paraId="639B7101">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5.显示功能：显示屏可显示中文引导菜单、操作界面、提示信息、检测时间、检测结果；</w:t>
            </w:r>
          </w:p>
          <w:p w14:paraId="109EFC61">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6.试管容量：一次性进样试管≥10个；</w:t>
            </w:r>
          </w:p>
          <w:p w14:paraId="1805329A">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7.急诊插入：具有急诊优先插入，自动复查/镜检标记规则；</w:t>
            </w:r>
          </w:p>
          <w:p w14:paraId="58D8B489">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8.自动吸样、滴样、清洗功能：能对样本进行自动吸样、滴样，液路自动清洗；</w:t>
            </w:r>
          </w:p>
          <w:p w14:paraId="24D72CDC">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9.尿试纸图像显示及存储功能：显示被检测的尿试纸图像并存储；</w:t>
            </w:r>
          </w:p>
          <w:p w14:paraId="57B097F9">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10.存储容量：≥30万个样本结果；</w:t>
            </w:r>
          </w:p>
          <w:p w14:paraId="1149710B">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11.试纸仓容量：≥300条试纸；</w:t>
            </w:r>
          </w:p>
          <w:p w14:paraId="7A6906FD">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12.废料盒容量：能容纳≥400条废弃试纸条；</w:t>
            </w:r>
          </w:p>
          <w:p w14:paraId="704F1037">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13.打印功能：内置打印机，打印结果；</w:t>
            </w:r>
          </w:p>
          <w:p w14:paraId="1AEC7793">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14.重复性：分析仪反射率测试结果的变异系数（CV，%）≤1.0%；</w:t>
            </w:r>
          </w:p>
          <w:p w14:paraId="00EE17B7">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15.稳定性：分析仪开机8h内，反射率测试结果的变异系数≤1.0%；</w:t>
            </w:r>
          </w:p>
          <w:p w14:paraId="491E9B1C">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16.条码输入功能：内置条形码扫描器识别条形码；</w:t>
            </w:r>
          </w:p>
          <w:p w14:paraId="6AE459E1">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17.尿液颜色识别功能：采用物理方法（RGB三原色法）识别样本的颜色；</w:t>
            </w:r>
          </w:p>
          <w:p w14:paraId="1284C6FF">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18.尿液浊度检测功能：采用物理法（散射法）检测出样本的浊度结果；</w:t>
            </w:r>
          </w:p>
          <w:p w14:paraId="7E69BAC5">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r>
              <w:rPr>
                <w:rFonts w:hint="eastAsia" w:ascii="仿宋" w:hAnsi="仿宋" w:eastAsia="仿宋" w:cs="仿宋"/>
                <w:spacing w:val="7"/>
                <w:kern w:val="2"/>
                <w:sz w:val="21"/>
                <w:szCs w:val="21"/>
                <w:lang w:val="en-US" w:eastAsia="en-US" w:bidi="ar-SA"/>
              </w:rPr>
              <w:t>19.尿液比重检测功能：采用物理方法（折射计法）检测样本的尿比重结果。</w:t>
            </w:r>
          </w:p>
          <w:p w14:paraId="2C72A4FF">
            <w:pPr>
              <w:keepNext/>
              <w:keepLines w:val="0"/>
              <w:pageBreakBefore w:val="0"/>
              <w:widowControl w:val="0"/>
              <w:kinsoku/>
              <w:wordWrap/>
              <w:overflowPunct/>
              <w:topLinePunct w:val="0"/>
              <w:autoSpaceDE/>
              <w:autoSpaceDN/>
              <w:bidi w:val="0"/>
              <w:adjustRightInd/>
              <w:snapToGrid w:val="0"/>
              <w:spacing w:line="225" w:lineRule="auto"/>
              <w:ind w:left="111"/>
              <w:jc w:val="both"/>
              <w:textAlignment w:val="auto"/>
              <w:rPr>
                <w:rFonts w:hint="eastAsia" w:ascii="仿宋" w:hAnsi="仿宋" w:eastAsia="仿宋" w:cs="仿宋"/>
                <w:spacing w:val="7"/>
                <w:kern w:val="2"/>
                <w:sz w:val="21"/>
                <w:szCs w:val="21"/>
                <w:lang w:val="en-US" w:eastAsia="en-US" w:bidi="ar-SA"/>
              </w:rPr>
            </w:pPr>
          </w:p>
        </w:tc>
      </w:tr>
      <w:tr w14:paraId="43C41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0" w:type="dxa"/>
          <w:trHeight w:val="0" w:hRule="atLeast"/>
          <w:jc w:val="center"/>
        </w:trPr>
        <w:tc>
          <w:tcPr>
            <w:tcW w:w="501" w:type="dxa"/>
            <w:noWrap w:val="0"/>
            <w:vAlign w:val="center"/>
          </w:tcPr>
          <w:p w14:paraId="07471438">
            <w:pPr>
              <w:keepNext/>
              <w:keepLines w:val="0"/>
              <w:pageBreakBefore w:val="0"/>
              <w:widowControl w:val="0"/>
              <w:kinsoku/>
              <w:wordWrap/>
              <w:overflowPunct/>
              <w:topLinePunct w:val="0"/>
              <w:autoSpaceDE/>
              <w:autoSpaceDN/>
              <w:bidi w:val="0"/>
              <w:adjustRightInd/>
              <w:snapToGrid w:val="0"/>
              <w:spacing w:line="269" w:lineRule="exact"/>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position w:val="1"/>
                <w:sz w:val="21"/>
                <w:szCs w:val="21"/>
                <w:lang w:val="en-US" w:eastAsia="zh-CN" w:bidi="ar-SA"/>
              </w:rPr>
              <w:t>3</w:t>
            </w:r>
          </w:p>
        </w:tc>
        <w:tc>
          <w:tcPr>
            <w:tcW w:w="1247" w:type="dxa"/>
            <w:tcBorders>
              <w:right w:val="single" w:color="000000" w:sz="2" w:space="0"/>
            </w:tcBorders>
            <w:noWrap w:val="0"/>
            <w:vAlign w:val="center"/>
          </w:tcPr>
          <w:p w14:paraId="291D8686">
            <w:pPr>
              <w:keepNext/>
              <w:keepLines w:val="0"/>
              <w:pageBreakBefore w:val="0"/>
              <w:widowControl w:val="0"/>
              <w:kinsoku/>
              <w:wordWrap/>
              <w:overflowPunct/>
              <w:topLinePunct w:val="0"/>
              <w:autoSpaceDE/>
              <w:autoSpaceDN/>
              <w:bidi w:val="0"/>
              <w:adjustRightInd/>
              <w:snapToGrid w:val="0"/>
              <w:spacing w:line="254" w:lineRule="auto"/>
              <w:ind w:right="194"/>
              <w:jc w:val="center"/>
              <w:textAlignment w:val="auto"/>
              <w:rPr>
                <w:rFonts w:hint="eastAsia" w:ascii="仿宋" w:hAnsi="仿宋" w:eastAsia="仿宋" w:cs="仿宋"/>
                <w:kern w:val="2"/>
                <w:sz w:val="21"/>
                <w:szCs w:val="21"/>
                <w:lang w:val="en-US" w:eastAsia="en-US" w:bidi="ar-SA"/>
              </w:rPr>
            </w:pPr>
            <w:r>
              <w:rPr>
                <w:rFonts w:hint="eastAsia" w:ascii="仿宋" w:hAnsi="仿宋" w:eastAsia="仿宋" w:cs="仿宋"/>
                <w:spacing w:val="8"/>
                <w:kern w:val="2"/>
                <w:sz w:val="21"/>
                <w:szCs w:val="21"/>
                <w:lang w:val="en-US" w:eastAsia="en-US" w:bidi="ar-SA"/>
              </w:rPr>
              <w:t>十二导心电图</w:t>
            </w:r>
            <w:r>
              <w:rPr>
                <w:rFonts w:hint="eastAsia" w:ascii="仿宋" w:hAnsi="仿宋" w:eastAsia="仿宋" w:cs="仿宋"/>
                <w:spacing w:val="1"/>
                <w:kern w:val="2"/>
                <w:sz w:val="21"/>
                <w:szCs w:val="21"/>
                <w:lang w:val="en-US" w:eastAsia="en-US" w:bidi="ar-SA"/>
              </w:rPr>
              <w:t>机</w:t>
            </w:r>
          </w:p>
        </w:tc>
        <w:tc>
          <w:tcPr>
            <w:tcW w:w="7603" w:type="dxa"/>
            <w:gridSpan w:val="2"/>
            <w:tcBorders>
              <w:left w:val="single" w:color="000000" w:sz="2" w:space="0"/>
            </w:tcBorders>
            <w:noWrap w:val="0"/>
            <w:vAlign w:val="top"/>
          </w:tcPr>
          <w:p w14:paraId="72E1B94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1.十二道心电包括：</w:t>
            </w:r>
          </w:p>
          <w:p w14:paraId="7C7BEEBD">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（1）显示器与操作系统：≥7英寸显示器，支持全屏触控操作；</w:t>
            </w:r>
          </w:p>
          <w:p w14:paraId="6DD2459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（2）内置打印机：内置热敏点阵打印机；</w:t>
            </w:r>
          </w:p>
          <w:p w14:paraId="7B490A0F">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（3）内置存储器：设置内置存储器，支持存储扩展，支持USB（或SD）多种传输方式，内置存储病例数量：本机可存储病历≥20000例；</w:t>
            </w:r>
          </w:p>
          <w:p w14:paraId="30BE295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（4）抗干扰滤波技术：具有肌电滤波、漂移滤波、低通滤波、交流滤波功能；</w:t>
            </w:r>
          </w:p>
          <w:p w14:paraId="10A93D3A">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（5）工频滤波技术：具备工频滤波技术；</w:t>
            </w:r>
          </w:p>
          <w:p w14:paraId="34436A4A">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（6）除颤保护：具备除颤保护。</w:t>
            </w:r>
          </w:p>
          <w:p w14:paraId="118395C3">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zh-CN" w:bidi="ar-SA"/>
              </w:rPr>
              <w:t>2</w:t>
            </w:r>
            <w:r>
              <w:rPr>
                <w:rFonts w:hint="eastAsia" w:ascii="仿宋" w:hAnsi="仿宋" w:eastAsia="仿宋" w:cs="仿宋"/>
                <w:spacing w:val="3"/>
                <w:kern w:val="2"/>
                <w:sz w:val="21"/>
                <w:szCs w:val="21"/>
                <w:lang w:val="en-US" w:eastAsia="en-US" w:bidi="ar-SA"/>
              </w:rPr>
              <w:t>.功能要求：</w:t>
            </w:r>
          </w:p>
          <w:p w14:paraId="0ADF502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（1）标准十二导联心电同步采集：具备标准十二导联心电信号同步采集；</w:t>
            </w:r>
          </w:p>
          <w:p w14:paraId="0D9727B5">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（2）导联体系：标准十二导联；</w:t>
            </w:r>
          </w:p>
          <w:p w14:paraId="3619176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（3）采样模式：支持实时采样、预采样、触发采样、周期采样模式；</w:t>
            </w:r>
          </w:p>
          <w:p w14:paraId="6CCA55D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（4）患者信息录入方式：支持手动输入，条码枪、身份证读卡器读取；</w:t>
            </w:r>
          </w:p>
          <w:p w14:paraId="5A96DE6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（5）屏幕显示内容：心电波形、时间、心率、ID信息、工作状态信息等；</w:t>
            </w:r>
          </w:p>
          <w:p w14:paraId="385AE64F">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（6）显示布局：可同屏显示同步心电波形，≥7种显示布局；</w:t>
            </w:r>
          </w:p>
          <w:p w14:paraId="12B2D838">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（7）打印布局：≥7种打印布局；</w:t>
            </w:r>
          </w:p>
          <w:p w14:paraId="073EF7C3">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（8）波形冻结与浏览：支持波形冻结与波形浏览功能；</w:t>
            </w:r>
          </w:p>
          <w:p w14:paraId="09E9562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（9）导联信号质量检测：具有导联信号质量检测功能；</w:t>
            </w:r>
          </w:p>
          <w:p w14:paraId="2138074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（10）导联接反检测：支持导联接反检测；</w:t>
            </w:r>
          </w:p>
          <w:p w14:paraId="0624C26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（11）快速模式：支持快速模式；</w:t>
            </w:r>
          </w:p>
          <w:p w14:paraId="12D3FC48">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（12）向量功能：支持心电向量分析报告；</w:t>
            </w:r>
          </w:p>
          <w:p w14:paraId="1FB8132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（13）时间向量功能：支持时间向量功能；</w:t>
            </w:r>
          </w:p>
          <w:p w14:paraId="5EDFC74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（14）病例管理功能：具有病历管理功能，可对存储的病历进行查询、浏览、修改、导出、传输、打印；</w:t>
            </w:r>
          </w:p>
          <w:p w14:paraId="210ECDF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zh-CN" w:bidi="ar-SA"/>
              </w:rPr>
              <w:t>3</w:t>
            </w:r>
            <w:r>
              <w:rPr>
                <w:rFonts w:hint="eastAsia" w:ascii="仿宋" w:hAnsi="仿宋" w:eastAsia="仿宋" w:cs="仿宋"/>
                <w:spacing w:val="3"/>
                <w:kern w:val="2"/>
                <w:sz w:val="21"/>
                <w:szCs w:val="21"/>
                <w:lang w:val="en-US" w:eastAsia="en-US" w:bidi="ar-SA"/>
              </w:rPr>
              <w:t>.网络传输功能：</w:t>
            </w:r>
          </w:p>
          <w:p w14:paraId="450B7F3F">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（1）联网方式：支持通过有线、无线、移动网络的方式进行联网；</w:t>
            </w:r>
          </w:p>
          <w:p w14:paraId="0EEEE07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（2）传输协议：支持FTP、HTTP等传输协议；</w:t>
            </w:r>
          </w:p>
          <w:p w14:paraId="4482328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（3）数据格式：支持PDF、PNG、HL7、XML、DICOM等数据格式；</w:t>
            </w:r>
          </w:p>
          <w:p w14:paraId="4385A0F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（4）心电数据与心电网络平台双向传输：支持心电数据传输，可实现将本机采集的心电数据与心电网络平台的双向传输；</w:t>
            </w:r>
          </w:p>
          <w:p w14:paraId="6267681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（5）权限管理：具有权限管理。</w:t>
            </w:r>
          </w:p>
          <w:p w14:paraId="1E9B7A26">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zh-CN" w:bidi="ar-SA"/>
              </w:rPr>
              <w:t>4</w:t>
            </w:r>
            <w:r>
              <w:rPr>
                <w:rFonts w:hint="eastAsia" w:ascii="仿宋" w:hAnsi="仿宋" w:eastAsia="仿宋" w:cs="仿宋"/>
                <w:spacing w:val="3"/>
                <w:kern w:val="2"/>
                <w:sz w:val="21"/>
                <w:szCs w:val="21"/>
                <w:lang w:val="en-US" w:eastAsia="en-US" w:bidi="ar-SA"/>
              </w:rPr>
              <w:t>.技术参数及要求：</w:t>
            </w:r>
          </w:p>
          <w:p w14:paraId="61AB64A1">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（1） A/D转换：A/D转换：24bit；</w:t>
            </w:r>
          </w:p>
          <w:p w14:paraId="0FAC3985">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（2）采样率：≥64000Hz；</w:t>
            </w:r>
          </w:p>
          <w:p w14:paraId="42FFA616">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highlight w:val="yellow"/>
                <w:lang w:val="en-US" w:eastAsia="zh-CN" w:bidi="ar-SA"/>
              </w:rPr>
            </w:pPr>
            <w:r>
              <w:rPr>
                <w:rFonts w:hint="eastAsia" w:ascii="仿宋" w:hAnsi="仿宋" w:eastAsia="仿宋" w:cs="仿宋"/>
                <w:spacing w:val="9"/>
                <w:sz w:val="21"/>
                <w:szCs w:val="21"/>
                <w:highlight w:val="none"/>
              </w:rPr>
              <w:t>★</w:t>
            </w:r>
            <w:r>
              <w:rPr>
                <w:rFonts w:hint="eastAsia" w:ascii="仿宋" w:hAnsi="仿宋" w:eastAsia="仿宋" w:cs="仿宋"/>
                <w:spacing w:val="3"/>
                <w:kern w:val="2"/>
                <w:sz w:val="21"/>
                <w:szCs w:val="21"/>
                <w:highlight w:val="none"/>
                <w:lang w:val="en-US" w:eastAsia="en-US" w:bidi="ar-SA"/>
              </w:rPr>
              <w:t>（3）输入阻抗：≥110MΩ（10Hz）；</w:t>
            </w:r>
            <w:r>
              <w:rPr>
                <w:rFonts w:hint="eastAsia" w:ascii="仿宋" w:hAnsi="仿宋" w:eastAsia="仿宋" w:cs="仿宋"/>
                <w:spacing w:val="4"/>
                <w:kern w:val="2"/>
                <w:sz w:val="21"/>
                <w:szCs w:val="21"/>
                <w:highlight w:val="none"/>
                <w:lang w:val="en-US" w:eastAsia="zh-CN" w:bidi="ar-SA"/>
              </w:rPr>
              <w:t>（提供相关证明文件）</w:t>
            </w:r>
          </w:p>
          <w:p w14:paraId="2B8AF526">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（4）频响范围：至少包含0.01Hz~500Hz；</w:t>
            </w:r>
          </w:p>
          <w:p w14:paraId="393F969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（5）时间常数：≥5S；</w:t>
            </w:r>
          </w:p>
          <w:p w14:paraId="79D3D7AC">
            <w:pPr>
              <w:keepNext/>
              <w:keepLines w:val="0"/>
              <w:pageBreakBefore w:val="0"/>
              <w:widowControl w:val="0"/>
              <w:kinsoku/>
              <w:wordWrap/>
              <w:overflowPunct/>
              <w:topLinePunct w:val="0"/>
              <w:autoSpaceDE/>
              <w:autoSpaceDN/>
              <w:bidi w:val="0"/>
              <w:adjustRightInd/>
              <w:snapToGrid w:val="0"/>
              <w:spacing w:line="222" w:lineRule="auto"/>
              <w:ind w:left="126"/>
              <w:jc w:val="both"/>
              <w:textAlignment w:val="auto"/>
              <w:rPr>
                <w:rFonts w:hint="eastAsia" w:ascii="仿宋" w:hAnsi="仿宋" w:eastAsia="仿宋" w:cs="仿宋"/>
                <w:spacing w:val="4"/>
                <w:kern w:val="2"/>
                <w:sz w:val="21"/>
                <w:szCs w:val="21"/>
                <w:highlight w:val="yellow"/>
                <w:lang w:val="en-US" w:eastAsia="zh-CN" w:bidi="ar-SA"/>
              </w:rPr>
            </w:pPr>
            <w:r>
              <w:rPr>
                <w:rFonts w:hint="eastAsia" w:ascii="仿宋" w:hAnsi="仿宋" w:eastAsia="仿宋" w:cs="仿宋"/>
                <w:spacing w:val="9"/>
                <w:sz w:val="21"/>
                <w:szCs w:val="21"/>
                <w:highlight w:val="none"/>
              </w:rPr>
              <w:t>★</w:t>
            </w:r>
            <w:r>
              <w:rPr>
                <w:rFonts w:hint="eastAsia" w:ascii="仿宋" w:hAnsi="仿宋" w:eastAsia="仿宋" w:cs="仿宋"/>
                <w:spacing w:val="3"/>
                <w:kern w:val="2"/>
                <w:sz w:val="21"/>
                <w:szCs w:val="21"/>
                <w:highlight w:val="none"/>
                <w:lang w:val="en-US" w:eastAsia="en-US" w:bidi="ar-SA"/>
              </w:rPr>
              <w:t>（6）耐极化电压：≥±900mV；</w:t>
            </w:r>
            <w:r>
              <w:rPr>
                <w:rFonts w:hint="eastAsia" w:ascii="仿宋" w:hAnsi="仿宋" w:eastAsia="仿宋" w:cs="仿宋"/>
                <w:spacing w:val="4"/>
                <w:kern w:val="2"/>
                <w:sz w:val="21"/>
                <w:szCs w:val="21"/>
                <w:highlight w:val="none"/>
                <w:lang w:val="en-US" w:eastAsia="zh-CN" w:bidi="ar-SA"/>
              </w:rPr>
              <w:t>（提供相关证明文件）</w:t>
            </w:r>
          </w:p>
          <w:p w14:paraId="40F38A9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en-US" w:bidi="ar-SA"/>
              </w:rPr>
              <w:t>（7）内部噪声：≤12.5µVp-p。</w:t>
            </w:r>
          </w:p>
        </w:tc>
      </w:tr>
      <w:tr w14:paraId="6F100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restart"/>
            <w:noWrap w:val="0"/>
            <w:vAlign w:val="center"/>
          </w:tcPr>
          <w:p w14:paraId="469FD97E">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79675888">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179A3495">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3B544150">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1ECA5FDF">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345AAE0B">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2D3E6387">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5CCEBE66">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0FE77088">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1E9CDF87">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0E5E6A19">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A612C6F">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0AF76A4A">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0C6CE2D0">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5BA572F9">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4104F71">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EFCAEE2">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680A586F">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61C35F72">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7D87081B">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30AE1673">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6A0C4AFA">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0E79AC2A">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5B770389">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7ADCB9B6">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4</w:t>
            </w:r>
          </w:p>
        </w:tc>
        <w:tc>
          <w:tcPr>
            <w:tcW w:w="1247" w:type="dxa"/>
            <w:vMerge w:val="restart"/>
            <w:tcBorders>
              <w:right w:val="single" w:color="000000" w:sz="2" w:space="0"/>
            </w:tcBorders>
            <w:noWrap w:val="0"/>
            <w:vAlign w:val="center"/>
          </w:tcPr>
          <w:p w14:paraId="487B002B">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09FC1042">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59EAD6F5">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19BFE709">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55B84861">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9AEBEEB">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610BB427">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79D43A04">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128C53AD">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2C7CD207">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754B6040">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64A68441">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1BA83C99">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59DD4D29">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B6CB2B7">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6327FB72">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06A62906">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1F9203B6">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4339CB36">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3ED409A0">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7342BB09">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52599AAA">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79A5E087">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196401F2">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p>
          <w:p w14:paraId="5D12B23D">
            <w:pPr>
              <w:keepNext/>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智能身高体重血压一体机</w:t>
            </w:r>
          </w:p>
        </w:tc>
        <w:tc>
          <w:tcPr>
            <w:tcW w:w="1183" w:type="dxa"/>
            <w:tcBorders>
              <w:left w:val="single" w:color="000000" w:sz="2" w:space="0"/>
            </w:tcBorders>
            <w:noWrap w:val="0"/>
            <w:vAlign w:val="center"/>
          </w:tcPr>
          <w:p w14:paraId="70A6784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★操作系统</w:t>
            </w:r>
          </w:p>
        </w:tc>
        <w:tc>
          <w:tcPr>
            <w:tcW w:w="6440" w:type="dxa"/>
            <w:gridSpan w:val="2"/>
            <w:tcBorders>
              <w:left w:val="single" w:color="000000" w:sz="2" w:space="0"/>
            </w:tcBorders>
            <w:noWrap w:val="0"/>
            <w:vAlign w:val="center"/>
          </w:tcPr>
          <w:p w14:paraId="484CB37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采用专业为健康体检深度定制安卓10.0及以上智能最新OS操作系统，可选择单项测量，全部顺序测量等模式，全程智能语音和动画提示操作简单；</w:t>
            </w:r>
            <w:r>
              <w:rPr>
                <w:rFonts w:hint="eastAsia" w:ascii="仿宋" w:hAnsi="仿宋" w:eastAsia="仿宋" w:cs="仿宋"/>
                <w:spacing w:val="3"/>
                <w:kern w:val="2"/>
                <w:sz w:val="21"/>
                <w:szCs w:val="21"/>
                <w:highlight w:val="none"/>
                <w:lang w:val="en-US" w:eastAsia="zh-CN" w:bidi="ar-SA"/>
              </w:rPr>
              <w:t>（提供相关证明文件）</w:t>
            </w:r>
          </w:p>
        </w:tc>
      </w:tr>
      <w:tr w14:paraId="3EAF5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2F0E8965">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2D734BC8">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2A8DDA35">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通讯方式</w:t>
            </w:r>
          </w:p>
        </w:tc>
        <w:tc>
          <w:tcPr>
            <w:tcW w:w="6440" w:type="dxa"/>
            <w:gridSpan w:val="2"/>
            <w:tcBorders>
              <w:left w:val="single" w:color="000000" w:sz="2" w:space="0"/>
            </w:tcBorders>
            <w:noWrap w:val="0"/>
            <w:vAlign w:val="center"/>
          </w:tcPr>
          <w:p w14:paraId="6287C21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提供RS232接口和WiFi接口，可选配：蓝牙4.0，3G/4G，RJ45网口等数据传输方式。可与第三方系统数据通信；兼容与医院、电子病历（EMR）、HIS健康体检系统数据共享通信；</w:t>
            </w:r>
          </w:p>
        </w:tc>
      </w:tr>
      <w:tr w14:paraId="3B5E2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780188E3">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5A20412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0D82B23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身份识别</w:t>
            </w:r>
          </w:p>
        </w:tc>
        <w:tc>
          <w:tcPr>
            <w:tcW w:w="6440" w:type="dxa"/>
            <w:gridSpan w:val="2"/>
            <w:tcBorders>
              <w:left w:val="single" w:color="000000" w:sz="2" w:space="0"/>
            </w:tcBorders>
            <w:noWrap w:val="0"/>
            <w:vAlign w:val="center"/>
          </w:tcPr>
          <w:p w14:paraId="6DA7D5F8">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支持扫描二维码、条码、身份证；</w:t>
            </w:r>
          </w:p>
        </w:tc>
      </w:tr>
      <w:tr w14:paraId="5B486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62ABCD38">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1AB18CDB">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7333486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体重测量方式</w:t>
            </w:r>
          </w:p>
        </w:tc>
        <w:tc>
          <w:tcPr>
            <w:tcW w:w="6440" w:type="dxa"/>
            <w:gridSpan w:val="2"/>
            <w:tcBorders>
              <w:left w:val="single" w:color="000000" w:sz="2" w:space="0"/>
            </w:tcBorders>
            <w:noWrap w:val="0"/>
            <w:vAlign w:val="center"/>
          </w:tcPr>
          <w:p w14:paraId="7AC63C88">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en-US" w:bidi="ar-SA"/>
              </w:rPr>
              <w:t>采用高精度、高灵敏、高性能的精密平衡梁电阻应变式压力传感器进行称重</w:t>
            </w:r>
            <w:r>
              <w:rPr>
                <w:rFonts w:hint="eastAsia" w:ascii="仿宋" w:hAnsi="仿宋" w:eastAsia="仿宋" w:cs="仿宋"/>
                <w:spacing w:val="3"/>
                <w:kern w:val="2"/>
                <w:sz w:val="21"/>
                <w:szCs w:val="21"/>
                <w:lang w:val="en-US" w:eastAsia="zh-CN" w:bidi="ar-SA"/>
              </w:rPr>
              <w:t>；</w:t>
            </w:r>
          </w:p>
        </w:tc>
      </w:tr>
      <w:tr w14:paraId="58D68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020F0C4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4EDD70FC">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22BB0088">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身高测量</w:t>
            </w:r>
          </w:p>
        </w:tc>
        <w:tc>
          <w:tcPr>
            <w:tcW w:w="6440" w:type="dxa"/>
            <w:gridSpan w:val="2"/>
            <w:tcBorders>
              <w:left w:val="single" w:color="000000" w:sz="2" w:space="0"/>
            </w:tcBorders>
            <w:noWrap w:val="0"/>
            <w:vAlign w:val="center"/>
          </w:tcPr>
          <w:p w14:paraId="674622D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20-210cm, 鉴定精度:±0.5cm  分度值：0.5cm或0.1cm可调；</w:t>
            </w:r>
          </w:p>
        </w:tc>
      </w:tr>
      <w:tr w14:paraId="6EEC6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143967DD">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5547EA0D">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472FEEF6">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体重测量</w:t>
            </w:r>
          </w:p>
        </w:tc>
        <w:tc>
          <w:tcPr>
            <w:tcW w:w="6440" w:type="dxa"/>
            <w:gridSpan w:val="2"/>
            <w:tcBorders>
              <w:left w:val="single" w:color="000000" w:sz="2" w:space="0"/>
            </w:tcBorders>
            <w:noWrap w:val="0"/>
            <w:vAlign w:val="center"/>
          </w:tcPr>
          <w:p w14:paraId="72BB460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2.0-500KG，鉴定精度:±0.1kg  分度值：0.1kg或0.01kg可调；</w:t>
            </w:r>
          </w:p>
        </w:tc>
      </w:tr>
      <w:tr w14:paraId="14EA4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7D1C9F3F">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35B93F6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64C29E68">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en-US" w:bidi="ar-SA"/>
              </w:rPr>
              <w:t>BMI</w:t>
            </w:r>
            <w:r>
              <w:rPr>
                <w:rFonts w:hint="eastAsia" w:ascii="仿宋" w:hAnsi="仿宋" w:eastAsia="仿宋" w:cs="仿宋"/>
                <w:spacing w:val="3"/>
                <w:kern w:val="2"/>
                <w:sz w:val="21"/>
                <w:szCs w:val="21"/>
                <w:lang w:val="en-US" w:eastAsia="zh-CN" w:bidi="ar-SA"/>
              </w:rPr>
              <w:t>体型测量</w:t>
            </w:r>
          </w:p>
        </w:tc>
        <w:tc>
          <w:tcPr>
            <w:tcW w:w="6440" w:type="dxa"/>
            <w:gridSpan w:val="2"/>
            <w:tcBorders>
              <w:left w:val="single" w:color="000000" w:sz="2" w:space="0"/>
            </w:tcBorders>
            <w:noWrap w:val="0"/>
            <w:vAlign w:val="center"/>
          </w:tcPr>
          <w:p w14:paraId="08E7054D">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en-US" w:bidi="ar-SA"/>
              </w:rPr>
              <w:t>自动计算BMI数值</w:t>
            </w:r>
            <w:r>
              <w:rPr>
                <w:rFonts w:hint="eastAsia" w:ascii="仿宋" w:hAnsi="仿宋" w:eastAsia="仿宋" w:cs="仿宋"/>
                <w:spacing w:val="3"/>
                <w:kern w:val="2"/>
                <w:sz w:val="21"/>
                <w:szCs w:val="21"/>
                <w:lang w:val="en-US" w:eastAsia="zh-CN" w:bidi="ar-SA"/>
              </w:rPr>
              <w:t>；</w:t>
            </w:r>
            <w:r>
              <w:rPr>
                <w:rFonts w:hint="eastAsia" w:ascii="仿宋" w:hAnsi="仿宋" w:eastAsia="仿宋" w:cs="仿宋"/>
                <w:spacing w:val="3"/>
                <w:kern w:val="2"/>
                <w:sz w:val="21"/>
                <w:szCs w:val="21"/>
                <w:lang w:val="en-US" w:eastAsia="en-US" w:bidi="ar-SA"/>
              </w:rPr>
              <w:t xml:space="preserve">采用最新 WHO 标准或中国九城市标准（范围可自由设置，正常范围 </w:t>
            </w:r>
            <w:r>
              <w:rPr>
                <w:rFonts w:hint="eastAsia" w:ascii="仿宋" w:hAnsi="仿宋" w:eastAsia="仿宋" w:cs="仿宋"/>
                <w:spacing w:val="3"/>
                <w:kern w:val="2"/>
                <w:sz w:val="21"/>
                <w:szCs w:val="21"/>
                <w:lang w:val="en-US" w:eastAsia="zh-CN" w:bidi="ar-SA"/>
              </w:rPr>
              <w:t>18.5-23.9</w:t>
            </w:r>
            <w:r>
              <w:rPr>
                <w:rFonts w:hint="eastAsia" w:ascii="仿宋" w:hAnsi="仿宋" w:eastAsia="仿宋" w:cs="仿宋"/>
                <w:spacing w:val="3"/>
                <w:kern w:val="2"/>
                <w:sz w:val="21"/>
                <w:szCs w:val="21"/>
                <w:lang w:val="en-US" w:eastAsia="en-US" w:bidi="ar-SA"/>
              </w:rPr>
              <w:t>）</w:t>
            </w:r>
            <w:r>
              <w:rPr>
                <w:rFonts w:hint="eastAsia" w:ascii="仿宋" w:hAnsi="仿宋" w:eastAsia="仿宋" w:cs="仿宋"/>
                <w:spacing w:val="3"/>
                <w:kern w:val="2"/>
                <w:sz w:val="21"/>
                <w:szCs w:val="21"/>
                <w:lang w:val="en-US" w:eastAsia="zh-CN" w:bidi="ar-SA"/>
              </w:rPr>
              <w:t>，根据BMI值自动判定偏瘦、正常、超重、肥胖等；BMI结果可自由设置小数点后1位和2位显示；</w:t>
            </w:r>
          </w:p>
        </w:tc>
      </w:tr>
      <w:tr w14:paraId="46D18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77A34F4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722E708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55957DC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BSA体表面积</w:t>
            </w:r>
          </w:p>
        </w:tc>
        <w:tc>
          <w:tcPr>
            <w:tcW w:w="6440" w:type="dxa"/>
            <w:gridSpan w:val="2"/>
            <w:tcBorders>
              <w:left w:val="single" w:color="000000" w:sz="2" w:space="0"/>
            </w:tcBorders>
            <w:noWrap w:val="0"/>
            <w:vAlign w:val="center"/>
          </w:tcPr>
          <w:p w14:paraId="399E572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en-US" w:bidi="ar-SA"/>
              </w:rPr>
              <w:t>自动计算 BSA 数值，测量结果实时直观显示，大幅节省操作时间，避免人为计算误差，保障数据精准性，为临床精准用药、科研提供</w:t>
            </w:r>
            <w:r>
              <w:rPr>
                <w:rFonts w:hint="eastAsia" w:ascii="仿宋" w:hAnsi="仿宋" w:eastAsia="仿宋" w:cs="仿宋"/>
                <w:spacing w:val="3"/>
                <w:kern w:val="2"/>
                <w:sz w:val="21"/>
                <w:szCs w:val="21"/>
                <w:lang w:val="en-US" w:eastAsia="zh-CN" w:bidi="ar-SA"/>
              </w:rPr>
              <w:t>参考</w:t>
            </w:r>
            <w:r>
              <w:rPr>
                <w:rFonts w:hint="eastAsia" w:ascii="仿宋" w:hAnsi="仿宋" w:eastAsia="仿宋" w:cs="仿宋"/>
                <w:spacing w:val="3"/>
                <w:kern w:val="2"/>
                <w:sz w:val="21"/>
                <w:szCs w:val="21"/>
                <w:lang w:val="en-US" w:eastAsia="en-US" w:bidi="ar-SA"/>
              </w:rPr>
              <w:t>数据</w:t>
            </w:r>
            <w:r>
              <w:rPr>
                <w:rFonts w:hint="eastAsia" w:ascii="仿宋" w:hAnsi="仿宋" w:eastAsia="仿宋" w:cs="仿宋"/>
                <w:spacing w:val="3"/>
                <w:kern w:val="2"/>
                <w:sz w:val="21"/>
                <w:szCs w:val="21"/>
                <w:lang w:val="en-US" w:eastAsia="zh-CN" w:bidi="ar-SA"/>
              </w:rPr>
              <w:t>；</w:t>
            </w:r>
          </w:p>
        </w:tc>
      </w:tr>
      <w:tr w14:paraId="4610A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5877FEA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4627E782">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3C1D78A8">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除衣模式</w:t>
            </w:r>
          </w:p>
        </w:tc>
        <w:tc>
          <w:tcPr>
            <w:tcW w:w="6440" w:type="dxa"/>
            <w:gridSpan w:val="2"/>
            <w:tcBorders>
              <w:left w:val="single" w:color="000000" w:sz="2" w:space="0"/>
            </w:tcBorders>
            <w:noWrap w:val="0"/>
            <w:vAlign w:val="center"/>
          </w:tcPr>
          <w:p w14:paraId="4933B0C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可根据四季场景，选择轻薄、常规、厚重三种预设衣物重量，同时支持手动自定义调整衣物重量数值。测量过程中设备自动扣除衣物重量，有效消除衣着带来的误差，让体重测量数据更精准，根据使用场景除衣模式可设置打开或关闭；</w:t>
            </w:r>
          </w:p>
        </w:tc>
      </w:tr>
      <w:tr w14:paraId="469E3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491548E1">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41B2EBCD">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1D183B3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单位设置</w:t>
            </w:r>
          </w:p>
        </w:tc>
        <w:tc>
          <w:tcPr>
            <w:tcW w:w="6440" w:type="dxa"/>
            <w:gridSpan w:val="2"/>
            <w:tcBorders>
              <w:left w:val="single" w:color="000000" w:sz="2" w:space="0"/>
            </w:tcBorders>
            <w:noWrap w:val="0"/>
            <w:vAlign w:val="center"/>
          </w:tcPr>
          <w:p w14:paraId="7BB28A1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身高单位：CM、英尺英寸、M，体重单位：KG、磅、斤；可根据需求自由切换；</w:t>
            </w:r>
          </w:p>
        </w:tc>
      </w:tr>
      <w:tr w14:paraId="44B09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6D37D4A9">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61684D2D">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4B4D913F">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血压测量</w:t>
            </w:r>
          </w:p>
        </w:tc>
        <w:tc>
          <w:tcPr>
            <w:tcW w:w="6440" w:type="dxa"/>
            <w:gridSpan w:val="2"/>
            <w:tcBorders>
              <w:left w:val="single" w:color="000000" w:sz="2" w:space="0"/>
            </w:tcBorders>
            <w:noWrap w:val="0"/>
            <w:vAlign w:val="center"/>
          </w:tcPr>
          <w:p w14:paraId="377AD8F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napToGrid w:val="0"/>
                <w:color w:val="000000"/>
                <w:spacing w:val="3"/>
                <w:kern w:val="2"/>
                <w:sz w:val="21"/>
                <w:szCs w:val="21"/>
                <w:lang w:val="en-US" w:eastAsia="zh-CN" w:bidi="ar-SA"/>
              </w:rPr>
              <w:t>1.</w:t>
            </w:r>
            <w:r>
              <w:rPr>
                <w:rFonts w:hint="eastAsia" w:ascii="仿宋" w:hAnsi="仿宋" w:eastAsia="仿宋" w:cs="仿宋"/>
                <w:spacing w:val="3"/>
                <w:kern w:val="2"/>
                <w:sz w:val="21"/>
                <w:szCs w:val="21"/>
                <w:lang w:val="en-US" w:eastAsia="zh-CN" w:bidi="ar-SA"/>
              </w:rPr>
              <w:t xml:space="preserve">方式：采用臂筒式血压计测量（支持左右臂血压测量）；                                            2.性能：智能加压技术，示波测定法+柯氏音法、双方法测量高压、低压、心率；                         </w:t>
            </w:r>
          </w:p>
          <w:p w14:paraId="4957EB6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 xml:space="preserve"> 3.范围：血压：0-295mmHg(0-39.33kpa)，脉搏：40-199次/分；                                      4.精度：压力：±3MmHg（±0.4kpa）内，脉搏数：±5％；                                            5.测量臂围：约24-42cm；臂筒活动角度：约30°度；</w:t>
            </w:r>
          </w:p>
        </w:tc>
      </w:tr>
      <w:tr w14:paraId="05511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165BE55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67CF837E">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5AB870E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平均血压</w:t>
            </w:r>
          </w:p>
        </w:tc>
        <w:tc>
          <w:tcPr>
            <w:tcW w:w="6440" w:type="dxa"/>
            <w:gridSpan w:val="2"/>
            <w:tcBorders>
              <w:left w:val="single" w:color="000000" w:sz="2" w:space="0"/>
            </w:tcBorders>
            <w:noWrap w:val="0"/>
            <w:vAlign w:val="center"/>
          </w:tcPr>
          <w:p w14:paraId="25494F5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支持平均血压测量模式，可自由设置2次或3次测量，自动计算均值无需手动操作，为日常监测提供更可靠的血压数据；</w:t>
            </w:r>
          </w:p>
        </w:tc>
      </w:tr>
      <w:tr w14:paraId="03EAB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13F47E7D">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6C3362AD">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2F6D102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脂肪率测量</w:t>
            </w:r>
          </w:p>
        </w:tc>
        <w:tc>
          <w:tcPr>
            <w:tcW w:w="6440" w:type="dxa"/>
            <w:gridSpan w:val="2"/>
            <w:tcBorders>
              <w:left w:val="single" w:color="000000" w:sz="2" w:space="0"/>
            </w:tcBorders>
            <w:noWrap w:val="0"/>
            <w:vAlign w:val="center"/>
          </w:tcPr>
          <w:p w14:paraId="22E8F17D">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测量原理：四电极人体生物电子阻抗法BIA；</w:t>
            </w:r>
          </w:p>
        </w:tc>
      </w:tr>
      <w:tr w14:paraId="50EC6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7895AB6D">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35587D37">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75297DD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脂肪测量项目</w:t>
            </w:r>
          </w:p>
        </w:tc>
        <w:tc>
          <w:tcPr>
            <w:tcW w:w="6440" w:type="dxa"/>
            <w:gridSpan w:val="2"/>
            <w:tcBorders>
              <w:left w:val="single" w:color="000000" w:sz="2" w:space="0"/>
            </w:tcBorders>
            <w:noWrap w:val="0"/>
            <w:vAlign w:val="center"/>
          </w:tcPr>
          <w:p w14:paraId="2D574D5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体脂肪量、体脂肪率、基础代谢、体水分量、体水分率、体骨骼量、体肌肉量、体肌肉率、蛋白质量、蛋白质率、皮下脂肪量、皮下脂肪率、去脂体重、细胞内液、细胞外液、无机盐量、内脏脂肪等级、体型判定、脂肪-肌肉控制、体重控制、身体年龄、健康评分;</w:t>
            </w:r>
          </w:p>
        </w:tc>
      </w:tr>
      <w:tr w14:paraId="7964D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4E79F4F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5A940AB4">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restart"/>
            <w:tcBorders>
              <w:left w:val="single" w:color="000000" w:sz="2" w:space="0"/>
            </w:tcBorders>
            <w:noWrap w:val="0"/>
            <w:vAlign w:val="center"/>
          </w:tcPr>
          <w:p w14:paraId="02FE11B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视力散光</w:t>
            </w:r>
          </w:p>
          <w:p w14:paraId="156D1ADA">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色盲黄斑变性检测</w:t>
            </w:r>
          </w:p>
          <w:p w14:paraId="0BFF59C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715D063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1.测量方式：电子显示屏触屏操作，测量便捷，操作简单易用；</w:t>
            </w:r>
          </w:p>
        </w:tc>
      </w:tr>
      <w:tr w14:paraId="27F1E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7376FA68">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39DFDCE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6D80DDD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553004E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2.测量项目：左右眼视力检测、左右眼散光检测、左右眼色盲检测、左右眼黄斑变性；</w:t>
            </w:r>
          </w:p>
        </w:tc>
      </w:tr>
      <w:tr w14:paraId="0C1F1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1826495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5F70430C">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39E721C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43ACCC1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3.测量范围：根据场地要求可灵活切换检测距离（支持1.5米/2.5米/5米随意切换）；</w:t>
            </w:r>
          </w:p>
        </w:tc>
      </w:tr>
      <w:tr w14:paraId="5BE99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3B387C8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7B887628">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1FAC0D3D">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p>
        </w:tc>
        <w:tc>
          <w:tcPr>
            <w:tcW w:w="6440" w:type="dxa"/>
            <w:gridSpan w:val="2"/>
            <w:tcBorders>
              <w:left w:val="single" w:color="000000" w:sz="2" w:space="0"/>
            </w:tcBorders>
            <w:noWrap w:val="0"/>
            <w:vAlign w:val="center"/>
          </w:tcPr>
          <w:p w14:paraId="2E1FF5A8">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4.测量标准：根据GB11533-2011国家标准设计，全程动画式语音指导测量，采用高清LED电子动态显示技术，同时采用智能ZOOM核心算法；</w:t>
            </w:r>
          </w:p>
        </w:tc>
      </w:tr>
      <w:tr w14:paraId="4DB4C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0AF80911">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4442F50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62A4EE1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p>
        </w:tc>
        <w:tc>
          <w:tcPr>
            <w:tcW w:w="6440" w:type="dxa"/>
            <w:gridSpan w:val="2"/>
            <w:tcBorders>
              <w:left w:val="single" w:color="000000" w:sz="2" w:space="0"/>
            </w:tcBorders>
            <w:noWrap w:val="0"/>
            <w:vAlign w:val="center"/>
          </w:tcPr>
          <w:p w14:paraId="3CB21CB6">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5.视力正常范围：左右眼1.0及以上，可根据评定测量结果和正常异常判定；可设置五分记录法和小数记录法两种模式；</w:t>
            </w:r>
          </w:p>
        </w:tc>
      </w:tr>
      <w:tr w14:paraId="6C84C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15686CF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7C8D33B3">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60AAED4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p>
        </w:tc>
        <w:tc>
          <w:tcPr>
            <w:tcW w:w="6440" w:type="dxa"/>
            <w:gridSpan w:val="2"/>
            <w:tcBorders>
              <w:left w:val="single" w:color="000000" w:sz="2" w:space="0"/>
            </w:tcBorders>
            <w:noWrap w:val="0"/>
            <w:vAlign w:val="center"/>
          </w:tcPr>
          <w:p w14:paraId="631B216D">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6.黄斑变性检测：距离屏幕视平线 30 厘米处，保持室内光亮度适宜、单眼交替测试，观察所有直线是否平直、无弯曲或断裂表，格四角和边缘是否完整可见，中心区域是否有暗影、模糊或缺失；主要对黄斑变性（分干性 / 湿性）、黄斑裂孔、遗传性黄斑病变早期诊断和干预对保护视力至关重要；</w:t>
            </w:r>
          </w:p>
        </w:tc>
      </w:tr>
      <w:tr w14:paraId="5CB3E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1A7E481D">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7595DEE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restart"/>
            <w:tcBorders>
              <w:left w:val="single" w:color="000000" w:sz="2" w:space="0"/>
            </w:tcBorders>
            <w:noWrap w:val="0"/>
            <w:vAlign w:val="center"/>
          </w:tcPr>
          <w:p w14:paraId="7BA1F11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心理健康</w:t>
            </w:r>
          </w:p>
          <w:p w14:paraId="0C590F0F">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r>
              <w:rPr>
                <w:rFonts w:hint="eastAsia" w:ascii="仿宋" w:hAnsi="仿宋" w:eastAsia="仿宋" w:cs="仿宋"/>
                <w:spacing w:val="3"/>
                <w:kern w:val="2"/>
                <w:sz w:val="21"/>
                <w:szCs w:val="21"/>
                <w:lang w:val="en-US" w:eastAsia="zh-CN" w:bidi="ar-SA"/>
              </w:rPr>
              <w:t>评估检测</w:t>
            </w:r>
          </w:p>
        </w:tc>
        <w:tc>
          <w:tcPr>
            <w:tcW w:w="6440" w:type="dxa"/>
            <w:gridSpan w:val="2"/>
            <w:tcBorders>
              <w:left w:val="single" w:color="000000" w:sz="2" w:space="0"/>
            </w:tcBorders>
            <w:noWrap w:val="0"/>
            <w:vAlign w:val="center"/>
          </w:tcPr>
          <w:p w14:paraId="31CE377F">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1.检测类型：正常、轻度倾向、中度倾向、重度倾向；</w:t>
            </w:r>
          </w:p>
        </w:tc>
      </w:tr>
      <w:tr w14:paraId="2E331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6912CCE5">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5DA51991">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7AAF62E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p>
        </w:tc>
        <w:tc>
          <w:tcPr>
            <w:tcW w:w="6440" w:type="dxa"/>
            <w:gridSpan w:val="2"/>
            <w:tcBorders>
              <w:left w:val="single" w:color="000000" w:sz="2" w:space="0"/>
            </w:tcBorders>
            <w:noWrap w:val="0"/>
            <w:vAlign w:val="center"/>
          </w:tcPr>
          <w:p w14:paraId="7CC0B21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2.测试方式：选择式得分；</w:t>
            </w:r>
          </w:p>
        </w:tc>
      </w:tr>
      <w:tr w14:paraId="61AEC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01E99B5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206A54BE">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52AF355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3033CD66">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3.判定标准：正常≦53分，轻度倾向54-62分，中度倾向63-72分，重度倾向＞72；</w:t>
            </w:r>
          </w:p>
        </w:tc>
      </w:tr>
      <w:tr w14:paraId="3918F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74C1CC90">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26BD8286">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73B73BF1">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47194FC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4.检测项目：从汉密尔顿焦虑测评、老年人焦虑测评、自测健康测评、抑郁测评、孤独测评、人格障碍性格测评、人际关系测评、生活满意度测评、情绪健康测评、日常生活能力测评、匹茨堡睡眠质量测评、成人心理压力测评、哈佛性向测评、情商测评、痴呆早期筛查测评、抑郁症筛查测评等16个方面进行全面心理评估；</w:t>
            </w:r>
          </w:p>
        </w:tc>
      </w:tr>
      <w:tr w14:paraId="541D0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1D7340AF">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7940140C">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restart"/>
            <w:tcBorders>
              <w:left w:val="single" w:color="000000" w:sz="2" w:space="0"/>
            </w:tcBorders>
            <w:noWrap w:val="0"/>
            <w:vAlign w:val="center"/>
          </w:tcPr>
          <w:p w14:paraId="0C80797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中医五态人格</w:t>
            </w:r>
          </w:p>
        </w:tc>
        <w:tc>
          <w:tcPr>
            <w:tcW w:w="6440" w:type="dxa"/>
            <w:gridSpan w:val="2"/>
            <w:tcBorders>
              <w:left w:val="single" w:color="000000" w:sz="2" w:space="0"/>
            </w:tcBorders>
            <w:noWrap w:val="0"/>
            <w:vAlign w:val="center"/>
          </w:tcPr>
          <w:p w14:paraId="5980093D">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1.检测类型：太阴之人、少阴之人、太阳之人、少阳之人及阴阳和平之人五大类型；</w:t>
            </w:r>
          </w:p>
        </w:tc>
      </w:tr>
      <w:tr w14:paraId="13CE9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4FD5A298">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14F2C1A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78632FCD">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p>
        </w:tc>
        <w:tc>
          <w:tcPr>
            <w:tcW w:w="6440" w:type="dxa"/>
            <w:gridSpan w:val="2"/>
            <w:tcBorders>
              <w:left w:val="single" w:color="000000" w:sz="2" w:space="0"/>
            </w:tcBorders>
            <w:noWrap w:val="0"/>
            <w:vAlign w:val="center"/>
          </w:tcPr>
          <w:p w14:paraId="37BA2193">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2.测试方式：采用选项计分测评模式；</w:t>
            </w:r>
          </w:p>
        </w:tc>
      </w:tr>
      <w:tr w14:paraId="2C8CD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4B838DE7">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1BCDA768">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7314F359">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26B2EE7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3.判定标准：以阴阳和平之人为基准标准型，在五类体质中气血调和、性情平稳、身形体态均衡协调，状态最为平和正常；</w:t>
            </w:r>
          </w:p>
        </w:tc>
      </w:tr>
      <w:tr w14:paraId="0614F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69406A43">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1BC7354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7717730A">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0398DF53">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4.中医五态人格：源自《黄帝内经・灵枢・通天》，是中医在阴阳指导下，依据人体先天禀赋中阴阳气血的盛衰偏差，结合身形样貌、精神神态、性格情志、行为举止、体质特质划分出的五类人格体质、体现了中医 “形神一体、天人相应” 的整体辨证诊疗思想。</w:t>
            </w:r>
          </w:p>
        </w:tc>
      </w:tr>
      <w:tr w14:paraId="3AAC4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7BC4FAC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4512E54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restart"/>
            <w:tcBorders>
              <w:left w:val="single" w:color="000000" w:sz="2" w:space="0"/>
            </w:tcBorders>
            <w:noWrap w:val="0"/>
            <w:vAlign w:val="center"/>
          </w:tcPr>
          <w:p w14:paraId="168C7B4D">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★呼吸训练</w:t>
            </w:r>
          </w:p>
          <w:p w14:paraId="6A3E512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highlight w:val="none"/>
                <w:lang w:val="en-US" w:eastAsia="zh-CN" w:bidi="ar-SA"/>
              </w:rPr>
            </w:pPr>
            <w:r>
              <w:rPr>
                <w:rFonts w:hint="eastAsia" w:ascii="仿宋" w:hAnsi="仿宋" w:eastAsia="仿宋" w:cs="仿宋"/>
                <w:spacing w:val="3"/>
                <w:kern w:val="2"/>
                <w:sz w:val="21"/>
                <w:szCs w:val="21"/>
                <w:highlight w:val="none"/>
                <w:lang w:val="en-US" w:eastAsia="zh-CN" w:bidi="ar-SA"/>
              </w:rPr>
              <w:t>（提供相关证明文件）</w:t>
            </w:r>
          </w:p>
          <w:p w14:paraId="5268D84F">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417D8BB8">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1.训练模式：搭载五大专项训练方案，分别针对舒缓压力、平复焦虑、消除疲劳、舒缓躯体疼痛、提升专注力五大需求匹配专属呼吸引导；</w:t>
            </w:r>
          </w:p>
        </w:tc>
      </w:tr>
      <w:tr w14:paraId="54B10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48095779">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0640127C">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6BE1945B">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en-US" w:bidi="ar-SA"/>
              </w:rPr>
            </w:pPr>
          </w:p>
        </w:tc>
        <w:tc>
          <w:tcPr>
            <w:tcW w:w="6440" w:type="dxa"/>
            <w:gridSpan w:val="2"/>
            <w:tcBorders>
              <w:left w:val="single" w:color="000000" w:sz="2" w:space="0"/>
            </w:tcBorders>
            <w:noWrap w:val="0"/>
            <w:vAlign w:val="center"/>
          </w:tcPr>
          <w:p w14:paraId="0AB2025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 xml:space="preserve">2.时长设定：可自由设定单次训练时长，按需规划训练周期，完成呼吸训练； </w:t>
            </w:r>
          </w:p>
        </w:tc>
      </w:tr>
      <w:tr w14:paraId="4804B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6F6A2B85">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40ECF3A4">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76BCE5F0">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087AB46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3.智能引导：测量过程语音+动态动画引导，步骤清晰直观，可规范完成整套呼吸训练动作；</w:t>
            </w:r>
          </w:p>
        </w:tc>
      </w:tr>
      <w:tr w14:paraId="71A80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6107B5D2">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44D9F524">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63785868">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7FBE49E1">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4.音频配置：支持自主更换背景音乐，适配轻柔平静曲风，营造放松环境；</w:t>
            </w:r>
          </w:p>
        </w:tc>
      </w:tr>
      <w:tr w14:paraId="535FC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390A1D8A">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537F79A4">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vMerge w:val="continue"/>
            <w:tcBorders>
              <w:left w:val="single" w:color="000000" w:sz="2" w:space="0"/>
            </w:tcBorders>
            <w:noWrap w:val="0"/>
            <w:vAlign w:val="center"/>
          </w:tcPr>
          <w:p w14:paraId="4B85F15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p>
        </w:tc>
        <w:tc>
          <w:tcPr>
            <w:tcW w:w="6440" w:type="dxa"/>
            <w:gridSpan w:val="2"/>
            <w:tcBorders>
              <w:left w:val="single" w:color="000000" w:sz="2" w:space="0"/>
            </w:tcBorders>
            <w:noWrap w:val="0"/>
            <w:vAlign w:val="center"/>
          </w:tcPr>
          <w:p w14:paraId="17A3EF41">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5.身心调节：科学引导调整呼吸节奏、换气频率与呼吸深度；帮助降低静息心率、提升心率变异性，强化心理抗压能力，长效舒缓身心疲惫，舒展身心、守护健康状态；</w:t>
            </w:r>
          </w:p>
        </w:tc>
      </w:tr>
      <w:tr w14:paraId="502B9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1F7FEE35">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2051A037">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6DF3A07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★LCD显示</w:t>
            </w:r>
          </w:p>
        </w:tc>
        <w:tc>
          <w:tcPr>
            <w:tcW w:w="6440" w:type="dxa"/>
            <w:gridSpan w:val="2"/>
            <w:tcBorders>
              <w:left w:val="single" w:color="000000" w:sz="2" w:space="0"/>
            </w:tcBorders>
            <w:noWrap w:val="0"/>
            <w:vAlign w:val="center"/>
          </w:tcPr>
          <w:p w14:paraId="139C955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采用≥10寸以上高清彩色液晶触摸屏，可播放视频图片；</w:t>
            </w:r>
            <w:r>
              <w:rPr>
                <w:rFonts w:hint="eastAsia" w:ascii="仿宋" w:hAnsi="仿宋" w:eastAsia="仿宋" w:cs="仿宋"/>
                <w:spacing w:val="3"/>
                <w:kern w:val="2"/>
                <w:sz w:val="21"/>
                <w:szCs w:val="21"/>
                <w:highlight w:val="none"/>
                <w:lang w:val="en-US" w:eastAsia="zh-CN" w:bidi="ar-SA"/>
              </w:rPr>
              <w:t>（提供相关证明文件）</w:t>
            </w:r>
          </w:p>
        </w:tc>
      </w:tr>
      <w:tr w14:paraId="33DBA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02115F12">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4EFD83C2">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73E2842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打印功能</w:t>
            </w:r>
          </w:p>
        </w:tc>
        <w:tc>
          <w:tcPr>
            <w:tcW w:w="6440" w:type="dxa"/>
            <w:gridSpan w:val="2"/>
            <w:tcBorders>
              <w:left w:val="single" w:color="000000" w:sz="2" w:space="0"/>
            </w:tcBorders>
            <w:noWrap w:val="0"/>
            <w:vAlign w:val="center"/>
          </w:tcPr>
          <w:p w14:paraId="59D7B2F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采用高速热敏易装打印机，实时打印测量结果；</w:t>
            </w:r>
          </w:p>
        </w:tc>
      </w:tr>
      <w:tr w14:paraId="58084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4ACF33F8">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3094FF97">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0D27F486">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语音播报</w:t>
            </w:r>
          </w:p>
        </w:tc>
        <w:tc>
          <w:tcPr>
            <w:tcW w:w="6440" w:type="dxa"/>
            <w:gridSpan w:val="2"/>
            <w:tcBorders>
              <w:left w:val="single" w:color="000000" w:sz="2" w:space="0"/>
            </w:tcBorders>
            <w:noWrap w:val="0"/>
            <w:vAlign w:val="center"/>
          </w:tcPr>
          <w:p w14:paraId="09307DD5">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清晰语音报出测量引导和测量结果；</w:t>
            </w:r>
          </w:p>
        </w:tc>
      </w:tr>
      <w:tr w14:paraId="71538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0C9FBD5C">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32BF6711">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3237707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微信推广</w:t>
            </w:r>
          </w:p>
        </w:tc>
        <w:tc>
          <w:tcPr>
            <w:tcW w:w="6440" w:type="dxa"/>
            <w:gridSpan w:val="2"/>
            <w:tcBorders>
              <w:left w:val="single" w:color="000000" w:sz="2" w:space="0"/>
            </w:tcBorders>
            <w:noWrap w:val="0"/>
            <w:vAlign w:val="center"/>
          </w:tcPr>
          <w:p w14:paraId="2AC69E55">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设备并提供测量数据和微信公众号的绑定，居民在通过微信扫一扫手机获取测量数据的同时关注医疗单位公众号，并提供健康建议，生成健康曲线方便用户关注体重对健康的影响，方便医疗单位健康知识的宣传和卫生政策的传达；</w:t>
            </w:r>
          </w:p>
        </w:tc>
      </w:tr>
      <w:tr w14:paraId="55FB9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3C0E5CA1">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154D43F8">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2F58EF84">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系统设置</w:t>
            </w:r>
          </w:p>
        </w:tc>
        <w:tc>
          <w:tcPr>
            <w:tcW w:w="6440" w:type="dxa"/>
            <w:gridSpan w:val="2"/>
            <w:tcBorders>
              <w:left w:val="single" w:color="000000" w:sz="2" w:space="0"/>
            </w:tcBorders>
            <w:noWrap w:val="0"/>
            <w:vAlign w:val="center"/>
          </w:tcPr>
          <w:p w14:paraId="59C3E9A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采用先进的加密机制，只有管理员才有登录权限，保证数据的安全性和误操作设置；</w:t>
            </w:r>
          </w:p>
        </w:tc>
      </w:tr>
      <w:tr w14:paraId="365B2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38CE4731">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693D322F">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6A5B11DF">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结果模式</w:t>
            </w:r>
          </w:p>
        </w:tc>
        <w:tc>
          <w:tcPr>
            <w:tcW w:w="6440" w:type="dxa"/>
            <w:gridSpan w:val="2"/>
            <w:tcBorders>
              <w:left w:val="single" w:color="000000" w:sz="2" w:space="0"/>
            </w:tcBorders>
            <w:noWrap w:val="0"/>
            <w:vAlign w:val="center"/>
          </w:tcPr>
          <w:p w14:paraId="4AA681D7">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四种模式可任意选择：1.只显示结果，2.只显示二维码，3.二维码结果同时显示 4.全不显示（只限身高体重）；</w:t>
            </w:r>
          </w:p>
        </w:tc>
      </w:tr>
      <w:tr w14:paraId="13285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25C3E715">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7A03E4C9">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6BBA638F">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数据存储</w:t>
            </w:r>
          </w:p>
        </w:tc>
        <w:tc>
          <w:tcPr>
            <w:tcW w:w="6440" w:type="dxa"/>
            <w:gridSpan w:val="2"/>
            <w:tcBorders>
              <w:left w:val="single" w:color="000000" w:sz="2" w:space="0"/>
            </w:tcBorders>
            <w:noWrap w:val="0"/>
            <w:vAlign w:val="center"/>
          </w:tcPr>
          <w:p w14:paraId="60C59812">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本机可存储≥100万条以上测量数据，并支持U盘导出Excel表格方便汇总统计；</w:t>
            </w:r>
          </w:p>
        </w:tc>
      </w:tr>
      <w:tr w14:paraId="58ECE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4D0DF6A5">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32180D3F">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479E0A8C">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档案管理</w:t>
            </w:r>
          </w:p>
        </w:tc>
        <w:tc>
          <w:tcPr>
            <w:tcW w:w="6440" w:type="dxa"/>
            <w:gridSpan w:val="2"/>
            <w:tcBorders>
              <w:left w:val="single" w:color="000000" w:sz="2" w:space="0"/>
            </w:tcBorders>
            <w:noWrap w:val="0"/>
            <w:vAlign w:val="center"/>
          </w:tcPr>
          <w:p w14:paraId="7ED4E446">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支持自助建档测量和游客测量，无需人工干预快速建立个人健康档案，支持健康筛查，可通过性别、年龄对肥胖症，高血压，高血糖等慢性病人群进行大数据统计分析管理，查询历史测量记录，根据测量数据提供健康指导服务、饮食建议、运动规划等；</w:t>
            </w:r>
          </w:p>
        </w:tc>
      </w:tr>
      <w:tr w14:paraId="347A7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1102AD68">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732B26E3">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11D5409F">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报告查询</w:t>
            </w:r>
          </w:p>
        </w:tc>
        <w:tc>
          <w:tcPr>
            <w:tcW w:w="6440" w:type="dxa"/>
            <w:gridSpan w:val="2"/>
            <w:tcBorders>
              <w:left w:val="single" w:color="000000" w:sz="2" w:space="0"/>
            </w:tcBorders>
            <w:noWrap w:val="0"/>
            <w:vAlign w:val="center"/>
          </w:tcPr>
          <w:p w14:paraId="4D5AB00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通过编号、性别、年龄及检测时间对本机所有测量人员信息测量结果查询（包含本机档案库和游客测量），通过测量人员信息可查看最后一次测量结果并自动统计本次检测项目、健康指标、合格指标、不合格指标使数据更清晰易懂。</w:t>
            </w:r>
          </w:p>
        </w:tc>
      </w:tr>
      <w:tr w14:paraId="3A568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501" w:type="dxa"/>
            <w:vMerge w:val="continue"/>
            <w:noWrap w:val="0"/>
            <w:vAlign w:val="top"/>
          </w:tcPr>
          <w:p w14:paraId="3C59B477">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247" w:type="dxa"/>
            <w:vMerge w:val="continue"/>
            <w:tcBorders>
              <w:right w:val="single" w:color="000000" w:sz="2" w:space="0"/>
            </w:tcBorders>
            <w:noWrap w:val="0"/>
            <w:vAlign w:val="top"/>
          </w:tcPr>
          <w:p w14:paraId="6A759530">
            <w:pPr>
              <w:keepNext/>
              <w:keepLines w:val="0"/>
              <w:pageBreakBefore w:val="0"/>
              <w:widowControl w:val="0"/>
              <w:kinsoku/>
              <w:wordWrap/>
              <w:overflowPunct/>
              <w:topLinePunct w:val="0"/>
              <w:autoSpaceDE/>
              <w:autoSpaceDN/>
              <w:bidi w:val="0"/>
              <w:adjustRightInd/>
              <w:snapToGrid w:val="0"/>
              <w:jc w:val="both"/>
              <w:textAlignment w:val="auto"/>
              <w:rPr>
                <w:rFonts w:hint="eastAsia" w:ascii="仿宋" w:hAnsi="仿宋" w:eastAsia="仿宋" w:cs="仿宋"/>
                <w:kern w:val="2"/>
                <w:sz w:val="21"/>
                <w:szCs w:val="21"/>
                <w:lang w:val="en-US" w:eastAsia="zh-CN" w:bidi="ar-SA"/>
              </w:rPr>
            </w:pPr>
          </w:p>
        </w:tc>
        <w:tc>
          <w:tcPr>
            <w:tcW w:w="1183" w:type="dxa"/>
            <w:tcBorders>
              <w:left w:val="single" w:color="000000" w:sz="2" w:space="0"/>
            </w:tcBorders>
            <w:noWrap w:val="0"/>
            <w:vAlign w:val="center"/>
          </w:tcPr>
          <w:p w14:paraId="4E41387E">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定时开关机</w:t>
            </w:r>
          </w:p>
        </w:tc>
        <w:tc>
          <w:tcPr>
            <w:tcW w:w="6440" w:type="dxa"/>
            <w:gridSpan w:val="2"/>
            <w:tcBorders>
              <w:left w:val="single" w:color="000000" w:sz="2" w:space="0"/>
            </w:tcBorders>
            <w:noWrap w:val="0"/>
            <w:vAlign w:val="center"/>
          </w:tcPr>
          <w:p w14:paraId="76FB3F16">
            <w:pPr>
              <w:keepNext/>
              <w:keepLines w:val="0"/>
              <w:pageBreakBefore w:val="0"/>
              <w:widowControl w:val="0"/>
              <w:numPr>
                <w:ilvl w:val="0"/>
                <w:numId w:val="0"/>
              </w:numPr>
              <w:kinsoku/>
              <w:wordWrap/>
              <w:overflowPunct/>
              <w:topLinePunct w:val="0"/>
              <w:autoSpaceDE/>
              <w:autoSpaceDN/>
              <w:bidi w:val="0"/>
              <w:adjustRightInd/>
              <w:snapToGrid w:val="0"/>
              <w:spacing w:line="228" w:lineRule="auto"/>
              <w:ind w:left="120" w:leftChars="0"/>
              <w:jc w:val="both"/>
              <w:textAlignment w:val="auto"/>
              <w:rPr>
                <w:rFonts w:hint="eastAsia" w:ascii="仿宋" w:hAnsi="仿宋" w:eastAsia="仿宋" w:cs="仿宋"/>
                <w:spacing w:val="3"/>
                <w:kern w:val="2"/>
                <w:sz w:val="21"/>
                <w:szCs w:val="21"/>
                <w:lang w:val="en-US" w:eastAsia="zh-CN" w:bidi="ar-SA"/>
              </w:rPr>
            </w:pPr>
            <w:r>
              <w:rPr>
                <w:rFonts w:hint="eastAsia" w:ascii="仿宋" w:hAnsi="仿宋" w:eastAsia="仿宋" w:cs="仿宋"/>
                <w:spacing w:val="3"/>
                <w:kern w:val="2"/>
                <w:sz w:val="21"/>
                <w:szCs w:val="21"/>
                <w:lang w:val="en-US" w:eastAsia="zh-CN" w:bidi="ar-SA"/>
              </w:rPr>
              <w:t>支持自定义设置循环周期与开关机时间，智能省电节能，长效呵护设备运行，有效延长设备使用寿命；</w:t>
            </w:r>
          </w:p>
        </w:tc>
      </w:tr>
    </w:tbl>
    <w:p w14:paraId="5DFFCD1A">
      <w:pPr>
        <w:keepNext w:val="0"/>
        <w:keepLines w:val="0"/>
        <w:widowControl/>
        <w:suppressLineNumbers w:val="0"/>
        <w:kinsoku/>
        <w:autoSpaceDE/>
        <w:autoSpaceDN/>
        <w:adjustRightInd/>
        <w:snapToGrid/>
        <w:spacing w:line="240" w:lineRule="auto"/>
        <w:jc w:val="left"/>
        <w:textAlignment w:val="auto"/>
        <w:rPr>
          <w:rFonts w:hint="eastAsia" w:ascii="仿宋" w:hAnsi="仿宋" w:eastAsia="仿宋" w:cs="仿宋"/>
          <w:b/>
          <w:bCs/>
          <w:snapToGrid/>
          <w:color w:val="auto"/>
          <w:kern w:val="2"/>
          <w:sz w:val="24"/>
          <w:szCs w:val="24"/>
          <w:highlight w:val="none"/>
          <w:lang w:val="en-US" w:eastAsia="zh-CN" w:bidi="ar-SA"/>
        </w:rPr>
      </w:pPr>
    </w:p>
    <w:p w14:paraId="4C77DBFA">
      <w:pPr>
        <w:keepNext w:val="0"/>
        <w:keepLines w:val="0"/>
        <w:widowControl/>
        <w:suppressLineNumbers w:val="0"/>
        <w:jc w:val="left"/>
        <w:rPr>
          <w:rFonts w:hint="eastAsia" w:ascii="仿宋" w:hAnsi="仿宋" w:eastAsia="仿宋" w:cs="仿宋"/>
          <w:b/>
          <w:bCs/>
          <w:color w:val="auto"/>
          <w:highlight w:val="none"/>
        </w:rPr>
      </w:pPr>
      <w:r>
        <w:rPr>
          <w:rFonts w:hint="eastAsia" w:ascii="仿宋" w:hAnsi="仿宋" w:eastAsia="仿宋" w:cs="仿宋"/>
          <w:b/>
          <w:bCs/>
          <w:color w:val="auto"/>
          <w:kern w:val="2"/>
          <w:sz w:val="24"/>
          <w:szCs w:val="24"/>
          <w:highlight w:val="none"/>
          <w:lang w:val="en-US" w:eastAsia="zh-CN" w:bidi="ar-SA"/>
        </w:rPr>
        <w:t>注：</w:t>
      </w:r>
      <w:r>
        <w:rPr>
          <w:rFonts w:hint="eastAsia" w:ascii="仿宋" w:hAnsi="仿宋" w:eastAsia="仿宋" w:cs="仿宋"/>
          <w:b/>
          <w:bCs/>
          <w:color w:val="auto"/>
          <w:kern w:val="0"/>
          <w:sz w:val="24"/>
          <w:szCs w:val="24"/>
          <w:highlight w:val="none"/>
          <w:lang w:val="en-US" w:eastAsia="zh-CN" w:bidi="ar"/>
        </w:rPr>
        <w:t xml:space="preserve">写明所需提供相关证明资料的，须提供生产（制造）商的产品彩页、技术白皮书或公开出版的产品完整参数说明书或机器软件截图，其参数必须等于或优于条款参数，未提供或提供的证明材料不清晰，视为实质性偏离，投标无效。 </w:t>
      </w:r>
    </w:p>
    <w:p w14:paraId="1AAFF913">
      <w:pPr>
        <w:keepNext w:val="0"/>
        <w:keepLines w:val="0"/>
        <w:widowControl/>
        <w:suppressLineNumbers w:val="0"/>
        <w:jc w:val="left"/>
        <w:rPr>
          <w:rFonts w:hint="eastAsia" w:ascii="仿宋" w:hAnsi="仿宋" w:eastAsia="仿宋" w:cs="仿宋"/>
          <w:color w:val="000000"/>
          <w:sz w:val="24"/>
          <w:highlight w:val="yellow"/>
          <w:lang w:val="en-US" w:eastAsia="zh-CN"/>
        </w:rPr>
      </w:pPr>
    </w:p>
    <w:p w14:paraId="21C7EEF6">
      <w:pPr>
        <w:keepNext w:val="0"/>
        <w:keepLines w:val="0"/>
        <w:widowControl/>
        <w:suppressLineNumbers w:val="0"/>
        <w:kinsoku/>
        <w:autoSpaceDE/>
        <w:autoSpaceDN/>
        <w:adjustRightInd/>
        <w:snapToGrid/>
        <w:spacing w:line="240" w:lineRule="auto"/>
        <w:jc w:val="left"/>
        <w:textAlignment w:val="auto"/>
        <w:rPr>
          <w:rFonts w:hint="eastAsia" w:ascii="仿宋" w:hAnsi="仿宋" w:eastAsia="仿宋" w:cs="仿宋"/>
          <w:snapToGrid/>
          <w:color w:val="000000"/>
          <w:kern w:val="2"/>
          <w:sz w:val="24"/>
          <w:szCs w:val="24"/>
          <w:highlight w:val="yellow"/>
          <w:lang w:val="en-US" w:eastAsia="zh-CN"/>
        </w:rPr>
      </w:pPr>
    </w:p>
    <w:p w14:paraId="3D90A6BD">
      <w:pPr>
        <w:keepNext w:val="0"/>
        <w:keepLines w:val="0"/>
        <w:widowControl/>
        <w:suppressLineNumbers w:val="0"/>
        <w:kinsoku/>
        <w:autoSpaceDE/>
        <w:autoSpaceDN/>
        <w:adjustRightInd/>
        <w:snapToGrid/>
        <w:spacing w:line="240" w:lineRule="auto"/>
        <w:jc w:val="left"/>
        <w:textAlignment w:val="auto"/>
        <w:rPr>
          <w:rFonts w:hint="eastAsia" w:ascii="仿宋" w:hAnsi="仿宋" w:eastAsia="仿宋" w:cs="仿宋"/>
          <w:b/>
          <w:bCs/>
          <w:snapToGrid/>
          <w:color w:val="auto"/>
          <w:kern w:val="0"/>
          <w:sz w:val="24"/>
          <w:szCs w:val="24"/>
          <w:highlight w:val="none"/>
          <w:lang w:val="en-US" w:eastAsia="zh-CN" w:bidi="ar"/>
        </w:rPr>
      </w:pPr>
    </w:p>
    <w:p w14:paraId="4FD386CC">
      <w:pPr>
        <w:keepNext/>
        <w:keepLines/>
        <w:pageBreakBefore w:val="0"/>
        <w:widowControl w:val="0"/>
        <w:kinsoku/>
        <w:overflowPunct/>
        <w:topLinePunct w:val="0"/>
        <w:bidi w:val="0"/>
        <w:adjustRightInd w:val="0"/>
        <w:snapToGrid w:val="0"/>
        <w:spacing w:before="156" w:beforeLines="50" w:line="240" w:lineRule="auto"/>
        <w:jc w:val="center"/>
        <w:outlineLvl w:val="1"/>
        <w:rPr>
          <w:rFonts w:hint="eastAsia" w:ascii="仿宋" w:hAnsi="仿宋" w:eastAsia="仿宋" w:cs="仿宋"/>
          <w:b/>
          <w:bCs/>
          <w:color w:val="auto"/>
          <w:kern w:val="2"/>
          <w:sz w:val="28"/>
          <w:szCs w:val="28"/>
          <w:highlight w:val="none"/>
          <w:lang w:val="en-US" w:eastAsia="zh-CN" w:bidi="ar-SA"/>
        </w:rPr>
        <w:sectPr>
          <w:pgSz w:w="11906" w:h="16838"/>
          <w:pgMar w:top="1440" w:right="1800" w:bottom="1440" w:left="1800" w:header="851" w:footer="992" w:gutter="0"/>
          <w:cols w:space="425" w:num="1"/>
          <w:docGrid w:type="lines" w:linePitch="312" w:charSpace="0"/>
        </w:sectPr>
      </w:pPr>
      <w:bookmarkStart w:id="5" w:name="_Toc21572"/>
    </w:p>
    <w:p w14:paraId="353DB14B">
      <w:pPr>
        <w:keepNext/>
        <w:keepLines/>
        <w:pageBreakBefore w:val="0"/>
        <w:widowControl w:val="0"/>
        <w:kinsoku/>
        <w:overflowPunct/>
        <w:topLinePunct w:val="0"/>
        <w:bidi w:val="0"/>
        <w:adjustRightInd w:val="0"/>
        <w:snapToGrid w:val="0"/>
        <w:spacing w:before="156" w:beforeLines="50" w:line="240" w:lineRule="auto"/>
        <w:jc w:val="center"/>
        <w:outlineLvl w:val="1"/>
        <w:rPr>
          <w:rFonts w:hint="eastAsia" w:ascii="仿宋" w:hAnsi="仿宋" w:eastAsia="仿宋" w:cs="仿宋"/>
          <w:b/>
          <w:bCs/>
          <w:color w:val="auto"/>
          <w:kern w:val="2"/>
          <w:sz w:val="24"/>
          <w:szCs w:val="24"/>
          <w:highlight w:val="none"/>
          <w:lang w:val="en-US" w:eastAsia="zh-CN" w:bidi="ar-SA"/>
        </w:rPr>
      </w:pPr>
      <w:bookmarkStart w:id="6" w:name="_GoBack"/>
      <w:bookmarkEnd w:id="6"/>
      <w:r>
        <w:rPr>
          <w:rFonts w:hint="eastAsia" w:ascii="仿宋" w:hAnsi="仿宋" w:eastAsia="仿宋" w:cs="仿宋"/>
          <w:b/>
          <w:bCs/>
          <w:color w:val="auto"/>
          <w:kern w:val="2"/>
          <w:sz w:val="28"/>
          <w:szCs w:val="28"/>
          <w:highlight w:val="none"/>
          <w:lang w:val="en-US" w:eastAsia="zh-CN" w:bidi="ar-SA"/>
        </w:rPr>
        <w:t>第三节 商务要求</w:t>
      </w:r>
      <w:bookmarkEnd w:id="4"/>
      <w:bookmarkEnd w:id="5"/>
    </w:p>
    <w:p w14:paraId="5E63D2B9">
      <w:pPr>
        <w:keepNext w:val="0"/>
        <w:keepLines w:val="0"/>
        <w:pageBreakBefore w:val="0"/>
        <w:widowControl w:val="0"/>
        <w:kinsoku/>
        <w:wordWrap/>
        <w:overflowPunct/>
        <w:topLinePunct w:val="0"/>
        <w:autoSpaceDE w:val="0"/>
        <w:autoSpaceDN w:val="0"/>
        <w:bidi w:val="0"/>
        <w:adjustRightInd w:val="0"/>
        <w:snapToGrid/>
        <w:spacing w:line="400" w:lineRule="exact"/>
        <w:ind w:firstLine="482" w:firstLineChars="200"/>
        <w:textAlignment w:val="auto"/>
        <w:rPr>
          <w:rFonts w:hint="eastAsia" w:ascii="仿宋" w:hAnsi="仿宋" w:eastAsia="仿宋" w:cs="仿宋"/>
          <w:b/>
          <w:bCs/>
          <w:color w:val="auto"/>
          <w:sz w:val="24"/>
          <w:szCs w:val="24"/>
          <w:highlight w:val="none"/>
          <w:lang w:val="en-US" w:eastAsia="zh-CN" w:bidi="ar-SA"/>
        </w:rPr>
      </w:pPr>
      <w:r>
        <w:rPr>
          <w:rFonts w:hint="eastAsia" w:ascii="仿宋" w:hAnsi="仿宋" w:eastAsia="仿宋" w:cs="仿宋"/>
          <w:b/>
          <w:bCs/>
          <w:color w:val="auto"/>
          <w:sz w:val="24"/>
          <w:szCs w:val="24"/>
          <w:highlight w:val="none"/>
          <w:lang w:val="en-US" w:eastAsia="zh-CN" w:bidi="ar-SA"/>
        </w:rPr>
        <w:t>一、报价要求：</w:t>
      </w:r>
    </w:p>
    <w:p w14:paraId="61F487F8">
      <w:pPr>
        <w:keepNext w:val="0"/>
        <w:keepLines w:val="0"/>
        <w:pageBreakBefore w:val="0"/>
        <w:widowControl w:val="0"/>
        <w:kinsoku/>
        <w:wordWrap/>
        <w:overflowPunct/>
        <w:topLinePunct w:val="0"/>
        <w:autoSpaceDE w:val="0"/>
        <w:autoSpaceDN w:val="0"/>
        <w:bidi w:val="0"/>
        <w:adjustRightInd w:val="0"/>
        <w:spacing w:line="360" w:lineRule="auto"/>
        <w:ind w:firstLine="480" w:firstLineChars="200"/>
        <w:textAlignment w:val="auto"/>
        <w:rPr>
          <w:rFonts w:hint="eastAsia" w:ascii="仿宋" w:hAnsi="仿宋" w:eastAsia="仿宋" w:cs="仿宋"/>
          <w:color w:val="000000"/>
          <w:sz w:val="24"/>
          <w:szCs w:val="24"/>
          <w:highlight w:val="none"/>
          <w:lang w:val="en-US" w:eastAsia="zh-CN" w:bidi="ar-SA"/>
        </w:rPr>
      </w:pPr>
      <w:r>
        <w:rPr>
          <w:rFonts w:hint="eastAsia" w:ascii="仿宋" w:hAnsi="仿宋" w:eastAsia="仿宋" w:cs="仿宋"/>
          <w:color w:val="000000"/>
          <w:sz w:val="24"/>
          <w:szCs w:val="24"/>
          <w:highlight w:val="none"/>
          <w:lang w:val="en-US" w:eastAsia="zh-CN" w:bidi="ar-SA"/>
        </w:rPr>
        <w:t>1、报价方式：采用固定总价报价方式，即投标供应商的投标报价金额必须按照招标文件规定进行报价，并且在合同实施期间不因任何因素变化而变动。因此，投标供应商在确认报价时，应考虑一定的风险系数。</w:t>
      </w:r>
    </w:p>
    <w:p w14:paraId="0292BB1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eastAsia="zh-CN"/>
        </w:rPr>
      </w:pPr>
      <w:r>
        <w:rPr>
          <w:rFonts w:hint="eastAsia" w:ascii="仿宋" w:hAnsi="仿宋" w:eastAsia="仿宋" w:cs="仿宋"/>
          <w:snapToGrid/>
          <w:color w:val="auto"/>
          <w:kern w:val="2"/>
          <w:sz w:val="24"/>
          <w:szCs w:val="24"/>
          <w:highlight w:val="none"/>
          <w:lang w:val="en-US" w:eastAsia="zh-CN"/>
        </w:rPr>
        <w:t>2</w:t>
      </w:r>
      <w:r>
        <w:rPr>
          <w:rFonts w:hint="eastAsia" w:ascii="仿宋" w:hAnsi="仿宋" w:eastAsia="仿宋" w:cs="仿宋"/>
          <w:snapToGrid/>
          <w:color w:val="auto"/>
          <w:kern w:val="2"/>
          <w:sz w:val="24"/>
          <w:szCs w:val="24"/>
          <w:highlight w:val="none"/>
          <w:lang w:eastAsia="zh-CN"/>
        </w:rPr>
        <w:t>、</w:t>
      </w:r>
      <w:r>
        <w:rPr>
          <w:rFonts w:hint="eastAsia" w:ascii="仿宋" w:hAnsi="仿宋" w:eastAsia="仿宋" w:cs="仿宋"/>
          <w:snapToGrid/>
          <w:color w:val="000000"/>
          <w:kern w:val="0"/>
          <w:sz w:val="24"/>
          <w:szCs w:val="24"/>
          <w:highlight w:val="none"/>
          <w:lang w:val="en-US" w:eastAsia="zh-CN" w:bidi="ar"/>
        </w:rPr>
        <w:t>投标报价应当包含货物交付采购人指定地点/仓库（包括安装至指定位置）、含税价(包括但不限于运输装卸、保险、安装、培训辅导、</w:t>
      </w:r>
      <w:r>
        <w:rPr>
          <w:rFonts w:hint="eastAsia" w:ascii="仿宋" w:hAnsi="仿宋" w:eastAsia="仿宋" w:cs="仿宋"/>
          <w:snapToGrid/>
          <w:kern w:val="2"/>
          <w:sz w:val="24"/>
          <w:szCs w:val="24"/>
          <w:highlight w:val="none"/>
          <w:lang w:val="en-US" w:eastAsia="zh-CN"/>
        </w:rPr>
        <w:t>安装及调试费、</w:t>
      </w:r>
      <w:r>
        <w:rPr>
          <w:rFonts w:hint="eastAsia" w:ascii="仿宋" w:hAnsi="仿宋" w:eastAsia="仿宋" w:cs="仿宋"/>
          <w:snapToGrid/>
          <w:color w:val="000000"/>
          <w:kern w:val="0"/>
          <w:sz w:val="24"/>
          <w:szCs w:val="24"/>
          <w:highlight w:val="none"/>
          <w:lang w:val="en-US" w:eastAsia="zh-CN" w:bidi="ar"/>
        </w:rPr>
        <w:t>保修及售后服务、销售税、其他税以及合同包含的所有风险、责任等各项费用），采购人不再另行支付其他任何费用</w:t>
      </w:r>
      <w:r>
        <w:rPr>
          <w:rFonts w:hint="eastAsia" w:ascii="仿宋" w:hAnsi="仿宋" w:eastAsia="仿宋" w:cs="仿宋"/>
          <w:snapToGrid/>
          <w:color w:val="000000"/>
          <w:kern w:val="2"/>
          <w:sz w:val="24"/>
          <w:szCs w:val="24"/>
          <w:highlight w:val="none"/>
          <w:lang w:eastAsia="zh-CN"/>
        </w:rPr>
        <w:t>。</w:t>
      </w:r>
    </w:p>
    <w:p w14:paraId="0B9319CF">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jc w:val="both"/>
        <w:textAlignment w:val="auto"/>
        <w:outlineLvl w:val="9"/>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b w:val="0"/>
          <w:bCs w:val="0"/>
          <w:color w:val="000000"/>
          <w:kern w:val="2"/>
          <w:sz w:val="24"/>
          <w:szCs w:val="24"/>
          <w:highlight w:val="none"/>
          <w:lang w:val="en-US" w:eastAsia="zh-CN" w:bidi="ar-SA"/>
        </w:rPr>
        <w:t>3、</w:t>
      </w:r>
      <w:r>
        <w:rPr>
          <w:rFonts w:hint="eastAsia" w:ascii="仿宋" w:hAnsi="仿宋" w:eastAsia="仿宋" w:cs="仿宋"/>
          <w:color w:val="000000"/>
          <w:kern w:val="0"/>
          <w:sz w:val="24"/>
          <w:szCs w:val="24"/>
          <w:highlight w:val="none"/>
          <w:lang w:val="en-US" w:eastAsia="zh-CN" w:bidi="ar"/>
        </w:rPr>
        <w:t>投标报价不得超过预算金额：</w:t>
      </w:r>
      <w:r>
        <w:rPr>
          <w:rFonts w:hint="eastAsia" w:ascii="仿宋" w:hAnsi="仿宋" w:eastAsia="仿宋" w:cs="仿宋"/>
          <w:bCs/>
          <w:kern w:val="2"/>
          <w:sz w:val="24"/>
          <w:szCs w:val="24"/>
          <w:highlight w:val="none"/>
          <w:u w:val="none"/>
          <w:lang w:val="en-US" w:eastAsia="zh-CN" w:bidi="ar-SA"/>
        </w:rPr>
        <w:t>876994元（</w:t>
      </w:r>
      <w:r>
        <w:rPr>
          <w:rFonts w:hint="eastAsia" w:ascii="仿宋" w:hAnsi="仿宋" w:eastAsia="仿宋" w:cs="仿宋"/>
          <w:b w:val="0"/>
          <w:bCs w:val="0"/>
          <w:color w:val="auto"/>
          <w:kern w:val="2"/>
          <w:sz w:val="24"/>
          <w:szCs w:val="24"/>
          <w:highlight w:val="none"/>
          <w:vertAlign w:val="baseline"/>
          <w:lang w:val="en-US" w:eastAsia="zh-CN" w:bidi="ar-SA"/>
        </w:rPr>
        <w:t>血液分析仪单价</w:t>
      </w:r>
      <w:r>
        <w:rPr>
          <w:rFonts w:hint="eastAsia" w:ascii="仿宋" w:hAnsi="仿宋" w:eastAsia="仿宋" w:cs="仿宋"/>
          <w:bCs/>
          <w:kern w:val="2"/>
          <w:sz w:val="24"/>
          <w:szCs w:val="24"/>
          <w:highlight w:val="none"/>
          <w:u w:val="none"/>
          <w:lang w:val="en-US" w:eastAsia="zh-CN" w:bidi="ar-SA"/>
        </w:rPr>
        <w:t>最高限价33000元/台，</w:t>
      </w:r>
      <w:r>
        <w:rPr>
          <w:rFonts w:hint="eastAsia" w:ascii="仿宋" w:hAnsi="仿宋" w:eastAsia="仿宋" w:cs="仿宋"/>
          <w:b w:val="0"/>
          <w:bCs w:val="0"/>
          <w:color w:val="auto"/>
          <w:kern w:val="2"/>
          <w:sz w:val="24"/>
          <w:szCs w:val="24"/>
          <w:highlight w:val="none"/>
          <w:vertAlign w:val="baseline"/>
          <w:lang w:val="en-US" w:eastAsia="zh-CN" w:bidi="ar-SA"/>
        </w:rPr>
        <w:t>尿液分析仪单价</w:t>
      </w:r>
      <w:r>
        <w:rPr>
          <w:rFonts w:hint="eastAsia" w:ascii="仿宋" w:hAnsi="仿宋" w:eastAsia="仿宋" w:cs="仿宋"/>
          <w:bCs/>
          <w:kern w:val="2"/>
          <w:sz w:val="24"/>
          <w:szCs w:val="24"/>
          <w:highlight w:val="none"/>
          <w:u w:val="none"/>
          <w:lang w:val="en-US" w:eastAsia="zh-CN" w:bidi="ar-SA"/>
        </w:rPr>
        <w:t>最高限价17000元/台，</w:t>
      </w:r>
      <w:r>
        <w:rPr>
          <w:rFonts w:hint="eastAsia" w:ascii="仿宋" w:hAnsi="仿宋" w:eastAsia="仿宋" w:cs="仿宋"/>
          <w:b w:val="0"/>
          <w:bCs w:val="0"/>
          <w:color w:val="auto"/>
          <w:kern w:val="2"/>
          <w:sz w:val="24"/>
          <w:szCs w:val="24"/>
          <w:highlight w:val="none"/>
          <w:vertAlign w:val="baseline"/>
          <w:lang w:val="en-US" w:eastAsia="zh-CN" w:bidi="ar-SA"/>
        </w:rPr>
        <w:t>十二导心电图机单价</w:t>
      </w:r>
      <w:r>
        <w:rPr>
          <w:rFonts w:hint="eastAsia" w:ascii="仿宋" w:hAnsi="仿宋" w:eastAsia="仿宋" w:cs="仿宋"/>
          <w:bCs/>
          <w:kern w:val="2"/>
          <w:sz w:val="24"/>
          <w:szCs w:val="24"/>
          <w:highlight w:val="none"/>
          <w:u w:val="none"/>
          <w:lang w:val="en-US" w:eastAsia="zh-CN" w:bidi="ar-SA"/>
        </w:rPr>
        <w:t>最高限价14000元/台，智能身高体重血压一体机单价最高限价23478元/台）。</w:t>
      </w:r>
      <w:r>
        <w:rPr>
          <w:rFonts w:hint="eastAsia" w:ascii="仿宋" w:hAnsi="仿宋" w:eastAsia="仿宋" w:cs="仿宋"/>
          <w:color w:val="000000"/>
          <w:kern w:val="0"/>
          <w:sz w:val="24"/>
          <w:szCs w:val="24"/>
          <w:highlight w:val="none"/>
          <w:lang w:val="en-US" w:eastAsia="zh-CN" w:bidi="ar"/>
        </w:rPr>
        <w:t>本项目投标报价不得超过相应采购预算，否则将视为无效投标。</w:t>
      </w:r>
    </w:p>
    <w:p w14:paraId="4E2CA83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b/>
          <w:bCs/>
          <w:snapToGrid/>
          <w:color w:val="000000"/>
          <w:kern w:val="2"/>
          <w:sz w:val="24"/>
          <w:szCs w:val="24"/>
          <w:highlight w:val="none"/>
          <w:lang w:eastAsia="zh-CN"/>
        </w:rPr>
      </w:pPr>
      <w:r>
        <w:rPr>
          <w:rFonts w:hint="eastAsia" w:ascii="仿宋" w:hAnsi="仿宋" w:eastAsia="仿宋" w:cs="仿宋"/>
          <w:snapToGrid/>
          <w:color w:val="000000"/>
          <w:kern w:val="2"/>
          <w:sz w:val="24"/>
          <w:szCs w:val="24"/>
          <w:highlight w:val="none"/>
          <w:lang w:val="en-US" w:eastAsia="zh-CN"/>
        </w:rPr>
        <w:t>4</w:t>
      </w:r>
      <w:r>
        <w:rPr>
          <w:rFonts w:hint="eastAsia" w:ascii="仿宋" w:hAnsi="仿宋" w:eastAsia="仿宋" w:cs="仿宋"/>
          <w:snapToGrid/>
          <w:color w:val="000000"/>
          <w:kern w:val="2"/>
          <w:sz w:val="24"/>
          <w:szCs w:val="24"/>
          <w:highlight w:val="none"/>
          <w:lang w:eastAsia="zh-CN"/>
        </w:rPr>
        <w:t>、投标供应商对采购项目内容只允许有一个投标报价，否则其</w:t>
      </w:r>
      <w:r>
        <w:rPr>
          <w:rFonts w:hint="eastAsia" w:ascii="仿宋" w:hAnsi="仿宋" w:eastAsia="仿宋" w:cs="仿宋"/>
          <w:b/>
          <w:bCs/>
          <w:snapToGrid/>
          <w:color w:val="000000"/>
          <w:kern w:val="2"/>
          <w:sz w:val="24"/>
          <w:szCs w:val="24"/>
          <w:highlight w:val="none"/>
          <w:lang w:eastAsia="zh-CN"/>
        </w:rPr>
        <w:t>投标无效。</w:t>
      </w:r>
    </w:p>
    <w:p w14:paraId="5F53211A">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仿宋" w:hAnsi="仿宋" w:eastAsia="仿宋" w:cs="仿宋"/>
          <w:color w:val="000000"/>
          <w:kern w:val="2"/>
          <w:sz w:val="21"/>
          <w:szCs w:val="21"/>
          <w:highlight w:val="none"/>
          <w:lang w:val="en-US" w:eastAsia="zh-CN" w:bidi="ar-SA"/>
        </w:rPr>
      </w:pPr>
      <w:r>
        <w:rPr>
          <w:rFonts w:hint="eastAsia" w:ascii="仿宋" w:hAnsi="仿宋" w:eastAsia="仿宋" w:cs="仿宋"/>
          <w:color w:val="000000"/>
          <w:kern w:val="2"/>
          <w:sz w:val="24"/>
          <w:szCs w:val="21"/>
          <w:highlight w:val="none"/>
          <w:lang w:val="en-US" w:eastAsia="zh-CN" w:bidi="ar-SA"/>
        </w:rPr>
        <w:t>5、采购人不接受投标人给予的赠品、回扣或者与采购无关的其他商品、服务。如有赠与行为，其</w:t>
      </w:r>
      <w:r>
        <w:rPr>
          <w:rFonts w:hint="eastAsia" w:ascii="仿宋" w:hAnsi="仿宋" w:eastAsia="仿宋" w:cs="仿宋"/>
          <w:b/>
          <w:bCs/>
          <w:color w:val="000000"/>
          <w:kern w:val="2"/>
          <w:sz w:val="24"/>
          <w:szCs w:val="21"/>
          <w:highlight w:val="none"/>
          <w:lang w:val="en-US" w:eastAsia="zh-CN" w:bidi="ar-SA"/>
        </w:rPr>
        <w:t>投标无效。</w:t>
      </w:r>
    </w:p>
    <w:p w14:paraId="3DE782E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b/>
          <w:bCs/>
          <w:snapToGrid/>
          <w:color w:val="000000"/>
          <w:kern w:val="2"/>
          <w:sz w:val="24"/>
          <w:szCs w:val="24"/>
          <w:highlight w:val="none"/>
          <w:lang w:eastAsia="zh-CN"/>
        </w:rPr>
      </w:pPr>
      <w:r>
        <w:rPr>
          <w:rFonts w:hint="eastAsia" w:ascii="仿宋" w:hAnsi="仿宋" w:eastAsia="仿宋" w:cs="仿宋"/>
          <w:snapToGrid/>
          <w:color w:val="000000"/>
          <w:kern w:val="2"/>
          <w:sz w:val="24"/>
          <w:szCs w:val="24"/>
          <w:highlight w:val="none"/>
          <w:lang w:val="en-US" w:eastAsia="zh-CN"/>
        </w:rPr>
        <w:t>6</w:t>
      </w:r>
      <w:r>
        <w:rPr>
          <w:rFonts w:hint="eastAsia" w:ascii="仿宋" w:hAnsi="仿宋" w:eastAsia="仿宋" w:cs="仿宋"/>
          <w:snapToGrid/>
          <w:color w:val="000000"/>
          <w:kern w:val="2"/>
          <w:sz w:val="24"/>
          <w:szCs w:val="24"/>
          <w:highlight w:val="none"/>
          <w:lang w:eastAsia="zh-CN"/>
        </w:rPr>
        <w:t>、投标文件中标明的价格在合同执行过程中是固定不变的，不得以任何理由予以变更。任何包含价格调整要求和条件的投标，其</w:t>
      </w:r>
      <w:r>
        <w:rPr>
          <w:rFonts w:hint="eastAsia" w:ascii="仿宋" w:hAnsi="仿宋" w:eastAsia="仿宋" w:cs="仿宋"/>
          <w:b/>
          <w:bCs/>
          <w:snapToGrid/>
          <w:color w:val="000000"/>
          <w:kern w:val="2"/>
          <w:sz w:val="24"/>
          <w:szCs w:val="24"/>
          <w:highlight w:val="none"/>
          <w:lang w:eastAsia="zh-CN"/>
        </w:rPr>
        <w:t>投标无效。</w:t>
      </w:r>
    </w:p>
    <w:p w14:paraId="4B6A0E1C">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color w:val="000000"/>
          <w:kern w:val="2"/>
          <w:sz w:val="24"/>
          <w:szCs w:val="24"/>
          <w:highlight w:val="none"/>
          <w:lang w:val="en-US" w:eastAsia="zh-CN"/>
        </w:rPr>
      </w:pPr>
      <w:r>
        <w:rPr>
          <w:rFonts w:hint="eastAsia" w:ascii="仿宋" w:hAnsi="仿宋" w:eastAsia="仿宋" w:cs="仿宋"/>
          <w:b/>
          <w:bCs/>
          <w:snapToGrid/>
          <w:color w:val="000000"/>
          <w:kern w:val="2"/>
          <w:sz w:val="24"/>
          <w:szCs w:val="24"/>
          <w:highlight w:val="none"/>
          <w:lang w:val="en-US" w:eastAsia="zh-CN"/>
        </w:rPr>
        <w:t>二、合同设备包装、交货、安装要求：</w:t>
      </w:r>
    </w:p>
    <w:p w14:paraId="101152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1、设备的包装均应有良好的防湿、防锈、防潮、防雨、防腐及防碰撞的措施。凡由于包装不良造成的损失和由此产生的费用均由中标人承担。</w:t>
      </w:r>
    </w:p>
    <w:p w14:paraId="2BAC03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2、交货条件：</w:t>
      </w:r>
    </w:p>
    <w:p w14:paraId="3D18B70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(1)货物要求为原厂商未启封全新包装，具有出厂合格证，序列号、包装箱号与出厂批号一致，有关键主机设备的配备件、随机工具等。</w:t>
      </w:r>
    </w:p>
    <w:p w14:paraId="4FA5C3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auto"/>
          <w:kern w:val="2"/>
          <w:sz w:val="24"/>
          <w:szCs w:val="24"/>
          <w:highlight w:val="none"/>
          <w:lang w:val="en-US" w:eastAsia="zh-CN"/>
        </w:rPr>
      </w:pPr>
      <w:r>
        <w:rPr>
          <w:rFonts w:hint="eastAsia" w:ascii="仿宋" w:hAnsi="仿宋" w:eastAsia="仿宋" w:cs="仿宋"/>
          <w:snapToGrid/>
          <w:color w:val="auto"/>
          <w:kern w:val="2"/>
          <w:sz w:val="24"/>
          <w:szCs w:val="24"/>
          <w:highlight w:val="none"/>
          <w:lang w:val="en-US" w:eastAsia="zh-CN"/>
        </w:rPr>
        <w:t>(2)中标人必须为用户安装、调试、维修、使用提供足够的技术资料（图纸、手册和技术文件），并在交货时随附装箱。</w:t>
      </w:r>
    </w:p>
    <w:p w14:paraId="38133C6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3、中标人安装时须对各安装场地内的其他设备、设施有良好保护措施。</w:t>
      </w:r>
    </w:p>
    <w:p w14:paraId="316EE1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4、中标人必须依照招标文件的要求和投标文件的承诺，将设备、系统安装并调试至正常运行的最佳状态。安装要求严格按国家、地方、行业标准执行。产品要随附详实的安装图纸、安装说明、安装注意事项等资料。</w:t>
      </w:r>
    </w:p>
    <w:p w14:paraId="58B25770">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color w:val="000000"/>
          <w:kern w:val="2"/>
          <w:sz w:val="24"/>
          <w:szCs w:val="24"/>
          <w:highlight w:val="none"/>
          <w:lang w:val="en-US" w:eastAsia="zh-CN"/>
        </w:rPr>
      </w:pPr>
      <w:r>
        <w:rPr>
          <w:rFonts w:hint="eastAsia" w:ascii="仿宋" w:hAnsi="仿宋" w:eastAsia="仿宋" w:cs="仿宋"/>
          <w:b/>
          <w:bCs/>
          <w:snapToGrid/>
          <w:color w:val="000000"/>
          <w:kern w:val="2"/>
          <w:sz w:val="24"/>
          <w:szCs w:val="24"/>
          <w:highlight w:val="none"/>
          <w:lang w:val="en-US" w:eastAsia="zh-CN"/>
        </w:rPr>
        <w:t>三、验收要求：</w:t>
      </w:r>
    </w:p>
    <w:p w14:paraId="4BAF136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1、采购人收到中标人项目验收建议之日起7个工作日内按照合同的约定对履约情况进行验收，对每一项技术、服务、安全标准的履约情况进行确认。验收应在采购人、中标人双方共同参加下进行（若采购人聘请第三方专家参与验收，产生的相关费用由中标人支付）。</w:t>
      </w:r>
    </w:p>
    <w:p w14:paraId="776C36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2、验收按国家有关的规定、规范进行。验收时如发现所交付的设备有短装、次品、损坏或其它不符合本合同规定之情形者，采购人不予签收直接退回，由此产生的有关费用由中标人承担。</w:t>
      </w:r>
    </w:p>
    <w:p w14:paraId="564374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3、如果合同设备运输和安装调试过程中因事故造成货物短缺、损坏，中标人应及时安排换货，以保证合同设备安装调试的成功完成。换货的相关费用由中标人承担。</w:t>
      </w:r>
    </w:p>
    <w:p w14:paraId="4050BC3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4、在验收之前，中标人备齐制造商出厂合格证明、出厂检验报告、质量保证书、质量合格证、产品说明书（或使用说明书）、维修手册、合同设备配置清单、培训资料等资料交采购人，验收合格后采购人和中标人在验收报告上签字盖章。</w:t>
      </w:r>
    </w:p>
    <w:p w14:paraId="255E879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color w:val="000000"/>
          <w:kern w:val="2"/>
          <w:sz w:val="24"/>
          <w:szCs w:val="24"/>
          <w:highlight w:val="none"/>
          <w:lang w:val="en-US" w:eastAsia="zh-CN"/>
        </w:rPr>
      </w:pPr>
      <w:r>
        <w:rPr>
          <w:rFonts w:hint="eastAsia" w:ascii="仿宋" w:hAnsi="仿宋" w:eastAsia="仿宋" w:cs="仿宋"/>
          <w:b/>
          <w:bCs/>
          <w:snapToGrid/>
          <w:color w:val="000000"/>
          <w:kern w:val="2"/>
          <w:sz w:val="24"/>
          <w:szCs w:val="24"/>
          <w:highlight w:val="none"/>
          <w:lang w:val="en-US" w:eastAsia="zh-CN"/>
        </w:rPr>
        <w:t>四、质量保证及售后服务：</w:t>
      </w:r>
    </w:p>
    <w:p w14:paraId="1FE0B5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auto"/>
          <w:kern w:val="2"/>
          <w:sz w:val="24"/>
          <w:szCs w:val="24"/>
          <w:highlight w:val="none"/>
          <w:lang w:val="en-US" w:eastAsia="zh-CN"/>
        </w:rPr>
        <w:t>1、质量保证期：本项目医疗设备整体质保期限为3年。若本约定标准高于现行法定最低质保期限，按约定执行；低于法定标准，则遵照法定要求执行。质量保证期从双方签字确认验收合格之日起（简称“质保期”）计。</w:t>
      </w:r>
      <w:r>
        <w:rPr>
          <w:rFonts w:hint="eastAsia" w:ascii="仿宋" w:hAnsi="仿宋" w:eastAsia="仿宋" w:cs="仿宋"/>
          <w:snapToGrid/>
          <w:color w:val="000000"/>
          <w:kern w:val="2"/>
          <w:sz w:val="24"/>
          <w:szCs w:val="24"/>
          <w:highlight w:val="none"/>
          <w:lang w:val="en-US" w:eastAsia="zh-CN"/>
        </w:rPr>
        <w:t>质保期内中标人对所供货物实行包修、包换、包退、包维护保养，期内更换产品必须是</w:t>
      </w:r>
      <w:r>
        <w:rPr>
          <w:rFonts w:hint="eastAsia" w:ascii="仿宋" w:hAnsi="仿宋" w:eastAsia="仿宋" w:cs="仿宋"/>
          <w:snapToGrid/>
          <w:color w:val="auto"/>
          <w:kern w:val="2"/>
          <w:sz w:val="24"/>
          <w:szCs w:val="24"/>
          <w:highlight w:val="none"/>
          <w:lang w:val="en-US" w:eastAsia="zh-CN"/>
        </w:rPr>
        <w:t>原厂同品牌、同型号</w:t>
      </w:r>
      <w:r>
        <w:rPr>
          <w:rFonts w:hint="eastAsia" w:ascii="仿宋" w:hAnsi="仿宋" w:eastAsia="仿宋" w:cs="仿宋"/>
          <w:snapToGrid/>
          <w:color w:val="000000"/>
          <w:kern w:val="2"/>
          <w:sz w:val="24"/>
          <w:szCs w:val="24"/>
          <w:highlight w:val="none"/>
          <w:lang w:val="en-US" w:eastAsia="zh-CN"/>
        </w:rPr>
        <w:t>的新部件，软件升级，不得向采购人收取任何费用。质保期内免费上门服务，服务内容包含但不限于保养检修、检测系统运行状况、处理使用过程中出现的问题等。期满后需提供终身(有偿)维修保养服务，若有零部件出现故障，经权威部门鉴定属于寿命异常问题（明显短于该零部件正常寿命）时，则由中标人负责免费更换及维修。</w:t>
      </w:r>
    </w:p>
    <w:p w14:paraId="41BDF42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2、质保期内，如设备出现故障因中标人未能做到本合同的服务承诺而造成短期停用时，采购人可采取必要的补救措施，但其风险和费用由中标人承担，采购人根据合同规定对中标人行使的其它权力不受影响。</w:t>
      </w:r>
    </w:p>
    <w:p w14:paraId="41BEE2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3、售后服务时间：在接到用户通知2小时内响应，48小时内到达用户现场，96小时内解决问题：</w:t>
      </w:r>
    </w:p>
    <w:p w14:paraId="3F83ACD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①提供7×24小时的技术咨询服务；</w:t>
      </w:r>
    </w:p>
    <w:p w14:paraId="5DE9D4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②敏感时期、重大节假日提供技术人员值守服务；</w:t>
      </w:r>
    </w:p>
    <w:p w14:paraId="0E1914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③提供7×24小时的故障服务受理；</w:t>
      </w:r>
    </w:p>
    <w:p w14:paraId="3CD22B8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④对重大故障提供7×24小时的现场支援，一般故障提供5×8小时的现场支援；</w:t>
      </w:r>
    </w:p>
    <w:p w14:paraId="7847E02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⑤仪器使用期限≥8年，配件供应≥10年；</w:t>
      </w:r>
    </w:p>
    <w:p w14:paraId="3F4F132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⑥质保期内每年提供≥1次免费维护保养，开机率≥95%（按日历日计算）。</w:t>
      </w:r>
    </w:p>
    <w:p w14:paraId="269C654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4、在质保期内，若中标人不在规定的时间内响应并提供服务，每逾期一天，应向采购人支付合同金额3‰的违约金。如货物同一故障经中标人3次维修仍不能达到合同约定的质量标准，采购人有权退货，并视作中标人不能交付货物，须向采购人支付违约赔偿金，采购人保留依法追究中标人违约责任的权利。</w:t>
      </w:r>
    </w:p>
    <w:p w14:paraId="525A38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5、质保期满后，若采购人要求，中标人应（参考当时的市场价格）按优惠价格与采购人签订定期维修保养合同及提供采购人所需零配件。在备件停止生产的情况下，中标人应事先将要停止生产的计划通知采购人，使采购人有足够的时间采购所需备件。</w:t>
      </w:r>
    </w:p>
    <w:p w14:paraId="572838E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6、中标人须指派专人负责与采购人联系售后服务事宜，明确联系人及联系电话。</w:t>
      </w:r>
    </w:p>
    <w:p w14:paraId="3BDF6A9B">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hint="eastAsia" w:ascii="仿宋" w:hAnsi="仿宋" w:eastAsia="仿宋" w:cs="仿宋"/>
          <w:b/>
          <w:bCs/>
          <w:color w:val="000000"/>
          <w:kern w:val="2"/>
          <w:sz w:val="24"/>
          <w:szCs w:val="24"/>
          <w:highlight w:val="none"/>
          <w:lang w:val="en-US" w:eastAsia="zh-CN" w:bidi="ar-SA"/>
        </w:rPr>
      </w:pPr>
      <w:r>
        <w:rPr>
          <w:rFonts w:hint="eastAsia" w:ascii="仿宋" w:hAnsi="仿宋" w:eastAsia="仿宋" w:cs="仿宋"/>
          <w:b/>
          <w:bCs/>
          <w:color w:val="000000"/>
          <w:kern w:val="2"/>
          <w:sz w:val="24"/>
          <w:szCs w:val="24"/>
          <w:highlight w:val="none"/>
          <w:lang w:val="en-US" w:eastAsia="zh-CN" w:bidi="ar-SA"/>
        </w:rPr>
        <w:t>五、结算方法</w:t>
      </w:r>
    </w:p>
    <w:p w14:paraId="346ABB66">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000000"/>
          <w:kern w:val="2"/>
          <w:sz w:val="24"/>
          <w:szCs w:val="24"/>
          <w:highlight w:val="none"/>
          <w:lang w:val="en-US" w:eastAsia="zh-CN" w:bidi="ar-SA"/>
        </w:rPr>
        <w:t>1</w:t>
      </w:r>
      <w:r>
        <w:rPr>
          <w:rFonts w:hint="eastAsia" w:ascii="仿宋" w:hAnsi="仿宋" w:eastAsia="仿宋" w:cs="仿宋"/>
          <w:color w:val="auto"/>
          <w:kern w:val="2"/>
          <w:sz w:val="24"/>
          <w:szCs w:val="24"/>
          <w:highlight w:val="none"/>
          <w:lang w:val="en-US" w:eastAsia="zh-CN" w:bidi="ar-SA"/>
        </w:rPr>
        <w:t>、付款人：永顺县卫生健康局。</w:t>
      </w:r>
    </w:p>
    <w:p w14:paraId="1CD3293D">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w:t>
      </w:r>
      <w:r>
        <w:rPr>
          <w:rFonts w:hint="eastAsia" w:ascii="仿宋" w:hAnsi="仿宋" w:eastAsia="仿宋" w:cs="仿宋"/>
          <w:b w:val="0"/>
          <w:bCs w:val="0"/>
          <w:color w:val="auto"/>
          <w:kern w:val="2"/>
          <w:sz w:val="24"/>
          <w:szCs w:val="24"/>
          <w:highlight w:val="none"/>
          <w:lang w:val="en-US" w:eastAsia="zh-CN" w:bidi="ar-SA"/>
        </w:rPr>
        <w:t>付款方式：</w:t>
      </w:r>
      <w:r>
        <w:rPr>
          <w:rFonts w:hint="eastAsia" w:ascii="仿宋" w:hAnsi="仿宋" w:eastAsia="仿宋" w:cs="仿宋"/>
          <w:kern w:val="2"/>
          <w:sz w:val="24"/>
          <w:szCs w:val="24"/>
          <w:highlight w:val="none"/>
          <w:lang w:val="en-US" w:eastAsia="zh-CN" w:bidi="ar-SA"/>
        </w:rPr>
        <w:t>产品经安装、调试、正常运行且验收符合采购人及国家相关规定后付合同金额的50%，验收合格并使用半年后付合同金额的50%。验收合格支付第二次50%时，成交方按合同总金额的5%缴纳质量保证金至甲方指定账户，质保期满无纠纷前提下一次性无息退付。</w:t>
      </w:r>
    </w:p>
    <w:p w14:paraId="01349DE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eastAsia" w:ascii="仿宋" w:hAnsi="仿宋" w:eastAsia="仿宋" w:cs="仿宋"/>
          <w:b/>
          <w:bCs/>
          <w:snapToGrid/>
          <w:color w:val="000000"/>
          <w:kern w:val="2"/>
          <w:sz w:val="24"/>
          <w:szCs w:val="24"/>
          <w:highlight w:val="none"/>
          <w:lang w:val="en-US" w:eastAsia="zh-CN"/>
        </w:rPr>
      </w:pPr>
      <w:r>
        <w:rPr>
          <w:rFonts w:hint="eastAsia" w:ascii="仿宋" w:hAnsi="仿宋" w:eastAsia="仿宋" w:cs="仿宋"/>
          <w:b/>
          <w:bCs/>
          <w:snapToGrid/>
          <w:color w:val="000000"/>
          <w:kern w:val="2"/>
          <w:sz w:val="24"/>
          <w:szCs w:val="24"/>
          <w:highlight w:val="none"/>
          <w:lang w:val="en-US" w:eastAsia="zh-CN"/>
        </w:rPr>
        <w:t>六、其他要求:</w:t>
      </w:r>
    </w:p>
    <w:p w14:paraId="01FAF0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1、中标人应派不少于两名技术人员进行面对面培训、在线课程培训，对相关人员进行理论知识、使用操作规范、设备维护保养、常见简易故障处理、设备风险认识、实际操作演练等内容培训。</w:t>
      </w:r>
    </w:p>
    <w:p w14:paraId="7370158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2、投标人同意采购人以任何形式对其响应文件内容及采购人认为有必要的相关资料的真实性和有效性进行审查、验证。</w:t>
      </w:r>
    </w:p>
    <w:p w14:paraId="3E08F2CF">
      <w:pPr>
        <w:keepNext w:val="0"/>
        <w:keepLines w:val="0"/>
        <w:pageBreakBefore w:val="0"/>
        <w:widowControl w:val="0"/>
        <w:kinsoku/>
        <w:wordWrap/>
        <w:overflowPunct/>
        <w:topLinePunct w:val="0"/>
        <w:autoSpaceDE w:val="0"/>
        <w:autoSpaceDN w:val="0"/>
        <w:bidi w:val="0"/>
        <w:adjustRightInd w:val="0"/>
        <w:spacing w:line="360" w:lineRule="auto"/>
        <w:ind w:firstLine="480" w:firstLineChars="200"/>
        <w:textAlignment w:val="auto"/>
        <w:rPr>
          <w:rFonts w:hint="eastAsia" w:ascii="仿宋" w:hAnsi="仿宋" w:eastAsia="仿宋" w:cs="仿宋"/>
          <w:color w:val="000000"/>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w:t>
      </w:r>
      <w:r>
        <w:rPr>
          <w:rFonts w:hint="eastAsia" w:ascii="仿宋" w:hAnsi="仿宋" w:eastAsia="仿宋" w:cs="仿宋"/>
          <w:color w:val="000000"/>
          <w:sz w:val="24"/>
          <w:szCs w:val="24"/>
          <w:highlight w:val="none"/>
          <w:lang w:val="en-US" w:eastAsia="zh-CN" w:bidi="ar-SA"/>
        </w:rPr>
        <w:t>中标人应保证本项目的投标技术、服务或其任何一部分不会产生因第三方提出侵犯其专利权或其他知识产权而引起的法律和经济纠纷；如因第三方提出其专利权或其他知识产权的侵权之诉，则一切法律责任由中标人自行承担。</w:t>
      </w:r>
    </w:p>
    <w:p w14:paraId="0E65BEB0">
      <w:pPr>
        <w:keepNext w:val="0"/>
        <w:keepLines w:val="0"/>
        <w:widowControl/>
        <w:suppressLineNumbers w:val="0"/>
        <w:kinsoku/>
        <w:autoSpaceDE/>
        <w:autoSpaceDN/>
        <w:adjustRightInd/>
        <w:snapToGrid/>
        <w:spacing w:line="240" w:lineRule="auto"/>
        <w:ind w:firstLine="480" w:firstLineChars="200"/>
        <w:jc w:val="left"/>
        <w:textAlignment w:val="auto"/>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★4.</w:t>
      </w:r>
      <w:r>
        <w:rPr>
          <w:rFonts w:hint="eastAsia" w:ascii="仿宋" w:hAnsi="仿宋" w:eastAsia="仿宋" w:cs="仿宋"/>
          <w:b w:val="0"/>
          <w:bCs w:val="0"/>
          <w:snapToGrid/>
          <w:color w:val="auto"/>
          <w:kern w:val="2"/>
          <w:sz w:val="24"/>
          <w:szCs w:val="24"/>
          <w:highlight w:val="none"/>
          <w:vertAlign w:val="baseline"/>
          <w:lang w:val="en-US" w:eastAsia="zh-CN" w:bidi="ar-SA"/>
        </w:rPr>
        <w:t>十二导心电图机</w:t>
      </w:r>
      <w:r>
        <w:rPr>
          <w:rFonts w:hint="eastAsia" w:ascii="仿宋" w:hAnsi="仿宋" w:eastAsia="仿宋" w:cs="仿宋"/>
          <w:snapToGrid/>
          <w:color w:val="000000"/>
          <w:kern w:val="2"/>
          <w:sz w:val="24"/>
          <w:szCs w:val="24"/>
          <w:highlight w:val="none"/>
          <w:lang w:val="en-US" w:eastAsia="zh-CN"/>
        </w:rPr>
        <w:t>要对接心电信息系统平台、智能身高体重血压一体机要对接湖南省基卫3.0系统，产生的相关接口费用由供应商自行承担。（提供承诺函，格式自拟）。</w:t>
      </w:r>
    </w:p>
    <w:p w14:paraId="4638C15B">
      <w:pPr>
        <w:keepNext w:val="0"/>
        <w:keepLines w:val="0"/>
        <w:pageBreakBefore w:val="0"/>
        <w:widowControl w:val="0"/>
        <w:kinsoku/>
        <w:wordWrap/>
        <w:overflowPunct/>
        <w:topLinePunct w:val="0"/>
        <w:autoSpaceDE w:val="0"/>
        <w:autoSpaceDN w:val="0"/>
        <w:bidi w:val="0"/>
        <w:adjustRightInd w:val="0"/>
        <w:spacing w:line="360" w:lineRule="auto"/>
        <w:ind w:firstLine="482" w:firstLineChars="200"/>
        <w:textAlignment w:val="auto"/>
        <w:rPr>
          <w:rFonts w:hint="eastAsia" w:ascii="仿宋" w:hAnsi="仿宋" w:eastAsia="仿宋" w:cs="仿宋"/>
          <w:b/>
          <w:bCs/>
          <w:color w:val="000000"/>
          <w:sz w:val="24"/>
          <w:szCs w:val="24"/>
          <w:highlight w:val="none"/>
          <w:lang w:val="en-US" w:eastAsia="zh-CN" w:bidi="ar-SA"/>
        </w:rPr>
      </w:pPr>
      <w:r>
        <w:rPr>
          <w:rFonts w:hint="eastAsia" w:ascii="仿宋" w:hAnsi="仿宋" w:eastAsia="仿宋" w:cs="仿宋"/>
          <w:b/>
          <w:bCs/>
          <w:color w:val="000000"/>
          <w:sz w:val="24"/>
          <w:szCs w:val="24"/>
          <w:highlight w:val="none"/>
          <w:lang w:val="en-US" w:eastAsia="zh-CN" w:bidi="ar-SA"/>
        </w:rPr>
        <w:t xml:space="preserve">七、说明 </w:t>
      </w:r>
    </w:p>
    <w:p w14:paraId="35D052CA">
      <w:pPr>
        <w:spacing w:line="400" w:lineRule="auto"/>
        <w:rPr>
          <w:rFonts w:hint="eastAsia" w:ascii="仿宋" w:hAnsi="仿宋" w:eastAsia="仿宋" w:cs="仿宋"/>
          <w:color w:val="000000"/>
          <w:sz w:val="24"/>
          <w:szCs w:val="24"/>
          <w:highlight w:val="none"/>
          <w:lang w:val="en-US" w:eastAsia="zh-CN" w:bidi="ar-SA"/>
        </w:rPr>
      </w:pPr>
      <w:r>
        <w:rPr>
          <w:rFonts w:hint="eastAsia" w:ascii="仿宋" w:hAnsi="仿宋" w:eastAsia="仿宋" w:cs="仿宋"/>
          <w:color w:val="000000"/>
          <w:sz w:val="24"/>
          <w:szCs w:val="24"/>
          <w:highlight w:val="none"/>
          <w:lang w:val="en-US" w:eastAsia="zh-CN" w:bidi="ar-SA"/>
        </w:rPr>
        <w:t>对于上述要求，投标人应在响应文件中进行回应，对需承诺事项作出书面承诺及说明。以上条款中以“不得”“必须”“不允许”等表述的内容不允许负偏离，否则作无效投标处理。</w:t>
      </w:r>
    </w:p>
    <w:p w14:paraId="08AE0EED">
      <w:pPr>
        <w:ind w:left="0" w:leftChars="0" w:firstLine="0" w:firstLineChars="0"/>
        <w:rPr>
          <w:highlight w:val="none"/>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C49A3"/>
    <w:rsid w:val="05CE0012"/>
    <w:rsid w:val="0DED7DC2"/>
    <w:rsid w:val="14C82A75"/>
    <w:rsid w:val="186C02C4"/>
    <w:rsid w:val="1962184A"/>
    <w:rsid w:val="25FC31CE"/>
    <w:rsid w:val="2FBF478B"/>
    <w:rsid w:val="30F32074"/>
    <w:rsid w:val="311961A0"/>
    <w:rsid w:val="31E130B7"/>
    <w:rsid w:val="39643596"/>
    <w:rsid w:val="3B035AF9"/>
    <w:rsid w:val="3F0513C7"/>
    <w:rsid w:val="42987428"/>
    <w:rsid w:val="432B321D"/>
    <w:rsid w:val="488D33E4"/>
    <w:rsid w:val="48E67285"/>
    <w:rsid w:val="554C4EA5"/>
    <w:rsid w:val="64A161E1"/>
    <w:rsid w:val="6589499B"/>
    <w:rsid w:val="6BE56D52"/>
    <w:rsid w:val="6E6B34A6"/>
    <w:rsid w:val="6F730377"/>
    <w:rsid w:val="6FED6FFB"/>
    <w:rsid w:val="70B1103A"/>
    <w:rsid w:val="780802FA"/>
    <w:rsid w:val="7AA06146"/>
    <w:rsid w:val="7CBD6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3"/>
    <w:link w:val="10"/>
    <w:qFormat/>
    <w:uiPriority w:val="0"/>
    <w:pPr>
      <w:keepNext/>
      <w:keepLines/>
      <w:spacing w:beforeLines="0" w:beforeAutospacing="0" w:afterLines="0" w:afterAutospacing="0" w:line="360" w:lineRule="auto"/>
      <w:ind w:firstLine="0" w:firstLineChars="0"/>
      <w:outlineLvl w:val="0"/>
    </w:pPr>
    <w:rPr>
      <w:rFonts w:ascii="Arial" w:hAnsi="Arial" w:eastAsia="黑体"/>
      <w:b w:val="0"/>
      <w:kern w:val="44"/>
      <w:sz w:val="44"/>
    </w:rPr>
  </w:style>
  <w:style w:type="paragraph" w:styleId="4">
    <w:name w:val="heading 2"/>
    <w:basedOn w:val="1"/>
    <w:next w:val="1"/>
    <w:semiHidden/>
    <w:unhideWhenUsed/>
    <w:qFormat/>
    <w:uiPriority w:val="0"/>
    <w:pPr>
      <w:keepNext/>
      <w:keepLines/>
      <w:spacing w:beforeLines="0" w:beforeAutospacing="0" w:afterLines="0" w:afterAutospacing="0" w:line="360" w:lineRule="auto"/>
      <w:ind w:firstLine="0" w:firstLineChars="0"/>
      <w:jc w:val="left"/>
      <w:outlineLvl w:val="1"/>
    </w:pPr>
    <w:rPr>
      <w:rFonts w:eastAsia="黑体"/>
      <w:b/>
      <w:sz w:val="32"/>
    </w:rPr>
  </w:style>
  <w:style w:type="paragraph" w:styleId="5">
    <w:name w:val="heading 3"/>
    <w:basedOn w:val="1"/>
    <w:next w:val="1"/>
    <w:semiHidden/>
    <w:unhideWhenUsed/>
    <w:qFormat/>
    <w:uiPriority w:val="0"/>
    <w:pPr>
      <w:spacing w:before="0" w:beforeAutospacing="0" w:after="0" w:afterAutospacing="0"/>
      <w:ind w:firstLine="0" w:firstLineChars="0"/>
      <w:jc w:val="left"/>
      <w:outlineLvl w:val="2"/>
    </w:pPr>
    <w:rPr>
      <w:rFonts w:hint="eastAsia" w:ascii="宋体" w:hAnsi="宋体" w:eastAsia="黑体" w:cs="宋体"/>
      <w:b/>
      <w:bCs/>
      <w:sz w:val="30"/>
      <w:szCs w:val="27"/>
      <w:lang w:eastAsia="zh-CN" w:bidi="ar"/>
    </w:rPr>
  </w:style>
  <w:style w:type="paragraph" w:styleId="6">
    <w:name w:val="heading 4"/>
    <w:basedOn w:val="1"/>
    <w:next w:val="1"/>
    <w:semiHidden/>
    <w:unhideWhenUsed/>
    <w:qFormat/>
    <w:uiPriority w:val="0"/>
    <w:pPr>
      <w:keepNext/>
      <w:keepLines/>
      <w:spacing w:beforeLines="0" w:beforeAutospacing="0" w:afterLines="0" w:afterAutospacing="0" w:line="360" w:lineRule="auto"/>
      <w:jc w:val="left"/>
      <w:outlineLvl w:val="3"/>
    </w:pPr>
    <w:rPr>
      <w:rFonts w:ascii="Arial" w:hAnsi="Arial" w:eastAsia="宋体"/>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customStyle="1" w:styleId="9">
    <w:name w:val="Table Text"/>
    <w:basedOn w:val="1"/>
    <w:semiHidden/>
    <w:qFormat/>
    <w:uiPriority w:val="0"/>
    <w:pPr>
      <w:ind w:firstLine="0" w:firstLineChars="0"/>
      <w:jc w:val="left"/>
    </w:pPr>
    <w:rPr>
      <w:rFonts w:ascii="仿宋" w:hAnsi="仿宋" w:cs="仿宋"/>
    </w:rPr>
  </w:style>
  <w:style w:type="character" w:customStyle="1" w:styleId="10">
    <w:name w:val="标题 1 Char"/>
    <w:link w:val="2"/>
    <w:qFormat/>
    <w:uiPriority w:val="0"/>
    <w:rPr>
      <w:rFonts w:ascii="Arial" w:hAnsi="Arial" w:eastAsia="黑体"/>
      <w:b/>
      <w:kern w:val="44"/>
      <w:sz w:val="32"/>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7452</Words>
  <Characters>8063</Characters>
  <Lines>0</Lines>
  <Paragraphs>0</Paragraphs>
  <TotalTime>0</TotalTime>
  <ScaleCrop>false</ScaleCrop>
  <LinksUpToDate>false</LinksUpToDate>
  <CharactersWithSpaces>8239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2026-07-01T07:14:00Z</dcterms:created>
  <dc:creator>Administrator</dc:creator>
  <cp:lastModifiedBy>Administrator</cp:lastModifiedBy>
  <dcterms:modified xsi:type="dcterms:W3CDTF">2026-09-03T01:48:56Z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BDD4ADE8036142E6939B2004BA924B1E_12</vt:lpwstr>
  </property>
  <property fmtid="{D5CDD505-2E9C-101B-9397-08002B2CF9AE}" pid="4" name="KSOTemplateDocerSaveRecord">
    <vt:lpwstr>eyJoZGlkIjoiM2E2NThkZDM1MmRhZDFkZjljMzNlODhjNzUwNzc3NjIiLCJ1c2VySWQiOiIxNTU2MTM4MzM1In0=</vt:lpwstr>
  </property>
</Properties>
</file>