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8D310">
      <w:pPr>
        <w:keepNext/>
        <w:jc w:val="center"/>
        <w:outlineLvl w:val="0"/>
        <w:rPr>
          <w:rFonts w:ascii="黑体" w:hAnsi="黑体" w:eastAsia="黑体" w:cs="Times New Roman"/>
          <w:b/>
          <w:bCs/>
          <w:sz w:val="32"/>
          <w:szCs w:val="32"/>
        </w:rPr>
      </w:pPr>
      <w:r>
        <w:rPr>
          <w:rFonts w:hint="eastAsia" w:ascii="黑体" w:hAnsi="黑体" w:eastAsia="黑体" w:cs="Times New Roman"/>
          <w:b/>
          <w:bCs/>
          <w:sz w:val="32"/>
          <w:szCs w:val="32"/>
        </w:rPr>
        <w:t>采购需求</w:t>
      </w:r>
    </w:p>
    <w:p w14:paraId="71419FE6">
      <w:pPr>
        <w:keepNext/>
        <w:keepLines/>
        <w:adjustRightInd w:val="0"/>
        <w:snapToGrid w:val="0"/>
        <w:spacing w:before="156" w:beforeLines="50" w:line="360" w:lineRule="auto"/>
        <w:jc w:val="center"/>
        <w:outlineLvl w:val="1"/>
        <w:rPr>
          <w:rFonts w:ascii="黑体" w:hAnsi="黑体" w:eastAsia="黑体" w:cs="Times New Roman"/>
          <w:b/>
          <w:bCs/>
          <w:sz w:val="28"/>
          <w:szCs w:val="28"/>
        </w:rPr>
      </w:pPr>
      <w:bookmarkStart w:id="0" w:name="_Toc31588"/>
      <w:r>
        <w:rPr>
          <w:rFonts w:hint="eastAsia" w:ascii="黑体" w:hAnsi="黑体" w:eastAsia="黑体" w:cs="Times New Roman"/>
          <w:b/>
          <w:bCs/>
          <w:sz w:val="28"/>
          <w:szCs w:val="28"/>
        </w:rPr>
        <w:t>第一节 采购清单一览表</w:t>
      </w:r>
      <w:bookmarkEnd w:id="0"/>
    </w:p>
    <w:tbl>
      <w:tblPr>
        <w:tblStyle w:val="5"/>
        <w:tblW w:w="9677" w:type="dxa"/>
        <w:tblInd w:w="-497" w:type="dxa"/>
        <w:tblLayout w:type="fixed"/>
        <w:tblCellMar>
          <w:top w:w="0" w:type="dxa"/>
          <w:left w:w="108" w:type="dxa"/>
          <w:bottom w:w="0" w:type="dxa"/>
          <w:right w:w="108" w:type="dxa"/>
        </w:tblCellMar>
      </w:tblPr>
      <w:tblGrid>
        <w:gridCol w:w="641"/>
        <w:gridCol w:w="1632"/>
        <w:gridCol w:w="3420"/>
        <w:gridCol w:w="1910"/>
        <w:gridCol w:w="1078"/>
        <w:gridCol w:w="996"/>
      </w:tblGrid>
      <w:tr w14:paraId="18831AF6">
        <w:tblPrEx>
          <w:tblCellMar>
            <w:top w:w="0" w:type="dxa"/>
            <w:left w:w="108" w:type="dxa"/>
            <w:bottom w:w="0" w:type="dxa"/>
            <w:right w:w="108" w:type="dxa"/>
          </w:tblCellMar>
        </w:tblPrEx>
        <w:trPr>
          <w:trHeight w:val="568" w:hRule="atLeast"/>
        </w:trPr>
        <w:tc>
          <w:tcPr>
            <w:tcW w:w="6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F6C04">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163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07E73B">
            <w:pPr>
              <w:widowControl/>
              <w:jc w:val="center"/>
              <w:textAlignment w:val="center"/>
              <w:rPr>
                <w:rFonts w:hint="default"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货物类型</w:t>
            </w:r>
          </w:p>
        </w:tc>
        <w:tc>
          <w:tcPr>
            <w:tcW w:w="34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B13EC">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sz w:val="21"/>
                <w:szCs w:val="21"/>
                <w:u w:val="none"/>
                <w:lang w:bidi="ar"/>
              </w:rPr>
              <w:t>主要设备名称</w:t>
            </w:r>
          </w:p>
        </w:tc>
        <w:tc>
          <w:tcPr>
            <w:tcW w:w="19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9AD719">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数量</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BCFB2">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单位</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A479E">
            <w:pPr>
              <w:widowControl/>
              <w:jc w:val="center"/>
              <w:textAlignment w:val="center"/>
              <w:rPr>
                <w:rFonts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备注</w:t>
            </w:r>
          </w:p>
        </w:tc>
      </w:tr>
      <w:tr w14:paraId="4861D7E5">
        <w:tblPrEx>
          <w:tblCellMar>
            <w:top w:w="0" w:type="dxa"/>
            <w:left w:w="108" w:type="dxa"/>
            <w:bottom w:w="0" w:type="dxa"/>
            <w:right w:w="108" w:type="dxa"/>
          </w:tblCellMar>
        </w:tblPrEx>
        <w:trPr>
          <w:trHeight w:val="304" w:hRule="atLeast"/>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016CBEC7">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w:t>
            </w:r>
          </w:p>
        </w:tc>
        <w:tc>
          <w:tcPr>
            <w:tcW w:w="1632" w:type="dxa"/>
            <w:vMerge w:val="restart"/>
            <w:tcBorders>
              <w:top w:val="single" w:color="000000" w:sz="4" w:space="0"/>
              <w:left w:val="single" w:color="000000" w:sz="4" w:space="0"/>
              <w:right w:val="single" w:color="000000" w:sz="4" w:space="0"/>
            </w:tcBorders>
            <w:noWrap w:val="0"/>
            <w:vAlign w:val="center"/>
          </w:tcPr>
          <w:p w14:paraId="7F284C73">
            <w:pPr>
              <w:widowControl/>
              <w:jc w:val="center"/>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设备</w:t>
            </w:r>
          </w:p>
        </w:tc>
        <w:tc>
          <w:tcPr>
            <w:tcW w:w="3420" w:type="dxa"/>
            <w:tcBorders>
              <w:top w:val="single" w:color="000000" w:sz="4" w:space="0"/>
              <w:left w:val="single" w:color="000000" w:sz="4" w:space="0"/>
              <w:bottom w:val="single" w:color="000000" w:sz="4" w:space="0"/>
              <w:right w:val="single" w:color="000000" w:sz="4" w:space="0"/>
            </w:tcBorders>
            <w:noWrap w:val="0"/>
            <w:vAlign w:val="center"/>
          </w:tcPr>
          <w:p w14:paraId="681738AA">
            <w:pPr>
              <w:widowControl/>
              <w:jc w:val="center"/>
              <w:textAlignment w:val="center"/>
              <w:rPr>
                <w:rFonts w:ascii="宋体" w:hAnsi="宋体" w:eastAsia="宋体" w:cs="宋体"/>
                <w:color w:val="000000"/>
                <w:szCs w:val="21"/>
              </w:rPr>
            </w:pPr>
            <w:r>
              <w:rPr>
                <w:rFonts w:hint="eastAsia" w:ascii="宋体" w:hAnsi="宋体" w:eastAsia="宋体" w:cs="宋体"/>
                <w:i w:val="0"/>
                <w:iCs w:val="0"/>
                <w:color w:val="000000"/>
                <w:kern w:val="0"/>
                <w:sz w:val="22"/>
                <w:szCs w:val="22"/>
                <w:u w:val="none"/>
                <w:lang w:val="en-US" w:eastAsia="zh-CN" w:bidi="ar"/>
              </w:rPr>
              <w:t>自动驾驶硬件套装</w:t>
            </w:r>
          </w:p>
        </w:tc>
        <w:tc>
          <w:tcPr>
            <w:tcW w:w="1910" w:type="dxa"/>
            <w:tcBorders>
              <w:top w:val="single" w:color="000000" w:sz="4" w:space="0"/>
              <w:left w:val="single" w:color="000000" w:sz="4" w:space="0"/>
              <w:bottom w:val="single" w:color="000000" w:sz="4" w:space="0"/>
              <w:right w:val="single" w:color="000000" w:sz="4" w:space="0"/>
            </w:tcBorders>
            <w:noWrap w:val="0"/>
            <w:vAlign w:val="center"/>
          </w:tcPr>
          <w:p w14:paraId="6786679E">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1</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7787E31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套</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2A00AD20">
            <w:pPr>
              <w:widowControl/>
              <w:jc w:val="center"/>
              <w:textAlignment w:val="center"/>
              <w:rPr>
                <w:rFonts w:ascii="宋体" w:hAnsi="宋体" w:eastAsia="宋体" w:cs="宋体"/>
                <w:color w:val="000000"/>
                <w:kern w:val="0"/>
                <w:szCs w:val="21"/>
                <w:lang w:bidi="ar"/>
              </w:rPr>
            </w:pPr>
          </w:p>
        </w:tc>
      </w:tr>
      <w:tr w14:paraId="137D9A46">
        <w:tblPrEx>
          <w:tblCellMar>
            <w:top w:w="0" w:type="dxa"/>
            <w:left w:w="108" w:type="dxa"/>
            <w:bottom w:w="0" w:type="dxa"/>
            <w:right w:w="108" w:type="dxa"/>
          </w:tblCellMar>
        </w:tblPrEx>
        <w:trPr>
          <w:trHeight w:val="304" w:hRule="atLeast"/>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4B2F21E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2</w:t>
            </w:r>
          </w:p>
        </w:tc>
        <w:tc>
          <w:tcPr>
            <w:tcW w:w="1632" w:type="dxa"/>
            <w:vMerge w:val="continue"/>
            <w:tcBorders>
              <w:left w:val="single" w:color="000000" w:sz="4" w:space="0"/>
              <w:right w:val="single" w:color="000000" w:sz="4" w:space="0"/>
            </w:tcBorders>
            <w:noWrap w:val="0"/>
            <w:vAlign w:val="center"/>
          </w:tcPr>
          <w:p w14:paraId="7A320598">
            <w:pPr>
              <w:widowControl/>
              <w:jc w:val="center"/>
              <w:textAlignment w:val="center"/>
              <w:rPr>
                <w:rFonts w:hint="eastAsia" w:ascii="宋体" w:hAnsi="宋体" w:eastAsia="宋体" w:cs="宋体"/>
                <w:color w:val="000000"/>
                <w:kern w:val="0"/>
                <w:szCs w:val="21"/>
                <w:lang w:bidi="ar"/>
              </w:rPr>
            </w:pPr>
          </w:p>
        </w:tc>
        <w:tc>
          <w:tcPr>
            <w:tcW w:w="3420" w:type="dxa"/>
            <w:tcBorders>
              <w:top w:val="single" w:color="000000" w:sz="4" w:space="0"/>
              <w:left w:val="single" w:color="000000" w:sz="4" w:space="0"/>
              <w:bottom w:val="single" w:color="000000" w:sz="4" w:space="0"/>
              <w:right w:val="single" w:color="000000" w:sz="4" w:space="0"/>
            </w:tcBorders>
            <w:noWrap w:val="0"/>
            <w:vAlign w:val="center"/>
          </w:tcPr>
          <w:p w14:paraId="14CC5418">
            <w:pPr>
              <w:widowControl/>
              <w:jc w:val="center"/>
              <w:textAlignment w:val="center"/>
              <w:rPr>
                <w:rFonts w:ascii="宋体" w:hAnsi="宋体" w:eastAsia="宋体" w:cs="宋体"/>
                <w:color w:val="000000"/>
                <w:szCs w:val="21"/>
              </w:rPr>
            </w:pPr>
            <w:r>
              <w:rPr>
                <w:rFonts w:hint="eastAsia" w:ascii="宋体" w:hAnsi="宋体" w:eastAsia="宋体" w:cs="宋体"/>
                <w:i w:val="0"/>
                <w:iCs w:val="0"/>
                <w:color w:val="000000"/>
                <w:kern w:val="0"/>
                <w:sz w:val="22"/>
                <w:szCs w:val="22"/>
                <w:u w:val="none"/>
                <w:lang w:val="en-US" w:eastAsia="zh-CN" w:bidi="ar"/>
              </w:rPr>
              <w:t>赛事指定智能车赛车平台</w:t>
            </w:r>
          </w:p>
        </w:tc>
        <w:tc>
          <w:tcPr>
            <w:tcW w:w="1910" w:type="dxa"/>
            <w:tcBorders>
              <w:top w:val="single" w:color="000000" w:sz="4" w:space="0"/>
              <w:left w:val="single" w:color="000000" w:sz="4" w:space="0"/>
              <w:bottom w:val="single" w:color="000000" w:sz="4" w:space="0"/>
              <w:right w:val="single" w:color="000000" w:sz="4" w:space="0"/>
            </w:tcBorders>
            <w:noWrap w:val="0"/>
            <w:vAlign w:val="center"/>
          </w:tcPr>
          <w:p w14:paraId="473AB202">
            <w:pPr>
              <w:widowControl/>
              <w:jc w:val="center"/>
              <w:textAlignment w:val="center"/>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450C5A51">
            <w:pPr>
              <w:widowControl/>
              <w:jc w:val="center"/>
              <w:textAlignment w:val="center"/>
              <w:rPr>
                <w:rFonts w:hint="default" w:ascii="宋体" w:hAnsi="宋体" w:eastAsia="宋体" w:cs="宋体"/>
                <w:color w:val="000000"/>
                <w:szCs w:val="21"/>
                <w:lang w:val="en-US" w:eastAsia="zh-CN"/>
              </w:rPr>
            </w:pPr>
            <w:r>
              <w:rPr>
                <w:rFonts w:hint="eastAsia" w:ascii="宋体" w:hAnsi="宋体" w:eastAsia="宋体" w:cs="宋体"/>
                <w:color w:val="000000"/>
                <w:szCs w:val="21"/>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703AB42E">
            <w:pPr>
              <w:widowControl/>
              <w:jc w:val="center"/>
              <w:textAlignment w:val="center"/>
              <w:rPr>
                <w:rFonts w:ascii="宋体" w:hAnsi="宋体" w:eastAsia="宋体" w:cs="宋体"/>
                <w:color w:val="000000"/>
                <w:kern w:val="0"/>
                <w:szCs w:val="21"/>
                <w:lang w:bidi="ar"/>
              </w:rPr>
            </w:pPr>
          </w:p>
        </w:tc>
      </w:tr>
      <w:tr w14:paraId="6A5A7E59">
        <w:tblPrEx>
          <w:tblCellMar>
            <w:top w:w="0" w:type="dxa"/>
            <w:left w:w="108" w:type="dxa"/>
            <w:bottom w:w="0" w:type="dxa"/>
            <w:right w:w="108" w:type="dxa"/>
          </w:tblCellMar>
        </w:tblPrEx>
        <w:trPr>
          <w:trHeight w:val="304" w:hRule="atLeast"/>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5F58D6A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632" w:type="dxa"/>
            <w:vMerge w:val="continue"/>
            <w:tcBorders>
              <w:left w:val="single" w:color="000000" w:sz="4" w:space="0"/>
              <w:bottom w:val="single" w:color="000000" w:sz="4" w:space="0"/>
              <w:right w:val="single" w:color="000000" w:sz="4" w:space="0"/>
            </w:tcBorders>
            <w:noWrap w:val="0"/>
            <w:vAlign w:val="center"/>
          </w:tcPr>
          <w:p w14:paraId="45A5F516">
            <w:pPr>
              <w:widowControl/>
              <w:jc w:val="center"/>
              <w:textAlignment w:val="center"/>
              <w:rPr>
                <w:rFonts w:hint="eastAsia" w:ascii="宋体" w:hAnsi="宋体" w:eastAsia="宋体" w:cs="宋体"/>
                <w:color w:val="000000"/>
                <w:kern w:val="0"/>
                <w:szCs w:val="21"/>
                <w:lang w:bidi="ar"/>
              </w:rPr>
            </w:pPr>
          </w:p>
        </w:tc>
        <w:tc>
          <w:tcPr>
            <w:tcW w:w="3420" w:type="dxa"/>
            <w:tcBorders>
              <w:top w:val="single" w:color="000000" w:sz="4" w:space="0"/>
              <w:left w:val="single" w:color="000000" w:sz="4" w:space="0"/>
              <w:bottom w:val="single" w:color="000000" w:sz="4" w:space="0"/>
              <w:right w:val="single" w:color="000000" w:sz="4" w:space="0"/>
            </w:tcBorders>
            <w:noWrap w:val="0"/>
            <w:vAlign w:val="center"/>
          </w:tcPr>
          <w:p w14:paraId="4F974E54">
            <w:pPr>
              <w:widowControl/>
              <w:jc w:val="center"/>
              <w:textAlignment w:val="center"/>
              <w:rPr>
                <w:rFonts w:ascii="宋体" w:hAnsi="宋体" w:eastAsia="宋体" w:cs="宋体"/>
                <w:color w:val="000000"/>
                <w:szCs w:val="21"/>
              </w:rPr>
            </w:pPr>
            <w:r>
              <w:rPr>
                <w:rFonts w:hint="eastAsia" w:ascii="宋体" w:hAnsi="宋体" w:eastAsia="宋体" w:cs="宋体"/>
                <w:i w:val="0"/>
                <w:iCs w:val="0"/>
                <w:color w:val="000000"/>
                <w:kern w:val="0"/>
                <w:sz w:val="22"/>
                <w:szCs w:val="22"/>
                <w:u w:val="none"/>
                <w:lang w:val="en-US" w:eastAsia="zh-CN" w:bidi="ar"/>
              </w:rPr>
              <w:t>线控越野底盘平台</w:t>
            </w:r>
          </w:p>
        </w:tc>
        <w:tc>
          <w:tcPr>
            <w:tcW w:w="1910" w:type="dxa"/>
            <w:tcBorders>
              <w:top w:val="single" w:color="000000" w:sz="4" w:space="0"/>
              <w:left w:val="single" w:color="000000" w:sz="4" w:space="0"/>
              <w:bottom w:val="single" w:color="000000" w:sz="4" w:space="0"/>
              <w:right w:val="single" w:color="000000" w:sz="4" w:space="0"/>
            </w:tcBorders>
            <w:noWrap w:val="0"/>
            <w:vAlign w:val="center"/>
          </w:tcPr>
          <w:p w14:paraId="3D8D855E">
            <w:pPr>
              <w:widowControl/>
              <w:jc w:val="center"/>
              <w:textAlignment w:val="center"/>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1483BD79">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64376A7B">
            <w:pPr>
              <w:widowControl/>
              <w:jc w:val="center"/>
              <w:textAlignment w:val="center"/>
              <w:rPr>
                <w:rFonts w:ascii="宋体" w:hAnsi="宋体" w:eastAsia="宋体" w:cs="宋体"/>
                <w:color w:val="000000"/>
                <w:kern w:val="0"/>
                <w:szCs w:val="21"/>
                <w:lang w:bidi="ar"/>
              </w:rPr>
            </w:pPr>
          </w:p>
        </w:tc>
      </w:tr>
      <w:tr w14:paraId="6852D645">
        <w:tblPrEx>
          <w:tblCellMar>
            <w:top w:w="0" w:type="dxa"/>
            <w:left w:w="108" w:type="dxa"/>
            <w:bottom w:w="0" w:type="dxa"/>
            <w:right w:w="108" w:type="dxa"/>
          </w:tblCellMar>
        </w:tblPrEx>
        <w:trPr>
          <w:trHeight w:val="304" w:hRule="atLeast"/>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5630F6F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4</w:t>
            </w:r>
          </w:p>
        </w:tc>
        <w:tc>
          <w:tcPr>
            <w:tcW w:w="1632" w:type="dxa"/>
            <w:vMerge w:val="restart"/>
            <w:tcBorders>
              <w:top w:val="single" w:color="000000" w:sz="4" w:space="0"/>
              <w:left w:val="single" w:color="000000" w:sz="4" w:space="0"/>
              <w:right w:val="single" w:color="000000" w:sz="4" w:space="0"/>
            </w:tcBorders>
            <w:noWrap w:val="0"/>
            <w:vAlign w:val="center"/>
          </w:tcPr>
          <w:p w14:paraId="4B695733">
            <w:pPr>
              <w:widowControl/>
              <w:jc w:val="center"/>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软件</w:t>
            </w:r>
          </w:p>
        </w:tc>
        <w:tc>
          <w:tcPr>
            <w:tcW w:w="3420" w:type="dxa"/>
            <w:tcBorders>
              <w:top w:val="single" w:color="000000" w:sz="4" w:space="0"/>
              <w:left w:val="single" w:color="000000" w:sz="4" w:space="0"/>
              <w:bottom w:val="single" w:color="000000" w:sz="4" w:space="0"/>
              <w:right w:val="single" w:color="000000" w:sz="4" w:space="0"/>
            </w:tcBorders>
            <w:noWrap w:val="0"/>
            <w:vAlign w:val="center"/>
          </w:tcPr>
          <w:p w14:paraId="5143564A">
            <w:pPr>
              <w:widowControl/>
              <w:jc w:val="center"/>
              <w:textAlignment w:val="center"/>
              <w:rPr>
                <w:rFonts w:ascii="宋体" w:hAnsi="宋体" w:eastAsia="宋体" w:cs="宋体"/>
                <w:color w:val="auto"/>
                <w:szCs w:val="21"/>
              </w:rPr>
            </w:pPr>
            <w:r>
              <w:rPr>
                <w:rFonts w:hint="eastAsia" w:ascii="宋体" w:hAnsi="宋体" w:eastAsia="宋体" w:cs="宋体"/>
                <w:i w:val="0"/>
                <w:iCs w:val="0"/>
                <w:color w:val="000000"/>
                <w:kern w:val="0"/>
                <w:sz w:val="22"/>
                <w:szCs w:val="22"/>
                <w:u w:val="none"/>
                <w:lang w:val="en-US" w:eastAsia="zh-CN" w:bidi="ar"/>
              </w:rPr>
              <w:t>无先验信息智能控制系统</w:t>
            </w:r>
          </w:p>
        </w:tc>
        <w:tc>
          <w:tcPr>
            <w:tcW w:w="1910" w:type="dxa"/>
            <w:tcBorders>
              <w:top w:val="single" w:color="000000" w:sz="4" w:space="0"/>
              <w:left w:val="single" w:color="000000" w:sz="4" w:space="0"/>
              <w:bottom w:val="single" w:color="000000" w:sz="4" w:space="0"/>
              <w:right w:val="single" w:color="000000" w:sz="4" w:space="0"/>
            </w:tcBorders>
            <w:noWrap w:val="0"/>
            <w:vAlign w:val="center"/>
          </w:tcPr>
          <w:p w14:paraId="16B28F52">
            <w:pPr>
              <w:widowControl/>
              <w:jc w:val="center"/>
              <w:textAlignment w:val="center"/>
              <w:rPr>
                <w:rFonts w:ascii="宋体" w:hAnsi="宋体" w:eastAsia="宋体" w:cs="宋体"/>
                <w:color w:val="auto"/>
                <w:szCs w:val="21"/>
              </w:rPr>
            </w:pPr>
            <w:r>
              <w:rPr>
                <w:rFonts w:hint="eastAsia" w:ascii="宋体" w:hAnsi="宋体" w:eastAsia="宋体" w:cs="宋体"/>
                <w:color w:val="000000"/>
                <w:kern w:val="0"/>
                <w:szCs w:val="21"/>
                <w:lang w:val="en-US" w:eastAsia="zh-CN" w:bidi="ar"/>
              </w:rPr>
              <w:t>1</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075A7EE0">
            <w:pPr>
              <w:widowControl/>
              <w:jc w:val="center"/>
              <w:textAlignment w:val="center"/>
              <w:rPr>
                <w:rFonts w:ascii="宋体" w:hAnsi="宋体" w:eastAsia="宋体" w:cs="宋体"/>
                <w:color w:val="auto"/>
                <w:szCs w:val="21"/>
              </w:rPr>
            </w:pPr>
            <w:r>
              <w:rPr>
                <w:rFonts w:hint="eastAsia" w:ascii="宋体" w:hAnsi="宋体" w:eastAsia="宋体" w:cs="宋体"/>
                <w:color w:val="000000"/>
                <w:kern w:val="0"/>
                <w:szCs w:val="21"/>
                <w:lang w:bidi="ar"/>
              </w:rPr>
              <w:t>套</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19355BA2">
            <w:pPr>
              <w:widowControl/>
              <w:jc w:val="center"/>
              <w:textAlignment w:val="center"/>
              <w:rPr>
                <w:rFonts w:ascii="宋体" w:hAnsi="宋体" w:eastAsia="宋体" w:cs="宋体"/>
                <w:color w:val="auto"/>
                <w:kern w:val="0"/>
                <w:szCs w:val="21"/>
                <w:lang w:bidi="ar"/>
              </w:rPr>
            </w:pPr>
          </w:p>
        </w:tc>
      </w:tr>
      <w:tr w14:paraId="18AB73BF">
        <w:tblPrEx>
          <w:tblCellMar>
            <w:top w:w="0" w:type="dxa"/>
            <w:left w:w="108" w:type="dxa"/>
            <w:bottom w:w="0" w:type="dxa"/>
            <w:right w:w="108" w:type="dxa"/>
          </w:tblCellMar>
        </w:tblPrEx>
        <w:trPr>
          <w:trHeight w:val="407" w:hRule="atLeast"/>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7369A289">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5</w:t>
            </w:r>
          </w:p>
        </w:tc>
        <w:tc>
          <w:tcPr>
            <w:tcW w:w="1632" w:type="dxa"/>
            <w:vMerge w:val="continue"/>
            <w:tcBorders>
              <w:left w:val="single" w:color="000000" w:sz="4" w:space="0"/>
              <w:bottom w:val="single" w:color="000000" w:sz="4" w:space="0"/>
              <w:right w:val="single" w:color="000000" w:sz="4" w:space="0"/>
            </w:tcBorders>
            <w:noWrap w:val="0"/>
            <w:vAlign w:val="center"/>
          </w:tcPr>
          <w:p w14:paraId="25379C24">
            <w:pPr>
              <w:widowControl/>
              <w:jc w:val="center"/>
              <w:textAlignment w:val="center"/>
              <w:rPr>
                <w:rFonts w:hint="eastAsia" w:ascii="宋体" w:hAnsi="宋体" w:eastAsia="宋体" w:cs="宋体"/>
                <w:color w:val="000000"/>
                <w:kern w:val="0"/>
                <w:szCs w:val="21"/>
                <w:lang w:val="en-US" w:eastAsia="zh-CN" w:bidi="ar"/>
              </w:rPr>
            </w:pPr>
          </w:p>
        </w:tc>
        <w:tc>
          <w:tcPr>
            <w:tcW w:w="3420" w:type="dxa"/>
            <w:tcBorders>
              <w:top w:val="single" w:color="000000" w:sz="4" w:space="0"/>
              <w:left w:val="single" w:color="000000" w:sz="4" w:space="0"/>
              <w:bottom w:val="single" w:color="000000" w:sz="4" w:space="0"/>
              <w:right w:val="single" w:color="000000" w:sz="4" w:space="0"/>
            </w:tcBorders>
            <w:noWrap w:val="0"/>
            <w:vAlign w:val="center"/>
          </w:tcPr>
          <w:p w14:paraId="60150611">
            <w:pPr>
              <w:widowControl/>
              <w:jc w:val="center"/>
              <w:textAlignment w:val="center"/>
              <w:rPr>
                <w:rFonts w:ascii="宋体" w:hAnsi="宋体" w:eastAsia="宋体" w:cs="宋体"/>
                <w:color w:val="auto"/>
                <w:szCs w:val="21"/>
              </w:rPr>
            </w:pPr>
            <w:r>
              <w:rPr>
                <w:rFonts w:hint="eastAsia" w:ascii="宋体" w:hAnsi="宋体" w:eastAsia="宋体" w:cs="宋体"/>
                <w:i w:val="0"/>
                <w:iCs w:val="0"/>
                <w:color w:val="000000"/>
                <w:kern w:val="0"/>
                <w:sz w:val="22"/>
                <w:szCs w:val="22"/>
                <w:u w:val="none"/>
                <w:lang w:val="en-US" w:eastAsia="zh-CN" w:bidi="ar"/>
              </w:rPr>
              <w:t>线控化改装协议数据</w:t>
            </w:r>
          </w:p>
        </w:tc>
        <w:tc>
          <w:tcPr>
            <w:tcW w:w="1910" w:type="dxa"/>
            <w:tcBorders>
              <w:top w:val="single" w:color="000000" w:sz="4" w:space="0"/>
              <w:left w:val="single" w:color="000000" w:sz="4" w:space="0"/>
              <w:bottom w:val="single" w:color="000000" w:sz="4" w:space="0"/>
              <w:right w:val="single" w:color="000000" w:sz="4" w:space="0"/>
            </w:tcBorders>
            <w:noWrap w:val="0"/>
            <w:vAlign w:val="center"/>
          </w:tcPr>
          <w:p w14:paraId="04515F5B">
            <w:pPr>
              <w:widowControl/>
              <w:jc w:val="center"/>
              <w:textAlignment w:val="center"/>
              <w:rPr>
                <w:rFonts w:ascii="宋体" w:hAnsi="宋体" w:eastAsia="宋体" w:cs="宋体"/>
                <w:color w:val="auto"/>
                <w:szCs w:val="21"/>
              </w:rPr>
            </w:pPr>
            <w:r>
              <w:rPr>
                <w:rFonts w:hint="eastAsia" w:ascii="宋体" w:hAnsi="宋体" w:eastAsia="宋体" w:cs="宋体"/>
                <w:color w:val="000000"/>
                <w:kern w:val="0"/>
                <w:szCs w:val="21"/>
                <w:lang w:val="en-US" w:eastAsia="zh-CN" w:bidi="ar"/>
              </w:rPr>
              <w:t>1</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6258D7D9">
            <w:pPr>
              <w:widowControl/>
              <w:jc w:val="center"/>
              <w:textAlignment w:val="center"/>
              <w:rPr>
                <w:rFonts w:ascii="宋体" w:hAnsi="宋体" w:eastAsia="宋体" w:cs="宋体"/>
                <w:color w:val="auto"/>
                <w:szCs w:val="21"/>
              </w:rPr>
            </w:pPr>
            <w:r>
              <w:rPr>
                <w:rFonts w:hint="eastAsia" w:ascii="宋体" w:hAnsi="宋体" w:eastAsia="宋体" w:cs="宋体"/>
                <w:color w:val="000000"/>
                <w:kern w:val="0"/>
                <w:szCs w:val="21"/>
                <w:lang w:bidi="ar"/>
              </w:rPr>
              <w:t>套</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2B412A2D">
            <w:pPr>
              <w:widowControl/>
              <w:jc w:val="center"/>
              <w:textAlignment w:val="center"/>
              <w:rPr>
                <w:rFonts w:ascii="宋体" w:hAnsi="宋体" w:eastAsia="宋体" w:cs="宋体"/>
                <w:color w:val="auto"/>
                <w:kern w:val="0"/>
                <w:szCs w:val="21"/>
                <w:lang w:bidi="ar"/>
              </w:rPr>
            </w:pPr>
          </w:p>
        </w:tc>
      </w:tr>
    </w:tbl>
    <w:p w14:paraId="685ACC25">
      <w:pPr>
        <w:adjustRightInd w:val="0"/>
        <w:snapToGrid w:val="0"/>
        <w:spacing w:before="156" w:beforeLines="50" w:line="360" w:lineRule="auto"/>
        <w:rPr>
          <w:rFonts w:ascii="宋体" w:hAnsi="宋体" w:eastAsia="宋体" w:cs="宋体"/>
          <w:kern w:val="0"/>
          <w:szCs w:val="21"/>
        </w:rPr>
      </w:pPr>
      <w:r>
        <w:rPr>
          <w:rFonts w:hint="eastAsia" w:ascii="宋体" w:hAnsi="宋体" w:eastAsia="宋体" w:cs="Times New Roman"/>
          <w:szCs w:val="21"/>
        </w:rPr>
        <w:t>注：1.货物的主要技术参数或规格：</w:t>
      </w:r>
      <w:r>
        <w:rPr>
          <w:rFonts w:ascii="宋体" w:hAnsi="宋体" w:eastAsia="宋体" w:cs="宋体"/>
          <w:kern w:val="0"/>
          <w:szCs w:val="21"/>
        </w:rPr>
        <w:t>详见“技术要求”中的具体技术参数</w:t>
      </w:r>
      <w:r>
        <w:rPr>
          <w:rFonts w:hint="eastAsia" w:ascii="宋体" w:hAnsi="宋体" w:eastAsia="宋体" w:cs="宋体"/>
          <w:kern w:val="0"/>
          <w:szCs w:val="21"/>
        </w:rPr>
        <w:t>。</w:t>
      </w:r>
    </w:p>
    <w:p w14:paraId="4280CEFD">
      <w:pPr>
        <w:adjustRightInd w:val="0"/>
        <w:snapToGrid w:val="0"/>
        <w:spacing w:before="156" w:beforeLines="50" w:line="360" w:lineRule="auto"/>
        <w:ind w:firstLine="420" w:firstLineChars="200"/>
        <w:rPr>
          <w:rFonts w:ascii="宋体" w:hAnsi="宋体" w:eastAsia="宋体" w:cs="宋体"/>
          <w:kern w:val="0"/>
          <w:szCs w:val="21"/>
        </w:rPr>
      </w:pPr>
      <w:r>
        <w:rPr>
          <w:rFonts w:hint="eastAsia" w:ascii="宋体" w:hAnsi="宋体" w:eastAsia="宋体" w:cs="宋体"/>
          <w:kern w:val="0"/>
          <w:szCs w:val="21"/>
        </w:rPr>
        <w:t>2.</w:t>
      </w:r>
      <w:r>
        <w:rPr>
          <w:rFonts w:hint="eastAsia" w:ascii="宋体" w:hAnsi="宋体" w:eastAsia="宋体" w:cs="宋体"/>
          <w:bCs/>
          <w:kern w:val="0"/>
          <w:szCs w:val="21"/>
        </w:rPr>
        <w:t>供应商应</w:t>
      </w:r>
      <w:r>
        <w:rPr>
          <w:rFonts w:hint="eastAsia" w:ascii="宋体" w:hAnsi="宋体" w:eastAsia="宋体" w:cs="宋体"/>
          <w:kern w:val="0"/>
          <w:szCs w:val="21"/>
        </w:rPr>
        <w:t>在响应文件</w:t>
      </w:r>
      <w:r>
        <w:rPr>
          <w:rFonts w:hint="eastAsia" w:ascii="华文中宋" w:hAnsi="华文中宋" w:eastAsia="华文中宋" w:cs="宋体"/>
          <w:kern w:val="0"/>
          <w:szCs w:val="21"/>
        </w:rPr>
        <w:t>“</w:t>
      </w:r>
      <w:r>
        <w:rPr>
          <w:rFonts w:hint="eastAsia" w:ascii="宋体" w:hAnsi="宋体" w:eastAsia="宋体" w:cs="宋体"/>
          <w:kern w:val="0"/>
          <w:szCs w:val="21"/>
        </w:rPr>
        <w:t>分项报价明细表</w:t>
      </w:r>
      <w:r>
        <w:rPr>
          <w:rFonts w:hint="eastAsia" w:ascii="华文中宋" w:hAnsi="华文中宋" w:eastAsia="华文中宋" w:cs="宋体"/>
          <w:kern w:val="0"/>
          <w:szCs w:val="21"/>
        </w:rPr>
        <w:t>”</w:t>
      </w:r>
      <w:r>
        <w:rPr>
          <w:rFonts w:hint="eastAsia" w:ascii="宋体" w:hAnsi="宋体" w:eastAsia="宋体" w:cs="宋体"/>
          <w:kern w:val="0"/>
          <w:szCs w:val="21"/>
        </w:rPr>
        <w:t>中按</w:t>
      </w:r>
      <w:r>
        <w:rPr>
          <w:rFonts w:hint="eastAsia" w:ascii="宋体" w:hAnsi="宋体" w:eastAsia="宋体" w:cs="Times New Roman"/>
          <w:szCs w:val="21"/>
        </w:rPr>
        <w:t>标的名称</w:t>
      </w:r>
      <w:r>
        <w:rPr>
          <w:rFonts w:hint="eastAsia" w:ascii="宋体" w:hAnsi="宋体" w:eastAsia="宋体" w:cs="宋体"/>
          <w:kern w:val="0"/>
          <w:szCs w:val="21"/>
        </w:rPr>
        <w:t>顺序逐项填写，且每个标的均需按谈判文件规定报价。如有缺项、漏项，其</w:t>
      </w:r>
      <w:r>
        <w:rPr>
          <w:rFonts w:hint="eastAsia" w:ascii="宋体" w:hAnsi="宋体" w:eastAsia="宋体" w:cs="宋体"/>
          <w:b/>
          <w:kern w:val="0"/>
          <w:szCs w:val="21"/>
        </w:rPr>
        <w:t>响应无效</w:t>
      </w:r>
      <w:r>
        <w:rPr>
          <w:rFonts w:hint="eastAsia" w:ascii="宋体" w:hAnsi="宋体" w:eastAsia="宋体" w:cs="宋体"/>
          <w:kern w:val="0"/>
          <w:szCs w:val="21"/>
        </w:rPr>
        <w:t>。</w:t>
      </w:r>
    </w:p>
    <w:p w14:paraId="350F41B0">
      <w:pPr>
        <w:jc w:val="center"/>
        <w:rPr>
          <w:rFonts w:ascii="黑体" w:hAnsi="黑体" w:eastAsia="黑体" w:cs="Times New Roman"/>
          <w:b/>
          <w:bCs/>
          <w:sz w:val="28"/>
          <w:szCs w:val="28"/>
        </w:rPr>
      </w:pPr>
      <w:bookmarkStart w:id="1" w:name="_Toc702"/>
      <w:r>
        <w:rPr>
          <w:rFonts w:hint="eastAsia" w:ascii="黑体" w:hAnsi="黑体" w:eastAsia="黑体" w:cs="Times New Roman"/>
          <w:b/>
          <w:bCs/>
          <w:sz w:val="28"/>
          <w:szCs w:val="28"/>
        </w:rPr>
        <w:br w:type="page"/>
      </w:r>
      <w:r>
        <w:rPr>
          <w:rFonts w:hint="eastAsia" w:ascii="黑体" w:hAnsi="黑体" w:eastAsia="黑体" w:cs="Times New Roman"/>
          <w:b/>
          <w:bCs/>
          <w:sz w:val="28"/>
          <w:szCs w:val="28"/>
        </w:rPr>
        <w:t xml:space="preserve">第二节 </w:t>
      </w:r>
      <w:r>
        <w:rPr>
          <w:rFonts w:ascii="黑体" w:hAnsi="黑体" w:eastAsia="黑体" w:cs="Times New Roman"/>
          <w:b/>
          <w:bCs/>
          <w:sz w:val="28"/>
          <w:szCs w:val="28"/>
        </w:rPr>
        <w:t>技术要求</w:t>
      </w:r>
      <w:bookmarkEnd w:id="1"/>
    </w:p>
    <w:p w14:paraId="3DF71DD6">
      <w:pPr>
        <w:widowControl w:val="0"/>
        <w:numPr>
          <w:ilvl w:val="0"/>
          <w:numId w:val="0"/>
        </w:numPr>
        <w:ind w:left="280" w:leftChars="0" w:firstLine="560" w:firstLineChars="200"/>
        <w:jc w:val="left"/>
        <w:rPr>
          <w:rFonts w:hint="default" w:ascii="宋体" w:hAnsi="宋体" w:eastAsia="宋体" w:cs="Times New Roman"/>
          <w:b/>
          <w:bCs/>
          <w:kern w:val="2"/>
          <w:sz w:val="28"/>
          <w:szCs w:val="28"/>
          <w:lang w:val="en-US" w:eastAsia="zh-CN" w:bidi="ar-SA"/>
        </w:rPr>
      </w:pPr>
      <w:r>
        <w:rPr>
          <w:rFonts w:hint="eastAsia" w:ascii="宋体" w:hAnsi="宋体" w:eastAsia="宋体" w:cs="Times New Roman"/>
          <w:b/>
          <w:bCs/>
          <w:kern w:val="2"/>
          <w:sz w:val="28"/>
          <w:szCs w:val="28"/>
          <w:lang w:val="en-US" w:eastAsia="zh-CN" w:bidi="ar-SA"/>
        </w:rPr>
        <w:t>1.设备</w:t>
      </w:r>
    </w:p>
    <w:tbl>
      <w:tblPr>
        <w:tblStyle w:val="5"/>
        <w:tblW w:w="873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7"/>
        <w:gridCol w:w="768"/>
        <w:gridCol w:w="6669"/>
        <w:gridCol w:w="684"/>
      </w:tblGrid>
      <w:tr w14:paraId="774F5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blHeader/>
        </w:trPr>
        <w:tc>
          <w:tcPr>
            <w:tcW w:w="617" w:type="dxa"/>
            <w:tcBorders>
              <w:top w:val="single" w:color="000000" w:sz="4" w:space="0"/>
              <w:left w:val="single" w:color="000000" w:sz="4" w:space="0"/>
              <w:bottom w:val="single" w:color="000000" w:sz="4" w:space="0"/>
              <w:right w:val="single" w:color="000000" w:sz="4" w:space="0"/>
            </w:tcBorders>
            <w:shd w:val="clear" w:color="auto" w:fill="DDEBF7"/>
            <w:noWrap w:val="0"/>
            <w:vAlign w:val="center"/>
          </w:tcPr>
          <w:p w14:paraId="28627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768" w:type="dxa"/>
            <w:tcBorders>
              <w:top w:val="single" w:color="000000" w:sz="4" w:space="0"/>
              <w:left w:val="single" w:color="000000" w:sz="4" w:space="0"/>
              <w:bottom w:val="single" w:color="000000" w:sz="4" w:space="0"/>
              <w:right w:val="single" w:color="000000" w:sz="4" w:space="0"/>
            </w:tcBorders>
            <w:shd w:val="clear" w:color="auto" w:fill="DDEBF7"/>
            <w:noWrap w:val="0"/>
            <w:vAlign w:val="center"/>
          </w:tcPr>
          <w:p w14:paraId="1113E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6669" w:type="dxa"/>
            <w:tcBorders>
              <w:top w:val="single" w:color="000000" w:sz="4" w:space="0"/>
              <w:left w:val="single" w:color="000000" w:sz="4" w:space="0"/>
              <w:bottom w:val="single" w:color="000000" w:sz="4" w:space="0"/>
              <w:right w:val="single" w:color="000000" w:sz="4" w:space="0"/>
            </w:tcBorders>
            <w:shd w:val="clear" w:color="auto" w:fill="DDEBF7"/>
            <w:noWrap w:val="0"/>
            <w:vAlign w:val="center"/>
          </w:tcPr>
          <w:p w14:paraId="743DE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技术要求（参数要求）</w:t>
            </w:r>
          </w:p>
        </w:tc>
        <w:tc>
          <w:tcPr>
            <w:tcW w:w="684" w:type="dxa"/>
            <w:tcBorders>
              <w:top w:val="single" w:color="000000" w:sz="4" w:space="0"/>
              <w:left w:val="single" w:color="000000" w:sz="4" w:space="0"/>
              <w:bottom w:val="single" w:color="000000" w:sz="4" w:space="0"/>
              <w:right w:val="single" w:color="000000" w:sz="4" w:space="0"/>
            </w:tcBorders>
            <w:shd w:val="clear" w:color="auto" w:fill="DDEBF7"/>
            <w:noWrap w:val="0"/>
            <w:vAlign w:val="center"/>
          </w:tcPr>
          <w:p w14:paraId="749B3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r>
      <w:tr w14:paraId="71E6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617" w:type="dxa"/>
            <w:tcBorders>
              <w:top w:val="single" w:color="000000" w:sz="4" w:space="0"/>
              <w:left w:val="single" w:color="000000" w:sz="4" w:space="0"/>
              <w:bottom w:val="single" w:color="000000" w:sz="4" w:space="0"/>
              <w:right w:val="single" w:color="000000" w:sz="4" w:space="0"/>
            </w:tcBorders>
            <w:noWrap w:val="0"/>
            <w:vAlign w:val="center"/>
          </w:tcPr>
          <w:p w14:paraId="07116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2FCEF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自动驾驶硬件套装</w:t>
            </w:r>
          </w:p>
        </w:tc>
        <w:tc>
          <w:tcPr>
            <w:tcW w:w="6669" w:type="dxa"/>
            <w:tcBorders>
              <w:top w:val="single" w:color="000000" w:sz="4" w:space="0"/>
              <w:left w:val="single" w:color="000000" w:sz="4" w:space="0"/>
              <w:bottom w:val="single" w:color="000000" w:sz="4" w:space="0"/>
              <w:right w:val="single" w:color="000000" w:sz="4" w:space="0"/>
            </w:tcBorders>
            <w:noWrap w:val="0"/>
            <w:vAlign w:val="center"/>
          </w:tcPr>
          <w:p w14:paraId="5833CE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 32线机械激光雷达 *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线数：32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测距能力：150m（110m @ 10% NIST）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盲区：≤0.2m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精度（典型值）：1cm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水平视场角：360°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垂直视场角：26°（-16° ~ +10°）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水平角分辨率：0.1° / 0.2° / 0.4°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垂直角分辨率：最高 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帧率：5Hz / 10Hz / 20Hz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转速：300 / 600 / 1200 rpm (5Hz / 10Hz / 20Hz)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出点数（单回波模式）：576,000 点/秒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出点数（双回波模式）：1,152,000 点/秒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96线补盲雷达 * 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线数：96线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测距能力：30m@10%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测距精度:±1cm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视场角（水平 × 垂直）:360×90°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盲区范围:&lt;0.1m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水平角分辨率：0.4°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垂直角分辨率：0.47°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频率：10Hz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毫米波雷达 *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测距范围：一般目标（非反射目标）：0.20 - 250m（长距模式）；0.20 - 70m / 100m（短距模式，±45°宽角范围内）；0.20 - 20m（短距模式，±60°宽角内）；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距离测量分辨率：点目标：1.79m（长距模式），0.30m（短距模式）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距离测量精度：点目标：±0.40m（长距模式），±0.10m（短距模式）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方位角：90°（视野 FoV）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俯仰角：10°（长距模式），20°（短距模式）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水平角分辨率：1.4°（长距模式），1.2°（短距模式）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水平角精度：±1.6° @ 10m / ±0.4° @ 50m（长距模式）；±1.5° @ 10m / ±0.3° @ 20m（短距模式）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速度精度：±0.1km/h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速度范围：-400 km/h ~ +200 km/h（一般目标，高精度）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天线通道数：4TX / 2° 6RX = 24 通道（长距模式）；2TX / 6RX（短距模式）；使用数字波束成型技术（DBF）</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循环周期：长距和短距模式约 72ms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雷达发射频率：遵循 ETSI &amp; FCC，76...77GHz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BEV相机 * 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图像尺寸：1/2.7 inch 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输出像素：1920H1080V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帧率：1920*1080@30fps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输出数据：YUV422@8bit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串行器：MAXIM MAX9295A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相机接口：GMSL2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环视相机 * 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图像尺寸：1/2.7 inch 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输出像素：1920H1080V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帧率：1920*1080@30fps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输出数据：YUV422@8bit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串行器：MAXIM MAX9295A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相机接口：GMSL2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FOV：196°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超声波雷达 * 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报警距离：0.05-2.5米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测量距离：0.2-2.5米 盲区：小于10厘米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测量角度：40度左右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接口类型：RS485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组合导航 *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信号跟踪：BDS：B1I、B1C、B2I、B2a、B2b*；GPS：L1 C/A、L2C、L2P*、L5；Galileo：E1、E5a、E5b；GLONASS：G1、G2*；QZSS：L1 C/A、L2C、L5；NavIC：L5*；SBAS：L1* Lband*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定位精度 (1σ)：单点：水平 1.5m、高程 2.5m；DGPS：水平 0.4m、高程 0.8m；PPP：水平 20cm、高程 20cm@10min；RTK*：水平 10cm、高程 20cm@10min；水平 0.8cm + 1ppm、高程 1.5cm + 1ppm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测速精度 (1σ)：0.03m/s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测向精度 (1σ)：0.1°/ 基线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授时精度：PPS 授时 10ns；GNSS PTP 授时 1us；NTP 授时 10ms，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原始输出频率：10Hz（Max 20Hz）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惯性融合输出频率：200Hz（Max 1K）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IMU 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陀螺仪性能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量程：±300°/s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零偏不稳定性：1.8°/h（XY）、1.4°/h（Z）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角度随机游走：0.09°/√h（XY）、0.10°/√h（Z）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加速度计性能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量程：±5 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零偏不稳定性：15 μg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角度随机游走：0.035 m/s/√h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输出频率：200Hz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通讯及接口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主连接器：RS232 x2、RS422 x1、CAN x2、Ethernet、PPS（5V/12V）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 x GNSS 天线接口（Fakra）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组合导航性能指标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GNSS 中断时间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0s：位置精度（m）水平 0.02、垂直 0.03；速度精度（m/s）水平 0.02、垂直 0.01；航姿精度（°）航向 0.08、姿态 0.08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10s：位置精度（m）水平 0.19、垂直 0.12；速度精度（m/s）水平 0.05、垂直 0.02；航姿精度（°）航向 0.10、姿态 0.04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60s：位置精度（m）水平 2.5、垂直 1.1；速度精度（m/s）水平 0.15、垂直 0.06；航姿精度（°）航向 0.16、姿态 0.075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RTK差分账号 *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提供3年RTK差分服务；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域控制器 *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AI 算力：200 TOPS (INT8)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GPU：含 1792 个 CUDA® 核心与 56 个张量核心，最大频率 930MHz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CPU：8 核 Arm® Cortex®-A78AE v8.2 64 位 CPU，2MB L2 + 4MB L3 缓存，最大频率 2.2 GHz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内存：32GB 256 - bit LPDDR5，速率 204.8GB/s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深度学习加速器：2x NVDLA v2.0，最大频率 1.4GHz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视频加速器：PVA v2.0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存储：64GB eMMC 5.1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视频编码：支持 1x 4K60 | 3x 4K30 | 6x 1080p60 | 12x 1080p30 (H.265) 及 H.264、AV1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视频解码：支持 1x 8K30 | 2x 4K60 | 4x 4K30 | 9x 1080p60 | 18x 1080p30 (H.265) 及 H.264、VP9、AV1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网络接口：4× Gigabit Ethernet Port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相机接口：2× GMSL2 4 IN 1 MINI FAKRA TYPE（10V，传输距离达 15 米，GMSL2 与 GMSL1 兼容）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视频输出：1× HDMI 2.0（TYPE 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USB：2× USB 3.0（TYPE 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通用输入 / 输出口：4× In（0 - 12V），4× Out（3.3V）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CAN：5× CAN FD（含 120Ω CAN 芯片终端电阻）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串口：1× Debug（RS232），3× RS232，2× RS485/RS422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同步输入 / 输出口：1× SYNC_IN（0 - 12V），1× SYNC_OUT（3.3V），1× SYNC_PPS（3.3V）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扩展接口：1× M.2 M Key（PCIe x4，2280），1× Mini PCle（用于 4G 或 WiFi 扩展），1× Nano SIM Socket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T-BOX及4G流量 *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支持运营商：移动 / 联通 / 电信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无线速率：195Mbps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天线：内置双天线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网口数量：WAN/LAN 自适应网口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减震结构件 *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提供减震结构件，满足传感器对工况要求；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远程遥控链路 *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提供远程遥控接收器及遥控器；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车辆硬件安装与测试 * 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安装车辆传感器及相关设备设施；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6DC3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1A1B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4" w:hRule="atLeast"/>
        </w:trPr>
        <w:tc>
          <w:tcPr>
            <w:tcW w:w="617" w:type="dxa"/>
            <w:tcBorders>
              <w:top w:val="single" w:color="000000" w:sz="4" w:space="0"/>
              <w:left w:val="single" w:color="000000" w:sz="4" w:space="0"/>
              <w:bottom w:val="single" w:color="000000" w:sz="4" w:space="0"/>
              <w:right w:val="single" w:color="000000" w:sz="4" w:space="0"/>
            </w:tcBorders>
            <w:noWrap w:val="0"/>
            <w:vAlign w:val="center"/>
          </w:tcPr>
          <w:p w14:paraId="5476EF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34875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赛事指定智能车赛车平台</w:t>
            </w:r>
          </w:p>
        </w:tc>
        <w:tc>
          <w:tcPr>
            <w:tcW w:w="6669" w:type="dxa"/>
            <w:tcBorders>
              <w:top w:val="single" w:color="000000" w:sz="4" w:space="0"/>
              <w:left w:val="single" w:color="000000" w:sz="4" w:space="0"/>
              <w:bottom w:val="single" w:color="000000" w:sz="4" w:space="0"/>
              <w:right w:val="single" w:color="000000" w:sz="4" w:space="0"/>
            </w:tcBorders>
            <w:noWrap w:val="0"/>
            <w:vAlign w:val="center"/>
          </w:tcPr>
          <w:p w14:paraId="323486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驱动形式：后置后驱</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悬架形式：前双 A 臂后三连杆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制动形式：四轮盘式制动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最高车速（km/h）：≥60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电池容量（Ah）：≥45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电机额定功率：≥3000W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最小转弯半径（m）：≤3.0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电机功率：≥1500w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峰值转速：≥5000rpm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峰值扭矩：≥40N·m</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2179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FB61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4" w:hRule="atLeast"/>
        </w:trPr>
        <w:tc>
          <w:tcPr>
            <w:tcW w:w="617" w:type="dxa"/>
            <w:tcBorders>
              <w:top w:val="single" w:color="000000" w:sz="4" w:space="0"/>
              <w:left w:val="single" w:color="000000" w:sz="4" w:space="0"/>
              <w:bottom w:val="single" w:color="000000" w:sz="4" w:space="0"/>
              <w:right w:val="single" w:color="000000" w:sz="4" w:space="0"/>
            </w:tcBorders>
            <w:noWrap w:val="0"/>
            <w:vAlign w:val="center"/>
          </w:tcPr>
          <w:p w14:paraId="67EEF8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68" w:type="dxa"/>
            <w:tcBorders>
              <w:top w:val="single" w:color="000000" w:sz="4" w:space="0"/>
              <w:left w:val="single" w:color="000000" w:sz="4" w:space="0"/>
              <w:bottom w:val="single" w:color="000000" w:sz="4" w:space="0"/>
              <w:right w:val="single" w:color="000000" w:sz="4" w:space="0"/>
            </w:tcBorders>
            <w:noWrap w:val="0"/>
            <w:vAlign w:val="center"/>
          </w:tcPr>
          <w:p w14:paraId="3BA9E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线控越野底盘平台</w:t>
            </w:r>
          </w:p>
        </w:tc>
        <w:tc>
          <w:tcPr>
            <w:tcW w:w="6669" w:type="dxa"/>
            <w:tcBorders>
              <w:top w:val="single" w:color="000000" w:sz="4" w:space="0"/>
              <w:left w:val="single" w:color="000000" w:sz="4" w:space="0"/>
              <w:bottom w:val="single" w:color="000000" w:sz="4" w:space="0"/>
              <w:right w:val="single" w:color="000000" w:sz="4" w:space="0"/>
            </w:tcBorders>
            <w:noWrap w:val="0"/>
            <w:vAlign w:val="center"/>
          </w:tcPr>
          <w:p w14:paraId="180FC3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 线控制动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输出压力范围（MPa）：0-10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0-10MPa 响应时间（ms）：＜100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0-10MPa 建压时间（ms）：＜200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防护等级（不含接插件）：IP67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工作温度（℃）：-40～105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工作电压范围（V)：9～16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静态电流（mA)：＜0.2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额定扭矩（Nm）：2.3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额定转速（rpm）：＞1700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缸径（mm）：20.64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全行程（mm）：38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第一活塞行程（mm)：19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第二活塞行程（mm)：19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空行程（mm）：2.5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总液量（ml）：250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MAX 线（ml）：200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MIN 线（ml）：100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线控转向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蜗轮蜗杆传动副减速比：16.5:1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工作温度（℃）：-40～105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额定功率（W）：220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额定电压（V）：DC12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额定电流 (A)：40±10%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额定转矩：2.0±10%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线控驱动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额定输出电流 (AC)：85A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控制器启动电压 (DC)：35V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通讯方式：CAN 通讯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VCU驱动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处理器：STM32H7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接口：2路485、2路FD CAN</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远程遥控链路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提供车辆远程遥控链路，可切换不同控制模式；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视频回传模组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提供视频数据获取、编码、传输以及解码与可视化的完整链路；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车身结构件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提供可支撑智能网联装备安装、调试、运行的车身结构件；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3D2A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bl>
    <w:p w14:paraId="035B54B0">
      <w:pPr>
        <w:widowControl w:val="0"/>
        <w:numPr>
          <w:ilvl w:val="0"/>
          <w:numId w:val="0"/>
        </w:numPr>
        <w:ind w:left="280" w:leftChars="0" w:firstLine="560" w:firstLineChars="200"/>
        <w:jc w:val="left"/>
        <w:rPr>
          <w:rFonts w:hint="eastAsia" w:ascii="宋体" w:hAnsi="宋体" w:eastAsia="宋体" w:cs="Times New Roman"/>
          <w:b/>
          <w:bCs/>
          <w:kern w:val="2"/>
          <w:sz w:val="28"/>
          <w:szCs w:val="28"/>
          <w:lang w:val="en-US" w:eastAsia="zh-CN" w:bidi="ar-SA"/>
        </w:rPr>
      </w:pPr>
    </w:p>
    <w:p w14:paraId="0608348B">
      <w:pPr>
        <w:widowControl w:val="0"/>
        <w:numPr>
          <w:ilvl w:val="0"/>
          <w:numId w:val="0"/>
        </w:numPr>
        <w:ind w:left="280" w:leftChars="0" w:firstLine="560" w:firstLineChars="200"/>
        <w:jc w:val="left"/>
        <w:rPr>
          <w:rFonts w:hint="eastAsia" w:ascii="宋体" w:hAnsi="宋体" w:eastAsia="宋体" w:cs="Times New Roman"/>
          <w:b/>
          <w:bCs/>
          <w:kern w:val="2"/>
          <w:sz w:val="28"/>
          <w:szCs w:val="28"/>
          <w:lang w:val="en-US" w:eastAsia="zh-CN" w:bidi="ar-SA"/>
        </w:rPr>
      </w:pPr>
      <w:r>
        <w:rPr>
          <w:rFonts w:hint="eastAsia" w:ascii="宋体" w:hAnsi="宋体" w:eastAsia="宋体" w:cs="Times New Roman"/>
          <w:b/>
          <w:bCs/>
          <w:kern w:val="2"/>
          <w:sz w:val="28"/>
          <w:szCs w:val="28"/>
          <w:lang w:val="en-US" w:eastAsia="zh-CN" w:bidi="ar-SA"/>
        </w:rPr>
        <w:t>2.软件</w:t>
      </w:r>
    </w:p>
    <w:tbl>
      <w:tblPr>
        <w:tblStyle w:val="5"/>
        <w:tblW w:w="883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8"/>
        <w:gridCol w:w="945"/>
        <w:gridCol w:w="6400"/>
        <w:gridCol w:w="886"/>
      </w:tblGrid>
      <w:tr w14:paraId="62DB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blHeader/>
        </w:trPr>
        <w:tc>
          <w:tcPr>
            <w:tcW w:w="608" w:type="dxa"/>
            <w:tcBorders>
              <w:top w:val="single" w:color="000000" w:sz="4" w:space="0"/>
              <w:left w:val="single" w:color="000000" w:sz="4" w:space="0"/>
              <w:bottom w:val="single" w:color="000000" w:sz="4" w:space="0"/>
              <w:right w:val="single" w:color="000000" w:sz="4" w:space="0"/>
            </w:tcBorders>
            <w:shd w:val="clear" w:color="auto" w:fill="DDEBF7"/>
            <w:noWrap w:val="0"/>
            <w:vAlign w:val="center"/>
          </w:tcPr>
          <w:p w14:paraId="73EED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945" w:type="dxa"/>
            <w:tcBorders>
              <w:top w:val="single" w:color="000000" w:sz="4" w:space="0"/>
              <w:left w:val="single" w:color="000000" w:sz="4" w:space="0"/>
              <w:bottom w:val="single" w:color="000000" w:sz="4" w:space="0"/>
              <w:right w:val="single" w:color="000000" w:sz="4" w:space="0"/>
            </w:tcBorders>
            <w:shd w:val="clear" w:color="auto" w:fill="DDEBF7"/>
            <w:noWrap w:val="0"/>
            <w:vAlign w:val="center"/>
          </w:tcPr>
          <w:p w14:paraId="147E1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6400" w:type="dxa"/>
            <w:tcBorders>
              <w:top w:val="single" w:color="000000" w:sz="4" w:space="0"/>
              <w:left w:val="single" w:color="000000" w:sz="4" w:space="0"/>
              <w:bottom w:val="single" w:color="000000" w:sz="4" w:space="0"/>
              <w:right w:val="single" w:color="000000" w:sz="4" w:space="0"/>
            </w:tcBorders>
            <w:shd w:val="clear" w:color="auto" w:fill="DDEBF7"/>
            <w:noWrap w:val="0"/>
            <w:vAlign w:val="center"/>
          </w:tcPr>
          <w:p w14:paraId="5BE8B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技术要求（参数要求）</w:t>
            </w:r>
          </w:p>
        </w:tc>
        <w:tc>
          <w:tcPr>
            <w:tcW w:w="886" w:type="dxa"/>
            <w:tcBorders>
              <w:top w:val="single" w:color="000000" w:sz="4" w:space="0"/>
              <w:left w:val="single" w:color="000000" w:sz="4" w:space="0"/>
              <w:bottom w:val="single" w:color="000000" w:sz="4" w:space="0"/>
              <w:right w:val="single" w:color="000000" w:sz="4" w:space="0"/>
            </w:tcBorders>
            <w:shd w:val="clear" w:color="auto" w:fill="DDEBF7"/>
            <w:noWrap w:val="0"/>
            <w:vAlign w:val="center"/>
          </w:tcPr>
          <w:p w14:paraId="36512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r>
      <w:tr w14:paraId="6F970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8" w:hRule="atLeast"/>
        </w:trPr>
        <w:tc>
          <w:tcPr>
            <w:tcW w:w="608" w:type="dxa"/>
            <w:tcBorders>
              <w:top w:val="single" w:color="000000" w:sz="4" w:space="0"/>
              <w:left w:val="single" w:color="000000" w:sz="4" w:space="0"/>
              <w:bottom w:val="single" w:color="000000" w:sz="4" w:space="0"/>
              <w:right w:val="single" w:color="000000" w:sz="4" w:space="0"/>
            </w:tcBorders>
            <w:noWrap w:val="0"/>
            <w:vAlign w:val="center"/>
          </w:tcPr>
          <w:p w14:paraId="02CE4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CC26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无先验信息智能控制系统</w:t>
            </w:r>
          </w:p>
        </w:tc>
        <w:tc>
          <w:tcPr>
            <w:tcW w:w="6400" w:type="dxa"/>
            <w:tcBorders>
              <w:top w:val="single" w:color="000000" w:sz="4" w:space="0"/>
              <w:left w:val="single" w:color="000000" w:sz="4" w:space="0"/>
              <w:bottom w:val="single" w:color="000000" w:sz="4" w:space="0"/>
              <w:right w:val="single" w:color="000000" w:sz="4" w:space="0"/>
            </w:tcBorders>
            <w:noWrap w:val="0"/>
            <w:vAlign w:val="center"/>
          </w:tcPr>
          <w:p w14:paraId="53951C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1.系统架构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操作系统：Ubuntu 22.04 LTS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中间件：ROS 2 Humble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开发语言：Python3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AI框架：PyTorch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2.设计原则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模块化设计：采用模块化、松耦合架构，各模块可独立启停与配置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生命周期管理：通过 ROS 2 Launch 统一编排生命周期管理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状态监控：内置节点状态监控与故障自动重启机制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3.功能模块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（1）地图采集与制作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操作人员通过远程驾驶模式操控车辆沿目标区域行驶一圈，行驶过程中系统同步采集多源传感器数据（激光雷达点云、GNSS/RTK定位、IMU惯性数据），行驶结束后自动完成地图构建。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（2）环境可通行区域感知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基于激光雷达点云数据，实时构建车辆周3D可通行区域，为下游紧急制动提供决策基础；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（3）全局路径规划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基于预采集地图、当前实时位置及目标位置，计算全局可行路径，路径格式为有序的航点序列；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（4）局部路径规划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以全局路径规划为引导，结合实时可通行区域信息生成满足运动学约束的平滑轨迹，输出从起点到目标位置的轨迹点序列（含位置、航向、曲率、速度等）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（5）车辆轨迹跟踪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分别输出纵向控制量（驱动/制动）与横向控制量，采用前馈+反馈结构控制，控制输出与线控底盘驱动模块接口协议匹配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（6）传感器驱动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提供激光雷达、相机、毫米波雷达、超声波雷达、组合导航、通信单元等设备的ROS2通信驱动；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（7）底盘驱动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基于 CAN/CAN FD 总线与底盘 ECU 通信，实现控制指令下发与状态信息采集，以ROS2节点运行；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支持自动驾驶/远程驾驶模式切换；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（8）远程驾驶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包含车载通信单元与远程操作站，支持多路视频回传与操作指令下发，支持远程接管请求/释放控制权的模式切换；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4.接口要求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各模块数据交互通过 ROS 2 Topic/Service/Action 完成，提供完整接口定义表；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5.软件工程要求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 colcon 构建，提供一键部署脚本；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可调参数通过 YAML 配置文件集中管理，避免硬编码；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6.培训要求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提供系统架构、数据流向、功能实现、性能调优等领域的完整培训工作，培训时间不少于7天；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7.交付要求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提供完整的源码、架构设计文档、接口文档、部署文档与使用说明；</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6E835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9A49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9" w:hRule="atLeast"/>
        </w:trPr>
        <w:tc>
          <w:tcPr>
            <w:tcW w:w="608" w:type="dxa"/>
            <w:tcBorders>
              <w:top w:val="single" w:color="000000" w:sz="4" w:space="0"/>
              <w:left w:val="single" w:color="000000" w:sz="4" w:space="0"/>
              <w:bottom w:val="single" w:color="000000" w:sz="4" w:space="0"/>
              <w:right w:val="single" w:color="000000" w:sz="4" w:space="0"/>
            </w:tcBorders>
            <w:noWrap w:val="0"/>
            <w:vAlign w:val="center"/>
          </w:tcPr>
          <w:p w14:paraId="1142F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3B0701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线控化改装协议数据</w:t>
            </w:r>
          </w:p>
        </w:tc>
        <w:tc>
          <w:tcPr>
            <w:tcW w:w="6400" w:type="dxa"/>
            <w:tcBorders>
              <w:top w:val="single" w:color="000000" w:sz="4" w:space="0"/>
              <w:left w:val="single" w:color="000000" w:sz="4" w:space="0"/>
              <w:bottom w:val="single" w:color="000000" w:sz="4" w:space="0"/>
              <w:right w:val="single" w:color="000000" w:sz="4" w:space="0"/>
            </w:tcBorders>
            <w:noWrap w:val="0"/>
            <w:vAlign w:val="center"/>
          </w:tcPr>
          <w:p w14:paraId="7D1D10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1.线控底盘协议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提供线控底盘完整的CAN协议，包括线控转向、线控驱动、线控制动、底盘状态反馈等报文协议；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2.电驱控制协议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提供线控底盘电机完整的控制协议；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3.数模图纸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提供车辆完整的数模以及电路图；</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79427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bl>
    <w:p w14:paraId="0E0AF15D">
      <w:pPr>
        <w:rPr>
          <w:rFonts w:ascii="Calibri" w:hAnsi="Calibri" w:eastAsia="宋体" w:cs="Times New Roman"/>
          <w:sz w:val="24"/>
        </w:rPr>
      </w:pPr>
    </w:p>
    <w:p w14:paraId="601143CB">
      <w:pPr>
        <w:adjustRightInd w:val="0"/>
        <w:snapToGrid w:val="0"/>
        <w:spacing w:before="156" w:beforeLines="50" w:line="360" w:lineRule="auto"/>
        <w:rPr>
          <w:rFonts w:ascii="宋体" w:hAnsi="宋体" w:eastAsia="宋体" w:cs="Times New Roman"/>
          <w:szCs w:val="21"/>
        </w:rPr>
      </w:pPr>
    </w:p>
    <w:p w14:paraId="368EAE82">
      <w:pPr>
        <w:adjustRightInd w:val="0"/>
        <w:snapToGrid w:val="0"/>
        <w:spacing w:before="156" w:beforeLines="50" w:line="360" w:lineRule="auto"/>
        <w:rPr>
          <w:rFonts w:ascii="宋体" w:hAnsi="宋体" w:eastAsia="宋体" w:cs="Times New Roman"/>
          <w:bCs/>
          <w:szCs w:val="21"/>
        </w:rPr>
      </w:pPr>
      <w:r>
        <w:rPr>
          <w:rFonts w:hint="eastAsia" w:ascii="宋体" w:hAnsi="宋体" w:eastAsia="宋体" w:cs="宋体"/>
          <w:kern w:val="0"/>
          <w:szCs w:val="21"/>
        </w:rPr>
        <w:t xml:space="preserve">   </w:t>
      </w:r>
    </w:p>
    <w:p w14:paraId="49D8E145">
      <w:pPr>
        <w:widowControl/>
        <w:spacing w:line="360" w:lineRule="auto"/>
        <w:jc w:val="left"/>
        <w:rPr>
          <w:rFonts w:ascii="黑体" w:hAnsi="黑体" w:eastAsia="黑体"/>
          <w:b/>
          <w:bCs/>
          <w:sz w:val="28"/>
          <w:szCs w:val="28"/>
        </w:rPr>
        <w:sectPr>
          <w:pgSz w:w="11906" w:h="16838"/>
          <w:pgMar w:top="1418" w:right="1418" w:bottom="1134" w:left="1418" w:header="851" w:footer="992" w:gutter="0"/>
          <w:pgNumType w:fmt="decimal"/>
          <w:cols w:space="720" w:num="1"/>
          <w:docGrid w:type="linesAndChars" w:linePitch="312" w:charSpace="0"/>
        </w:sectPr>
      </w:pPr>
    </w:p>
    <w:p w14:paraId="5BD4339A">
      <w:pPr>
        <w:keepNext/>
        <w:keepLines/>
        <w:spacing w:line="360" w:lineRule="auto"/>
        <w:jc w:val="center"/>
        <w:outlineLvl w:val="1"/>
        <w:rPr>
          <w:rFonts w:ascii="黑体" w:hAnsi="黑体" w:eastAsia="黑体" w:cs="Times New Roman"/>
          <w:b/>
          <w:bCs/>
          <w:sz w:val="24"/>
          <w:szCs w:val="32"/>
        </w:rPr>
      </w:pPr>
      <w:bookmarkStart w:id="2" w:name="_Toc11134"/>
      <w:bookmarkStart w:id="3" w:name="_Toc107998022"/>
      <w:r>
        <w:rPr>
          <w:rFonts w:hint="eastAsia" w:ascii="黑体" w:hAnsi="黑体" w:eastAsia="黑体" w:cs="Times New Roman"/>
          <w:b/>
          <w:bCs/>
          <w:sz w:val="28"/>
          <w:szCs w:val="28"/>
        </w:rPr>
        <w:t>第三节 商务</w:t>
      </w:r>
      <w:r>
        <w:rPr>
          <w:rFonts w:ascii="黑体" w:hAnsi="黑体" w:eastAsia="黑体" w:cs="Times New Roman"/>
          <w:b/>
          <w:bCs/>
          <w:sz w:val="28"/>
          <w:szCs w:val="28"/>
        </w:rPr>
        <w:t>要求</w:t>
      </w:r>
      <w:bookmarkEnd w:id="2"/>
      <w:bookmarkEnd w:id="3"/>
    </w:p>
    <w:p w14:paraId="1D41DE23">
      <w:pPr>
        <w:widowControl w:val="0"/>
        <w:numPr>
          <w:ilvl w:val="0"/>
          <w:numId w:val="1"/>
        </w:numPr>
        <w:ind w:firstLine="422" w:firstLineChars="200"/>
        <w:jc w:val="both"/>
        <w:rPr>
          <w:rFonts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kern w:val="2"/>
          <w:sz w:val="21"/>
          <w:szCs w:val="21"/>
          <w:lang w:val="en-US" w:eastAsia="zh-CN" w:bidi="ar-SA"/>
        </w:rPr>
        <w:t>主要商务要求</w:t>
      </w:r>
    </w:p>
    <w:p w14:paraId="51BB821E">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1、项目地点：</w:t>
      </w:r>
      <w:r>
        <w:rPr>
          <w:rFonts w:hint="eastAsia" w:ascii="宋体" w:hAnsi="宋体" w:eastAsia="宋体" w:cs="宋体"/>
          <w:i w:val="0"/>
          <w:iCs w:val="0"/>
          <w:caps w:val="0"/>
          <w:color w:val="000000"/>
          <w:spacing w:val="0"/>
          <w:kern w:val="0"/>
          <w:sz w:val="21"/>
          <w:szCs w:val="21"/>
          <w:lang w:val="en-US" w:eastAsia="zh-CN" w:bidi="ar"/>
        </w:rPr>
        <w:t>湖南汽车工程职业大学</w:t>
      </w:r>
    </w:p>
    <w:p w14:paraId="3792993B">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i w:val="0"/>
          <w:iCs w:val="0"/>
          <w:caps w:val="0"/>
          <w:color w:val="000000"/>
          <w:spacing w:val="0"/>
          <w:kern w:val="0"/>
          <w:sz w:val="21"/>
          <w:szCs w:val="21"/>
          <w:lang w:val="en-US" w:eastAsia="zh-CN" w:bidi="ar"/>
        </w:rPr>
        <w:t>2、付款：</w:t>
      </w:r>
      <w:r>
        <w:rPr>
          <w:rFonts w:hint="eastAsia" w:ascii="宋体" w:hAnsi="宋体" w:eastAsia="宋体" w:cs="宋体"/>
          <w:b w:val="0"/>
          <w:bCs w:val="0"/>
          <w:sz w:val="21"/>
          <w:szCs w:val="21"/>
          <w:lang w:val="en-US" w:eastAsia="zh-CN"/>
        </w:rPr>
        <w:t>验收合格全款支付</w:t>
      </w:r>
      <w:r>
        <w:rPr>
          <w:rFonts w:hint="eastAsia" w:ascii="宋体" w:hAnsi="宋体" w:eastAsia="宋体" w:cs="宋体"/>
          <w:i w:val="0"/>
          <w:iCs w:val="0"/>
          <w:caps w:val="0"/>
          <w:color w:val="000000"/>
          <w:spacing w:val="0"/>
          <w:kern w:val="0"/>
          <w:sz w:val="21"/>
          <w:szCs w:val="21"/>
          <w:lang w:val="en-US" w:eastAsia="zh-CN" w:bidi="ar"/>
        </w:rPr>
        <w:t>。</w:t>
      </w:r>
    </w:p>
    <w:p w14:paraId="53BF89DD">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b w:val="0"/>
          <w:bCs w:val="0"/>
          <w:sz w:val="21"/>
          <w:szCs w:val="21"/>
          <w:lang w:val="en-US" w:eastAsia="zh-CN"/>
        </w:rPr>
        <w:t>完成时间：合同签订，盖章生效后的壹个月内</w:t>
      </w:r>
      <w:r>
        <w:rPr>
          <w:rFonts w:hint="eastAsia" w:ascii="宋体" w:hAnsi="宋体" w:eastAsia="宋体" w:cs="宋体"/>
          <w:color w:val="auto"/>
          <w:sz w:val="21"/>
          <w:szCs w:val="21"/>
          <w:lang w:val="en-US" w:eastAsia="zh-CN"/>
        </w:rPr>
        <w:t>。</w:t>
      </w:r>
    </w:p>
    <w:p w14:paraId="3DC771AA">
      <w:pPr>
        <w:widowControl/>
        <w:spacing w:line="360" w:lineRule="auto"/>
        <w:jc w:val="left"/>
        <w:rPr>
          <w:rFonts w:ascii="宋体" w:hAnsi="宋体" w:eastAsia="宋体" w:cs="Times New Roman"/>
          <w:b/>
          <w:szCs w:val="21"/>
        </w:rPr>
      </w:pPr>
      <w:r>
        <w:rPr>
          <w:rFonts w:hint="eastAsia" w:ascii="宋体" w:hAnsi="宋体" w:eastAsia="宋体" w:cs="宋体"/>
          <w:b/>
          <w:bCs/>
          <w:szCs w:val="21"/>
        </w:rPr>
        <w:t>二、</w:t>
      </w:r>
      <w:r>
        <w:rPr>
          <w:rFonts w:hint="eastAsia" w:ascii="宋体" w:hAnsi="宋体" w:eastAsia="宋体" w:cs="Times New Roman"/>
          <w:b/>
          <w:szCs w:val="21"/>
        </w:rPr>
        <w:t>其他商务要求</w:t>
      </w:r>
    </w:p>
    <w:p w14:paraId="2758E91A">
      <w:pPr>
        <w:spacing w:line="440" w:lineRule="exact"/>
        <w:ind w:firstLine="420" w:firstLineChars="200"/>
        <w:jc w:val="left"/>
        <w:rPr>
          <w:rFonts w:hint="eastAsia" w:ascii="宋体" w:hAnsi="宋体" w:eastAsia="宋体" w:cs="宋体"/>
          <w:bCs/>
          <w:szCs w:val="21"/>
          <w:lang w:eastAsia="zh-CN"/>
        </w:rPr>
      </w:pPr>
      <w:r>
        <w:rPr>
          <w:rFonts w:hint="eastAsia" w:ascii="宋体" w:hAnsi="宋体" w:eastAsia="宋体" w:cs="宋体"/>
          <w:bCs/>
          <w:szCs w:val="21"/>
          <w:lang w:val="en-US" w:eastAsia="zh-CN"/>
        </w:rPr>
        <w:t>1</w:t>
      </w:r>
      <w:r>
        <w:rPr>
          <w:rFonts w:hint="eastAsia" w:ascii="宋体" w:hAnsi="宋体" w:eastAsia="宋体" w:cs="宋体"/>
          <w:bCs/>
          <w:szCs w:val="21"/>
        </w:rPr>
        <w:t>. 验收不合格：供应商7日内无条件更换设备、优化软件，两次整改仍不合格全额退货并承担损失</w:t>
      </w:r>
      <w:r>
        <w:rPr>
          <w:rFonts w:hint="eastAsia" w:ascii="宋体" w:hAnsi="宋体" w:eastAsia="宋体" w:cs="宋体"/>
          <w:bCs/>
          <w:szCs w:val="21"/>
          <w:lang w:eastAsia="zh-CN"/>
        </w:rPr>
        <w:t>。</w:t>
      </w:r>
    </w:p>
    <w:p w14:paraId="1D948462">
      <w:pPr>
        <w:spacing w:line="440" w:lineRule="exact"/>
        <w:ind w:firstLine="420" w:firstLineChars="200"/>
        <w:jc w:val="left"/>
        <w:rPr>
          <w:rFonts w:hint="eastAsia" w:ascii="宋体" w:hAnsi="宋体" w:eastAsia="宋体" w:cs="宋体"/>
          <w:bCs/>
          <w:szCs w:val="21"/>
        </w:rPr>
      </w:pPr>
      <w:r>
        <w:rPr>
          <w:rFonts w:hint="eastAsia" w:ascii="宋体" w:hAnsi="宋体" w:eastAsia="宋体" w:cs="宋体"/>
          <w:bCs/>
          <w:szCs w:val="21"/>
          <w:lang w:val="en-US" w:eastAsia="zh-CN"/>
        </w:rPr>
        <w:t>2</w:t>
      </w:r>
      <w:r>
        <w:rPr>
          <w:rFonts w:hint="eastAsia" w:ascii="宋体" w:hAnsi="宋体" w:eastAsia="宋体" w:cs="宋体"/>
          <w:bCs/>
          <w:szCs w:val="21"/>
        </w:rPr>
        <w:t>. 验收资料要求：硬件出厂报告、CMA检测报告、软件源码、数模图纸、CAN协议、操作手册、培训记录全套归档。</w:t>
      </w:r>
    </w:p>
    <w:p w14:paraId="06B1F104">
      <w:pPr>
        <w:spacing w:line="440" w:lineRule="exact"/>
        <w:ind w:firstLine="420" w:firstLineChars="200"/>
        <w:jc w:val="left"/>
        <w:rPr>
          <w:rFonts w:hint="eastAsia" w:ascii="宋体" w:hAnsi="宋体" w:eastAsia="宋体" w:cs="宋体"/>
          <w:bCs/>
          <w:szCs w:val="21"/>
          <w:lang w:eastAsia="zh-CN"/>
        </w:rPr>
      </w:pPr>
      <w:r>
        <w:rPr>
          <w:rFonts w:hint="eastAsia" w:ascii="宋体" w:hAnsi="宋体" w:eastAsia="宋体" w:cs="宋体"/>
          <w:bCs/>
          <w:szCs w:val="21"/>
          <w:lang w:val="en-US" w:eastAsia="zh-CN"/>
        </w:rPr>
        <w:t>3</w:t>
      </w:r>
      <w:r>
        <w:rPr>
          <w:rFonts w:hint="eastAsia" w:ascii="宋体" w:hAnsi="宋体" w:eastAsia="宋体" w:cs="宋体"/>
          <w:bCs/>
          <w:szCs w:val="21"/>
        </w:rPr>
        <w:t>. 硬件整机质保2年，激光雷达、域控制器、线控底盘核心部件质保3年</w:t>
      </w:r>
      <w:r>
        <w:rPr>
          <w:rFonts w:hint="eastAsia" w:ascii="宋体" w:hAnsi="宋体" w:eastAsia="宋体" w:cs="宋体"/>
          <w:bCs/>
          <w:szCs w:val="21"/>
          <w:lang w:eastAsia="zh-CN"/>
        </w:rPr>
        <w:t>。</w:t>
      </w:r>
    </w:p>
    <w:p w14:paraId="72215467">
      <w:pPr>
        <w:spacing w:line="440" w:lineRule="exact"/>
        <w:ind w:firstLine="420" w:firstLineChars="200"/>
        <w:jc w:val="left"/>
        <w:rPr>
          <w:rFonts w:hint="eastAsia" w:ascii="宋体" w:hAnsi="宋体" w:eastAsia="宋体" w:cs="宋体"/>
          <w:bCs/>
          <w:szCs w:val="21"/>
          <w:lang w:eastAsia="zh-CN"/>
        </w:rPr>
      </w:pPr>
      <w:r>
        <w:rPr>
          <w:rFonts w:hint="eastAsia" w:ascii="宋体" w:hAnsi="宋体" w:eastAsia="宋体" w:cs="宋体"/>
          <w:bCs/>
          <w:szCs w:val="21"/>
          <w:lang w:val="en-US" w:eastAsia="zh-CN"/>
        </w:rPr>
        <w:t>4</w:t>
      </w:r>
      <w:r>
        <w:rPr>
          <w:rFonts w:hint="eastAsia" w:ascii="宋体" w:hAnsi="宋体" w:eastAsia="宋体" w:cs="宋体"/>
          <w:bCs/>
          <w:szCs w:val="21"/>
        </w:rPr>
        <w:t>. 软件终身免费升级、BUG修复</w:t>
      </w:r>
      <w:r>
        <w:rPr>
          <w:rFonts w:hint="eastAsia" w:ascii="宋体" w:hAnsi="宋体" w:eastAsia="宋体" w:cs="宋体"/>
          <w:bCs/>
          <w:szCs w:val="21"/>
          <w:lang w:eastAsia="zh-CN"/>
        </w:rPr>
        <w:t>。</w:t>
      </w:r>
    </w:p>
    <w:p w14:paraId="68CD5532">
      <w:pPr>
        <w:spacing w:line="440" w:lineRule="exact"/>
        <w:ind w:firstLine="420" w:firstLineChars="200"/>
        <w:jc w:val="left"/>
        <w:rPr>
          <w:rFonts w:hint="eastAsia" w:ascii="宋体" w:hAnsi="宋体" w:eastAsia="宋体" w:cs="宋体"/>
          <w:bCs/>
          <w:szCs w:val="21"/>
          <w:lang w:eastAsia="zh-CN"/>
        </w:rPr>
      </w:pPr>
      <w:r>
        <w:rPr>
          <w:rFonts w:hint="eastAsia" w:ascii="宋体" w:hAnsi="宋体" w:eastAsia="宋体" w:cs="宋体"/>
          <w:bCs/>
          <w:szCs w:val="21"/>
          <w:lang w:val="en-US" w:eastAsia="zh-CN"/>
        </w:rPr>
        <w:t>5</w:t>
      </w:r>
      <w:r>
        <w:rPr>
          <w:rFonts w:hint="eastAsia" w:ascii="宋体" w:hAnsi="宋体" w:eastAsia="宋体" w:cs="宋体"/>
          <w:bCs/>
          <w:szCs w:val="21"/>
        </w:rPr>
        <w:t>. 售后响应：故障电话30分钟响应，省内24小时、省外48小时工程师到场</w:t>
      </w:r>
      <w:r>
        <w:rPr>
          <w:rFonts w:hint="eastAsia" w:ascii="宋体" w:hAnsi="宋体" w:eastAsia="宋体" w:cs="宋体"/>
          <w:bCs/>
          <w:szCs w:val="21"/>
          <w:lang w:eastAsia="zh-CN"/>
        </w:rPr>
        <w:t>。</w:t>
      </w:r>
    </w:p>
    <w:p w14:paraId="3F9560D9">
      <w:pPr>
        <w:spacing w:line="440" w:lineRule="exact"/>
        <w:ind w:firstLine="420" w:firstLineChars="200"/>
        <w:jc w:val="left"/>
        <w:rPr>
          <w:rFonts w:hint="eastAsia" w:ascii="宋体" w:hAnsi="宋体" w:eastAsia="宋体" w:cs="宋体"/>
          <w:bCs/>
          <w:szCs w:val="21"/>
        </w:rPr>
      </w:pPr>
      <w:r>
        <w:rPr>
          <w:rFonts w:hint="eastAsia" w:ascii="宋体" w:hAnsi="宋体" w:eastAsia="宋体" w:cs="宋体"/>
          <w:bCs/>
          <w:szCs w:val="21"/>
          <w:lang w:val="en-US" w:eastAsia="zh-CN"/>
        </w:rPr>
        <w:t>6</w:t>
      </w:r>
      <w:r>
        <w:rPr>
          <w:rFonts w:hint="eastAsia" w:ascii="宋体" w:hAnsi="宋体" w:eastAsia="宋体" w:cs="宋体"/>
          <w:bCs/>
          <w:szCs w:val="21"/>
        </w:rPr>
        <w:t>. RTK差分服务按要求提供3年，到期免费协助续期。</w:t>
      </w:r>
    </w:p>
    <w:p w14:paraId="4FAE7DA0">
      <w:pPr>
        <w:spacing w:line="440" w:lineRule="exact"/>
        <w:ind w:firstLine="420" w:firstLineChars="200"/>
        <w:jc w:val="left"/>
        <w:rPr>
          <w:rFonts w:hint="eastAsia" w:ascii="宋体" w:hAnsi="宋体" w:eastAsia="宋体" w:cs="宋体"/>
          <w:bCs/>
          <w:szCs w:val="21"/>
          <w:lang w:val="en-US" w:eastAsia="zh-CN"/>
        </w:rPr>
      </w:pPr>
      <w:r>
        <w:rPr>
          <w:rFonts w:hint="eastAsia" w:ascii="宋体" w:hAnsi="宋体" w:eastAsia="宋体" w:cs="宋体"/>
          <w:bCs/>
          <w:szCs w:val="21"/>
          <w:lang w:val="en-US" w:eastAsia="zh-CN"/>
        </w:rPr>
        <w:t>7</w:t>
      </w:r>
      <w:r>
        <w:rPr>
          <w:rFonts w:hint="eastAsia" w:ascii="宋体" w:hAnsi="宋体" w:eastAsia="宋体" w:cs="宋体"/>
          <w:bCs/>
          <w:szCs w:val="21"/>
        </w:rPr>
        <w:t>. 知识产权与源码约束（软件采购核心）</w:t>
      </w:r>
      <w:r>
        <w:rPr>
          <w:rFonts w:hint="eastAsia" w:ascii="宋体" w:hAnsi="宋体" w:eastAsia="宋体" w:cs="宋体"/>
          <w:bCs/>
          <w:szCs w:val="21"/>
          <w:lang w:eastAsia="zh-CN"/>
        </w:rPr>
        <w:t>：</w:t>
      </w:r>
      <w:r>
        <w:rPr>
          <w:rFonts w:hint="eastAsia" w:ascii="宋体" w:hAnsi="宋体" w:eastAsia="宋体" w:cs="宋体"/>
          <w:bCs/>
          <w:szCs w:val="21"/>
        </w:rPr>
        <w:t>供应商提供全套无限制商用源码，无版权、专利纠纷；若因知识产权诉讼给学校造成损失，供应商全额赔偿；采购人拥有永久教学使用、二次修改权限，禁止供应商收回授权。</w:t>
      </w:r>
    </w:p>
    <w:p w14:paraId="39CF5D3C">
      <w:pPr>
        <w:spacing w:line="440" w:lineRule="exact"/>
        <w:ind w:firstLine="420" w:firstLineChars="200"/>
        <w:jc w:val="left"/>
        <w:rPr>
          <w:rFonts w:hint="eastAsia" w:ascii="宋体" w:hAnsi="宋体" w:eastAsia="宋体" w:cs="宋体"/>
          <w:bCs/>
          <w:szCs w:val="21"/>
        </w:rPr>
      </w:pPr>
      <w:r>
        <w:rPr>
          <w:rFonts w:hint="eastAsia" w:ascii="宋体" w:hAnsi="宋体" w:eastAsia="宋体" w:cs="宋体"/>
          <w:bCs/>
          <w:szCs w:val="21"/>
          <w:lang w:val="en-US" w:eastAsia="zh-CN"/>
        </w:rPr>
        <w:t>8</w:t>
      </w:r>
      <w:r>
        <w:rPr>
          <w:rFonts w:hint="eastAsia" w:ascii="宋体" w:hAnsi="宋体" w:eastAsia="宋体" w:cs="宋体"/>
          <w:bCs/>
          <w:szCs w:val="21"/>
        </w:rPr>
        <w:t>. 培训</w:t>
      </w:r>
      <w:r>
        <w:rPr>
          <w:rFonts w:hint="eastAsia" w:ascii="宋体" w:hAnsi="宋体" w:eastAsia="宋体" w:cs="宋体"/>
          <w:bCs/>
          <w:szCs w:val="21"/>
          <w:lang w:val="en-US" w:eastAsia="zh-CN"/>
        </w:rPr>
        <w:t>要求</w:t>
      </w:r>
      <w:r>
        <w:rPr>
          <w:rFonts w:hint="eastAsia" w:ascii="宋体" w:hAnsi="宋体" w:eastAsia="宋体" w:cs="宋体"/>
          <w:bCs/>
          <w:szCs w:val="21"/>
        </w:rPr>
        <w:t>：硬件安装调试同步开展传感器、线控底盘实操培训不少于3天；软件系统完整7天理论+实操培训，提供电子版课件、培训考核记录。</w:t>
      </w:r>
    </w:p>
    <w:p w14:paraId="06F76892">
      <w:pPr>
        <w:spacing w:line="440" w:lineRule="exact"/>
        <w:ind w:firstLine="420" w:firstLineChars="200"/>
        <w:jc w:val="left"/>
        <w:rPr>
          <w:rFonts w:hint="eastAsia" w:ascii="宋体" w:hAnsi="宋体" w:eastAsia="宋体" w:cs="宋体"/>
          <w:bCs/>
          <w:szCs w:val="21"/>
        </w:rPr>
      </w:pPr>
      <w:r>
        <w:rPr>
          <w:rFonts w:hint="eastAsia" w:ascii="宋体" w:hAnsi="宋体" w:eastAsia="宋体" w:cs="宋体"/>
          <w:bCs/>
          <w:szCs w:val="21"/>
          <w:lang w:val="en-US" w:eastAsia="zh-CN"/>
        </w:rPr>
        <w:t>9</w:t>
      </w:r>
      <w:r>
        <w:rPr>
          <w:rFonts w:hint="eastAsia" w:ascii="宋体" w:hAnsi="宋体" w:eastAsia="宋体" w:cs="宋体"/>
          <w:bCs/>
          <w:szCs w:val="21"/>
        </w:rPr>
        <w:t>. 禁止转包、分包条款</w:t>
      </w:r>
      <w:r>
        <w:rPr>
          <w:rFonts w:hint="eastAsia" w:ascii="宋体" w:hAnsi="宋体" w:eastAsia="宋体" w:cs="宋体"/>
          <w:bCs/>
          <w:szCs w:val="21"/>
          <w:lang w:eastAsia="zh-CN"/>
        </w:rPr>
        <w:t>：</w:t>
      </w:r>
      <w:r>
        <w:rPr>
          <w:rFonts w:hint="eastAsia" w:ascii="宋体" w:hAnsi="宋体" w:eastAsia="宋体" w:cs="宋体"/>
          <w:bCs/>
          <w:szCs w:val="21"/>
        </w:rPr>
        <w:t>本项目硬件改装、软件开发、安装调试不得整体转包；如需专业分包（气瓶/特种设备除外）须提前书面报备采购人，分包单位资质经审核通过。</w:t>
      </w:r>
    </w:p>
    <w:p w14:paraId="1331E82D">
      <w:pPr>
        <w:spacing w:line="440" w:lineRule="exact"/>
        <w:ind w:firstLine="420" w:firstLineChars="200"/>
        <w:jc w:val="left"/>
        <w:rPr>
          <w:rFonts w:hint="eastAsia" w:ascii="宋体" w:hAnsi="宋体" w:eastAsia="宋体" w:cs="宋体"/>
          <w:bCs/>
          <w:szCs w:val="21"/>
        </w:rPr>
      </w:pPr>
      <w:r>
        <w:rPr>
          <w:rFonts w:hint="eastAsia" w:ascii="宋体" w:hAnsi="宋体" w:eastAsia="宋体" w:cs="宋体"/>
          <w:bCs/>
          <w:szCs w:val="21"/>
          <w:lang w:val="en-US" w:eastAsia="zh-CN"/>
        </w:rPr>
        <w:t>10</w:t>
      </w:r>
      <w:r>
        <w:rPr>
          <w:rFonts w:hint="eastAsia" w:ascii="宋体" w:hAnsi="宋体" w:eastAsia="宋体" w:cs="宋体"/>
          <w:bCs/>
          <w:szCs w:val="21"/>
        </w:rPr>
        <w:t>. 报价与包干范围：投标报价为全费用固定包干价，包含设备采购、运输、装卸、改装、线材辅材、安装调试、检测、培训、3年RTK服务费、质保、税费、软件授权、图纸源码等全部费用，采购人不再支付任何增项。</w:t>
      </w:r>
    </w:p>
    <w:p w14:paraId="38A687C3">
      <w:pPr>
        <w:spacing w:line="440" w:lineRule="exact"/>
        <w:ind w:firstLine="420" w:firstLineChars="200"/>
        <w:jc w:val="left"/>
        <w:rPr>
          <w:rFonts w:ascii="宋体" w:hAnsi="宋体" w:eastAsia="宋体" w:cs="Times New Roman"/>
          <w:color w:val="000000"/>
        </w:rPr>
      </w:pPr>
      <w:r>
        <w:rPr>
          <w:rFonts w:hint="eastAsia" w:ascii="宋体" w:hAnsi="宋体" w:eastAsia="宋体" w:cs="宋体"/>
          <w:bCs/>
          <w:szCs w:val="21"/>
          <w:lang w:val="en-US" w:eastAsia="zh-CN"/>
        </w:rPr>
        <w:t>11.</w:t>
      </w:r>
      <w:r>
        <w:rPr>
          <w:rFonts w:hint="eastAsia" w:ascii="宋体" w:hAnsi="宋体" w:eastAsia="宋体" w:cs="宋体"/>
          <w:bCs/>
          <w:szCs w:val="21"/>
        </w:rPr>
        <w:t>工期逾期、参数虚假、验收不合格、售后拖延、知识产权侵权、转包五类违约情形，明确违约金、解除合同、赔偿损失标准。</w:t>
      </w:r>
    </w:p>
    <w:p w14:paraId="23BF168A">
      <w:pPr>
        <w:adjustRightInd w:val="0"/>
        <w:snapToGrid w:val="0"/>
        <w:spacing w:line="440" w:lineRule="exact"/>
        <w:ind w:firstLine="420" w:firstLineChars="200"/>
        <w:rPr>
          <w:rFonts w:ascii="宋体" w:hAnsi="宋体" w:eastAsia="宋体" w:cs="宋体"/>
          <w:bCs/>
          <w:szCs w:val="21"/>
        </w:rPr>
      </w:pPr>
      <w:r>
        <w:rPr>
          <w:rFonts w:hint="eastAsia" w:ascii="宋体" w:hAnsi="宋体" w:eastAsia="宋体" w:cs="宋体"/>
          <w:bCs/>
          <w:szCs w:val="21"/>
        </w:rPr>
        <w:t>特别注意事项：</w:t>
      </w:r>
    </w:p>
    <w:p w14:paraId="30F51731">
      <w:pPr>
        <w:adjustRightInd w:val="0"/>
        <w:snapToGrid w:val="0"/>
        <w:spacing w:line="440" w:lineRule="exact"/>
        <w:ind w:firstLine="420" w:firstLineChars="200"/>
        <w:rPr>
          <w:rFonts w:ascii="宋体" w:hAnsi="宋体" w:eastAsia="宋体" w:cs="宋体"/>
          <w:b/>
          <w:szCs w:val="21"/>
        </w:rPr>
      </w:pPr>
      <w:r>
        <w:rPr>
          <w:rFonts w:hint="eastAsia" w:ascii="宋体" w:hAnsi="宋体" w:eastAsia="宋体" w:cs="宋体"/>
          <w:bCs/>
          <w:szCs w:val="21"/>
        </w:rPr>
        <w:t>如投标人提供虚假材料谋取中标，在评标环节发现的，按无效投标处理。如中标后发现的，取消其中标资格，并送财政监管部门依法追究其法律责任。</w:t>
      </w:r>
    </w:p>
    <w:p w14:paraId="6DB3306B">
      <w:pPr>
        <w:adjustRightInd w:val="0"/>
        <w:snapToGrid w:val="0"/>
        <w:spacing w:line="440" w:lineRule="exact"/>
        <w:ind w:firstLine="422" w:firstLineChars="200"/>
        <w:rPr>
          <w:rFonts w:ascii="宋体" w:hAnsi="宋体" w:eastAsia="宋体" w:cs="宋体"/>
          <w:b/>
          <w:szCs w:val="21"/>
        </w:rPr>
      </w:pPr>
      <w:r>
        <w:rPr>
          <w:rFonts w:hint="eastAsia" w:ascii="宋体" w:hAnsi="宋体" w:eastAsia="宋体" w:cs="宋体"/>
          <w:b/>
          <w:szCs w:val="21"/>
        </w:rPr>
        <w:t>三、其他要求</w:t>
      </w:r>
    </w:p>
    <w:p w14:paraId="418B88B9">
      <w:pPr>
        <w:widowControl w:val="0"/>
        <w:spacing w:line="360" w:lineRule="auto"/>
        <w:ind w:firstLine="210" w:firstLineChars="100"/>
        <w:jc w:val="left"/>
        <w:rPr>
          <w:rFonts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1、投标人应给出所投标产品的详细技术数据；采购文件中主要技术参数及要求，投标人必须满足或超过，并不得有弄虚作假现象，否则作无效投标处理。</w:t>
      </w:r>
    </w:p>
    <w:p w14:paraId="00E7E12D">
      <w:pPr>
        <w:widowControl w:val="0"/>
        <w:spacing w:line="360" w:lineRule="auto"/>
        <w:ind w:firstLine="210" w:firstLineChars="100"/>
        <w:jc w:val="left"/>
        <w:rPr>
          <w:rFonts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2、投标报价必须包括投标产品装卸、运输、安装调试等，并按招标文件采购清单的分项内容填报分项价格表，不得有缺项、漏项情形。如采购人在采购过程中对采购数量有调整的，按调整货物的综合单价调整最终结算费用。未按上述要求报价的，其投标无效。</w:t>
      </w:r>
    </w:p>
    <w:p w14:paraId="43D5F13A">
      <w:pPr>
        <w:adjustRightInd w:val="0"/>
        <w:snapToGrid w:val="0"/>
        <w:spacing w:line="440" w:lineRule="exact"/>
        <w:ind w:firstLine="422" w:firstLineChars="200"/>
        <w:rPr>
          <w:rFonts w:hint="eastAsia" w:ascii="宋体" w:hAnsi="宋体" w:eastAsia="宋体" w:cs="宋体"/>
          <w:b/>
          <w:color w:val="auto"/>
          <w:szCs w:val="21"/>
        </w:rPr>
      </w:pPr>
      <w:r>
        <w:rPr>
          <w:rFonts w:hint="eastAsia" w:ascii="宋体" w:hAnsi="宋体" w:eastAsia="宋体" w:cs="宋体"/>
          <w:b/>
          <w:color w:val="auto"/>
        </w:rPr>
        <w:t>★</w:t>
      </w:r>
      <w:r>
        <w:rPr>
          <w:rFonts w:hint="eastAsia" w:ascii="宋体" w:hAnsi="宋体" w:eastAsia="宋体" w:cs="宋体"/>
          <w:b/>
          <w:color w:val="auto"/>
          <w:szCs w:val="21"/>
        </w:rPr>
        <w:t>2、供应商应确保其投标产品技术参数的真实性。采购人在正式合同签订前，有权对成交产品的技术参数进行核查，成交供应商应无条件配合并按采购人要求提供相关证明材料并进行实物演示。如成交供应商拒不配合或无法提供佐证材料证明其参数真实性的，按照虚假应标处理，采购人将依法取消其成交资格，并上报财政部门。</w:t>
      </w:r>
    </w:p>
    <w:p w14:paraId="4D365D67">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34A2F0"/>
    <w:multiLevelType w:val="singleLevel"/>
    <w:tmpl w:val="3F34A2F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552942"/>
    <w:rsid w:val="265529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next w:val="1"/>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3">
    <w:name w:val="Body Text Indent"/>
    <w:next w:val="4"/>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4">
    <w:name w:val="Body Text Indent 2"/>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2026-10-13T08:27:00Z</dcterms:created>
  <dc:creator>Administrator</dc:creator>
  <cp:lastModifiedBy>Administrator</cp:lastModifiedBy>
  <dcterms:modified xsi:type="dcterms:W3CDTF">2026-10-13T08:27:24Z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B44E100260C9492C868B9CB5E3CC9816_11</vt:lpwstr>
  </property>
  <property fmtid="{D5CDD505-2E9C-101B-9397-08002B2CF9AE}" pid="4" name="KSOTemplateDocerSaveRecord">
    <vt:lpwstr>eyJoZGlkIjoiYmYzNjU0ZmMyNTc1Y2QyNjlmYjZkYzEzMzA3MGNkNDQiLCJ1c2VySWQiOiIzNDA5NDQwMzMifQ==</vt:lpwstr>
  </property>
</Properties>
</file>